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B4D42" w:rsidRDefault="003F43E6" w:rsidP="003F43E6">
      <w:pPr>
        <w:pStyle w:val="Header"/>
        <w:jc w:val="center"/>
        <w:rPr>
          <w:b/>
          <w:sz w:val="32"/>
        </w:rPr>
      </w:pPr>
      <w:bookmarkStart w:id="0" w:name="_GoBack"/>
      <w:bookmarkEnd w:id="0"/>
      <w:r w:rsidRPr="004B4D42">
        <w:rPr>
          <w:b/>
          <w:sz w:val="32"/>
        </w:rPr>
        <w:t>Supreme Court of Canada / Cour suprême du Canada</w:t>
      </w:r>
    </w:p>
    <w:p w:rsidR="003F43E6" w:rsidRPr="004B4D42" w:rsidRDefault="003F43E6" w:rsidP="006F2579">
      <w:pPr>
        <w:widowControl w:val="0"/>
        <w:rPr>
          <w:i/>
        </w:rPr>
      </w:pPr>
    </w:p>
    <w:p w:rsidR="006F2579" w:rsidRPr="004B4D42" w:rsidRDefault="006F2579" w:rsidP="006F2579">
      <w:pPr>
        <w:widowControl w:val="0"/>
        <w:rPr>
          <w:i/>
        </w:rPr>
      </w:pPr>
      <w:r w:rsidRPr="004B4D42">
        <w:rPr>
          <w:i/>
        </w:rPr>
        <w:t>(le français suit)</w:t>
      </w:r>
    </w:p>
    <w:p w:rsidR="006F2579" w:rsidRPr="004B4D42" w:rsidRDefault="006F2579" w:rsidP="006F2579">
      <w:pPr>
        <w:widowControl w:val="0"/>
      </w:pPr>
    </w:p>
    <w:p w:rsidR="006F2579" w:rsidRPr="004B4D42" w:rsidRDefault="003B693A" w:rsidP="006F2579">
      <w:pPr>
        <w:widowControl w:val="0"/>
        <w:jc w:val="center"/>
        <w:rPr>
          <w:b/>
        </w:rPr>
      </w:pPr>
      <w:r w:rsidRPr="004B4D42">
        <w:fldChar w:fldCharType="begin"/>
      </w:r>
      <w:r w:rsidR="006F2579" w:rsidRPr="004B4D42">
        <w:instrText xml:space="preserve"> SEQ CHAPTER \h \r 1</w:instrText>
      </w:r>
      <w:r w:rsidRPr="004B4D42">
        <w:fldChar w:fldCharType="end"/>
      </w:r>
      <w:r w:rsidR="006F2579" w:rsidRPr="004B4D42">
        <w:rPr>
          <w:b/>
        </w:rPr>
        <w:t>JUDGMENT</w:t>
      </w:r>
      <w:r w:rsidR="00B17AAC" w:rsidRPr="004B4D42">
        <w:rPr>
          <w:b/>
        </w:rPr>
        <w:t>S</w:t>
      </w:r>
      <w:r w:rsidR="006F2579" w:rsidRPr="004B4D42">
        <w:rPr>
          <w:b/>
        </w:rPr>
        <w:t xml:space="preserve"> TO B</w:t>
      </w:r>
      <w:r w:rsidR="00001846" w:rsidRPr="004B4D42">
        <w:rPr>
          <w:b/>
        </w:rPr>
        <w:t>E RENDERED IN LEAVE APPLICATION</w:t>
      </w:r>
      <w:r w:rsidR="00B17AAC" w:rsidRPr="004B4D42">
        <w:rPr>
          <w:b/>
        </w:rPr>
        <w:t>S</w:t>
      </w:r>
    </w:p>
    <w:p w:rsidR="006F2579" w:rsidRPr="004B4D42" w:rsidRDefault="006F2579" w:rsidP="006F2579">
      <w:pPr>
        <w:widowControl w:val="0"/>
        <w:rPr>
          <w:b/>
        </w:rPr>
      </w:pPr>
    </w:p>
    <w:p w:rsidR="006F2579" w:rsidRPr="004B4D42" w:rsidRDefault="0080556B" w:rsidP="006F2579">
      <w:pPr>
        <w:widowControl w:val="0"/>
        <w:rPr>
          <w:b/>
        </w:rPr>
      </w:pPr>
      <w:r>
        <w:rPr>
          <w:b/>
        </w:rPr>
        <w:t xml:space="preserve">June </w:t>
      </w:r>
      <w:r w:rsidR="0054689F">
        <w:rPr>
          <w:b/>
        </w:rPr>
        <w:t>15</w:t>
      </w:r>
      <w:r w:rsidR="006F2579" w:rsidRPr="004B4D42">
        <w:rPr>
          <w:b/>
        </w:rPr>
        <w:t xml:space="preserve">, </w:t>
      </w:r>
      <w:r w:rsidR="0054689F">
        <w:rPr>
          <w:b/>
        </w:rPr>
        <w:t>2015</w:t>
      </w:r>
    </w:p>
    <w:p w:rsidR="006F2579" w:rsidRPr="004B4D42" w:rsidRDefault="006F2579" w:rsidP="006F2579">
      <w:pPr>
        <w:widowControl w:val="0"/>
        <w:rPr>
          <w:b/>
        </w:rPr>
      </w:pPr>
      <w:r w:rsidRPr="004B4D42">
        <w:rPr>
          <w:b/>
        </w:rPr>
        <w:t>For immediate release</w:t>
      </w:r>
    </w:p>
    <w:p w:rsidR="006F2579" w:rsidRPr="004B4D42" w:rsidRDefault="006F2579" w:rsidP="006F2579">
      <w:pPr>
        <w:widowControl w:val="0"/>
      </w:pPr>
    </w:p>
    <w:p w:rsidR="006F2579" w:rsidRPr="00F12DF5" w:rsidRDefault="006F2579" w:rsidP="006F2579">
      <w:pPr>
        <w:widowControl w:val="0"/>
        <w:rPr>
          <w:lang w:val="fr-CA"/>
        </w:rPr>
      </w:pPr>
      <w:r w:rsidRPr="004B4D42">
        <w:rPr>
          <w:b/>
        </w:rPr>
        <w:t>OTTAWA</w:t>
      </w:r>
      <w:r w:rsidRPr="004B4D42">
        <w:t xml:space="preserve"> – The Supreme Court of Canada announced today that judgment in the following application</w:t>
      </w:r>
      <w:r w:rsidR="008600ED" w:rsidRPr="004B4D42">
        <w:t>s</w:t>
      </w:r>
      <w:r w:rsidRPr="004B4D42">
        <w:t xml:space="preserve"> for leave to appeal will be delivered at 9:45 a.m. E</w:t>
      </w:r>
      <w:r w:rsidR="006F7EB1" w:rsidRPr="004B4D42">
        <w:t>D</w:t>
      </w:r>
      <w:r w:rsidRPr="004B4D42">
        <w:t xml:space="preserve">T on Thursday, </w:t>
      </w:r>
      <w:r w:rsidR="0080556B">
        <w:t xml:space="preserve">June </w:t>
      </w:r>
      <w:r w:rsidR="007D3405">
        <w:t>1</w:t>
      </w:r>
      <w:r w:rsidR="0054689F">
        <w:t>8</w:t>
      </w:r>
      <w:r w:rsidR="00960719" w:rsidRPr="004B4D42">
        <w:t>,</w:t>
      </w:r>
      <w:r w:rsidR="002F38D7" w:rsidRPr="004B4D42">
        <w:t xml:space="preserve"> </w:t>
      </w:r>
      <w:r w:rsidR="006648D1" w:rsidRPr="004B4D42">
        <w:t>2015</w:t>
      </w:r>
      <w:r w:rsidRPr="004B4D42">
        <w:t xml:space="preserve">.  </w:t>
      </w:r>
      <w:r w:rsidRPr="00F12DF5">
        <w:rPr>
          <w:lang w:val="fr-CA"/>
        </w:rPr>
        <w:t>This list is subject to change.</w:t>
      </w:r>
    </w:p>
    <w:p w:rsidR="00D4457A" w:rsidRPr="00F12DF5" w:rsidRDefault="00D4457A" w:rsidP="006F2579">
      <w:pPr>
        <w:widowControl w:val="0"/>
        <w:rPr>
          <w:lang w:val="fr-CA"/>
        </w:rPr>
      </w:pPr>
    </w:p>
    <w:p w:rsidR="00FF5AA4" w:rsidRPr="00F12DF5" w:rsidRDefault="00FF5AA4" w:rsidP="006F2579">
      <w:pPr>
        <w:widowControl w:val="0"/>
        <w:rPr>
          <w:lang w:val="fr-CA"/>
        </w:rPr>
      </w:pPr>
    </w:p>
    <w:p w:rsidR="006F2579" w:rsidRPr="004B4D42" w:rsidRDefault="006F2579" w:rsidP="006F2579">
      <w:pPr>
        <w:widowControl w:val="0"/>
        <w:jc w:val="center"/>
        <w:rPr>
          <w:lang w:val="fr-CA"/>
        </w:rPr>
      </w:pPr>
      <w:r w:rsidRPr="004B4D42">
        <w:rPr>
          <w:b/>
          <w:lang w:val="fr-CA"/>
        </w:rPr>
        <w:t>PROCHAIN</w:t>
      </w:r>
      <w:r w:rsidR="00B17AAC" w:rsidRPr="004B4D42">
        <w:rPr>
          <w:b/>
          <w:lang w:val="fr-CA"/>
        </w:rPr>
        <w:t>S</w:t>
      </w:r>
      <w:r w:rsidRPr="004B4D42">
        <w:rPr>
          <w:b/>
          <w:lang w:val="fr-CA"/>
        </w:rPr>
        <w:t xml:space="preserve"> JUGEMENT</w:t>
      </w:r>
      <w:r w:rsidR="00B17AAC" w:rsidRPr="004B4D42">
        <w:rPr>
          <w:b/>
          <w:lang w:val="fr-CA"/>
        </w:rPr>
        <w:t>S</w:t>
      </w:r>
      <w:r w:rsidR="00001846" w:rsidRPr="004B4D42">
        <w:rPr>
          <w:b/>
          <w:lang w:val="fr-CA"/>
        </w:rPr>
        <w:t xml:space="preserve"> SUR DEMANDE</w:t>
      </w:r>
      <w:r w:rsidR="00B17AAC" w:rsidRPr="004B4D42">
        <w:rPr>
          <w:b/>
          <w:lang w:val="fr-CA"/>
        </w:rPr>
        <w:t>S</w:t>
      </w:r>
      <w:r w:rsidRPr="004B4D42">
        <w:rPr>
          <w:b/>
          <w:lang w:val="fr-CA"/>
        </w:rPr>
        <w:t xml:space="preserve"> D’AUTORISATION</w:t>
      </w:r>
    </w:p>
    <w:p w:rsidR="006F2579" w:rsidRPr="004B4D42" w:rsidRDefault="006F2579" w:rsidP="006F2579">
      <w:pPr>
        <w:widowControl w:val="0"/>
        <w:rPr>
          <w:lang w:val="fr-CA"/>
        </w:rPr>
      </w:pPr>
    </w:p>
    <w:p w:rsidR="006F2579" w:rsidRPr="004B4D42" w:rsidRDefault="006F2579" w:rsidP="006F2579">
      <w:pPr>
        <w:widowControl w:val="0"/>
        <w:rPr>
          <w:b/>
          <w:lang w:val="fr-CA"/>
        </w:rPr>
      </w:pPr>
      <w:r w:rsidRPr="004B4D42">
        <w:rPr>
          <w:b/>
          <w:lang w:val="fr-CA"/>
        </w:rPr>
        <w:t>Le</w:t>
      </w:r>
      <w:r w:rsidR="00957A76" w:rsidRPr="004B4D42">
        <w:rPr>
          <w:b/>
          <w:lang w:val="fr-CA"/>
        </w:rPr>
        <w:t xml:space="preserve"> </w:t>
      </w:r>
      <w:r w:rsidR="0054689F">
        <w:rPr>
          <w:b/>
          <w:lang w:val="fr-CA"/>
        </w:rPr>
        <w:t>15</w:t>
      </w:r>
      <w:r w:rsidR="0080556B">
        <w:rPr>
          <w:b/>
          <w:lang w:val="fr-CA"/>
        </w:rPr>
        <w:t xml:space="preserve"> juin</w:t>
      </w:r>
      <w:r w:rsidR="00506A2E" w:rsidRPr="004B4D42">
        <w:rPr>
          <w:b/>
          <w:lang w:val="fr-CA"/>
        </w:rPr>
        <w:t xml:space="preserve"> </w:t>
      </w:r>
      <w:r w:rsidR="006648D1" w:rsidRPr="004B4D42">
        <w:rPr>
          <w:b/>
          <w:lang w:val="fr-CA"/>
        </w:rPr>
        <w:t>2015</w:t>
      </w:r>
    </w:p>
    <w:p w:rsidR="006F2579" w:rsidRPr="004B4D42" w:rsidRDefault="006F2579" w:rsidP="006F2579">
      <w:pPr>
        <w:widowControl w:val="0"/>
        <w:rPr>
          <w:b/>
          <w:lang w:val="fr-CA"/>
        </w:rPr>
      </w:pPr>
      <w:r w:rsidRPr="004B4D42">
        <w:rPr>
          <w:b/>
          <w:lang w:val="fr-CA"/>
        </w:rPr>
        <w:t>Pour diffusion immédiate</w:t>
      </w:r>
    </w:p>
    <w:p w:rsidR="006F2579" w:rsidRPr="004B4D42" w:rsidRDefault="006F2579" w:rsidP="006F2579">
      <w:pPr>
        <w:widowControl w:val="0"/>
        <w:rPr>
          <w:b/>
          <w:lang w:val="fr-CA"/>
        </w:rPr>
      </w:pPr>
    </w:p>
    <w:p w:rsidR="006F2579" w:rsidRPr="004B4D42" w:rsidRDefault="006F2579" w:rsidP="006F2579">
      <w:pPr>
        <w:widowControl w:val="0"/>
        <w:rPr>
          <w:lang w:val="fr-CA"/>
        </w:rPr>
      </w:pPr>
      <w:r w:rsidRPr="004B4D42">
        <w:rPr>
          <w:b/>
          <w:lang w:val="fr-CA"/>
        </w:rPr>
        <w:t>OTTAWA</w:t>
      </w:r>
      <w:r w:rsidRPr="004B4D42">
        <w:rPr>
          <w:lang w:val="fr-CA"/>
        </w:rPr>
        <w:t xml:space="preserve"> – La Cour suprême du Canada annonce que jugement ser</w:t>
      </w:r>
      <w:r w:rsidR="008600ED" w:rsidRPr="004B4D42">
        <w:rPr>
          <w:lang w:val="fr-CA"/>
        </w:rPr>
        <w:t>a</w:t>
      </w:r>
      <w:r w:rsidRPr="004B4D42">
        <w:rPr>
          <w:lang w:val="fr-CA"/>
        </w:rPr>
        <w:t xml:space="preserve"> rendu dans l</w:t>
      </w:r>
      <w:r w:rsidR="008600ED" w:rsidRPr="004B4D42">
        <w:rPr>
          <w:lang w:val="fr-CA"/>
        </w:rPr>
        <w:t>es</w:t>
      </w:r>
      <w:r w:rsidRPr="004B4D42">
        <w:rPr>
          <w:lang w:val="fr-CA"/>
        </w:rPr>
        <w:t xml:space="preserve"> demande</w:t>
      </w:r>
      <w:r w:rsidR="008600ED" w:rsidRPr="004B4D42">
        <w:rPr>
          <w:lang w:val="fr-CA"/>
        </w:rPr>
        <w:t>s</w:t>
      </w:r>
      <w:r w:rsidRPr="004B4D42">
        <w:rPr>
          <w:lang w:val="fr-CA"/>
        </w:rPr>
        <w:t xml:space="preserve"> d</w:t>
      </w:r>
      <w:r w:rsidR="00001846" w:rsidRPr="004B4D42">
        <w:rPr>
          <w:lang w:val="fr-CA"/>
        </w:rPr>
        <w:t>’autorisation d’appel suivante</w:t>
      </w:r>
      <w:r w:rsidR="008600ED" w:rsidRPr="004B4D42">
        <w:rPr>
          <w:lang w:val="fr-CA"/>
        </w:rPr>
        <w:t>s</w:t>
      </w:r>
      <w:r w:rsidRPr="004B4D42">
        <w:rPr>
          <w:lang w:val="fr-CA"/>
        </w:rPr>
        <w:t xml:space="preserve"> le jeudi </w:t>
      </w:r>
      <w:r w:rsidR="0054689F">
        <w:rPr>
          <w:lang w:val="fr-CA"/>
        </w:rPr>
        <w:t>18</w:t>
      </w:r>
      <w:r w:rsidR="0080556B">
        <w:rPr>
          <w:lang w:val="fr-CA"/>
        </w:rPr>
        <w:t xml:space="preserve"> juin</w:t>
      </w:r>
      <w:r w:rsidR="00533CD5" w:rsidRPr="004B4D42">
        <w:rPr>
          <w:lang w:val="fr-CA"/>
        </w:rPr>
        <w:t xml:space="preserve"> </w:t>
      </w:r>
      <w:r w:rsidR="006648D1" w:rsidRPr="004B4D42">
        <w:rPr>
          <w:lang w:val="fr-CA"/>
        </w:rPr>
        <w:t>2015</w:t>
      </w:r>
      <w:r w:rsidRPr="004B4D42">
        <w:rPr>
          <w:lang w:val="fr-CA"/>
        </w:rPr>
        <w:t xml:space="preserve">, à 9 h 45 </w:t>
      </w:r>
      <w:r w:rsidR="000627A2" w:rsidRPr="004B4D42">
        <w:rPr>
          <w:lang w:val="fr-CA"/>
        </w:rPr>
        <w:t>H</w:t>
      </w:r>
      <w:r w:rsidR="006F7EB1" w:rsidRPr="004B4D42">
        <w:rPr>
          <w:lang w:val="fr-CA"/>
        </w:rPr>
        <w:t>A</w:t>
      </w:r>
      <w:r w:rsidRPr="004B4D42">
        <w:rPr>
          <w:lang w:val="fr-CA"/>
        </w:rPr>
        <w:t>E.  Cette liste est sujette à modifications.</w:t>
      </w:r>
    </w:p>
    <w:p w:rsidR="006F2579" w:rsidRPr="004B4D42" w:rsidRDefault="006F2579" w:rsidP="006F2579">
      <w:pPr>
        <w:widowControl w:val="0"/>
        <w:outlineLvl w:val="0"/>
        <w:rPr>
          <w:szCs w:val="24"/>
          <w:lang w:val="fr-CA"/>
        </w:rPr>
      </w:pPr>
    </w:p>
    <w:p w:rsidR="001838E0" w:rsidRPr="004B4D42" w:rsidRDefault="00F12DF5" w:rsidP="009B14F4">
      <w:pPr>
        <w:widowControl w:val="0"/>
        <w:jc w:val="both"/>
        <w:rPr>
          <w:sz w:val="20"/>
          <w:lang w:val="fr-CA"/>
        </w:rPr>
      </w:pPr>
      <w:r>
        <w:rPr>
          <w:noProof/>
          <w:sz w:val="20"/>
        </w:rPr>
        <w:pict>
          <v:shapetype id="_x0000_t32" coordsize="21600,21600" o:spt="32" o:oned="t" path="m,l21600,21600e" filled="f">
            <v:path arrowok="t" fillok="f" o:connecttype="none"/>
            <o:lock v:ext="edit" shapetype="t"/>
          </v:shapetype>
          <v:shape id="_x0000_s1036" type="#_x0000_t32" style="position:absolute;left:0;text-align:left;margin-left:0;margin-top:7.25pt;width:246.95pt;height:0;z-index:251657728;mso-position-horizontal:center;mso-position-horizontal-relative:margin" o:connectortype="straight">
            <w10:wrap anchorx="margin"/>
          </v:shape>
        </w:pict>
      </w:r>
    </w:p>
    <w:p w:rsidR="00157B04" w:rsidRPr="0080556B" w:rsidRDefault="00157B04" w:rsidP="0080556B">
      <w:pPr>
        <w:widowControl w:val="0"/>
        <w:autoSpaceDE w:val="0"/>
        <w:autoSpaceDN w:val="0"/>
        <w:adjustRightInd w:val="0"/>
        <w:jc w:val="both"/>
        <w:rPr>
          <w:sz w:val="20"/>
          <w:lang w:val="fr-CA"/>
        </w:rPr>
      </w:pPr>
    </w:p>
    <w:p w:rsidR="0054689F" w:rsidRPr="008C561D" w:rsidRDefault="0054689F" w:rsidP="008C561D">
      <w:pPr>
        <w:pStyle w:val="ListParagraph"/>
        <w:numPr>
          <w:ilvl w:val="0"/>
          <w:numId w:val="30"/>
        </w:numPr>
        <w:ind w:left="360"/>
        <w:jc w:val="both"/>
        <w:rPr>
          <w:sz w:val="20"/>
          <w:lang w:val="en-CA"/>
        </w:rPr>
      </w:pPr>
      <w:r w:rsidRPr="008C561D">
        <w:rPr>
          <w:i/>
          <w:sz w:val="20"/>
          <w:lang w:val="en-CA"/>
        </w:rPr>
        <w:t xml:space="preserve">Udell So v. Her Majesty the Queen </w:t>
      </w:r>
      <w:r w:rsidRPr="008C561D">
        <w:rPr>
          <w:sz w:val="20"/>
          <w:lang w:val="en-CA"/>
        </w:rPr>
        <w:t>(Alta.) (Criminal) (By Leave) (</w:t>
      </w:r>
      <w:hyperlink r:id="rId8" w:history="1">
        <w:r w:rsidRPr="00054F8E">
          <w:rPr>
            <w:rStyle w:val="Hyperlink"/>
            <w:sz w:val="20"/>
            <w:lang w:val="en-CA"/>
          </w:rPr>
          <w:t>36321</w:t>
        </w:r>
      </w:hyperlink>
      <w:r w:rsidRPr="008C561D">
        <w:rPr>
          <w:sz w:val="20"/>
          <w:lang w:val="en-CA"/>
        </w:rPr>
        <w:t>)</w:t>
      </w:r>
    </w:p>
    <w:p w:rsidR="0054689F" w:rsidRPr="008C561D" w:rsidRDefault="0054689F" w:rsidP="008C561D">
      <w:pPr>
        <w:ind w:left="360" w:hanging="360"/>
        <w:jc w:val="both"/>
        <w:rPr>
          <w:sz w:val="20"/>
          <w:lang w:val="en-CA"/>
        </w:rPr>
      </w:pPr>
    </w:p>
    <w:p w:rsidR="0054689F" w:rsidRPr="008C561D" w:rsidRDefault="0054689F" w:rsidP="008C561D">
      <w:pPr>
        <w:pStyle w:val="ListParagraph"/>
        <w:numPr>
          <w:ilvl w:val="0"/>
          <w:numId w:val="30"/>
        </w:numPr>
        <w:ind w:left="360"/>
        <w:jc w:val="both"/>
        <w:rPr>
          <w:sz w:val="20"/>
          <w:lang w:val="en-CA"/>
        </w:rPr>
      </w:pPr>
      <w:r w:rsidRPr="008C561D">
        <w:rPr>
          <w:i/>
          <w:sz w:val="20"/>
          <w:lang w:val="en-CA"/>
        </w:rPr>
        <w:t xml:space="preserve">Larry Peter Klippenstein v. Manitoba Ombudsman </w:t>
      </w:r>
      <w:r w:rsidRPr="008C561D">
        <w:rPr>
          <w:sz w:val="20"/>
          <w:lang w:val="en-CA"/>
        </w:rPr>
        <w:t>(Man.) (Civil) (By Leave) (</w:t>
      </w:r>
      <w:hyperlink r:id="rId9" w:history="1">
        <w:r w:rsidRPr="00054F8E">
          <w:rPr>
            <w:rStyle w:val="Hyperlink"/>
            <w:sz w:val="20"/>
            <w:lang w:val="en-CA"/>
          </w:rPr>
          <w:t>36379</w:t>
        </w:r>
      </w:hyperlink>
      <w:r w:rsidRPr="008C561D">
        <w:rPr>
          <w:sz w:val="20"/>
          <w:lang w:val="en-CA"/>
        </w:rPr>
        <w:t>)</w:t>
      </w:r>
    </w:p>
    <w:p w:rsidR="007D3405" w:rsidRPr="008C561D" w:rsidRDefault="007D3405" w:rsidP="008C561D">
      <w:pPr>
        <w:ind w:left="360" w:hanging="360"/>
        <w:jc w:val="both"/>
        <w:rPr>
          <w:sz w:val="20"/>
          <w:lang w:val="fr-CA"/>
        </w:rPr>
      </w:pPr>
    </w:p>
    <w:p w:rsidR="0054689F" w:rsidRPr="008C561D" w:rsidRDefault="00AB5528" w:rsidP="008C561D">
      <w:pPr>
        <w:pStyle w:val="ListParagraph"/>
        <w:numPr>
          <w:ilvl w:val="0"/>
          <w:numId w:val="30"/>
        </w:numPr>
        <w:ind w:left="360"/>
        <w:jc w:val="both"/>
        <w:rPr>
          <w:sz w:val="20"/>
          <w:lang w:val="fr-CA"/>
        </w:rPr>
      </w:pPr>
      <w:r>
        <w:rPr>
          <w:i/>
          <w:sz w:val="20"/>
          <w:lang w:val="fr-CA"/>
        </w:rPr>
        <w:t>La Presse, ltée c. Guy Drouin et autres</w:t>
      </w:r>
      <w:r w:rsidR="0054689F" w:rsidRPr="008C561D">
        <w:rPr>
          <w:sz w:val="20"/>
          <w:lang w:val="fr-CA"/>
        </w:rPr>
        <w:t xml:space="preserve"> (Qc) (Criminelle) (Autorisation) (</w:t>
      </w:r>
      <w:hyperlink r:id="rId10" w:history="1">
        <w:r w:rsidR="0054689F" w:rsidRPr="00054F8E">
          <w:rPr>
            <w:rStyle w:val="Hyperlink"/>
            <w:sz w:val="20"/>
            <w:lang w:val="fr-CA"/>
          </w:rPr>
          <w:t>36233</w:t>
        </w:r>
      </w:hyperlink>
      <w:r w:rsidR="0054689F" w:rsidRPr="008C561D">
        <w:rPr>
          <w:sz w:val="20"/>
          <w:lang w:val="fr-CA"/>
        </w:rPr>
        <w:t>)</w:t>
      </w:r>
    </w:p>
    <w:p w:rsidR="0054689F" w:rsidRPr="008C561D" w:rsidRDefault="0054689F" w:rsidP="008C561D">
      <w:pPr>
        <w:ind w:left="360" w:hanging="360"/>
        <w:jc w:val="both"/>
        <w:rPr>
          <w:sz w:val="20"/>
          <w:lang w:val="fr-CA"/>
        </w:rPr>
      </w:pPr>
    </w:p>
    <w:p w:rsidR="0054689F" w:rsidRPr="008C561D" w:rsidRDefault="0054689F" w:rsidP="008C561D">
      <w:pPr>
        <w:pStyle w:val="ListParagraph"/>
        <w:numPr>
          <w:ilvl w:val="0"/>
          <w:numId w:val="30"/>
        </w:numPr>
        <w:ind w:left="360"/>
        <w:jc w:val="both"/>
        <w:rPr>
          <w:sz w:val="20"/>
          <w:lang w:val="fr-CA"/>
        </w:rPr>
      </w:pPr>
      <w:r w:rsidRPr="008C561D">
        <w:rPr>
          <w:i/>
          <w:sz w:val="20"/>
          <w:lang w:val="fr-CA"/>
        </w:rPr>
        <w:t xml:space="preserve">Frank Antoine Joseph c. Sa Majesté la Reine </w:t>
      </w:r>
      <w:r w:rsidRPr="008C561D">
        <w:rPr>
          <w:sz w:val="20"/>
          <w:lang w:val="fr-CA"/>
        </w:rPr>
        <w:t>(Qc) (Criminelle) (Autorisation) (</w:t>
      </w:r>
      <w:hyperlink r:id="rId11" w:history="1">
        <w:r w:rsidRPr="00054F8E">
          <w:rPr>
            <w:rStyle w:val="Hyperlink"/>
            <w:sz w:val="20"/>
            <w:lang w:val="fr-CA"/>
          </w:rPr>
          <w:t>36286</w:t>
        </w:r>
      </w:hyperlink>
      <w:r w:rsidRPr="008C561D">
        <w:rPr>
          <w:sz w:val="20"/>
          <w:lang w:val="fr-CA"/>
        </w:rPr>
        <w:t>)</w:t>
      </w:r>
    </w:p>
    <w:p w:rsidR="0054689F" w:rsidRPr="008C561D" w:rsidRDefault="0054689F" w:rsidP="008C561D">
      <w:pPr>
        <w:ind w:left="360" w:hanging="360"/>
        <w:jc w:val="both"/>
        <w:rPr>
          <w:sz w:val="20"/>
          <w:lang w:val="fr-CA"/>
        </w:rPr>
      </w:pPr>
    </w:p>
    <w:p w:rsidR="0054689F" w:rsidRPr="008C561D" w:rsidRDefault="0054689F" w:rsidP="008C561D">
      <w:pPr>
        <w:pStyle w:val="ListParagraph"/>
        <w:numPr>
          <w:ilvl w:val="0"/>
          <w:numId w:val="30"/>
        </w:numPr>
        <w:ind w:left="360"/>
        <w:jc w:val="both"/>
        <w:rPr>
          <w:sz w:val="20"/>
        </w:rPr>
      </w:pPr>
      <w:r w:rsidRPr="008C561D">
        <w:rPr>
          <w:i/>
          <w:sz w:val="20"/>
        </w:rPr>
        <w:t>A.K.</w:t>
      </w:r>
      <w:r w:rsidRPr="008C561D">
        <w:rPr>
          <w:sz w:val="20"/>
        </w:rPr>
        <w:t xml:space="preserve"> </w:t>
      </w:r>
      <w:r w:rsidRPr="008C561D">
        <w:rPr>
          <w:i/>
          <w:sz w:val="20"/>
        </w:rPr>
        <w:t xml:space="preserve">v. Batshaw Youth and Family Centers </w:t>
      </w:r>
      <w:r w:rsidRPr="008C561D">
        <w:rPr>
          <w:sz w:val="20"/>
        </w:rPr>
        <w:t>(Que.) (Civil) (By Leave) (</w:t>
      </w:r>
      <w:hyperlink r:id="rId12" w:history="1">
        <w:r w:rsidRPr="00054F8E">
          <w:rPr>
            <w:rStyle w:val="Hyperlink"/>
            <w:sz w:val="20"/>
          </w:rPr>
          <w:t>36326</w:t>
        </w:r>
      </w:hyperlink>
      <w:r w:rsidRPr="008C561D">
        <w:rPr>
          <w:sz w:val="20"/>
        </w:rPr>
        <w:t>)</w:t>
      </w:r>
    </w:p>
    <w:p w:rsidR="008C561D" w:rsidRDefault="008C561D" w:rsidP="008C561D">
      <w:pPr>
        <w:ind w:left="360" w:hanging="360"/>
        <w:jc w:val="both"/>
        <w:rPr>
          <w:sz w:val="20"/>
        </w:rPr>
      </w:pPr>
    </w:p>
    <w:p w:rsidR="008C561D" w:rsidRPr="008C561D" w:rsidRDefault="008C561D" w:rsidP="008C561D">
      <w:pPr>
        <w:pStyle w:val="ListParagraph"/>
        <w:numPr>
          <w:ilvl w:val="0"/>
          <w:numId w:val="30"/>
        </w:numPr>
        <w:ind w:left="360"/>
        <w:jc w:val="both"/>
        <w:rPr>
          <w:sz w:val="20"/>
        </w:rPr>
      </w:pPr>
      <w:r w:rsidRPr="00AB5528">
        <w:rPr>
          <w:i/>
          <w:sz w:val="20"/>
        </w:rPr>
        <w:t>Ayanl</w:t>
      </w:r>
      <w:r w:rsidR="00AB5528" w:rsidRPr="00AB5528">
        <w:rPr>
          <w:i/>
          <w:sz w:val="20"/>
        </w:rPr>
        <w:t>e Omar v. Her Majesty the Queen</w:t>
      </w:r>
      <w:r w:rsidRPr="00AB5528">
        <w:rPr>
          <w:i/>
          <w:sz w:val="20"/>
        </w:rPr>
        <w:t xml:space="preserve"> et al.</w:t>
      </w:r>
      <w:r w:rsidRPr="008C561D">
        <w:rPr>
          <w:sz w:val="20"/>
        </w:rPr>
        <w:t xml:space="preserve"> (Ont.) (Criminal) (By Leave) (</w:t>
      </w:r>
      <w:hyperlink r:id="rId13" w:history="1">
        <w:r w:rsidRPr="00054F8E">
          <w:rPr>
            <w:rStyle w:val="Hyperlink"/>
            <w:sz w:val="20"/>
          </w:rPr>
          <w:t>36250</w:t>
        </w:r>
      </w:hyperlink>
      <w:r w:rsidRPr="008C561D">
        <w:rPr>
          <w:sz w:val="20"/>
        </w:rPr>
        <w:t>)</w:t>
      </w:r>
    </w:p>
    <w:p w:rsidR="008C561D" w:rsidRPr="008C561D" w:rsidRDefault="008C561D" w:rsidP="008C561D">
      <w:pPr>
        <w:ind w:left="360" w:hanging="360"/>
        <w:jc w:val="both"/>
        <w:rPr>
          <w:sz w:val="20"/>
        </w:rPr>
      </w:pPr>
    </w:p>
    <w:p w:rsidR="008C561D" w:rsidRPr="008C561D" w:rsidRDefault="008C561D" w:rsidP="008C561D">
      <w:pPr>
        <w:pStyle w:val="ListParagraph"/>
        <w:numPr>
          <w:ilvl w:val="0"/>
          <w:numId w:val="30"/>
        </w:numPr>
        <w:ind w:left="360"/>
        <w:jc w:val="both"/>
        <w:rPr>
          <w:sz w:val="20"/>
        </w:rPr>
      </w:pPr>
      <w:r w:rsidRPr="00AB5528">
        <w:rPr>
          <w:i/>
          <w:sz w:val="20"/>
        </w:rPr>
        <w:t>Sweetgrass First Nation v. Rath &amp; Company</w:t>
      </w:r>
      <w:r w:rsidRPr="008C561D">
        <w:rPr>
          <w:sz w:val="20"/>
        </w:rPr>
        <w:t xml:space="preserve"> (Alta.) (Civil) (By Leave) (</w:t>
      </w:r>
      <w:hyperlink r:id="rId14" w:history="1">
        <w:r w:rsidRPr="00054F8E">
          <w:rPr>
            <w:rStyle w:val="Hyperlink"/>
            <w:sz w:val="20"/>
          </w:rPr>
          <w:t>36303</w:t>
        </w:r>
      </w:hyperlink>
      <w:r w:rsidRPr="008C561D">
        <w:rPr>
          <w:sz w:val="20"/>
        </w:rPr>
        <w:t>)</w:t>
      </w:r>
    </w:p>
    <w:p w:rsidR="008C561D" w:rsidRPr="008C561D" w:rsidRDefault="008C561D" w:rsidP="008C561D">
      <w:pPr>
        <w:ind w:left="360" w:hanging="360"/>
        <w:jc w:val="both"/>
        <w:rPr>
          <w:sz w:val="20"/>
        </w:rPr>
      </w:pPr>
    </w:p>
    <w:p w:rsidR="008C561D" w:rsidRPr="008C561D" w:rsidRDefault="008C561D" w:rsidP="008C561D">
      <w:pPr>
        <w:pStyle w:val="ListParagraph"/>
        <w:numPr>
          <w:ilvl w:val="0"/>
          <w:numId w:val="30"/>
        </w:numPr>
        <w:ind w:left="360"/>
        <w:jc w:val="both"/>
        <w:rPr>
          <w:sz w:val="20"/>
        </w:rPr>
      </w:pPr>
      <w:r w:rsidRPr="008C561D">
        <w:rPr>
          <w:i/>
          <w:sz w:val="20"/>
        </w:rPr>
        <w:t xml:space="preserve">T.M. v. Her Majesty the Queen </w:t>
      </w:r>
      <w:r w:rsidRPr="008C561D">
        <w:rPr>
          <w:sz w:val="20"/>
        </w:rPr>
        <w:t>(Ont.) (Criminal) (By Leave) (</w:t>
      </w:r>
      <w:hyperlink r:id="rId15" w:history="1">
        <w:r w:rsidRPr="00054F8E">
          <w:rPr>
            <w:rStyle w:val="Hyperlink"/>
            <w:sz w:val="20"/>
          </w:rPr>
          <w:t>36358</w:t>
        </w:r>
      </w:hyperlink>
      <w:r w:rsidRPr="008C561D">
        <w:rPr>
          <w:sz w:val="20"/>
        </w:rPr>
        <w:t>)</w:t>
      </w:r>
    </w:p>
    <w:p w:rsidR="008C561D" w:rsidRPr="008C561D" w:rsidRDefault="008C561D" w:rsidP="008C561D">
      <w:pPr>
        <w:ind w:left="360" w:hanging="360"/>
        <w:jc w:val="both"/>
        <w:rPr>
          <w:sz w:val="20"/>
        </w:rPr>
      </w:pPr>
    </w:p>
    <w:p w:rsidR="008C561D" w:rsidRPr="008C561D" w:rsidRDefault="008C561D" w:rsidP="008C561D">
      <w:pPr>
        <w:pStyle w:val="ListParagraph"/>
        <w:numPr>
          <w:ilvl w:val="0"/>
          <w:numId w:val="30"/>
        </w:numPr>
        <w:ind w:left="360"/>
        <w:jc w:val="both"/>
        <w:rPr>
          <w:sz w:val="20"/>
        </w:rPr>
      </w:pPr>
      <w:r w:rsidRPr="008C561D">
        <w:rPr>
          <w:i/>
          <w:sz w:val="20"/>
        </w:rPr>
        <w:t xml:space="preserve">Martin Green v. Hiep Tram et al. </w:t>
      </w:r>
      <w:r w:rsidRPr="008C561D">
        <w:rPr>
          <w:sz w:val="20"/>
        </w:rPr>
        <w:t>(Man.) (Civil) (By Leave) (</w:t>
      </w:r>
      <w:hyperlink r:id="rId16" w:history="1">
        <w:r w:rsidRPr="00054F8E">
          <w:rPr>
            <w:rStyle w:val="Hyperlink"/>
            <w:sz w:val="20"/>
          </w:rPr>
          <w:t>36339</w:t>
        </w:r>
      </w:hyperlink>
      <w:r w:rsidRPr="008C561D">
        <w:rPr>
          <w:sz w:val="20"/>
        </w:rPr>
        <w:t>)</w:t>
      </w:r>
    </w:p>
    <w:p w:rsidR="0054689F" w:rsidRPr="00AB5528" w:rsidRDefault="0054689F" w:rsidP="0080556B">
      <w:pPr>
        <w:ind w:left="360" w:hanging="360"/>
        <w:jc w:val="both"/>
        <w:rPr>
          <w:sz w:val="20"/>
        </w:rPr>
      </w:pPr>
    </w:p>
    <w:p w:rsidR="00157B04" w:rsidRPr="00392A88" w:rsidRDefault="00157B04" w:rsidP="00AC1250">
      <w:pPr>
        <w:ind w:left="360" w:hanging="360"/>
        <w:jc w:val="both"/>
        <w:rPr>
          <w:sz w:val="20"/>
        </w:rPr>
      </w:pPr>
    </w:p>
    <w:p w:rsidR="00157B04" w:rsidRPr="00392A88" w:rsidRDefault="00157B04" w:rsidP="00AC1250">
      <w:pPr>
        <w:ind w:left="360" w:hanging="36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96B84" w:rsidRPr="00996B84" w:rsidTr="00D01614">
        <w:tc>
          <w:tcPr>
            <w:tcW w:w="543" w:type="pct"/>
          </w:tcPr>
          <w:p w:rsidR="00996B84" w:rsidRPr="00996B84" w:rsidRDefault="00996B84" w:rsidP="00996B84">
            <w:pPr>
              <w:jc w:val="both"/>
              <w:rPr>
                <w:rFonts w:eastAsiaTheme="minorHAnsi"/>
                <w:sz w:val="20"/>
                <w:lang w:val="en-CA"/>
              </w:rPr>
            </w:pPr>
            <w:r w:rsidRPr="00392A88">
              <w:rPr>
                <w:rFonts w:eastAsiaTheme="minorHAnsi"/>
                <w:b/>
                <w:sz w:val="20"/>
                <w:lang w:val="en-CA"/>
              </w:rPr>
              <w:t>36321</w:t>
            </w:r>
          </w:p>
        </w:tc>
        <w:tc>
          <w:tcPr>
            <w:tcW w:w="4457" w:type="pct"/>
            <w:gridSpan w:val="3"/>
          </w:tcPr>
          <w:p w:rsidR="00996B84" w:rsidRPr="00996B84" w:rsidRDefault="00996B84" w:rsidP="00996B84">
            <w:pPr>
              <w:jc w:val="both"/>
              <w:rPr>
                <w:rFonts w:eastAsiaTheme="minorHAnsi"/>
                <w:b/>
                <w:sz w:val="20"/>
                <w:lang w:val="en-CA"/>
              </w:rPr>
            </w:pPr>
            <w:r w:rsidRPr="00996B84">
              <w:rPr>
                <w:rFonts w:eastAsiaTheme="minorHAnsi"/>
                <w:b/>
                <w:sz w:val="20"/>
                <w:lang w:val="en-CA"/>
              </w:rPr>
              <w:t>Udell So v. Her Majesty the Queen</w:t>
            </w:r>
          </w:p>
          <w:p w:rsidR="00996B84" w:rsidRPr="00996B84" w:rsidRDefault="00996B84" w:rsidP="00996B84">
            <w:pPr>
              <w:jc w:val="both"/>
              <w:rPr>
                <w:rFonts w:eastAsiaTheme="minorHAnsi"/>
                <w:sz w:val="20"/>
                <w:lang w:val="en-CA"/>
              </w:rPr>
            </w:pPr>
            <w:r w:rsidRPr="00996B84">
              <w:rPr>
                <w:rFonts w:eastAsiaTheme="minorHAnsi"/>
                <w:sz w:val="20"/>
                <w:lang w:val="en-CA"/>
              </w:rPr>
              <w:t>(Alta.) (Criminal) (By Leave)</w:t>
            </w:r>
          </w:p>
        </w:tc>
      </w:tr>
      <w:tr w:rsidR="00996B84" w:rsidRPr="00996B84" w:rsidTr="00D01614">
        <w:tc>
          <w:tcPr>
            <w:tcW w:w="5000" w:type="pct"/>
            <w:gridSpan w:val="4"/>
          </w:tcPr>
          <w:p w:rsidR="00996B84" w:rsidRPr="00996B84" w:rsidRDefault="00996B84" w:rsidP="00996B84">
            <w:pPr>
              <w:jc w:val="both"/>
              <w:rPr>
                <w:rFonts w:eastAsiaTheme="minorHAnsi"/>
                <w:sz w:val="20"/>
                <w:lang w:val="en-CA"/>
              </w:rPr>
            </w:pPr>
            <w:r w:rsidRPr="00996B84">
              <w:rPr>
                <w:rFonts w:eastAsiaTheme="minorHAnsi"/>
                <w:sz w:val="20"/>
                <w:lang w:val="en-CA"/>
              </w:rPr>
              <w:t xml:space="preserve">Criminal law – Evidence – Operating a motor vehicle with a blood alcohol content exceeding .08 – To rebut the statutory presumptions in s. 258(1) (c)of the </w:t>
            </w:r>
            <w:r w:rsidRPr="00996B84">
              <w:rPr>
                <w:rFonts w:eastAsiaTheme="minorHAnsi"/>
                <w:i/>
                <w:sz w:val="20"/>
                <w:lang w:val="en-CA"/>
              </w:rPr>
              <w:t xml:space="preserve">Criminal Code </w:t>
            </w:r>
            <w:r w:rsidRPr="00996B84">
              <w:rPr>
                <w:rFonts w:eastAsiaTheme="minorHAnsi"/>
                <w:sz w:val="20"/>
                <w:lang w:val="en-CA"/>
              </w:rPr>
              <w:t xml:space="preserve">an accused must establish to the reasonable doubt standard: (a) a deficiency in the functioning or operation of the instrument; and (b) that the deficiency directly related to the reliability of the breath test results – Whether the failure to comply with the operating procedures set out in the ATC Recommended Standards and Procedures and the Qualified Breath Technician Manual raise a doubt whether the approved instrument was operated improperly – Is evidence which raises a reasonable doubt whether the approved instrument was operated improperly sufficient to rebut the presumptions in s. 258(1)(c) of the </w:t>
            </w:r>
            <w:r w:rsidRPr="00996B84">
              <w:rPr>
                <w:rFonts w:eastAsiaTheme="minorHAnsi"/>
                <w:i/>
                <w:sz w:val="20"/>
                <w:lang w:val="en-CA"/>
              </w:rPr>
              <w:t>Criminal Code</w:t>
            </w:r>
            <w:r w:rsidRPr="00996B84">
              <w:rPr>
                <w:rFonts w:eastAsiaTheme="minorHAnsi"/>
                <w:sz w:val="20"/>
                <w:lang w:val="en-CA"/>
              </w:rPr>
              <w:t xml:space="preserve"> or must the accused also show that such improper operation relates directly to the reliability of the breath test results?</w:t>
            </w:r>
          </w:p>
          <w:p w:rsidR="00996B84" w:rsidRPr="00996B84" w:rsidRDefault="00996B84" w:rsidP="00996B84">
            <w:pPr>
              <w:jc w:val="both"/>
              <w:rPr>
                <w:rFonts w:eastAsiaTheme="minorHAnsi"/>
                <w:sz w:val="20"/>
                <w:lang w:val="en-CA"/>
              </w:rPr>
            </w:pPr>
          </w:p>
        </w:tc>
      </w:tr>
      <w:tr w:rsidR="00996B84" w:rsidRPr="00996B84" w:rsidTr="00D01614">
        <w:tc>
          <w:tcPr>
            <w:tcW w:w="5000" w:type="pct"/>
            <w:gridSpan w:val="4"/>
          </w:tcPr>
          <w:p w:rsidR="00996B84" w:rsidRPr="00996B84" w:rsidRDefault="00996B84" w:rsidP="00996B84">
            <w:pPr>
              <w:jc w:val="both"/>
              <w:rPr>
                <w:rFonts w:eastAsiaTheme="minorHAnsi"/>
                <w:sz w:val="20"/>
                <w:lang w:val="en-CA"/>
              </w:rPr>
            </w:pPr>
            <w:r w:rsidRPr="00996B84">
              <w:rPr>
                <w:rFonts w:eastAsiaTheme="minorHAnsi"/>
                <w:sz w:val="20"/>
                <w:lang w:val="en-CA"/>
              </w:rPr>
              <w:t>The applicant consumed nine alcoholic drinks between 18:00 and 02:00, followed by two slices of pizza. The applicant burped in the police car and in the holding room before each breath test, in each case unnoticed by the police.  Sampling was not additionally delayed as a consequence.  The Certificate of Analysis on his breath, sampled at 04:10 and 04:35, reported 140 mg/100 ml and 130 mg/100 ml of blood alcohol respectively.  The applicant was convicted of operating a motor vehicle with a blood alcohol content exceeding .08.  His conviction appeal was dismissed by the summary conviction appeal judge.  The Court of Appeal dismissed the applicant’s appeal.</w:t>
            </w:r>
          </w:p>
          <w:p w:rsidR="00996B84" w:rsidRPr="00996B84" w:rsidRDefault="00996B84" w:rsidP="00996B84">
            <w:pPr>
              <w:jc w:val="both"/>
              <w:rPr>
                <w:rFonts w:eastAsiaTheme="minorHAnsi"/>
                <w:sz w:val="20"/>
                <w:lang w:val="en-CA"/>
              </w:rPr>
            </w:pPr>
          </w:p>
        </w:tc>
      </w:tr>
      <w:tr w:rsidR="00996B84" w:rsidRPr="00996B84" w:rsidTr="00D01614">
        <w:tc>
          <w:tcPr>
            <w:tcW w:w="2427" w:type="pct"/>
            <w:gridSpan w:val="2"/>
          </w:tcPr>
          <w:p w:rsidR="00996B84" w:rsidRPr="00996B84" w:rsidRDefault="00996B84" w:rsidP="00996B84">
            <w:pPr>
              <w:jc w:val="both"/>
              <w:rPr>
                <w:rFonts w:eastAsiaTheme="minorHAnsi"/>
                <w:sz w:val="20"/>
                <w:lang w:val="en-CA"/>
              </w:rPr>
            </w:pPr>
            <w:r w:rsidRPr="00996B84">
              <w:rPr>
                <w:rFonts w:eastAsiaTheme="minorHAnsi"/>
                <w:sz w:val="20"/>
                <w:lang w:val="en-CA"/>
              </w:rPr>
              <w:t>April 18, 2013</w:t>
            </w:r>
          </w:p>
          <w:p w:rsidR="00996B84" w:rsidRPr="00996B84" w:rsidRDefault="00996B84" w:rsidP="00996B84">
            <w:pPr>
              <w:jc w:val="both"/>
              <w:rPr>
                <w:rFonts w:eastAsiaTheme="minorHAnsi"/>
                <w:sz w:val="20"/>
                <w:lang w:val="en-CA"/>
              </w:rPr>
            </w:pPr>
            <w:r w:rsidRPr="00996B84">
              <w:rPr>
                <w:rFonts w:eastAsiaTheme="minorHAnsi"/>
                <w:sz w:val="20"/>
                <w:lang w:val="en-CA"/>
              </w:rPr>
              <w:t>Provincial Court of Alberta</w:t>
            </w:r>
          </w:p>
          <w:p w:rsidR="00996B84" w:rsidRPr="00996B84" w:rsidRDefault="00996B84" w:rsidP="00996B84">
            <w:pPr>
              <w:jc w:val="both"/>
              <w:rPr>
                <w:rFonts w:eastAsiaTheme="minorHAnsi"/>
                <w:sz w:val="20"/>
                <w:lang w:val="en-CA"/>
              </w:rPr>
            </w:pPr>
            <w:r w:rsidRPr="00996B84">
              <w:rPr>
                <w:rFonts w:eastAsiaTheme="minorHAnsi"/>
                <w:sz w:val="20"/>
                <w:lang w:val="en-CA"/>
              </w:rPr>
              <w:t>(Tyndale P.C.J.)</w:t>
            </w:r>
          </w:p>
          <w:p w:rsidR="00996B84" w:rsidRPr="00996B84" w:rsidRDefault="00996B84" w:rsidP="00996B84">
            <w:pPr>
              <w:jc w:val="both"/>
              <w:rPr>
                <w:rFonts w:eastAsiaTheme="minorHAnsi"/>
                <w:sz w:val="20"/>
                <w:lang w:val="en-CA"/>
              </w:rPr>
            </w:pPr>
            <w:r w:rsidRPr="00996B84">
              <w:rPr>
                <w:rFonts w:eastAsiaTheme="minorHAnsi"/>
                <w:sz w:val="20"/>
                <w:lang w:val="en-CA"/>
              </w:rPr>
              <w:t>2013 ABPC 93</w:t>
            </w:r>
          </w:p>
          <w:p w:rsidR="00996B84" w:rsidRPr="00996B84" w:rsidRDefault="00F12DF5" w:rsidP="00996B84">
            <w:pPr>
              <w:jc w:val="both"/>
              <w:rPr>
                <w:rFonts w:eastAsiaTheme="minorHAnsi"/>
                <w:sz w:val="20"/>
                <w:lang w:val="en-CA"/>
              </w:rPr>
            </w:pPr>
            <w:hyperlink r:id="rId17" w:history="1">
              <w:r w:rsidR="00996B84" w:rsidRPr="00392A88">
                <w:rPr>
                  <w:rFonts w:eastAsiaTheme="minorHAnsi"/>
                  <w:color w:val="0000FF" w:themeColor="hyperlink"/>
                  <w:sz w:val="20"/>
                  <w:u w:val="single"/>
                  <w:lang w:val="en-CA"/>
                </w:rPr>
                <w:t>http://canlii.ca/t/fx9cq</w:t>
              </w:r>
            </w:hyperlink>
          </w:p>
          <w:p w:rsidR="00996B84" w:rsidRPr="00996B84" w:rsidRDefault="00996B84" w:rsidP="00996B84">
            <w:pPr>
              <w:jc w:val="both"/>
              <w:rPr>
                <w:rFonts w:eastAsiaTheme="minorHAnsi"/>
                <w:sz w:val="20"/>
                <w:lang w:val="en-CA"/>
              </w:rPr>
            </w:pPr>
          </w:p>
        </w:tc>
        <w:tc>
          <w:tcPr>
            <w:tcW w:w="243" w:type="pct"/>
          </w:tcPr>
          <w:p w:rsidR="00996B84" w:rsidRPr="00996B84" w:rsidRDefault="00996B84" w:rsidP="00996B84">
            <w:pPr>
              <w:jc w:val="both"/>
              <w:rPr>
                <w:rFonts w:eastAsiaTheme="minorHAnsi"/>
                <w:sz w:val="20"/>
                <w:lang w:val="en-CA"/>
              </w:rPr>
            </w:pPr>
          </w:p>
        </w:tc>
        <w:tc>
          <w:tcPr>
            <w:tcW w:w="2330" w:type="pct"/>
          </w:tcPr>
          <w:p w:rsidR="00996B84" w:rsidRPr="00996B84" w:rsidRDefault="00996B84" w:rsidP="00996B84">
            <w:pPr>
              <w:jc w:val="both"/>
              <w:rPr>
                <w:rFonts w:eastAsiaTheme="minorHAnsi"/>
                <w:sz w:val="20"/>
                <w:lang w:val="en-CA"/>
              </w:rPr>
            </w:pPr>
            <w:r w:rsidRPr="00996B84">
              <w:rPr>
                <w:rFonts w:eastAsiaTheme="minorHAnsi"/>
                <w:sz w:val="20"/>
                <w:lang w:val="en-CA"/>
              </w:rPr>
              <w:t>Conviction: operating a motor vehicle with a blood alcohol content exceeding .08</w:t>
            </w:r>
          </w:p>
          <w:p w:rsidR="00996B84" w:rsidRPr="00996B84" w:rsidRDefault="00996B84" w:rsidP="00996B84">
            <w:pPr>
              <w:jc w:val="both"/>
              <w:rPr>
                <w:rFonts w:eastAsiaTheme="minorHAnsi"/>
                <w:sz w:val="20"/>
                <w:lang w:val="en-CA"/>
              </w:rPr>
            </w:pPr>
          </w:p>
        </w:tc>
      </w:tr>
      <w:tr w:rsidR="00996B84" w:rsidRPr="00996B84" w:rsidTr="00D01614">
        <w:tc>
          <w:tcPr>
            <w:tcW w:w="2427" w:type="pct"/>
            <w:gridSpan w:val="2"/>
          </w:tcPr>
          <w:p w:rsidR="00996B84" w:rsidRPr="00996B84" w:rsidRDefault="00996B84" w:rsidP="00996B84">
            <w:pPr>
              <w:jc w:val="both"/>
              <w:rPr>
                <w:rFonts w:eastAsiaTheme="minorHAnsi"/>
                <w:sz w:val="20"/>
                <w:lang w:val="en-CA"/>
              </w:rPr>
            </w:pPr>
            <w:r w:rsidRPr="00996B84">
              <w:rPr>
                <w:rFonts w:eastAsiaTheme="minorHAnsi"/>
                <w:sz w:val="20"/>
                <w:lang w:val="en-CA"/>
              </w:rPr>
              <w:t>September 20, 2013</w:t>
            </w:r>
          </w:p>
          <w:p w:rsidR="00996B84" w:rsidRPr="00996B84" w:rsidRDefault="00996B84" w:rsidP="00996B84">
            <w:pPr>
              <w:jc w:val="both"/>
              <w:rPr>
                <w:rFonts w:eastAsiaTheme="minorHAnsi"/>
                <w:sz w:val="20"/>
                <w:lang w:val="en-CA"/>
              </w:rPr>
            </w:pPr>
            <w:r w:rsidRPr="00996B84">
              <w:rPr>
                <w:rFonts w:eastAsiaTheme="minorHAnsi"/>
                <w:sz w:val="20"/>
                <w:lang w:val="en-CA"/>
              </w:rPr>
              <w:t>Court of Queen’s Bench of Alberta</w:t>
            </w:r>
          </w:p>
          <w:p w:rsidR="00996B84" w:rsidRPr="00996B84" w:rsidRDefault="00996B84" w:rsidP="00996B84">
            <w:pPr>
              <w:jc w:val="both"/>
              <w:rPr>
                <w:rFonts w:eastAsiaTheme="minorHAnsi"/>
                <w:sz w:val="20"/>
                <w:lang w:val="en-CA"/>
              </w:rPr>
            </w:pPr>
            <w:r w:rsidRPr="00996B84">
              <w:rPr>
                <w:rFonts w:eastAsiaTheme="minorHAnsi"/>
                <w:sz w:val="20"/>
                <w:lang w:val="en-CA"/>
              </w:rPr>
              <w:t>(Wilson J.)</w:t>
            </w:r>
          </w:p>
          <w:p w:rsidR="00996B84" w:rsidRPr="00996B84" w:rsidRDefault="00996B84" w:rsidP="00996B84">
            <w:pPr>
              <w:jc w:val="both"/>
              <w:rPr>
                <w:rFonts w:eastAsiaTheme="minorHAnsi"/>
                <w:sz w:val="20"/>
                <w:lang w:val="en-CA"/>
              </w:rPr>
            </w:pPr>
            <w:r w:rsidRPr="00996B84">
              <w:rPr>
                <w:rFonts w:eastAsiaTheme="minorHAnsi"/>
                <w:sz w:val="20"/>
                <w:lang w:val="en-CA"/>
              </w:rPr>
              <w:t>2013 ABQB 549</w:t>
            </w:r>
          </w:p>
          <w:p w:rsidR="00996B84" w:rsidRPr="00996B84" w:rsidRDefault="00F12DF5" w:rsidP="00996B84">
            <w:pPr>
              <w:jc w:val="both"/>
              <w:rPr>
                <w:rFonts w:eastAsiaTheme="minorHAnsi"/>
                <w:sz w:val="20"/>
                <w:lang w:val="en-CA"/>
              </w:rPr>
            </w:pPr>
            <w:hyperlink r:id="rId18" w:history="1">
              <w:r w:rsidR="00996B84" w:rsidRPr="00392A88">
                <w:rPr>
                  <w:rFonts w:eastAsiaTheme="minorHAnsi"/>
                  <w:color w:val="0000FF" w:themeColor="hyperlink"/>
                  <w:sz w:val="20"/>
                  <w:u w:val="single"/>
                  <w:lang w:val="en-CA"/>
                </w:rPr>
                <w:t>http://canlii.ca/t/g0ttw</w:t>
              </w:r>
            </w:hyperlink>
          </w:p>
          <w:p w:rsidR="00996B84" w:rsidRPr="00996B84" w:rsidRDefault="00996B84" w:rsidP="00996B84">
            <w:pPr>
              <w:jc w:val="both"/>
              <w:rPr>
                <w:rFonts w:eastAsiaTheme="minorHAnsi"/>
                <w:sz w:val="20"/>
                <w:lang w:val="en-CA"/>
              </w:rPr>
            </w:pPr>
          </w:p>
        </w:tc>
        <w:tc>
          <w:tcPr>
            <w:tcW w:w="243" w:type="pct"/>
          </w:tcPr>
          <w:p w:rsidR="00996B84" w:rsidRPr="00996B84" w:rsidRDefault="00996B84" w:rsidP="00996B84">
            <w:pPr>
              <w:jc w:val="both"/>
              <w:rPr>
                <w:rFonts w:eastAsiaTheme="minorHAnsi"/>
                <w:sz w:val="20"/>
                <w:lang w:val="en-CA"/>
              </w:rPr>
            </w:pPr>
          </w:p>
        </w:tc>
        <w:tc>
          <w:tcPr>
            <w:tcW w:w="2330" w:type="pct"/>
          </w:tcPr>
          <w:p w:rsidR="00996B84" w:rsidRPr="00996B84" w:rsidRDefault="00996B84" w:rsidP="00996B84">
            <w:pPr>
              <w:jc w:val="both"/>
              <w:rPr>
                <w:rFonts w:eastAsiaTheme="minorHAnsi"/>
                <w:sz w:val="20"/>
                <w:lang w:val="en-CA"/>
              </w:rPr>
            </w:pPr>
            <w:r w:rsidRPr="00996B84">
              <w:rPr>
                <w:rFonts w:eastAsiaTheme="minorHAnsi"/>
                <w:sz w:val="20"/>
                <w:lang w:val="en-CA"/>
              </w:rPr>
              <w:t>Conviction appeal dismissed</w:t>
            </w:r>
          </w:p>
          <w:p w:rsidR="00996B84" w:rsidRPr="00996B84" w:rsidRDefault="00996B84" w:rsidP="00996B84">
            <w:pPr>
              <w:jc w:val="both"/>
              <w:rPr>
                <w:rFonts w:eastAsiaTheme="minorHAnsi"/>
                <w:sz w:val="20"/>
                <w:lang w:val="en-CA"/>
              </w:rPr>
            </w:pPr>
          </w:p>
        </w:tc>
      </w:tr>
      <w:tr w:rsidR="00996B84" w:rsidRPr="00996B84" w:rsidTr="00D01614">
        <w:tc>
          <w:tcPr>
            <w:tcW w:w="2427" w:type="pct"/>
            <w:gridSpan w:val="2"/>
          </w:tcPr>
          <w:p w:rsidR="00996B84" w:rsidRPr="00996B84" w:rsidRDefault="00996B84" w:rsidP="00996B84">
            <w:pPr>
              <w:jc w:val="both"/>
              <w:rPr>
                <w:rFonts w:eastAsiaTheme="minorHAnsi"/>
                <w:sz w:val="20"/>
                <w:lang w:val="en-CA"/>
              </w:rPr>
            </w:pPr>
            <w:r w:rsidRPr="00996B84">
              <w:rPr>
                <w:rFonts w:eastAsiaTheme="minorHAnsi"/>
                <w:sz w:val="20"/>
                <w:lang w:val="en-CA"/>
              </w:rPr>
              <w:t xml:space="preserve">December 20, 2014 </w:t>
            </w:r>
          </w:p>
          <w:p w:rsidR="00996B84" w:rsidRPr="00996B84" w:rsidRDefault="00996B84" w:rsidP="00996B84">
            <w:pPr>
              <w:jc w:val="both"/>
              <w:rPr>
                <w:rFonts w:eastAsiaTheme="minorHAnsi"/>
                <w:sz w:val="20"/>
                <w:lang w:val="en-CA"/>
              </w:rPr>
            </w:pPr>
            <w:r w:rsidRPr="00996B84">
              <w:rPr>
                <w:rFonts w:eastAsiaTheme="minorHAnsi"/>
                <w:sz w:val="20"/>
                <w:lang w:val="en-CA"/>
              </w:rPr>
              <w:t>Court of Appeal of Alberta (Calgary)</w:t>
            </w:r>
          </w:p>
          <w:p w:rsidR="00996B84" w:rsidRPr="00996B84" w:rsidRDefault="00996B84" w:rsidP="00996B84">
            <w:pPr>
              <w:jc w:val="both"/>
              <w:rPr>
                <w:rFonts w:eastAsiaTheme="minorHAnsi"/>
                <w:sz w:val="20"/>
                <w:lang w:val="en-CA"/>
              </w:rPr>
            </w:pPr>
            <w:r w:rsidRPr="00996B84">
              <w:rPr>
                <w:rFonts w:eastAsiaTheme="minorHAnsi"/>
                <w:sz w:val="20"/>
                <w:lang w:val="en-CA"/>
              </w:rPr>
              <w:t>(O’Ferrall J.A.)</w:t>
            </w:r>
          </w:p>
          <w:p w:rsidR="00996B84" w:rsidRPr="00996B84" w:rsidRDefault="00996B84" w:rsidP="00996B84">
            <w:pPr>
              <w:jc w:val="both"/>
              <w:rPr>
                <w:rFonts w:eastAsiaTheme="minorHAnsi"/>
                <w:sz w:val="20"/>
                <w:lang w:val="en-CA"/>
              </w:rPr>
            </w:pPr>
            <w:r w:rsidRPr="00996B84">
              <w:rPr>
                <w:rFonts w:eastAsiaTheme="minorHAnsi"/>
                <w:sz w:val="20"/>
                <w:lang w:val="en-CA"/>
              </w:rPr>
              <w:t>2013 ABCA 433</w:t>
            </w:r>
          </w:p>
          <w:p w:rsidR="00996B84" w:rsidRPr="00392A88" w:rsidRDefault="00F12DF5" w:rsidP="00996B84">
            <w:pPr>
              <w:jc w:val="both"/>
              <w:rPr>
                <w:rFonts w:eastAsiaTheme="minorHAnsi"/>
                <w:sz w:val="20"/>
                <w:lang w:val="en-CA"/>
              </w:rPr>
            </w:pPr>
            <w:hyperlink r:id="rId19" w:history="1">
              <w:r w:rsidR="00996B84" w:rsidRPr="00392A88">
                <w:rPr>
                  <w:rFonts w:eastAsiaTheme="minorHAnsi"/>
                  <w:color w:val="0000FF" w:themeColor="hyperlink"/>
                  <w:sz w:val="20"/>
                  <w:u w:val="single"/>
                  <w:lang w:val="en-CA"/>
                </w:rPr>
                <w:t>http://canlii.ca/t/g2fl9</w:t>
              </w:r>
            </w:hyperlink>
          </w:p>
          <w:p w:rsidR="00996B84" w:rsidRPr="00996B84" w:rsidRDefault="00996B84" w:rsidP="00996B84">
            <w:pPr>
              <w:jc w:val="both"/>
              <w:rPr>
                <w:rFonts w:eastAsiaTheme="minorHAnsi"/>
                <w:sz w:val="20"/>
                <w:lang w:val="en-CA"/>
              </w:rPr>
            </w:pPr>
          </w:p>
        </w:tc>
        <w:tc>
          <w:tcPr>
            <w:tcW w:w="243" w:type="pct"/>
          </w:tcPr>
          <w:p w:rsidR="00996B84" w:rsidRPr="00996B84" w:rsidRDefault="00996B84" w:rsidP="00996B84">
            <w:pPr>
              <w:jc w:val="both"/>
              <w:rPr>
                <w:rFonts w:eastAsiaTheme="minorHAnsi"/>
                <w:sz w:val="20"/>
                <w:lang w:val="en-CA"/>
              </w:rPr>
            </w:pPr>
          </w:p>
        </w:tc>
        <w:tc>
          <w:tcPr>
            <w:tcW w:w="2330" w:type="pct"/>
          </w:tcPr>
          <w:p w:rsidR="00996B84" w:rsidRPr="00996B84" w:rsidRDefault="00996B84" w:rsidP="00996B84">
            <w:pPr>
              <w:jc w:val="both"/>
              <w:rPr>
                <w:rFonts w:eastAsiaTheme="minorHAnsi"/>
                <w:sz w:val="20"/>
                <w:lang w:val="en-CA"/>
              </w:rPr>
            </w:pPr>
            <w:r w:rsidRPr="00996B84">
              <w:rPr>
                <w:rFonts w:eastAsiaTheme="minorHAnsi"/>
                <w:sz w:val="20"/>
                <w:lang w:val="en-CA"/>
              </w:rPr>
              <w:t>Leave to appeal to the Court of Appeal granted</w:t>
            </w:r>
          </w:p>
          <w:p w:rsidR="00996B84" w:rsidRPr="00996B84" w:rsidRDefault="00996B84" w:rsidP="00996B84">
            <w:pPr>
              <w:jc w:val="both"/>
              <w:rPr>
                <w:rFonts w:eastAsiaTheme="minorHAnsi"/>
                <w:sz w:val="20"/>
                <w:lang w:val="en-CA"/>
              </w:rPr>
            </w:pPr>
          </w:p>
        </w:tc>
      </w:tr>
      <w:tr w:rsidR="00996B84" w:rsidRPr="00996B84" w:rsidTr="00D01614">
        <w:tc>
          <w:tcPr>
            <w:tcW w:w="2427" w:type="pct"/>
            <w:gridSpan w:val="2"/>
          </w:tcPr>
          <w:p w:rsidR="00996B84" w:rsidRPr="00996B84" w:rsidRDefault="00996B84" w:rsidP="00996B84">
            <w:pPr>
              <w:jc w:val="both"/>
              <w:rPr>
                <w:rFonts w:eastAsiaTheme="minorHAnsi"/>
                <w:sz w:val="20"/>
                <w:lang w:val="en-CA"/>
              </w:rPr>
            </w:pPr>
            <w:r w:rsidRPr="00996B84">
              <w:rPr>
                <w:rFonts w:eastAsiaTheme="minorHAnsi"/>
                <w:sz w:val="20"/>
                <w:lang w:val="en-CA"/>
              </w:rPr>
              <w:t>December 23, 2014</w:t>
            </w:r>
          </w:p>
          <w:p w:rsidR="00996B84" w:rsidRPr="00996B84" w:rsidRDefault="00996B84" w:rsidP="00996B84">
            <w:pPr>
              <w:jc w:val="both"/>
              <w:rPr>
                <w:rFonts w:eastAsiaTheme="minorHAnsi"/>
                <w:sz w:val="20"/>
                <w:lang w:val="en-CA"/>
              </w:rPr>
            </w:pPr>
            <w:r w:rsidRPr="00996B84">
              <w:rPr>
                <w:rFonts w:eastAsiaTheme="minorHAnsi"/>
                <w:sz w:val="20"/>
                <w:lang w:val="en-CA"/>
              </w:rPr>
              <w:t>Court of Appeal of Alberta (Calgary)</w:t>
            </w:r>
          </w:p>
          <w:p w:rsidR="00996B84" w:rsidRPr="00996B84" w:rsidRDefault="00996B84" w:rsidP="00996B84">
            <w:pPr>
              <w:jc w:val="both"/>
              <w:rPr>
                <w:rFonts w:eastAsiaTheme="minorHAnsi"/>
                <w:sz w:val="20"/>
                <w:lang w:val="en-CA"/>
              </w:rPr>
            </w:pPr>
            <w:r w:rsidRPr="00996B84">
              <w:rPr>
                <w:rFonts w:eastAsiaTheme="minorHAnsi"/>
                <w:sz w:val="20"/>
                <w:lang w:val="en-CA"/>
              </w:rPr>
              <w:t>(Côté, Rowbotham, Jeffrey JJ.A.)</w:t>
            </w:r>
          </w:p>
          <w:p w:rsidR="00996B84" w:rsidRPr="00996B84" w:rsidRDefault="00996B84" w:rsidP="00996B84">
            <w:pPr>
              <w:jc w:val="both"/>
              <w:rPr>
                <w:rFonts w:eastAsiaTheme="minorHAnsi"/>
                <w:sz w:val="20"/>
                <w:lang w:val="en-CA"/>
              </w:rPr>
            </w:pPr>
            <w:r w:rsidRPr="00996B84">
              <w:rPr>
                <w:rFonts w:eastAsiaTheme="minorHAnsi"/>
                <w:sz w:val="20"/>
                <w:lang w:val="en-CA"/>
              </w:rPr>
              <w:t>2014 ABCA 451, 1301-0274-A</w:t>
            </w:r>
          </w:p>
          <w:p w:rsidR="00996B84" w:rsidRPr="00392A88" w:rsidRDefault="00F12DF5" w:rsidP="00996B84">
            <w:pPr>
              <w:jc w:val="both"/>
              <w:rPr>
                <w:rFonts w:eastAsiaTheme="minorHAnsi"/>
                <w:sz w:val="20"/>
                <w:lang w:val="en-CA"/>
              </w:rPr>
            </w:pPr>
            <w:hyperlink r:id="rId20" w:history="1">
              <w:r w:rsidR="00996B84" w:rsidRPr="00392A88">
                <w:rPr>
                  <w:rFonts w:eastAsiaTheme="minorHAnsi"/>
                  <w:color w:val="0000FF" w:themeColor="hyperlink"/>
                  <w:sz w:val="20"/>
                  <w:u w:val="single"/>
                  <w:lang w:val="en-CA"/>
                </w:rPr>
                <w:t>http://canlii.ca/t/gfr66</w:t>
              </w:r>
            </w:hyperlink>
          </w:p>
          <w:p w:rsidR="00996B84" w:rsidRPr="00996B84" w:rsidRDefault="00996B84" w:rsidP="00996B84">
            <w:pPr>
              <w:jc w:val="both"/>
              <w:rPr>
                <w:rFonts w:eastAsiaTheme="minorHAnsi"/>
                <w:sz w:val="20"/>
                <w:lang w:val="en-CA"/>
              </w:rPr>
            </w:pPr>
          </w:p>
        </w:tc>
        <w:tc>
          <w:tcPr>
            <w:tcW w:w="243" w:type="pct"/>
          </w:tcPr>
          <w:p w:rsidR="00996B84" w:rsidRPr="00996B84" w:rsidRDefault="00996B84" w:rsidP="00996B84">
            <w:pPr>
              <w:jc w:val="both"/>
              <w:rPr>
                <w:rFonts w:eastAsiaTheme="minorHAnsi"/>
                <w:sz w:val="20"/>
                <w:lang w:val="en-CA"/>
              </w:rPr>
            </w:pPr>
          </w:p>
        </w:tc>
        <w:tc>
          <w:tcPr>
            <w:tcW w:w="2330" w:type="pct"/>
          </w:tcPr>
          <w:p w:rsidR="00996B84" w:rsidRPr="00996B84" w:rsidRDefault="00996B84" w:rsidP="00996B84">
            <w:pPr>
              <w:jc w:val="both"/>
              <w:rPr>
                <w:rFonts w:eastAsiaTheme="minorHAnsi"/>
                <w:sz w:val="20"/>
                <w:lang w:val="en-CA"/>
              </w:rPr>
            </w:pPr>
            <w:r w:rsidRPr="00996B84">
              <w:rPr>
                <w:rFonts w:eastAsiaTheme="minorHAnsi"/>
                <w:sz w:val="20"/>
                <w:lang w:val="en-CA"/>
              </w:rPr>
              <w:t>Appeal dismissed</w:t>
            </w:r>
          </w:p>
          <w:p w:rsidR="00996B84" w:rsidRPr="00996B84" w:rsidRDefault="00996B84" w:rsidP="00996B84">
            <w:pPr>
              <w:jc w:val="both"/>
              <w:rPr>
                <w:rFonts w:eastAsiaTheme="minorHAnsi"/>
                <w:sz w:val="20"/>
                <w:lang w:val="en-CA"/>
              </w:rPr>
            </w:pPr>
          </w:p>
        </w:tc>
      </w:tr>
      <w:tr w:rsidR="00996B84" w:rsidRPr="00996B84" w:rsidTr="00D01614">
        <w:tc>
          <w:tcPr>
            <w:tcW w:w="2427" w:type="pct"/>
            <w:gridSpan w:val="2"/>
          </w:tcPr>
          <w:p w:rsidR="00996B84" w:rsidRPr="00996B84" w:rsidRDefault="00996B84" w:rsidP="00996B84">
            <w:pPr>
              <w:jc w:val="both"/>
              <w:rPr>
                <w:rFonts w:eastAsiaTheme="minorHAnsi"/>
                <w:sz w:val="20"/>
                <w:lang w:val="en-CA"/>
              </w:rPr>
            </w:pPr>
            <w:r w:rsidRPr="00996B84">
              <w:rPr>
                <w:rFonts w:eastAsiaTheme="minorHAnsi"/>
                <w:sz w:val="20"/>
                <w:lang w:val="en-CA"/>
              </w:rPr>
              <w:t>February 23, 2015</w:t>
            </w:r>
          </w:p>
          <w:p w:rsidR="00996B84" w:rsidRPr="00996B84" w:rsidRDefault="00996B84" w:rsidP="00996B84">
            <w:pPr>
              <w:jc w:val="both"/>
              <w:rPr>
                <w:rFonts w:eastAsiaTheme="minorHAnsi"/>
                <w:sz w:val="20"/>
                <w:lang w:val="en-CA"/>
              </w:rPr>
            </w:pPr>
            <w:r w:rsidRPr="00996B84">
              <w:rPr>
                <w:rFonts w:eastAsiaTheme="minorHAnsi"/>
                <w:sz w:val="20"/>
                <w:lang w:val="en-CA"/>
              </w:rPr>
              <w:lastRenderedPageBreak/>
              <w:t>Supreme Court of Canada</w:t>
            </w:r>
          </w:p>
        </w:tc>
        <w:tc>
          <w:tcPr>
            <w:tcW w:w="243" w:type="pct"/>
          </w:tcPr>
          <w:p w:rsidR="00996B84" w:rsidRPr="00996B84" w:rsidRDefault="00996B84" w:rsidP="00996B84">
            <w:pPr>
              <w:jc w:val="both"/>
              <w:rPr>
                <w:rFonts w:eastAsiaTheme="minorHAnsi"/>
                <w:sz w:val="20"/>
                <w:lang w:val="en-CA"/>
              </w:rPr>
            </w:pPr>
          </w:p>
        </w:tc>
        <w:tc>
          <w:tcPr>
            <w:tcW w:w="2330" w:type="pct"/>
          </w:tcPr>
          <w:p w:rsidR="00996B84" w:rsidRPr="00996B84" w:rsidRDefault="00996B84" w:rsidP="00996B84">
            <w:pPr>
              <w:jc w:val="both"/>
              <w:rPr>
                <w:rFonts w:eastAsiaTheme="minorHAnsi"/>
                <w:sz w:val="20"/>
                <w:lang w:val="en-CA"/>
              </w:rPr>
            </w:pPr>
            <w:r w:rsidRPr="00996B84">
              <w:rPr>
                <w:rFonts w:eastAsiaTheme="minorHAnsi"/>
                <w:sz w:val="20"/>
                <w:lang w:val="en-CA"/>
              </w:rPr>
              <w:t>Application for leave to appeal filed</w:t>
            </w:r>
          </w:p>
          <w:p w:rsidR="00996B84" w:rsidRPr="00996B84" w:rsidRDefault="00996B84" w:rsidP="00996B84">
            <w:pPr>
              <w:jc w:val="both"/>
              <w:rPr>
                <w:rFonts w:eastAsiaTheme="minorHAnsi"/>
                <w:sz w:val="20"/>
                <w:lang w:val="en-CA"/>
              </w:rPr>
            </w:pPr>
          </w:p>
        </w:tc>
      </w:tr>
    </w:tbl>
    <w:p w:rsidR="00996B84" w:rsidRPr="00996B84" w:rsidRDefault="00996B84" w:rsidP="00996B84">
      <w:pPr>
        <w:jc w:val="both"/>
        <w:rPr>
          <w:rFonts w:eastAsiaTheme="minorHAnsi"/>
          <w:sz w:val="20"/>
          <w:lang w:val="en-CA"/>
        </w:rPr>
      </w:pPr>
    </w:p>
    <w:p w:rsidR="00996B84" w:rsidRPr="00392A88" w:rsidRDefault="00996B84" w:rsidP="00AC1250">
      <w:pPr>
        <w:ind w:left="360" w:hanging="360"/>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96B84" w:rsidRPr="00996B84" w:rsidTr="00D01614">
        <w:tc>
          <w:tcPr>
            <w:tcW w:w="543" w:type="pct"/>
          </w:tcPr>
          <w:p w:rsidR="00996B84" w:rsidRPr="00996B84" w:rsidRDefault="00996B84" w:rsidP="00996B84">
            <w:pPr>
              <w:jc w:val="both"/>
              <w:rPr>
                <w:rFonts w:eastAsiaTheme="minorHAnsi"/>
                <w:sz w:val="20"/>
                <w:lang w:val="fr-CA"/>
              </w:rPr>
            </w:pPr>
            <w:r w:rsidRPr="00392A88">
              <w:rPr>
                <w:rFonts w:eastAsiaTheme="minorHAnsi"/>
                <w:b/>
                <w:sz w:val="20"/>
                <w:lang w:val="fr-CA"/>
              </w:rPr>
              <w:t>36321</w:t>
            </w:r>
          </w:p>
        </w:tc>
        <w:tc>
          <w:tcPr>
            <w:tcW w:w="4457" w:type="pct"/>
            <w:gridSpan w:val="3"/>
          </w:tcPr>
          <w:p w:rsidR="00996B84" w:rsidRPr="00996B84" w:rsidRDefault="00996B84" w:rsidP="00996B84">
            <w:pPr>
              <w:jc w:val="both"/>
              <w:rPr>
                <w:rFonts w:eastAsiaTheme="minorHAnsi"/>
                <w:b/>
                <w:sz w:val="20"/>
                <w:lang w:val="fr-CA"/>
              </w:rPr>
            </w:pPr>
            <w:r w:rsidRPr="00996B84">
              <w:rPr>
                <w:rFonts w:eastAsiaTheme="minorHAnsi"/>
                <w:b/>
                <w:sz w:val="20"/>
                <w:lang w:val="fr-CA"/>
              </w:rPr>
              <w:t>Udell So c. Sa Majesté la Reine</w:t>
            </w:r>
          </w:p>
          <w:p w:rsidR="00996B84" w:rsidRPr="00996B84" w:rsidRDefault="00996B84" w:rsidP="00996B84">
            <w:pPr>
              <w:jc w:val="both"/>
              <w:rPr>
                <w:rFonts w:eastAsiaTheme="minorHAnsi"/>
                <w:sz w:val="20"/>
                <w:lang w:val="fr-CA"/>
              </w:rPr>
            </w:pPr>
            <w:r w:rsidRPr="00996B84">
              <w:rPr>
                <w:rFonts w:eastAsiaTheme="minorHAnsi"/>
                <w:sz w:val="20"/>
                <w:lang w:val="fr-CA"/>
              </w:rPr>
              <w:t>(Alb.) (Criminelle) (Sur autorisation)</w:t>
            </w:r>
          </w:p>
        </w:tc>
      </w:tr>
      <w:tr w:rsidR="00996B84" w:rsidRPr="00F12DF5" w:rsidTr="00D01614">
        <w:tc>
          <w:tcPr>
            <w:tcW w:w="5000" w:type="pct"/>
            <w:gridSpan w:val="4"/>
          </w:tcPr>
          <w:p w:rsidR="00996B84" w:rsidRPr="00996B84" w:rsidRDefault="00996B84" w:rsidP="00996B84">
            <w:pPr>
              <w:jc w:val="both"/>
              <w:rPr>
                <w:rFonts w:eastAsiaTheme="minorHAnsi"/>
                <w:sz w:val="20"/>
                <w:lang w:val="fr-CA"/>
              </w:rPr>
            </w:pPr>
            <w:r w:rsidRPr="00996B84">
              <w:rPr>
                <w:rFonts w:eastAsiaTheme="minorHAnsi"/>
                <w:sz w:val="20"/>
                <w:lang w:val="fr-CA"/>
              </w:rPr>
              <w:t>Droit criminel – Preuve – Conduite d'un véhicule à moteur avec une alcoolémie supérieure à 0,08 – Pour réfuter les présomptions légales établies à l’al. 258(1)</w:t>
            </w:r>
            <w:r w:rsidRPr="00996B84">
              <w:rPr>
                <w:rFonts w:eastAsiaTheme="minorHAnsi"/>
                <w:i/>
                <w:sz w:val="20"/>
                <w:lang w:val="fr-CA"/>
              </w:rPr>
              <w:t>c</w:t>
            </w:r>
            <w:r w:rsidRPr="00996B84">
              <w:rPr>
                <w:rFonts w:eastAsiaTheme="minorHAnsi"/>
                <w:sz w:val="20"/>
                <w:lang w:val="fr-CA"/>
              </w:rPr>
              <w:t>) du</w:t>
            </w:r>
            <w:r w:rsidRPr="00996B84">
              <w:rPr>
                <w:rFonts w:eastAsiaTheme="minorHAnsi"/>
                <w:i/>
                <w:sz w:val="20"/>
                <w:lang w:val="fr-CA"/>
              </w:rPr>
              <w:t xml:space="preserve"> Code criminel</w:t>
            </w:r>
            <w:r w:rsidRPr="00996B84">
              <w:rPr>
                <w:rFonts w:eastAsiaTheme="minorHAnsi"/>
                <w:sz w:val="20"/>
                <w:lang w:val="fr-CA"/>
              </w:rPr>
              <w:t xml:space="preserve">, l’accusé doit établir, suivant la norme du doute raisonnable : a) une défaillance dans le fonctionnement ou l’utilisation de l’appareil et b) que la défaillance était directement liée à la fiabilité des résultats de l’alcootest – Le non-respect des Normes et procédures recommandées par le Comité des analyses d’alcool et du manuel du technicien qualifié en éthylométrie soulève-t-il un doute quant à savoir si l’appareil approuvé avait été mal utilisé? – Un élément de preuve qui soulève un doute raisonnable quant à savoir si l’appareil approuvé a été mal utilisé est-il suffisant pour réfuter les présomptions établies à l’al. 258(1) </w:t>
            </w:r>
            <w:r w:rsidRPr="00996B84">
              <w:rPr>
                <w:rFonts w:eastAsiaTheme="minorHAnsi"/>
                <w:i/>
                <w:sz w:val="20"/>
                <w:lang w:val="fr-CA"/>
              </w:rPr>
              <w:t>c</w:t>
            </w:r>
            <w:r w:rsidRPr="00996B84">
              <w:rPr>
                <w:rFonts w:eastAsiaTheme="minorHAnsi"/>
                <w:sz w:val="20"/>
                <w:lang w:val="fr-CA"/>
              </w:rPr>
              <w:t>) du</w:t>
            </w:r>
            <w:r w:rsidRPr="00996B84">
              <w:rPr>
                <w:rFonts w:eastAsiaTheme="minorHAnsi"/>
                <w:i/>
                <w:sz w:val="20"/>
                <w:lang w:val="fr-CA"/>
              </w:rPr>
              <w:t xml:space="preserve"> Code criminel</w:t>
            </w:r>
            <w:r w:rsidRPr="00996B84">
              <w:rPr>
                <w:rFonts w:eastAsiaTheme="minorHAnsi"/>
                <w:sz w:val="20"/>
                <w:lang w:val="fr-CA"/>
              </w:rPr>
              <w:t>, ou bien est-ce que l’accusé doit également établir que la mauvaise utilisation est directement liée à la fiabilité des résultats de l’alcootest?</w:t>
            </w:r>
          </w:p>
          <w:p w:rsidR="00996B84" w:rsidRPr="00996B84" w:rsidRDefault="00996B84" w:rsidP="00996B84">
            <w:pPr>
              <w:jc w:val="both"/>
              <w:rPr>
                <w:rFonts w:eastAsiaTheme="minorHAnsi"/>
                <w:sz w:val="20"/>
                <w:lang w:val="fr-CA"/>
              </w:rPr>
            </w:pPr>
          </w:p>
        </w:tc>
      </w:tr>
      <w:tr w:rsidR="00996B84" w:rsidRPr="00996B84" w:rsidTr="00D01614">
        <w:tc>
          <w:tcPr>
            <w:tcW w:w="5000" w:type="pct"/>
            <w:gridSpan w:val="4"/>
          </w:tcPr>
          <w:p w:rsidR="00996B84" w:rsidRPr="00996B84" w:rsidRDefault="00996B84" w:rsidP="00996B84">
            <w:pPr>
              <w:jc w:val="both"/>
              <w:rPr>
                <w:rFonts w:eastAsiaTheme="minorHAnsi"/>
                <w:sz w:val="20"/>
                <w:lang w:val="fr-CA"/>
              </w:rPr>
            </w:pPr>
            <w:r w:rsidRPr="00996B84">
              <w:rPr>
                <w:rFonts w:eastAsiaTheme="minorHAnsi"/>
                <w:sz w:val="20"/>
                <w:lang w:val="fr-CA"/>
              </w:rPr>
              <w:t>Le demandeur a consommé neuf boissons alcoolisées entre 18 h et 2 h, après quoi il a mangé deux pointes de pizza.  Avant chaque épreuve de dépistage et sans que les policiers ne s’en rendent compte dans les deux cas, le demandeur a éructé dans l’auto-patrouille et dans la salle de transit.  L’échantillonnage n’a pas été retardé pour autant.  Le certificat d’analyse de son haleine, échantillonné à 4 h 10 et à 4 h 35, indiquait une alcoolémie de 144 mg par 100 ml et de 130 mg par 100 ml, respectivement.  Le demandeur a été déclaré coupable de conduite d’un véhicule à moteur avec une alcoolémie supérieure à 0,08.  Le juge de la cour d’appel des poursuites sommaires a rejeté l’appel de la déclaration de culpabilité.  La Cour d’appel a rejeté l’appel du demandeur.</w:t>
            </w:r>
          </w:p>
          <w:p w:rsidR="00996B84" w:rsidRPr="00996B84" w:rsidRDefault="00996B84" w:rsidP="00996B84">
            <w:pPr>
              <w:jc w:val="both"/>
              <w:rPr>
                <w:rFonts w:eastAsiaTheme="minorHAnsi"/>
                <w:sz w:val="20"/>
                <w:lang w:val="fr-CA"/>
              </w:rPr>
            </w:pPr>
          </w:p>
        </w:tc>
      </w:tr>
      <w:tr w:rsidR="00996B84" w:rsidRPr="00F12DF5" w:rsidTr="00D01614">
        <w:tc>
          <w:tcPr>
            <w:tcW w:w="2427" w:type="pct"/>
            <w:gridSpan w:val="2"/>
          </w:tcPr>
          <w:p w:rsidR="00996B84" w:rsidRPr="00996B84" w:rsidRDefault="00996B84" w:rsidP="00996B84">
            <w:pPr>
              <w:jc w:val="both"/>
              <w:rPr>
                <w:rFonts w:eastAsiaTheme="minorHAnsi"/>
                <w:sz w:val="20"/>
                <w:lang w:val="fr-CA"/>
              </w:rPr>
            </w:pPr>
            <w:r w:rsidRPr="00996B84">
              <w:rPr>
                <w:rFonts w:eastAsiaTheme="minorHAnsi"/>
                <w:sz w:val="20"/>
                <w:lang w:val="fr-CA"/>
              </w:rPr>
              <w:t>18 avril 2013</w:t>
            </w:r>
          </w:p>
          <w:p w:rsidR="00996B84" w:rsidRPr="00996B84" w:rsidRDefault="00996B84" w:rsidP="00996B84">
            <w:pPr>
              <w:jc w:val="both"/>
              <w:rPr>
                <w:rFonts w:eastAsiaTheme="minorHAnsi"/>
                <w:sz w:val="20"/>
                <w:lang w:val="fr-CA"/>
              </w:rPr>
            </w:pPr>
            <w:r w:rsidRPr="00996B84">
              <w:rPr>
                <w:rFonts w:eastAsiaTheme="minorHAnsi"/>
                <w:sz w:val="20"/>
                <w:lang w:val="fr-CA"/>
              </w:rPr>
              <w:t xml:space="preserve">Cour provinciale de l’Alberta </w:t>
            </w:r>
          </w:p>
          <w:p w:rsidR="00996B84" w:rsidRPr="00996B84" w:rsidRDefault="00996B84" w:rsidP="00996B84">
            <w:pPr>
              <w:jc w:val="both"/>
              <w:rPr>
                <w:rFonts w:eastAsiaTheme="minorHAnsi"/>
                <w:sz w:val="20"/>
                <w:lang w:val="fr-CA"/>
              </w:rPr>
            </w:pPr>
            <w:r w:rsidRPr="00996B84">
              <w:rPr>
                <w:rFonts w:eastAsiaTheme="minorHAnsi"/>
                <w:sz w:val="20"/>
                <w:lang w:val="fr-CA"/>
              </w:rPr>
              <w:t>(Juge Tyndale)</w:t>
            </w:r>
          </w:p>
          <w:p w:rsidR="00996B84" w:rsidRPr="00996B84" w:rsidRDefault="00996B84" w:rsidP="00996B84">
            <w:pPr>
              <w:jc w:val="both"/>
              <w:rPr>
                <w:rFonts w:eastAsiaTheme="minorHAnsi"/>
                <w:sz w:val="20"/>
              </w:rPr>
            </w:pPr>
            <w:r w:rsidRPr="00996B84">
              <w:rPr>
                <w:rFonts w:eastAsiaTheme="minorHAnsi"/>
                <w:sz w:val="20"/>
              </w:rPr>
              <w:t>2013 ABPC 93</w:t>
            </w:r>
          </w:p>
          <w:p w:rsidR="00996B84" w:rsidRPr="00996B84" w:rsidRDefault="00F12DF5" w:rsidP="00996B84">
            <w:pPr>
              <w:jc w:val="both"/>
              <w:rPr>
                <w:rFonts w:eastAsiaTheme="minorHAnsi"/>
                <w:sz w:val="20"/>
              </w:rPr>
            </w:pPr>
            <w:hyperlink r:id="rId21" w:history="1">
              <w:r w:rsidR="00996B84" w:rsidRPr="00392A88">
                <w:rPr>
                  <w:rFonts w:eastAsiaTheme="minorHAnsi"/>
                  <w:color w:val="0000FF" w:themeColor="hyperlink"/>
                  <w:sz w:val="20"/>
                  <w:u w:val="single"/>
                </w:rPr>
                <w:t>http://canlii.ca/t/fx9cq</w:t>
              </w:r>
            </w:hyperlink>
          </w:p>
          <w:p w:rsidR="00996B84" w:rsidRPr="00996B84" w:rsidRDefault="00996B84" w:rsidP="00996B84">
            <w:pPr>
              <w:jc w:val="both"/>
              <w:rPr>
                <w:rFonts w:eastAsiaTheme="minorHAnsi"/>
                <w:sz w:val="20"/>
              </w:rPr>
            </w:pPr>
          </w:p>
        </w:tc>
        <w:tc>
          <w:tcPr>
            <w:tcW w:w="243" w:type="pct"/>
          </w:tcPr>
          <w:p w:rsidR="00996B84" w:rsidRPr="00996B84" w:rsidRDefault="00996B84" w:rsidP="00996B84">
            <w:pPr>
              <w:jc w:val="both"/>
              <w:rPr>
                <w:rFonts w:eastAsiaTheme="minorHAnsi"/>
                <w:sz w:val="20"/>
              </w:rPr>
            </w:pPr>
          </w:p>
        </w:tc>
        <w:tc>
          <w:tcPr>
            <w:tcW w:w="2330" w:type="pct"/>
          </w:tcPr>
          <w:p w:rsidR="00996B84" w:rsidRPr="00996B84" w:rsidRDefault="00996B84" w:rsidP="00996B84">
            <w:pPr>
              <w:jc w:val="both"/>
              <w:rPr>
                <w:rFonts w:eastAsiaTheme="minorHAnsi"/>
                <w:sz w:val="20"/>
                <w:lang w:val="fr-CA"/>
              </w:rPr>
            </w:pPr>
            <w:r w:rsidRPr="00996B84">
              <w:rPr>
                <w:rFonts w:eastAsiaTheme="minorHAnsi"/>
                <w:sz w:val="20"/>
                <w:lang w:val="fr-CA"/>
              </w:rPr>
              <w:t>Déclaration de culpabilité : conduite d’un véhicule à moteur avec une alcoolémie supérieure à 0,08</w:t>
            </w:r>
          </w:p>
          <w:p w:rsidR="00996B84" w:rsidRPr="00996B84" w:rsidRDefault="00996B84" w:rsidP="00996B84">
            <w:pPr>
              <w:jc w:val="both"/>
              <w:rPr>
                <w:rFonts w:eastAsiaTheme="minorHAnsi"/>
                <w:sz w:val="20"/>
                <w:lang w:val="fr-CA"/>
              </w:rPr>
            </w:pPr>
          </w:p>
        </w:tc>
      </w:tr>
      <w:tr w:rsidR="00996B84" w:rsidRPr="00F12DF5" w:rsidTr="00D01614">
        <w:tc>
          <w:tcPr>
            <w:tcW w:w="2427" w:type="pct"/>
            <w:gridSpan w:val="2"/>
          </w:tcPr>
          <w:p w:rsidR="00996B84" w:rsidRPr="00996B84" w:rsidRDefault="00996B84" w:rsidP="00996B84">
            <w:pPr>
              <w:jc w:val="both"/>
              <w:rPr>
                <w:rFonts w:eastAsiaTheme="minorHAnsi"/>
                <w:sz w:val="20"/>
                <w:lang w:val="fr-CA"/>
              </w:rPr>
            </w:pPr>
            <w:r w:rsidRPr="00996B84">
              <w:rPr>
                <w:rFonts w:eastAsiaTheme="minorHAnsi"/>
                <w:sz w:val="20"/>
                <w:lang w:val="fr-CA"/>
              </w:rPr>
              <w:t>20 septembre 2013</w:t>
            </w:r>
          </w:p>
          <w:p w:rsidR="00996B84" w:rsidRPr="00996B84" w:rsidRDefault="00996B84" w:rsidP="00996B84">
            <w:pPr>
              <w:jc w:val="both"/>
              <w:rPr>
                <w:rFonts w:eastAsiaTheme="minorHAnsi"/>
                <w:sz w:val="20"/>
                <w:lang w:val="fr-CA"/>
              </w:rPr>
            </w:pPr>
            <w:r w:rsidRPr="00996B84">
              <w:rPr>
                <w:rFonts w:eastAsiaTheme="minorHAnsi"/>
                <w:sz w:val="20"/>
                <w:lang w:val="fr-CA"/>
              </w:rPr>
              <w:t>Cours du Banc de la Reine de l’Alberta</w:t>
            </w:r>
          </w:p>
          <w:p w:rsidR="00996B84" w:rsidRPr="00996B84" w:rsidRDefault="00996B84" w:rsidP="00996B84">
            <w:pPr>
              <w:jc w:val="both"/>
              <w:rPr>
                <w:rFonts w:eastAsiaTheme="minorHAnsi"/>
                <w:sz w:val="20"/>
              </w:rPr>
            </w:pPr>
            <w:r w:rsidRPr="00996B84">
              <w:rPr>
                <w:rFonts w:eastAsiaTheme="minorHAnsi"/>
                <w:sz w:val="20"/>
              </w:rPr>
              <w:t>(Juge Wilson)</w:t>
            </w:r>
          </w:p>
          <w:p w:rsidR="00996B84" w:rsidRPr="00996B84" w:rsidRDefault="00996B84" w:rsidP="00996B84">
            <w:pPr>
              <w:jc w:val="both"/>
              <w:rPr>
                <w:rFonts w:eastAsiaTheme="minorHAnsi"/>
                <w:sz w:val="20"/>
              </w:rPr>
            </w:pPr>
            <w:r w:rsidRPr="00996B84">
              <w:rPr>
                <w:rFonts w:eastAsiaTheme="minorHAnsi"/>
                <w:sz w:val="20"/>
              </w:rPr>
              <w:t>2013 ABQB 549</w:t>
            </w:r>
          </w:p>
          <w:p w:rsidR="00996B84" w:rsidRPr="00996B84" w:rsidRDefault="00F12DF5" w:rsidP="00996B84">
            <w:pPr>
              <w:jc w:val="both"/>
              <w:rPr>
                <w:rFonts w:eastAsiaTheme="minorHAnsi"/>
                <w:sz w:val="20"/>
              </w:rPr>
            </w:pPr>
            <w:hyperlink r:id="rId22" w:history="1">
              <w:r w:rsidR="00996B84" w:rsidRPr="00392A88">
                <w:rPr>
                  <w:rFonts w:eastAsiaTheme="minorHAnsi"/>
                  <w:color w:val="0000FF" w:themeColor="hyperlink"/>
                  <w:sz w:val="20"/>
                  <w:u w:val="single"/>
                </w:rPr>
                <w:t>http://canlii.ca/t/g0ttw</w:t>
              </w:r>
            </w:hyperlink>
          </w:p>
          <w:p w:rsidR="00996B84" w:rsidRPr="00996B84" w:rsidRDefault="00996B84" w:rsidP="00996B84">
            <w:pPr>
              <w:jc w:val="both"/>
              <w:rPr>
                <w:rFonts w:eastAsiaTheme="minorHAnsi"/>
                <w:sz w:val="20"/>
              </w:rPr>
            </w:pPr>
          </w:p>
        </w:tc>
        <w:tc>
          <w:tcPr>
            <w:tcW w:w="243" w:type="pct"/>
          </w:tcPr>
          <w:p w:rsidR="00996B84" w:rsidRPr="00996B84" w:rsidRDefault="00996B84" w:rsidP="00996B84">
            <w:pPr>
              <w:jc w:val="both"/>
              <w:rPr>
                <w:rFonts w:eastAsiaTheme="minorHAnsi"/>
                <w:sz w:val="20"/>
              </w:rPr>
            </w:pPr>
          </w:p>
        </w:tc>
        <w:tc>
          <w:tcPr>
            <w:tcW w:w="2330" w:type="pct"/>
          </w:tcPr>
          <w:p w:rsidR="00996B84" w:rsidRPr="00996B84" w:rsidRDefault="00996B84" w:rsidP="00996B84">
            <w:pPr>
              <w:jc w:val="both"/>
              <w:rPr>
                <w:rFonts w:eastAsiaTheme="minorHAnsi"/>
                <w:sz w:val="20"/>
                <w:lang w:val="fr-CA"/>
              </w:rPr>
            </w:pPr>
            <w:r w:rsidRPr="00996B84">
              <w:rPr>
                <w:rFonts w:eastAsiaTheme="minorHAnsi"/>
                <w:sz w:val="20"/>
                <w:lang w:val="fr-CA"/>
              </w:rPr>
              <w:t>Rejet de l’appel de la déclaration de culpabilité</w:t>
            </w:r>
          </w:p>
          <w:p w:rsidR="00996B84" w:rsidRPr="00996B84" w:rsidRDefault="00996B84" w:rsidP="00996B84">
            <w:pPr>
              <w:jc w:val="both"/>
              <w:rPr>
                <w:rFonts w:eastAsiaTheme="minorHAnsi"/>
                <w:sz w:val="20"/>
                <w:lang w:val="fr-CA"/>
              </w:rPr>
            </w:pPr>
          </w:p>
        </w:tc>
      </w:tr>
      <w:tr w:rsidR="00996B84" w:rsidRPr="00F12DF5" w:rsidTr="00D01614">
        <w:tc>
          <w:tcPr>
            <w:tcW w:w="2427" w:type="pct"/>
            <w:gridSpan w:val="2"/>
          </w:tcPr>
          <w:p w:rsidR="00996B84" w:rsidRPr="00996B84" w:rsidRDefault="00996B84" w:rsidP="00996B84">
            <w:pPr>
              <w:jc w:val="both"/>
              <w:rPr>
                <w:rFonts w:eastAsiaTheme="minorHAnsi"/>
                <w:sz w:val="20"/>
                <w:lang w:val="fr-CA"/>
              </w:rPr>
            </w:pPr>
            <w:r w:rsidRPr="00996B84">
              <w:rPr>
                <w:rFonts w:eastAsiaTheme="minorHAnsi"/>
                <w:sz w:val="20"/>
                <w:lang w:val="fr-CA"/>
              </w:rPr>
              <w:t xml:space="preserve">20 décembre 2014 </w:t>
            </w:r>
          </w:p>
          <w:p w:rsidR="00996B84" w:rsidRPr="00996B84" w:rsidRDefault="00996B84" w:rsidP="00996B84">
            <w:pPr>
              <w:jc w:val="both"/>
              <w:rPr>
                <w:rFonts w:eastAsiaTheme="minorHAnsi"/>
                <w:sz w:val="20"/>
                <w:lang w:val="fr-CA"/>
              </w:rPr>
            </w:pPr>
            <w:r w:rsidRPr="00996B84">
              <w:rPr>
                <w:rFonts w:eastAsiaTheme="minorHAnsi"/>
                <w:sz w:val="20"/>
                <w:lang w:val="fr-CA"/>
              </w:rPr>
              <w:t>Cour d’appel de l’Alberta (Calgary)</w:t>
            </w:r>
          </w:p>
          <w:p w:rsidR="00996B84" w:rsidRPr="00996B84" w:rsidRDefault="00996B84" w:rsidP="00996B84">
            <w:pPr>
              <w:jc w:val="both"/>
              <w:rPr>
                <w:rFonts w:eastAsiaTheme="minorHAnsi"/>
                <w:sz w:val="20"/>
              </w:rPr>
            </w:pPr>
            <w:r w:rsidRPr="00996B84">
              <w:rPr>
                <w:rFonts w:eastAsiaTheme="minorHAnsi"/>
                <w:sz w:val="20"/>
              </w:rPr>
              <w:t>(Juge O’Ferrall)</w:t>
            </w:r>
          </w:p>
          <w:p w:rsidR="00996B84" w:rsidRPr="00996B84" w:rsidRDefault="00996B84" w:rsidP="00996B84">
            <w:pPr>
              <w:jc w:val="both"/>
              <w:rPr>
                <w:rFonts w:eastAsiaTheme="minorHAnsi"/>
                <w:sz w:val="20"/>
              </w:rPr>
            </w:pPr>
            <w:r w:rsidRPr="00996B84">
              <w:rPr>
                <w:rFonts w:eastAsiaTheme="minorHAnsi"/>
                <w:sz w:val="20"/>
              </w:rPr>
              <w:t>2013 ABCA 433</w:t>
            </w:r>
          </w:p>
          <w:p w:rsidR="00996B84" w:rsidRPr="00392A88" w:rsidRDefault="00F12DF5" w:rsidP="00996B84">
            <w:pPr>
              <w:jc w:val="both"/>
              <w:rPr>
                <w:rFonts w:eastAsiaTheme="minorHAnsi"/>
                <w:sz w:val="20"/>
              </w:rPr>
            </w:pPr>
            <w:hyperlink r:id="rId23" w:history="1">
              <w:r w:rsidR="00996B84" w:rsidRPr="00392A88">
                <w:rPr>
                  <w:rFonts w:eastAsiaTheme="minorHAnsi"/>
                  <w:color w:val="0000FF" w:themeColor="hyperlink"/>
                  <w:sz w:val="20"/>
                  <w:u w:val="single"/>
                </w:rPr>
                <w:t>http://canlii.ca/t/g2fl9</w:t>
              </w:r>
            </w:hyperlink>
          </w:p>
          <w:p w:rsidR="00996B84" w:rsidRPr="00996B84" w:rsidRDefault="00996B84" w:rsidP="00996B84">
            <w:pPr>
              <w:jc w:val="both"/>
              <w:rPr>
                <w:rFonts w:eastAsiaTheme="minorHAnsi"/>
                <w:sz w:val="20"/>
              </w:rPr>
            </w:pPr>
          </w:p>
        </w:tc>
        <w:tc>
          <w:tcPr>
            <w:tcW w:w="243" w:type="pct"/>
          </w:tcPr>
          <w:p w:rsidR="00996B84" w:rsidRPr="00996B84" w:rsidRDefault="00996B84" w:rsidP="00996B84">
            <w:pPr>
              <w:jc w:val="both"/>
              <w:rPr>
                <w:rFonts w:eastAsiaTheme="minorHAnsi"/>
                <w:sz w:val="20"/>
              </w:rPr>
            </w:pPr>
          </w:p>
        </w:tc>
        <w:tc>
          <w:tcPr>
            <w:tcW w:w="2330" w:type="pct"/>
          </w:tcPr>
          <w:p w:rsidR="00996B84" w:rsidRPr="00996B84" w:rsidRDefault="00996B84" w:rsidP="00996B84">
            <w:pPr>
              <w:jc w:val="both"/>
              <w:rPr>
                <w:rFonts w:eastAsiaTheme="minorHAnsi"/>
                <w:sz w:val="20"/>
                <w:lang w:val="fr-CA"/>
              </w:rPr>
            </w:pPr>
            <w:r w:rsidRPr="00996B84">
              <w:rPr>
                <w:rFonts w:eastAsiaTheme="minorHAnsi"/>
                <w:sz w:val="20"/>
                <w:lang w:val="fr-CA"/>
              </w:rPr>
              <w:t>Autorisation d’appel à la Cour d’appel</w:t>
            </w:r>
          </w:p>
          <w:p w:rsidR="00996B84" w:rsidRPr="00996B84" w:rsidRDefault="00996B84" w:rsidP="00996B84">
            <w:pPr>
              <w:jc w:val="both"/>
              <w:rPr>
                <w:rFonts w:eastAsiaTheme="minorHAnsi"/>
                <w:sz w:val="20"/>
                <w:lang w:val="fr-CA"/>
              </w:rPr>
            </w:pPr>
          </w:p>
        </w:tc>
      </w:tr>
      <w:tr w:rsidR="00996B84" w:rsidRPr="00996B84" w:rsidTr="00D01614">
        <w:tc>
          <w:tcPr>
            <w:tcW w:w="2427" w:type="pct"/>
            <w:gridSpan w:val="2"/>
          </w:tcPr>
          <w:p w:rsidR="00996B84" w:rsidRPr="00996B84" w:rsidRDefault="00996B84" w:rsidP="00996B84">
            <w:pPr>
              <w:jc w:val="both"/>
              <w:rPr>
                <w:rFonts w:eastAsiaTheme="minorHAnsi"/>
                <w:sz w:val="20"/>
                <w:lang w:val="fr-CA"/>
              </w:rPr>
            </w:pPr>
            <w:r w:rsidRPr="00996B84">
              <w:rPr>
                <w:rFonts w:eastAsiaTheme="minorHAnsi"/>
                <w:sz w:val="20"/>
                <w:lang w:val="fr-CA"/>
              </w:rPr>
              <w:t>23 décembre 2014</w:t>
            </w:r>
          </w:p>
          <w:p w:rsidR="00996B84" w:rsidRPr="00996B84" w:rsidRDefault="00996B84" w:rsidP="00996B84">
            <w:pPr>
              <w:jc w:val="both"/>
              <w:rPr>
                <w:rFonts w:eastAsiaTheme="minorHAnsi"/>
                <w:sz w:val="20"/>
                <w:lang w:val="fr-CA"/>
              </w:rPr>
            </w:pPr>
            <w:r w:rsidRPr="00996B84">
              <w:rPr>
                <w:rFonts w:eastAsiaTheme="minorHAnsi"/>
                <w:sz w:val="20"/>
                <w:lang w:val="fr-CA"/>
              </w:rPr>
              <w:t>Cour d’appel de l’Alberta (Calgary)</w:t>
            </w:r>
          </w:p>
          <w:p w:rsidR="00996B84" w:rsidRPr="00996B84" w:rsidRDefault="00996B84" w:rsidP="00996B84">
            <w:pPr>
              <w:jc w:val="both"/>
              <w:rPr>
                <w:rFonts w:eastAsiaTheme="minorHAnsi"/>
                <w:sz w:val="20"/>
                <w:lang w:val="fr-CA"/>
              </w:rPr>
            </w:pPr>
            <w:r w:rsidRPr="00996B84">
              <w:rPr>
                <w:rFonts w:eastAsiaTheme="minorHAnsi"/>
                <w:sz w:val="20"/>
                <w:lang w:val="fr-CA"/>
              </w:rPr>
              <w:t>(Juges Côté, Rowbotham et Jeffrey)</w:t>
            </w:r>
          </w:p>
          <w:p w:rsidR="00996B84" w:rsidRPr="00996B84" w:rsidRDefault="00996B84" w:rsidP="00996B84">
            <w:pPr>
              <w:jc w:val="both"/>
              <w:rPr>
                <w:rFonts w:eastAsiaTheme="minorHAnsi"/>
                <w:sz w:val="20"/>
              </w:rPr>
            </w:pPr>
            <w:r w:rsidRPr="00996B84">
              <w:rPr>
                <w:rFonts w:eastAsiaTheme="minorHAnsi"/>
                <w:sz w:val="20"/>
              </w:rPr>
              <w:t>2014 ABCA 451, 1301-0274-A</w:t>
            </w:r>
          </w:p>
          <w:p w:rsidR="00996B84" w:rsidRPr="00392A88" w:rsidRDefault="00F12DF5" w:rsidP="00996B84">
            <w:pPr>
              <w:jc w:val="both"/>
              <w:rPr>
                <w:rFonts w:eastAsiaTheme="minorHAnsi"/>
                <w:sz w:val="20"/>
              </w:rPr>
            </w:pPr>
            <w:hyperlink r:id="rId24" w:history="1">
              <w:r w:rsidR="00996B84" w:rsidRPr="00392A88">
                <w:rPr>
                  <w:rFonts w:eastAsiaTheme="minorHAnsi"/>
                  <w:color w:val="0000FF" w:themeColor="hyperlink"/>
                  <w:sz w:val="20"/>
                  <w:u w:val="single"/>
                </w:rPr>
                <w:t>http://canlii.ca/t/gfr66</w:t>
              </w:r>
            </w:hyperlink>
          </w:p>
          <w:p w:rsidR="00996B84" w:rsidRPr="00996B84" w:rsidRDefault="00996B84" w:rsidP="00996B84">
            <w:pPr>
              <w:jc w:val="both"/>
              <w:rPr>
                <w:rFonts w:eastAsiaTheme="minorHAnsi"/>
                <w:sz w:val="20"/>
              </w:rPr>
            </w:pPr>
          </w:p>
        </w:tc>
        <w:tc>
          <w:tcPr>
            <w:tcW w:w="243" w:type="pct"/>
          </w:tcPr>
          <w:p w:rsidR="00996B84" w:rsidRPr="00996B84" w:rsidRDefault="00996B84" w:rsidP="00996B84">
            <w:pPr>
              <w:jc w:val="both"/>
              <w:rPr>
                <w:rFonts w:eastAsiaTheme="minorHAnsi"/>
                <w:sz w:val="20"/>
              </w:rPr>
            </w:pPr>
          </w:p>
        </w:tc>
        <w:tc>
          <w:tcPr>
            <w:tcW w:w="2330" w:type="pct"/>
          </w:tcPr>
          <w:p w:rsidR="00996B84" w:rsidRPr="00996B84" w:rsidRDefault="00996B84" w:rsidP="00996B84">
            <w:pPr>
              <w:jc w:val="both"/>
              <w:rPr>
                <w:rFonts w:eastAsiaTheme="minorHAnsi"/>
                <w:sz w:val="20"/>
                <w:lang w:val="fr-CA"/>
              </w:rPr>
            </w:pPr>
            <w:r w:rsidRPr="00996B84">
              <w:rPr>
                <w:rFonts w:eastAsiaTheme="minorHAnsi"/>
                <w:sz w:val="20"/>
                <w:lang w:val="fr-CA"/>
              </w:rPr>
              <w:t>Rejet de l’appel</w:t>
            </w:r>
          </w:p>
          <w:p w:rsidR="00996B84" w:rsidRPr="00996B84" w:rsidRDefault="00996B84" w:rsidP="00996B84">
            <w:pPr>
              <w:jc w:val="both"/>
              <w:rPr>
                <w:rFonts w:eastAsiaTheme="minorHAnsi"/>
                <w:sz w:val="20"/>
                <w:lang w:val="fr-CA"/>
              </w:rPr>
            </w:pPr>
          </w:p>
        </w:tc>
      </w:tr>
      <w:tr w:rsidR="00996B84" w:rsidRPr="00F12DF5" w:rsidTr="00D01614">
        <w:tc>
          <w:tcPr>
            <w:tcW w:w="2427" w:type="pct"/>
            <w:gridSpan w:val="2"/>
          </w:tcPr>
          <w:p w:rsidR="00996B84" w:rsidRPr="00996B84" w:rsidRDefault="00996B84" w:rsidP="00996B84">
            <w:pPr>
              <w:jc w:val="both"/>
              <w:rPr>
                <w:rFonts w:eastAsiaTheme="minorHAnsi"/>
                <w:sz w:val="20"/>
                <w:lang w:val="fr-CA"/>
              </w:rPr>
            </w:pPr>
            <w:r w:rsidRPr="00996B84">
              <w:rPr>
                <w:rFonts w:eastAsiaTheme="minorHAnsi"/>
                <w:sz w:val="20"/>
                <w:lang w:val="fr-CA"/>
              </w:rPr>
              <w:t>23 février 2015</w:t>
            </w:r>
          </w:p>
          <w:p w:rsidR="00996B84" w:rsidRPr="00996B84" w:rsidRDefault="00996B84" w:rsidP="00996B84">
            <w:pPr>
              <w:jc w:val="both"/>
              <w:rPr>
                <w:rFonts w:eastAsiaTheme="minorHAnsi"/>
                <w:sz w:val="20"/>
                <w:lang w:val="fr-CA"/>
              </w:rPr>
            </w:pPr>
            <w:r w:rsidRPr="00996B84">
              <w:rPr>
                <w:rFonts w:eastAsiaTheme="minorHAnsi"/>
                <w:sz w:val="20"/>
                <w:lang w:val="fr-CA"/>
              </w:rPr>
              <w:t>Cour suprême du Canada</w:t>
            </w:r>
          </w:p>
        </w:tc>
        <w:tc>
          <w:tcPr>
            <w:tcW w:w="243" w:type="pct"/>
          </w:tcPr>
          <w:p w:rsidR="00996B84" w:rsidRPr="00996B84" w:rsidRDefault="00996B84" w:rsidP="00996B84">
            <w:pPr>
              <w:jc w:val="both"/>
              <w:rPr>
                <w:rFonts w:eastAsiaTheme="minorHAnsi"/>
                <w:sz w:val="20"/>
                <w:lang w:val="fr-CA"/>
              </w:rPr>
            </w:pPr>
          </w:p>
        </w:tc>
        <w:tc>
          <w:tcPr>
            <w:tcW w:w="2330" w:type="pct"/>
          </w:tcPr>
          <w:p w:rsidR="00996B84" w:rsidRPr="00996B84" w:rsidRDefault="00996B84" w:rsidP="00996B84">
            <w:pPr>
              <w:jc w:val="both"/>
              <w:rPr>
                <w:rFonts w:eastAsiaTheme="minorHAnsi"/>
                <w:sz w:val="20"/>
                <w:lang w:val="fr-CA"/>
              </w:rPr>
            </w:pPr>
            <w:r w:rsidRPr="00996B84">
              <w:rPr>
                <w:rFonts w:eastAsiaTheme="minorHAnsi"/>
                <w:sz w:val="20"/>
                <w:lang w:val="fr-CA"/>
              </w:rPr>
              <w:t>Dépôt de la demande d’autorisation d’appel</w:t>
            </w:r>
          </w:p>
          <w:p w:rsidR="00996B84" w:rsidRPr="00996B84" w:rsidRDefault="00996B84" w:rsidP="00996B84">
            <w:pPr>
              <w:jc w:val="both"/>
              <w:rPr>
                <w:rFonts w:eastAsiaTheme="minorHAnsi"/>
                <w:sz w:val="20"/>
                <w:lang w:val="fr-CA"/>
              </w:rPr>
            </w:pPr>
          </w:p>
        </w:tc>
      </w:tr>
    </w:tbl>
    <w:p w:rsidR="00996B84" w:rsidRDefault="00996B84" w:rsidP="00996B84">
      <w:pPr>
        <w:jc w:val="both"/>
        <w:rPr>
          <w:rFonts w:eastAsiaTheme="minorHAnsi"/>
          <w:sz w:val="20"/>
          <w:lang w:val="fr-CA"/>
        </w:rPr>
      </w:pPr>
    </w:p>
    <w:p w:rsidR="00392A88" w:rsidRPr="00996B84" w:rsidRDefault="00392A88" w:rsidP="00996B84">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96B84" w:rsidRPr="00996B84" w:rsidTr="00D01614">
        <w:tc>
          <w:tcPr>
            <w:tcW w:w="543" w:type="pct"/>
          </w:tcPr>
          <w:p w:rsidR="00996B84" w:rsidRPr="00996B84" w:rsidRDefault="00996B84" w:rsidP="00996B84">
            <w:pPr>
              <w:jc w:val="both"/>
              <w:rPr>
                <w:rFonts w:eastAsiaTheme="minorHAnsi"/>
                <w:sz w:val="20"/>
                <w:lang w:val="en-CA"/>
              </w:rPr>
            </w:pPr>
            <w:r w:rsidRPr="00392A88">
              <w:rPr>
                <w:rFonts w:eastAsiaTheme="minorHAnsi"/>
                <w:b/>
                <w:sz w:val="20"/>
                <w:lang w:val="en-CA"/>
              </w:rPr>
              <w:lastRenderedPageBreak/>
              <w:t>36379</w:t>
            </w:r>
          </w:p>
        </w:tc>
        <w:tc>
          <w:tcPr>
            <w:tcW w:w="4457" w:type="pct"/>
            <w:gridSpan w:val="3"/>
          </w:tcPr>
          <w:p w:rsidR="00996B84" w:rsidRPr="00996B84" w:rsidRDefault="00996B84" w:rsidP="00996B84">
            <w:pPr>
              <w:jc w:val="both"/>
              <w:rPr>
                <w:rFonts w:eastAsiaTheme="minorHAnsi"/>
                <w:b/>
                <w:sz w:val="20"/>
                <w:lang w:val="en-CA"/>
              </w:rPr>
            </w:pPr>
            <w:r w:rsidRPr="00996B84">
              <w:rPr>
                <w:rFonts w:eastAsiaTheme="minorHAnsi"/>
                <w:b/>
                <w:sz w:val="20"/>
                <w:lang w:val="en-CA"/>
              </w:rPr>
              <w:t>Larry Peter Klippenstein v. Manitoba Ombudsman</w:t>
            </w:r>
          </w:p>
          <w:p w:rsidR="00996B84" w:rsidRPr="00996B84" w:rsidRDefault="00996B84" w:rsidP="00996B84">
            <w:pPr>
              <w:jc w:val="both"/>
              <w:rPr>
                <w:rFonts w:eastAsiaTheme="minorHAnsi"/>
                <w:sz w:val="20"/>
                <w:lang w:val="en-CA"/>
              </w:rPr>
            </w:pPr>
            <w:r w:rsidRPr="00996B84">
              <w:rPr>
                <w:rFonts w:eastAsiaTheme="minorHAnsi"/>
                <w:sz w:val="20"/>
                <w:lang w:val="en-CA"/>
              </w:rPr>
              <w:t>(Man.) (Civil) (By Leave)</w:t>
            </w:r>
          </w:p>
        </w:tc>
      </w:tr>
      <w:tr w:rsidR="00996B84" w:rsidRPr="00996B84" w:rsidTr="00D01614">
        <w:tc>
          <w:tcPr>
            <w:tcW w:w="5000" w:type="pct"/>
            <w:gridSpan w:val="4"/>
          </w:tcPr>
          <w:p w:rsidR="00996B84" w:rsidRPr="00996B84" w:rsidRDefault="00996B84" w:rsidP="00996B84">
            <w:pPr>
              <w:jc w:val="both"/>
              <w:rPr>
                <w:rFonts w:eastAsiaTheme="minorHAnsi"/>
                <w:sz w:val="20"/>
                <w:lang w:val="en-CA"/>
              </w:rPr>
            </w:pPr>
            <w:r w:rsidRPr="00996B84">
              <w:rPr>
                <w:rFonts w:eastAsiaTheme="minorHAnsi"/>
                <w:i/>
                <w:sz w:val="20"/>
                <w:lang w:val="en-CA"/>
              </w:rPr>
              <w:t>Charter of Rights</w:t>
            </w:r>
            <w:r w:rsidRPr="00996B84">
              <w:rPr>
                <w:rFonts w:eastAsiaTheme="minorHAnsi"/>
                <w:sz w:val="20"/>
                <w:lang w:val="en-CA"/>
              </w:rPr>
              <w:t xml:space="preserve"> – Rights to fundamental justice and equality – Applicant’s appeals stayed pending receipt by court of a medical report indicating applicant competent to conduct legal proceedings or appointment of a litigation guardian – Whether lower court discriminated against  applicant on the basis of mental disability – Whether Mainella J.A. exceeded his jurisdiction by finally disposing of applicant’s claim and by deciding the merits of his claim against the Ombudsman – Whether applicant had his interests properly represented because he was a person under disability and he did not have the protections of a litigation guardian and lawyer – Whether applicant has right to sue Mainella J.A. and the Manitoba Court of Appeal for not properly protecting his rights as a person with a mental disability.</w:t>
            </w:r>
          </w:p>
        </w:tc>
      </w:tr>
      <w:tr w:rsidR="00996B84" w:rsidRPr="00996B84" w:rsidTr="00D01614">
        <w:tc>
          <w:tcPr>
            <w:tcW w:w="5000" w:type="pct"/>
            <w:gridSpan w:val="4"/>
          </w:tcPr>
          <w:p w:rsidR="00996B84" w:rsidRPr="00996B84" w:rsidRDefault="00996B84" w:rsidP="00996B84">
            <w:pPr>
              <w:jc w:val="both"/>
              <w:rPr>
                <w:rFonts w:eastAsiaTheme="minorHAnsi"/>
                <w:sz w:val="20"/>
                <w:lang w:val="en-CA"/>
              </w:rPr>
            </w:pPr>
          </w:p>
        </w:tc>
      </w:tr>
      <w:tr w:rsidR="00996B84" w:rsidRPr="00996B84" w:rsidTr="00D01614">
        <w:tc>
          <w:tcPr>
            <w:tcW w:w="5000" w:type="pct"/>
            <w:gridSpan w:val="4"/>
          </w:tcPr>
          <w:p w:rsidR="00996B84" w:rsidRPr="00996B84" w:rsidRDefault="00996B84" w:rsidP="00996B84">
            <w:pPr>
              <w:jc w:val="both"/>
              <w:rPr>
                <w:rFonts w:eastAsiaTheme="minorHAnsi"/>
                <w:sz w:val="20"/>
                <w:lang w:val="en-CA"/>
              </w:rPr>
            </w:pPr>
            <w:r w:rsidRPr="00996B84">
              <w:rPr>
                <w:rFonts w:eastAsiaTheme="minorHAnsi"/>
                <w:sz w:val="20"/>
                <w:lang w:val="en-CA"/>
              </w:rPr>
              <w:t xml:space="preserve">Mr. Klippenstein brought an action against the respondent in 2013, alleging that he had been a victim of a crime on two occasions while riding a transit bus.  He filed a complaint with the Ombudsman requesting information under </w:t>
            </w:r>
            <w:r w:rsidRPr="00996B84">
              <w:rPr>
                <w:rFonts w:eastAsiaTheme="minorHAnsi"/>
                <w:i/>
                <w:sz w:val="20"/>
                <w:lang w:val="en-CA"/>
              </w:rPr>
              <w:t>The Freedom of Information and Protection of Privacy Act</w:t>
            </w:r>
            <w:r w:rsidRPr="00996B84">
              <w:rPr>
                <w:rFonts w:eastAsiaTheme="minorHAnsi"/>
                <w:sz w:val="20"/>
                <w:lang w:val="en-CA"/>
              </w:rPr>
              <w:t>, C.C.S.M., c. F175 with respect to the two incidents.  He was not satisfied with the Ombudsman’s investigations because they did not lead to prosecutions.  In his action, Mr. Klippenstein alleged that the Ombudsman had acted in bad faith.  The Ombudsman moved to stay the action.</w:t>
            </w:r>
          </w:p>
          <w:p w:rsidR="00996B84" w:rsidRPr="00996B84" w:rsidRDefault="00996B84" w:rsidP="00996B84">
            <w:pPr>
              <w:jc w:val="both"/>
              <w:rPr>
                <w:rFonts w:eastAsiaTheme="minorHAnsi"/>
                <w:sz w:val="20"/>
                <w:lang w:val="en-CA"/>
              </w:rPr>
            </w:pPr>
          </w:p>
        </w:tc>
      </w:tr>
      <w:tr w:rsidR="00996B84" w:rsidRPr="00996B84" w:rsidTr="00D01614">
        <w:tc>
          <w:tcPr>
            <w:tcW w:w="2427" w:type="pct"/>
            <w:gridSpan w:val="2"/>
          </w:tcPr>
          <w:p w:rsidR="00996B84" w:rsidRPr="00996B84" w:rsidRDefault="00996B84" w:rsidP="00996B84">
            <w:pPr>
              <w:jc w:val="both"/>
              <w:rPr>
                <w:rFonts w:eastAsiaTheme="minorHAnsi"/>
                <w:sz w:val="20"/>
                <w:lang w:val="en-CA"/>
              </w:rPr>
            </w:pPr>
            <w:r w:rsidRPr="00996B84">
              <w:rPr>
                <w:rFonts w:eastAsiaTheme="minorHAnsi"/>
                <w:sz w:val="20"/>
                <w:lang w:val="en-CA"/>
              </w:rPr>
              <w:t>February 3, 2014</w:t>
            </w:r>
          </w:p>
          <w:p w:rsidR="00996B84" w:rsidRPr="00996B84" w:rsidRDefault="00996B84" w:rsidP="00996B84">
            <w:pPr>
              <w:jc w:val="both"/>
              <w:rPr>
                <w:rFonts w:eastAsiaTheme="minorHAnsi"/>
                <w:sz w:val="20"/>
                <w:lang w:val="en-CA"/>
              </w:rPr>
            </w:pPr>
            <w:r w:rsidRPr="00996B84">
              <w:rPr>
                <w:rFonts w:eastAsiaTheme="minorHAnsi"/>
                <w:sz w:val="20"/>
                <w:lang w:val="en-CA"/>
              </w:rPr>
              <w:t>Court of Queen’s Bench of Manitoba</w:t>
            </w:r>
          </w:p>
          <w:p w:rsidR="00996B84" w:rsidRPr="00996B84" w:rsidRDefault="00996B84" w:rsidP="00996B84">
            <w:pPr>
              <w:jc w:val="both"/>
              <w:rPr>
                <w:rFonts w:eastAsiaTheme="minorHAnsi"/>
                <w:sz w:val="20"/>
                <w:lang w:val="en-CA"/>
              </w:rPr>
            </w:pPr>
            <w:r w:rsidRPr="00996B84">
              <w:rPr>
                <w:rFonts w:eastAsiaTheme="minorHAnsi"/>
                <w:sz w:val="20"/>
                <w:lang w:val="en-CA"/>
              </w:rPr>
              <w:t>(Edmond J.)</w:t>
            </w:r>
          </w:p>
          <w:p w:rsidR="00996B84" w:rsidRPr="00996B84" w:rsidRDefault="00F12DF5" w:rsidP="00996B84">
            <w:pPr>
              <w:jc w:val="both"/>
              <w:rPr>
                <w:rFonts w:eastAsiaTheme="minorHAnsi"/>
                <w:sz w:val="20"/>
                <w:lang w:val="en-CA"/>
              </w:rPr>
            </w:pPr>
            <w:hyperlink r:id="rId25" w:history="1">
              <w:r w:rsidR="00996B84" w:rsidRPr="00392A88">
                <w:rPr>
                  <w:rFonts w:eastAsiaTheme="minorHAnsi"/>
                  <w:color w:val="0000FF" w:themeColor="hyperlink"/>
                  <w:sz w:val="20"/>
                  <w:u w:val="single"/>
                  <w:lang w:val="en-CA"/>
                </w:rPr>
                <w:t>2014 MBQB 25</w:t>
              </w:r>
            </w:hyperlink>
          </w:p>
          <w:p w:rsidR="00996B84" w:rsidRPr="00996B84" w:rsidRDefault="00996B84" w:rsidP="00996B84">
            <w:pPr>
              <w:jc w:val="both"/>
              <w:rPr>
                <w:rFonts w:eastAsiaTheme="minorHAnsi"/>
                <w:sz w:val="20"/>
                <w:lang w:val="en-CA"/>
              </w:rPr>
            </w:pPr>
          </w:p>
        </w:tc>
        <w:tc>
          <w:tcPr>
            <w:tcW w:w="243" w:type="pct"/>
          </w:tcPr>
          <w:p w:rsidR="00996B84" w:rsidRPr="00996B84" w:rsidRDefault="00996B84" w:rsidP="00996B84">
            <w:pPr>
              <w:jc w:val="both"/>
              <w:rPr>
                <w:rFonts w:eastAsiaTheme="minorHAnsi"/>
                <w:sz w:val="20"/>
                <w:lang w:val="en-CA"/>
              </w:rPr>
            </w:pPr>
          </w:p>
        </w:tc>
        <w:tc>
          <w:tcPr>
            <w:tcW w:w="2330" w:type="pct"/>
          </w:tcPr>
          <w:p w:rsidR="00996B84" w:rsidRPr="00996B84" w:rsidRDefault="00996B84" w:rsidP="00996B84">
            <w:pPr>
              <w:jc w:val="both"/>
              <w:rPr>
                <w:rFonts w:eastAsiaTheme="minorHAnsi"/>
                <w:sz w:val="20"/>
                <w:lang w:val="en-CA"/>
              </w:rPr>
            </w:pPr>
            <w:r w:rsidRPr="00996B84">
              <w:rPr>
                <w:rFonts w:eastAsiaTheme="minorHAnsi"/>
                <w:sz w:val="20"/>
                <w:lang w:val="en-CA"/>
              </w:rPr>
              <w:t>Respondent’s motion for a stay of proceedings granted.</w:t>
            </w:r>
          </w:p>
        </w:tc>
      </w:tr>
      <w:tr w:rsidR="00996B84" w:rsidRPr="00996B84" w:rsidTr="00D01614">
        <w:tc>
          <w:tcPr>
            <w:tcW w:w="2427" w:type="pct"/>
            <w:gridSpan w:val="2"/>
          </w:tcPr>
          <w:p w:rsidR="00996B84" w:rsidRPr="00996B84" w:rsidRDefault="00996B84" w:rsidP="00996B84">
            <w:pPr>
              <w:jc w:val="both"/>
              <w:rPr>
                <w:rFonts w:eastAsiaTheme="minorHAnsi"/>
                <w:sz w:val="20"/>
                <w:lang w:val="en-CA"/>
              </w:rPr>
            </w:pPr>
            <w:r w:rsidRPr="00996B84">
              <w:rPr>
                <w:rFonts w:eastAsiaTheme="minorHAnsi"/>
                <w:sz w:val="20"/>
                <w:lang w:val="en-CA"/>
              </w:rPr>
              <w:t>February 4, 2015</w:t>
            </w:r>
          </w:p>
          <w:p w:rsidR="00996B84" w:rsidRPr="00996B84" w:rsidRDefault="00996B84" w:rsidP="00996B84">
            <w:pPr>
              <w:jc w:val="both"/>
              <w:rPr>
                <w:rFonts w:eastAsiaTheme="minorHAnsi"/>
                <w:sz w:val="20"/>
                <w:lang w:val="en-CA"/>
              </w:rPr>
            </w:pPr>
            <w:r w:rsidRPr="00996B84">
              <w:rPr>
                <w:rFonts w:eastAsiaTheme="minorHAnsi"/>
                <w:sz w:val="20"/>
                <w:lang w:val="en-CA"/>
              </w:rPr>
              <w:t>Court of Appeal of Manitoba</w:t>
            </w:r>
          </w:p>
          <w:p w:rsidR="00996B84" w:rsidRPr="00996B84" w:rsidRDefault="00996B84" w:rsidP="00996B84">
            <w:pPr>
              <w:jc w:val="both"/>
              <w:rPr>
                <w:rFonts w:eastAsiaTheme="minorHAnsi"/>
                <w:sz w:val="20"/>
                <w:lang w:val="en-CA"/>
              </w:rPr>
            </w:pPr>
            <w:r w:rsidRPr="00996B84">
              <w:rPr>
                <w:rFonts w:eastAsiaTheme="minorHAnsi"/>
                <w:sz w:val="20"/>
                <w:lang w:val="en-CA"/>
              </w:rPr>
              <w:t>(Mainella J.A.)</w:t>
            </w:r>
          </w:p>
          <w:p w:rsidR="00996B84" w:rsidRPr="00996B84" w:rsidRDefault="00F12DF5" w:rsidP="00996B84">
            <w:pPr>
              <w:jc w:val="both"/>
              <w:rPr>
                <w:rFonts w:eastAsiaTheme="minorHAnsi"/>
                <w:sz w:val="20"/>
                <w:lang w:val="en-CA"/>
              </w:rPr>
            </w:pPr>
            <w:hyperlink r:id="rId26" w:history="1">
              <w:r w:rsidR="00996B84" w:rsidRPr="00392A88">
                <w:rPr>
                  <w:rFonts w:eastAsiaTheme="minorHAnsi"/>
                  <w:color w:val="0000FF" w:themeColor="hyperlink"/>
                  <w:sz w:val="20"/>
                  <w:u w:val="single"/>
                  <w:lang w:val="en-CA"/>
                </w:rPr>
                <w:t>2015 MBCA 15</w:t>
              </w:r>
            </w:hyperlink>
          </w:p>
          <w:p w:rsidR="00996B84" w:rsidRPr="00996B84" w:rsidRDefault="00996B84" w:rsidP="00996B84">
            <w:pPr>
              <w:jc w:val="both"/>
              <w:rPr>
                <w:rFonts w:eastAsiaTheme="minorHAnsi"/>
                <w:sz w:val="20"/>
                <w:lang w:val="en-CA"/>
              </w:rPr>
            </w:pPr>
          </w:p>
          <w:p w:rsidR="00996B84" w:rsidRPr="00996B84" w:rsidRDefault="00996B84" w:rsidP="00996B84">
            <w:pPr>
              <w:jc w:val="both"/>
              <w:rPr>
                <w:rFonts w:eastAsiaTheme="minorHAnsi"/>
                <w:sz w:val="20"/>
                <w:lang w:val="en-CA"/>
              </w:rPr>
            </w:pPr>
            <w:r w:rsidRPr="00996B84">
              <w:rPr>
                <w:rFonts w:eastAsiaTheme="minorHAnsi"/>
                <w:sz w:val="20"/>
                <w:lang w:val="en-CA"/>
              </w:rPr>
              <w:t xml:space="preserve">Dockets : A113-30-08075, A113-30-08084 </w:t>
            </w:r>
          </w:p>
          <w:p w:rsidR="00996B84" w:rsidRPr="00996B84" w:rsidRDefault="00996B84" w:rsidP="00996B84">
            <w:pPr>
              <w:jc w:val="both"/>
              <w:rPr>
                <w:rFonts w:eastAsiaTheme="minorHAnsi"/>
                <w:sz w:val="20"/>
                <w:lang w:val="en-CA"/>
              </w:rPr>
            </w:pPr>
            <w:r w:rsidRPr="00996B84">
              <w:rPr>
                <w:rFonts w:eastAsiaTheme="minorHAnsi"/>
                <w:sz w:val="20"/>
                <w:lang w:val="en-CA"/>
              </w:rPr>
              <w:t>and A114-30-08112</w:t>
            </w:r>
          </w:p>
          <w:p w:rsidR="00996B84" w:rsidRPr="00996B84" w:rsidRDefault="00996B84" w:rsidP="00996B84">
            <w:pPr>
              <w:jc w:val="both"/>
              <w:rPr>
                <w:rFonts w:eastAsiaTheme="minorHAnsi"/>
                <w:sz w:val="20"/>
                <w:lang w:val="en-CA"/>
              </w:rPr>
            </w:pPr>
          </w:p>
        </w:tc>
        <w:tc>
          <w:tcPr>
            <w:tcW w:w="243" w:type="pct"/>
          </w:tcPr>
          <w:p w:rsidR="00996B84" w:rsidRPr="00996B84" w:rsidRDefault="00996B84" w:rsidP="00996B84">
            <w:pPr>
              <w:jc w:val="both"/>
              <w:rPr>
                <w:rFonts w:eastAsiaTheme="minorHAnsi"/>
                <w:sz w:val="20"/>
                <w:lang w:val="en-CA"/>
              </w:rPr>
            </w:pPr>
          </w:p>
        </w:tc>
        <w:tc>
          <w:tcPr>
            <w:tcW w:w="2330" w:type="pct"/>
          </w:tcPr>
          <w:p w:rsidR="00996B84" w:rsidRPr="00996B84" w:rsidRDefault="00996B84" w:rsidP="00996B84">
            <w:pPr>
              <w:jc w:val="both"/>
              <w:rPr>
                <w:rFonts w:eastAsiaTheme="minorHAnsi"/>
                <w:sz w:val="20"/>
                <w:lang w:val="en-CA"/>
              </w:rPr>
            </w:pPr>
            <w:r w:rsidRPr="00996B84">
              <w:rPr>
                <w:rFonts w:eastAsiaTheme="minorHAnsi"/>
                <w:sz w:val="20"/>
                <w:lang w:val="en-CA"/>
              </w:rPr>
              <w:t>Applicant’s motion for recusal and motion to have litigation guardian appointed dismissed; applicant’s three appeals stayed until further order of the court.  Registry directed not to accept for filing any further documents by applicant until written proof provided that applicant is represented by legal counsel.</w:t>
            </w:r>
          </w:p>
          <w:p w:rsidR="00996B84" w:rsidRPr="00996B84" w:rsidRDefault="00996B84" w:rsidP="00996B84">
            <w:pPr>
              <w:jc w:val="both"/>
              <w:rPr>
                <w:rFonts w:eastAsiaTheme="minorHAnsi"/>
                <w:sz w:val="20"/>
                <w:lang w:val="en-CA"/>
              </w:rPr>
            </w:pPr>
          </w:p>
        </w:tc>
      </w:tr>
      <w:tr w:rsidR="00996B84" w:rsidRPr="00996B84" w:rsidTr="00D01614">
        <w:tc>
          <w:tcPr>
            <w:tcW w:w="2427" w:type="pct"/>
            <w:gridSpan w:val="2"/>
          </w:tcPr>
          <w:p w:rsidR="00996B84" w:rsidRPr="00996B84" w:rsidRDefault="00996B84" w:rsidP="00996B84">
            <w:pPr>
              <w:jc w:val="both"/>
              <w:rPr>
                <w:rFonts w:eastAsiaTheme="minorHAnsi"/>
                <w:sz w:val="20"/>
                <w:lang w:val="en-CA"/>
              </w:rPr>
            </w:pPr>
            <w:r w:rsidRPr="00996B84">
              <w:rPr>
                <w:rFonts w:eastAsiaTheme="minorHAnsi"/>
                <w:sz w:val="20"/>
                <w:lang w:val="en-CA"/>
              </w:rPr>
              <w:t>March 31, 2015</w:t>
            </w:r>
          </w:p>
          <w:p w:rsidR="00996B84" w:rsidRPr="00996B84" w:rsidRDefault="00996B84" w:rsidP="00996B84">
            <w:pPr>
              <w:jc w:val="both"/>
              <w:rPr>
                <w:rFonts w:eastAsiaTheme="minorHAnsi"/>
                <w:sz w:val="20"/>
                <w:lang w:val="en-CA"/>
              </w:rPr>
            </w:pPr>
            <w:r w:rsidRPr="00996B84">
              <w:rPr>
                <w:rFonts w:eastAsiaTheme="minorHAnsi"/>
                <w:sz w:val="20"/>
                <w:lang w:val="en-CA"/>
              </w:rPr>
              <w:t>Supreme Court of Canada</w:t>
            </w:r>
          </w:p>
        </w:tc>
        <w:tc>
          <w:tcPr>
            <w:tcW w:w="243" w:type="pct"/>
          </w:tcPr>
          <w:p w:rsidR="00996B84" w:rsidRPr="00996B84" w:rsidRDefault="00996B84" w:rsidP="00996B84">
            <w:pPr>
              <w:jc w:val="both"/>
              <w:rPr>
                <w:rFonts w:eastAsiaTheme="minorHAnsi"/>
                <w:sz w:val="20"/>
                <w:lang w:val="en-CA"/>
              </w:rPr>
            </w:pPr>
          </w:p>
        </w:tc>
        <w:tc>
          <w:tcPr>
            <w:tcW w:w="2330" w:type="pct"/>
          </w:tcPr>
          <w:p w:rsidR="00996B84" w:rsidRPr="00996B84" w:rsidRDefault="00996B84" w:rsidP="00996B84">
            <w:pPr>
              <w:jc w:val="both"/>
              <w:rPr>
                <w:rFonts w:eastAsiaTheme="minorHAnsi"/>
                <w:sz w:val="20"/>
                <w:lang w:val="en-CA"/>
              </w:rPr>
            </w:pPr>
            <w:r w:rsidRPr="00996B84">
              <w:rPr>
                <w:rFonts w:eastAsiaTheme="minorHAnsi"/>
                <w:sz w:val="20"/>
                <w:lang w:val="en-CA"/>
              </w:rPr>
              <w:t>Application for leave to appeal filed.</w:t>
            </w:r>
          </w:p>
          <w:p w:rsidR="00996B84" w:rsidRPr="00996B84" w:rsidRDefault="00996B84" w:rsidP="00996B84">
            <w:pPr>
              <w:jc w:val="both"/>
              <w:rPr>
                <w:rFonts w:eastAsiaTheme="minorHAnsi"/>
                <w:sz w:val="20"/>
                <w:lang w:val="en-CA"/>
              </w:rPr>
            </w:pPr>
          </w:p>
        </w:tc>
      </w:tr>
    </w:tbl>
    <w:p w:rsidR="00996B84" w:rsidRDefault="00996B84" w:rsidP="00996B84">
      <w:pPr>
        <w:jc w:val="both"/>
        <w:rPr>
          <w:rFonts w:eastAsiaTheme="minorHAnsi"/>
          <w:sz w:val="20"/>
          <w:lang w:val="en-CA"/>
        </w:rPr>
      </w:pPr>
    </w:p>
    <w:p w:rsidR="00392A88" w:rsidRPr="00996B84" w:rsidRDefault="00392A88" w:rsidP="00996B84">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96B84" w:rsidRPr="00F12DF5" w:rsidTr="00D01614">
        <w:tc>
          <w:tcPr>
            <w:tcW w:w="543" w:type="pct"/>
          </w:tcPr>
          <w:p w:rsidR="00996B84" w:rsidRPr="00996B84" w:rsidRDefault="00996B84" w:rsidP="00996B84">
            <w:pPr>
              <w:jc w:val="both"/>
              <w:rPr>
                <w:rFonts w:eastAsiaTheme="minorHAnsi"/>
                <w:sz w:val="20"/>
                <w:lang w:val="fr-CA"/>
              </w:rPr>
            </w:pPr>
            <w:r w:rsidRPr="00392A88">
              <w:rPr>
                <w:rFonts w:eastAsiaTheme="minorHAnsi"/>
                <w:b/>
                <w:sz w:val="20"/>
                <w:lang w:val="fr-CA"/>
              </w:rPr>
              <w:t>36379</w:t>
            </w:r>
          </w:p>
        </w:tc>
        <w:tc>
          <w:tcPr>
            <w:tcW w:w="4457" w:type="pct"/>
            <w:gridSpan w:val="3"/>
          </w:tcPr>
          <w:p w:rsidR="00996B84" w:rsidRPr="00996B84" w:rsidRDefault="00996B84" w:rsidP="00996B84">
            <w:pPr>
              <w:jc w:val="both"/>
              <w:rPr>
                <w:rFonts w:eastAsiaTheme="minorHAnsi"/>
                <w:b/>
                <w:sz w:val="20"/>
                <w:lang w:val="fr-CA"/>
              </w:rPr>
            </w:pPr>
            <w:r w:rsidRPr="00996B84">
              <w:rPr>
                <w:rFonts w:eastAsiaTheme="minorHAnsi"/>
                <w:b/>
                <w:sz w:val="20"/>
                <w:lang w:val="fr-CA"/>
              </w:rPr>
              <w:t>Larry Peter Klippenstein c. Ombudsman du Manitoba</w:t>
            </w:r>
          </w:p>
          <w:p w:rsidR="00996B84" w:rsidRPr="00996B84" w:rsidRDefault="00996B84" w:rsidP="00996B84">
            <w:pPr>
              <w:jc w:val="both"/>
              <w:rPr>
                <w:rFonts w:eastAsiaTheme="minorHAnsi"/>
                <w:sz w:val="20"/>
                <w:lang w:val="fr-CA"/>
              </w:rPr>
            </w:pPr>
            <w:r w:rsidRPr="00996B84">
              <w:rPr>
                <w:rFonts w:eastAsiaTheme="minorHAnsi"/>
                <w:sz w:val="20"/>
                <w:lang w:val="fr-CA"/>
              </w:rPr>
              <w:t>(Man.) (Civile) (Sur autorisation)</w:t>
            </w:r>
          </w:p>
        </w:tc>
      </w:tr>
      <w:tr w:rsidR="00996B84" w:rsidRPr="00F12DF5" w:rsidTr="00D01614">
        <w:tc>
          <w:tcPr>
            <w:tcW w:w="5000" w:type="pct"/>
            <w:gridSpan w:val="4"/>
          </w:tcPr>
          <w:p w:rsidR="00996B84" w:rsidRPr="00996B84" w:rsidRDefault="00996B84" w:rsidP="00996B84">
            <w:pPr>
              <w:jc w:val="both"/>
              <w:rPr>
                <w:rFonts w:eastAsiaTheme="minorHAnsi"/>
                <w:sz w:val="20"/>
                <w:lang w:val="fr-CA"/>
              </w:rPr>
            </w:pPr>
            <w:r w:rsidRPr="00996B84">
              <w:rPr>
                <w:rFonts w:eastAsiaTheme="minorHAnsi"/>
                <w:i/>
                <w:sz w:val="20"/>
                <w:lang w:val="fr-CA"/>
              </w:rPr>
              <w:t>Charte des droits</w:t>
            </w:r>
            <w:r w:rsidRPr="00996B84">
              <w:rPr>
                <w:rFonts w:eastAsiaTheme="minorHAnsi"/>
                <w:sz w:val="20"/>
                <w:lang w:val="fr-CA"/>
              </w:rPr>
              <w:t xml:space="preserve"> – Droits à la justice fondamentale et à l’égalité – Les appels du demandeur ont été suspendus en attendant que la cour reçoive un rapport médical indiquant que le demandeur est apte à ester en justice ou que l’on nomme un tuteur à l’instance – La juridiction inférieure a-t-elle fait preuve de discrimination à l’égard du demandeur sur le fondement de l’incapacité mentale? – Le juge Mainella a-t-il outrepassé sa compétence en tranchant définitivement la demande du demandeur et en statuant sur le bien-fondé de sa demande contre l’ombudsman? – Les intérêts du demandeur ont-ils été dûment représentés, vu qu’il était une personne ayant une incapacité et qu’il ne bénéficiait pas des protections d’un tuteur à l’instance et d’un avocat? – Le demandeur a-t-il le droit de poursuivre le juge Mainella et la Cour d’appel du Manitoba parce qu’ils n’auraient pas adéquatement protégé ses droits en tant que personne ayant une incapacité mentale?</w:t>
            </w:r>
          </w:p>
        </w:tc>
      </w:tr>
      <w:tr w:rsidR="00996B84" w:rsidRPr="00F12DF5" w:rsidTr="00D01614">
        <w:tc>
          <w:tcPr>
            <w:tcW w:w="5000" w:type="pct"/>
            <w:gridSpan w:val="4"/>
          </w:tcPr>
          <w:p w:rsidR="00996B84" w:rsidRPr="00996B84" w:rsidRDefault="00996B84" w:rsidP="00996B84">
            <w:pPr>
              <w:jc w:val="both"/>
              <w:rPr>
                <w:rFonts w:eastAsiaTheme="minorHAnsi"/>
                <w:sz w:val="20"/>
                <w:lang w:val="fr-CA"/>
              </w:rPr>
            </w:pPr>
          </w:p>
        </w:tc>
      </w:tr>
      <w:tr w:rsidR="00996B84" w:rsidRPr="00996B84" w:rsidTr="00D01614">
        <w:tc>
          <w:tcPr>
            <w:tcW w:w="5000" w:type="pct"/>
            <w:gridSpan w:val="4"/>
          </w:tcPr>
          <w:p w:rsidR="00996B84" w:rsidRPr="00996B84" w:rsidRDefault="00996B84" w:rsidP="00996B84">
            <w:pPr>
              <w:jc w:val="both"/>
              <w:rPr>
                <w:rFonts w:eastAsiaTheme="minorHAnsi"/>
                <w:sz w:val="20"/>
                <w:lang w:val="fr-CA"/>
              </w:rPr>
            </w:pPr>
            <w:r w:rsidRPr="00996B84">
              <w:rPr>
                <w:rFonts w:eastAsiaTheme="minorHAnsi"/>
                <w:sz w:val="20"/>
                <w:lang w:val="fr-CA"/>
              </w:rPr>
              <w:t xml:space="preserve">Monsieur Klippenstein a intenté une action contre l’intimé en 2013, alléguant avoir été victime d’un crime à deux occasions alors qu’il voyageait à bord d’un autobus urbain.  Il a déposé une plainte à l’ombudsman, sollicitant de l’information en application de la </w:t>
            </w:r>
            <w:r w:rsidRPr="00996B84">
              <w:rPr>
                <w:rFonts w:eastAsiaTheme="minorHAnsi"/>
                <w:i/>
                <w:sz w:val="20"/>
                <w:lang w:val="fr-CA"/>
              </w:rPr>
              <w:t>Loi sur l’accès à l’information et la protection de la vie privée</w:t>
            </w:r>
            <w:r w:rsidRPr="00996B84">
              <w:rPr>
                <w:rFonts w:eastAsiaTheme="minorHAnsi"/>
                <w:sz w:val="20"/>
                <w:lang w:val="fr-CA"/>
              </w:rPr>
              <w:t xml:space="preserve">, C.P.L.M., ch. F175 relativement à ces deux incidents.  Il était insatisfait des enquêtes de l’ombudsman parce qu’elles n’avaient pas mené à des poursuites.  Dans son action, M. Klippenstein a allégué que l’ombudsman avait agi de </w:t>
            </w:r>
            <w:r w:rsidRPr="00996B84">
              <w:rPr>
                <w:rFonts w:eastAsiaTheme="minorHAnsi"/>
                <w:sz w:val="20"/>
                <w:lang w:val="fr-CA"/>
              </w:rPr>
              <w:lastRenderedPageBreak/>
              <w:t>mauvaise foi.  L’ombudsman a demandé par motion la suspension de l’action.</w:t>
            </w:r>
          </w:p>
          <w:p w:rsidR="00996B84" w:rsidRPr="00996B84" w:rsidRDefault="00996B84" w:rsidP="00996B84">
            <w:pPr>
              <w:jc w:val="both"/>
              <w:rPr>
                <w:rFonts w:eastAsiaTheme="minorHAnsi"/>
                <w:sz w:val="20"/>
                <w:lang w:val="fr-CA"/>
              </w:rPr>
            </w:pPr>
          </w:p>
        </w:tc>
      </w:tr>
      <w:tr w:rsidR="00996B84" w:rsidRPr="00F12DF5" w:rsidTr="00D01614">
        <w:tc>
          <w:tcPr>
            <w:tcW w:w="2427" w:type="pct"/>
            <w:gridSpan w:val="2"/>
          </w:tcPr>
          <w:p w:rsidR="00996B84" w:rsidRPr="00996B84" w:rsidRDefault="00996B84" w:rsidP="00996B84">
            <w:pPr>
              <w:jc w:val="both"/>
              <w:rPr>
                <w:rFonts w:eastAsiaTheme="minorHAnsi"/>
                <w:sz w:val="20"/>
                <w:lang w:val="fr-CA"/>
              </w:rPr>
            </w:pPr>
            <w:r w:rsidRPr="00996B84">
              <w:rPr>
                <w:rFonts w:eastAsiaTheme="minorHAnsi"/>
                <w:sz w:val="20"/>
                <w:lang w:val="fr-CA"/>
              </w:rPr>
              <w:lastRenderedPageBreak/>
              <w:t>3 février 2014</w:t>
            </w:r>
          </w:p>
          <w:p w:rsidR="00996B84" w:rsidRPr="00996B84" w:rsidRDefault="00996B84" w:rsidP="00996B84">
            <w:pPr>
              <w:jc w:val="both"/>
              <w:rPr>
                <w:rFonts w:eastAsiaTheme="minorHAnsi"/>
                <w:sz w:val="20"/>
                <w:lang w:val="fr-CA"/>
              </w:rPr>
            </w:pPr>
            <w:r w:rsidRPr="00996B84">
              <w:rPr>
                <w:rFonts w:eastAsiaTheme="minorHAnsi"/>
                <w:sz w:val="20"/>
                <w:lang w:val="fr-CA"/>
              </w:rPr>
              <w:t>Cour du Banc de la Reine du Manitoba</w:t>
            </w:r>
          </w:p>
          <w:p w:rsidR="00996B84" w:rsidRPr="00996B84" w:rsidRDefault="00996B84" w:rsidP="00996B84">
            <w:pPr>
              <w:jc w:val="both"/>
              <w:rPr>
                <w:rFonts w:eastAsiaTheme="minorHAnsi"/>
                <w:sz w:val="20"/>
                <w:lang w:val="fr-CA"/>
              </w:rPr>
            </w:pPr>
            <w:r w:rsidRPr="00996B84">
              <w:rPr>
                <w:rFonts w:eastAsiaTheme="minorHAnsi"/>
                <w:sz w:val="20"/>
                <w:lang w:val="fr-CA"/>
              </w:rPr>
              <w:t>(Juge Edmond)</w:t>
            </w:r>
          </w:p>
          <w:p w:rsidR="00996B84" w:rsidRPr="00996B84" w:rsidRDefault="00F12DF5" w:rsidP="00996B84">
            <w:pPr>
              <w:jc w:val="both"/>
              <w:rPr>
                <w:rFonts w:eastAsiaTheme="minorHAnsi"/>
                <w:sz w:val="20"/>
                <w:lang w:val="fr-CA"/>
              </w:rPr>
            </w:pPr>
            <w:hyperlink r:id="rId27" w:history="1">
              <w:r w:rsidR="00996B84" w:rsidRPr="00392A88">
                <w:rPr>
                  <w:rFonts w:eastAsiaTheme="minorHAnsi"/>
                  <w:color w:val="0000FF" w:themeColor="hyperlink"/>
                  <w:sz w:val="20"/>
                  <w:u w:val="single"/>
                  <w:lang w:val="fr-CA"/>
                </w:rPr>
                <w:t>2014 MBQB 25</w:t>
              </w:r>
            </w:hyperlink>
          </w:p>
          <w:p w:rsidR="00996B84" w:rsidRPr="00996B84" w:rsidRDefault="00996B84" w:rsidP="00996B84">
            <w:pPr>
              <w:jc w:val="both"/>
              <w:rPr>
                <w:rFonts w:eastAsiaTheme="minorHAnsi"/>
                <w:sz w:val="20"/>
                <w:lang w:val="fr-CA"/>
              </w:rPr>
            </w:pPr>
          </w:p>
        </w:tc>
        <w:tc>
          <w:tcPr>
            <w:tcW w:w="243" w:type="pct"/>
          </w:tcPr>
          <w:p w:rsidR="00996B84" w:rsidRPr="00996B84" w:rsidRDefault="00996B84" w:rsidP="00996B84">
            <w:pPr>
              <w:jc w:val="both"/>
              <w:rPr>
                <w:rFonts w:eastAsiaTheme="minorHAnsi"/>
                <w:sz w:val="20"/>
                <w:lang w:val="fr-CA"/>
              </w:rPr>
            </w:pPr>
          </w:p>
        </w:tc>
        <w:tc>
          <w:tcPr>
            <w:tcW w:w="2330" w:type="pct"/>
          </w:tcPr>
          <w:p w:rsidR="00996B84" w:rsidRPr="00996B84" w:rsidRDefault="00996B84" w:rsidP="00996B84">
            <w:pPr>
              <w:jc w:val="both"/>
              <w:rPr>
                <w:rFonts w:eastAsiaTheme="minorHAnsi"/>
                <w:sz w:val="20"/>
                <w:lang w:val="fr-CA"/>
              </w:rPr>
            </w:pPr>
            <w:r w:rsidRPr="00996B84">
              <w:rPr>
                <w:rFonts w:eastAsiaTheme="minorHAnsi"/>
                <w:sz w:val="20"/>
                <w:lang w:val="fr-CA"/>
              </w:rPr>
              <w:t>Suspension de l’instance à la demande de l’intimé par motion.</w:t>
            </w:r>
          </w:p>
        </w:tc>
      </w:tr>
      <w:tr w:rsidR="00996B84" w:rsidRPr="00F12DF5" w:rsidTr="00D01614">
        <w:tc>
          <w:tcPr>
            <w:tcW w:w="2427" w:type="pct"/>
            <w:gridSpan w:val="2"/>
          </w:tcPr>
          <w:p w:rsidR="00996B84" w:rsidRPr="00996B84" w:rsidRDefault="00996B84" w:rsidP="00996B84">
            <w:pPr>
              <w:jc w:val="both"/>
              <w:rPr>
                <w:rFonts w:eastAsiaTheme="minorHAnsi"/>
                <w:sz w:val="20"/>
                <w:lang w:val="fr-CA"/>
              </w:rPr>
            </w:pPr>
            <w:r w:rsidRPr="00996B84">
              <w:rPr>
                <w:rFonts w:eastAsiaTheme="minorHAnsi"/>
                <w:sz w:val="20"/>
                <w:lang w:val="fr-CA"/>
              </w:rPr>
              <w:t>4 février 2015</w:t>
            </w:r>
          </w:p>
          <w:p w:rsidR="00996B84" w:rsidRPr="00996B84" w:rsidRDefault="00996B84" w:rsidP="00996B84">
            <w:pPr>
              <w:jc w:val="both"/>
              <w:rPr>
                <w:rFonts w:eastAsiaTheme="minorHAnsi"/>
                <w:sz w:val="20"/>
                <w:lang w:val="fr-CA"/>
              </w:rPr>
            </w:pPr>
            <w:r w:rsidRPr="00996B84">
              <w:rPr>
                <w:rFonts w:eastAsiaTheme="minorHAnsi"/>
                <w:sz w:val="20"/>
                <w:lang w:val="fr-CA"/>
              </w:rPr>
              <w:t>Cour d’appel du Manitoba</w:t>
            </w:r>
          </w:p>
          <w:p w:rsidR="00996B84" w:rsidRPr="00996B84" w:rsidRDefault="00996B84" w:rsidP="00996B84">
            <w:pPr>
              <w:jc w:val="both"/>
              <w:rPr>
                <w:rFonts w:eastAsiaTheme="minorHAnsi"/>
                <w:sz w:val="20"/>
                <w:lang w:val="fr-CA"/>
              </w:rPr>
            </w:pPr>
            <w:r w:rsidRPr="00996B84">
              <w:rPr>
                <w:rFonts w:eastAsiaTheme="minorHAnsi"/>
                <w:sz w:val="20"/>
                <w:lang w:val="fr-CA"/>
              </w:rPr>
              <w:t>(Juge Mainella)</w:t>
            </w:r>
          </w:p>
          <w:p w:rsidR="00996B84" w:rsidRPr="00996B84" w:rsidRDefault="00F12DF5" w:rsidP="00996B84">
            <w:pPr>
              <w:jc w:val="both"/>
              <w:rPr>
                <w:rFonts w:eastAsiaTheme="minorHAnsi"/>
                <w:sz w:val="20"/>
                <w:lang w:val="fr-CA"/>
              </w:rPr>
            </w:pPr>
            <w:hyperlink r:id="rId28" w:history="1">
              <w:r w:rsidR="00996B84" w:rsidRPr="00392A88">
                <w:rPr>
                  <w:rFonts w:eastAsiaTheme="minorHAnsi"/>
                  <w:color w:val="0000FF" w:themeColor="hyperlink"/>
                  <w:sz w:val="20"/>
                  <w:u w:val="single"/>
                  <w:lang w:val="fr-CA"/>
                </w:rPr>
                <w:t>2015 MBCA 15</w:t>
              </w:r>
            </w:hyperlink>
          </w:p>
          <w:p w:rsidR="00996B84" w:rsidRPr="00996B84" w:rsidRDefault="00996B84" w:rsidP="00996B84">
            <w:pPr>
              <w:jc w:val="both"/>
              <w:rPr>
                <w:rFonts w:eastAsiaTheme="minorHAnsi"/>
                <w:sz w:val="20"/>
                <w:lang w:val="fr-CA"/>
              </w:rPr>
            </w:pPr>
          </w:p>
          <w:p w:rsidR="00996B84" w:rsidRPr="00996B84" w:rsidRDefault="00996B84" w:rsidP="00996B84">
            <w:pPr>
              <w:jc w:val="both"/>
              <w:rPr>
                <w:rFonts w:eastAsiaTheme="minorHAnsi"/>
                <w:sz w:val="20"/>
                <w:lang w:val="fr-CA"/>
              </w:rPr>
            </w:pPr>
            <w:r w:rsidRPr="00996B84">
              <w:rPr>
                <w:rFonts w:eastAsiaTheme="minorHAnsi"/>
                <w:sz w:val="20"/>
                <w:lang w:val="fr-CA"/>
              </w:rPr>
              <w:t>N</w:t>
            </w:r>
            <w:r w:rsidRPr="00996B84">
              <w:rPr>
                <w:rFonts w:eastAsiaTheme="minorHAnsi"/>
                <w:sz w:val="20"/>
                <w:vertAlign w:val="superscript"/>
                <w:lang w:val="fr-CA"/>
              </w:rPr>
              <w:t>os</w:t>
            </w:r>
            <w:r w:rsidRPr="00996B84">
              <w:rPr>
                <w:rFonts w:eastAsiaTheme="minorHAnsi"/>
                <w:sz w:val="20"/>
                <w:lang w:val="fr-CA"/>
              </w:rPr>
              <w:t xml:space="preserve"> du greffe : A113-30-08075, A113-30-08084 et A114-30-08112</w:t>
            </w:r>
          </w:p>
          <w:p w:rsidR="00996B84" w:rsidRPr="00996B84" w:rsidRDefault="00996B84" w:rsidP="00996B84">
            <w:pPr>
              <w:jc w:val="both"/>
              <w:rPr>
                <w:rFonts w:eastAsiaTheme="minorHAnsi"/>
                <w:sz w:val="20"/>
                <w:lang w:val="fr-CA"/>
              </w:rPr>
            </w:pPr>
          </w:p>
        </w:tc>
        <w:tc>
          <w:tcPr>
            <w:tcW w:w="243" w:type="pct"/>
          </w:tcPr>
          <w:p w:rsidR="00996B84" w:rsidRPr="00996B84" w:rsidRDefault="00996B84" w:rsidP="00996B84">
            <w:pPr>
              <w:jc w:val="both"/>
              <w:rPr>
                <w:rFonts w:eastAsiaTheme="minorHAnsi"/>
                <w:sz w:val="20"/>
                <w:lang w:val="fr-CA"/>
              </w:rPr>
            </w:pPr>
          </w:p>
        </w:tc>
        <w:tc>
          <w:tcPr>
            <w:tcW w:w="2330" w:type="pct"/>
          </w:tcPr>
          <w:p w:rsidR="00996B84" w:rsidRPr="00996B84" w:rsidRDefault="00996B84" w:rsidP="00996B84">
            <w:pPr>
              <w:jc w:val="both"/>
              <w:rPr>
                <w:rFonts w:eastAsiaTheme="minorHAnsi"/>
                <w:sz w:val="20"/>
                <w:lang w:val="fr-CA"/>
              </w:rPr>
            </w:pPr>
            <w:r w:rsidRPr="00996B84">
              <w:rPr>
                <w:rFonts w:eastAsiaTheme="minorHAnsi"/>
                <w:sz w:val="20"/>
                <w:lang w:val="fr-CA"/>
              </w:rPr>
              <w:t>Rejet de la motion du demandeur en récusation et de la motion du demandeur en nomination d’un tuteur à l’instance; suspension des trois appels du demandeur jusqu’à nouvel ordre de la cour; directive au greffe de ne pas accepter d’autres documents du demandeur pour dépôt jusqu’à ce que le demandeur fournisse par écrit une preuve comme quoi il est représenté par un avocat.</w:t>
            </w:r>
          </w:p>
          <w:p w:rsidR="00996B84" w:rsidRPr="00996B84" w:rsidRDefault="00996B84" w:rsidP="00996B84">
            <w:pPr>
              <w:jc w:val="both"/>
              <w:rPr>
                <w:rFonts w:eastAsiaTheme="minorHAnsi"/>
                <w:sz w:val="20"/>
                <w:lang w:val="fr-CA"/>
              </w:rPr>
            </w:pPr>
          </w:p>
        </w:tc>
      </w:tr>
      <w:tr w:rsidR="00996B84" w:rsidRPr="00F12DF5" w:rsidTr="00D01614">
        <w:tc>
          <w:tcPr>
            <w:tcW w:w="2427" w:type="pct"/>
            <w:gridSpan w:val="2"/>
          </w:tcPr>
          <w:p w:rsidR="00996B84" w:rsidRPr="00996B84" w:rsidRDefault="00996B84" w:rsidP="00996B84">
            <w:pPr>
              <w:jc w:val="both"/>
              <w:rPr>
                <w:rFonts w:eastAsiaTheme="minorHAnsi"/>
                <w:sz w:val="20"/>
                <w:lang w:val="fr-CA"/>
              </w:rPr>
            </w:pPr>
            <w:r w:rsidRPr="00996B84">
              <w:rPr>
                <w:rFonts w:eastAsiaTheme="minorHAnsi"/>
                <w:sz w:val="20"/>
                <w:lang w:val="fr-CA"/>
              </w:rPr>
              <w:t>31 mars 2015</w:t>
            </w:r>
          </w:p>
          <w:p w:rsidR="00996B84" w:rsidRPr="00996B84" w:rsidRDefault="00996B84" w:rsidP="00996B84">
            <w:pPr>
              <w:jc w:val="both"/>
              <w:rPr>
                <w:rFonts w:eastAsiaTheme="minorHAnsi"/>
                <w:sz w:val="20"/>
                <w:lang w:val="fr-CA"/>
              </w:rPr>
            </w:pPr>
            <w:r w:rsidRPr="00996B84">
              <w:rPr>
                <w:rFonts w:eastAsiaTheme="minorHAnsi"/>
                <w:sz w:val="20"/>
                <w:lang w:val="fr-CA"/>
              </w:rPr>
              <w:t>Cour suprême du Canada</w:t>
            </w:r>
          </w:p>
        </w:tc>
        <w:tc>
          <w:tcPr>
            <w:tcW w:w="243" w:type="pct"/>
          </w:tcPr>
          <w:p w:rsidR="00996B84" w:rsidRPr="00996B84" w:rsidRDefault="00996B84" w:rsidP="00996B84">
            <w:pPr>
              <w:jc w:val="both"/>
              <w:rPr>
                <w:rFonts w:eastAsiaTheme="minorHAnsi"/>
                <w:sz w:val="20"/>
                <w:lang w:val="fr-CA"/>
              </w:rPr>
            </w:pPr>
          </w:p>
        </w:tc>
        <w:tc>
          <w:tcPr>
            <w:tcW w:w="2330" w:type="pct"/>
          </w:tcPr>
          <w:p w:rsidR="00996B84" w:rsidRPr="00996B84" w:rsidRDefault="00996B84" w:rsidP="00996B84">
            <w:pPr>
              <w:jc w:val="both"/>
              <w:rPr>
                <w:rFonts w:eastAsiaTheme="minorHAnsi"/>
                <w:sz w:val="20"/>
                <w:lang w:val="fr-CA"/>
              </w:rPr>
            </w:pPr>
            <w:r w:rsidRPr="00996B84">
              <w:rPr>
                <w:rFonts w:eastAsiaTheme="minorHAnsi"/>
                <w:sz w:val="20"/>
                <w:lang w:val="fr-CA"/>
              </w:rPr>
              <w:t>Dépôt de la demande d’autorisation d’appel.</w:t>
            </w:r>
          </w:p>
          <w:p w:rsidR="00996B84" w:rsidRPr="00996B84" w:rsidRDefault="00996B84" w:rsidP="00996B84">
            <w:pPr>
              <w:jc w:val="both"/>
              <w:rPr>
                <w:rFonts w:eastAsiaTheme="minorHAnsi"/>
                <w:sz w:val="20"/>
                <w:lang w:val="fr-CA"/>
              </w:rPr>
            </w:pPr>
          </w:p>
        </w:tc>
      </w:tr>
    </w:tbl>
    <w:p w:rsidR="00996B84" w:rsidRDefault="00996B84" w:rsidP="00996B84">
      <w:pPr>
        <w:jc w:val="both"/>
        <w:rPr>
          <w:rFonts w:eastAsiaTheme="minorHAnsi"/>
          <w:sz w:val="20"/>
          <w:lang w:val="fr-CA"/>
        </w:rPr>
      </w:pPr>
    </w:p>
    <w:p w:rsidR="00C9015F" w:rsidRPr="00996B84" w:rsidRDefault="00C9015F" w:rsidP="00996B84">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990"/>
        <w:gridCol w:w="8280"/>
      </w:tblGrid>
      <w:tr w:rsidR="00996B84" w:rsidRPr="00996B84" w:rsidTr="00392A88">
        <w:tc>
          <w:tcPr>
            <w:tcW w:w="534" w:type="pct"/>
          </w:tcPr>
          <w:p w:rsidR="00996B84" w:rsidRPr="00996B84" w:rsidRDefault="00996B84" w:rsidP="00996B84">
            <w:pPr>
              <w:jc w:val="both"/>
              <w:rPr>
                <w:rFonts w:eastAsiaTheme="minorHAnsi"/>
                <w:sz w:val="20"/>
                <w:lang w:val="en-CA"/>
              </w:rPr>
            </w:pPr>
            <w:r w:rsidRPr="00392A88">
              <w:rPr>
                <w:rFonts w:eastAsiaTheme="minorHAnsi"/>
                <w:b/>
                <w:sz w:val="20"/>
                <w:lang w:val="fr-CA"/>
              </w:rPr>
              <w:t>36233</w:t>
            </w:r>
          </w:p>
        </w:tc>
        <w:tc>
          <w:tcPr>
            <w:tcW w:w="4466" w:type="pct"/>
          </w:tcPr>
          <w:p w:rsidR="00996B84" w:rsidRPr="00996B84" w:rsidRDefault="00996B84" w:rsidP="00996B84">
            <w:pPr>
              <w:ind w:right="540"/>
              <w:jc w:val="both"/>
              <w:rPr>
                <w:rFonts w:eastAsiaTheme="minorHAnsi"/>
                <w:b/>
                <w:sz w:val="20"/>
                <w:lang w:val="en-CA"/>
              </w:rPr>
            </w:pPr>
            <w:r w:rsidRPr="00996B84">
              <w:rPr>
                <w:rFonts w:eastAsiaTheme="minorHAnsi"/>
                <w:b/>
                <w:sz w:val="20"/>
                <w:lang w:val="en-CA"/>
              </w:rPr>
              <w:t>La Presse, ltée v. Guy Drouin, Daniel Lafond, Frédérick Turenne, Louis-Pierre Lafortune, Jerry Purdy, Jocelyne Therrien, Roberto Amato, Her Majesty the Queen</w:t>
            </w:r>
          </w:p>
          <w:p w:rsidR="00996B84" w:rsidRPr="00996B84" w:rsidRDefault="00996B84" w:rsidP="00996B84">
            <w:pPr>
              <w:jc w:val="both"/>
              <w:rPr>
                <w:rFonts w:eastAsiaTheme="minorHAnsi"/>
                <w:sz w:val="20"/>
                <w:lang w:val="en-CA"/>
              </w:rPr>
            </w:pPr>
            <w:r w:rsidRPr="00996B84">
              <w:rPr>
                <w:rFonts w:eastAsiaTheme="minorHAnsi"/>
                <w:sz w:val="20"/>
                <w:lang w:val="en-CA"/>
              </w:rPr>
              <w:t>(Que.) (Criminal) (By Leave)</w:t>
            </w:r>
          </w:p>
        </w:tc>
      </w:tr>
      <w:tr w:rsidR="00996B84" w:rsidRPr="00996B84" w:rsidTr="00392A88">
        <w:tc>
          <w:tcPr>
            <w:tcW w:w="5000" w:type="pct"/>
            <w:gridSpan w:val="2"/>
          </w:tcPr>
          <w:p w:rsidR="00996B84" w:rsidRDefault="00996B84" w:rsidP="00996B84">
            <w:pPr>
              <w:jc w:val="both"/>
              <w:rPr>
                <w:rFonts w:eastAsiaTheme="minorHAnsi"/>
                <w:smallCaps/>
                <w:sz w:val="20"/>
                <w:lang w:val="en-CA"/>
              </w:rPr>
            </w:pPr>
            <w:r w:rsidRPr="00996B84">
              <w:rPr>
                <w:rFonts w:eastAsiaTheme="minorHAnsi"/>
                <w:smallCaps/>
                <w:sz w:val="20"/>
                <w:lang w:val="en-CA"/>
              </w:rPr>
              <w:t>(Publication Ban in Case)</w:t>
            </w:r>
          </w:p>
          <w:p w:rsidR="00392A88" w:rsidRDefault="00392A88" w:rsidP="00996B84">
            <w:pPr>
              <w:jc w:val="both"/>
              <w:rPr>
                <w:rFonts w:eastAsiaTheme="minorHAnsi"/>
                <w:smallCaps/>
                <w:sz w:val="20"/>
                <w:lang w:val="en-CA"/>
              </w:rPr>
            </w:pPr>
          </w:p>
          <w:p w:rsidR="00392A88" w:rsidRPr="00996B84" w:rsidRDefault="00392A88" w:rsidP="00392A88">
            <w:pPr>
              <w:jc w:val="both"/>
              <w:rPr>
                <w:rFonts w:eastAsiaTheme="minorHAnsi"/>
                <w:sz w:val="20"/>
                <w:lang w:val="en-CA"/>
              </w:rPr>
            </w:pPr>
            <w:r w:rsidRPr="00996B84">
              <w:rPr>
                <w:rFonts w:eastAsiaTheme="minorHAnsi"/>
                <w:sz w:val="20"/>
                <w:lang w:val="en-CA"/>
              </w:rPr>
              <w:t xml:space="preserve">This is an application for leave to appeal an order made in a criminal case prohibiting publication, broadcasting and transmission. </w:t>
            </w:r>
          </w:p>
          <w:p w:rsidR="00996B84" w:rsidRPr="00996B84" w:rsidRDefault="00996B84" w:rsidP="00996B84">
            <w:pPr>
              <w:jc w:val="both"/>
              <w:rPr>
                <w:rFonts w:eastAsiaTheme="minorHAnsi"/>
                <w:sz w:val="20"/>
                <w:lang w:val="en-CA"/>
              </w:rPr>
            </w:pPr>
          </w:p>
        </w:tc>
      </w:tr>
    </w:tbl>
    <w:p w:rsidR="00996B84" w:rsidRPr="00392A88" w:rsidRDefault="00996B84" w:rsidP="00AC1250">
      <w:pPr>
        <w:ind w:left="360" w:hanging="360"/>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990"/>
        <w:gridCol w:w="8280"/>
      </w:tblGrid>
      <w:tr w:rsidR="00996B84" w:rsidRPr="00996B84" w:rsidTr="00392A88">
        <w:tc>
          <w:tcPr>
            <w:tcW w:w="534" w:type="pct"/>
          </w:tcPr>
          <w:p w:rsidR="00996B84" w:rsidRPr="00996B84" w:rsidRDefault="00996B84" w:rsidP="00996B84">
            <w:pPr>
              <w:jc w:val="both"/>
              <w:rPr>
                <w:rFonts w:eastAsiaTheme="minorHAnsi"/>
                <w:sz w:val="20"/>
                <w:lang w:val="fr-CA"/>
              </w:rPr>
            </w:pPr>
            <w:r w:rsidRPr="00392A88">
              <w:rPr>
                <w:rFonts w:eastAsiaTheme="minorHAnsi"/>
                <w:b/>
                <w:sz w:val="20"/>
                <w:lang w:val="fr-CA"/>
              </w:rPr>
              <w:t>36233</w:t>
            </w:r>
          </w:p>
        </w:tc>
        <w:tc>
          <w:tcPr>
            <w:tcW w:w="4466" w:type="pct"/>
          </w:tcPr>
          <w:p w:rsidR="00996B84" w:rsidRPr="00996B84" w:rsidRDefault="00996B84" w:rsidP="00996B84">
            <w:pPr>
              <w:jc w:val="both"/>
              <w:rPr>
                <w:rFonts w:eastAsiaTheme="minorHAnsi"/>
                <w:b/>
                <w:sz w:val="20"/>
                <w:lang w:val="fr-CA"/>
              </w:rPr>
            </w:pPr>
            <w:r w:rsidRPr="00996B84">
              <w:rPr>
                <w:rFonts w:eastAsiaTheme="minorHAnsi"/>
                <w:b/>
                <w:sz w:val="20"/>
                <w:lang w:val="fr-CA"/>
              </w:rPr>
              <w:t>La Presse, ltée c. Guy Drouin, Daniel Lafond, Frédérick Turenne, Louis-Pierre Laforture, Jerry Purdy, Jocelyne Therrien, Roberto Amato, Sa Majesté la Reine</w:t>
            </w:r>
          </w:p>
          <w:p w:rsidR="00996B84" w:rsidRPr="00996B84" w:rsidRDefault="00996B84" w:rsidP="00996B84">
            <w:pPr>
              <w:jc w:val="both"/>
              <w:rPr>
                <w:rFonts w:eastAsiaTheme="minorHAnsi"/>
                <w:sz w:val="20"/>
                <w:lang w:val="fr-CA"/>
              </w:rPr>
            </w:pPr>
            <w:r w:rsidRPr="00996B84">
              <w:rPr>
                <w:rFonts w:eastAsiaTheme="minorHAnsi"/>
                <w:sz w:val="20"/>
                <w:lang w:val="fr-CA"/>
              </w:rPr>
              <w:t>(Qc) (Criminelle) (Autorisation)</w:t>
            </w:r>
          </w:p>
        </w:tc>
      </w:tr>
      <w:tr w:rsidR="00996B84" w:rsidRPr="00F12DF5" w:rsidTr="00392A88">
        <w:tc>
          <w:tcPr>
            <w:tcW w:w="5000" w:type="pct"/>
            <w:gridSpan w:val="2"/>
          </w:tcPr>
          <w:p w:rsidR="00996B84" w:rsidRPr="00996B84" w:rsidRDefault="00996B84" w:rsidP="00996B84">
            <w:pPr>
              <w:jc w:val="both"/>
              <w:rPr>
                <w:rFonts w:eastAsiaTheme="minorHAnsi"/>
                <w:smallCaps/>
                <w:sz w:val="20"/>
                <w:lang w:val="fr-CA"/>
              </w:rPr>
            </w:pPr>
            <w:r w:rsidRPr="00996B84">
              <w:rPr>
                <w:rFonts w:eastAsiaTheme="minorHAnsi"/>
                <w:smallCaps/>
                <w:sz w:val="20"/>
                <w:lang w:val="fr-CA"/>
              </w:rPr>
              <w:t>(Ordonnance de non-publication dans le dossier)</w:t>
            </w:r>
          </w:p>
          <w:p w:rsidR="00996B84" w:rsidRDefault="00996B84" w:rsidP="00392A88">
            <w:pPr>
              <w:jc w:val="both"/>
              <w:rPr>
                <w:rFonts w:eastAsiaTheme="minorHAnsi"/>
                <w:sz w:val="20"/>
                <w:lang w:val="fr-CA"/>
              </w:rPr>
            </w:pPr>
          </w:p>
          <w:p w:rsidR="00392A88" w:rsidRPr="00996B84" w:rsidRDefault="00392A88" w:rsidP="00392A88">
            <w:pPr>
              <w:jc w:val="both"/>
              <w:rPr>
                <w:rFonts w:eastAsiaTheme="minorHAnsi"/>
                <w:sz w:val="20"/>
                <w:lang w:val="fr-CA"/>
              </w:rPr>
            </w:pPr>
            <w:r w:rsidRPr="00996B84">
              <w:rPr>
                <w:rFonts w:eastAsiaTheme="minorHAnsi"/>
                <w:sz w:val="20"/>
                <w:lang w:val="fr-CA"/>
              </w:rPr>
              <w:t xml:space="preserve">Il s’agit d’une demande d’autorisation d’interjeter appel d’une ordonnance de non-publication et de non-diffusion rendue dans une affaire criminelle. </w:t>
            </w:r>
          </w:p>
          <w:p w:rsidR="00392A88" w:rsidRPr="00996B84" w:rsidRDefault="00392A88" w:rsidP="00996B84">
            <w:pPr>
              <w:jc w:val="both"/>
              <w:rPr>
                <w:rFonts w:eastAsiaTheme="minorHAnsi"/>
                <w:sz w:val="20"/>
                <w:lang w:val="fr-CA"/>
              </w:rPr>
            </w:pPr>
          </w:p>
        </w:tc>
      </w:tr>
    </w:tbl>
    <w:p w:rsidR="00996B84" w:rsidRPr="00392A88" w:rsidRDefault="00996B84" w:rsidP="00AC1250">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96B84" w:rsidRPr="00996B84" w:rsidTr="00D01614">
        <w:tc>
          <w:tcPr>
            <w:tcW w:w="543" w:type="pct"/>
          </w:tcPr>
          <w:p w:rsidR="00996B84" w:rsidRPr="00996B84" w:rsidRDefault="00996B84" w:rsidP="00996B84">
            <w:pPr>
              <w:jc w:val="both"/>
              <w:rPr>
                <w:rFonts w:eastAsiaTheme="minorHAnsi"/>
                <w:sz w:val="20"/>
                <w:lang w:val="en-CA"/>
              </w:rPr>
            </w:pPr>
            <w:r w:rsidRPr="00392A88">
              <w:rPr>
                <w:rFonts w:eastAsiaTheme="minorHAnsi"/>
                <w:b/>
                <w:sz w:val="20"/>
                <w:lang w:val="fr-CA"/>
              </w:rPr>
              <w:t>36286</w:t>
            </w:r>
          </w:p>
        </w:tc>
        <w:tc>
          <w:tcPr>
            <w:tcW w:w="4457" w:type="pct"/>
            <w:gridSpan w:val="3"/>
          </w:tcPr>
          <w:p w:rsidR="00996B84" w:rsidRPr="00996B84" w:rsidRDefault="00996B84" w:rsidP="00996B84">
            <w:pPr>
              <w:jc w:val="both"/>
              <w:rPr>
                <w:rFonts w:eastAsiaTheme="minorHAnsi"/>
                <w:b/>
                <w:sz w:val="20"/>
                <w:lang w:val="en-CA"/>
              </w:rPr>
            </w:pPr>
            <w:r w:rsidRPr="00996B84">
              <w:rPr>
                <w:rFonts w:eastAsiaTheme="minorHAnsi"/>
                <w:b/>
                <w:sz w:val="20"/>
                <w:lang w:val="en-CA"/>
              </w:rPr>
              <w:t>Frank Antoine Joseph v. Her Majesty the Queen</w:t>
            </w:r>
          </w:p>
          <w:p w:rsidR="00996B84" w:rsidRPr="00996B84" w:rsidRDefault="00996B84" w:rsidP="00996B84">
            <w:pPr>
              <w:jc w:val="both"/>
              <w:rPr>
                <w:rFonts w:eastAsiaTheme="minorHAnsi"/>
                <w:sz w:val="20"/>
                <w:lang w:val="en-CA"/>
              </w:rPr>
            </w:pPr>
            <w:r w:rsidRPr="00996B84">
              <w:rPr>
                <w:rFonts w:eastAsiaTheme="minorHAnsi"/>
                <w:sz w:val="20"/>
                <w:lang w:val="en-CA"/>
              </w:rPr>
              <w:t>(Que.) (Criminal) (By Leave)</w:t>
            </w:r>
          </w:p>
        </w:tc>
      </w:tr>
      <w:tr w:rsidR="00996B84" w:rsidRPr="00996B84" w:rsidTr="00D01614">
        <w:tc>
          <w:tcPr>
            <w:tcW w:w="5000" w:type="pct"/>
            <w:gridSpan w:val="4"/>
          </w:tcPr>
          <w:p w:rsidR="00996B84" w:rsidRPr="00996B84" w:rsidRDefault="00996B84" w:rsidP="00996B84">
            <w:pPr>
              <w:jc w:val="both"/>
              <w:rPr>
                <w:rFonts w:eastAsiaTheme="minorHAnsi"/>
                <w:sz w:val="20"/>
                <w:lang w:val="en-CA"/>
              </w:rPr>
            </w:pPr>
            <w:r w:rsidRPr="00996B84">
              <w:rPr>
                <w:rFonts w:eastAsiaTheme="minorHAnsi"/>
                <w:sz w:val="20"/>
                <w:lang w:val="en-CA"/>
              </w:rPr>
              <w:t>Criminal law – First degree murder – Charge to jury – Reasonable verdict – Identification evidence – Whether jury adequately instructed on identification evidence – Whether verdict unreasonable.</w:t>
            </w:r>
          </w:p>
        </w:tc>
      </w:tr>
      <w:tr w:rsidR="00996B84" w:rsidRPr="00996B84" w:rsidTr="00D01614">
        <w:tc>
          <w:tcPr>
            <w:tcW w:w="5000" w:type="pct"/>
            <w:gridSpan w:val="4"/>
          </w:tcPr>
          <w:p w:rsidR="00996B84" w:rsidRPr="00996B84" w:rsidRDefault="00996B84" w:rsidP="00996B84">
            <w:pPr>
              <w:jc w:val="both"/>
              <w:rPr>
                <w:rFonts w:eastAsiaTheme="minorHAnsi"/>
                <w:sz w:val="20"/>
                <w:lang w:val="en-CA"/>
              </w:rPr>
            </w:pPr>
          </w:p>
        </w:tc>
      </w:tr>
      <w:tr w:rsidR="00996B84" w:rsidRPr="00996B84" w:rsidTr="00D01614">
        <w:tc>
          <w:tcPr>
            <w:tcW w:w="5000" w:type="pct"/>
            <w:gridSpan w:val="4"/>
          </w:tcPr>
          <w:p w:rsidR="00996B84" w:rsidRPr="00996B84" w:rsidRDefault="00996B84" w:rsidP="00996B84">
            <w:pPr>
              <w:jc w:val="both"/>
              <w:rPr>
                <w:rFonts w:eastAsiaTheme="minorHAnsi"/>
                <w:sz w:val="20"/>
                <w:lang w:val="en-CA"/>
              </w:rPr>
            </w:pPr>
            <w:r w:rsidRPr="00996B84">
              <w:rPr>
                <w:rFonts w:eastAsiaTheme="minorHAnsi"/>
                <w:sz w:val="20"/>
                <w:lang w:val="en-CA"/>
              </w:rPr>
              <w:t>The applicant, Mr. Joseph, was convicted of first degree murder.  While the victim was sitting outside with some friends, an individual approached to about 10 metres away, put on gloves, greeted the victim, took out a sawed</w:t>
            </w:r>
            <w:r w:rsidRPr="00996B84">
              <w:rPr>
                <w:rFonts w:eastAsiaTheme="minorHAnsi"/>
                <w:sz w:val="20"/>
                <w:lang w:val="en-CA"/>
              </w:rPr>
              <w:noBreakHyphen/>
              <w:t>off shotgun, shot the victim in the head and fled.  The shooter’s identity was a key issue for the outcome of the trial.  The jury was satisfied from the identification evidence, the testimony on the facts and the evidence relating to cell phone calls that Mr. Joseph had committed the crime.  On appeal, Mr. Joseph argued that the trial judge had inadequately instructed the jury on the dangers of identification evidence and that the verdict was unreasonable.  The Court of Appeal dismissed the appeal.</w:t>
            </w:r>
          </w:p>
          <w:p w:rsidR="00996B84" w:rsidRPr="00996B84" w:rsidRDefault="00996B84" w:rsidP="00996B84">
            <w:pPr>
              <w:jc w:val="both"/>
              <w:rPr>
                <w:rFonts w:eastAsiaTheme="minorHAnsi"/>
                <w:sz w:val="20"/>
                <w:lang w:val="en-CA"/>
              </w:rPr>
            </w:pPr>
          </w:p>
        </w:tc>
      </w:tr>
      <w:tr w:rsidR="00996B84" w:rsidRPr="00996B84" w:rsidTr="00D01614">
        <w:tc>
          <w:tcPr>
            <w:tcW w:w="2427" w:type="pct"/>
            <w:gridSpan w:val="2"/>
          </w:tcPr>
          <w:p w:rsidR="00996B84" w:rsidRPr="00996B84" w:rsidRDefault="00996B84" w:rsidP="00996B84">
            <w:pPr>
              <w:jc w:val="both"/>
              <w:rPr>
                <w:rFonts w:eastAsiaTheme="minorHAnsi"/>
                <w:sz w:val="20"/>
                <w:lang w:val="en-CA"/>
              </w:rPr>
            </w:pPr>
            <w:r w:rsidRPr="00996B84">
              <w:rPr>
                <w:rFonts w:eastAsiaTheme="minorHAnsi"/>
                <w:sz w:val="20"/>
                <w:lang w:val="en-CA"/>
              </w:rPr>
              <w:lastRenderedPageBreak/>
              <w:t>October 23, 2011</w:t>
            </w:r>
          </w:p>
          <w:p w:rsidR="00996B84" w:rsidRPr="00996B84" w:rsidRDefault="00996B84" w:rsidP="00996B84">
            <w:pPr>
              <w:jc w:val="both"/>
              <w:rPr>
                <w:rFonts w:eastAsiaTheme="minorHAnsi"/>
                <w:sz w:val="20"/>
                <w:lang w:val="en-CA"/>
              </w:rPr>
            </w:pPr>
            <w:r w:rsidRPr="00996B84">
              <w:rPr>
                <w:rFonts w:eastAsiaTheme="minorHAnsi"/>
                <w:sz w:val="20"/>
                <w:lang w:val="en-CA"/>
              </w:rPr>
              <w:t>Quebec Superior Court</w:t>
            </w:r>
          </w:p>
          <w:p w:rsidR="00996B84" w:rsidRPr="00996B84" w:rsidRDefault="00996B84" w:rsidP="00996B84">
            <w:pPr>
              <w:jc w:val="both"/>
              <w:rPr>
                <w:rFonts w:eastAsiaTheme="minorHAnsi"/>
                <w:sz w:val="20"/>
                <w:lang w:val="en-CA"/>
              </w:rPr>
            </w:pPr>
            <w:r w:rsidRPr="00996B84">
              <w:rPr>
                <w:rFonts w:eastAsiaTheme="minorHAnsi"/>
                <w:sz w:val="20"/>
                <w:lang w:val="en-CA"/>
              </w:rPr>
              <w:t>(Bourque J.)</w:t>
            </w:r>
          </w:p>
          <w:p w:rsidR="00996B84" w:rsidRPr="00996B84" w:rsidRDefault="00996B84" w:rsidP="00996B84">
            <w:pPr>
              <w:jc w:val="both"/>
              <w:rPr>
                <w:rFonts w:eastAsiaTheme="minorHAnsi"/>
                <w:sz w:val="20"/>
                <w:lang w:val="en-CA"/>
              </w:rPr>
            </w:pPr>
          </w:p>
        </w:tc>
        <w:tc>
          <w:tcPr>
            <w:tcW w:w="243" w:type="pct"/>
          </w:tcPr>
          <w:p w:rsidR="00996B84" w:rsidRPr="00996B84" w:rsidRDefault="00996B84" w:rsidP="00996B84">
            <w:pPr>
              <w:jc w:val="both"/>
              <w:rPr>
                <w:rFonts w:eastAsiaTheme="minorHAnsi"/>
                <w:sz w:val="20"/>
                <w:lang w:val="en-CA"/>
              </w:rPr>
            </w:pPr>
          </w:p>
        </w:tc>
        <w:tc>
          <w:tcPr>
            <w:tcW w:w="2330" w:type="pct"/>
          </w:tcPr>
          <w:p w:rsidR="00996B84" w:rsidRPr="00996B84" w:rsidRDefault="00996B84" w:rsidP="00996B84">
            <w:pPr>
              <w:jc w:val="both"/>
              <w:rPr>
                <w:rFonts w:eastAsiaTheme="minorHAnsi"/>
                <w:sz w:val="20"/>
                <w:lang w:val="en-CA"/>
              </w:rPr>
            </w:pPr>
            <w:r w:rsidRPr="00996B84">
              <w:rPr>
                <w:rFonts w:eastAsiaTheme="minorHAnsi"/>
                <w:sz w:val="20"/>
                <w:lang w:val="en-CA"/>
              </w:rPr>
              <w:t>Applicant convicted of first degree murder</w:t>
            </w:r>
          </w:p>
          <w:p w:rsidR="00996B84" w:rsidRPr="00996B84" w:rsidRDefault="00996B84" w:rsidP="00996B84">
            <w:pPr>
              <w:jc w:val="both"/>
              <w:rPr>
                <w:rFonts w:eastAsiaTheme="minorHAnsi"/>
                <w:sz w:val="20"/>
                <w:lang w:val="en-CA"/>
              </w:rPr>
            </w:pPr>
          </w:p>
        </w:tc>
      </w:tr>
      <w:tr w:rsidR="00996B84" w:rsidRPr="00996B84" w:rsidTr="00D01614">
        <w:tc>
          <w:tcPr>
            <w:tcW w:w="2427" w:type="pct"/>
            <w:gridSpan w:val="2"/>
          </w:tcPr>
          <w:p w:rsidR="00996B84" w:rsidRPr="00996B84" w:rsidRDefault="00996B84" w:rsidP="00996B84">
            <w:pPr>
              <w:jc w:val="both"/>
              <w:rPr>
                <w:rFonts w:eastAsiaTheme="minorHAnsi"/>
                <w:sz w:val="20"/>
                <w:lang w:val="en-CA"/>
              </w:rPr>
            </w:pPr>
            <w:r w:rsidRPr="00996B84">
              <w:rPr>
                <w:rFonts w:eastAsiaTheme="minorHAnsi"/>
                <w:sz w:val="20"/>
                <w:lang w:val="en-CA"/>
              </w:rPr>
              <w:t>December 2, 2014</w:t>
            </w:r>
          </w:p>
          <w:p w:rsidR="00996B84" w:rsidRPr="00996B84" w:rsidRDefault="00996B84" w:rsidP="00996B84">
            <w:pPr>
              <w:jc w:val="both"/>
              <w:rPr>
                <w:rFonts w:eastAsiaTheme="minorHAnsi"/>
                <w:sz w:val="20"/>
                <w:lang w:val="en-CA"/>
              </w:rPr>
            </w:pPr>
            <w:r w:rsidRPr="00996B84">
              <w:rPr>
                <w:rFonts w:eastAsiaTheme="minorHAnsi"/>
                <w:sz w:val="20"/>
                <w:lang w:val="en-CA"/>
              </w:rPr>
              <w:t>Quebec Court of Appeal (Québec)</w:t>
            </w:r>
          </w:p>
          <w:p w:rsidR="00996B84" w:rsidRPr="00996B84" w:rsidRDefault="00996B84" w:rsidP="00996B84">
            <w:pPr>
              <w:jc w:val="both"/>
              <w:rPr>
                <w:rFonts w:eastAsiaTheme="minorHAnsi"/>
                <w:sz w:val="20"/>
                <w:lang w:val="en-CA"/>
              </w:rPr>
            </w:pPr>
            <w:r w:rsidRPr="00996B84">
              <w:rPr>
                <w:rFonts w:eastAsiaTheme="minorHAnsi"/>
                <w:sz w:val="20"/>
                <w:lang w:val="en-CA"/>
              </w:rPr>
              <w:t>(Thibault, Gagnon and Vauclair JJ.A.)</w:t>
            </w:r>
          </w:p>
          <w:p w:rsidR="00996B84" w:rsidRPr="00996B84" w:rsidRDefault="00F12DF5" w:rsidP="00996B84">
            <w:pPr>
              <w:jc w:val="both"/>
              <w:rPr>
                <w:rFonts w:eastAsiaTheme="minorHAnsi"/>
                <w:sz w:val="20"/>
                <w:lang w:val="en-CA"/>
              </w:rPr>
            </w:pPr>
            <w:hyperlink r:id="rId29" w:history="1">
              <w:r w:rsidR="00996B84" w:rsidRPr="00392A88">
                <w:rPr>
                  <w:rFonts w:eastAsiaTheme="minorHAnsi"/>
                  <w:color w:val="0000FF" w:themeColor="hyperlink"/>
                  <w:sz w:val="20"/>
                  <w:u w:val="single"/>
                  <w:lang w:val="en-CA"/>
                </w:rPr>
                <w:t>2014 QCCA 2232</w:t>
              </w:r>
            </w:hyperlink>
          </w:p>
          <w:p w:rsidR="00996B84" w:rsidRPr="00996B84" w:rsidRDefault="00996B84" w:rsidP="00996B84">
            <w:pPr>
              <w:jc w:val="both"/>
              <w:rPr>
                <w:rFonts w:eastAsiaTheme="minorHAnsi"/>
                <w:sz w:val="20"/>
                <w:lang w:val="en-CA"/>
              </w:rPr>
            </w:pPr>
          </w:p>
        </w:tc>
        <w:tc>
          <w:tcPr>
            <w:tcW w:w="243" w:type="pct"/>
          </w:tcPr>
          <w:p w:rsidR="00996B84" w:rsidRPr="00996B84" w:rsidRDefault="00996B84" w:rsidP="00996B84">
            <w:pPr>
              <w:jc w:val="both"/>
              <w:rPr>
                <w:rFonts w:eastAsiaTheme="minorHAnsi"/>
                <w:sz w:val="20"/>
                <w:lang w:val="en-CA"/>
              </w:rPr>
            </w:pPr>
          </w:p>
        </w:tc>
        <w:tc>
          <w:tcPr>
            <w:tcW w:w="2330" w:type="pct"/>
          </w:tcPr>
          <w:p w:rsidR="00996B84" w:rsidRPr="00996B84" w:rsidRDefault="00996B84" w:rsidP="00996B84">
            <w:pPr>
              <w:jc w:val="both"/>
              <w:rPr>
                <w:rFonts w:eastAsiaTheme="minorHAnsi"/>
                <w:sz w:val="20"/>
                <w:lang w:val="en-CA"/>
              </w:rPr>
            </w:pPr>
            <w:r w:rsidRPr="00996B84">
              <w:rPr>
                <w:rFonts w:eastAsiaTheme="minorHAnsi"/>
                <w:sz w:val="20"/>
                <w:lang w:val="en-CA"/>
              </w:rPr>
              <w:t>Appeal dismissed</w:t>
            </w:r>
          </w:p>
          <w:p w:rsidR="00996B84" w:rsidRPr="00996B84" w:rsidRDefault="00996B84" w:rsidP="00996B84">
            <w:pPr>
              <w:jc w:val="both"/>
              <w:rPr>
                <w:rFonts w:eastAsiaTheme="minorHAnsi"/>
                <w:sz w:val="20"/>
                <w:lang w:val="en-CA"/>
              </w:rPr>
            </w:pPr>
          </w:p>
        </w:tc>
      </w:tr>
      <w:tr w:rsidR="00996B84" w:rsidRPr="00996B84" w:rsidTr="00D01614">
        <w:tc>
          <w:tcPr>
            <w:tcW w:w="2427" w:type="pct"/>
            <w:gridSpan w:val="2"/>
          </w:tcPr>
          <w:p w:rsidR="00996B84" w:rsidRPr="00996B84" w:rsidRDefault="00996B84" w:rsidP="00996B84">
            <w:pPr>
              <w:jc w:val="both"/>
              <w:rPr>
                <w:rFonts w:eastAsiaTheme="minorHAnsi"/>
                <w:sz w:val="20"/>
                <w:lang w:val="en-CA"/>
              </w:rPr>
            </w:pPr>
            <w:r w:rsidRPr="00996B84">
              <w:rPr>
                <w:rFonts w:eastAsiaTheme="minorHAnsi"/>
                <w:sz w:val="20"/>
                <w:lang w:val="en-CA"/>
              </w:rPr>
              <w:t>February 2, 2015</w:t>
            </w:r>
          </w:p>
          <w:p w:rsidR="00996B84" w:rsidRPr="00996B84" w:rsidRDefault="00996B84" w:rsidP="00996B84">
            <w:pPr>
              <w:jc w:val="both"/>
              <w:rPr>
                <w:rFonts w:eastAsiaTheme="minorHAnsi"/>
                <w:sz w:val="20"/>
                <w:lang w:val="en-CA"/>
              </w:rPr>
            </w:pPr>
            <w:r w:rsidRPr="00996B84">
              <w:rPr>
                <w:rFonts w:eastAsiaTheme="minorHAnsi"/>
                <w:sz w:val="20"/>
                <w:lang w:val="en-CA"/>
              </w:rPr>
              <w:t>Supreme Court of Canada</w:t>
            </w:r>
          </w:p>
        </w:tc>
        <w:tc>
          <w:tcPr>
            <w:tcW w:w="243" w:type="pct"/>
          </w:tcPr>
          <w:p w:rsidR="00996B84" w:rsidRPr="00996B84" w:rsidRDefault="00996B84" w:rsidP="00996B84">
            <w:pPr>
              <w:jc w:val="both"/>
              <w:rPr>
                <w:rFonts w:eastAsiaTheme="minorHAnsi"/>
                <w:sz w:val="20"/>
                <w:lang w:val="en-CA"/>
              </w:rPr>
            </w:pPr>
          </w:p>
        </w:tc>
        <w:tc>
          <w:tcPr>
            <w:tcW w:w="2330" w:type="pct"/>
          </w:tcPr>
          <w:p w:rsidR="00996B84" w:rsidRPr="00996B84" w:rsidRDefault="00996B84" w:rsidP="00996B84">
            <w:pPr>
              <w:jc w:val="both"/>
              <w:rPr>
                <w:rFonts w:eastAsiaTheme="minorHAnsi"/>
                <w:sz w:val="20"/>
                <w:lang w:val="en-CA"/>
              </w:rPr>
            </w:pPr>
            <w:r w:rsidRPr="00996B84">
              <w:rPr>
                <w:rFonts w:eastAsiaTheme="minorHAnsi"/>
                <w:sz w:val="20"/>
                <w:lang w:val="en-CA"/>
              </w:rPr>
              <w:t>Application for leave to appeal filed</w:t>
            </w:r>
          </w:p>
          <w:p w:rsidR="00996B84" w:rsidRPr="00996B84" w:rsidRDefault="00996B84" w:rsidP="00996B84">
            <w:pPr>
              <w:jc w:val="both"/>
              <w:rPr>
                <w:rFonts w:eastAsiaTheme="minorHAnsi"/>
                <w:sz w:val="20"/>
                <w:lang w:val="en-CA"/>
              </w:rPr>
            </w:pPr>
          </w:p>
        </w:tc>
      </w:tr>
    </w:tbl>
    <w:p w:rsidR="00996B84" w:rsidRPr="00996B84" w:rsidRDefault="00996B84" w:rsidP="00996B84">
      <w:pPr>
        <w:jc w:val="both"/>
        <w:rPr>
          <w:rFonts w:eastAsiaTheme="minorHAnsi"/>
          <w:sz w:val="20"/>
          <w:lang w:val="en-CA"/>
        </w:rPr>
      </w:pPr>
    </w:p>
    <w:p w:rsidR="00996B84" w:rsidRPr="00996B84" w:rsidRDefault="00996B84" w:rsidP="00996B84">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96B84" w:rsidRPr="00996B84" w:rsidTr="00D01614">
        <w:tc>
          <w:tcPr>
            <w:tcW w:w="543" w:type="pct"/>
          </w:tcPr>
          <w:p w:rsidR="00996B84" w:rsidRPr="00996B84" w:rsidRDefault="00996B84" w:rsidP="00996B84">
            <w:pPr>
              <w:jc w:val="both"/>
              <w:rPr>
                <w:rFonts w:eastAsiaTheme="minorHAnsi"/>
                <w:sz w:val="20"/>
                <w:lang w:val="fr-CA"/>
              </w:rPr>
            </w:pPr>
            <w:r w:rsidRPr="00392A88">
              <w:rPr>
                <w:rFonts w:eastAsiaTheme="minorHAnsi"/>
                <w:b/>
                <w:sz w:val="20"/>
                <w:lang w:val="fr-CA"/>
              </w:rPr>
              <w:t>36286</w:t>
            </w:r>
          </w:p>
        </w:tc>
        <w:tc>
          <w:tcPr>
            <w:tcW w:w="4457" w:type="pct"/>
            <w:gridSpan w:val="3"/>
          </w:tcPr>
          <w:p w:rsidR="00996B84" w:rsidRPr="00996B84" w:rsidRDefault="00996B84" w:rsidP="00996B84">
            <w:pPr>
              <w:jc w:val="both"/>
              <w:rPr>
                <w:rFonts w:eastAsiaTheme="minorHAnsi"/>
                <w:b/>
                <w:sz w:val="20"/>
                <w:lang w:val="fr-CA"/>
              </w:rPr>
            </w:pPr>
            <w:r w:rsidRPr="00996B84">
              <w:rPr>
                <w:rFonts w:eastAsiaTheme="minorHAnsi"/>
                <w:b/>
                <w:sz w:val="20"/>
                <w:lang w:val="fr-CA"/>
              </w:rPr>
              <w:t>Frank Antoine Joseph c. Sa Majesté la Reine</w:t>
            </w:r>
          </w:p>
          <w:p w:rsidR="00996B84" w:rsidRPr="00996B84" w:rsidRDefault="00996B84" w:rsidP="00996B84">
            <w:pPr>
              <w:jc w:val="both"/>
              <w:rPr>
                <w:rFonts w:eastAsiaTheme="minorHAnsi"/>
                <w:sz w:val="20"/>
                <w:lang w:val="fr-CA"/>
              </w:rPr>
            </w:pPr>
            <w:r w:rsidRPr="00996B84">
              <w:rPr>
                <w:rFonts w:eastAsiaTheme="minorHAnsi"/>
                <w:sz w:val="20"/>
                <w:lang w:val="fr-CA"/>
              </w:rPr>
              <w:t>(Qc) (Criminelle) (Autorisation)</w:t>
            </w:r>
          </w:p>
        </w:tc>
      </w:tr>
      <w:tr w:rsidR="00996B84" w:rsidRPr="00F12DF5" w:rsidTr="00D01614">
        <w:tc>
          <w:tcPr>
            <w:tcW w:w="5000" w:type="pct"/>
            <w:gridSpan w:val="4"/>
          </w:tcPr>
          <w:p w:rsidR="00996B84" w:rsidRPr="00996B84" w:rsidRDefault="00996B84" w:rsidP="00996B84">
            <w:pPr>
              <w:jc w:val="both"/>
              <w:rPr>
                <w:rFonts w:eastAsiaTheme="minorHAnsi"/>
                <w:sz w:val="20"/>
                <w:lang w:val="fr-CA"/>
              </w:rPr>
            </w:pPr>
            <w:r w:rsidRPr="00996B84">
              <w:rPr>
                <w:rFonts w:eastAsiaTheme="minorHAnsi"/>
                <w:sz w:val="20"/>
                <w:lang w:val="fr-CA"/>
              </w:rPr>
              <w:t>Droit criminel – Meurtre au premier degré – Exposé au jury – Verdict raisonnable – Preuve d’identification – Les directives au jury sur la preuve d’identification étaient-elles suffisantes? – Le verdict était-il déraisonnable?</w:t>
            </w:r>
          </w:p>
        </w:tc>
      </w:tr>
      <w:tr w:rsidR="00996B84" w:rsidRPr="00F12DF5" w:rsidTr="00D01614">
        <w:tc>
          <w:tcPr>
            <w:tcW w:w="5000" w:type="pct"/>
            <w:gridSpan w:val="4"/>
          </w:tcPr>
          <w:p w:rsidR="00996B84" w:rsidRPr="00996B84" w:rsidRDefault="00996B84" w:rsidP="00996B84">
            <w:pPr>
              <w:jc w:val="both"/>
              <w:rPr>
                <w:rFonts w:eastAsiaTheme="minorHAnsi"/>
                <w:sz w:val="20"/>
                <w:lang w:val="fr-CA"/>
              </w:rPr>
            </w:pPr>
          </w:p>
        </w:tc>
      </w:tr>
      <w:tr w:rsidR="00996B84" w:rsidRPr="00996B84" w:rsidTr="00D01614">
        <w:tc>
          <w:tcPr>
            <w:tcW w:w="5000" w:type="pct"/>
            <w:gridSpan w:val="4"/>
          </w:tcPr>
          <w:p w:rsidR="00996B84" w:rsidRPr="00996B84" w:rsidRDefault="00996B84" w:rsidP="00996B84">
            <w:pPr>
              <w:jc w:val="both"/>
              <w:rPr>
                <w:rFonts w:eastAsiaTheme="minorHAnsi"/>
                <w:sz w:val="20"/>
                <w:lang w:val="fr-CA"/>
              </w:rPr>
            </w:pPr>
            <w:r w:rsidRPr="00996B84">
              <w:rPr>
                <w:rFonts w:eastAsiaTheme="minorHAnsi"/>
                <w:sz w:val="20"/>
                <w:lang w:val="fr-CA"/>
              </w:rPr>
              <w:t>Monsieur Joseph, demandeur, a été déclaré coupable de meurtre au premier degré.  Alors que la victime était assise dehors avec des amis, un individu s’est approché à une dizaine de mètres, a mis des gants, l’a saluée, a sorti un fusil tronçonné, lui a tiré à la tête et s’est enfuit.  L’identité du tireur était une question déterminante pour l’issue du procès. La preuve d’identification, les témoignages sur les faits et la preuve portant sur les communications cellulaires ont convaincu le jury que M. Joseph était l’auteur du crime.  En appel, M. Joseph a plaidé que la juge de première instance avait donné au jury des directives insuffisantes sur les dangers de la preuve d’identification et que le verdict était déraisonnable.  La Cour d’appel a rejeté l’appel.</w:t>
            </w:r>
          </w:p>
          <w:p w:rsidR="00996B84" w:rsidRPr="00996B84" w:rsidRDefault="00996B84" w:rsidP="00996B84">
            <w:pPr>
              <w:jc w:val="both"/>
              <w:rPr>
                <w:rFonts w:eastAsiaTheme="minorHAnsi"/>
                <w:sz w:val="20"/>
                <w:lang w:val="fr-CA"/>
              </w:rPr>
            </w:pPr>
          </w:p>
        </w:tc>
      </w:tr>
      <w:tr w:rsidR="00996B84" w:rsidRPr="00F12DF5" w:rsidTr="00D01614">
        <w:tc>
          <w:tcPr>
            <w:tcW w:w="2427" w:type="pct"/>
            <w:gridSpan w:val="2"/>
          </w:tcPr>
          <w:p w:rsidR="00996B84" w:rsidRPr="00996B84" w:rsidRDefault="00996B84" w:rsidP="00996B84">
            <w:pPr>
              <w:jc w:val="both"/>
              <w:rPr>
                <w:rFonts w:eastAsiaTheme="minorHAnsi"/>
                <w:sz w:val="20"/>
                <w:lang w:val="fr-CA"/>
              </w:rPr>
            </w:pPr>
            <w:r w:rsidRPr="00996B84">
              <w:rPr>
                <w:rFonts w:eastAsiaTheme="minorHAnsi"/>
                <w:sz w:val="20"/>
                <w:lang w:val="fr-CA"/>
              </w:rPr>
              <w:t>Le 23 octobre 2011</w:t>
            </w:r>
          </w:p>
          <w:p w:rsidR="00996B84" w:rsidRPr="00996B84" w:rsidRDefault="00996B84" w:rsidP="00996B84">
            <w:pPr>
              <w:jc w:val="both"/>
              <w:rPr>
                <w:rFonts w:eastAsiaTheme="minorHAnsi"/>
                <w:sz w:val="20"/>
                <w:lang w:val="fr-CA"/>
              </w:rPr>
            </w:pPr>
            <w:r w:rsidRPr="00996B84">
              <w:rPr>
                <w:rFonts w:eastAsiaTheme="minorHAnsi"/>
                <w:sz w:val="20"/>
                <w:lang w:val="fr-CA"/>
              </w:rPr>
              <w:t>Cour supérieure du Québec</w:t>
            </w:r>
          </w:p>
          <w:p w:rsidR="00996B84" w:rsidRPr="00996B84" w:rsidRDefault="00996B84" w:rsidP="00996B84">
            <w:pPr>
              <w:jc w:val="both"/>
              <w:rPr>
                <w:rFonts w:eastAsiaTheme="minorHAnsi"/>
                <w:sz w:val="20"/>
                <w:lang w:val="fr-CA"/>
              </w:rPr>
            </w:pPr>
            <w:r w:rsidRPr="00996B84">
              <w:rPr>
                <w:rFonts w:eastAsiaTheme="minorHAnsi"/>
                <w:sz w:val="20"/>
                <w:lang w:val="fr-CA"/>
              </w:rPr>
              <w:t>(La juge Bourque)</w:t>
            </w:r>
          </w:p>
          <w:p w:rsidR="00996B84" w:rsidRPr="00996B84" w:rsidRDefault="00996B84" w:rsidP="00996B84">
            <w:pPr>
              <w:jc w:val="both"/>
              <w:rPr>
                <w:rFonts w:eastAsiaTheme="minorHAnsi"/>
                <w:sz w:val="20"/>
                <w:lang w:val="fr-CA"/>
              </w:rPr>
            </w:pPr>
          </w:p>
        </w:tc>
        <w:tc>
          <w:tcPr>
            <w:tcW w:w="243" w:type="pct"/>
          </w:tcPr>
          <w:p w:rsidR="00996B84" w:rsidRPr="00996B84" w:rsidRDefault="00996B84" w:rsidP="00996B84">
            <w:pPr>
              <w:jc w:val="both"/>
              <w:rPr>
                <w:rFonts w:eastAsiaTheme="minorHAnsi"/>
                <w:sz w:val="20"/>
                <w:lang w:val="fr-CA"/>
              </w:rPr>
            </w:pPr>
          </w:p>
        </w:tc>
        <w:tc>
          <w:tcPr>
            <w:tcW w:w="2330" w:type="pct"/>
          </w:tcPr>
          <w:p w:rsidR="00996B84" w:rsidRPr="00996B84" w:rsidRDefault="00996B84" w:rsidP="00996B84">
            <w:pPr>
              <w:jc w:val="both"/>
              <w:rPr>
                <w:rFonts w:eastAsiaTheme="minorHAnsi"/>
                <w:sz w:val="20"/>
                <w:lang w:val="fr-CA"/>
              </w:rPr>
            </w:pPr>
            <w:r w:rsidRPr="00996B84">
              <w:rPr>
                <w:rFonts w:eastAsiaTheme="minorHAnsi"/>
                <w:sz w:val="20"/>
                <w:lang w:val="fr-CA"/>
              </w:rPr>
              <w:t>Demandeur déclaré coupable de meurtre au premier degré</w:t>
            </w:r>
          </w:p>
          <w:p w:rsidR="00996B84" w:rsidRPr="00996B84" w:rsidRDefault="00996B84" w:rsidP="00996B84">
            <w:pPr>
              <w:jc w:val="both"/>
              <w:rPr>
                <w:rFonts w:eastAsiaTheme="minorHAnsi"/>
                <w:sz w:val="20"/>
                <w:lang w:val="fr-CA"/>
              </w:rPr>
            </w:pPr>
          </w:p>
        </w:tc>
      </w:tr>
      <w:tr w:rsidR="00996B84" w:rsidRPr="00996B84" w:rsidTr="00D01614">
        <w:tc>
          <w:tcPr>
            <w:tcW w:w="2427" w:type="pct"/>
            <w:gridSpan w:val="2"/>
          </w:tcPr>
          <w:p w:rsidR="00996B84" w:rsidRPr="00996B84" w:rsidRDefault="00996B84" w:rsidP="00996B84">
            <w:pPr>
              <w:jc w:val="both"/>
              <w:rPr>
                <w:rFonts w:eastAsiaTheme="minorHAnsi"/>
                <w:sz w:val="20"/>
                <w:lang w:val="fr-CA"/>
              </w:rPr>
            </w:pPr>
            <w:r w:rsidRPr="00996B84">
              <w:rPr>
                <w:rFonts w:eastAsiaTheme="minorHAnsi"/>
                <w:sz w:val="20"/>
                <w:lang w:val="fr-CA"/>
              </w:rPr>
              <w:t>Le 2 décembre 2014</w:t>
            </w:r>
          </w:p>
          <w:p w:rsidR="00996B84" w:rsidRPr="00996B84" w:rsidRDefault="00996B84" w:rsidP="00996B84">
            <w:pPr>
              <w:jc w:val="both"/>
              <w:rPr>
                <w:rFonts w:eastAsiaTheme="minorHAnsi"/>
                <w:sz w:val="20"/>
                <w:lang w:val="fr-CA"/>
              </w:rPr>
            </w:pPr>
            <w:r w:rsidRPr="00996B84">
              <w:rPr>
                <w:rFonts w:eastAsiaTheme="minorHAnsi"/>
                <w:sz w:val="20"/>
                <w:lang w:val="fr-CA"/>
              </w:rPr>
              <w:t>Cour d’appel du Québec (Québec)</w:t>
            </w:r>
          </w:p>
          <w:p w:rsidR="00996B84" w:rsidRPr="00996B84" w:rsidRDefault="00996B84" w:rsidP="00996B84">
            <w:pPr>
              <w:jc w:val="both"/>
              <w:rPr>
                <w:rFonts w:eastAsiaTheme="minorHAnsi"/>
                <w:sz w:val="20"/>
                <w:lang w:val="fr-CA"/>
              </w:rPr>
            </w:pPr>
            <w:r w:rsidRPr="00996B84">
              <w:rPr>
                <w:rFonts w:eastAsiaTheme="minorHAnsi"/>
                <w:sz w:val="20"/>
                <w:lang w:val="fr-CA"/>
              </w:rPr>
              <w:t>(Les juges Thibault, Gagnon et Vauclair)</w:t>
            </w:r>
          </w:p>
          <w:p w:rsidR="00996B84" w:rsidRPr="00996B84" w:rsidRDefault="00F12DF5" w:rsidP="00996B84">
            <w:pPr>
              <w:jc w:val="both"/>
              <w:rPr>
                <w:rFonts w:eastAsiaTheme="minorHAnsi"/>
                <w:sz w:val="20"/>
                <w:lang w:val="fr-CA"/>
              </w:rPr>
            </w:pPr>
            <w:hyperlink r:id="rId30" w:history="1">
              <w:r w:rsidR="00996B84" w:rsidRPr="00392A88">
                <w:rPr>
                  <w:rFonts w:eastAsiaTheme="minorHAnsi"/>
                  <w:color w:val="0000FF" w:themeColor="hyperlink"/>
                  <w:sz w:val="20"/>
                  <w:u w:val="single"/>
                  <w:lang w:val="fr-CA"/>
                </w:rPr>
                <w:t>2014 QCCA 2232</w:t>
              </w:r>
            </w:hyperlink>
          </w:p>
          <w:p w:rsidR="00996B84" w:rsidRPr="00996B84" w:rsidRDefault="00996B84" w:rsidP="00996B84">
            <w:pPr>
              <w:jc w:val="both"/>
              <w:rPr>
                <w:rFonts w:eastAsiaTheme="minorHAnsi"/>
                <w:sz w:val="20"/>
                <w:lang w:val="fr-CA"/>
              </w:rPr>
            </w:pPr>
          </w:p>
        </w:tc>
        <w:tc>
          <w:tcPr>
            <w:tcW w:w="243" w:type="pct"/>
          </w:tcPr>
          <w:p w:rsidR="00996B84" w:rsidRPr="00996B84" w:rsidRDefault="00996B84" w:rsidP="00996B84">
            <w:pPr>
              <w:jc w:val="both"/>
              <w:rPr>
                <w:rFonts w:eastAsiaTheme="minorHAnsi"/>
                <w:sz w:val="20"/>
                <w:lang w:val="fr-CA"/>
              </w:rPr>
            </w:pPr>
          </w:p>
        </w:tc>
        <w:tc>
          <w:tcPr>
            <w:tcW w:w="2330" w:type="pct"/>
          </w:tcPr>
          <w:p w:rsidR="00996B84" w:rsidRPr="00996B84" w:rsidRDefault="00996B84" w:rsidP="00996B84">
            <w:pPr>
              <w:jc w:val="both"/>
              <w:rPr>
                <w:rFonts w:eastAsiaTheme="minorHAnsi"/>
                <w:sz w:val="20"/>
                <w:lang w:val="fr-CA"/>
              </w:rPr>
            </w:pPr>
            <w:r w:rsidRPr="00996B84">
              <w:rPr>
                <w:rFonts w:eastAsiaTheme="minorHAnsi"/>
                <w:sz w:val="20"/>
                <w:lang w:val="fr-CA"/>
              </w:rPr>
              <w:t>Appel rejeté</w:t>
            </w:r>
          </w:p>
          <w:p w:rsidR="00996B84" w:rsidRPr="00996B84" w:rsidRDefault="00996B84" w:rsidP="00996B84">
            <w:pPr>
              <w:jc w:val="both"/>
              <w:rPr>
                <w:rFonts w:eastAsiaTheme="minorHAnsi"/>
                <w:sz w:val="20"/>
                <w:lang w:val="fr-CA"/>
              </w:rPr>
            </w:pPr>
          </w:p>
        </w:tc>
      </w:tr>
      <w:tr w:rsidR="00996B84" w:rsidRPr="00996B84" w:rsidTr="00D01614">
        <w:tc>
          <w:tcPr>
            <w:tcW w:w="2427" w:type="pct"/>
            <w:gridSpan w:val="2"/>
          </w:tcPr>
          <w:p w:rsidR="00996B84" w:rsidRPr="00996B84" w:rsidRDefault="00996B84" w:rsidP="00996B84">
            <w:pPr>
              <w:jc w:val="both"/>
              <w:rPr>
                <w:rFonts w:eastAsiaTheme="minorHAnsi"/>
                <w:sz w:val="20"/>
                <w:lang w:val="fr-CA"/>
              </w:rPr>
            </w:pPr>
            <w:r w:rsidRPr="00996B84">
              <w:rPr>
                <w:rFonts w:eastAsiaTheme="minorHAnsi"/>
                <w:sz w:val="20"/>
                <w:lang w:val="fr-CA"/>
              </w:rPr>
              <w:t>Le 2 février 2015</w:t>
            </w:r>
          </w:p>
          <w:p w:rsidR="00996B84" w:rsidRPr="00996B84" w:rsidRDefault="00996B84" w:rsidP="00996B84">
            <w:pPr>
              <w:jc w:val="both"/>
              <w:rPr>
                <w:rFonts w:eastAsiaTheme="minorHAnsi"/>
                <w:sz w:val="20"/>
                <w:lang w:val="fr-CA"/>
              </w:rPr>
            </w:pPr>
            <w:r w:rsidRPr="00996B84">
              <w:rPr>
                <w:rFonts w:eastAsiaTheme="minorHAnsi"/>
                <w:sz w:val="20"/>
                <w:lang w:val="fr-CA"/>
              </w:rPr>
              <w:t>Cour suprême du Canada</w:t>
            </w:r>
          </w:p>
        </w:tc>
        <w:tc>
          <w:tcPr>
            <w:tcW w:w="243" w:type="pct"/>
          </w:tcPr>
          <w:p w:rsidR="00996B84" w:rsidRPr="00996B84" w:rsidRDefault="00996B84" w:rsidP="00996B84">
            <w:pPr>
              <w:jc w:val="both"/>
              <w:rPr>
                <w:rFonts w:eastAsiaTheme="minorHAnsi"/>
                <w:sz w:val="20"/>
                <w:lang w:val="fr-CA"/>
              </w:rPr>
            </w:pPr>
          </w:p>
        </w:tc>
        <w:tc>
          <w:tcPr>
            <w:tcW w:w="2330" w:type="pct"/>
          </w:tcPr>
          <w:p w:rsidR="00996B84" w:rsidRPr="00996B84" w:rsidRDefault="00996B84" w:rsidP="00996B84">
            <w:pPr>
              <w:jc w:val="both"/>
              <w:rPr>
                <w:rFonts w:eastAsiaTheme="minorHAnsi"/>
                <w:sz w:val="20"/>
                <w:lang w:val="fr-CA"/>
              </w:rPr>
            </w:pPr>
            <w:r w:rsidRPr="00996B84">
              <w:rPr>
                <w:rFonts w:eastAsiaTheme="minorHAnsi"/>
                <w:sz w:val="20"/>
                <w:lang w:val="fr-CA"/>
              </w:rPr>
              <w:t>Demande d'autorisation d'appel déposée</w:t>
            </w:r>
          </w:p>
          <w:p w:rsidR="00996B84" w:rsidRPr="00996B84" w:rsidRDefault="00996B84" w:rsidP="00996B84">
            <w:pPr>
              <w:jc w:val="both"/>
              <w:rPr>
                <w:rFonts w:eastAsiaTheme="minorHAnsi"/>
                <w:sz w:val="20"/>
                <w:lang w:val="fr-CA"/>
              </w:rPr>
            </w:pPr>
          </w:p>
        </w:tc>
      </w:tr>
    </w:tbl>
    <w:p w:rsidR="00996B84" w:rsidRDefault="00996B84" w:rsidP="00996B84">
      <w:pPr>
        <w:jc w:val="both"/>
        <w:rPr>
          <w:rFonts w:eastAsiaTheme="minorHAnsi"/>
          <w:sz w:val="20"/>
          <w:lang w:val="fr-CA"/>
        </w:rPr>
      </w:pPr>
    </w:p>
    <w:p w:rsidR="00392A88" w:rsidRPr="00996B84" w:rsidRDefault="00392A88" w:rsidP="00996B84">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96B84" w:rsidRPr="00996B84" w:rsidTr="00D01614">
        <w:tc>
          <w:tcPr>
            <w:tcW w:w="543" w:type="pct"/>
          </w:tcPr>
          <w:p w:rsidR="00996B84" w:rsidRPr="00996B84" w:rsidRDefault="00996B84" w:rsidP="00996B84">
            <w:pPr>
              <w:jc w:val="both"/>
              <w:rPr>
                <w:rFonts w:eastAsiaTheme="minorHAnsi"/>
                <w:sz w:val="20"/>
                <w:lang w:val="en-CA"/>
              </w:rPr>
            </w:pPr>
            <w:r w:rsidRPr="00392A88">
              <w:rPr>
                <w:rFonts w:eastAsiaTheme="minorHAnsi"/>
                <w:b/>
                <w:sz w:val="20"/>
                <w:lang w:val="en-CA"/>
              </w:rPr>
              <w:t>36326</w:t>
            </w:r>
          </w:p>
        </w:tc>
        <w:tc>
          <w:tcPr>
            <w:tcW w:w="4457" w:type="pct"/>
            <w:gridSpan w:val="3"/>
          </w:tcPr>
          <w:p w:rsidR="00996B84" w:rsidRPr="00996B84" w:rsidRDefault="00996B84" w:rsidP="00996B84">
            <w:pPr>
              <w:jc w:val="both"/>
              <w:rPr>
                <w:rFonts w:eastAsiaTheme="minorHAnsi"/>
                <w:b/>
                <w:sz w:val="20"/>
                <w:lang w:val="en-CA"/>
              </w:rPr>
            </w:pPr>
            <w:r w:rsidRPr="00996B84">
              <w:rPr>
                <w:rFonts w:eastAsiaTheme="minorHAnsi"/>
                <w:b/>
                <w:sz w:val="20"/>
                <w:lang w:val="en-CA"/>
              </w:rPr>
              <w:t>A.K. v. Batshaw Youth and Family Centers</w:t>
            </w:r>
          </w:p>
          <w:p w:rsidR="00996B84" w:rsidRPr="00996B84" w:rsidRDefault="00996B84" w:rsidP="00996B84">
            <w:pPr>
              <w:jc w:val="both"/>
              <w:rPr>
                <w:rFonts w:eastAsiaTheme="minorHAnsi"/>
                <w:sz w:val="20"/>
                <w:lang w:val="en-CA"/>
              </w:rPr>
            </w:pPr>
            <w:r w:rsidRPr="00996B84">
              <w:rPr>
                <w:rFonts w:eastAsiaTheme="minorHAnsi"/>
                <w:sz w:val="20"/>
                <w:lang w:val="en-CA"/>
              </w:rPr>
              <w:lastRenderedPageBreak/>
              <w:t>(Civil)</w:t>
            </w:r>
          </w:p>
        </w:tc>
      </w:tr>
      <w:tr w:rsidR="00996B84" w:rsidRPr="00996B84" w:rsidTr="00D01614">
        <w:tc>
          <w:tcPr>
            <w:tcW w:w="5000" w:type="pct"/>
            <w:gridSpan w:val="4"/>
          </w:tcPr>
          <w:p w:rsidR="00996B84" w:rsidRPr="00996B84" w:rsidRDefault="00996B84" w:rsidP="00996B84">
            <w:pPr>
              <w:jc w:val="both"/>
              <w:rPr>
                <w:rFonts w:eastAsiaTheme="minorHAnsi"/>
                <w:smallCaps/>
                <w:sz w:val="20"/>
                <w:lang w:val="en-CA"/>
              </w:rPr>
            </w:pPr>
            <w:r w:rsidRPr="00996B84">
              <w:rPr>
                <w:rFonts w:eastAsiaTheme="minorHAnsi"/>
                <w:smallCaps/>
                <w:sz w:val="20"/>
                <w:lang w:val="en-CA"/>
              </w:rPr>
              <w:lastRenderedPageBreak/>
              <w:t>(Publication ban in case) (Publication ban on party) (Sealing order) (Court file contains information that is not available for inspection by the public)</w:t>
            </w:r>
          </w:p>
          <w:p w:rsidR="00996B84" w:rsidRPr="00996B84" w:rsidRDefault="00996B84" w:rsidP="00996B84">
            <w:pPr>
              <w:jc w:val="both"/>
              <w:rPr>
                <w:rFonts w:eastAsiaTheme="minorHAnsi"/>
                <w:sz w:val="20"/>
                <w:lang w:val="en-CA"/>
              </w:rPr>
            </w:pPr>
          </w:p>
          <w:p w:rsidR="00996B84" w:rsidRPr="00996B84" w:rsidRDefault="00996B84" w:rsidP="00996B84">
            <w:pPr>
              <w:jc w:val="both"/>
              <w:rPr>
                <w:rFonts w:eastAsiaTheme="minorHAnsi"/>
                <w:sz w:val="20"/>
                <w:lang w:val="en-CA"/>
              </w:rPr>
            </w:pPr>
            <w:r w:rsidRPr="00996B84">
              <w:rPr>
                <w:rFonts w:eastAsiaTheme="minorHAnsi"/>
                <w:sz w:val="20"/>
                <w:lang w:val="en-CA"/>
              </w:rPr>
              <w:t>Civil procedure – Appeals – Motion to dismiss appeal granted and appeal dismissed – Did the Court of appeal err in finding that the appeal had no reasonable chance of success?</w:t>
            </w:r>
          </w:p>
        </w:tc>
      </w:tr>
      <w:tr w:rsidR="00996B84" w:rsidRPr="00996B84" w:rsidTr="00D01614">
        <w:tc>
          <w:tcPr>
            <w:tcW w:w="5000" w:type="pct"/>
            <w:gridSpan w:val="4"/>
          </w:tcPr>
          <w:p w:rsidR="00996B84" w:rsidRPr="00996B84" w:rsidRDefault="00996B84" w:rsidP="00996B84">
            <w:pPr>
              <w:jc w:val="both"/>
              <w:rPr>
                <w:rFonts w:eastAsiaTheme="minorHAnsi"/>
                <w:sz w:val="20"/>
                <w:lang w:val="en-CA"/>
              </w:rPr>
            </w:pPr>
          </w:p>
        </w:tc>
      </w:tr>
      <w:tr w:rsidR="00996B84" w:rsidRPr="00996B84" w:rsidTr="00D01614">
        <w:tc>
          <w:tcPr>
            <w:tcW w:w="5000" w:type="pct"/>
            <w:gridSpan w:val="4"/>
          </w:tcPr>
          <w:p w:rsidR="00996B84" w:rsidRPr="00996B84" w:rsidRDefault="00996B84" w:rsidP="00996B84">
            <w:pPr>
              <w:jc w:val="both"/>
              <w:rPr>
                <w:rFonts w:eastAsiaTheme="minorHAnsi"/>
                <w:sz w:val="20"/>
                <w:lang w:val="en-CA"/>
              </w:rPr>
            </w:pPr>
            <w:r w:rsidRPr="00996B84">
              <w:rPr>
                <w:rFonts w:eastAsiaTheme="minorHAnsi"/>
                <w:sz w:val="20"/>
                <w:lang w:val="en-CA"/>
              </w:rPr>
              <w:t>In 2002, the Court of Quebec determined that Mr. K.’s child had been sexually abused by him and that the security and development of the children of the couple was compromised.  Their care was entrusted to their mother, Ms. A., and to the respondent Batshaw Youth and Family Centers.  Mr. K. was subsequently acquitted of seven charges of sexual assault.  The children are now teenagers or adults in their 20s living with Ms. A.</w:t>
            </w:r>
          </w:p>
          <w:p w:rsidR="00996B84" w:rsidRPr="00996B84" w:rsidRDefault="00996B84" w:rsidP="00996B84">
            <w:pPr>
              <w:jc w:val="both"/>
              <w:rPr>
                <w:rFonts w:eastAsiaTheme="minorHAnsi"/>
                <w:sz w:val="20"/>
                <w:lang w:val="en-CA"/>
              </w:rPr>
            </w:pPr>
          </w:p>
          <w:p w:rsidR="00996B84" w:rsidRPr="00996B84" w:rsidRDefault="00996B84" w:rsidP="00996B84">
            <w:pPr>
              <w:jc w:val="both"/>
              <w:rPr>
                <w:rFonts w:eastAsiaTheme="minorHAnsi"/>
                <w:sz w:val="20"/>
                <w:lang w:val="en-CA"/>
              </w:rPr>
            </w:pPr>
            <w:r w:rsidRPr="00996B84">
              <w:rPr>
                <w:rFonts w:eastAsiaTheme="minorHAnsi"/>
                <w:sz w:val="20"/>
                <w:lang w:val="en-CA"/>
              </w:rPr>
              <w:t>Mr. K. sued Batshaw and Ms. A. for damages, alleging that Ms. A. had physically, emotionally and sexually abused the couple’s children between 1999 and 2001, that Batshaw and Ms. A. encouraged the children to make up stories about physical and sexual abuse by Mr. K., which Batshaw then used to maliciously prosecute Mr. K. in civil and criminal court, that Batshaw misled the professionals hired to assess the validity of the sexual abuse allegations, that Batshaw destroyed documents and denied him access to its files, and that the respondents were engaged in a large scale frame-up.  He claimed over $10 million in compensatory and punitive damages.</w:t>
            </w:r>
          </w:p>
          <w:p w:rsidR="00996B84" w:rsidRPr="00996B84" w:rsidRDefault="00996B84" w:rsidP="00996B84">
            <w:pPr>
              <w:jc w:val="both"/>
              <w:rPr>
                <w:rFonts w:eastAsiaTheme="minorHAnsi"/>
                <w:sz w:val="20"/>
                <w:lang w:val="en-CA"/>
              </w:rPr>
            </w:pPr>
          </w:p>
          <w:p w:rsidR="00996B84" w:rsidRPr="00996B84" w:rsidRDefault="00996B84" w:rsidP="00996B84">
            <w:pPr>
              <w:jc w:val="both"/>
              <w:rPr>
                <w:rFonts w:eastAsiaTheme="minorHAnsi"/>
                <w:sz w:val="20"/>
                <w:lang w:val="en-CA"/>
              </w:rPr>
            </w:pPr>
            <w:r w:rsidRPr="00996B84">
              <w:rPr>
                <w:rFonts w:eastAsiaTheme="minorHAnsi"/>
                <w:sz w:val="20"/>
                <w:lang w:val="en-CA"/>
              </w:rPr>
              <w:t>The Superior Court dismissed the claim.  The Court of Appeal granted a motion to dismiss the appeal, on the basis that an appeal would have no reasonable chance of success in this case.</w:t>
            </w:r>
          </w:p>
          <w:p w:rsidR="00996B84" w:rsidRPr="00996B84" w:rsidRDefault="00996B84" w:rsidP="00996B84">
            <w:pPr>
              <w:jc w:val="both"/>
              <w:rPr>
                <w:rFonts w:eastAsiaTheme="minorHAnsi"/>
                <w:sz w:val="20"/>
                <w:lang w:val="en-CA"/>
              </w:rPr>
            </w:pPr>
          </w:p>
        </w:tc>
      </w:tr>
      <w:tr w:rsidR="00996B84" w:rsidRPr="00996B84" w:rsidTr="00D01614">
        <w:tc>
          <w:tcPr>
            <w:tcW w:w="2427" w:type="pct"/>
            <w:gridSpan w:val="2"/>
          </w:tcPr>
          <w:p w:rsidR="00996B84" w:rsidRPr="00996B84" w:rsidRDefault="00996B84" w:rsidP="00996B84">
            <w:pPr>
              <w:jc w:val="both"/>
              <w:rPr>
                <w:rFonts w:eastAsiaTheme="minorHAnsi"/>
                <w:sz w:val="20"/>
                <w:lang w:val="en-CA"/>
              </w:rPr>
            </w:pPr>
            <w:r w:rsidRPr="00996B84">
              <w:rPr>
                <w:rFonts w:eastAsiaTheme="minorHAnsi"/>
                <w:sz w:val="20"/>
                <w:lang w:val="en-CA"/>
              </w:rPr>
              <w:t xml:space="preserve">April 4, 2014 </w:t>
            </w:r>
          </w:p>
          <w:p w:rsidR="00996B84" w:rsidRPr="00996B84" w:rsidRDefault="00996B84" w:rsidP="00996B84">
            <w:pPr>
              <w:jc w:val="both"/>
              <w:rPr>
                <w:rFonts w:eastAsiaTheme="minorHAnsi"/>
                <w:sz w:val="20"/>
                <w:lang w:val="en-CA"/>
              </w:rPr>
            </w:pPr>
            <w:r w:rsidRPr="00996B84">
              <w:rPr>
                <w:rFonts w:eastAsiaTheme="minorHAnsi"/>
                <w:sz w:val="20"/>
                <w:lang w:val="en-CA"/>
              </w:rPr>
              <w:t>Superior Court of Québec</w:t>
            </w:r>
          </w:p>
          <w:p w:rsidR="00996B84" w:rsidRPr="00996B84" w:rsidRDefault="00996B84" w:rsidP="00996B84">
            <w:pPr>
              <w:jc w:val="both"/>
              <w:rPr>
                <w:rFonts w:eastAsiaTheme="minorHAnsi"/>
                <w:sz w:val="20"/>
                <w:lang w:val="en-CA"/>
              </w:rPr>
            </w:pPr>
            <w:r w:rsidRPr="00996B84">
              <w:rPr>
                <w:rFonts w:eastAsiaTheme="minorHAnsi"/>
                <w:sz w:val="20"/>
                <w:lang w:val="en-CA"/>
              </w:rPr>
              <w:t>(Collier J.)</w:t>
            </w:r>
          </w:p>
          <w:p w:rsidR="00996B84" w:rsidRPr="00996B84" w:rsidRDefault="00F12DF5" w:rsidP="00996B84">
            <w:pPr>
              <w:jc w:val="both"/>
              <w:rPr>
                <w:rFonts w:eastAsiaTheme="minorHAnsi"/>
                <w:sz w:val="20"/>
                <w:lang w:val="en-CA"/>
              </w:rPr>
            </w:pPr>
            <w:hyperlink r:id="rId31" w:history="1">
              <w:r w:rsidR="00996B84" w:rsidRPr="00392A88">
                <w:rPr>
                  <w:rFonts w:eastAsiaTheme="minorHAnsi"/>
                  <w:color w:val="0000FF" w:themeColor="hyperlink"/>
                  <w:sz w:val="20"/>
                  <w:u w:val="single"/>
                  <w:lang w:val="en-CA"/>
                </w:rPr>
                <w:t>2014 QCCS 1373</w:t>
              </w:r>
            </w:hyperlink>
          </w:p>
          <w:p w:rsidR="00996B84" w:rsidRPr="00996B84" w:rsidRDefault="00996B84" w:rsidP="00996B84">
            <w:pPr>
              <w:jc w:val="both"/>
              <w:rPr>
                <w:rFonts w:eastAsiaTheme="minorHAnsi"/>
                <w:sz w:val="20"/>
                <w:lang w:val="en-CA"/>
              </w:rPr>
            </w:pPr>
          </w:p>
        </w:tc>
        <w:tc>
          <w:tcPr>
            <w:tcW w:w="243" w:type="pct"/>
          </w:tcPr>
          <w:p w:rsidR="00996B84" w:rsidRPr="00996B84" w:rsidRDefault="00996B84" w:rsidP="00996B84">
            <w:pPr>
              <w:jc w:val="both"/>
              <w:rPr>
                <w:rFonts w:eastAsiaTheme="minorHAnsi"/>
                <w:sz w:val="20"/>
                <w:lang w:val="en-CA"/>
              </w:rPr>
            </w:pPr>
          </w:p>
        </w:tc>
        <w:tc>
          <w:tcPr>
            <w:tcW w:w="2330" w:type="pct"/>
          </w:tcPr>
          <w:p w:rsidR="00996B84" w:rsidRPr="00996B84" w:rsidRDefault="00996B84" w:rsidP="00996B84">
            <w:pPr>
              <w:jc w:val="both"/>
              <w:rPr>
                <w:rFonts w:eastAsiaTheme="minorHAnsi"/>
                <w:sz w:val="20"/>
                <w:lang w:val="en-CA"/>
              </w:rPr>
            </w:pPr>
            <w:r w:rsidRPr="00996B84">
              <w:rPr>
                <w:rFonts w:eastAsiaTheme="minorHAnsi"/>
                <w:sz w:val="20"/>
                <w:lang w:val="en-CA"/>
              </w:rPr>
              <w:t xml:space="preserve">Action dismissed </w:t>
            </w:r>
          </w:p>
        </w:tc>
      </w:tr>
      <w:tr w:rsidR="00996B84" w:rsidRPr="00996B84" w:rsidTr="00D01614">
        <w:tc>
          <w:tcPr>
            <w:tcW w:w="2427" w:type="pct"/>
            <w:gridSpan w:val="2"/>
          </w:tcPr>
          <w:p w:rsidR="00996B84" w:rsidRPr="00996B84" w:rsidRDefault="00996B84" w:rsidP="00996B84">
            <w:pPr>
              <w:jc w:val="both"/>
              <w:rPr>
                <w:rFonts w:eastAsiaTheme="minorHAnsi"/>
                <w:sz w:val="20"/>
                <w:lang w:val="en-CA"/>
              </w:rPr>
            </w:pPr>
            <w:r w:rsidRPr="00996B84">
              <w:rPr>
                <w:rFonts w:eastAsiaTheme="minorHAnsi"/>
                <w:sz w:val="20"/>
                <w:lang w:val="en-CA"/>
              </w:rPr>
              <w:t xml:space="preserve">August 6, 2014 </w:t>
            </w:r>
          </w:p>
          <w:p w:rsidR="00996B84" w:rsidRPr="00996B84" w:rsidRDefault="00996B84" w:rsidP="00996B84">
            <w:pPr>
              <w:jc w:val="both"/>
              <w:rPr>
                <w:rFonts w:eastAsiaTheme="minorHAnsi"/>
                <w:sz w:val="20"/>
                <w:lang w:val="en-CA"/>
              </w:rPr>
            </w:pPr>
            <w:r w:rsidRPr="00996B84">
              <w:rPr>
                <w:rFonts w:eastAsiaTheme="minorHAnsi"/>
                <w:sz w:val="20"/>
                <w:lang w:val="en-CA"/>
              </w:rPr>
              <w:t>Court of Appeal of Quebec (Montréal)</w:t>
            </w:r>
          </w:p>
          <w:p w:rsidR="00996B84" w:rsidRPr="00996B84" w:rsidRDefault="00996B84" w:rsidP="00996B84">
            <w:pPr>
              <w:jc w:val="both"/>
              <w:rPr>
                <w:rFonts w:eastAsiaTheme="minorHAnsi"/>
                <w:sz w:val="20"/>
                <w:lang w:val="en-CA"/>
              </w:rPr>
            </w:pPr>
            <w:r w:rsidRPr="00996B84">
              <w:rPr>
                <w:rFonts w:eastAsiaTheme="minorHAnsi"/>
                <w:sz w:val="20"/>
                <w:lang w:val="en-CA"/>
              </w:rPr>
              <w:t>(Vauclair, Marcotte and Schrager JJ.A.)</w:t>
            </w:r>
          </w:p>
          <w:p w:rsidR="00996B84" w:rsidRPr="00996B84" w:rsidRDefault="00996B84" w:rsidP="00996B84">
            <w:pPr>
              <w:jc w:val="both"/>
              <w:rPr>
                <w:rFonts w:eastAsiaTheme="minorHAnsi"/>
                <w:sz w:val="20"/>
                <w:lang w:val="en-CA"/>
              </w:rPr>
            </w:pPr>
            <w:r w:rsidRPr="00996B84">
              <w:rPr>
                <w:rFonts w:eastAsiaTheme="minorHAnsi"/>
                <w:sz w:val="20"/>
                <w:lang w:val="en-CA"/>
              </w:rPr>
              <w:t xml:space="preserve">500-09-024411-142; </w:t>
            </w:r>
            <w:hyperlink r:id="rId32" w:history="1">
              <w:r w:rsidRPr="00392A88">
                <w:rPr>
                  <w:rFonts w:eastAsiaTheme="minorHAnsi"/>
                  <w:color w:val="0000FF" w:themeColor="hyperlink"/>
                  <w:sz w:val="20"/>
                  <w:u w:val="single"/>
                  <w:lang w:val="en-CA"/>
                </w:rPr>
                <w:t>2014 QCCA 1530</w:t>
              </w:r>
            </w:hyperlink>
          </w:p>
          <w:p w:rsidR="00996B84" w:rsidRPr="00996B84" w:rsidRDefault="00996B84" w:rsidP="00996B84">
            <w:pPr>
              <w:jc w:val="both"/>
              <w:rPr>
                <w:rFonts w:eastAsiaTheme="minorHAnsi"/>
                <w:sz w:val="20"/>
                <w:lang w:val="en-CA"/>
              </w:rPr>
            </w:pPr>
          </w:p>
        </w:tc>
        <w:tc>
          <w:tcPr>
            <w:tcW w:w="243" w:type="pct"/>
          </w:tcPr>
          <w:p w:rsidR="00996B84" w:rsidRPr="00996B84" w:rsidRDefault="00996B84" w:rsidP="00996B84">
            <w:pPr>
              <w:jc w:val="both"/>
              <w:rPr>
                <w:rFonts w:eastAsiaTheme="minorHAnsi"/>
                <w:sz w:val="20"/>
                <w:lang w:val="en-CA"/>
              </w:rPr>
            </w:pPr>
          </w:p>
        </w:tc>
        <w:tc>
          <w:tcPr>
            <w:tcW w:w="2330" w:type="pct"/>
          </w:tcPr>
          <w:p w:rsidR="00996B84" w:rsidRPr="00996B84" w:rsidRDefault="00996B84" w:rsidP="00996B84">
            <w:pPr>
              <w:jc w:val="both"/>
              <w:rPr>
                <w:rFonts w:eastAsiaTheme="minorHAnsi"/>
                <w:sz w:val="20"/>
                <w:lang w:val="en-CA"/>
              </w:rPr>
            </w:pPr>
            <w:r w:rsidRPr="00996B84">
              <w:rPr>
                <w:rFonts w:eastAsiaTheme="minorHAnsi"/>
                <w:sz w:val="20"/>
                <w:lang w:val="en-CA"/>
              </w:rPr>
              <w:t>Motion to dismiss the appeal granted; appeal dismissed</w:t>
            </w:r>
          </w:p>
        </w:tc>
      </w:tr>
      <w:tr w:rsidR="00996B84" w:rsidRPr="00996B84" w:rsidTr="00D01614">
        <w:tc>
          <w:tcPr>
            <w:tcW w:w="2427" w:type="pct"/>
            <w:gridSpan w:val="2"/>
          </w:tcPr>
          <w:p w:rsidR="00996B84" w:rsidRPr="00996B84" w:rsidRDefault="00996B84" w:rsidP="00996B84">
            <w:pPr>
              <w:jc w:val="both"/>
              <w:rPr>
                <w:rFonts w:eastAsiaTheme="minorHAnsi"/>
                <w:sz w:val="20"/>
                <w:lang w:val="en-CA"/>
              </w:rPr>
            </w:pPr>
            <w:r w:rsidRPr="00996B84">
              <w:rPr>
                <w:rFonts w:eastAsiaTheme="minorHAnsi"/>
                <w:sz w:val="20"/>
                <w:lang w:val="en-CA"/>
              </w:rPr>
              <w:t>January 27, 2015</w:t>
            </w:r>
          </w:p>
          <w:p w:rsidR="00996B84" w:rsidRPr="00996B84" w:rsidRDefault="00996B84" w:rsidP="00996B84">
            <w:pPr>
              <w:jc w:val="both"/>
              <w:rPr>
                <w:rFonts w:eastAsiaTheme="minorHAnsi"/>
                <w:sz w:val="20"/>
                <w:lang w:val="en-CA"/>
              </w:rPr>
            </w:pPr>
            <w:r w:rsidRPr="00996B84">
              <w:rPr>
                <w:rFonts w:eastAsiaTheme="minorHAnsi"/>
                <w:sz w:val="20"/>
                <w:lang w:val="en-CA"/>
              </w:rPr>
              <w:t>Supreme Court of Canada</w:t>
            </w:r>
          </w:p>
          <w:p w:rsidR="00996B84" w:rsidRPr="00996B84" w:rsidRDefault="00996B84" w:rsidP="00996B84">
            <w:pPr>
              <w:jc w:val="both"/>
              <w:rPr>
                <w:rFonts w:eastAsiaTheme="minorHAnsi"/>
                <w:sz w:val="20"/>
                <w:lang w:val="en-CA"/>
              </w:rPr>
            </w:pPr>
          </w:p>
        </w:tc>
        <w:tc>
          <w:tcPr>
            <w:tcW w:w="243" w:type="pct"/>
          </w:tcPr>
          <w:p w:rsidR="00996B84" w:rsidRPr="00996B84" w:rsidRDefault="00996B84" w:rsidP="00996B84">
            <w:pPr>
              <w:jc w:val="both"/>
              <w:rPr>
                <w:rFonts w:eastAsiaTheme="minorHAnsi"/>
                <w:sz w:val="20"/>
                <w:lang w:val="en-CA"/>
              </w:rPr>
            </w:pPr>
          </w:p>
        </w:tc>
        <w:tc>
          <w:tcPr>
            <w:tcW w:w="2330" w:type="pct"/>
          </w:tcPr>
          <w:p w:rsidR="00996B84" w:rsidRPr="00996B84" w:rsidRDefault="00996B84" w:rsidP="00996B84">
            <w:pPr>
              <w:jc w:val="both"/>
              <w:rPr>
                <w:rFonts w:eastAsiaTheme="minorHAnsi"/>
                <w:sz w:val="20"/>
                <w:lang w:val="en-CA"/>
              </w:rPr>
            </w:pPr>
            <w:r w:rsidRPr="00996B84">
              <w:rPr>
                <w:rFonts w:eastAsiaTheme="minorHAnsi"/>
                <w:sz w:val="20"/>
                <w:lang w:val="en-CA"/>
              </w:rPr>
              <w:t>Motion for an extension of time to file an application for leave to appeal and application for leave to appeal filed</w:t>
            </w:r>
          </w:p>
        </w:tc>
      </w:tr>
    </w:tbl>
    <w:p w:rsidR="00996B84" w:rsidRDefault="00996B84" w:rsidP="00996B84">
      <w:pPr>
        <w:jc w:val="both"/>
        <w:rPr>
          <w:rFonts w:eastAsiaTheme="minorHAnsi"/>
          <w:sz w:val="20"/>
          <w:lang w:val="en-CA"/>
        </w:rPr>
      </w:pPr>
    </w:p>
    <w:p w:rsidR="00392A88" w:rsidRPr="00996B84" w:rsidRDefault="00392A88" w:rsidP="00996B84">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96B84" w:rsidRPr="00996B84" w:rsidTr="00D01614">
        <w:tc>
          <w:tcPr>
            <w:tcW w:w="543" w:type="pct"/>
          </w:tcPr>
          <w:p w:rsidR="00996B84" w:rsidRPr="00996B84" w:rsidRDefault="00996B84" w:rsidP="00996B84">
            <w:pPr>
              <w:jc w:val="both"/>
              <w:rPr>
                <w:rFonts w:eastAsiaTheme="minorHAnsi"/>
                <w:sz w:val="20"/>
                <w:lang w:val="fr-CA"/>
              </w:rPr>
            </w:pPr>
            <w:r w:rsidRPr="00392A88">
              <w:rPr>
                <w:rFonts w:eastAsiaTheme="minorHAnsi"/>
                <w:b/>
                <w:sz w:val="20"/>
                <w:lang w:val="fr-CA"/>
              </w:rPr>
              <w:t>36326</w:t>
            </w:r>
          </w:p>
        </w:tc>
        <w:tc>
          <w:tcPr>
            <w:tcW w:w="4457" w:type="pct"/>
            <w:gridSpan w:val="3"/>
          </w:tcPr>
          <w:p w:rsidR="00996B84" w:rsidRPr="00996B84" w:rsidRDefault="00996B84" w:rsidP="00996B84">
            <w:pPr>
              <w:jc w:val="both"/>
              <w:rPr>
                <w:rFonts w:eastAsiaTheme="minorHAnsi"/>
                <w:b/>
                <w:sz w:val="20"/>
              </w:rPr>
            </w:pPr>
            <w:r w:rsidRPr="00996B84">
              <w:rPr>
                <w:rFonts w:eastAsiaTheme="minorHAnsi"/>
                <w:b/>
                <w:sz w:val="20"/>
              </w:rPr>
              <w:t>A.K. c. Batshaw Youth and Family Centers</w:t>
            </w:r>
          </w:p>
          <w:p w:rsidR="00996B84" w:rsidRPr="00996B84" w:rsidRDefault="00996B84" w:rsidP="00996B84">
            <w:pPr>
              <w:jc w:val="both"/>
              <w:rPr>
                <w:rFonts w:eastAsiaTheme="minorHAnsi"/>
                <w:sz w:val="20"/>
                <w:lang w:val="fr-CA"/>
              </w:rPr>
            </w:pPr>
            <w:r w:rsidRPr="00996B84">
              <w:rPr>
                <w:rFonts w:eastAsiaTheme="minorHAnsi"/>
                <w:sz w:val="20"/>
                <w:lang w:val="fr-CA"/>
              </w:rPr>
              <w:t>(Civile) (Sur autorisation)</w:t>
            </w:r>
          </w:p>
        </w:tc>
      </w:tr>
      <w:tr w:rsidR="00996B84" w:rsidRPr="00996B84" w:rsidTr="00D01614">
        <w:tc>
          <w:tcPr>
            <w:tcW w:w="5000" w:type="pct"/>
            <w:gridSpan w:val="4"/>
          </w:tcPr>
          <w:p w:rsidR="00996B84" w:rsidRPr="00996B84" w:rsidRDefault="00996B84" w:rsidP="00996B84">
            <w:pPr>
              <w:jc w:val="both"/>
              <w:rPr>
                <w:rFonts w:eastAsiaTheme="minorHAnsi"/>
                <w:smallCaps/>
                <w:sz w:val="20"/>
                <w:lang w:val="fr-CA"/>
              </w:rPr>
            </w:pPr>
            <w:r w:rsidRPr="00996B84">
              <w:rPr>
                <w:rFonts w:eastAsiaTheme="minorHAnsi"/>
                <w:smallCaps/>
                <w:sz w:val="20"/>
                <w:lang w:val="fr-CA"/>
              </w:rPr>
              <w:t>(Ordonnance de non-publication dans le dossier) (Ordonnance de non-publication visant une partie) (Ordonnance de mise sous scellés) (Le dossier de la Cour renferme des données que le public n’est pas autorisé à consulter)</w:t>
            </w:r>
          </w:p>
          <w:p w:rsidR="00996B84" w:rsidRPr="00996B84" w:rsidRDefault="00996B84" w:rsidP="00996B84">
            <w:pPr>
              <w:jc w:val="both"/>
              <w:rPr>
                <w:rFonts w:eastAsiaTheme="minorHAnsi"/>
                <w:sz w:val="20"/>
                <w:lang w:val="fr-CA"/>
              </w:rPr>
            </w:pPr>
          </w:p>
          <w:p w:rsidR="00996B84" w:rsidRPr="00996B84" w:rsidRDefault="00996B84" w:rsidP="00996B84">
            <w:pPr>
              <w:jc w:val="both"/>
              <w:rPr>
                <w:rFonts w:eastAsiaTheme="minorHAnsi"/>
                <w:sz w:val="20"/>
                <w:lang w:val="fr-CA"/>
              </w:rPr>
            </w:pPr>
            <w:r w:rsidRPr="00996B84">
              <w:rPr>
                <w:rFonts w:eastAsiaTheme="minorHAnsi"/>
                <w:sz w:val="20"/>
                <w:lang w:val="fr-CA"/>
              </w:rPr>
              <w:t>Procédure civile – Appels – Rejet d’appel sur requête – La Cour d’appel a-t-elle eu tort de conclure que l’appel ne présentait aucune chance raisonnable de succès?</w:t>
            </w:r>
          </w:p>
        </w:tc>
      </w:tr>
      <w:tr w:rsidR="00996B84" w:rsidRPr="00996B84" w:rsidTr="00D01614">
        <w:tc>
          <w:tcPr>
            <w:tcW w:w="5000" w:type="pct"/>
            <w:gridSpan w:val="4"/>
          </w:tcPr>
          <w:p w:rsidR="00996B84" w:rsidRPr="00996B84" w:rsidRDefault="00996B84" w:rsidP="00996B84">
            <w:pPr>
              <w:jc w:val="both"/>
              <w:rPr>
                <w:rFonts w:eastAsiaTheme="minorHAnsi"/>
                <w:sz w:val="20"/>
                <w:lang w:val="fr-CA"/>
              </w:rPr>
            </w:pPr>
          </w:p>
        </w:tc>
      </w:tr>
      <w:tr w:rsidR="00996B84" w:rsidRPr="00996B84" w:rsidTr="00D01614">
        <w:tc>
          <w:tcPr>
            <w:tcW w:w="5000" w:type="pct"/>
            <w:gridSpan w:val="4"/>
          </w:tcPr>
          <w:p w:rsidR="00996B84" w:rsidRPr="00996B84" w:rsidRDefault="00996B84" w:rsidP="00996B84">
            <w:pPr>
              <w:jc w:val="both"/>
              <w:rPr>
                <w:rFonts w:eastAsiaTheme="minorHAnsi"/>
                <w:sz w:val="20"/>
                <w:lang w:val="fr-CA"/>
              </w:rPr>
            </w:pPr>
            <w:r w:rsidRPr="00996B84">
              <w:rPr>
                <w:rFonts w:eastAsiaTheme="minorHAnsi"/>
                <w:sz w:val="20"/>
                <w:lang w:val="fr-CA"/>
              </w:rPr>
              <w:t xml:space="preserve">En 2002, la Cour du Québec a conclu que M. K. avait fait subir des sévices sexuels à son enfant et que la sécurité et le développement des enfants du couple étaient compromis.  La garde des enfants a été confiée à leur mère, Mme A., et à l’intimée Batshaw Youth and Family Centers.  Monsieur K. a subséquemment été acquitté de sept accusations d’agression sexuelle.  Les enfants sont maintenant adolescents ou adultes dans la vingtaine et habitent </w:t>
            </w:r>
            <w:r w:rsidRPr="00996B84">
              <w:rPr>
                <w:rFonts w:eastAsiaTheme="minorHAnsi"/>
                <w:sz w:val="20"/>
                <w:lang w:val="fr-CA"/>
              </w:rPr>
              <w:lastRenderedPageBreak/>
              <w:t>avec Mme A.</w:t>
            </w:r>
          </w:p>
          <w:p w:rsidR="00996B84" w:rsidRPr="00996B84" w:rsidRDefault="00996B84" w:rsidP="00996B84">
            <w:pPr>
              <w:jc w:val="both"/>
              <w:rPr>
                <w:rFonts w:eastAsiaTheme="minorHAnsi"/>
                <w:sz w:val="20"/>
                <w:lang w:val="fr-CA"/>
              </w:rPr>
            </w:pPr>
          </w:p>
          <w:p w:rsidR="00996B84" w:rsidRPr="00996B84" w:rsidRDefault="00996B84" w:rsidP="00996B84">
            <w:pPr>
              <w:jc w:val="both"/>
              <w:rPr>
                <w:rFonts w:eastAsiaTheme="minorHAnsi"/>
                <w:sz w:val="20"/>
                <w:lang w:val="fr-CA"/>
              </w:rPr>
            </w:pPr>
            <w:r w:rsidRPr="00996B84">
              <w:rPr>
                <w:rFonts w:eastAsiaTheme="minorHAnsi"/>
                <w:sz w:val="20"/>
                <w:lang w:val="fr-CA"/>
              </w:rPr>
              <w:t>Monsieur K. a poursuivi Batshaw et Mme A. en dommages-intérêts, alléguant que Mme A. avait fait subir des sévices physiques, affectifs et sexuels aux enfants du couple entre 1999 et 2001, que Batshaw et Mme A. avaient incité les enfants à inventer des histoires à propos de sévices physiques et sexuels de la part de M. K, des histoires dont se serait ensuite servie Batshaw pour intenter des poursuites abusives contre M. K en cour civile et criminelle, que Batshaw avait trompé les professionnels engagés pour évaluer la validité des allégations de sévices sexuels, que Batshaw avait détruit des documents et avait empêché M. K. d’avoir accès aux dossiers de Batshaw et que les intimés avaient pris part à un vaste coup monté.  Il a réclamé plus de dix millions de dollars en dommages-intérêts compensatoires et punitifs.</w:t>
            </w:r>
          </w:p>
          <w:p w:rsidR="00996B84" w:rsidRPr="00996B84" w:rsidRDefault="00996B84" w:rsidP="00996B84">
            <w:pPr>
              <w:jc w:val="both"/>
              <w:rPr>
                <w:rFonts w:eastAsiaTheme="minorHAnsi"/>
                <w:sz w:val="20"/>
                <w:lang w:val="fr-CA"/>
              </w:rPr>
            </w:pPr>
          </w:p>
          <w:p w:rsidR="00996B84" w:rsidRPr="00996B84" w:rsidRDefault="00996B84" w:rsidP="00996B84">
            <w:pPr>
              <w:jc w:val="both"/>
              <w:rPr>
                <w:rFonts w:eastAsiaTheme="minorHAnsi"/>
                <w:sz w:val="20"/>
                <w:lang w:val="fr-CA"/>
              </w:rPr>
            </w:pPr>
            <w:r w:rsidRPr="00996B84">
              <w:rPr>
                <w:rFonts w:eastAsiaTheme="minorHAnsi"/>
                <w:sz w:val="20"/>
                <w:lang w:val="fr-CA"/>
              </w:rPr>
              <w:t>La Cour supérieure a rejeté la demande.  La Cour d’appel a accueilli une requête en rejet de l’appel, statuant que l’appel ne présentait aucune chance raisonnable de succès.</w:t>
            </w:r>
          </w:p>
          <w:p w:rsidR="00996B84" w:rsidRPr="00996B84" w:rsidRDefault="00996B84" w:rsidP="00996B84">
            <w:pPr>
              <w:jc w:val="both"/>
              <w:rPr>
                <w:rFonts w:eastAsiaTheme="minorHAnsi"/>
                <w:sz w:val="20"/>
                <w:lang w:val="fr-CA"/>
              </w:rPr>
            </w:pPr>
          </w:p>
        </w:tc>
      </w:tr>
      <w:tr w:rsidR="00996B84" w:rsidRPr="00996B84" w:rsidTr="00D01614">
        <w:tc>
          <w:tcPr>
            <w:tcW w:w="2427" w:type="pct"/>
            <w:gridSpan w:val="2"/>
          </w:tcPr>
          <w:p w:rsidR="00996B84" w:rsidRPr="00996B84" w:rsidRDefault="00996B84" w:rsidP="00996B84">
            <w:pPr>
              <w:jc w:val="both"/>
              <w:rPr>
                <w:rFonts w:eastAsiaTheme="minorHAnsi"/>
                <w:sz w:val="20"/>
                <w:lang w:val="fr-CA"/>
              </w:rPr>
            </w:pPr>
            <w:r w:rsidRPr="00996B84">
              <w:rPr>
                <w:rFonts w:eastAsiaTheme="minorHAnsi"/>
                <w:sz w:val="20"/>
                <w:lang w:val="fr-CA"/>
              </w:rPr>
              <w:lastRenderedPageBreak/>
              <w:t xml:space="preserve">4 avril 2014 </w:t>
            </w:r>
          </w:p>
          <w:p w:rsidR="00996B84" w:rsidRPr="00996B84" w:rsidRDefault="00996B84" w:rsidP="00996B84">
            <w:pPr>
              <w:jc w:val="both"/>
              <w:rPr>
                <w:rFonts w:eastAsiaTheme="minorHAnsi"/>
                <w:sz w:val="20"/>
                <w:lang w:val="fr-CA"/>
              </w:rPr>
            </w:pPr>
            <w:r w:rsidRPr="00996B84">
              <w:rPr>
                <w:rFonts w:eastAsiaTheme="minorHAnsi"/>
                <w:sz w:val="20"/>
                <w:lang w:val="fr-CA"/>
              </w:rPr>
              <w:t>Cour supérieure du Québec</w:t>
            </w:r>
          </w:p>
          <w:p w:rsidR="00996B84" w:rsidRPr="00996B84" w:rsidRDefault="00996B84" w:rsidP="00996B84">
            <w:pPr>
              <w:jc w:val="both"/>
              <w:rPr>
                <w:rFonts w:eastAsiaTheme="minorHAnsi"/>
                <w:sz w:val="20"/>
                <w:lang w:val="fr-CA"/>
              </w:rPr>
            </w:pPr>
            <w:r w:rsidRPr="00996B84">
              <w:rPr>
                <w:rFonts w:eastAsiaTheme="minorHAnsi"/>
                <w:sz w:val="20"/>
                <w:lang w:val="fr-CA"/>
              </w:rPr>
              <w:t>(Juge Collier)</w:t>
            </w:r>
          </w:p>
          <w:p w:rsidR="00996B84" w:rsidRPr="00996B84" w:rsidRDefault="00F12DF5" w:rsidP="00996B84">
            <w:pPr>
              <w:jc w:val="both"/>
              <w:rPr>
                <w:rFonts w:eastAsiaTheme="minorHAnsi"/>
                <w:sz w:val="20"/>
                <w:lang w:val="fr-CA"/>
              </w:rPr>
            </w:pPr>
            <w:hyperlink r:id="rId33" w:history="1">
              <w:r w:rsidR="00996B84" w:rsidRPr="00392A88">
                <w:rPr>
                  <w:rFonts w:eastAsiaTheme="minorHAnsi"/>
                  <w:color w:val="0000FF" w:themeColor="hyperlink"/>
                  <w:sz w:val="20"/>
                  <w:u w:val="single"/>
                  <w:lang w:val="fr-CA"/>
                </w:rPr>
                <w:t>2014 QCCS 1373</w:t>
              </w:r>
            </w:hyperlink>
          </w:p>
          <w:p w:rsidR="00996B84" w:rsidRPr="00996B84" w:rsidRDefault="00996B84" w:rsidP="00996B84">
            <w:pPr>
              <w:jc w:val="both"/>
              <w:rPr>
                <w:rFonts w:eastAsiaTheme="minorHAnsi"/>
                <w:sz w:val="20"/>
                <w:lang w:val="fr-CA"/>
              </w:rPr>
            </w:pPr>
          </w:p>
        </w:tc>
        <w:tc>
          <w:tcPr>
            <w:tcW w:w="243" w:type="pct"/>
          </w:tcPr>
          <w:p w:rsidR="00996B84" w:rsidRPr="00996B84" w:rsidRDefault="00996B84" w:rsidP="00996B84">
            <w:pPr>
              <w:jc w:val="both"/>
              <w:rPr>
                <w:rFonts w:eastAsiaTheme="minorHAnsi"/>
                <w:sz w:val="20"/>
                <w:lang w:val="fr-CA"/>
              </w:rPr>
            </w:pPr>
          </w:p>
        </w:tc>
        <w:tc>
          <w:tcPr>
            <w:tcW w:w="2330" w:type="pct"/>
          </w:tcPr>
          <w:p w:rsidR="00996B84" w:rsidRPr="00996B84" w:rsidRDefault="00996B84" w:rsidP="00996B84">
            <w:pPr>
              <w:jc w:val="both"/>
              <w:rPr>
                <w:rFonts w:eastAsiaTheme="minorHAnsi"/>
                <w:sz w:val="20"/>
                <w:lang w:val="fr-CA"/>
              </w:rPr>
            </w:pPr>
            <w:r w:rsidRPr="00996B84">
              <w:rPr>
                <w:rFonts w:eastAsiaTheme="minorHAnsi"/>
                <w:sz w:val="20"/>
                <w:lang w:val="fr-CA"/>
              </w:rPr>
              <w:t xml:space="preserve">Rejet de l’action </w:t>
            </w:r>
          </w:p>
        </w:tc>
      </w:tr>
      <w:tr w:rsidR="00996B84" w:rsidRPr="00996B84" w:rsidTr="00D01614">
        <w:tc>
          <w:tcPr>
            <w:tcW w:w="2427" w:type="pct"/>
            <w:gridSpan w:val="2"/>
          </w:tcPr>
          <w:p w:rsidR="00996B84" w:rsidRPr="00996B84" w:rsidRDefault="00996B84" w:rsidP="00996B84">
            <w:pPr>
              <w:jc w:val="both"/>
              <w:rPr>
                <w:rFonts w:eastAsiaTheme="minorHAnsi"/>
                <w:sz w:val="20"/>
                <w:lang w:val="fr-CA"/>
              </w:rPr>
            </w:pPr>
            <w:r w:rsidRPr="00996B84">
              <w:rPr>
                <w:rFonts w:eastAsiaTheme="minorHAnsi"/>
                <w:sz w:val="20"/>
                <w:lang w:val="fr-CA"/>
              </w:rPr>
              <w:t xml:space="preserve">6 août 2014 </w:t>
            </w:r>
          </w:p>
          <w:p w:rsidR="00996B84" w:rsidRPr="00996B84" w:rsidRDefault="00996B84" w:rsidP="00996B84">
            <w:pPr>
              <w:jc w:val="both"/>
              <w:rPr>
                <w:rFonts w:eastAsiaTheme="minorHAnsi"/>
                <w:sz w:val="20"/>
                <w:lang w:val="fr-CA"/>
              </w:rPr>
            </w:pPr>
            <w:r w:rsidRPr="00996B84">
              <w:rPr>
                <w:rFonts w:eastAsiaTheme="minorHAnsi"/>
                <w:sz w:val="20"/>
                <w:lang w:val="fr-CA"/>
              </w:rPr>
              <w:t>Cour d’appel du Québec (Montréal)</w:t>
            </w:r>
          </w:p>
          <w:p w:rsidR="00996B84" w:rsidRPr="00996B84" w:rsidRDefault="00996B84" w:rsidP="00996B84">
            <w:pPr>
              <w:jc w:val="both"/>
              <w:rPr>
                <w:rFonts w:eastAsiaTheme="minorHAnsi"/>
                <w:sz w:val="20"/>
                <w:lang w:val="fr-CA"/>
              </w:rPr>
            </w:pPr>
            <w:r w:rsidRPr="00996B84">
              <w:rPr>
                <w:rFonts w:eastAsiaTheme="minorHAnsi"/>
                <w:sz w:val="20"/>
                <w:lang w:val="fr-CA"/>
              </w:rPr>
              <w:t>(Juges Vauclair, Marcotte et Schrager)</w:t>
            </w:r>
          </w:p>
          <w:p w:rsidR="00996B84" w:rsidRPr="00996B84" w:rsidRDefault="00996B84" w:rsidP="00996B84">
            <w:pPr>
              <w:jc w:val="both"/>
              <w:rPr>
                <w:rFonts w:eastAsiaTheme="minorHAnsi"/>
                <w:sz w:val="20"/>
                <w:lang w:val="fr-CA"/>
              </w:rPr>
            </w:pPr>
            <w:r w:rsidRPr="00996B84">
              <w:rPr>
                <w:rFonts w:eastAsiaTheme="minorHAnsi"/>
                <w:sz w:val="20"/>
                <w:lang w:val="fr-CA"/>
              </w:rPr>
              <w:t xml:space="preserve">500-09-024411-142; </w:t>
            </w:r>
            <w:hyperlink r:id="rId34" w:history="1">
              <w:r w:rsidRPr="00392A88">
                <w:rPr>
                  <w:rFonts w:eastAsiaTheme="minorHAnsi"/>
                  <w:color w:val="0000FF" w:themeColor="hyperlink"/>
                  <w:sz w:val="20"/>
                  <w:u w:val="single"/>
                  <w:lang w:val="fr-CA"/>
                </w:rPr>
                <w:t>2014 QCCA 1530</w:t>
              </w:r>
            </w:hyperlink>
          </w:p>
          <w:p w:rsidR="00996B84" w:rsidRPr="00996B84" w:rsidRDefault="00996B84" w:rsidP="00996B84">
            <w:pPr>
              <w:jc w:val="both"/>
              <w:rPr>
                <w:rFonts w:eastAsiaTheme="minorHAnsi"/>
                <w:sz w:val="20"/>
                <w:lang w:val="fr-CA"/>
              </w:rPr>
            </w:pPr>
          </w:p>
        </w:tc>
        <w:tc>
          <w:tcPr>
            <w:tcW w:w="243" w:type="pct"/>
          </w:tcPr>
          <w:p w:rsidR="00996B84" w:rsidRPr="00996B84" w:rsidRDefault="00996B84" w:rsidP="00996B84">
            <w:pPr>
              <w:jc w:val="both"/>
              <w:rPr>
                <w:rFonts w:eastAsiaTheme="minorHAnsi"/>
                <w:sz w:val="20"/>
                <w:lang w:val="fr-CA"/>
              </w:rPr>
            </w:pPr>
          </w:p>
        </w:tc>
        <w:tc>
          <w:tcPr>
            <w:tcW w:w="2330" w:type="pct"/>
          </w:tcPr>
          <w:p w:rsidR="00996B84" w:rsidRPr="00996B84" w:rsidRDefault="00996B84" w:rsidP="00996B84">
            <w:pPr>
              <w:jc w:val="both"/>
              <w:rPr>
                <w:rFonts w:eastAsiaTheme="minorHAnsi"/>
                <w:sz w:val="20"/>
                <w:lang w:val="fr-CA"/>
              </w:rPr>
            </w:pPr>
            <w:r w:rsidRPr="00996B84">
              <w:rPr>
                <w:rFonts w:eastAsiaTheme="minorHAnsi"/>
                <w:sz w:val="20"/>
                <w:lang w:val="fr-CA"/>
              </w:rPr>
              <w:t>Rejet de l’appel, sur requête</w:t>
            </w:r>
          </w:p>
        </w:tc>
      </w:tr>
      <w:tr w:rsidR="00996B84" w:rsidRPr="00996B84" w:rsidTr="00D01614">
        <w:tc>
          <w:tcPr>
            <w:tcW w:w="2427" w:type="pct"/>
            <w:gridSpan w:val="2"/>
          </w:tcPr>
          <w:p w:rsidR="00996B84" w:rsidRPr="00996B84" w:rsidRDefault="00996B84" w:rsidP="00996B84">
            <w:pPr>
              <w:jc w:val="both"/>
              <w:rPr>
                <w:rFonts w:eastAsiaTheme="minorHAnsi"/>
                <w:sz w:val="20"/>
                <w:lang w:val="fr-CA"/>
              </w:rPr>
            </w:pPr>
            <w:r w:rsidRPr="00996B84">
              <w:rPr>
                <w:rFonts w:eastAsiaTheme="minorHAnsi"/>
                <w:sz w:val="20"/>
                <w:lang w:val="fr-CA"/>
              </w:rPr>
              <w:t>27 janvier 2015</w:t>
            </w:r>
          </w:p>
          <w:p w:rsidR="00996B84" w:rsidRPr="00996B84" w:rsidRDefault="00996B84" w:rsidP="00996B84">
            <w:pPr>
              <w:jc w:val="both"/>
              <w:rPr>
                <w:rFonts w:eastAsiaTheme="minorHAnsi"/>
                <w:sz w:val="20"/>
                <w:lang w:val="fr-CA"/>
              </w:rPr>
            </w:pPr>
            <w:r w:rsidRPr="00996B84">
              <w:rPr>
                <w:rFonts w:eastAsiaTheme="minorHAnsi"/>
                <w:sz w:val="20"/>
                <w:lang w:val="fr-CA"/>
              </w:rPr>
              <w:t>Cour suprême du Canada</w:t>
            </w:r>
          </w:p>
          <w:p w:rsidR="00996B84" w:rsidRPr="00996B84" w:rsidRDefault="00996B84" w:rsidP="00996B84">
            <w:pPr>
              <w:jc w:val="both"/>
              <w:rPr>
                <w:rFonts w:eastAsiaTheme="minorHAnsi"/>
                <w:sz w:val="20"/>
                <w:lang w:val="fr-CA"/>
              </w:rPr>
            </w:pPr>
          </w:p>
        </w:tc>
        <w:tc>
          <w:tcPr>
            <w:tcW w:w="243" w:type="pct"/>
          </w:tcPr>
          <w:p w:rsidR="00996B84" w:rsidRPr="00996B84" w:rsidRDefault="00996B84" w:rsidP="00996B84">
            <w:pPr>
              <w:jc w:val="both"/>
              <w:rPr>
                <w:rFonts w:eastAsiaTheme="minorHAnsi"/>
                <w:sz w:val="20"/>
                <w:lang w:val="fr-CA"/>
              </w:rPr>
            </w:pPr>
          </w:p>
        </w:tc>
        <w:tc>
          <w:tcPr>
            <w:tcW w:w="2330" w:type="pct"/>
          </w:tcPr>
          <w:p w:rsidR="00996B84" w:rsidRPr="00996B84" w:rsidRDefault="00996B84" w:rsidP="00996B84">
            <w:pPr>
              <w:jc w:val="both"/>
              <w:rPr>
                <w:rFonts w:eastAsiaTheme="minorHAnsi"/>
                <w:sz w:val="20"/>
                <w:lang w:val="fr-CA"/>
              </w:rPr>
            </w:pPr>
            <w:r w:rsidRPr="00996B84">
              <w:rPr>
                <w:rFonts w:eastAsiaTheme="minorHAnsi"/>
                <w:sz w:val="20"/>
                <w:lang w:val="fr-CA"/>
              </w:rPr>
              <w:t>Dépôt de la requête en prorogation du délai de dépôt de la demande d’autorisation d’appel et de la demande d’autorisation d’appel</w:t>
            </w:r>
          </w:p>
        </w:tc>
      </w:tr>
    </w:tbl>
    <w:p w:rsidR="00996B84" w:rsidRDefault="00996B84" w:rsidP="00996B84">
      <w:pPr>
        <w:jc w:val="both"/>
        <w:rPr>
          <w:rFonts w:eastAsiaTheme="minorHAnsi"/>
          <w:sz w:val="20"/>
          <w:lang w:val="fr-CA"/>
        </w:rPr>
      </w:pPr>
    </w:p>
    <w:p w:rsidR="00392A88" w:rsidRPr="00996B84" w:rsidRDefault="00392A88" w:rsidP="00996B84">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96B84" w:rsidRPr="00996B84" w:rsidTr="00D01614">
        <w:tc>
          <w:tcPr>
            <w:tcW w:w="543" w:type="pct"/>
          </w:tcPr>
          <w:p w:rsidR="00996B84" w:rsidRPr="00996B84" w:rsidRDefault="00996B84" w:rsidP="00996B84">
            <w:pPr>
              <w:jc w:val="both"/>
              <w:rPr>
                <w:rFonts w:eastAsiaTheme="minorHAnsi"/>
                <w:sz w:val="20"/>
                <w:lang w:val="en-CA"/>
              </w:rPr>
            </w:pPr>
            <w:r w:rsidRPr="00392A88">
              <w:rPr>
                <w:rFonts w:eastAsiaTheme="minorHAnsi"/>
                <w:b/>
                <w:sz w:val="20"/>
                <w:lang w:val="en-CA"/>
              </w:rPr>
              <w:t>36250</w:t>
            </w:r>
          </w:p>
        </w:tc>
        <w:tc>
          <w:tcPr>
            <w:tcW w:w="4457" w:type="pct"/>
            <w:gridSpan w:val="3"/>
          </w:tcPr>
          <w:p w:rsidR="00996B84" w:rsidRPr="00996B84" w:rsidRDefault="00996B84" w:rsidP="00996B84">
            <w:pPr>
              <w:jc w:val="both"/>
              <w:rPr>
                <w:rFonts w:eastAsiaTheme="minorHAnsi"/>
                <w:b/>
                <w:sz w:val="20"/>
                <w:lang w:val="en-CA"/>
              </w:rPr>
            </w:pPr>
            <w:r w:rsidRPr="00996B84">
              <w:rPr>
                <w:rFonts w:eastAsiaTheme="minorHAnsi"/>
                <w:b/>
                <w:sz w:val="20"/>
                <w:lang w:val="en-CA"/>
              </w:rPr>
              <w:t>Ayanle Omar v. Her Majesty the Queen, Her Majesty the Queen in Right of Ontario</w:t>
            </w:r>
          </w:p>
          <w:p w:rsidR="00996B84" w:rsidRPr="00996B84" w:rsidRDefault="00996B84" w:rsidP="00996B84">
            <w:pPr>
              <w:jc w:val="both"/>
              <w:rPr>
                <w:rFonts w:eastAsiaTheme="minorHAnsi"/>
                <w:sz w:val="20"/>
                <w:lang w:val="en-CA"/>
              </w:rPr>
            </w:pPr>
            <w:r w:rsidRPr="00996B84">
              <w:rPr>
                <w:rFonts w:eastAsiaTheme="minorHAnsi"/>
                <w:sz w:val="20"/>
                <w:lang w:val="en-CA"/>
              </w:rPr>
              <w:t>(Ont.) (Criminal) (By Leave)</w:t>
            </w:r>
          </w:p>
        </w:tc>
      </w:tr>
      <w:tr w:rsidR="00996B84" w:rsidRPr="00996B84" w:rsidTr="00D01614">
        <w:tc>
          <w:tcPr>
            <w:tcW w:w="5000" w:type="pct"/>
            <w:gridSpan w:val="4"/>
          </w:tcPr>
          <w:p w:rsidR="00996B84" w:rsidRPr="00996B84" w:rsidRDefault="00996B84" w:rsidP="00996B84">
            <w:pPr>
              <w:jc w:val="both"/>
              <w:rPr>
                <w:rFonts w:eastAsiaTheme="minorHAnsi"/>
                <w:sz w:val="20"/>
                <w:lang w:val="en-CA"/>
              </w:rPr>
            </w:pPr>
            <w:r w:rsidRPr="00996B84">
              <w:rPr>
                <w:rFonts w:eastAsiaTheme="minorHAnsi"/>
                <w:sz w:val="20"/>
                <w:lang w:val="en-CA"/>
              </w:rPr>
              <w:t>Criminal law — Appeals — Interlocutory orders — Investigation involving wiretap authorizations to intercept private communications — Trial court refusing accused’s application for Crown’s full disclosure of information to obtain authorizations — Whether this Court has jurisdiction to grant leave to appeal trial court’s disclosure ruling? — Whether Crown required to disclose all information in investigative file?</w:t>
            </w:r>
          </w:p>
        </w:tc>
      </w:tr>
      <w:tr w:rsidR="00996B84" w:rsidRPr="00996B84" w:rsidTr="00D01614">
        <w:tc>
          <w:tcPr>
            <w:tcW w:w="5000" w:type="pct"/>
            <w:gridSpan w:val="4"/>
          </w:tcPr>
          <w:p w:rsidR="00996B84" w:rsidRPr="00996B84" w:rsidRDefault="00996B84" w:rsidP="00996B84">
            <w:pPr>
              <w:jc w:val="both"/>
              <w:rPr>
                <w:rFonts w:eastAsiaTheme="minorHAnsi"/>
                <w:sz w:val="20"/>
                <w:lang w:val="en-CA"/>
              </w:rPr>
            </w:pPr>
          </w:p>
        </w:tc>
      </w:tr>
      <w:tr w:rsidR="00996B84" w:rsidRPr="00996B84" w:rsidTr="00D01614">
        <w:tc>
          <w:tcPr>
            <w:tcW w:w="5000" w:type="pct"/>
            <w:gridSpan w:val="4"/>
          </w:tcPr>
          <w:p w:rsidR="00996B84" w:rsidRPr="00996B84" w:rsidRDefault="00996B84" w:rsidP="00996B84">
            <w:pPr>
              <w:jc w:val="both"/>
              <w:rPr>
                <w:rFonts w:eastAsiaTheme="minorHAnsi"/>
                <w:sz w:val="20"/>
                <w:lang w:val="en-CA"/>
              </w:rPr>
            </w:pPr>
            <w:r w:rsidRPr="00996B84">
              <w:rPr>
                <w:rFonts w:eastAsiaTheme="minorHAnsi"/>
                <w:sz w:val="20"/>
                <w:lang w:val="en-CA"/>
              </w:rPr>
              <w:t>This leave application relates to charges stemming from an investigation called “Project Traveller”, conducted by the Toronto Police Service Guns and Gangs Unit.  The investigation targeted an alleged street gang known as the Dixon Road Bloods.  In 2012, at the conclusion of the investigation, the police arrested nearly fifty people and charged them with offences relating to being members of a criminal organization.  For trial management purposes, those charged were subdivided into six separate prosecutions.  The federal Crown has carriage of some prosecutions and the provincial Crown has carriage of others. Both the federal and provincial Crowns are respondents here.</w:t>
            </w:r>
          </w:p>
          <w:p w:rsidR="00996B84" w:rsidRPr="00996B84" w:rsidRDefault="00996B84" w:rsidP="00996B84">
            <w:pPr>
              <w:jc w:val="both"/>
              <w:rPr>
                <w:rFonts w:eastAsiaTheme="minorHAnsi"/>
                <w:sz w:val="20"/>
                <w:lang w:val="en-CA"/>
              </w:rPr>
            </w:pPr>
          </w:p>
          <w:p w:rsidR="00996B84" w:rsidRPr="00996B84" w:rsidRDefault="00996B84" w:rsidP="00996B84">
            <w:pPr>
              <w:jc w:val="both"/>
              <w:rPr>
                <w:rFonts w:eastAsiaTheme="minorHAnsi"/>
                <w:sz w:val="20"/>
                <w:lang w:val="en-CA"/>
              </w:rPr>
            </w:pPr>
            <w:r w:rsidRPr="00996B84">
              <w:rPr>
                <w:rFonts w:eastAsiaTheme="minorHAnsi"/>
                <w:sz w:val="20"/>
                <w:lang w:val="en-CA"/>
              </w:rPr>
              <w:t xml:space="preserve">The investigation involved two wiretap authorizations to intercept private communications and during the pre-trial proceedings, the applicant, Mr. Omar, requested disclosure of the information to obtain them (the “ITO”).  When the Crown disclosed only part of ITO, Mr. Omar applied to the Superior Court for an order, but it ruled against him. </w:t>
            </w:r>
          </w:p>
          <w:p w:rsidR="00996B84" w:rsidRPr="00996B84" w:rsidRDefault="00996B84" w:rsidP="00996B84">
            <w:pPr>
              <w:jc w:val="both"/>
              <w:rPr>
                <w:rFonts w:eastAsiaTheme="minorHAnsi"/>
                <w:sz w:val="20"/>
                <w:lang w:val="en-CA"/>
              </w:rPr>
            </w:pPr>
          </w:p>
        </w:tc>
      </w:tr>
      <w:tr w:rsidR="00996B84" w:rsidRPr="00996B84" w:rsidTr="00D01614">
        <w:tc>
          <w:tcPr>
            <w:tcW w:w="2427" w:type="pct"/>
            <w:gridSpan w:val="2"/>
          </w:tcPr>
          <w:p w:rsidR="00996B84" w:rsidRPr="00996B84" w:rsidRDefault="00996B84" w:rsidP="00996B84">
            <w:pPr>
              <w:jc w:val="both"/>
              <w:rPr>
                <w:rFonts w:eastAsiaTheme="minorHAnsi"/>
                <w:sz w:val="20"/>
                <w:lang w:val="en-CA"/>
              </w:rPr>
            </w:pPr>
            <w:r w:rsidRPr="00996B84">
              <w:rPr>
                <w:rFonts w:eastAsiaTheme="minorHAnsi"/>
                <w:sz w:val="20"/>
                <w:lang w:val="en-CA"/>
              </w:rPr>
              <w:t>July 2, 2014</w:t>
            </w:r>
          </w:p>
          <w:p w:rsidR="00996B84" w:rsidRPr="00996B84" w:rsidRDefault="00996B84" w:rsidP="00996B84">
            <w:pPr>
              <w:jc w:val="both"/>
              <w:rPr>
                <w:rFonts w:eastAsiaTheme="minorHAnsi"/>
                <w:sz w:val="20"/>
                <w:lang w:val="en-CA"/>
              </w:rPr>
            </w:pPr>
            <w:r w:rsidRPr="00996B84">
              <w:rPr>
                <w:rFonts w:eastAsiaTheme="minorHAnsi"/>
                <w:sz w:val="20"/>
                <w:lang w:val="en-CA"/>
              </w:rPr>
              <w:lastRenderedPageBreak/>
              <w:t>Ontario Superior Court of Justice</w:t>
            </w:r>
          </w:p>
          <w:p w:rsidR="00996B84" w:rsidRPr="00996B84" w:rsidRDefault="00996B84" w:rsidP="00996B84">
            <w:pPr>
              <w:jc w:val="both"/>
              <w:rPr>
                <w:rFonts w:eastAsiaTheme="minorHAnsi"/>
                <w:sz w:val="20"/>
                <w:lang w:val="en-CA"/>
              </w:rPr>
            </w:pPr>
            <w:r w:rsidRPr="00996B84">
              <w:rPr>
                <w:rFonts w:eastAsiaTheme="minorHAnsi"/>
                <w:sz w:val="20"/>
                <w:lang w:val="en-CA"/>
              </w:rPr>
              <w:t>(Clark J.)</w:t>
            </w:r>
          </w:p>
          <w:p w:rsidR="00996B84" w:rsidRPr="00996B84" w:rsidRDefault="00F12DF5" w:rsidP="00996B84">
            <w:pPr>
              <w:jc w:val="both"/>
              <w:rPr>
                <w:rFonts w:eastAsiaTheme="minorHAnsi"/>
                <w:sz w:val="20"/>
                <w:lang w:val="en-CA"/>
              </w:rPr>
            </w:pPr>
            <w:hyperlink r:id="rId35" w:history="1">
              <w:r w:rsidR="00996B84" w:rsidRPr="00392A88">
                <w:rPr>
                  <w:rFonts w:eastAsiaTheme="minorHAnsi"/>
                  <w:color w:val="0000FF" w:themeColor="hyperlink"/>
                  <w:sz w:val="20"/>
                  <w:u w:val="single"/>
                  <w:lang w:val="en-CA"/>
                </w:rPr>
                <w:t>2014 ONSC 3981</w:t>
              </w:r>
            </w:hyperlink>
            <w:r w:rsidR="00996B84" w:rsidRPr="00996B84">
              <w:rPr>
                <w:rFonts w:eastAsiaTheme="minorHAnsi"/>
                <w:sz w:val="20"/>
                <w:lang w:val="en-CA"/>
              </w:rPr>
              <w:t xml:space="preserve"> </w:t>
            </w:r>
          </w:p>
          <w:p w:rsidR="00996B84" w:rsidRPr="00996B84" w:rsidRDefault="00996B84" w:rsidP="00996B84">
            <w:pPr>
              <w:jc w:val="both"/>
              <w:rPr>
                <w:rFonts w:eastAsiaTheme="minorHAnsi"/>
                <w:sz w:val="20"/>
                <w:lang w:val="en-CA"/>
              </w:rPr>
            </w:pPr>
          </w:p>
        </w:tc>
        <w:tc>
          <w:tcPr>
            <w:tcW w:w="243" w:type="pct"/>
          </w:tcPr>
          <w:p w:rsidR="00996B84" w:rsidRPr="00996B84" w:rsidRDefault="00996B84" w:rsidP="00996B84">
            <w:pPr>
              <w:jc w:val="both"/>
              <w:rPr>
                <w:rFonts w:eastAsiaTheme="minorHAnsi"/>
                <w:sz w:val="20"/>
                <w:lang w:val="en-CA"/>
              </w:rPr>
            </w:pPr>
          </w:p>
        </w:tc>
        <w:tc>
          <w:tcPr>
            <w:tcW w:w="2330" w:type="pct"/>
          </w:tcPr>
          <w:p w:rsidR="00996B84" w:rsidRPr="00996B84" w:rsidRDefault="00996B84" w:rsidP="00996B84">
            <w:pPr>
              <w:jc w:val="both"/>
              <w:rPr>
                <w:rFonts w:eastAsiaTheme="minorHAnsi"/>
                <w:sz w:val="20"/>
                <w:lang w:val="en-CA"/>
              </w:rPr>
            </w:pPr>
            <w:r w:rsidRPr="00996B84">
              <w:rPr>
                <w:rFonts w:eastAsiaTheme="minorHAnsi"/>
                <w:sz w:val="20"/>
                <w:lang w:val="en-CA"/>
              </w:rPr>
              <w:t>Disclosure application dismissed.</w:t>
            </w:r>
          </w:p>
          <w:p w:rsidR="00996B84" w:rsidRPr="00996B84" w:rsidRDefault="00996B84" w:rsidP="00996B84">
            <w:pPr>
              <w:jc w:val="both"/>
              <w:rPr>
                <w:rFonts w:eastAsiaTheme="minorHAnsi"/>
                <w:sz w:val="20"/>
                <w:lang w:val="en-CA"/>
              </w:rPr>
            </w:pPr>
          </w:p>
        </w:tc>
      </w:tr>
      <w:tr w:rsidR="00996B84" w:rsidRPr="00996B84" w:rsidTr="00D01614">
        <w:tc>
          <w:tcPr>
            <w:tcW w:w="2427" w:type="pct"/>
            <w:gridSpan w:val="2"/>
          </w:tcPr>
          <w:p w:rsidR="00996B84" w:rsidRPr="00996B84" w:rsidRDefault="00996B84" w:rsidP="00996B84">
            <w:pPr>
              <w:jc w:val="both"/>
              <w:rPr>
                <w:rFonts w:eastAsiaTheme="minorHAnsi"/>
                <w:sz w:val="20"/>
                <w:lang w:val="en-CA"/>
              </w:rPr>
            </w:pPr>
            <w:r w:rsidRPr="00996B84">
              <w:rPr>
                <w:rFonts w:eastAsiaTheme="minorHAnsi"/>
                <w:sz w:val="20"/>
                <w:lang w:val="en-CA"/>
              </w:rPr>
              <w:lastRenderedPageBreak/>
              <w:t>January 9, 2015</w:t>
            </w:r>
          </w:p>
          <w:p w:rsidR="00996B84" w:rsidRPr="00996B84" w:rsidRDefault="00996B84" w:rsidP="00996B84">
            <w:pPr>
              <w:jc w:val="both"/>
              <w:rPr>
                <w:rFonts w:eastAsiaTheme="minorHAnsi"/>
                <w:sz w:val="20"/>
                <w:lang w:val="en-CA"/>
              </w:rPr>
            </w:pPr>
            <w:r w:rsidRPr="00996B84">
              <w:rPr>
                <w:rFonts w:eastAsiaTheme="minorHAnsi"/>
                <w:sz w:val="20"/>
                <w:lang w:val="en-CA"/>
              </w:rPr>
              <w:t>Supreme Court of Canada</w:t>
            </w:r>
          </w:p>
          <w:p w:rsidR="00996B84" w:rsidRPr="00996B84" w:rsidRDefault="00996B84" w:rsidP="00996B84">
            <w:pPr>
              <w:jc w:val="both"/>
              <w:rPr>
                <w:rFonts w:eastAsiaTheme="minorHAnsi"/>
                <w:sz w:val="20"/>
                <w:lang w:val="en-CA"/>
              </w:rPr>
            </w:pPr>
          </w:p>
        </w:tc>
        <w:tc>
          <w:tcPr>
            <w:tcW w:w="243" w:type="pct"/>
          </w:tcPr>
          <w:p w:rsidR="00996B84" w:rsidRPr="00996B84" w:rsidRDefault="00996B84" w:rsidP="00996B84">
            <w:pPr>
              <w:jc w:val="both"/>
              <w:rPr>
                <w:rFonts w:eastAsiaTheme="minorHAnsi"/>
                <w:sz w:val="20"/>
                <w:lang w:val="en-CA"/>
              </w:rPr>
            </w:pPr>
          </w:p>
        </w:tc>
        <w:tc>
          <w:tcPr>
            <w:tcW w:w="2330" w:type="pct"/>
          </w:tcPr>
          <w:p w:rsidR="00996B84" w:rsidRPr="00996B84" w:rsidRDefault="00996B84" w:rsidP="00996B84">
            <w:pPr>
              <w:jc w:val="both"/>
              <w:rPr>
                <w:rFonts w:eastAsiaTheme="minorHAnsi"/>
                <w:sz w:val="20"/>
                <w:lang w:val="en-CA"/>
              </w:rPr>
            </w:pPr>
            <w:r w:rsidRPr="00996B84">
              <w:rPr>
                <w:rFonts w:eastAsiaTheme="minorHAnsi"/>
                <w:sz w:val="20"/>
                <w:lang w:val="en-CA"/>
              </w:rPr>
              <w:t>Application for leave to appeal filed together with motion for extension of time to serve and file application itself.</w:t>
            </w:r>
          </w:p>
        </w:tc>
      </w:tr>
    </w:tbl>
    <w:p w:rsidR="00996B84" w:rsidRDefault="00996B84" w:rsidP="00996B84">
      <w:pPr>
        <w:jc w:val="both"/>
        <w:rPr>
          <w:rFonts w:eastAsiaTheme="minorHAnsi"/>
          <w:sz w:val="20"/>
          <w:lang w:val="en-CA"/>
        </w:rPr>
      </w:pPr>
    </w:p>
    <w:p w:rsidR="00392A88" w:rsidRPr="00996B84" w:rsidRDefault="00392A88" w:rsidP="00996B84">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96B84" w:rsidRPr="00996B84" w:rsidTr="00D01614">
        <w:tc>
          <w:tcPr>
            <w:tcW w:w="543" w:type="pct"/>
          </w:tcPr>
          <w:p w:rsidR="00996B84" w:rsidRPr="00996B84" w:rsidRDefault="00996B84" w:rsidP="00996B84">
            <w:pPr>
              <w:jc w:val="both"/>
              <w:rPr>
                <w:rFonts w:eastAsiaTheme="minorHAnsi"/>
                <w:sz w:val="20"/>
                <w:lang w:val="fr-CA"/>
              </w:rPr>
            </w:pPr>
            <w:r w:rsidRPr="00392A88">
              <w:rPr>
                <w:rFonts w:eastAsiaTheme="minorHAnsi"/>
                <w:b/>
                <w:sz w:val="20"/>
                <w:lang w:val="fr-CA"/>
              </w:rPr>
              <w:t>36250</w:t>
            </w:r>
          </w:p>
        </w:tc>
        <w:tc>
          <w:tcPr>
            <w:tcW w:w="4457" w:type="pct"/>
            <w:gridSpan w:val="3"/>
          </w:tcPr>
          <w:p w:rsidR="00996B84" w:rsidRPr="00996B84" w:rsidRDefault="00996B84" w:rsidP="00996B84">
            <w:pPr>
              <w:jc w:val="both"/>
              <w:rPr>
                <w:rFonts w:eastAsiaTheme="minorHAnsi"/>
                <w:b/>
                <w:sz w:val="20"/>
                <w:lang w:val="fr-CA"/>
              </w:rPr>
            </w:pPr>
            <w:r w:rsidRPr="00996B84">
              <w:rPr>
                <w:rFonts w:eastAsiaTheme="minorHAnsi"/>
                <w:b/>
                <w:sz w:val="20"/>
                <w:lang w:val="fr-CA"/>
              </w:rPr>
              <w:t>Ayanle Omar c. Sa Majesté la Reine, Sa Majesté la Reine du chef de l’Ontario</w:t>
            </w:r>
          </w:p>
          <w:p w:rsidR="00996B84" w:rsidRPr="00996B84" w:rsidRDefault="00996B84" w:rsidP="00996B84">
            <w:pPr>
              <w:jc w:val="both"/>
              <w:rPr>
                <w:rFonts w:eastAsiaTheme="minorHAnsi"/>
                <w:sz w:val="20"/>
                <w:lang w:val="fr-CA"/>
              </w:rPr>
            </w:pPr>
            <w:r w:rsidRPr="00996B84">
              <w:rPr>
                <w:rFonts w:eastAsiaTheme="minorHAnsi"/>
                <w:sz w:val="20"/>
                <w:lang w:val="fr-CA"/>
              </w:rPr>
              <w:t>(Ont.) (Criminelle) (Sur autorisation)</w:t>
            </w:r>
          </w:p>
        </w:tc>
      </w:tr>
      <w:tr w:rsidR="00996B84" w:rsidRPr="00996B84" w:rsidTr="00D01614">
        <w:tc>
          <w:tcPr>
            <w:tcW w:w="5000" w:type="pct"/>
            <w:gridSpan w:val="4"/>
          </w:tcPr>
          <w:p w:rsidR="00996B84" w:rsidRPr="00996B84" w:rsidRDefault="00996B84" w:rsidP="00996B84">
            <w:pPr>
              <w:jc w:val="both"/>
              <w:rPr>
                <w:rFonts w:eastAsiaTheme="minorHAnsi"/>
                <w:sz w:val="20"/>
                <w:lang w:val="fr-CA"/>
              </w:rPr>
            </w:pPr>
            <w:r w:rsidRPr="00996B84">
              <w:rPr>
                <w:rFonts w:eastAsiaTheme="minorHAnsi"/>
                <w:sz w:val="20"/>
                <w:lang w:val="fr-CA"/>
              </w:rPr>
              <w:t>Droit criminel — Appels — Ordonnances interlocutoires — Enquête dans le cadre duquel il y a eu des autorisations d’écoute électronique pour intercepter des communications privées — Le tribunal de première instance a rejeté la demande de l’accusé pour que le ministère public lui communique au complet la dénonciation en vue d’obtenir les autorisations — Cette Cour a-t-elle compétence pour accorder l’autorisation d’appel du jugement du tribunal de première instance portant sur la communication? — Le ministère public est-il tenu de communiquer au complet la dénonciation dans un dossier d’enquête?</w:t>
            </w:r>
          </w:p>
        </w:tc>
      </w:tr>
      <w:tr w:rsidR="00996B84" w:rsidRPr="00996B84" w:rsidTr="00D01614">
        <w:tc>
          <w:tcPr>
            <w:tcW w:w="5000" w:type="pct"/>
            <w:gridSpan w:val="4"/>
          </w:tcPr>
          <w:p w:rsidR="00996B84" w:rsidRPr="00996B84" w:rsidRDefault="00996B84" w:rsidP="00996B84">
            <w:pPr>
              <w:jc w:val="both"/>
              <w:rPr>
                <w:rFonts w:eastAsiaTheme="minorHAnsi"/>
                <w:sz w:val="20"/>
                <w:lang w:val="fr-CA"/>
              </w:rPr>
            </w:pPr>
          </w:p>
        </w:tc>
      </w:tr>
      <w:tr w:rsidR="00996B84" w:rsidRPr="00996B84" w:rsidTr="00D01614">
        <w:tc>
          <w:tcPr>
            <w:tcW w:w="5000" w:type="pct"/>
            <w:gridSpan w:val="4"/>
          </w:tcPr>
          <w:p w:rsidR="00996B84" w:rsidRPr="00996B84" w:rsidRDefault="00996B84" w:rsidP="00996B84">
            <w:pPr>
              <w:jc w:val="both"/>
              <w:rPr>
                <w:rFonts w:eastAsiaTheme="minorHAnsi"/>
                <w:sz w:val="20"/>
                <w:lang w:val="fr-CA"/>
              </w:rPr>
            </w:pPr>
            <w:r w:rsidRPr="00996B84">
              <w:rPr>
                <w:rFonts w:eastAsiaTheme="minorHAnsi"/>
                <w:sz w:val="20"/>
                <w:lang w:val="fr-CA"/>
              </w:rPr>
              <w:t>La présente demande d’autorisation a trait à des accusations portées à l’issue d’une enquête nommée [</w:t>
            </w:r>
            <w:r w:rsidRPr="00996B84">
              <w:rPr>
                <w:rFonts w:eastAsiaTheme="minorHAnsi"/>
                <w:smallCaps/>
                <w:sz w:val="20"/>
                <w:lang w:val="fr-CA"/>
              </w:rPr>
              <w:t>traduction</w:t>
            </w:r>
            <w:r w:rsidRPr="00996B84">
              <w:rPr>
                <w:rFonts w:eastAsiaTheme="minorHAnsi"/>
                <w:sz w:val="20"/>
                <w:lang w:val="fr-CA"/>
              </w:rPr>
              <w:t>] « Projet voyageur », menée par l’unité des armes à feu et des gangs du service de police de Toronto.  L’enquête ciblait un présumé gang de rue appelé « Dixon Road Bloods ».  En 2012, à l’issue de l’enquête, la police a arrêté une cinquantaine de personnes et les a accusées d’infractions liées à leur appartenance à une organisation criminelle.  Aux fins de la gestion de l’instance, l’ensemble des accusés a été divisé en six groupes dont chacun a fait l’objet d’une poursuite distincte.  Le ministère public fédéral est chargé de certaines poursuites alors que le ministère public provincial s’occupe des autres.  Sa Majesté du chef du Canada et Sa Majesté du chef de l’Ontario sont intimées en l’espèce.</w:t>
            </w:r>
          </w:p>
          <w:p w:rsidR="00996B84" w:rsidRPr="00996B84" w:rsidRDefault="00996B84" w:rsidP="00996B84">
            <w:pPr>
              <w:jc w:val="both"/>
              <w:rPr>
                <w:rFonts w:eastAsiaTheme="minorHAnsi"/>
                <w:sz w:val="20"/>
                <w:lang w:val="fr-CA"/>
              </w:rPr>
            </w:pPr>
          </w:p>
          <w:p w:rsidR="00996B84" w:rsidRPr="00996B84" w:rsidRDefault="00996B84" w:rsidP="00996B84">
            <w:pPr>
              <w:jc w:val="both"/>
              <w:rPr>
                <w:rFonts w:eastAsiaTheme="minorHAnsi"/>
                <w:sz w:val="20"/>
                <w:lang w:val="fr-CA"/>
              </w:rPr>
            </w:pPr>
            <w:r w:rsidRPr="00996B84">
              <w:rPr>
                <w:rFonts w:eastAsiaTheme="minorHAnsi"/>
                <w:sz w:val="20"/>
                <w:lang w:val="fr-CA"/>
              </w:rPr>
              <w:t xml:space="preserve">Dans le cadre de l’enquête, il y a eu deux autorisations d’écoute électronique pour intercepter des communications privées et au cours des procédures préalables au procès, le demandeur, M. Omar, a demandé qu’on lui communique la dénonciation en vue d’obtenir ces autorisations (la « Dénonciation »).  Lorsque le ministère public n’a communiqué la Dénonciation qu’en partie, M. Omar a demandé une ordonnance à la Cour supérieure, mais il a été débouté. </w:t>
            </w:r>
          </w:p>
          <w:p w:rsidR="00996B84" w:rsidRPr="00996B84" w:rsidRDefault="00996B84" w:rsidP="00996B84">
            <w:pPr>
              <w:jc w:val="both"/>
              <w:rPr>
                <w:rFonts w:eastAsiaTheme="minorHAnsi"/>
                <w:sz w:val="20"/>
                <w:lang w:val="fr-CA"/>
              </w:rPr>
            </w:pPr>
          </w:p>
        </w:tc>
      </w:tr>
      <w:tr w:rsidR="00996B84" w:rsidRPr="00996B84" w:rsidTr="00D01614">
        <w:tc>
          <w:tcPr>
            <w:tcW w:w="2427" w:type="pct"/>
            <w:gridSpan w:val="2"/>
          </w:tcPr>
          <w:p w:rsidR="00996B84" w:rsidRPr="00996B84" w:rsidRDefault="00996B84" w:rsidP="00996B84">
            <w:pPr>
              <w:jc w:val="both"/>
              <w:rPr>
                <w:rFonts w:eastAsiaTheme="minorHAnsi"/>
                <w:sz w:val="20"/>
                <w:lang w:val="fr-CA"/>
              </w:rPr>
            </w:pPr>
            <w:r w:rsidRPr="00996B84">
              <w:rPr>
                <w:rFonts w:eastAsiaTheme="minorHAnsi"/>
                <w:sz w:val="20"/>
                <w:lang w:val="fr-CA"/>
              </w:rPr>
              <w:t>2 juillet 2014</w:t>
            </w:r>
          </w:p>
          <w:p w:rsidR="00996B84" w:rsidRPr="00996B84" w:rsidRDefault="00996B84" w:rsidP="00996B84">
            <w:pPr>
              <w:jc w:val="both"/>
              <w:rPr>
                <w:rFonts w:eastAsiaTheme="minorHAnsi"/>
                <w:sz w:val="20"/>
                <w:lang w:val="fr-CA"/>
              </w:rPr>
            </w:pPr>
            <w:r w:rsidRPr="00996B84">
              <w:rPr>
                <w:rFonts w:eastAsiaTheme="minorHAnsi"/>
                <w:sz w:val="20"/>
                <w:lang w:val="fr-CA"/>
              </w:rPr>
              <w:t>Cour supérieure de justice de l’Ontario</w:t>
            </w:r>
          </w:p>
          <w:p w:rsidR="00996B84" w:rsidRPr="00996B84" w:rsidRDefault="00996B84" w:rsidP="00996B84">
            <w:pPr>
              <w:jc w:val="both"/>
              <w:rPr>
                <w:rFonts w:eastAsiaTheme="minorHAnsi"/>
                <w:sz w:val="20"/>
                <w:lang w:val="fr-CA"/>
              </w:rPr>
            </w:pPr>
            <w:r w:rsidRPr="00996B84">
              <w:rPr>
                <w:rFonts w:eastAsiaTheme="minorHAnsi"/>
                <w:sz w:val="20"/>
                <w:lang w:val="fr-CA"/>
              </w:rPr>
              <w:t>(Juge Clark)</w:t>
            </w:r>
          </w:p>
          <w:p w:rsidR="00996B84" w:rsidRPr="00996B84" w:rsidRDefault="00F12DF5" w:rsidP="00996B84">
            <w:pPr>
              <w:jc w:val="both"/>
              <w:rPr>
                <w:rFonts w:eastAsiaTheme="minorHAnsi"/>
                <w:sz w:val="20"/>
                <w:lang w:val="fr-CA"/>
              </w:rPr>
            </w:pPr>
            <w:hyperlink r:id="rId36" w:history="1">
              <w:r w:rsidR="00996B84" w:rsidRPr="00392A88">
                <w:rPr>
                  <w:rFonts w:eastAsiaTheme="minorHAnsi"/>
                  <w:color w:val="0000FF" w:themeColor="hyperlink"/>
                  <w:sz w:val="20"/>
                  <w:u w:val="single"/>
                  <w:lang w:val="fr-CA"/>
                </w:rPr>
                <w:t>2014 ONSC 3981</w:t>
              </w:r>
            </w:hyperlink>
            <w:r w:rsidR="00996B84" w:rsidRPr="00996B84">
              <w:rPr>
                <w:rFonts w:eastAsiaTheme="minorHAnsi"/>
                <w:sz w:val="20"/>
                <w:lang w:val="fr-CA"/>
              </w:rPr>
              <w:t xml:space="preserve"> </w:t>
            </w:r>
          </w:p>
          <w:p w:rsidR="00996B84" w:rsidRPr="00996B84" w:rsidRDefault="00996B84" w:rsidP="00996B84">
            <w:pPr>
              <w:jc w:val="both"/>
              <w:rPr>
                <w:rFonts w:eastAsiaTheme="minorHAnsi"/>
                <w:sz w:val="20"/>
                <w:lang w:val="fr-CA"/>
              </w:rPr>
            </w:pPr>
          </w:p>
        </w:tc>
        <w:tc>
          <w:tcPr>
            <w:tcW w:w="243" w:type="pct"/>
          </w:tcPr>
          <w:p w:rsidR="00996B84" w:rsidRPr="00996B84" w:rsidRDefault="00996B84" w:rsidP="00996B84">
            <w:pPr>
              <w:jc w:val="both"/>
              <w:rPr>
                <w:rFonts w:eastAsiaTheme="minorHAnsi"/>
                <w:sz w:val="20"/>
                <w:lang w:val="fr-CA"/>
              </w:rPr>
            </w:pPr>
          </w:p>
        </w:tc>
        <w:tc>
          <w:tcPr>
            <w:tcW w:w="2330" w:type="pct"/>
          </w:tcPr>
          <w:p w:rsidR="00996B84" w:rsidRPr="00996B84" w:rsidRDefault="00996B84" w:rsidP="00996B84">
            <w:pPr>
              <w:jc w:val="both"/>
              <w:rPr>
                <w:rFonts w:eastAsiaTheme="minorHAnsi"/>
                <w:sz w:val="20"/>
                <w:lang w:val="fr-CA"/>
              </w:rPr>
            </w:pPr>
            <w:r w:rsidRPr="00996B84">
              <w:rPr>
                <w:rFonts w:eastAsiaTheme="minorHAnsi"/>
                <w:sz w:val="20"/>
                <w:lang w:val="fr-CA"/>
              </w:rPr>
              <w:t>Rejet de la demande de communication.</w:t>
            </w:r>
          </w:p>
          <w:p w:rsidR="00996B84" w:rsidRPr="00996B84" w:rsidRDefault="00996B84" w:rsidP="00996B84">
            <w:pPr>
              <w:jc w:val="both"/>
              <w:rPr>
                <w:rFonts w:eastAsiaTheme="minorHAnsi"/>
                <w:sz w:val="20"/>
                <w:lang w:val="fr-CA"/>
              </w:rPr>
            </w:pPr>
          </w:p>
        </w:tc>
      </w:tr>
      <w:tr w:rsidR="00996B84" w:rsidRPr="00996B84" w:rsidTr="00D01614">
        <w:tc>
          <w:tcPr>
            <w:tcW w:w="2427" w:type="pct"/>
            <w:gridSpan w:val="2"/>
          </w:tcPr>
          <w:p w:rsidR="00996B84" w:rsidRPr="00996B84" w:rsidRDefault="00996B84" w:rsidP="00996B84">
            <w:pPr>
              <w:jc w:val="both"/>
              <w:rPr>
                <w:rFonts w:eastAsiaTheme="minorHAnsi"/>
                <w:sz w:val="20"/>
                <w:lang w:val="fr-CA"/>
              </w:rPr>
            </w:pPr>
            <w:r w:rsidRPr="00996B84">
              <w:rPr>
                <w:rFonts w:eastAsiaTheme="minorHAnsi"/>
                <w:sz w:val="20"/>
                <w:lang w:val="fr-CA"/>
              </w:rPr>
              <w:t>9 janvier 2015</w:t>
            </w:r>
          </w:p>
          <w:p w:rsidR="00996B84" w:rsidRPr="00996B84" w:rsidRDefault="00996B84" w:rsidP="00996B84">
            <w:pPr>
              <w:jc w:val="both"/>
              <w:rPr>
                <w:rFonts w:eastAsiaTheme="minorHAnsi"/>
                <w:sz w:val="20"/>
                <w:lang w:val="fr-CA"/>
              </w:rPr>
            </w:pPr>
            <w:r w:rsidRPr="00996B84">
              <w:rPr>
                <w:rFonts w:eastAsiaTheme="minorHAnsi"/>
                <w:sz w:val="20"/>
                <w:lang w:val="fr-CA"/>
              </w:rPr>
              <w:t>Cour suprême du Canada</w:t>
            </w:r>
          </w:p>
          <w:p w:rsidR="00996B84" w:rsidRPr="00996B84" w:rsidRDefault="00996B84" w:rsidP="00996B84">
            <w:pPr>
              <w:jc w:val="both"/>
              <w:rPr>
                <w:rFonts w:eastAsiaTheme="minorHAnsi"/>
                <w:sz w:val="20"/>
                <w:lang w:val="fr-CA"/>
              </w:rPr>
            </w:pPr>
          </w:p>
        </w:tc>
        <w:tc>
          <w:tcPr>
            <w:tcW w:w="243" w:type="pct"/>
          </w:tcPr>
          <w:p w:rsidR="00996B84" w:rsidRPr="00996B84" w:rsidRDefault="00996B84" w:rsidP="00996B84">
            <w:pPr>
              <w:jc w:val="both"/>
              <w:rPr>
                <w:rFonts w:eastAsiaTheme="minorHAnsi"/>
                <w:sz w:val="20"/>
                <w:lang w:val="fr-CA"/>
              </w:rPr>
            </w:pPr>
          </w:p>
        </w:tc>
        <w:tc>
          <w:tcPr>
            <w:tcW w:w="2330" w:type="pct"/>
          </w:tcPr>
          <w:p w:rsidR="00996B84" w:rsidRPr="00996B84" w:rsidRDefault="00996B84" w:rsidP="00996B84">
            <w:pPr>
              <w:jc w:val="both"/>
              <w:rPr>
                <w:rFonts w:eastAsiaTheme="minorHAnsi"/>
                <w:sz w:val="20"/>
                <w:lang w:val="fr-CA"/>
              </w:rPr>
            </w:pPr>
            <w:r w:rsidRPr="00996B84">
              <w:rPr>
                <w:rFonts w:eastAsiaTheme="minorHAnsi"/>
                <w:sz w:val="20"/>
                <w:lang w:val="fr-CA"/>
              </w:rPr>
              <w:t>Dépôt de la demande d’autorisation d’appel et d’une requête en prorogation du délai de signification et de dépôt de la demande.</w:t>
            </w:r>
          </w:p>
        </w:tc>
      </w:tr>
    </w:tbl>
    <w:p w:rsidR="00996B84" w:rsidRDefault="00996B84" w:rsidP="00996B84">
      <w:pPr>
        <w:jc w:val="both"/>
        <w:rPr>
          <w:rFonts w:eastAsiaTheme="minorHAnsi"/>
          <w:sz w:val="20"/>
          <w:lang w:val="fr-CA"/>
        </w:rPr>
      </w:pPr>
    </w:p>
    <w:p w:rsidR="00392A88" w:rsidRPr="00996B84" w:rsidRDefault="00392A88" w:rsidP="00996B84">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96B84" w:rsidRPr="00996B84" w:rsidTr="00D01614">
        <w:tc>
          <w:tcPr>
            <w:tcW w:w="543" w:type="pct"/>
          </w:tcPr>
          <w:p w:rsidR="00996B84" w:rsidRPr="00996B84" w:rsidRDefault="00996B84" w:rsidP="00996B84">
            <w:pPr>
              <w:jc w:val="both"/>
              <w:rPr>
                <w:rFonts w:eastAsiaTheme="minorHAnsi"/>
                <w:sz w:val="20"/>
                <w:lang w:val="en-CA"/>
              </w:rPr>
            </w:pPr>
            <w:r w:rsidRPr="00392A88">
              <w:rPr>
                <w:rFonts w:eastAsiaTheme="minorHAnsi"/>
                <w:b/>
                <w:sz w:val="20"/>
                <w:lang w:val="en-CA"/>
              </w:rPr>
              <w:t>36303</w:t>
            </w:r>
          </w:p>
        </w:tc>
        <w:tc>
          <w:tcPr>
            <w:tcW w:w="4457" w:type="pct"/>
            <w:gridSpan w:val="3"/>
          </w:tcPr>
          <w:p w:rsidR="00996B84" w:rsidRPr="00996B84" w:rsidRDefault="00996B84" w:rsidP="00996B84">
            <w:pPr>
              <w:jc w:val="both"/>
              <w:rPr>
                <w:rFonts w:eastAsiaTheme="minorHAnsi"/>
                <w:b/>
                <w:sz w:val="20"/>
                <w:lang w:val="en-CA"/>
              </w:rPr>
            </w:pPr>
            <w:r w:rsidRPr="00996B84">
              <w:rPr>
                <w:rFonts w:eastAsiaTheme="minorHAnsi"/>
                <w:b/>
                <w:sz w:val="20"/>
                <w:lang w:val="en-CA"/>
              </w:rPr>
              <w:t>Sweetgrass First Nation v. Rath &amp; Company</w:t>
            </w:r>
          </w:p>
          <w:p w:rsidR="00996B84" w:rsidRPr="00996B84" w:rsidRDefault="00996B84" w:rsidP="00996B84">
            <w:pPr>
              <w:jc w:val="both"/>
              <w:rPr>
                <w:rFonts w:eastAsiaTheme="minorHAnsi"/>
                <w:sz w:val="20"/>
                <w:lang w:val="en-CA"/>
              </w:rPr>
            </w:pPr>
            <w:r w:rsidRPr="00996B84">
              <w:rPr>
                <w:rFonts w:eastAsiaTheme="minorHAnsi"/>
                <w:sz w:val="20"/>
                <w:lang w:val="en-CA"/>
              </w:rPr>
              <w:lastRenderedPageBreak/>
              <w:t>(Alta.) (Civil) (By Leave)</w:t>
            </w:r>
          </w:p>
        </w:tc>
      </w:tr>
      <w:tr w:rsidR="00996B84" w:rsidRPr="00996B84" w:rsidTr="00D01614">
        <w:tc>
          <w:tcPr>
            <w:tcW w:w="5000" w:type="pct"/>
            <w:gridSpan w:val="4"/>
          </w:tcPr>
          <w:p w:rsidR="00996B84" w:rsidRPr="00996B84" w:rsidRDefault="00996B84" w:rsidP="00996B84">
            <w:pPr>
              <w:jc w:val="both"/>
              <w:rPr>
                <w:rFonts w:eastAsiaTheme="minorHAnsi"/>
                <w:sz w:val="20"/>
                <w:lang w:val="en-CA"/>
              </w:rPr>
            </w:pPr>
            <w:r w:rsidRPr="00996B84">
              <w:rPr>
                <w:rFonts w:eastAsiaTheme="minorHAnsi"/>
                <w:sz w:val="20"/>
                <w:lang w:val="en-CA"/>
              </w:rPr>
              <w:lastRenderedPageBreak/>
              <w:t>Law of professions – Barristers and solicitors – Assessment by Review Officer of lawyer’s accounts – Whether courts should impose restrictions on the legislative authority of Review Officers to assess lawyers’ accounts – Whether restrictions are justified given the consumer protection purpose of assessments – Whether the decisions below pose a risk of eroding consumer confidence and the ability to access justice.</w:t>
            </w:r>
          </w:p>
        </w:tc>
      </w:tr>
      <w:tr w:rsidR="00996B84" w:rsidRPr="00996B84" w:rsidTr="00D01614">
        <w:tc>
          <w:tcPr>
            <w:tcW w:w="5000" w:type="pct"/>
            <w:gridSpan w:val="4"/>
          </w:tcPr>
          <w:p w:rsidR="00996B84" w:rsidRPr="00996B84" w:rsidRDefault="00996B84" w:rsidP="00996B84">
            <w:pPr>
              <w:jc w:val="both"/>
              <w:rPr>
                <w:rFonts w:eastAsiaTheme="minorHAnsi"/>
                <w:sz w:val="20"/>
                <w:lang w:val="en-CA"/>
              </w:rPr>
            </w:pPr>
          </w:p>
        </w:tc>
      </w:tr>
      <w:tr w:rsidR="00996B84" w:rsidRPr="00996B84" w:rsidTr="00D01614">
        <w:tc>
          <w:tcPr>
            <w:tcW w:w="5000" w:type="pct"/>
            <w:gridSpan w:val="4"/>
          </w:tcPr>
          <w:p w:rsidR="00996B84" w:rsidRPr="00996B84" w:rsidRDefault="00996B84" w:rsidP="00996B84">
            <w:pPr>
              <w:jc w:val="both"/>
              <w:rPr>
                <w:rFonts w:eastAsiaTheme="minorHAnsi"/>
                <w:sz w:val="20"/>
                <w:lang w:val="en-CA"/>
              </w:rPr>
            </w:pPr>
            <w:r w:rsidRPr="00996B84">
              <w:rPr>
                <w:rFonts w:eastAsiaTheme="minorHAnsi"/>
                <w:sz w:val="20"/>
                <w:lang w:val="en-CA"/>
              </w:rPr>
              <w:t>The applicant, Sweetgrass First Nation, retained the respondent law firm, Rath &amp; Company, for a variety of legal matters over several years.  After retaining other lawyers, Sweetgrass sought to review a number of Rath &amp; Company's accounts, including one covered by a written contingency fee agreement and eight other accounts for which there was no written retainer.  The Review Officer granted significant reductions on most of the accounts, including the amount billed on the contingency fee account which was reduced by over 60%.  Rath &amp; Company brought an appeal from the Review Officer’s assessment in the Alberta Court of Queen’s Bench, requesting that the accounts be allowed in full or, in the alternative, that the accounts be sent back to be reviewed by another Review Officer.</w:t>
            </w:r>
          </w:p>
          <w:p w:rsidR="00996B84" w:rsidRPr="00996B84" w:rsidRDefault="00996B84" w:rsidP="00996B84">
            <w:pPr>
              <w:jc w:val="both"/>
              <w:rPr>
                <w:rFonts w:eastAsiaTheme="minorHAnsi"/>
                <w:sz w:val="20"/>
                <w:lang w:val="en-CA"/>
              </w:rPr>
            </w:pPr>
          </w:p>
          <w:p w:rsidR="00996B84" w:rsidRPr="00996B84" w:rsidRDefault="00996B84" w:rsidP="00996B84">
            <w:pPr>
              <w:jc w:val="both"/>
              <w:rPr>
                <w:rFonts w:eastAsiaTheme="minorHAnsi"/>
                <w:sz w:val="20"/>
                <w:lang w:val="en-CA"/>
              </w:rPr>
            </w:pPr>
            <w:r w:rsidRPr="00996B84">
              <w:rPr>
                <w:rFonts w:eastAsiaTheme="minorHAnsi"/>
                <w:sz w:val="20"/>
                <w:lang w:val="en-CA"/>
              </w:rPr>
              <w:t>The Alberta Court of Queen’s Bench allowed the respondent’s appeal of the Review Officer’s assessment, ordering a re-hearing before another Review Officer.  The majority of the Alberta Court of Appeal allowed the applicant’s appeal in part, restoring the Review Officer’s assessment for two of the lawyer’s accounts and ordering a re-hearing on the remainder of the accounts.</w:t>
            </w:r>
          </w:p>
          <w:p w:rsidR="00996B84" w:rsidRPr="00996B84" w:rsidRDefault="00996B84" w:rsidP="00996B84">
            <w:pPr>
              <w:jc w:val="both"/>
              <w:rPr>
                <w:rFonts w:eastAsiaTheme="minorHAnsi"/>
                <w:sz w:val="20"/>
                <w:lang w:val="en-CA"/>
              </w:rPr>
            </w:pPr>
          </w:p>
        </w:tc>
      </w:tr>
      <w:tr w:rsidR="00996B84" w:rsidRPr="00996B84" w:rsidTr="00D01614">
        <w:tc>
          <w:tcPr>
            <w:tcW w:w="2427" w:type="pct"/>
            <w:gridSpan w:val="2"/>
          </w:tcPr>
          <w:p w:rsidR="00996B84" w:rsidRPr="00996B84" w:rsidRDefault="00996B84" w:rsidP="00996B84">
            <w:pPr>
              <w:jc w:val="both"/>
              <w:rPr>
                <w:rFonts w:eastAsiaTheme="minorHAnsi"/>
                <w:sz w:val="20"/>
                <w:lang w:val="en-CA"/>
              </w:rPr>
            </w:pPr>
            <w:r w:rsidRPr="00996B84">
              <w:rPr>
                <w:rFonts w:eastAsiaTheme="minorHAnsi"/>
                <w:sz w:val="20"/>
                <w:lang w:val="en-CA"/>
              </w:rPr>
              <w:t>March 15, 2013</w:t>
            </w:r>
          </w:p>
          <w:p w:rsidR="00996B84" w:rsidRPr="00996B84" w:rsidRDefault="00996B84" w:rsidP="00996B84">
            <w:pPr>
              <w:jc w:val="both"/>
              <w:rPr>
                <w:rFonts w:eastAsiaTheme="minorHAnsi"/>
                <w:sz w:val="20"/>
                <w:lang w:val="en-CA"/>
              </w:rPr>
            </w:pPr>
            <w:r w:rsidRPr="00996B84">
              <w:rPr>
                <w:rFonts w:eastAsiaTheme="minorHAnsi"/>
                <w:sz w:val="20"/>
                <w:lang w:val="en-CA"/>
              </w:rPr>
              <w:t>Court of Queen’s Bench of Alberta</w:t>
            </w:r>
          </w:p>
          <w:p w:rsidR="00996B84" w:rsidRPr="00996B84" w:rsidRDefault="00996B84" w:rsidP="00996B84">
            <w:pPr>
              <w:jc w:val="both"/>
              <w:rPr>
                <w:rFonts w:eastAsiaTheme="minorHAnsi"/>
                <w:sz w:val="20"/>
                <w:lang w:val="en-CA"/>
              </w:rPr>
            </w:pPr>
            <w:r w:rsidRPr="00996B84">
              <w:rPr>
                <w:rFonts w:eastAsiaTheme="minorHAnsi"/>
                <w:sz w:val="20"/>
                <w:lang w:val="en-CA"/>
              </w:rPr>
              <w:t>(Tilleman J.)</w:t>
            </w:r>
          </w:p>
          <w:p w:rsidR="00996B84" w:rsidRPr="00996B84" w:rsidRDefault="00996B84" w:rsidP="00996B84">
            <w:pPr>
              <w:jc w:val="both"/>
              <w:rPr>
                <w:rFonts w:eastAsiaTheme="minorHAnsi"/>
                <w:sz w:val="20"/>
                <w:lang w:val="en-CA"/>
              </w:rPr>
            </w:pPr>
            <w:r w:rsidRPr="00996B84">
              <w:rPr>
                <w:rFonts w:eastAsiaTheme="minorHAnsi"/>
                <w:sz w:val="20"/>
                <w:lang w:val="en-CA"/>
              </w:rPr>
              <w:t xml:space="preserve">Neutral citation:  </w:t>
            </w:r>
            <w:hyperlink r:id="rId37" w:history="1">
              <w:r w:rsidRPr="00392A88">
                <w:rPr>
                  <w:rFonts w:eastAsiaTheme="minorHAnsi"/>
                  <w:color w:val="0000FF" w:themeColor="hyperlink"/>
                  <w:sz w:val="20"/>
                  <w:u w:val="single"/>
                  <w:lang w:val="en-CA"/>
                </w:rPr>
                <w:t>2013 ABQB 165</w:t>
              </w:r>
            </w:hyperlink>
          </w:p>
          <w:p w:rsidR="00996B84" w:rsidRPr="00996B84" w:rsidRDefault="00996B84" w:rsidP="00996B84">
            <w:pPr>
              <w:jc w:val="both"/>
              <w:rPr>
                <w:rFonts w:eastAsiaTheme="minorHAnsi"/>
                <w:sz w:val="20"/>
                <w:lang w:val="en-CA"/>
              </w:rPr>
            </w:pPr>
          </w:p>
        </w:tc>
        <w:tc>
          <w:tcPr>
            <w:tcW w:w="243" w:type="pct"/>
          </w:tcPr>
          <w:p w:rsidR="00996B84" w:rsidRPr="00996B84" w:rsidRDefault="00996B84" w:rsidP="00996B84">
            <w:pPr>
              <w:jc w:val="both"/>
              <w:rPr>
                <w:rFonts w:eastAsiaTheme="minorHAnsi"/>
                <w:sz w:val="20"/>
                <w:lang w:val="en-CA"/>
              </w:rPr>
            </w:pPr>
          </w:p>
        </w:tc>
        <w:tc>
          <w:tcPr>
            <w:tcW w:w="2330" w:type="pct"/>
          </w:tcPr>
          <w:p w:rsidR="00996B84" w:rsidRPr="00996B84" w:rsidRDefault="00996B84" w:rsidP="00996B84">
            <w:pPr>
              <w:jc w:val="both"/>
              <w:rPr>
                <w:rFonts w:eastAsiaTheme="minorHAnsi"/>
                <w:sz w:val="20"/>
                <w:lang w:val="en-CA"/>
              </w:rPr>
            </w:pPr>
            <w:r w:rsidRPr="00996B84">
              <w:rPr>
                <w:rFonts w:eastAsiaTheme="minorHAnsi"/>
                <w:sz w:val="20"/>
                <w:lang w:val="en-CA"/>
              </w:rPr>
              <w:t>Respondent’s appeal from Review Officer’s assessment of lawyer’s accounts, allowed;  re-hearing ordered before another Review Officer.</w:t>
            </w:r>
          </w:p>
          <w:p w:rsidR="00996B84" w:rsidRPr="00996B84" w:rsidRDefault="00996B84" w:rsidP="00996B84">
            <w:pPr>
              <w:jc w:val="both"/>
              <w:rPr>
                <w:rFonts w:eastAsiaTheme="minorHAnsi"/>
                <w:sz w:val="20"/>
                <w:lang w:val="en-CA"/>
              </w:rPr>
            </w:pPr>
          </w:p>
        </w:tc>
      </w:tr>
      <w:tr w:rsidR="00996B84" w:rsidRPr="00996B84" w:rsidTr="00D01614">
        <w:tc>
          <w:tcPr>
            <w:tcW w:w="2427" w:type="pct"/>
            <w:gridSpan w:val="2"/>
          </w:tcPr>
          <w:p w:rsidR="00996B84" w:rsidRPr="00996B84" w:rsidRDefault="00996B84" w:rsidP="00996B84">
            <w:pPr>
              <w:jc w:val="both"/>
              <w:rPr>
                <w:rFonts w:eastAsiaTheme="minorHAnsi"/>
                <w:sz w:val="20"/>
                <w:lang w:val="en-CA"/>
              </w:rPr>
            </w:pPr>
            <w:r w:rsidRPr="00996B84">
              <w:rPr>
                <w:rFonts w:eastAsiaTheme="minorHAnsi"/>
                <w:sz w:val="20"/>
                <w:lang w:val="en-CA"/>
              </w:rPr>
              <w:t>December 15, 2014</w:t>
            </w:r>
          </w:p>
          <w:p w:rsidR="00996B84" w:rsidRPr="00996B84" w:rsidRDefault="00996B84" w:rsidP="00996B84">
            <w:pPr>
              <w:jc w:val="both"/>
              <w:rPr>
                <w:rFonts w:eastAsiaTheme="minorHAnsi"/>
                <w:sz w:val="20"/>
                <w:lang w:val="en-CA"/>
              </w:rPr>
            </w:pPr>
            <w:r w:rsidRPr="00996B84">
              <w:rPr>
                <w:rFonts w:eastAsiaTheme="minorHAnsi"/>
                <w:sz w:val="20"/>
                <w:lang w:val="en-CA"/>
              </w:rPr>
              <w:t>Court of Appeal of Alberta (Calgary)</w:t>
            </w:r>
          </w:p>
          <w:p w:rsidR="00996B84" w:rsidRPr="00996B84" w:rsidRDefault="00996B84" w:rsidP="00996B84">
            <w:pPr>
              <w:jc w:val="both"/>
              <w:rPr>
                <w:rFonts w:eastAsiaTheme="minorHAnsi"/>
                <w:sz w:val="20"/>
                <w:lang w:val="en-CA"/>
              </w:rPr>
            </w:pPr>
            <w:r w:rsidRPr="00996B84">
              <w:rPr>
                <w:rFonts w:eastAsiaTheme="minorHAnsi"/>
                <w:sz w:val="20"/>
                <w:lang w:val="en-CA"/>
              </w:rPr>
              <w:t xml:space="preserve">(Berger, McDonald [dissenting] and Veldhuis </w:t>
            </w:r>
          </w:p>
          <w:p w:rsidR="00996B84" w:rsidRPr="00996B84" w:rsidRDefault="00996B84" w:rsidP="00996B84">
            <w:pPr>
              <w:jc w:val="both"/>
              <w:rPr>
                <w:rFonts w:eastAsiaTheme="minorHAnsi"/>
                <w:sz w:val="20"/>
                <w:lang w:val="en-CA"/>
              </w:rPr>
            </w:pPr>
            <w:r w:rsidRPr="00996B84">
              <w:rPr>
                <w:rFonts w:eastAsiaTheme="minorHAnsi"/>
                <w:sz w:val="20"/>
                <w:lang w:val="en-CA"/>
              </w:rPr>
              <w:t>JJ.A.)</w:t>
            </w:r>
          </w:p>
          <w:p w:rsidR="00996B84" w:rsidRPr="00996B84" w:rsidRDefault="00996B84" w:rsidP="00996B84">
            <w:pPr>
              <w:jc w:val="both"/>
              <w:rPr>
                <w:rFonts w:eastAsiaTheme="minorHAnsi"/>
                <w:sz w:val="20"/>
                <w:lang w:val="en-CA"/>
              </w:rPr>
            </w:pPr>
            <w:r w:rsidRPr="00996B84">
              <w:rPr>
                <w:rFonts w:eastAsiaTheme="minorHAnsi"/>
                <w:sz w:val="20"/>
                <w:lang w:val="en-CA"/>
              </w:rPr>
              <w:t xml:space="preserve">Neutral citation: </w:t>
            </w:r>
            <w:hyperlink r:id="rId38" w:history="1">
              <w:r w:rsidRPr="00392A88">
                <w:rPr>
                  <w:rFonts w:eastAsiaTheme="minorHAnsi"/>
                  <w:color w:val="0000FF" w:themeColor="hyperlink"/>
                  <w:sz w:val="20"/>
                  <w:u w:val="single"/>
                  <w:lang w:val="en-CA"/>
                </w:rPr>
                <w:t>2014 ABCA 426</w:t>
              </w:r>
            </w:hyperlink>
          </w:p>
          <w:p w:rsidR="00996B84" w:rsidRPr="00996B84" w:rsidRDefault="00996B84" w:rsidP="00996B84">
            <w:pPr>
              <w:jc w:val="both"/>
              <w:rPr>
                <w:rFonts w:eastAsiaTheme="minorHAnsi"/>
                <w:sz w:val="20"/>
                <w:lang w:val="en-CA"/>
              </w:rPr>
            </w:pPr>
          </w:p>
        </w:tc>
        <w:tc>
          <w:tcPr>
            <w:tcW w:w="243" w:type="pct"/>
          </w:tcPr>
          <w:p w:rsidR="00996B84" w:rsidRPr="00996B84" w:rsidRDefault="00996B84" w:rsidP="00996B84">
            <w:pPr>
              <w:jc w:val="both"/>
              <w:rPr>
                <w:rFonts w:eastAsiaTheme="minorHAnsi"/>
                <w:sz w:val="20"/>
                <w:lang w:val="en-CA"/>
              </w:rPr>
            </w:pPr>
          </w:p>
        </w:tc>
        <w:tc>
          <w:tcPr>
            <w:tcW w:w="2330" w:type="pct"/>
          </w:tcPr>
          <w:p w:rsidR="00996B84" w:rsidRPr="00996B84" w:rsidRDefault="00996B84" w:rsidP="00996B84">
            <w:pPr>
              <w:jc w:val="both"/>
              <w:rPr>
                <w:rFonts w:eastAsiaTheme="minorHAnsi"/>
                <w:sz w:val="20"/>
                <w:lang w:val="en-CA"/>
              </w:rPr>
            </w:pPr>
            <w:r w:rsidRPr="00996B84">
              <w:rPr>
                <w:rFonts w:eastAsiaTheme="minorHAnsi"/>
                <w:sz w:val="20"/>
                <w:lang w:val="en-CA"/>
              </w:rPr>
              <w:t>Applicant’s appeal allowed in part; re-hearing ordered before another Review Officer on all but two of the lawyer’s accounts.</w:t>
            </w:r>
          </w:p>
          <w:p w:rsidR="00996B84" w:rsidRPr="00996B84" w:rsidRDefault="00996B84" w:rsidP="00996B84">
            <w:pPr>
              <w:jc w:val="both"/>
              <w:rPr>
                <w:rFonts w:eastAsiaTheme="minorHAnsi"/>
                <w:sz w:val="20"/>
                <w:lang w:val="en-CA"/>
              </w:rPr>
            </w:pPr>
          </w:p>
        </w:tc>
      </w:tr>
      <w:tr w:rsidR="00996B84" w:rsidRPr="00996B84" w:rsidTr="00D01614">
        <w:tc>
          <w:tcPr>
            <w:tcW w:w="2427" w:type="pct"/>
            <w:gridSpan w:val="2"/>
          </w:tcPr>
          <w:p w:rsidR="00996B84" w:rsidRPr="00996B84" w:rsidRDefault="00996B84" w:rsidP="00996B84">
            <w:pPr>
              <w:jc w:val="both"/>
              <w:rPr>
                <w:rFonts w:eastAsiaTheme="minorHAnsi"/>
                <w:sz w:val="20"/>
                <w:lang w:val="en-CA"/>
              </w:rPr>
            </w:pPr>
            <w:r w:rsidRPr="00996B84">
              <w:rPr>
                <w:rFonts w:eastAsiaTheme="minorHAnsi"/>
                <w:sz w:val="20"/>
                <w:lang w:val="en-CA"/>
              </w:rPr>
              <w:t>February 13, 2015</w:t>
            </w:r>
          </w:p>
          <w:p w:rsidR="00996B84" w:rsidRPr="00996B84" w:rsidRDefault="00996B84" w:rsidP="00996B84">
            <w:pPr>
              <w:jc w:val="both"/>
              <w:rPr>
                <w:rFonts w:eastAsiaTheme="minorHAnsi"/>
                <w:sz w:val="20"/>
                <w:lang w:val="en-CA"/>
              </w:rPr>
            </w:pPr>
            <w:r w:rsidRPr="00996B84">
              <w:rPr>
                <w:rFonts w:eastAsiaTheme="minorHAnsi"/>
                <w:sz w:val="20"/>
                <w:lang w:val="en-CA"/>
              </w:rPr>
              <w:t>Supreme Court of Canada</w:t>
            </w:r>
          </w:p>
        </w:tc>
        <w:tc>
          <w:tcPr>
            <w:tcW w:w="243" w:type="pct"/>
          </w:tcPr>
          <w:p w:rsidR="00996B84" w:rsidRPr="00996B84" w:rsidRDefault="00996B84" w:rsidP="00996B84">
            <w:pPr>
              <w:jc w:val="both"/>
              <w:rPr>
                <w:rFonts w:eastAsiaTheme="minorHAnsi"/>
                <w:sz w:val="20"/>
                <w:lang w:val="en-CA"/>
              </w:rPr>
            </w:pPr>
          </w:p>
        </w:tc>
        <w:tc>
          <w:tcPr>
            <w:tcW w:w="2330" w:type="pct"/>
          </w:tcPr>
          <w:p w:rsidR="00996B84" w:rsidRPr="00996B84" w:rsidRDefault="00996B84" w:rsidP="00996B84">
            <w:pPr>
              <w:jc w:val="both"/>
              <w:rPr>
                <w:rFonts w:eastAsiaTheme="minorHAnsi"/>
                <w:sz w:val="20"/>
                <w:lang w:val="en-CA"/>
              </w:rPr>
            </w:pPr>
            <w:r w:rsidRPr="00996B84">
              <w:rPr>
                <w:rFonts w:eastAsiaTheme="minorHAnsi"/>
                <w:sz w:val="20"/>
                <w:lang w:val="en-CA"/>
              </w:rPr>
              <w:t>Application for leave to appeal, filed.</w:t>
            </w:r>
          </w:p>
        </w:tc>
      </w:tr>
    </w:tbl>
    <w:p w:rsidR="00996B84" w:rsidRPr="00996B84" w:rsidRDefault="00996B84" w:rsidP="00996B84">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96B84" w:rsidRPr="00996B84" w:rsidTr="00D01614">
        <w:tc>
          <w:tcPr>
            <w:tcW w:w="543" w:type="pct"/>
          </w:tcPr>
          <w:p w:rsidR="00996B84" w:rsidRPr="00996B84" w:rsidRDefault="00996B84" w:rsidP="00996B84">
            <w:pPr>
              <w:jc w:val="both"/>
              <w:rPr>
                <w:rFonts w:eastAsiaTheme="minorHAnsi"/>
                <w:sz w:val="20"/>
                <w:lang w:val="fr-CA"/>
              </w:rPr>
            </w:pPr>
            <w:r w:rsidRPr="00392A88">
              <w:rPr>
                <w:rFonts w:eastAsiaTheme="minorHAnsi"/>
                <w:b/>
                <w:sz w:val="20"/>
                <w:lang w:val="fr-CA"/>
              </w:rPr>
              <w:t>36303</w:t>
            </w:r>
          </w:p>
        </w:tc>
        <w:tc>
          <w:tcPr>
            <w:tcW w:w="4457" w:type="pct"/>
            <w:gridSpan w:val="3"/>
          </w:tcPr>
          <w:p w:rsidR="00996B84" w:rsidRPr="00996B84" w:rsidRDefault="00996B84" w:rsidP="00996B84">
            <w:pPr>
              <w:jc w:val="both"/>
              <w:rPr>
                <w:rFonts w:eastAsiaTheme="minorHAnsi"/>
                <w:b/>
                <w:sz w:val="20"/>
              </w:rPr>
            </w:pPr>
            <w:r w:rsidRPr="00996B84">
              <w:rPr>
                <w:rFonts w:eastAsiaTheme="minorHAnsi"/>
                <w:b/>
                <w:sz w:val="20"/>
              </w:rPr>
              <w:t>Première Nation Sweetgrass c. Rath &amp; Company</w:t>
            </w:r>
          </w:p>
          <w:p w:rsidR="00996B84" w:rsidRPr="00996B84" w:rsidRDefault="00996B84" w:rsidP="00996B84">
            <w:pPr>
              <w:jc w:val="both"/>
              <w:rPr>
                <w:rFonts w:eastAsiaTheme="minorHAnsi"/>
                <w:sz w:val="20"/>
                <w:lang w:val="fr-CA"/>
              </w:rPr>
            </w:pPr>
            <w:r w:rsidRPr="00996B84">
              <w:rPr>
                <w:rFonts w:eastAsiaTheme="minorHAnsi"/>
                <w:sz w:val="20"/>
                <w:lang w:val="fr-CA"/>
              </w:rPr>
              <w:t>(Alb.) (Civile) (Sur autorisation)</w:t>
            </w:r>
          </w:p>
        </w:tc>
      </w:tr>
      <w:tr w:rsidR="00996B84" w:rsidRPr="00996B84" w:rsidTr="00D01614">
        <w:tc>
          <w:tcPr>
            <w:tcW w:w="5000" w:type="pct"/>
            <w:gridSpan w:val="4"/>
          </w:tcPr>
          <w:p w:rsidR="00996B84" w:rsidRPr="00996B84" w:rsidRDefault="00996B84" w:rsidP="00996B84">
            <w:pPr>
              <w:jc w:val="both"/>
              <w:rPr>
                <w:rFonts w:eastAsiaTheme="minorHAnsi"/>
                <w:sz w:val="20"/>
                <w:lang w:val="fr-CA"/>
              </w:rPr>
            </w:pPr>
            <w:r w:rsidRPr="00996B84">
              <w:rPr>
                <w:rFonts w:eastAsiaTheme="minorHAnsi"/>
                <w:sz w:val="20"/>
                <w:lang w:val="fr-CA"/>
              </w:rPr>
              <w:t>Droit des professions – Avocats et procureurs – Évaluation des comptes d’honoraires de l’avocat par un agent de révision – Les tribunaux devraient-ils imposer des restrictions sur la compétence législative des agents de révision d’évaluer les comptes d’honoraires des avocats? – Des restrictions sont-elles justifiées par l’objectif de protection des consommateurs que visent les évaluations? – Les décisions des juridictions inférieures risquent-elles de miner la confiance des consommateurs et l’accès à la justice?</w:t>
            </w:r>
          </w:p>
        </w:tc>
      </w:tr>
      <w:tr w:rsidR="00996B84" w:rsidRPr="00996B84" w:rsidTr="00D01614">
        <w:tc>
          <w:tcPr>
            <w:tcW w:w="5000" w:type="pct"/>
            <w:gridSpan w:val="4"/>
          </w:tcPr>
          <w:p w:rsidR="00996B84" w:rsidRPr="00996B84" w:rsidRDefault="00996B84" w:rsidP="00996B84">
            <w:pPr>
              <w:jc w:val="both"/>
              <w:rPr>
                <w:rFonts w:eastAsiaTheme="minorHAnsi"/>
                <w:sz w:val="20"/>
                <w:lang w:val="fr-CA"/>
              </w:rPr>
            </w:pPr>
          </w:p>
        </w:tc>
      </w:tr>
      <w:tr w:rsidR="00996B84" w:rsidRPr="00996B84" w:rsidTr="00D01614">
        <w:tc>
          <w:tcPr>
            <w:tcW w:w="5000" w:type="pct"/>
            <w:gridSpan w:val="4"/>
          </w:tcPr>
          <w:p w:rsidR="00996B84" w:rsidRPr="00996B84" w:rsidRDefault="00996B84" w:rsidP="00996B84">
            <w:pPr>
              <w:jc w:val="both"/>
              <w:rPr>
                <w:rFonts w:eastAsiaTheme="minorHAnsi"/>
                <w:sz w:val="20"/>
                <w:lang w:val="fr-CA"/>
              </w:rPr>
            </w:pPr>
            <w:r w:rsidRPr="00996B84">
              <w:rPr>
                <w:rFonts w:eastAsiaTheme="minorHAnsi"/>
                <w:sz w:val="20"/>
                <w:lang w:val="fr-CA"/>
              </w:rPr>
              <w:lastRenderedPageBreak/>
              <w:t>La demanderesse, la Première Nation Sweetgrass, a confié un mandat de représentation au cabinet d’avocats intimé, Rath &amp; Company, relativement à diverses questions juridiques sur plusieurs années.  Après avoir confié un mandat de représentation à d’autres avocats, Sweetgrass a demandé la révision d’un certain nombre de comptes d’honoraires de Rath &amp; Company, y compris un compte couvert par une convention écrite d’honoraires conditionnels et huit autres comptes pour lesquels il n’y avait pas de mandat écrit de représentation.  L’agent de révision a accordé des réductions substantielles relativement à la plupart des comptes d’honoraires, y compris le montant facturé sur le compte d’honoraires conditionnels qui a été réduit de plus de 60 %.  Rath &amp; Company a interjeté appel, à la Cour du Banc de la Reine de l’Alberta, de l’évaluation de l’agent de révision, demandant que les comptes d’honoraires soient autorisés intégralement ou, subsidiairement, que les comptes soient renvoyés à un autre agent de révision pour réexamen.</w:t>
            </w:r>
          </w:p>
          <w:p w:rsidR="00996B84" w:rsidRPr="00996B84" w:rsidRDefault="00996B84" w:rsidP="00996B84">
            <w:pPr>
              <w:jc w:val="both"/>
              <w:rPr>
                <w:rFonts w:eastAsiaTheme="minorHAnsi"/>
                <w:sz w:val="20"/>
                <w:lang w:val="fr-CA"/>
              </w:rPr>
            </w:pPr>
          </w:p>
          <w:p w:rsidR="00996B84" w:rsidRPr="00996B84" w:rsidRDefault="00996B84" w:rsidP="00996B84">
            <w:pPr>
              <w:jc w:val="both"/>
              <w:rPr>
                <w:rFonts w:eastAsiaTheme="minorHAnsi"/>
                <w:sz w:val="20"/>
                <w:lang w:val="fr-CA"/>
              </w:rPr>
            </w:pPr>
            <w:r w:rsidRPr="00996B84">
              <w:rPr>
                <w:rFonts w:eastAsiaTheme="minorHAnsi"/>
                <w:sz w:val="20"/>
                <w:lang w:val="fr-CA"/>
              </w:rPr>
              <w:t>La Cour du Banc de la Reine de l’Alberta a accueilli l’appel de l’évaluation de l’agent de révision interjeté par l’intimé, ordonnant que l’affaire soit entendue de nouveau par un autre agent de révision.  Les juges majoritaires de la Cour d’appel ont accueilli en partie l’appel de la demanderesse, rétablissant l’évaluation de l’agent de révision relativement à deux comptes d’honoraires de l’avocat et ordonnant une nouvelle audience relativement aux autres comptes.</w:t>
            </w:r>
          </w:p>
          <w:p w:rsidR="00996B84" w:rsidRPr="00996B84" w:rsidRDefault="00996B84" w:rsidP="00996B84">
            <w:pPr>
              <w:jc w:val="both"/>
              <w:rPr>
                <w:rFonts w:eastAsiaTheme="minorHAnsi"/>
                <w:sz w:val="20"/>
                <w:lang w:val="fr-CA"/>
              </w:rPr>
            </w:pPr>
          </w:p>
        </w:tc>
      </w:tr>
      <w:tr w:rsidR="00996B84" w:rsidRPr="00996B84" w:rsidTr="00D01614">
        <w:tc>
          <w:tcPr>
            <w:tcW w:w="2427" w:type="pct"/>
            <w:gridSpan w:val="2"/>
          </w:tcPr>
          <w:p w:rsidR="00996B84" w:rsidRPr="00996B84" w:rsidRDefault="00996B84" w:rsidP="00996B84">
            <w:pPr>
              <w:jc w:val="both"/>
              <w:rPr>
                <w:rFonts w:eastAsiaTheme="minorHAnsi"/>
                <w:sz w:val="20"/>
                <w:lang w:val="fr-CA"/>
              </w:rPr>
            </w:pPr>
            <w:r w:rsidRPr="00996B84">
              <w:rPr>
                <w:rFonts w:eastAsiaTheme="minorHAnsi"/>
                <w:sz w:val="20"/>
                <w:lang w:val="fr-CA"/>
              </w:rPr>
              <w:t>15 mars 2013</w:t>
            </w:r>
          </w:p>
          <w:p w:rsidR="00996B84" w:rsidRPr="00996B84" w:rsidRDefault="00996B84" w:rsidP="00996B84">
            <w:pPr>
              <w:jc w:val="both"/>
              <w:rPr>
                <w:rFonts w:eastAsiaTheme="minorHAnsi"/>
                <w:sz w:val="20"/>
                <w:lang w:val="fr-CA"/>
              </w:rPr>
            </w:pPr>
            <w:r w:rsidRPr="00996B84">
              <w:rPr>
                <w:rFonts w:eastAsiaTheme="minorHAnsi"/>
                <w:sz w:val="20"/>
                <w:lang w:val="fr-CA"/>
              </w:rPr>
              <w:t>Cour du Banc de la Reine de l’Alberta</w:t>
            </w:r>
          </w:p>
          <w:p w:rsidR="00996B84" w:rsidRPr="00996B84" w:rsidRDefault="00996B84" w:rsidP="00996B84">
            <w:pPr>
              <w:jc w:val="both"/>
              <w:rPr>
                <w:rFonts w:eastAsiaTheme="minorHAnsi"/>
                <w:sz w:val="20"/>
                <w:lang w:val="fr-CA"/>
              </w:rPr>
            </w:pPr>
            <w:r w:rsidRPr="00996B84">
              <w:rPr>
                <w:rFonts w:eastAsiaTheme="minorHAnsi"/>
                <w:sz w:val="20"/>
                <w:lang w:val="fr-CA"/>
              </w:rPr>
              <w:t>(Juge Tilleman)</w:t>
            </w:r>
          </w:p>
          <w:p w:rsidR="00996B84" w:rsidRPr="00996B84" w:rsidRDefault="00996B84" w:rsidP="00996B84">
            <w:pPr>
              <w:jc w:val="both"/>
              <w:rPr>
                <w:rFonts w:eastAsiaTheme="minorHAnsi"/>
                <w:sz w:val="20"/>
                <w:lang w:val="fr-CA"/>
              </w:rPr>
            </w:pPr>
            <w:r w:rsidRPr="00996B84">
              <w:rPr>
                <w:rFonts w:eastAsiaTheme="minorHAnsi"/>
                <w:sz w:val="20"/>
                <w:lang w:val="fr-CA"/>
              </w:rPr>
              <w:t xml:space="preserve">Référence neutre :  </w:t>
            </w:r>
            <w:hyperlink r:id="rId39" w:history="1">
              <w:r w:rsidRPr="00392A88">
                <w:rPr>
                  <w:rFonts w:eastAsiaTheme="minorHAnsi"/>
                  <w:color w:val="0000FF" w:themeColor="hyperlink"/>
                  <w:sz w:val="20"/>
                  <w:u w:val="single"/>
                  <w:lang w:val="fr-CA"/>
                </w:rPr>
                <w:t>2013 ABQB 165</w:t>
              </w:r>
            </w:hyperlink>
          </w:p>
          <w:p w:rsidR="00996B84" w:rsidRPr="00996B84" w:rsidRDefault="00996B84" w:rsidP="00996B84">
            <w:pPr>
              <w:jc w:val="both"/>
              <w:rPr>
                <w:rFonts w:eastAsiaTheme="minorHAnsi"/>
                <w:sz w:val="20"/>
                <w:lang w:val="fr-CA"/>
              </w:rPr>
            </w:pPr>
          </w:p>
        </w:tc>
        <w:tc>
          <w:tcPr>
            <w:tcW w:w="243" w:type="pct"/>
          </w:tcPr>
          <w:p w:rsidR="00996B84" w:rsidRPr="00996B84" w:rsidRDefault="00996B84" w:rsidP="00996B84">
            <w:pPr>
              <w:jc w:val="both"/>
              <w:rPr>
                <w:rFonts w:eastAsiaTheme="minorHAnsi"/>
                <w:sz w:val="20"/>
                <w:lang w:val="fr-CA"/>
              </w:rPr>
            </w:pPr>
          </w:p>
        </w:tc>
        <w:tc>
          <w:tcPr>
            <w:tcW w:w="2330" w:type="pct"/>
          </w:tcPr>
          <w:p w:rsidR="00996B84" w:rsidRPr="00996B84" w:rsidRDefault="00996B84" w:rsidP="00996B84">
            <w:pPr>
              <w:jc w:val="both"/>
              <w:rPr>
                <w:rFonts w:eastAsiaTheme="minorHAnsi"/>
                <w:sz w:val="20"/>
                <w:lang w:val="fr-CA"/>
              </w:rPr>
            </w:pPr>
            <w:r w:rsidRPr="00996B84">
              <w:rPr>
                <w:rFonts w:eastAsiaTheme="minorHAnsi"/>
                <w:sz w:val="20"/>
                <w:lang w:val="fr-CA"/>
              </w:rPr>
              <w:t>Jugement accueillant l’appel de l’évaluation de l’agent de révision des comptes d’honoraires de l’avocat interjeté par l’intimé et ordonnant la tenue d’une nouvelle audience devant un autre agent de révision.</w:t>
            </w:r>
          </w:p>
          <w:p w:rsidR="00996B84" w:rsidRPr="00996B84" w:rsidRDefault="00996B84" w:rsidP="00996B84">
            <w:pPr>
              <w:jc w:val="both"/>
              <w:rPr>
                <w:rFonts w:eastAsiaTheme="minorHAnsi"/>
                <w:sz w:val="20"/>
                <w:lang w:val="fr-CA"/>
              </w:rPr>
            </w:pPr>
          </w:p>
        </w:tc>
      </w:tr>
      <w:tr w:rsidR="00996B84" w:rsidRPr="00996B84" w:rsidTr="00D01614">
        <w:tc>
          <w:tcPr>
            <w:tcW w:w="2427" w:type="pct"/>
            <w:gridSpan w:val="2"/>
          </w:tcPr>
          <w:p w:rsidR="00996B84" w:rsidRPr="00996B84" w:rsidRDefault="00996B84" w:rsidP="00996B84">
            <w:pPr>
              <w:jc w:val="both"/>
              <w:rPr>
                <w:rFonts w:eastAsiaTheme="minorHAnsi"/>
                <w:sz w:val="20"/>
                <w:lang w:val="fr-CA"/>
              </w:rPr>
            </w:pPr>
            <w:r w:rsidRPr="00996B84">
              <w:rPr>
                <w:rFonts w:eastAsiaTheme="minorHAnsi"/>
                <w:sz w:val="20"/>
                <w:lang w:val="fr-CA"/>
              </w:rPr>
              <w:t>15 décembre 2014</w:t>
            </w:r>
          </w:p>
          <w:p w:rsidR="00996B84" w:rsidRPr="00996B84" w:rsidRDefault="00996B84" w:rsidP="00996B84">
            <w:pPr>
              <w:jc w:val="both"/>
              <w:rPr>
                <w:rFonts w:eastAsiaTheme="minorHAnsi"/>
                <w:sz w:val="20"/>
                <w:lang w:val="fr-CA"/>
              </w:rPr>
            </w:pPr>
            <w:r w:rsidRPr="00996B84">
              <w:rPr>
                <w:rFonts w:eastAsiaTheme="minorHAnsi"/>
                <w:sz w:val="20"/>
                <w:lang w:val="fr-CA"/>
              </w:rPr>
              <w:t>Cour d’appel de l’Alberta (Calgary)</w:t>
            </w:r>
          </w:p>
          <w:p w:rsidR="00996B84" w:rsidRPr="00996B84" w:rsidRDefault="00996B84" w:rsidP="00996B84">
            <w:pPr>
              <w:jc w:val="both"/>
              <w:rPr>
                <w:rFonts w:eastAsiaTheme="minorHAnsi"/>
                <w:sz w:val="20"/>
                <w:lang w:val="fr-CA"/>
              </w:rPr>
            </w:pPr>
            <w:r w:rsidRPr="00996B84">
              <w:rPr>
                <w:rFonts w:eastAsiaTheme="minorHAnsi"/>
                <w:sz w:val="20"/>
                <w:lang w:val="fr-CA"/>
              </w:rPr>
              <w:t>(Juges Berger, McDonald [dissident] et Veldhuis)</w:t>
            </w:r>
          </w:p>
          <w:p w:rsidR="00996B84" w:rsidRPr="00996B84" w:rsidRDefault="00996B84" w:rsidP="00996B84">
            <w:pPr>
              <w:jc w:val="both"/>
              <w:rPr>
                <w:rFonts w:eastAsiaTheme="minorHAnsi"/>
                <w:sz w:val="20"/>
                <w:lang w:val="fr-CA"/>
              </w:rPr>
            </w:pPr>
            <w:r w:rsidRPr="00996B84">
              <w:rPr>
                <w:rFonts w:eastAsiaTheme="minorHAnsi"/>
                <w:sz w:val="20"/>
                <w:lang w:val="fr-CA"/>
              </w:rPr>
              <w:t xml:space="preserve">Référence neutre : </w:t>
            </w:r>
            <w:hyperlink r:id="rId40" w:history="1">
              <w:r w:rsidRPr="00392A88">
                <w:rPr>
                  <w:rFonts w:eastAsiaTheme="minorHAnsi"/>
                  <w:color w:val="0000FF" w:themeColor="hyperlink"/>
                  <w:sz w:val="20"/>
                  <w:u w:val="single"/>
                  <w:lang w:val="fr-CA"/>
                </w:rPr>
                <w:t>2014 ABCA 426</w:t>
              </w:r>
            </w:hyperlink>
          </w:p>
          <w:p w:rsidR="00996B84" w:rsidRPr="00996B84" w:rsidRDefault="00996B84" w:rsidP="00996B84">
            <w:pPr>
              <w:jc w:val="both"/>
              <w:rPr>
                <w:rFonts w:eastAsiaTheme="minorHAnsi"/>
                <w:sz w:val="20"/>
                <w:lang w:val="fr-CA"/>
              </w:rPr>
            </w:pPr>
          </w:p>
        </w:tc>
        <w:tc>
          <w:tcPr>
            <w:tcW w:w="243" w:type="pct"/>
          </w:tcPr>
          <w:p w:rsidR="00996B84" w:rsidRPr="00996B84" w:rsidRDefault="00996B84" w:rsidP="00996B84">
            <w:pPr>
              <w:jc w:val="both"/>
              <w:rPr>
                <w:rFonts w:eastAsiaTheme="minorHAnsi"/>
                <w:sz w:val="20"/>
                <w:lang w:val="fr-CA"/>
              </w:rPr>
            </w:pPr>
          </w:p>
        </w:tc>
        <w:tc>
          <w:tcPr>
            <w:tcW w:w="2330" w:type="pct"/>
          </w:tcPr>
          <w:p w:rsidR="00996B84" w:rsidRPr="00996B84" w:rsidRDefault="00996B84" w:rsidP="00996B84">
            <w:pPr>
              <w:jc w:val="both"/>
              <w:rPr>
                <w:rFonts w:eastAsiaTheme="minorHAnsi"/>
                <w:sz w:val="20"/>
                <w:lang w:val="fr-CA"/>
              </w:rPr>
            </w:pPr>
            <w:r w:rsidRPr="00996B84">
              <w:rPr>
                <w:rFonts w:eastAsiaTheme="minorHAnsi"/>
                <w:sz w:val="20"/>
                <w:lang w:val="fr-CA"/>
              </w:rPr>
              <w:t>Arrêt accueillant en partie l’appel de la demanderesse et ordonnant la tenue d’une nouvelle audience devant un autre agent de révision relativement à tous les comptes d’honoraires de l’avocat, sauf deux.</w:t>
            </w:r>
          </w:p>
          <w:p w:rsidR="00996B84" w:rsidRPr="00996B84" w:rsidRDefault="00996B84" w:rsidP="00996B84">
            <w:pPr>
              <w:jc w:val="both"/>
              <w:rPr>
                <w:rFonts w:eastAsiaTheme="minorHAnsi"/>
                <w:sz w:val="20"/>
                <w:lang w:val="fr-CA"/>
              </w:rPr>
            </w:pPr>
          </w:p>
        </w:tc>
      </w:tr>
      <w:tr w:rsidR="00996B84" w:rsidRPr="00996B84" w:rsidTr="00D01614">
        <w:tc>
          <w:tcPr>
            <w:tcW w:w="2427" w:type="pct"/>
            <w:gridSpan w:val="2"/>
          </w:tcPr>
          <w:p w:rsidR="00996B84" w:rsidRPr="00996B84" w:rsidRDefault="00996B84" w:rsidP="00996B84">
            <w:pPr>
              <w:jc w:val="both"/>
              <w:rPr>
                <w:rFonts w:eastAsiaTheme="minorHAnsi"/>
                <w:sz w:val="20"/>
                <w:lang w:val="fr-CA"/>
              </w:rPr>
            </w:pPr>
            <w:r w:rsidRPr="00996B84">
              <w:rPr>
                <w:rFonts w:eastAsiaTheme="minorHAnsi"/>
                <w:sz w:val="20"/>
                <w:lang w:val="fr-CA"/>
              </w:rPr>
              <w:t>13 février 2015</w:t>
            </w:r>
          </w:p>
          <w:p w:rsidR="00996B84" w:rsidRPr="00996B84" w:rsidRDefault="00996B84" w:rsidP="00996B84">
            <w:pPr>
              <w:jc w:val="both"/>
              <w:rPr>
                <w:rFonts w:eastAsiaTheme="minorHAnsi"/>
                <w:sz w:val="20"/>
                <w:lang w:val="fr-CA"/>
              </w:rPr>
            </w:pPr>
            <w:r w:rsidRPr="00996B84">
              <w:rPr>
                <w:rFonts w:eastAsiaTheme="minorHAnsi"/>
                <w:sz w:val="20"/>
                <w:lang w:val="fr-CA"/>
              </w:rPr>
              <w:t>Cour suprême du Canada</w:t>
            </w:r>
          </w:p>
        </w:tc>
        <w:tc>
          <w:tcPr>
            <w:tcW w:w="243" w:type="pct"/>
          </w:tcPr>
          <w:p w:rsidR="00996B84" w:rsidRPr="00996B84" w:rsidRDefault="00996B84" w:rsidP="00996B84">
            <w:pPr>
              <w:jc w:val="both"/>
              <w:rPr>
                <w:rFonts w:eastAsiaTheme="minorHAnsi"/>
                <w:sz w:val="20"/>
                <w:lang w:val="fr-CA"/>
              </w:rPr>
            </w:pPr>
          </w:p>
        </w:tc>
        <w:tc>
          <w:tcPr>
            <w:tcW w:w="2330" w:type="pct"/>
          </w:tcPr>
          <w:p w:rsidR="00996B84" w:rsidRPr="00996B84" w:rsidRDefault="00996B84" w:rsidP="00996B84">
            <w:pPr>
              <w:jc w:val="both"/>
              <w:rPr>
                <w:rFonts w:eastAsiaTheme="minorHAnsi"/>
                <w:sz w:val="20"/>
                <w:lang w:val="fr-CA"/>
              </w:rPr>
            </w:pPr>
            <w:r w:rsidRPr="00996B84">
              <w:rPr>
                <w:rFonts w:eastAsiaTheme="minorHAnsi"/>
                <w:sz w:val="20"/>
                <w:lang w:val="fr-CA"/>
              </w:rPr>
              <w:t>Dépôt de la demande d’autorisation d’appel.</w:t>
            </w:r>
          </w:p>
          <w:p w:rsidR="00996B84" w:rsidRPr="00996B84" w:rsidRDefault="00996B84" w:rsidP="00996B84">
            <w:pPr>
              <w:jc w:val="both"/>
              <w:rPr>
                <w:rFonts w:eastAsiaTheme="minorHAnsi"/>
                <w:sz w:val="20"/>
                <w:lang w:val="fr-CA"/>
              </w:rPr>
            </w:pPr>
          </w:p>
        </w:tc>
      </w:tr>
    </w:tbl>
    <w:p w:rsidR="00996B84" w:rsidRDefault="00996B84" w:rsidP="00996B84">
      <w:pPr>
        <w:jc w:val="both"/>
        <w:rPr>
          <w:rFonts w:eastAsiaTheme="minorHAnsi"/>
          <w:sz w:val="20"/>
          <w:lang w:val="fr-CA"/>
        </w:rPr>
      </w:pPr>
    </w:p>
    <w:p w:rsidR="00392A88" w:rsidRPr="00996B84" w:rsidRDefault="00392A88" w:rsidP="00996B84">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96B84" w:rsidRPr="00996B84" w:rsidTr="00D01614">
        <w:tc>
          <w:tcPr>
            <w:tcW w:w="543" w:type="pct"/>
          </w:tcPr>
          <w:p w:rsidR="00996B84" w:rsidRPr="00996B84" w:rsidRDefault="00996B84" w:rsidP="00996B84">
            <w:pPr>
              <w:jc w:val="both"/>
              <w:rPr>
                <w:rFonts w:eastAsiaTheme="minorHAnsi"/>
                <w:sz w:val="20"/>
                <w:lang w:val="en-CA"/>
              </w:rPr>
            </w:pPr>
            <w:r w:rsidRPr="00392A88">
              <w:rPr>
                <w:rFonts w:eastAsiaTheme="minorHAnsi"/>
                <w:b/>
                <w:sz w:val="20"/>
                <w:lang w:val="en-CA"/>
              </w:rPr>
              <w:t>36358</w:t>
            </w:r>
          </w:p>
        </w:tc>
        <w:tc>
          <w:tcPr>
            <w:tcW w:w="4457" w:type="pct"/>
            <w:gridSpan w:val="3"/>
          </w:tcPr>
          <w:p w:rsidR="00996B84" w:rsidRPr="00996B84" w:rsidRDefault="00996B84" w:rsidP="00996B84">
            <w:pPr>
              <w:jc w:val="both"/>
              <w:rPr>
                <w:rFonts w:eastAsiaTheme="minorHAnsi"/>
                <w:b/>
                <w:sz w:val="20"/>
                <w:lang w:val="en-CA"/>
              </w:rPr>
            </w:pPr>
            <w:r w:rsidRPr="00996B84">
              <w:rPr>
                <w:rFonts w:eastAsiaTheme="minorHAnsi"/>
                <w:b/>
                <w:sz w:val="20"/>
                <w:lang w:val="en-CA"/>
              </w:rPr>
              <w:t>T.M. v. Her Majesty the Queen</w:t>
            </w:r>
          </w:p>
          <w:p w:rsidR="00996B84" w:rsidRPr="00996B84" w:rsidRDefault="00996B84" w:rsidP="00996B84">
            <w:pPr>
              <w:jc w:val="both"/>
              <w:rPr>
                <w:rFonts w:eastAsiaTheme="minorHAnsi"/>
                <w:sz w:val="20"/>
                <w:lang w:val="en-CA"/>
              </w:rPr>
            </w:pPr>
            <w:r w:rsidRPr="00996B84">
              <w:rPr>
                <w:rFonts w:eastAsiaTheme="minorHAnsi"/>
                <w:sz w:val="20"/>
                <w:lang w:val="en-CA"/>
              </w:rPr>
              <w:t>(Ont.) (Criminal) (By Leave)</w:t>
            </w:r>
          </w:p>
        </w:tc>
      </w:tr>
      <w:tr w:rsidR="00996B84" w:rsidRPr="00996B84" w:rsidTr="00D01614">
        <w:tc>
          <w:tcPr>
            <w:tcW w:w="5000" w:type="pct"/>
            <w:gridSpan w:val="4"/>
          </w:tcPr>
          <w:p w:rsidR="00996B84" w:rsidRPr="00996B84" w:rsidRDefault="00996B84" w:rsidP="00996B84">
            <w:pPr>
              <w:jc w:val="both"/>
              <w:rPr>
                <w:rFonts w:eastAsiaTheme="minorHAnsi"/>
                <w:smallCaps/>
                <w:sz w:val="20"/>
                <w:lang w:val="en-CA"/>
              </w:rPr>
            </w:pPr>
            <w:r w:rsidRPr="00996B84">
              <w:rPr>
                <w:rFonts w:eastAsiaTheme="minorHAnsi"/>
                <w:smallCaps/>
                <w:sz w:val="20"/>
                <w:lang w:val="en-CA"/>
              </w:rPr>
              <w:t>(Publication ban in case) (Publication ban on party)</w:t>
            </w:r>
          </w:p>
          <w:p w:rsidR="00996B84" w:rsidRPr="00996B84" w:rsidRDefault="00996B84" w:rsidP="00996B84">
            <w:pPr>
              <w:jc w:val="both"/>
              <w:rPr>
                <w:rFonts w:eastAsiaTheme="minorHAnsi"/>
                <w:sz w:val="20"/>
                <w:lang w:val="en-CA"/>
              </w:rPr>
            </w:pPr>
          </w:p>
        </w:tc>
      </w:tr>
      <w:tr w:rsidR="00996B84" w:rsidRPr="00996B84" w:rsidTr="00D01614">
        <w:tc>
          <w:tcPr>
            <w:tcW w:w="5000" w:type="pct"/>
            <w:gridSpan w:val="4"/>
          </w:tcPr>
          <w:p w:rsidR="00996B84" w:rsidRPr="00996B84" w:rsidRDefault="00996B84" w:rsidP="00996B84">
            <w:pPr>
              <w:jc w:val="both"/>
              <w:rPr>
                <w:rFonts w:eastAsiaTheme="minorHAnsi"/>
                <w:sz w:val="20"/>
                <w:lang w:val="en-CA"/>
              </w:rPr>
            </w:pPr>
            <w:r w:rsidRPr="00996B84">
              <w:rPr>
                <w:rFonts w:eastAsiaTheme="minorHAnsi"/>
                <w:i/>
                <w:sz w:val="20"/>
                <w:lang w:val="en-CA"/>
              </w:rPr>
              <w:t>Charter of Rights</w:t>
            </w:r>
            <w:r w:rsidRPr="00996B84">
              <w:rPr>
                <w:rFonts w:eastAsiaTheme="minorHAnsi"/>
                <w:sz w:val="20"/>
                <w:lang w:val="en-CA"/>
              </w:rPr>
              <w:t xml:space="preserve"> – </w:t>
            </w:r>
            <w:r w:rsidRPr="00996B84">
              <w:rPr>
                <w:rFonts w:eastAsiaTheme="minorHAnsi"/>
                <w:i/>
                <w:sz w:val="20"/>
                <w:lang w:val="en-CA"/>
              </w:rPr>
              <w:t>Charter</w:t>
            </w:r>
            <w:r w:rsidRPr="00996B84">
              <w:rPr>
                <w:rFonts w:eastAsiaTheme="minorHAnsi"/>
                <w:sz w:val="20"/>
                <w:lang w:val="en-CA"/>
              </w:rPr>
              <w:t xml:space="preserve"> ss. 11(b), (c), (d), (e), (f), s. 12 and s. 15(1) – Criminal law – Evidence – Assessment of credibility of complainants and applicant – Whether the investigating officer violated the applicant’s s. 11(d) and s. 15 </w:t>
            </w:r>
            <w:r w:rsidRPr="00996B84">
              <w:rPr>
                <w:rFonts w:eastAsiaTheme="minorHAnsi"/>
                <w:i/>
                <w:sz w:val="20"/>
                <w:lang w:val="en-CA"/>
              </w:rPr>
              <w:t>Charter</w:t>
            </w:r>
            <w:r w:rsidRPr="00996B84">
              <w:rPr>
                <w:rFonts w:eastAsiaTheme="minorHAnsi"/>
                <w:sz w:val="20"/>
                <w:lang w:val="en-CA"/>
              </w:rPr>
              <w:t xml:space="preserve"> rights when he used the word “cult” on the warrant – Whether the violation of the applicant’s </w:t>
            </w:r>
            <w:r w:rsidRPr="00996B84">
              <w:rPr>
                <w:rFonts w:eastAsiaTheme="minorHAnsi"/>
                <w:i/>
                <w:sz w:val="20"/>
                <w:lang w:val="en-CA"/>
              </w:rPr>
              <w:t>Charter</w:t>
            </w:r>
            <w:r w:rsidRPr="00996B84">
              <w:rPr>
                <w:rFonts w:eastAsiaTheme="minorHAnsi"/>
                <w:sz w:val="20"/>
                <w:lang w:val="en-CA"/>
              </w:rPr>
              <w:t xml:space="preserve"> rights tainted the trial – Whether the applicant’s trial lawyer committed negligence and malfeasance thereby contributing to the violation of the applicant’s ss. 11(b), (c), (d), (e), (f), s. 12 and s. 15(1) </w:t>
            </w:r>
            <w:r w:rsidRPr="00996B84">
              <w:rPr>
                <w:rFonts w:eastAsiaTheme="minorHAnsi"/>
                <w:i/>
                <w:sz w:val="20"/>
                <w:lang w:val="en-CA"/>
              </w:rPr>
              <w:t xml:space="preserve">Charter </w:t>
            </w:r>
            <w:r w:rsidRPr="00996B84">
              <w:rPr>
                <w:rFonts w:eastAsiaTheme="minorHAnsi"/>
                <w:sz w:val="20"/>
                <w:lang w:val="en-CA"/>
              </w:rPr>
              <w:t xml:space="preserve">rights – Whether the trial judge committed a prejudicial error by making negative religious statements – Whether the applicant’s s. 15(1) </w:t>
            </w:r>
            <w:r w:rsidRPr="00996B84">
              <w:rPr>
                <w:rFonts w:eastAsiaTheme="minorHAnsi"/>
                <w:i/>
                <w:sz w:val="20"/>
                <w:lang w:val="en-CA"/>
              </w:rPr>
              <w:t xml:space="preserve">Charter </w:t>
            </w:r>
            <w:r w:rsidRPr="00996B84">
              <w:rPr>
                <w:rFonts w:eastAsiaTheme="minorHAnsi"/>
                <w:sz w:val="20"/>
                <w:lang w:val="en-CA"/>
              </w:rPr>
              <w:t xml:space="preserve">rights were violated – Whether a miscarriage of justice has occurred – ss. 11(b), (c), (d), (e), (f), s. 12 and s. 15(1) of the </w:t>
            </w:r>
            <w:r w:rsidRPr="00996B84">
              <w:rPr>
                <w:rFonts w:eastAsiaTheme="minorHAnsi"/>
                <w:i/>
                <w:sz w:val="20"/>
                <w:lang w:val="en-CA"/>
              </w:rPr>
              <w:t>Charter</w:t>
            </w:r>
            <w:r w:rsidRPr="00996B84">
              <w:rPr>
                <w:rFonts w:eastAsiaTheme="minorHAnsi"/>
                <w:sz w:val="20"/>
                <w:lang w:val="en-CA"/>
              </w:rPr>
              <w:t>.</w:t>
            </w:r>
          </w:p>
        </w:tc>
      </w:tr>
      <w:tr w:rsidR="00996B84" w:rsidRPr="00996B84" w:rsidTr="00D01614">
        <w:tc>
          <w:tcPr>
            <w:tcW w:w="5000" w:type="pct"/>
            <w:gridSpan w:val="4"/>
          </w:tcPr>
          <w:p w:rsidR="00996B84" w:rsidRPr="00996B84" w:rsidRDefault="00996B84" w:rsidP="00996B84">
            <w:pPr>
              <w:jc w:val="both"/>
              <w:rPr>
                <w:rFonts w:eastAsiaTheme="minorHAnsi"/>
                <w:sz w:val="20"/>
                <w:lang w:val="en-CA"/>
              </w:rPr>
            </w:pPr>
          </w:p>
          <w:p w:rsidR="00996B84" w:rsidRPr="00996B84" w:rsidRDefault="00996B84" w:rsidP="00996B84">
            <w:pPr>
              <w:jc w:val="both"/>
              <w:rPr>
                <w:rFonts w:eastAsiaTheme="minorHAnsi"/>
                <w:sz w:val="20"/>
                <w:lang w:val="en-CA"/>
              </w:rPr>
            </w:pPr>
            <w:r w:rsidRPr="00996B84">
              <w:rPr>
                <w:rFonts w:eastAsiaTheme="minorHAnsi"/>
                <w:sz w:val="20"/>
                <w:lang w:val="en-CA"/>
              </w:rPr>
              <w:lastRenderedPageBreak/>
              <w:t>The trial judge accepted the complainants’ evidence and gave reasons why he found each of them credible.  The trial judge concluded that he did not believe the applicant and that his evidence did not raise a reasonable doubt.  The applicant was convicted of sexual assault.  His conviction appeal was dismissed.</w:t>
            </w:r>
          </w:p>
          <w:p w:rsidR="00996B84" w:rsidRPr="00996B84" w:rsidRDefault="00996B84" w:rsidP="00996B84">
            <w:pPr>
              <w:jc w:val="both"/>
              <w:rPr>
                <w:rFonts w:eastAsiaTheme="minorHAnsi"/>
                <w:sz w:val="20"/>
                <w:lang w:val="en-CA"/>
              </w:rPr>
            </w:pPr>
          </w:p>
        </w:tc>
      </w:tr>
      <w:tr w:rsidR="00996B84" w:rsidRPr="00996B84" w:rsidTr="00D01614">
        <w:tc>
          <w:tcPr>
            <w:tcW w:w="2427" w:type="pct"/>
            <w:gridSpan w:val="2"/>
          </w:tcPr>
          <w:p w:rsidR="00996B84" w:rsidRPr="00996B84" w:rsidRDefault="00996B84" w:rsidP="00996B84">
            <w:pPr>
              <w:jc w:val="both"/>
              <w:rPr>
                <w:rFonts w:eastAsiaTheme="minorHAnsi"/>
                <w:sz w:val="20"/>
                <w:lang w:val="en-CA"/>
              </w:rPr>
            </w:pPr>
            <w:r w:rsidRPr="00996B84">
              <w:rPr>
                <w:rFonts w:eastAsiaTheme="minorHAnsi"/>
                <w:sz w:val="20"/>
                <w:lang w:val="en-CA"/>
              </w:rPr>
              <w:lastRenderedPageBreak/>
              <w:t>February 13, 2012</w:t>
            </w:r>
          </w:p>
          <w:p w:rsidR="00996B84" w:rsidRPr="00996B84" w:rsidRDefault="00996B84" w:rsidP="00996B84">
            <w:pPr>
              <w:jc w:val="both"/>
              <w:rPr>
                <w:rFonts w:eastAsiaTheme="minorHAnsi"/>
                <w:sz w:val="20"/>
                <w:lang w:val="en-CA"/>
              </w:rPr>
            </w:pPr>
            <w:r w:rsidRPr="00996B84">
              <w:rPr>
                <w:rFonts w:eastAsiaTheme="minorHAnsi"/>
                <w:sz w:val="20"/>
                <w:lang w:val="en-CA"/>
              </w:rPr>
              <w:t>Ontario Court of Justice</w:t>
            </w:r>
          </w:p>
          <w:p w:rsidR="00996B84" w:rsidRPr="00996B84" w:rsidRDefault="00996B84" w:rsidP="00996B84">
            <w:pPr>
              <w:jc w:val="both"/>
              <w:rPr>
                <w:rFonts w:eastAsiaTheme="minorHAnsi"/>
                <w:sz w:val="20"/>
                <w:lang w:val="en-CA"/>
              </w:rPr>
            </w:pPr>
            <w:r w:rsidRPr="00996B84">
              <w:rPr>
                <w:rFonts w:eastAsiaTheme="minorHAnsi"/>
                <w:sz w:val="20"/>
                <w:lang w:val="en-CA"/>
              </w:rPr>
              <w:t>(Lebel J.)</w:t>
            </w:r>
          </w:p>
          <w:p w:rsidR="00996B84" w:rsidRPr="00996B84" w:rsidRDefault="00996B84" w:rsidP="00996B84">
            <w:pPr>
              <w:jc w:val="both"/>
              <w:rPr>
                <w:rFonts w:eastAsiaTheme="minorHAnsi"/>
                <w:sz w:val="20"/>
                <w:lang w:val="en-CA"/>
              </w:rPr>
            </w:pPr>
          </w:p>
        </w:tc>
        <w:tc>
          <w:tcPr>
            <w:tcW w:w="243" w:type="pct"/>
          </w:tcPr>
          <w:p w:rsidR="00996B84" w:rsidRPr="00996B84" w:rsidRDefault="00996B84" w:rsidP="00996B84">
            <w:pPr>
              <w:jc w:val="both"/>
              <w:rPr>
                <w:rFonts w:eastAsiaTheme="minorHAnsi"/>
                <w:sz w:val="20"/>
                <w:lang w:val="en-CA"/>
              </w:rPr>
            </w:pPr>
          </w:p>
        </w:tc>
        <w:tc>
          <w:tcPr>
            <w:tcW w:w="2330" w:type="pct"/>
          </w:tcPr>
          <w:p w:rsidR="00996B84" w:rsidRPr="00996B84" w:rsidRDefault="00996B84" w:rsidP="00996B84">
            <w:pPr>
              <w:jc w:val="both"/>
              <w:rPr>
                <w:rFonts w:eastAsiaTheme="minorHAnsi"/>
                <w:sz w:val="20"/>
                <w:lang w:val="en-CA"/>
              </w:rPr>
            </w:pPr>
            <w:r w:rsidRPr="00996B84">
              <w:rPr>
                <w:rFonts w:eastAsiaTheme="minorHAnsi"/>
                <w:sz w:val="20"/>
                <w:lang w:val="en-CA"/>
              </w:rPr>
              <w:t>Conviction for six counts of sexual assault</w:t>
            </w:r>
          </w:p>
          <w:p w:rsidR="00996B84" w:rsidRPr="00996B84" w:rsidRDefault="00996B84" w:rsidP="00996B84">
            <w:pPr>
              <w:jc w:val="both"/>
              <w:rPr>
                <w:rFonts w:eastAsiaTheme="minorHAnsi"/>
                <w:sz w:val="20"/>
                <w:lang w:val="en-CA"/>
              </w:rPr>
            </w:pPr>
          </w:p>
        </w:tc>
      </w:tr>
      <w:tr w:rsidR="00996B84" w:rsidRPr="00996B84" w:rsidTr="00D01614">
        <w:tc>
          <w:tcPr>
            <w:tcW w:w="2427" w:type="pct"/>
            <w:gridSpan w:val="2"/>
          </w:tcPr>
          <w:p w:rsidR="00996B84" w:rsidRPr="00996B84" w:rsidRDefault="00996B84" w:rsidP="00996B84">
            <w:pPr>
              <w:jc w:val="both"/>
              <w:rPr>
                <w:rFonts w:eastAsiaTheme="minorHAnsi"/>
                <w:sz w:val="20"/>
                <w:lang w:val="en-CA"/>
              </w:rPr>
            </w:pPr>
            <w:r w:rsidRPr="00996B84">
              <w:rPr>
                <w:rFonts w:eastAsiaTheme="minorHAnsi"/>
                <w:sz w:val="20"/>
                <w:lang w:val="en-CA"/>
              </w:rPr>
              <w:t>December 1, 2014</w:t>
            </w:r>
          </w:p>
          <w:p w:rsidR="00996B84" w:rsidRPr="00996B84" w:rsidRDefault="00996B84" w:rsidP="00996B84">
            <w:pPr>
              <w:jc w:val="both"/>
              <w:rPr>
                <w:rFonts w:eastAsiaTheme="minorHAnsi"/>
                <w:sz w:val="20"/>
                <w:lang w:val="en-CA"/>
              </w:rPr>
            </w:pPr>
            <w:r w:rsidRPr="00996B84">
              <w:rPr>
                <w:rFonts w:eastAsiaTheme="minorHAnsi"/>
                <w:sz w:val="20"/>
                <w:lang w:val="en-CA"/>
              </w:rPr>
              <w:t>Court of Appeal for Ontario</w:t>
            </w:r>
          </w:p>
          <w:p w:rsidR="00996B84" w:rsidRPr="00996B84" w:rsidRDefault="00996B84" w:rsidP="00996B84">
            <w:pPr>
              <w:jc w:val="both"/>
              <w:rPr>
                <w:rFonts w:eastAsiaTheme="minorHAnsi"/>
                <w:sz w:val="20"/>
                <w:lang w:val="en-CA"/>
              </w:rPr>
            </w:pPr>
            <w:r w:rsidRPr="00996B84">
              <w:rPr>
                <w:rFonts w:eastAsiaTheme="minorHAnsi"/>
                <w:sz w:val="20"/>
                <w:lang w:val="en-CA"/>
              </w:rPr>
              <w:t>(Doherty, Laskin, Feldman JJ.A.)</w:t>
            </w:r>
          </w:p>
          <w:p w:rsidR="00996B84" w:rsidRPr="00996B84" w:rsidRDefault="00996B84" w:rsidP="00996B84">
            <w:pPr>
              <w:jc w:val="both"/>
              <w:rPr>
                <w:rFonts w:eastAsiaTheme="minorHAnsi"/>
                <w:sz w:val="20"/>
                <w:lang w:val="en-CA"/>
              </w:rPr>
            </w:pPr>
            <w:r w:rsidRPr="00996B84">
              <w:rPr>
                <w:rFonts w:eastAsiaTheme="minorHAnsi"/>
                <w:sz w:val="20"/>
                <w:lang w:val="en-CA"/>
              </w:rPr>
              <w:t>2014 ONCA 854, C55875</w:t>
            </w:r>
          </w:p>
          <w:p w:rsidR="00996B84" w:rsidRPr="00392A88" w:rsidRDefault="00F12DF5" w:rsidP="00996B84">
            <w:pPr>
              <w:jc w:val="both"/>
              <w:rPr>
                <w:rFonts w:eastAsiaTheme="minorHAnsi"/>
                <w:sz w:val="20"/>
                <w:lang w:val="en-CA"/>
              </w:rPr>
            </w:pPr>
            <w:hyperlink r:id="rId41" w:history="1">
              <w:r w:rsidR="00996B84" w:rsidRPr="00392A88">
                <w:rPr>
                  <w:rFonts w:eastAsiaTheme="minorHAnsi"/>
                  <w:color w:val="0000FF" w:themeColor="hyperlink"/>
                  <w:sz w:val="20"/>
                  <w:u w:val="single"/>
                  <w:lang w:val="en-CA"/>
                </w:rPr>
                <w:t>http://canlii.ca/t/gfgd3</w:t>
              </w:r>
            </w:hyperlink>
          </w:p>
          <w:p w:rsidR="00996B84" w:rsidRPr="00996B84" w:rsidRDefault="00996B84" w:rsidP="00996B84">
            <w:pPr>
              <w:jc w:val="both"/>
              <w:rPr>
                <w:rFonts w:eastAsiaTheme="minorHAnsi"/>
                <w:sz w:val="20"/>
                <w:lang w:val="en-CA"/>
              </w:rPr>
            </w:pPr>
          </w:p>
        </w:tc>
        <w:tc>
          <w:tcPr>
            <w:tcW w:w="243" w:type="pct"/>
          </w:tcPr>
          <w:p w:rsidR="00996B84" w:rsidRPr="00996B84" w:rsidRDefault="00996B84" w:rsidP="00996B84">
            <w:pPr>
              <w:jc w:val="both"/>
              <w:rPr>
                <w:rFonts w:eastAsiaTheme="minorHAnsi"/>
                <w:sz w:val="20"/>
                <w:lang w:val="en-CA"/>
              </w:rPr>
            </w:pPr>
          </w:p>
        </w:tc>
        <w:tc>
          <w:tcPr>
            <w:tcW w:w="2330" w:type="pct"/>
          </w:tcPr>
          <w:p w:rsidR="00996B84" w:rsidRPr="00996B84" w:rsidRDefault="00996B84" w:rsidP="00996B84">
            <w:pPr>
              <w:jc w:val="both"/>
              <w:rPr>
                <w:rFonts w:eastAsiaTheme="minorHAnsi"/>
                <w:sz w:val="20"/>
                <w:lang w:val="en-CA"/>
              </w:rPr>
            </w:pPr>
            <w:r w:rsidRPr="00996B84">
              <w:rPr>
                <w:rFonts w:eastAsiaTheme="minorHAnsi"/>
                <w:sz w:val="20"/>
                <w:lang w:val="en-CA"/>
              </w:rPr>
              <w:t>Conviction appeal dismissed</w:t>
            </w:r>
          </w:p>
          <w:p w:rsidR="00996B84" w:rsidRPr="00996B84" w:rsidRDefault="00996B84" w:rsidP="00996B84">
            <w:pPr>
              <w:jc w:val="both"/>
              <w:rPr>
                <w:rFonts w:eastAsiaTheme="minorHAnsi"/>
                <w:sz w:val="20"/>
                <w:lang w:val="en-CA"/>
              </w:rPr>
            </w:pPr>
          </w:p>
          <w:p w:rsidR="00996B84" w:rsidRPr="00996B84" w:rsidRDefault="00996B84" w:rsidP="00996B84">
            <w:pPr>
              <w:jc w:val="both"/>
              <w:rPr>
                <w:rFonts w:eastAsiaTheme="minorHAnsi"/>
                <w:sz w:val="20"/>
                <w:lang w:val="en-CA"/>
              </w:rPr>
            </w:pPr>
          </w:p>
        </w:tc>
      </w:tr>
      <w:tr w:rsidR="00996B84" w:rsidRPr="00996B84" w:rsidTr="00D01614">
        <w:tc>
          <w:tcPr>
            <w:tcW w:w="2427" w:type="pct"/>
            <w:gridSpan w:val="2"/>
          </w:tcPr>
          <w:p w:rsidR="00996B84" w:rsidRPr="00996B84" w:rsidRDefault="00996B84" w:rsidP="00996B84">
            <w:pPr>
              <w:jc w:val="both"/>
              <w:rPr>
                <w:rFonts w:eastAsiaTheme="minorHAnsi"/>
                <w:sz w:val="20"/>
                <w:lang w:val="en-CA"/>
              </w:rPr>
            </w:pPr>
            <w:r w:rsidRPr="00996B84">
              <w:rPr>
                <w:rFonts w:eastAsiaTheme="minorHAnsi"/>
                <w:sz w:val="20"/>
                <w:lang w:val="en-CA"/>
              </w:rPr>
              <w:t>February 13, 2015</w:t>
            </w:r>
          </w:p>
          <w:p w:rsidR="00996B84" w:rsidRPr="00996B84" w:rsidRDefault="00996B84" w:rsidP="00996B84">
            <w:pPr>
              <w:jc w:val="both"/>
              <w:rPr>
                <w:rFonts w:eastAsiaTheme="minorHAnsi"/>
                <w:sz w:val="20"/>
                <w:lang w:val="en-CA"/>
              </w:rPr>
            </w:pPr>
            <w:r w:rsidRPr="00996B84">
              <w:rPr>
                <w:rFonts w:eastAsiaTheme="minorHAnsi"/>
                <w:sz w:val="20"/>
                <w:lang w:val="en-CA"/>
              </w:rPr>
              <w:t>Supreme Court of Canada</w:t>
            </w:r>
          </w:p>
          <w:p w:rsidR="00996B84" w:rsidRPr="00996B84" w:rsidRDefault="00996B84" w:rsidP="00996B84">
            <w:pPr>
              <w:jc w:val="both"/>
              <w:rPr>
                <w:rFonts w:eastAsiaTheme="minorHAnsi"/>
                <w:sz w:val="20"/>
                <w:lang w:val="en-CA"/>
              </w:rPr>
            </w:pPr>
          </w:p>
        </w:tc>
        <w:tc>
          <w:tcPr>
            <w:tcW w:w="243" w:type="pct"/>
          </w:tcPr>
          <w:p w:rsidR="00996B84" w:rsidRPr="00996B84" w:rsidRDefault="00996B84" w:rsidP="00996B84">
            <w:pPr>
              <w:jc w:val="both"/>
              <w:rPr>
                <w:rFonts w:eastAsiaTheme="minorHAnsi"/>
                <w:sz w:val="20"/>
                <w:lang w:val="en-CA"/>
              </w:rPr>
            </w:pPr>
          </w:p>
        </w:tc>
        <w:tc>
          <w:tcPr>
            <w:tcW w:w="2330" w:type="pct"/>
          </w:tcPr>
          <w:p w:rsidR="00996B84" w:rsidRPr="00996B84" w:rsidRDefault="00996B84" w:rsidP="00996B84">
            <w:pPr>
              <w:jc w:val="both"/>
              <w:rPr>
                <w:rFonts w:eastAsiaTheme="minorHAnsi"/>
                <w:sz w:val="20"/>
                <w:lang w:val="en-CA"/>
              </w:rPr>
            </w:pPr>
            <w:r w:rsidRPr="00996B84">
              <w:rPr>
                <w:rFonts w:eastAsiaTheme="minorHAnsi"/>
                <w:sz w:val="20"/>
                <w:lang w:val="en-CA"/>
              </w:rPr>
              <w:t>Motion for an extension of time to serve and file the application for leave to appeal and application for leave to appeal filed</w:t>
            </w:r>
          </w:p>
          <w:p w:rsidR="00996B84" w:rsidRPr="00996B84" w:rsidRDefault="00996B84" w:rsidP="00996B84">
            <w:pPr>
              <w:jc w:val="both"/>
              <w:rPr>
                <w:rFonts w:eastAsiaTheme="minorHAnsi"/>
                <w:sz w:val="20"/>
                <w:lang w:val="en-CA"/>
              </w:rPr>
            </w:pPr>
          </w:p>
        </w:tc>
      </w:tr>
      <w:tr w:rsidR="00996B84" w:rsidRPr="00996B84" w:rsidTr="00D01614">
        <w:tc>
          <w:tcPr>
            <w:tcW w:w="2427" w:type="pct"/>
            <w:gridSpan w:val="2"/>
          </w:tcPr>
          <w:p w:rsidR="00996B84" w:rsidRPr="00996B84" w:rsidRDefault="00996B84" w:rsidP="00996B84">
            <w:pPr>
              <w:jc w:val="both"/>
              <w:rPr>
                <w:rFonts w:eastAsiaTheme="minorHAnsi"/>
                <w:sz w:val="20"/>
                <w:lang w:val="en-CA"/>
              </w:rPr>
            </w:pPr>
            <w:r w:rsidRPr="00996B84">
              <w:rPr>
                <w:rFonts w:eastAsiaTheme="minorHAnsi"/>
                <w:sz w:val="20"/>
                <w:lang w:val="en-CA"/>
              </w:rPr>
              <w:t>May 13, 2015</w:t>
            </w:r>
          </w:p>
          <w:p w:rsidR="00996B84" w:rsidRPr="00996B84" w:rsidRDefault="00996B84" w:rsidP="00996B84">
            <w:pPr>
              <w:jc w:val="both"/>
              <w:rPr>
                <w:rFonts w:eastAsiaTheme="minorHAnsi"/>
                <w:sz w:val="20"/>
                <w:lang w:val="en-CA"/>
              </w:rPr>
            </w:pPr>
            <w:r w:rsidRPr="00996B84">
              <w:rPr>
                <w:rFonts w:eastAsiaTheme="minorHAnsi"/>
                <w:sz w:val="20"/>
                <w:lang w:val="en-CA"/>
              </w:rPr>
              <w:t>Supreme Court of Canada</w:t>
            </w:r>
          </w:p>
          <w:p w:rsidR="00996B84" w:rsidRPr="00996B84" w:rsidRDefault="00996B84" w:rsidP="00996B84">
            <w:pPr>
              <w:jc w:val="both"/>
              <w:rPr>
                <w:rFonts w:eastAsiaTheme="minorHAnsi"/>
                <w:sz w:val="20"/>
                <w:lang w:val="en-CA"/>
              </w:rPr>
            </w:pPr>
          </w:p>
        </w:tc>
        <w:tc>
          <w:tcPr>
            <w:tcW w:w="243" w:type="pct"/>
          </w:tcPr>
          <w:p w:rsidR="00996B84" w:rsidRPr="00996B84" w:rsidRDefault="00996B84" w:rsidP="00996B84">
            <w:pPr>
              <w:jc w:val="both"/>
              <w:rPr>
                <w:rFonts w:eastAsiaTheme="minorHAnsi"/>
                <w:sz w:val="20"/>
                <w:lang w:val="en-CA"/>
              </w:rPr>
            </w:pPr>
          </w:p>
        </w:tc>
        <w:tc>
          <w:tcPr>
            <w:tcW w:w="2330" w:type="pct"/>
          </w:tcPr>
          <w:p w:rsidR="00996B84" w:rsidRPr="00996B84" w:rsidRDefault="00996B84" w:rsidP="00996B84">
            <w:pPr>
              <w:jc w:val="both"/>
              <w:rPr>
                <w:rFonts w:eastAsiaTheme="minorHAnsi"/>
                <w:sz w:val="20"/>
                <w:lang w:val="en-CA"/>
              </w:rPr>
            </w:pPr>
            <w:r w:rsidRPr="00996B84">
              <w:rPr>
                <w:rFonts w:eastAsiaTheme="minorHAnsi"/>
                <w:sz w:val="20"/>
                <w:lang w:val="en-CA"/>
              </w:rPr>
              <w:t>Motion for an extension of time to serve and file the reply filed</w:t>
            </w:r>
          </w:p>
        </w:tc>
      </w:tr>
    </w:tbl>
    <w:p w:rsidR="00996B84" w:rsidRPr="00996B84" w:rsidRDefault="00996B84" w:rsidP="00996B84">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96B84" w:rsidRPr="00996B84" w:rsidTr="00D01614">
        <w:tc>
          <w:tcPr>
            <w:tcW w:w="543" w:type="pct"/>
          </w:tcPr>
          <w:p w:rsidR="00996B84" w:rsidRPr="00996B84" w:rsidRDefault="00996B84" w:rsidP="00996B84">
            <w:pPr>
              <w:jc w:val="both"/>
              <w:rPr>
                <w:rFonts w:eastAsiaTheme="minorHAnsi"/>
                <w:sz w:val="20"/>
                <w:lang w:val="fr-CA"/>
              </w:rPr>
            </w:pPr>
            <w:r w:rsidRPr="00392A88">
              <w:rPr>
                <w:rFonts w:eastAsiaTheme="minorHAnsi"/>
                <w:b/>
                <w:sz w:val="20"/>
                <w:lang w:val="fr-CA"/>
              </w:rPr>
              <w:t>36358</w:t>
            </w:r>
          </w:p>
        </w:tc>
        <w:tc>
          <w:tcPr>
            <w:tcW w:w="4457" w:type="pct"/>
            <w:gridSpan w:val="3"/>
          </w:tcPr>
          <w:p w:rsidR="00996B84" w:rsidRPr="00996B84" w:rsidRDefault="00996B84" w:rsidP="00996B84">
            <w:pPr>
              <w:jc w:val="both"/>
              <w:rPr>
                <w:rFonts w:eastAsiaTheme="minorHAnsi"/>
                <w:b/>
                <w:sz w:val="20"/>
                <w:lang w:val="fr-CA"/>
              </w:rPr>
            </w:pPr>
            <w:r w:rsidRPr="00996B84">
              <w:rPr>
                <w:rFonts w:eastAsiaTheme="minorHAnsi"/>
                <w:b/>
                <w:sz w:val="20"/>
                <w:lang w:val="fr-CA"/>
              </w:rPr>
              <w:t>T.M. c. Sa Majesté la Reine</w:t>
            </w:r>
          </w:p>
          <w:p w:rsidR="00996B84" w:rsidRPr="00996B84" w:rsidRDefault="00996B84" w:rsidP="00996B84">
            <w:pPr>
              <w:jc w:val="both"/>
              <w:rPr>
                <w:rFonts w:eastAsiaTheme="minorHAnsi"/>
                <w:sz w:val="20"/>
                <w:lang w:val="fr-CA"/>
              </w:rPr>
            </w:pPr>
            <w:r w:rsidRPr="00996B84">
              <w:rPr>
                <w:rFonts w:eastAsiaTheme="minorHAnsi"/>
                <w:sz w:val="20"/>
                <w:lang w:val="fr-CA"/>
              </w:rPr>
              <w:t>(Ont.) (Criminelle) (Sur autorisation)</w:t>
            </w:r>
          </w:p>
        </w:tc>
      </w:tr>
      <w:tr w:rsidR="00996B84" w:rsidRPr="00996B84" w:rsidTr="00D01614">
        <w:tc>
          <w:tcPr>
            <w:tcW w:w="5000" w:type="pct"/>
            <w:gridSpan w:val="4"/>
          </w:tcPr>
          <w:p w:rsidR="00996B84" w:rsidRPr="00996B84" w:rsidRDefault="00996B84" w:rsidP="00996B84">
            <w:pPr>
              <w:jc w:val="both"/>
              <w:rPr>
                <w:rFonts w:eastAsiaTheme="minorHAnsi"/>
                <w:smallCaps/>
                <w:sz w:val="20"/>
                <w:lang w:val="fr-CA"/>
              </w:rPr>
            </w:pPr>
            <w:r w:rsidRPr="00996B84">
              <w:rPr>
                <w:rFonts w:eastAsiaTheme="minorHAnsi"/>
                <w:smallCaps/>
                <w:sz w:val="20"/>
                <w:lang w:val="fr-CA"/>
              </w:rPr>
              <w:t>(Ordonnance de non-publication dans le dossier) (Ordonnance de non-publication visant une partie)</w:t>
            </w:r>
          </w:p>
          <w:p w:rsidR="00996B84" w:rsidRPr="00996B84" w:rsidRDefault="00996B84" w:rsidP="00996B84">
            <w:pPr>
              <w:jc w:val="both"/>
              <w:rPr>
                <w:rFonts w:eastAsiaTheme="minorHAnsi"/>
                <w:sz w:val="20"/>
                <w:lang w:val="fr-CA"/>
              </w:rPr>
            </w:pPr>
          </w:p>
        </w:tc>
      </w:tr>
      <w:tr w:rsidR="00996B84" w:rsidRPr="00996B84" w:rsidTr="00D01614">
        <w:tc>
          <w:tcPr>
            <w:tcW w:w="5000" w:type="pct"/>
            <w:gridSpan w:val="4"/>
          </w:tcPr>
          <w:p w:rsidR="00996B84" w:rsidRPr="00996B84" w:rsidRDefault="00996B84" w:rsidP="00996B84">
            <w:pPr>
              <w:jc w:val="both"/>
              <w:rPr>
                <w:rFonts w:eastAsiaTheme="minorHAnsi"/>
                <w:sz w:val="20"/>
                <w:lang w:val="fr-CA"/>
              </w:rPr>
            </w:pPr>
            <w:r w:rsidRPr="00996B84">
              <w:rPr>
                <w:rFonts w:eastAsiaTheme="minorHAnsi"/>
                <w:i/>
                <w:sz w:val="20"/>
                <w:lang w:val="fr-CA"/>
              </w:rPr>
              <w:t>Charte des droits</w:t>
            </w:r>
            <w:r w:rsidRPr="00996B84">
              <w:rPr>
                <w:rFonts w:eastAsiaTheme="minorHAnsi"/>
                <w:sz w:val="20"/>
                <w:lang w:val="fr-CA"/>
              </w:rPr>
              <w:t xml:space="preserve"> – Alinéas 11</w:t>
            </w:r>
            <w:r w:rsidRPr="00996B84">
              <w:rPr>
                <w:rFonts w:eastAsiaTheme="minorHAnsi"/>
                <w:i/>
                <w:sz w:val="20"/>
                <w:lang w:val="fr-CA"/>
              </w:rPr>
              <w:t>b</w:t>
            </w:r>
            <w:r w:rsidRPr="00996B84">
              <w:rPr>
                <w:rFonts w:eastAsiaTheme="minorHAnsi"/>
                <w:sz w:val="20"/>
                <w:lang w:val="fr-CA"/>
              </w:rPr>
              <w:t xml:space="preserve">), </w:t>
            </w:r>
            <w:r w:rsidRPr="00996B84">
              <w:rPr>
                <w:rFonts w:eastAsiaTheme="minorHAnsi"/>
                <w:i/>
                <w:sz w:val="20"/>
                <w:lang w:val="fr-CA"/>
              </w:rPr>
              <w:t>c</w:t>
            </w:r>
            <w:r w:rsidRPr="00996B84">
              <w:rPr>
                <w:rFonts w:eastAsiaTheme="minorHAnsi"/>
                <w:sz w:val="20"/>
                <w:lang w:val="fr-CA"/>
              </w:rPr>
              <w:t xml:space="preserve">), </w:t>
            </w:r>
            <w:r w:rsidRPr="00996B84">
              <w:rPr>
                <w:rFonts w:eastAsiaTheme="minorHAnsi"/>
                <w:i/>
                <w:sz w:val="20"/>
                <w:lang w:val="fr-CA"/>
              </w:rPr>
              <w:t>d</w:t>
            </w:r>
            <w:r w:rsidRPr="00996B84">
              <w:rPr>
                <w:rFonts w:eastAsiaTheme="minorHAnsi"/>
                <w:sz w:val="20"/>
                <w:lang w:val="fr-CA"/>
              </w:rPr>
              <w:t xml:space="preserve">), </w:t>
            </w:r>
            <w:r w:rsidRPr="00996B84">
              <w:rPr>
                <w:rFonts w:eastAsiaTheme="minorHAnsi"/>
                <w:i/>
                <w:sz w:val="20"/>
                <w:lang w:val="fr-CA"/>
              </w:rPr>
              <w:t>e</w:t>
            </w:r>
            <w:r w:rsidRPr="00996B84">
              <w:rPr>
                <w:rFonts w:eastAsiaTheme="minorHAnsi"/>
                <w:sz w:val="20"/>
                <w:lang w:val="fr-CA"/>
              </w:rPr>
              <w:t xml:space="preserve">), </w:t>
            </w:r>
            <w:r w:rsidRPr="00996B84">
              <w:rPr>
                <w:rFonts w:eastAsiaTheme="minorHAnsi"/>
                <w:i/>
                <w:sz w:val="20"/>
                <w:lang w:val="fr-CA"/>
              </w:rPr>
              <w:t>f</w:t>
            </w:r>
            <w:r w:rsidRPr="00996B84">
              <w:rPr>
                <w:rFonts w:eastAsiaTheme="minorHAnsi"/>
                <w:sz w:val="20"/>
                <w:lang w:val="fr-CA"/>
              </w:rPr>
              <w:t xml:space="preserve">), art. 12 et par. 15(1) de la </w:t>
            </w:r>
            <w:r w:rsidRPr="00996B84">
              <w:rPr>
                <w:rFonts w:eastAsiaTheme="minorHAnsi"/>
                <w:i/>
                <w:sz w:val="20"/>
                <w:lang w:val="fr-CA"/>
              </w:rPr>
              <w:t>Charte</w:t>
            </w:r>
            <w:r w:rsidRPr="00996B84">
              <w:rPr>
                <w:rFonts w:eastAsiaTheme="minorHAnsi"/>
                <w:sz w:val="20"/>
                <w:lang w:val="fr-CA"/>
              </w:rPr>
              <w:t xml:space="preserve"> – Droit criminel – Preuve – Appréciation de la crédibilité des plaignantes et du demandeur – L’agent-enquêteur a-t-il violé les droits que l’al. 11</w:t>
            </w:r>
            <w:r w:rsidRPr="00996B84">
              <w:rPr>
                <w:rFonts w:eastAsiaTheme="minorHAnsi"/>
                <w:i/>
                <w:sz w:val="20"/>
                <w:lang w:val="fr-CA"/>
              </w:rPr>
              <w:t>d</w:t>
            </w:r>
            <w:r w:rsidRPr="00996B84">
              <w:rPr>
                <w:rFonts w:eastAsiaTheme="minorHAnsi"/>
                <w:sz w:val="20"/>
                <w:lang w:val="fr-CA"/>
              </w:rPr>
              <w:t xml:space="preserve">) et l’art. 15 de la </w:t>
            </w:r>
            <w:r w:rsidRPr="00996B84">
              <w:rPr>
                <w:rFonts w:eastAsiaTheme="minorHAnsi"/>
                <w:i/>
                <w:sz w:val="20"/>
                <w:lang w:val="fr-CA"/>
              </w:rPr>
              <w:t>Charte</w:t>
            </w:r>
            <w:r w:rsidRPr="00996B84">
              <w:rPr>
                <w:rFonts w:eastAsiaTheme="minorHAnsi"/>
                <w:sz w:val="20"/>
                <w:lang w:val="fr-CA"/>
              </w:rPr>
              <w:t xml:space="preserve"> garantissent au demandeur lorsqu’il a utilisé le mot [</w:t>
            </w:r>
            <w:r w:rsidRPr="00996B84">
              <w:rPr>
                <w:rFonts w:eastAsiaTheme="minorHAnsi"/>
                <w:smallCaps/>
                <w:sz w:val="20"/>
                <w:lang w:val="fr-CA"/>
              </w:rPr>
              <w:t>traduction</w:t>
            </w:r>
            <w:r w:rsidRPr="00996B84">
              <w:rPr>
                <w:rFonts w:eastAsiaTheme="minorHAnsi"/>
                <w:sz w:val="20"/>
                <w:lang w:val="fr-CA"/>
              </w:rPr>
              <w:t xml:space="preserve">] « secte » dans le mandat? – La violation des droits que la  </w:t>
            </w:r>
            <w:r w:rsidRPr="00996B84">
              <w:rPr>
                <w:rFonts w:eastAsiaTheme="minorHAnsi"/>
                <w:i/>
                <w:sz w:val="20"/>
                <w:lang w:val="fr-CA"/>
              </w:rPr>
              <w:t>Charte</w:t>
            </w:r>
            <w:r w:rsidRPr="00996B84">
              <w:rPr>
                <w:rFonts w:eastAsiaTheme="minorHAnsi"/>
                <w:sz w:val="20"/>
                <w:lang w:val="fr-CA"/>
              </w:rPr>
              <w:t xml:space="preserve"> garantit au demandeur a-t-elle eu pour effet de vicier le procès? – L’avocat qui représentait le demandeur à son procès a-t-il fait preuve de négligence ou de malfaisance, contribuant ainsi à la violation des droits que les al. 11</w:t>
            </w:r>
            <w:r w:rsidRPr="00996B84">
              <w:rPr>
                <w:rFonts w:eastAsiaTheme="minorHAnsi"/>
                <w:i/>
                <w:sz w:val="20"/>
                <w:lang w:val="fr-CA"/>
              </w:rPr>
              <w:t>b</w:t>
            </w:r>
            <w:r w:rsidRPr="00996B84">
              <w:rPr>
                <w:rFonts w:eastAsiaTheme="minorHAnsi"/>
                <w:sz w:val="20"/>
                <w:lang w:val="fr-CA"/>
              </w:rPr>
              <w:t xml:space="preserve">), </w:t>
            </w:r>
            <w:r w:rsidRPr="00996B84">
              <w:rPr>
                <w:rFonts w:eastAsiaTheme="minorHAnsi"/>
                <w:i/>
                <w:sz w:val="20"/>
                <w:lang w:val="fr-CA"/>
              </w:rPr>
              <w:t>c</w:t>
            </w:r>
            <w:r w:rsidRPr="00996B84">
              <w:rPr>
                <w:rFonts w:eastAsiaTheme="minorHAnsi"/>
                <w:sz w:val="20"/>
                <w:lang w:val="fr-CA"/>
              </w:rPr>
              <w:t xml:space="preserve">), </w:t>
            </w:r>
            <w:r w:rsidRPr="00996B84">
              <w:rPr>
                <w:rFonts w:eastAsiaTheme="minorHAnsi"/>
                <w:i/>
                <w:sz w:val="20"/>
                <w:lang w:val="fr-CA"/>
              </w:rPr>
              <w:t>d</w:t>
            </w:r>
            <w:r w:rsidRPr="00996B84">
              <w:rPr>
                <w:rFonts w:eastAsiaTheme="minorHAnsi"/>
                <w:sz w:val="20"/>
                <w:lang w:val="fr-CA"/>
              </w:rPr>
              <w:t xml:space="preserve">), </w:t>
            </w:r>
            <w:r w:rsidRPr="00996B84">
              <w:rPr>
                <w:rFonts w:eastAsiaTheme="minorHAnsi"/>
                <w:i/>
                <w:sz w:val="20"/>
                <w:lang w:val="fr-CA"/>
              </w:rPr>
              <w:t>e</w:t>
            </w:r>
            <w:r w:rsidRPr="00996B84">
              <w:rPr>
                <w:rFonts w:eastAsiaTheme="minorHAnsi"/>
                <w:sz w:val="20"/>
                <w:lang w:val="fr-CA"/>
              </w:rPr>
              <w:t xml:space="preserve">), </w:t>
            </w:r>
            <w:r w:rsidRPr="00996B84">
              <w:rPr>
                <w:rFonts w:eastAsiaTheme="minorHAnsi"/>
                <w:i/>
                <w:sz w:val="20"/>
                <w:lang w:val="fr-CA"/>
              </w:rPr>
              <w:t>f</w:t>
            </w:r>
            <w:r w:rsidRPr="00996B84">
              <w:rPr>
                <w:rFonts w:eastAsiaTheme="minorHAnsi"/>
                <w:sz w:val="20"/>
                <w:lang w:val="fr-CA"/>
              </w:rPr>
              <w:t xml:space="preserve">), l’art. 12 et le par. 15(1) de la </w:t>
            </w:r>
            <w:r w:rsidRPr="00996B84">
              <w:rPr>
                <w:rFonts w:eastAsiaTheme="minorHAnsi"/>
                <w:i/>
                <w:sz w:val="20"/>
                <w:lang w:val="fr-CA"/>
              </w:rPr>
              <w:t xml:space="preserve">Charte </w:t>
            </w:r>
            <w:r w:rsidRPr="00996B84">
              <w:rPr>
                <w:rFonts w:eastAsiaTheme="minorHAnsi"/>
                <w:sz w:val="20"/>
                <w:lang w:val="fr-CA"/>
              </w:rPr>
              <w:t xml:space="preserve">garantissent au demandeur? – Le juge du procès a-t-il commis une erreur préjudiciable en faisant des déclarations négatives à l’égard de la religion? – Les droits que le par. 15(1) de la </w:t>
            </w:r>
            <w:r w:rsidRPr="00996B84">
              <w:rPr>
                <w:rFonts w:eastAsiaTheme="minorHAnsi"/>
                <w:i/>
                <w:sz w:val="20"/>
                <w:lang w:val="fr-CA"/>
              </w:rPr>
              <w:t xml:space="preserve">Charte </w:t>
            </w:r>
            <w:r w:rsidRPr="00996B84">
              <w:rPr>
                <w:rFonts w:eastAsiaTheme="minorHAnsi"/>
                <w:sz w:val="20"/>
                <w:lang w:val="fr-CA"/>
              </w:rPr>
              <w:t>ont-ils été violés? – Y a-t-il eu déni de justice? – Alinéas 11</w:t>
            </w:r>
            <w:r w:rsidRPr="00996B84">
              <w:rPr>
                <w:rFonts w:eastAsiaTheme="minorHAnsi"/>
                <w:i/>
                <w:sz w:val="20"/>
                <w:lang w:val="fr-CA"/>
              </w:rPr>
              <w:t>b</w:t>
            </w:r>
            <w:r w:rsidRPr="00996B84">
              <w:rPr>
                <w:rFonts w:eastAsiaTheme="minorHAnsi"/>
                <w:sz w:val="20"/>
                <w:lang w:val="fr-CA"/>
              </w:rPr>
              <w:t xml:space="preserve">), </w:t>
            </w:r>
            <w:r w:rsidRPr="00996B84">
              <w:rPr>
                <w:rFonts w:eastAsiaTheme="minorHAnsi"/>
                <w:i/>
                <w:sz w:val="20"/>
                <w:lang w:val="fr-CA"/>
              </w:rPr>
              <w:t>c</w:t>
            </w:r>
            <w:r w:rsidRPr="00996B84">
              <w:rPr>
                <w:rFonts w:eastAsiaTheme="minorHAnsi"/>
                <w:sz w:val="20"/>
                <w:lang w:val="fr-CA"/>
              </w:rPr>
              <w:t xml:space="preserve">), </w:t>
            </w:r>
            <w:r w:rsidRPr="00996B84">
              <w:rPr>
                <w:rFonts w:eastAsiaTheme="minorHAnsi"/>
                <w:i/>
                <w:sz w:val="20"/>
                <w:lang w:val="fr-CA"/>
              </w:rPr>
              <w:t>d</w:t>
            </w:r>
            <w:r w:rsidRPr="00996B84">
              <w:rPr>
                <w:rFonts w:eastAsiaTheme="minorHAnsi"/>
                <w:sz w:val="20"/>
                <w:lang w:val="fr-CA"/>
              </w:rPr>
              <w:t xml:space="preserve">), </w:t>
            </w:r>
            <w:r w:rsidRPr="00996B84">
              <w:rPr>
                <w:rFonts w:eastAsiaTheme="minorHAnsi"/>
                <w:i/>
                <w:sz w:val="20"/>
                <w:lang w:val="fr-CA"/>
              </w:rPr>
              <w:t>e</w:t>
            </w:r>
            <w:r w:rsidRPr="00996B84">
              <w:rPr>
                <w:rFonts w:eastAsiaTheme="minorHAnsi"/>
                <w:sz w:val="20"/>
                <w:lang w:val="fr-CA"/>
              </w:rPr>
              <w:t xml:space="preserve">), </w:t>
            </w:r>
            <w:r w:rsidRPr="00996B84">
              <w:rPr>
                <w:rFonts w:eastAsiaTheme="minorHAnsi"/>
                <w:i/>
                <w:sz w:val="20"/>
                <w:lang w:val="fr-CA"/>
              </w:rPr>
              <w:t>f</w:t>
            </w:r>
            <w:r w:rsidRPr="00996B84">
              <w:rPr>
                <w:rFonts w:eastAsiaTheme="minorHAnsi"/>
                <w:sz w:val="20"/>
                <w:lang w:val="fr-CA"/>
              </w:rPr>
              <w:t xml:space="preserve">), art. 12 et par. 15(1) de la </w:t>
            </w:r>
            <w:r w:rsidRPr="00996B84">
              <w:rPr>
                <w:rFonts w:eastAsiaTheme="minorHAnsi"/>
                <w:i/>
                <w:sz w:val="20"/>
                <w:lang w:val="fr-CA"/>
              </w:rPr>
              <w:t>Charte</w:t>
            </w:r>
            <w:r w:rsidRPr="00996B84">
              <w:rPr>
                <w:rFonts w:eastAsiaTheme="minorHAnsi"/>
                <w:sz w:val="20"/>
                <w:lang w:val="fr-CA"/>
              </w:rPr>
              <w:t>.</w:t>
            </w:r>
          </w:p>
        </w:tc>
      </w:tr>
      <w:tr w:rsidR="00996B84" w:rsidRPr="00996B84" w:rsidTr="00D01614">
        <w:tc>
          <w:tcPr>
            <w:tcW w:w="5000" w:type="pct"/>
            <w:gridSpan w:val="4"/>
          </w:tcPr>
          <w:p w:rsidR="00996B84" w:rsidRPr="00996B84" w:rsidRDefault="00996B84" w:rsidP="00996B84">
            <w:pPr>
              <w:jc w:val="both"/>
              <w:rPr>
                <w:rFonts w:eastAsiaTheme="minorHAnsi"/>
                <w:sz w:val="20"/>
                <w:lang w:val="fr-CA"/>
              </w:rPr>
            </w:pPr>
          </w:p>
          <w:p w:rsidR="00996B84" w:rsidRPr="00996B84" w:rsidRDefault="00996B84" w:rsidP="00996B84">
            <w:pPr>
              <w:jc w:val="both"/>
              <w:rPr>
                <w:rFonts w:eastAsiaTheme="minorHAnsi"/>
                <w:sz w:val="20"/>
                <w:lang w:val="fr-CA"/>
              </w:rPr>
            </w:pPr>
            <w:r w:rsidRPr="00996B84">
              <w:rPr>
                <w:rFonts w:eastAsiaTheme="minorHAnsi"/>
                <w:sz w:val="20"/>
                <w:lang w:val="fr-CA"/>
              </w:rPr>
              <w:t>Le juge du procès a accepté la preuve des plaignantes et a précisé les motifs pour lesquels il a jugé chacune d’elles digne de foi.  Le juge de procès a conclu qu’il ne croyait pas le demandeur et que sa preuve ne soulevait pas le doute raisonnable.  Le demandeur a été déclaré coupable d’agression sexuelle.  L’appel de sa déclaration de culpabilité a été rejeté.</w:t>
            </w:r>
          </w:p>
          <w:p w:rsidR="00996B84" w:rsidRPr="00996B84" w:rsidRDefault="00996B84" w:rsidP="00996B84">
            <w:pPr>
              <w:jc w:val="both"/>
              <w:rPr>
                <w:rFonts w:eastAsiaTheme="minorHAnsi"/>
                <w:sz w:val="20"/>
                <w:lang w:val="fr-CA"/>
              </w:rPr>
            </w:pPr>
          </w:p>
        </w:tc>
      </w:tr>
      <w:tr w:rsidR="00996B84" w:rsidRPr="00996B84" w:rsidTr="00D01614">
        <w:tc>
          <w:tcPr>
            <w:tcW w:w="2427" w:type="pct"/>
            <w:gridSpan w:val="2"/>
          </w:tcPr>
          <w:p w:rsidR="00996B84" w:rsidRPr="00996B84" w:rsidRDefault="00996B84" w:rsidP="00996B84">
            <w:pPr>
              <w:jc w:val="both"/>
              <w:rPr>
                <w:rFonts w:eastAsiaTheme="minorHAnsi"/>
                <w:sz w:val="20"/>
                <w:lang w:val="fr-CA"/>
              </w:rPr>
            </w:pPr>
            <w:r w:rsidRPr="00996B84">
              <w:rPr>
                <w:rFonts w:eastAsiaTheme="minorHAnsi"/>
                <w:sz w:val="20"/>
                <w:lang w:val="fr-CA"/>
              </w:rPr>
              <w:t>13 février 2012</w:t>
            </w:r>
          </w:p>
          <w:p w:rsidR="00996B84" w:rsidRPr="00996B84" w:rsidRDefault="00996B84" w:rsidP="00996B84">
            <w:pPr>
              <w:jc w:val="both"/>
              <w:rPr>
                <w:rFonts w:eastAsiaTheme="minorHAnsi"/>
                <w:sz w:val="20"/>
                <w:lang w:val="fr-CA"/>
              </w:rPr>
            </w:pPr>
            <w:r w:rsidRPr="00996B84">
              <w:rPr>
                <w:rFonts w:eastAsiaTheme="minorHAnsi"/>
                <w:sz w:val="20"/>
                <w:lang w:val="fr-CA"/>
              </w:rPr>
              <w:t>Cour de justice de l’Ontario</w:t>
            </w:r>
          </w:p>
          <w:p w:rsidR="00996B84" w:rsidRPr="00996B84" w:rsidRDefault="00996B84" w:rsidP="00996B84">
            <w:pPr>
              <w:jc w:val="both"/>
              <w:rPr>
                <w:rFonts w:eastAsiaTheme="minorHAnsi"/>
                <w:sz w:val="20"/>
                <w:lang w:val="fr-CA"/>
              </w:rPr>
            </w:pPr>
            <w:r w:rsidRPr="00996B84">
              <w:rPr>
                <w:rFonts w:eastAsiaTheme="minorHAnsi"/>
                <w:sz w:val="20"/>
                <w:lang w:val="fr-CA"/>
              </w:rPr>
              <w:t>(Juge Lebel)</w:t>
            </w:r>
          </w:p>
          <w:p w:rsidR="00996B84" w:rsidRPr="00996B84" w:rsidRDefault="00996B84" w:rsidP="00996B84">
            <w:pPr>
              <w:jc w:val="both"/>
              <w:rPr>
                <w:rFonts w:eastAsiaTheme="minorHAnsi"/>
                <w:sz w:val="20"/>
                <w:lang w:val="fr-CA"/>
              </w:rPr>
            </w:pPr>
          </w:p>
        </w:tc>
        <w:tc>
          <w:tcPr>
            <w:tcW w:w="243" w:type="pct"/>
          </w:tcPr>
          <w:p w:rsidR="00996B84" w:rsidRPr="00996B84" w:rsidRDefault="00996B84" w:rsidP="00996B84">
            <w:pPr>
              <w:jc w:val="both"/>
              <w:rPr>
                <w:rFonts w:eastAsiaTheme="minorHAnsi"/>
                <w:sz w:val="20"/>
                <w:lang w:val="fr-CA"/>
              </w:rPr>
            </w:pPr>
          </w:p>
        </w:tc>
        <w:tc>
          <w:tcPr>
            <w:tcW w:w="2330" w:type="pct"/>
          </w:tcPr>
          <w:p w:rsidR="00996B84" w:rsidRPr="00996B84" w:rsidRDefault="00996B84" w:rsidP="00996B84">
            <w:pPr>
              <w:jc w:val="both"/>
              <w:rPr>
                <w:rFonts w:eastAsiaTheme="minorHAnsi"/>
                <w:sz w:val="20"/>
                <w:lang w:val="fr-CA"/>
              </w:rPr>
            </w:pPr>
            <w:r w:rsidRPr="00996B84">
              <w:rPr>
                <w:rFonts w:eastAsiaTheme="minorHAnsi"/>
                <w:sz w:val="20"/>
                <w:lang w:val="fr-CA"/>
              </w:rPr>
              <w:t>Déclaration de culpabilité de six chefs d’agression sexuelle</w:t>
            </w:r>
          </w:p>
          <w:p w:rsidR="00996B84" w:rsidRPr="00996B84" w:rsidRDefault="00996B84" w:rsidP="00996B84">
            <w:pPr>
              <w:jc w:val="both"/>
              <w:rPr>
                <w:rFonts w:eastAsiaTheme="minorHAnsi"/>
                <w:sz w:val="20"/>
                <w:lang w:val="fr-CA"/>
              </w:rPr>
            </w:pPr>
          </w:p>
        </w:tc>
      </w:tr>
      <w:tr w:rsidR="00996B84" w:rsidRPr="00996B84" w:rsidTr="00D01614">
        <w:tc>
          <w:tcPr>
            <w:tcW w:w="2427" w:type="pct"/>
            <w:gridSpan w:val="2"/>
          </w:tcPr>
          <w:p w:rsidR="00996B84" w:rsidRPr="00996B84" w:rsidRDefault="00996B84" w:rsidP="00996B84">
            <w:pPr>
              <w:jc w:val="both"/>
              <w:rPr>
                <w:rFonts w:eastAsiaTheme="minorHAnsi"/>
                <w:sz w:val="20"/>
                <w:lang w:val="fr-CA"/>
              </w:rPr>
            </w:pPr>
            <w:r w:rsidRPr="00996B84">
              <w:rPr>
                <w:rFonts w:eastAsiaTheme="minorHAnsi"/>
                <w:sz w:val="20"/>
                <w:lang w:val="fr-CA"/>
              </w:rPr>
              <w:t>1</w:t>
            </w:r>
            <w:r w:rsidRPr="00996B84">
              <w:rPr>
                <w:rFonts w:eastAsiaTheme="minorHAnsi"/>
                <w:sz w:val="20"/>
                <w:vertAlign w:val="superscript"/>
                <w:lang w:val="fr-CA"/>
              </w:rPr>
              <w:t>er</w:t>
            </w:r>
            <w:r w:rsidRPr="00996B84">
              <w:rPr>
                <w:rFonts w:eastAsiaTheme="minorHAnsi"/>
                <w:sz w:val="20"/>
                <w:lang w:val="fr-CA"/>
              </w:rPr>
              <w:t xml:space="preserve"> décembre 2014</w:t>
            </w:r>
          </w:p>
          <w:p w:rsidR="00996B84" w:rsidRPr="00996B84" w:rsidRDefault="00996B84" w:rsidP="00996B84">
            <w:pPr>
              <w:jc w:val="both"/>
              <w:rPr>
                <w:rFonts w:eastAsiaTheme="minorHAnsi"/>
                <w:sz w:val="20"/>
                <w:lang w:val="fr-CA"/>
              </w:rPr>
            </w:pPr>
            <w:r w:rsidRPr="00996B84">
              <w:rPr>
                <w:rFonts w:eastAsiaTheme="minorHAnsi"/>
                <w:sz w:val="20"/>
                <w:lang w:val="fr-CA"/>
              </w:rPr>
              <w:t>Cour d’appel de l’Ontario</w:t>
            </w:r>
          </w:p>
          <w:p w:rsidR="00996B84" w:rsidRPr="00996B84" w:rsidRDefault="00996B84" w:rsidP="00996B84">
            <w:pPr>
              <w:jc w:val="both"/>
              <w:rPr>
                <w:rFonts w:eastAsiaTheme="minorHAnsi"/>
                <w:sz w:val="20"/>
              </w:rPr>
            </w:pPr>
            <w:r w:rsidRPr="00996B84">
              <w:rPr>
                <w:rFonts w:eastAsiaTheme="minorHAnsi"/>
                <w:sz w:val="20"/>
              </w:rPr>
              <w:t>(Juges Doherty, Laskin et Feldman)</w:t>
            </w:r>
          </w:p>
          <w:p w:rsidR="00996B84" w:rsidRPr="00996B84" w:rsidRDefault="00996B84" w:rsidP="00996B84">
            <w:pPr>
              <w:jc w:val="both"/>
              <w:rPr>
                <w:rFonts w:eastAsiaTheme="minorHAnsi"/>
                <w:sz w:val="20"/>
              </w:rPr>
            </w:pPr>
            <w:r w:rsidRPr="00996B84">
              <w:rPr>
                <w:rFonts w:eastAsiaTheme="minorHAnsi"/>
                <w:sz w:val="20"/>
              </w:rPr>
              <w:t>2014 ONCA 854, C55875</w:t>
            </w:r>
          </w:p>
          <w:p w:rsidR="00996B84" w:rsidRPr="00392A88" w:rsidRDefault="00F12DF5" w:rsidP="00996B84">
            <w:pPr>
              <w:jc w:val="both"/>
              <w:rPr>
                <w:rFonts w:eastAsiaTheme="minorHAnsi"/>
                <w:sz w:val="20"/>
                <w:lang w:val="fr-CA"/>
              </w:rPr>
            </w:pPr>
            <w:hyperlink r:id="rId42" w:history="1">
              <w:r w:rsidR="00996B84" w:rsidRPr="00392A88">
                <w:rPr>
                  <w:rFonts w:eastAsiaTheme="minorHAnsi"/>
                  <w:color w:val="0000FF" w:themeColor="hyperlink"/>
                  <w:sz w:val="20"/>
                  <w:u w:val="single"/>
                  <w:lang w:val="fr-CA"/>
                </w:rPr>
                <w:t>http://canlii.ca/t/gfgd3</w:t>
              </w:r>
            </w:hyperlink>
          </w:p>
          <w:p w:rsidR="00996B84" w:rsidRPr="00996B84" w:rsidRDefault="00996B84" w:rsidP="00996B84">
            <w:pPr>
              <w:jc w:val="both"/>
              <w:rPr>
                <w:rFonts w:eastAsiaTheme="minorHAnsi"/>
                <w:sz w:val="20"/>
                <w:lang w:val="fr-CA"/>
              </w:rPr>
            </w:pPr>
          </w:p>
        </w:tc>
        <w:tc>
          <w:tcPr>
            <w:tcW w:w="243" w:type="pct"/>
          </w:tcPr>
          <w:p w:rsidR="00996B84" w:rsidRPr="00996B84" w:rsidRDefault="00996B84" w:rsidP="00996B84">
            <w:pPr>
              <w:jc w:val="both"/>
              <w:rPr>
                <w:rFonts w:eastAsiaTheme="minorHAnsi"/>
                <w:sz w:val="20"/>
                <w:lang w:val="fr-CA"/>
              </w:rPr>
            </w:pPr>
          </w:p>
        </w:tc>
        <w:tc>
          <w:tcPr>
            <w:tcW w:w="2330" w:type="pct"/>
          </w:tcPr>
          <w:p w:rsidR="00996B84" w:rsidRPr="00996B84" w:rsidRDefault="00996B84" w:rsidP="00996B84">
            <w:pPr>
              <w:jc w:val="both"/>
              <w:rPr>
                <w:rFonts w:eastAsiaTheme="minorHAnsi"/>
                <w:sz w:val="20"/>
                <w:lang w:val="fr-CA"/>
              </w:rPr>
            </w:pPr>
            <w:r w:rsidRPr="00996B84">
              <w:rPr>
                <w:rFonts w:eastAsiaTheme="minorHAnsi"/>
                <w:sz w:val="20"/>
                <w:lang w:val="fr-CA"/>
              </w:rPr>
              <w:t>Rejet de l’appel de la déclaration de culpabilité</w:t>
            </w:r>
          </w:p>
          <w:p w:rsidR="00996B84" w:rsidRPr="00996B84" w:rsidRDefault="00996B84" w:rsidP="00996B84">
            <w:pPr>
              <w:jc w:val="both"/>
              <w:rPr>
                <w:rFonts w:eastAsiaTheme="minorHAnsi"/>
                <w:sz w:val="20"/>
                <w:lang w:val="fr-CA"/>
              </w:rPr>
            </w:pPr>
          </w:p>
          <w:p w:rsidR="00996B84" w:rsidRPr="00996B84" w:rsidRDefault="00996B84" w:rsidP="00996B84">
            <w:pPr>
              <w:jc w:val="both"/>
              <w:rPr>
                <w:rFonts w:eastAsiaTheme="minorHAnsi"/>
                <w:sz w:val="20"/>
                <w:lang w:val="fr-CA"/>
              </w:rPr>
            </w:pPr>
          </w:p>
        </w:tc>
      </w:tr>
      <w:tr w:rsidR="00996B84" w:rsidRPr="00996B84" w:rsidTr="00D01614">
        <w:tc>
          <w:tcPr>
            <w:tcW w:w="2427" w:type="pct"/>
            <w:gridSpan w:val="2"/>
          </w:tcPr>
          <w:p w:rsidR="00996B84" w:rsidRPr="00996B84" w:rsidRDefault="00996B84" w:rsidP="00996B84">
            <w:pPr>
              <w:jc w:val="both"/>
              <w:rPr>
                <w:rFonts w:eastAsiaTheme="minorHAnsi"/>
                <w:sz w:val="20"/>
                <w:lang w:val="fr-CA"/>
              </w:rPr>
            </w:pPr>
            <w:r w:rsidRPr="00996B84">
              <w:rPr>
                <w:rFonts w:eastAsiaTheme="minorHAnsi"/>
                <w:sz w:val="20"/>
                <w:lang w:val="fr-CA"/>
              </w:rPr>
              <w:lastRenderedPageBreak/>
              <w:t>13 février 2015</w:t>
            </w:r>
          </w:p>
          <w:p w:rsidR="00996B84" w:rsidRPr="00996B84" w:rsidRDefault="00996B84" w:rsidP="00996B84">
            <w:pPr>
              <w:jc w:val="both"/>
              <w:rPr>
                <w:rFonts w:eastAsiaTheme="minorHAnsi"/>
                <w:sz w:val="20"/>
                <w:lang w:val="fr-CA"/>
              </w:rPr>
            </w:pPr>
            <w:r w:rsidRPr="00996B84">
              <w:rPr>
                <w:rFonts w:eastAsiaTheme="minorHAnsi"/>
                <w:sz w:val="20"/>
                <w:lang w:val="fr-CA"/>
              </w:rPr>
              <w:t>Cour suprême du Canada</w:t>
            </w:r>
          </w:p>
          <w:p w:rsidR="00996B84" w:rsidRPr="00996B84" w:rsidRDefault="00996B84" w:rsidP="00996B84">
            <w:pPr>
              <w:jc w:val="both"/>
              <w:rPr>
                <w:rFonts w:eastAsiaTheme="minorHAnsi"/>
                <w:sz w:val="20"/>
                <w:lang w:val="fr-CA"/>
              </w:rPr>
            </w:pPr>
          </w:p>
        </w:tc>
        <w:tc>
          <w:tcPr>
            <w:tcW w:w="243" w:type="pct"/>
          </w:tcPr>
          <w:p w:rsidR="00996B84" w:rsidRPr="00996B84" w:rsidRDefault="00996B84" w:rsidP="00996B84">
            <w:pPr>
              <w:jc w:val="both"/>
              <w:rPr>
                <w:rFonts w:eastAsiaTheme="minorHAnsi"/>
                <w:sz w:val="20"/>
                <w:lang w:val="fr-CA"/>
              </w:rPr>
            </w:pPr>
          </w:p>
        </w:tc>
        <w:tc>
          <w:tcPr>
            <w:tcW w:w="2330" w:type="pct"/>
          </w:tcPr>
          <w:p w:rsidR="00996B84" w:rsidRPr="00996B84" w:rsidRDefault="00996B84" w:rsidP="00996B84">
            <w:pPr>
              <w:jc w:val="both"/>
              <w:rPr>
                <w:rFonts w:eastAsiaTheme="minorHAnsi"/>
                <w:sz w:val="20"/>
                <w:lang w:val="fr-CA"/>
              </w:rPr>
            </w:pPr>
            <w:r w:rsidRPr="00996B84">
              <w:rPr>
                <w:rFonts w:eastAsiaTheme="minorHAnsi"/>
                <w:sz w:val="20"/>
                <w:lang w:val="fr-CA"/>
              </w:rPr>
              <w:t>Dépôt de la requête en prorogation du délai de signification et de dépôt de la demande d’autorisation d’appel et de la demande d’autorisation d’appel</w:t>
            </w:r>
          </w:p>
          <w:p w:rsidR="00996B84" w:rsidRPr="00996B84" w:rsidRDefault="00996B84" w:rsidP="00996B84">
            <w:pPr>
              <w:jc w:val="both"/>
              <w:rPr>
                <w:rFonts w:eastAsiaTheme="minorHAnsi"/>
                <w:sz w:val="20"/>
                <w:lang w:val="fr-CA"/>
              </w:rPr>
            </w:pPr>
          </w:p>
        </w:tc>
      </w:tr>
      <w:tr w:rsidR="00996B84" w:rsidRPr="00996B84" w:rsidTr="00D01614">
        <w:tc>
          <w:tcPr>
            <w:tcW w:w="2427" w:type="pct"/>
            <w:gridSpan w:val="2"/>
          </w:tcPr>
          <w:p w:rsidR="00996B84" w:rsidRPr="00996B84" w:rsidRDefault="00996B84" w:rsidP="00996B84">
            <w:pPr>
              <w:jc w:val="both"/>
              <w:rPr>
                <w:rFonts w:eastAsiaTheme="minorHAnsi"/>
                <w:sz w:val="20"/>
                <w:lang w:val="fr-CA"/>
              </w:rPr>
            </w:pPr>
            <w:r w:rsidRPr="00996B84">
              <w:rPr>
                <w:rFonts w:eastAsiaTheme="minorHAnsi"/>
                <w:sz w:val="20"/>
                <w:lang w:val="fr-CA"/>
              </w:rPr>
              <w:t>13 mai 2015</w:t>
            </w:r>
          </w:p>
          <w:p w:rsidR="00996B84" w:rsidRPr="00996B84" w:rsidRDefault="00996B84" w:rsidP="00996B84">
            <w:pPr>
              <w:jc w:val="both"/>
              <w:rPr>
                <w:rFonts w:eastAsiaTheme="minorHAnsi"/>
                <w:sz w:val="20"/>
                <w:lang w:val="fr-CA"/>
              </w:rPr>
            </w:pPr>
            <w:r w:rsidRPr="00996B84">
              <w:rPr>
                <w:rFonts w:eastAsiaTheme="minorHAnsi"/>
                <w:sz w:val="20"/>
                <w:lang w:val="fr-CA"/>
              </w:rPr>
              <w:t>Cour suprême du Canada</w:t>
            </w:r>
          </w:p>
          <w:p w:rsidR="00996B84" w:rsidRPr="00996B84" w:rsidRDefault="00996B84" w:rsidP="00996B84">
            <w:pPr>
              <w:jc w:val="both"/>
              <w:rPr>
                <w:rFonts w:eastAsiaTheme="minorHAnsi"/>
                <w:sz w:val="20"/>
                <w:lang w:val="fr-CA"/>
              </w:rPr>
            </w:pPr>
          </w:p>
        </w:tc>
        <w:tc>
          <w:tcPr>
            <w:tcW w:w="243" w:type="pct"/>
          </w:tcPr>
          <w:p w:rsidR="00996B84" w:rsidRPr="00996B84" w:rsidRDefault="00996B84" w:rsidP="00996B84">
            <w:pPr>
              <w:jc w:val="both"/>
              <w:rPr>
                <w:rFonts w:eastAsiaTheme="minorHAnsi"/>
                <w:sz w:val="20"/>
                <w:lang w:val="fr-CA"/>
              </w:rPr>
            </w:pPr>
          </w:p>
        </w:tc>
        <w:tc>
          <w:tcPr>
            <w:tcW w:w="2330" w:type="pct"/>
          </w:tcPr>
          <w:p w:rsidR="00996B84" w:rsidRPr="00996B84" w:rsidRDefault="00996B84" w:rsidP="00996B84">
            <w:pPr>
              <w:jc w:val="both"/>
              <w:rPr>
                <w:rFonts w:eastAsiaTheme="minorHAnsi"/>
                <w:sz w:val="20"/>
                <w:lang w:val="fr-CA"/>
              </w:rPr>
            </w:pPr>
            <w:r w:rsidRPr="00996B84">
              <w:rPr>
                <w:rFonts w:eastAsiaTheme="minorHAnsi"/>
                <w:sz w:val="20"/>
                <w:lang w:val="fr-CA"/>
              </w:rPr>
              <w:t>Dépôt de la requête en prorogation du délai de signification et de dépôt de la réplique</w:t>
            </w:r>
          </w:p>
        </w:tc>
      </w:tr>
    </w:tbl>
    <w:p w:rsidR="00996B84" w:rsidRPr="00996B84" w:rsidRDefault="00996B84" w:rsidP="00996B84">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996B84" w:rsidRPr="00996B84" w:rsidTr="00D01614">
        <w:tc>
          <w:tcPr>
            <w:tcW w:w="543" w:type="pct"/>
          </w:tcPr>
          <w:p w:rsidR="00996B84" w:rsidRPr="00996B84" w:rsidRDefault="00996B84" w:rsidP="00996B84">
            <w:pPr>
              <w:jc w:val="both"/>
              <w:rPr>
                <w:rFonts w:eastAsiaTheme="minorHAnsi"/>
                <w:sz w:val="20"/>
                <w:lang w:val="en-CA"/>
              </w:rPr>
            </w:pPr>
            <w:r w:rsidRPr="00392A88">
              <w:rPr>
                <w:rFonts w:eastAsiaTheme="minorHAnsi"/>
                <w:b/>
                <w:sz w:val="20"/>
                <w:lang w:val="en-CA"/>
              </w:rPr>
              <w:t>36339</w:t>
            </w:r>
          </w:p>
        </w:tc>
        <w:tc>
          <w:tcPr>
            <w:tcW w:w="4457" w:type="pct"/>
          </w:tcPr>
          <w:p w:rsidR="00996B84" w:rsidRPr="00996B84" w:rsidRDefault="00996B84" w:rsidP="00996B84">
            <w:pPr>
              <w:jc w:val="both"/>
              <w:rPr>
                <w:rFonts w:eastAsiaTheme="minorHAnsi"/>
                <w:b/>
                <w:sz w:val="20"/>
                <w:lang w:val="en-CA"/>
              </w:rPr>
            </w:pPr>
            <w:r w:rsidRPr="00996B84">
              <w:rPr>
                <w:rFonts w:eastAsiaTheme="minorHAnsi"/>
                <w:b/>
                <w:sz w:val="20"/>
                <w:lang w:val="en-CA"/>
              </w:rPr>
              <w:t>Martin Green v. Hiep Tram, Arlene Skull, Deb Woloshyn, Wally Stewart, John Anchan and The University of Winnipeg</w:t>
            </w:r>
          </w:p>
          <w:p w:rsidR="00996B84" w:rsidRPr="00996B84" w:rsidRDefault="00996B84" w:rsidP="00996B84">
            <w:pPr>
              <w:jc w:val="both"/>
              <w:rPr>
                <w:rFonts w:eastAsiaTheme="minorHAnsi"/>
                <w:sz w:val="20"/>
                <w:lang w:val="en-CA"/>
              </w:rPr>
            </w:pPr>
            <w:r w:rsidRPr="00996B84">
              <w:rPr>
                <w:rFonts w:eastAsiaTheme="minorHAnsi"/>
                <w:sz w:val="20"/>
                <w:lang w:val="en-CA"/>
              </w:rPr>
              <w:t>(Man.) (Civil) (By Leave)</w:t>
            </w:r>
          </w:p>
        </w:tc>
      </w:tr>
      <w:tr w:rsidR="00996B84" w:rsidRPr="00996B84" w:rsidTr="00D01614">
        <w:tc>
          <w:tcPr>
            <w:tcW w:w="5000" w:type="pct"/>
            <w:gridSpan w:val="2"/>
          </w:tcPr>
          <w:p w:rsidR="00996B84" w:rsidRPr="00996B84" w:rsidRDefault="00996B84" w:rsidP="00996B84">
            <w:pPr>
              <w:jc w:val="both"/>
              <w:rPr>
                <w:rFonts w:eastAsiaTheme="minorHAnsi"/>
                <w:sz w:val="20"/>
                <w:lang w:val="en-CA"/>
              </w:rPr>
            </w:pPr>
            <w:r w:rsidRPr="00996B84">
              <w:rPr>
                <w:rFonts w:eastAsiaTheme="minorHAnsi"/>
                <w:sz w:val="20"/>
                <w:lang w:val="en-CA"/>
              </w:rPr>
              <w:t>Civil Procedure – Summary judgment – Whether the Manitoba Courts erred in finding the respondents had met their first-stage onus – Whether the Manitoba Courts erred when they refused to allow the applicant to argue his second-stage onus based on the allegations in his pleadings – Whether the Manitoba Courts erred when they held the applicant to the wrong standard for meeting his second-stage onus – Whether the Manitoba Courts erred when they failed to apply the full appreciation test before weighing the evidence and making findings of credibility.</w:t>
            </w:r>
          </w:p>
        </w:tc>
      </w:tr>
      <w:tr w:rsidR="00996B84" w:rsidRPr="00996B84" w:rsidTr="00D01614">
        <w:tc>
          <w:tcPr>
            <w:tcW w:w="5000" w:type="pct"/>
            <w:gridSpan w:val="2"/>
          </w:tcPr>
          <w:p w:rsidR="00996B84" w:rsidRPr="00996B84" w:rsidRDefault="00996B84" w:rsidP="00996B84">
            <w:pPr>
              <w:jc w:val="both"/>
              <w:rPr>
                <w:rFonts w:eastAsiaTheme="minorHAnsi"/>
                <w:sz w:val="20"/>
                <w:lang w:val="en-CA"/>
              </w:rPr>
            </w:pPr>
          </w:p>
        </w:tc>
      </w:tr>
      <w:tr w:rsidR="00996B84" w:rsidRPr="00996B84" w:rsidTr="00D01614">
        <w:tc>
          <w:tcPr>
            <w:tcW w:w="5000" w:type="pct"/>
            <w:gridSpan w:val="2"/>
          </w:tcPr>
          <w:p w:rsidR="00996B84" w:rsidRPr="00996B84" w:rsidRDefault="00996B84" w:rsidP="00996B84">
            <w:pPr>
              <w:jc w:val="both"/>
              <w:rPr>
                <w:rFonts w:eastAsiaTheme="minorHAnsi"/>
                <w:sz w:val="20"/>
                <w:lang w:val="en-CA"/>
              </w:rPr>
            </w:pPr>
            <w:r w:rsidRPr="00996B84">
              <w:rPr>
                <w:rFonts w:eastAsiaTheme="minorHAnsi"/>
                <w:sz w:val="20"/>
                <w:lang w:val="en-CA"/>
              </w:rPr>
              <w:t xml:space="preserve">In November 2011, the applicant, Martin Green, was removed from his student teacher practicum at Gordon Bell High School in Winnipeg.  The respondent, Hiep Tram, was a Gordon Bell High School teacher who supervised Mr. Green for one course and the respondent, Arlene Skull, was the principal.  Subsequently, for his conduct as a student teacher and other reasons, Mr. Green was suspended from his studies at the University of Winnipeg teacher certification program.  He blames the respondents for this, claiming they conspired together to injure him by depriving him of his opportunity to become a certified teacher.  He further alleges that Mr. Tram and Ms. Skull defamed him.  </w:t>
            </w:r>
          </w:p>
          <w:p w:rsidR="00996B84" w:rsidRPr="00996B84" w:rsidRDefault="00996B84" w:rsidP="00996B84">
            <w:pPr>
              <w:jc w:val="both"/>
              <w:rPr>
                <w:rFonts w:eastAsiaTheme="minorHAnsi"/>
                <w:sz w:val="20"/>
                <w:lang w:val="en-CA"/>
              </w:rPr>
            </w:pPr>
          </w:p>
          <w:p w:rsidR="00996B84" w:rsidRPr="00996B84" w:rsidRDefault="00996B84" w:rsidP="00996B84">
            <w:pPr>
              <w:jc w:val="both"/>
              <w:rPr>
                <w:rFonts w:eastAsiaTheme="minorHAnsi"/>
                <w:sz w:val="20"/>
                <w:lang w:val="en-CA"/>
              </w:rPr>
            </w:pPr>
            <w:r w:rsidRPr="00996B84">
              <w:rPr>
                <w:rFonts w:eastAsiaTheme="minorHAnsi"/>
                <w:sz w:val="20"/>
                <w:lang w:val="en-CA"/>
              </w:rPr>
              <w:t>A Master of the Manitoba Court of Queen’s Bench granted the respondents’ (Tram and Skull) motion for summary judgment and dismissed the action.  A judge of the Court of Queen’s Bench dismissed the applicant’s appeal and dismissed the action.  The Court of Appeal dismissed the applicant’s appeal.</w:t>
            </w:r>
          </w:p>
        </w:tc>
      </w:tr>
    </w:tbl>
    <w:p w:rsidR="00996B84" w:rsidRPr="00996B84" w:rsidRDefault="00996B84" w:rsidP="00996B84">
      <w:pPr>
        <w:jc w:val="both"/>
        <w:rPr>
          <w:rFonts w:eastAsiaTheme="minorHAnsi"/>
          <w:sz w:val="20"/>
          <w:lang w:val="en-CA"/>
        </w:rPr>
      </w:pPr>
    </w:p>
    <w:tbl>
      <w:tblPr>
        <w:tblW w:w="4952" w:type="pct"/>
        <w:tblLayout w:type="fixed"/>
        <w:tblCellMar>
          <w:left w:w="0" w:type="dxa"/>
          <w:right w:w="0" w:type="dxa"/>
        </w:tblCellMar>
        <w:tblLook w:val="04A0" w:firstRow="1" w:lastRow="0" w:firstColumn="1" w:lastColumn="0" w:noHBand="0" w:noVBand="1"/>
      </w:tblPr>
      <w:tblGrid>
        <w:gridCol w:w="4431"/>
        <w:gridCol w:w="501"/>
        <w:gridCol w:w="4338"/>
      </w:tblGrid>
      <w:tr w:rsidR="00996B84" w:rsidRPr="00996B84" w:rsidTr="001F1074">
        <w:tc>
          <w:tcPr>
            <w:tcW w:w="2390" w:type="pct"/>
          </w:tcPr>
          <w:p w:rsidR="00996B84" w:rsidRPr="00996B84" w:rsidRDefault="00996B84" w:rsidP="00996B84">
            <w:pPr>
              <w:jc w:val="both"/>
              <w:rPr>
                <w:rFonts w:eastAsiaTheme="minorHAnsi"/>
                <w:sz w:val="20"/>
                <w:lang w:val="en-CA"/>
              </w:rPr>
            </w:pPr>
            <w:r w:rsidRPr="00996B84">
              <w:rPr>
                <w:rFonts w:eastAsiaTheme="minorHAnsi"/>
                <w:sz w:val="20"/>
                <w:lang w:val="en-CA"/>
              </w:rPr>
              <w:t>January 29, 2014</w:t>
            </w:r>
          </w:p>
          <w:p w:rsidR="00996B84" w:rsidRPr="00996B84" w:rsidRDefault="00996B84" w:rsidP="00996B84">
            <w:pPr>
              <w:jc w:val="both"/>
              <w:rPr>
                <w:rFonts w:eastAsiaTheme="minorHAnsi"/>
                <w:sz w:val="20"/>
                <w:lang w:val="en-CA"/>
              </w:rPr>
            </w:pPr>
            <w:r w:rsidRPr="00996B84">
              <w:rPr>
                <w:rFonts w:eastAsiaTheme="minorHAnsi"/>
                <w:sz w:val="20"/>
                <w:lang w:val="en-CA"/>
              </w:rPr>
              <w:t>Court of Queen’s Bench of Manitoba</w:t>
            </w:r>
          </w:p>
          <w:p w:rsidR="00996B84" w:rsidRPr="00996B84" w:rsidRDefault="00996B84" w:rsidP="00996B84">
            <w:pPr>
              <w:jc w:val="both"/>
              <w:rPr>
                <w:rFonts w:eastAsiaTheme="minorHAnsi"/>
                <w:sz w:val="20"/>
                <w:lang w:val="en-CA"/>
              </w:rPr>
            </w:pPr>
            <w:r w:rsidRPr="00996B84">
              <w:rPr>
                <w:rFonts w:eastAsiaTheme="minorHAnsi"/>
                <w:sz w:val="20"/>
                <w:lang w:val="en-CA"/>
              </w:rPr>
              <w:t>(Berthaudin, Master)</w:t>
            </w:r>
          </w:p>
          <w:p w:rsidR="00996B84" w:rsidRPr="00996B84" w:rsidRDefault="00996B84" w:rsidP="00996B84">
            <w:pPr>
              <w:jc w:val="both"/>
              <w:rPr>
                <w:rFonts w:eastAsiaTheme="minorHAnsi"/>
                <w:sz w:val="20"/>
                <w:lang w:val="en-CA"/>
              </w:rPr>
            </w:pPr>
            <w:r w:rsidRPr="00996B84">
              <w:rPr>
                <w:rFonts w:eastAsiaTheme="minorHAnsi"/>
                <w:sz w:val="20"/>
                <w:lang w:val="en-CA"/>
              </w:rPr>
              <w:t>Neutral citation: N/A</w:t>
            </w:r>
          </w:p>
          <w:p w:rsidR="00996B84" w:rsidRPr="00996B84" w:rsidRDefault="00996B84" w:rsidP="00996B84">
            <w:pPr>
              <w:jc w:val="both"/>
              <w:rPr>
                <w:rFonts w:eastAsiaTheme="minorHAnsi"/>
                <w:sz w:val="20"/>
                <w:lang w:val="en-CA"/>
              </w:rPr>
            </w:pPr>
          </w:p>
        </w:tc>
        <w:tc>
          <w:tcPr>
            <w:tcW w:w="270" w:type="pct"/>
          </w:tcPr>
          <w:p w:rsidR="00996B84" w:rsidRPr="00996B84" w:rsidRDefault="00996B84" w:rsidP="00996B84">
            <w:pPr>
              <w:jc w:val="both"/>
              <w:rPr>
                <w:rFonts w:eastAsiaTheme="minorHAnsi"/>
                <w:sz w:val="20"/>
                <w:lang w:val="en-CA"/>
              </w:rPr>
            </w:pPr>
          </w:p>
        </w:tc>
        <w:tc>
          <w:tcPr>
            <w:tcW w:w="2340" w:type="pct"/>
          </w:tcPr>
          <w:p w:rsidR="00996B84" w:rsidRPr="00996B84" w:rsidRDefault="00996B84" w:rsidP="00996B84">
            <w:pPr>
              <w:jc w:val="both"/>
              <w:rPr>
                <w:rFonts w:eastAsiaTheme="minorHAnsi"/>
                <w:sz w:val="20"/>
                <w:lang w:val="en-CA"/>
              </w:rPr>
            </w:pPr>
            <w:r w:rsidRPr="00996B84">
              <w:rPr>
                <w:rFonts w:eastAsiaTheme="minorHAnsi"/>
                <w:sz w:val="20"/>
                <w:lang w:val="en-CA"/>
              </w:rPr>
              <w:t>Respondents’ (Tram and Skull) motion for summary judgment dismissing the applicant’s claim, granted.</w:t>
            </w:r>
          </w:p>
          <w:p w:rsidR="00996B84" w:rsidRPr="00996B84" w:rsidRDefault="00996B84" w:rsidP="00996B84">
            <w:pPr>
              <w:jc w:val="both"/>
              <w:rPr>
                <w:rFonts w:eastAsiaTheme="minorHAnsi"/>
                <w:sz w:val="20"/>
                <w:lang w:val="en-CA"/>
              </w:rPr>
            </w:pPr>
          </w:p>
        </w:tc>
      </w:tr>
      <w:tr w:rsidR="00996B84" w:rsidRPr="00996B84" w:rsidTr="001F1074">
        <w:tc>
          <w:tcPr>
            <w:tcW w:w="2390" w:type="pct"/>
          </w:tcPr>
          <w:p w:rsidR="00996B84" w:rsidRPr="00996B84" w:rsidRDefault="00996B84" w:rsidP="00996B84">
            <w:pPr>
              <w:jc w:val="both"/>
              <w:rPr>
                <w:rFonts w:eastAsiaTheme="minorHAnsi"/>
                <w:sz w:val="20"/>
                <w:lang w:val="en-CA"/>
              </w:rPr>
            </w:pPr>
            <w:r w:rsidRPr="00996B84">
              <w:rPr>
                <w:rFonts w:eastAsiaTheme="minorHAnsi"/>
                <w:sz w:val="20"/>
                <w:lang w:val="en-CA"/>
              </w:rPr>
              <w:t>June 11, 2014</w:t>
            </w:r>
          </w:p>
          <w:p w:rsidR="00996B84" w:rsidRPr="00996B84" w:rsidRDefault="00996B84" w:rsidP="00996B84">
            <w:pPr>
              <w:jc w:val="both"/>
              <w:rPr>
                <w:rFonts w:eastAsiaTheme="minorHAnsi"/>
                <w:sz w:val="20"/>
                <w:lang w:val="en-CA"/>
              </w:rPr>
            </w:pPr>
            <w:r w:rsidRPr="00996B84">
              <w:rPr>
                <w:rFonts w:eastAsiaTheme="minorHAnsi"/>
                <w:sz w:val="20"/>
                <w:lang w:val="en-CA"/>
              </w:rPr>
              <w:t>Court of Queen’s Bench of Manitoba</w:t>
            </w:r>
          </w:p>
          <w:p w:rsidR="00996B84" w:rsidRPr="00996B84" w:rsidRDefault="00996B84" w:rsidP="00996B84">
            <w:pPr>
              <w:jc w:val="both"/>
              <w:rPr>
                <w:rFonts w:eastAsiaTheme="minorHAnsi"/>
                <w:sz w:val="20"/>
                <w:lang w:val="en-CA"/>
              </w:rPr>
            </w:pPr>
            <w:r w:rsidRPr="00996B84">
              <w:rPr>
                <w:rFonts w:eastAsiaTheme="minorHAnsi"/>
                <w:sz w:val="20"/>
                <w:lang w:val="en-CA"/>
              </w:rPr>
              <w:t>(Martin J.)</w:t>
            </w:r>
          </w:p>
          <w:p w:rsidR="00996B84" w:rsidRPr="00996B84" w:rsidRDefault="00996B84" w:rsidP="00996B84">
            <w:pPr>
              <w:jc w:val="both"/>
              <w:rPr>
                <w:rFonts w:eastAsiaTheme="minorHAnsi"/>
                <w:sz w:val="20"/>
                <w:lang w:val="en-CA"/>
              </w:rPr>
            </w:pPr>
            <w:r w:rsidRPr="00996B84">
              <w:rPr>
                <w:rFonts w:eastAsiaTheme="minorHAnsi"/>
                <w:sz w:val="20"/>
                <w:lang w:val="en-CA"/>
              </w:rPr>
              <w:t xml:space="preserve">Neutral citation: </w:t>
            </w:r>
            <w:hyperlink r:id="rId43" w:history="1">
              <w:r w:rsidRPr="00392A88">
                <w:rPr>
                  <w:rFonts w:eastAsiaTheme="minorHAnsi"/>
                  <w:color w:val="0000FF" w:themeColor="hyperlink"/>
                  <w:sz w:val="20"/>
                  <w:u w:val="single"/>
                  <w:lang w:val="en-CA"/>
                </w:rPr>
                <w:t>2014 MBQB 118</w:t>
              </w:r>
            </w:hyperlink>
          </w:p>
          <w:p w:rsidR="00996B84" w:rsidRPr="00996B84" w:rsidRDefault="00996B84" w:rsidP="00996B84">
            <w:pPr>
              <w:jc w:val="both"/>
              <w:rPr>
                <w:rFonts w:eastAsiaTheme="minorHAnsi"/>
                <w:sz w:val="20"/>
                <w:lang w:val="en-CA"/>
              </w:rPr>
            </w:pPr>
          </w:p>
        </w:tc>
        <w:tc>
          <w:tcPr>
            <w:tcW w:w="270" w:type="pct"/>
          </w:tcPr>
          <w:p w:rsidR="00996B84" w:rsidRPr="00996B84" w:rsidRDefault="00996B84" w:rsidP="00996B84">
            <w:pPr>
              <w:jc w:val="both"/>
              <w:rPr>
                <w:rFonts w:eastAsiaTheme="minorHAnsi"/>
                <w:sz w:val="20"/>
                <w:lang w:val="en-CA"/>
              </w:rPr>
            </w:pPr>
          </w:p>
        </w:tc>
        <w:tc>
          <w:tcPr>
            <w:tcW w:w="2340" w:type="pct"/>
          </w:tcPr>
          <w:p w:rsidR="00996B84" w:rsidRPr="00996B84" w:rsidRDefault="00996B84" w:rsidP="00996B84">
            <w:pPr>
              <w:jc w:val="both"/>
              <w:rPr>
                <w:rFonts w:eastAsiaTheme="minorHAnsi"/>
                <w:sz w:val="20"/>
                <w:lang w:val="en-CA"/>
              </w:rPr>
            </w:pPr>
            <w:r w:rsidRPr="00996B84">
              <w:rPr>
                <w:rFonts w:eastAsiaTheme="minorHAnsi"/>
                <w:sz w:val="20"/>
                <w:lang w:val="en-CA"/>
              </w:rPr>
              <w:t>Applicant’s appeal from the Master’s order, dismissed; applicant’s claim, dismissed.</w:t>
            </w:r>
          </w:p>
          <w:p w:rsidR="00996B84" w:rsidRPr="00996B84" w:rsidRDefault="00996B84" w:rsidP="00996B84">
            <w:pPr>
              <w:jc w:val="both"/>
              <w:rPr>
                <w:rFonts w:eastAsiaTheme="minorHAnsi"/>
                <w:sz w:val="20"/>
                <w:lang w:val="en-CA"/>
              </w:rPr>
            </w:pPr>
          </w:p>
        </w:tc>
      </w:tr>
      <w:tr w:rsidR="00996B84" w:rsidRPr="00996B84" w:rsidTr="001F1074">
        <w:tc>
          <w:tcPr>
            <w:tcW w:w="2390" w:type="pct"/>
          </w:tcPr>
          <w:p w:rsidR="00996B84" w:rsidRPr="00996B84" w:rsidRDefault="00996B84" w:rsidP="00996B84">
            <w:pPr>
              <w:jc w:val="both"/>
              <w:rPr>
                <w:rFonts w:eastAsiaTheme="minorHAnsi"/>
                <w:sz w:val="20"/>
                <w:lang w:val="en-CA"/>
              </w:rPr>
            </w:pPr>
            <w:r w:rsidRPr="00996B84">
              <w:rPr>
                <w:rFonts w:eastAsiaTheme="minorHAnsi"/>
                <w:sz w:val="20"/>
                <w:lang w:val="en-CA"/>
              </w:rPr>
              <w:t>January 14, 2015</w:t>
            </w:r>
          </w:p>
          <w:p w:rsidR="00996B84" w:rsidRPr="00996B84" w:rsidRDefault="00996B84" w:rsidP="00996B84">
            <w:pPr>
              <w:jc w:val="both"/>
              <w:rPr>
                <w:rFonts w:eastAsiaTheme="minorHAnsi"/>
                <w:sz w:val="20"/>
                <w:lang w:val="en-CA"/>
              </w:rPr>
            </w:pPr>
            <w:r w:rsidRPr="00996B84">
              <w:rPr>
                <w:rFonts w:eastAsiaTheme="minorHAnsi"/>
                <w:sz w:val="20"/>
                <w:lang w:val="en-CA"/>
              </w:rPr>
              <w:t>Court of Appeal of Manitoba</w:t>
            </w:r>
          </w:p>
          <w:p w:rsidR="00996B84" w:rsidRPr="00996B84" w:rsidRDefault="00996B84" w:rsidP="00996B84">
            <w:pPr>
              <w:jc w:val="both"/>
              <w:rPr>
                <w:rFonts w:eastAsiaTheme="minorHAnsi"/>
                <w:sz w:val="20"/>
                <w:lang w:val="fr-CA"/>
              </w:rPr>
            </w:pPr>
            <w:r w:rsidRPr="00996B84">
              <w:rPr>
                <w:rFonts w:eastAsiaTheme="minorHAnsi"/>
                <w:sz w:val="20"/>
                <w:lang w:val="fr-CA"/>
              </w:rPr>
              <w:t>(MacInnes, Monnin and Mainella JJ.A.)</w:t>
            </w:r>
          </w:p>
          <w:p w:rsidR="00996B84" w:rsidRPr="00996B84" w:rsidRDefault="00996B84" w:rsidP="00996B84">
            <w:pPr>
              <w:jc w:val="both"/>
              <w:rPr>
                <w:rFonts w:eastAsiaTheme="minorHAnsi"/>
                <w:sz w:val="20"/>
                <w:lang w:val="en-CA"/>
              </w:rPr>
            </w:pPr>
            <w:r w:rsidRPr="00996B84">
              <w:rPr>
                <w:rFonts w:eastAsiaTheme="minorHAnsi"/>
                <w:sz w:val="20"/>
                <w:lang w:val="en-CA"/>
              </w:rPr>
              <w:t xml:space="preserve">Neutral citation: </w:t>
            </w:r>
            <w:hyperlink r:id="rId44" w:history="1">
              <w:r w:rsidRPr="00392A88">
                <w:rPr>
                  <w:rFonts w:eastAsiaTheme="minorHAnsi"/>
                  <w:color w:val="0000FF" w:themeColor="hyperlink"/>
                  <w:sz w:val="20"/>
                  <w:u w:val="single"/>
                  <w:lang w:val="en-CA"/>
                </w:rPr>
                <w:t>2015 MBCA 8</w:t>
              </w:r>
            </w:hyperlink>
          </w:p>
          <w:p w:rsidR="00996B84" w:rsidRPr="00996B84" w:rsidRDefault="00996B84" w:rsidP="00996B84">
            <w:pPr>
              <w:jc w:val="both"/>
              <w:rPr>
                <w:rFonts w:eastAsiaTheme="minorHAnsi"/>
                <w:sz w:val="20"/>
                <w:lang w:val="en-CA"/>
              </w:rPr>
            </w:pPr>
          </w:p>
        </w:tc>
        <w:tc>
          <w:tcPr>
            <w:tcW w:w="270" w:type="pct"/>
          </w:tcPr>
          <w:p w:rsidR="00996B84" w:rsidRPr="00996B84" w:rsidRDefault="00996B84" w:rsidP="00996B84">
            <w:pPr>
              <w:jc w:val="both"/>
              <w:rPr>
                <w:rFonts w:eastAsiaTheme="minorHAnsi"/>
                <w:sz w:val="20"/>
                <w:lang w:val="en-CA"/>
              </w:rPr>
            </w:pPr>
          </w:p>
        </w:tc>
        <w:tc>
          <w:tcPr>
            <w:tcW w:w="2340" w:type="pct"/>
          </w:tcPr>
          <w:p w:rsidR="00996B84" w:rsidRPr="00996B84" w:rsidRDefault="00996B84" w:rsidP="00996B84">
            <w:pPr>
              <w:jc w:val="both"/>
              <w:rPr>
                <w:rFonts w:eastAsiaTheme="minorHAnsi"/>
                <w:sz w:val="20"/>
                <w:lang w:val="en-CA"/>
              </w:rPr>
            </w:pPr>
            <w:r w:rsidRPr="00996B84">
              <w:rPr>
                <w:rFonts w:eastAsiaTheme="minorHAnsi"/>
                <w:sz w:val="20"/>
                <w:lang w:val="en-CA"/>
              </w:rPr>
              <w:t>Applicant’s appeal, dismissed.</w:t>
            </w:r>
          </w:p>
          <w:p w:rsidR="00996B84" w:rsidRPr="00996B84" w:rsidRDefault="00996B84" w:rsidP="00996B84">
            <w:pPr>
              <w:jc w:val="both"/>
              <w:rPr>
                <w:rFonts w:eastAsiaTheme="minorHAnsi"/>
                <w:sz w:val="20"/>
                <w:lang w:val="en-CA"/>
              </w:rPr>
            </w:pPr>
          </w:p>
        </w:tc>
      </w:tr>
      <w:tr w:rsidR="00996B84" w:rsidRPr="00996B84" w:rsidTr="001F1074">
        <w:tc>
          <w:tcPr>
            <w:tcW w:w="2390" w:type="pct"/>
          </w:tcPr>
          <w:p w:rsidR="00996B84" w:rsidRPr="00996B84" w:rsidRDefault="00996B84" w:rsidP="00996B84">
            <w:pPr>
              <w:jc w:val="both"/>
              <w:rPr>
                <w:rFonts w:eastAsiaTheme="minorHAnsi"/>
                <w:sz w:val="20"/>
                <w:lang w:val="en-CA"/>
              </w:rPr>
            </w:pPr>
            <w:r w:rsidRPr="00996B84">
              <w:rPr>
                <w:rFonts w:eastAsiaTheme="minorHAnsi"/>
                <w:sz w:val="20"/>
                <w:lang w:val="en-CA"/>
              </w:rPr>
              <w:lastRenderedPageBreak/>
              <w:t>March 10, 2015</w:t>
            </w:r>
          </w:p>
          <w:p w:rsidR="00996B84" w:rsidRPr="00996B84" w:rsidRDefault="00996B84" w:rsidP="00996B84">
            <w:pPr>
              <w:jc w:val="both"/>
              <w:rPr>
                <w:rFonts w:eastAsiaTheme="minorHAnsi"/>
                <w:sz w:val="20"/>
                <w:lang w:val="en-CA"/>
              </w:rPr>
            </w:pPr>
            <w:r w:rsidRPr="00996B84">
              <w:rPr>
                <w:rFonts w:eastAsiaTheme="minorHAnsi"/>
                <w:sz w:val="20"/>
                <w:lang w:val="en-CA"/>
              </w:rPr>
              <w:t>Supreme Court of Canada</w:t>
            </w:r>
          </w:p>
        </w:tc>
        <w:tc>
          <w:tcPr>
            <w:tcW w:w="270" w:type="pct"/>
          </w:tcPr>
          <w:p w:rsidR="00996B84" w:rsidRPr="00996B84" w:rsidRDefault="00996B84" w:rsidP="00996B84">
            <w:pPr>
              <w:jc w:val="both"/>
              <w:rPr>
                <w:rFonts w:eastAsiaTheme="minorHAnsi"/>
                <w:sz w:val="20"/>
                <w:lang w:val="en-CA"/>
              </w:rPr>
            </w:pPr>
          </w:p>
        </w:tc>
        <w:tc>
          <w:tcPr>
            <w:tcW w:w="2340" w:type="pct"/>
          </w:tcPr>
          <w:p w:rsidR="00996B84" w:rsidRPr="00996B84" w:rsidRDefault="00996B84" w:rsidP="00996B84">
            <w:pPr>
              <w:jc w:val="both"/>
              <w:rPr>
                <w:rFonts w:eastAsiaTheme="minorHAnsi"/>
                <w:sz w:val="20"/>
                <w:lang w:val="en-CA"/>
              </w:rPr>
            </w:pPr>
            <w:r w:rsidRPr="00996B84">
              <w:rPr>
                <w:rFonts w:eastAsiaTheme="minorHAnsi"/>
                <w:sz w:val="20"/>
                <w:lang w:val="en-CA"/>
              </w:rPr>
              <w:t>Application for leave to appeal, filed.</w:t>
            </w:r>
          </w:p>
          <w:p w:rsidR="00996B84" w:rsidRPr="00996B84" w:rsidRDefault="00996B84" w:rsidP="00996B84">
            <w:pPr>
              <w:jc w:val="both"/>
              <w:rPr>
                <w:rFonts w:eastAsiaTheme="minorHAnsi"/>
                <w:sz w:val="20"/>
                <w:lang w:val="en-CA"/>
              </w:rPr>
            </w:pPr>
          </w:p>
        </w:tc>
      </w:tr>
    </w:tbl>
    <w:p w:rsidR="00996B84" w:rsidRDefault="00996B84" w:rsidP="00996B84">
      <w:pPr>
        <w:jc w:val="both"/>
        <w:rPr>
          <w:rFonts w:eastAsiaTheme="minorHAnsi"/>
          <w:sz w:val="20"/>
          <w:lang w:val="en-CA"/>
        </w:rPr>
      </w:pPr>
    </w:p>
    <w:p w:rsidR="00392A88" w:rsidRPr="00996B84" w:rsidRDefault="00392A88" w:rsidP="00996B84">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996B84" w:rsidRPr="00996B84" w:rsidTr="00D01614">
        <w:tc>
          <w:tcPr>
            <w:tcW w:w="543" w:type="pct"/>
          </w:tcPr>
          <w:p w:rsidR="00996B84" w:rsidRPr="00996B84" w:rsidRDefault="00996B84" w:rsidP="00996B84">
            <w:pPr>
              <w:jc w:val="both"/>
              <w:rPr>
                <w:rFonts w:eastAsiaTheme="minorHAnsi"/>
                <w:sz w:val="20"/>
                <w:lang w:val="fr-CA"/>
              </w:rPr>
            </w:pPr>
            <w:r w:rsidRPr="00392A88">
              <w:rPr>
                <w:rFonts w:eastAsiaTheme="minorHAnsi"/>
                <w:b/>
                <w:sz w:val="20"/>
                <w:lang w:val="fr-CA"/>
              </w:rPr>
              <w:t>36339</w:t>
            </w:r>
          </w:p>
        </w:tc>
        <w:tc>
          <w:tcPr>
            <w:tcW w:w="4457" w:type="pct"/>
          </w:tcPr>
          <w:p w:rsidR="00996B84" w:rsidRPr="00996B84" w:rsidRDefault="00996B84" w:rsidP="00996B84">
            <w:pPr>
              <w:jc w:val="both"/>
              <w:rPr>
                <w:rFonts w:eastAsiaTheme="minorHAnsi"/>
                <w:b/>
                <w:sz w:val="20"/>
              </w:rPr>
            </w:pPr>
            <w:r w:rsidRPr="00996B84">
              <w:rPr>
                <w:rFonts w:eastAsiaTheme="minorHAnsi"/>
                <w:b/>
                <w:sz w:val="20"/>
              </w:rPr>
              <w:t>Martin Green c. Hiep Tram, Arlene Skull, Deb Woloshyn, Wally Stewart, John Anchan et Université de Winnipeg</w:t>
            </w:r>
          </w:p>
          <w:p w:rsidR="00996B84" w:rsidRPr="00996B84" w:rsidRDefault="00996B84" w:rsidP="00996B84">
            <w:pPr>
              <w:jc w:val="both"/>
              <w:rPr>
                <w:rFonts w:eastAsiaTheme="minorHAnsi"/>
                <w:sz w:val="20"/>
                <w:lang w:val="fr-CA"/>
              </w:rPr>
            </w:pPr>
            <w:r w:rsidRPr="00996B84">
              <w:rPr>
                <w:rFonts w:eastAsiaTheme="minorHAnsi"/>
                <w:sz w:val="20"/>
                <w:lang w:val="fr-CA"/>
              </w:rPr>
              <w:t>(Man.) (Civile) (Sur autorisation)</w:t>
            </w:r>
          </w:p>
        </w:tc>
      </w:tr>
      <w:tr w:rsidR="00996B84" w:rsidRPr="00996B84" w:rsidTr="00D01614">
        <w:tc>
          <w:tcPr>
            <w:tcW w:w="5000" w:type="pct"/>
            <w:gridSpan w:val="2"/>
          </w:tcPr>
          <w:p w:rsidR="00996B84" w:rsidRPr="00996B84" w:rsidRDefault="00996B84" w:rsidP="00996B84">
            <w:pPr>
              <w:jc w:val="both"/>
              <w:rPr>
                <w:rFonts w:eastAsiaTheme="minorHAnsi"/>
                <w:sz w:val="20"/>
                <w:lang w:val="fr-CA"/>
              </w:rPr>
            </w:pPr>
            <w:r w:rsidRPr="00996B84">
              <w:rPr>
                <w:rFonts w:eastAsiaTheme="minorHAnsi"/>
                <w:sz w:val="20"/>
                <w:lang w:val="fr-CA"/>
              </w:rPr>
              <w:t>Procédure civile – Jugement sommaire – Les tribunaux du Manitoba ont-ils eu tort de conclure que les intimés s’étaient déchargés du fardeau qui leur était imposé à la première étape? – Les tribunaux du Manitoba ont-ils commis une erreur en refusant de permettre au demandeur de faire valoir des arguments pour se décharger du fardeau qui lui était imposé à la deuxième étape sur le fondement des allégations dans ses actes de procédure? – Les tribunaux du Manitoba ont-ils commis une erreur en obligeant le demandeur à satisfaire la mauvaise norme pour se décharger du fardeau qui lui était imposé à la deuxième étape? – Les tribunaux du Manitoba ont-ils commis une erreur en omettant d’appliquer le critère de la pleine appréciation avant d’évaluer la preuve et de tirer des conclusions relatives à la crédibilité?</w:t>
            </w:r>
          </w:p>
        </w:tc>
      </w:tr>
      <w:tr w:rsidR="00996B84" w:rsidRPr="00996B84" w:rsidTr="00D01614">
        <w:tc>
          <w:tcPr>
            <w:tcW w:w="5000" w:type="pct"/>
            <w:gridSpan w:val="2"/>
          </w:tcPr>
          <w:p w:rsidR="00996B84" w:rsidRPr="00996B84" w:rsidRDefault="00996B84" w:rsidP="00996B84">
            <w:pPr>
              <w:jc w:val="both"/>
              <w:rPr>
                <w:rFonts w:eastAsiaTheme="minorHAnsi"/>
                <w:sz w:val="20"/>
                <w:lang w:val="fr-CA"/>
              </w:rPr>
            </w:pPr>
          </w:p>
        </w:tc>
      </w:tr>
      <w:tr w:rsidR="00996B84" w:rsidRPr="00996B84" w:rsidTr="00D01614">
        <w:tc>
          <w:tcPr>
            <w:tcW w:w="5000" w:type="pct"/>
            <w:gridSpan w:val="2"/>
          </w:tcPr>
          <w:p w:rsidR="00996B84" w:rsidRPr="00996B84" w:rsidRDefault="00996B84" w:rsidP="00996B84">
            <w:pPr>
              <w:jc w:val="both"/>
              <w:rPr>
                <w:rFonts w:eastAsiaTheme="minorHAnsi"/>
                <w:sz w:val="20"/>
                <w:lang w:val="fr-CA"/>
              </w:rPr>
            </w:pPr>
            <w:r w:rsidRPr="00996B84">
              <w:rPr>
                <w:rFonts w:eastAsiaTheme="minorHAnsi"/>
                <w:sz w:val="20"/>
                <w:lang w:val="fr-CA"/>
              </w:rPr>
              <w:t xml:space="preserve">En novembre 2011, le demandeur, Martin Green, a été renvoyé de son stage en enseignement à l’école secondaire Gordon Bell à Winnipeg.  L’intimé, Hiep Tram, un enseignant de l’école secondaire Gordon Bell, avait supervisé M. Green dans le cadre d’un cours et l’intimée Arlene Skull était la directrice de l’école.  Par la suite, en raison de sa conduite comme stagiaire et pour d’autres motifs, M. Green a été suspendu du programme de formation des maîtres de l’Université de Winnipeg.  Il blâme les intimés pour cette situation, alléguant qu’ils auraient comploté entre eux pour lui faire du tort en le privant de l’occasion de devenir enseignant breveté.  Il allègue en outre que M. Tram et Mme Skull l’auraient diffamé.  </w:t>
            </w:r>
          </w:p>
          <w:p w:rsidR="00996B84" w:rsidRPr="00996B84" w:rsidRDefault="00996B84" w:rsidP="00996B84">
            <w:pPr>
              <w:jc w:val="both"/>
              <w:rPr>
                <w:rFonts w:eastAsiaTheme="minorHAnsi"/>
                <w:sz w:val="20"/>
                <w:lang w:val="fr-CA"/>
              </w:rPr>
            </w:pPr>
          </w:p>
          <w:p w:rsidR="00996B84" w:rsidRPr="00996B84" w:rsidRDefault="00996B84" w:rsidP="00996B84">
            <w:pPr>
              <w:jc w:val="both"/>
              <w:rPr>
                <w:rFonts w:eastAsiaTheme="minorHAnsi"/>
                <w:sz w:val="20"/>
                <w:lang w:val="fr-CA"/>
              </w:rPr>
            </w:pPr>
            <w:r w:rsidRPr="00996B84">
              <w:rPr>
                <w:rFonts w:eastAsiaTheme="minorHAnsi"/>
                <w:sz w:val="20"/>
                <w:lang w:val="fr-CA"/>
              </w:rPr>
              <w:t>Un conseiller-maître du Cour du Banc de la Reine du Manitoba a accueilli la motion en jugement sommaire des intimés (M. Tram et Mme Skull) et a rejeté l’action.  Un juge de la Cour du Banc de la Reine a rejeté l’appel du demandeur et rejeté l’action.  La Cour d’appel a rejeté l’appel du demandeur.</w:t>
            </w:r>
          </w:p>
        </w:tc>
      </w:tr>
    </w:tbl>
    <w:p w:rsidR="00996B84" w:rsidRPr="00996B84" w:rsidRDefault="00996B84" w:rsidP="00996B84">
      <w:pPr>
        <w:jc w:val="both"/>
        <w:rPr>
          <w:rFonts w:eastAsiaTheme="minorHAnsi"/>
          <w:sz w:val="20"/>
          <w:lang w:val="fr-CA"/>
        </w:rPr>
      </w:pPr>
    </w:p>
    <w:tbl>
      <w:tblPr>
        <w:tblW w:w="4952" w:type="pct"/>
        <w:tblLayout w:type="fixed"/>
        <w:tblCellMar>
          <w:left w:w="0" w:type="dxa"/>
          <w:right w:w="0" w:type="dxa"/>
        </w:tblCellMar>
        <w:tblLook w:val="04A0" w:firstRow="1" w:lastRow="0" w:firstColumn="1" w:lastColumn="0" w:noHBand="0" w:noVBand="1"/>
      </w:tblPr>
      <w:tblGrid>
        <w:gridCol w:w="4431"/>
        <w:gridCol w:w="501"/>
        <w:gridCol w:w="4338"/>
      </w:tblGrid>
      <w:tr w:rsidR="00996B84" w:rsidRPr="00996B84" w:rsidTr="001F1074">
        <w:tc>
          <w:tcPr>
            <w:tcW w:w="2390" w:type="pct"/>
          </w:tcPr>
          <w:p w:rsidR="00996B84" w:rsidRPr="00996B84" w:rsidRDefault="00996B84" w:rsidP="00996B84">
            <w:pPr>
              <w:jc w:val="both"/>
              <w:rPr>
                <w:rFonts w:eastAsiaTheme="minorHAnsi"/>
                <w:sz w:val="20"/>
                <w:lang w:val="fr-CA"/>
              </w:rPr>
            </w:pPr>
            <w:r w:rsidRPr="00996B84">
              <w:rPr>
                <w:rFonts w:eastAsiaTheme="minorHAnsi"/>
                <w:sz w:val="20"/>
                <w:lang w:val="fr-CA"/>
              </w:rPr>
              <w:t>29 janvier 2014</w:t>
            </w:r>
          </w:p>
          <w:p w:rsidR="00996B84" w:rsidRPr="00996B84" w:rsidRDefault="00996B84" w:rsidP="00996B84">
            <w:pPr>
              <w:jc w:val="both"/>
              <w:rPr>
                <w:rFonts w:eastAsiaTheme="minorHAnsi"/>
                <w:sz w:val="20"/>
                <w:lang w:val="fr-CA"/>
              </w:rPr>
            </w:pPr>
            <w:r w:rsidRPr="00996B84">
              <w:rPr>
                <w:rFonts w:eastAsiaTheme="minorHAnsi"/>
                <w:sz w:val="20"/>
                <w:lang w:val="fr-CA"/>
              </w:rPr>
              <w:t>Cour du Banc de la Reine du Manitoba</w:t>
            </w:r>
          </w:p>
          <w:p w:rsidR="00996B84" w:rsidRPr="00996B84" w:rsidRDefault="00996B84" w:rsidP="00996B84">
            <w:pPr>
              <w:jc w:val="both"/>
              <w:rPr>
                <w:rFonts w:eastAsiaTheme="minorHAnsi"/>
                <w:sz w:val="20"/>
                <w:lang w:val="fr-CA"/>
              </w:rPr>
            </w:pPr>
            <w:r w:rsidRPr="00996B84">
              <w:rPr>
                <w:rFonts w:eastAsiaTheme="minorHAnsi"/>
                <w:sz w:val="20"/>
                <w:lang w:val="fr-CA"/>
              </w:rPr>
              <w:t>(Conseiller-maître Berthaudin)</w:t>
            </w:r>
          </w:p>
          <w:p w:rsidR="00996B84" w:rsidRPr="00996B84" w:rsidRDefault="00996B84" w:rsidP="00996B84">
            <w:pPr>
              <w:jc w:val="both"/>
              <w:rPr>
                <w:rFonts w:eastAsiaTheme="minorHAnsi"/>
                <w:sz w:val="20"/>
                <w:lang w:val="fr-CA"/>
              </w:rPr>
            </w:pPr>
            <w:r w:rsidRPr="00996B84">
              <w:rPr>
                <w:rFonts w:eastAsiaTheme="minorHAnsi"/>
                <w:sz w:val="20"/>
                <w:lang w:val="fr-CA"/>
              </w:rPr>
              <w:t>Référence neutre : s.o.</w:t>
            </w:r>
          </w:p>
          <w:p w:rsidR="00996B84" w:rsidRPr="00996B84" w:rsidRDefault="00996B84" w:rsidP="00996B84">
            <w:pPr>
              <w:jc w:val="both"/>
              <w:rPr>
                <w:rFonts w:eastAsiaTheme="minorHAnsi"/>
                <w:sz w:val="20"/>
                <w:lang w:val="fr-CA"/>
              </w:rPr>
            </w:pPr>
          </w:p>
        </w:tc>
        <w:tc>
          <w:tcPr>
            <w:tcW w:w="270" w:type="pct"/>
          </w:tcPr>
          <w:p w:rsidR="00996B84" w:rsidRPr="00996B84" w:rsidRDefault="00996B84" w:rsidP="00996B84">
            <w:pPr>
              <w:jc w:val="both"/>
              <w:rPr>
                <w:rFonts w:eastAsiaTheme="minorHAnsi"/>
                <w:sz w:val="20"/>
                <w:lang w:val="fr-CA"/>
              </w:rPr>
            </w:pPr>
          </w:p>
        </w:tc>
        <w:tc>
          <w:tcPr>
            <w:tcW w:w="2340" w:type="pct"/>
          </w:tcPr>
          <w:p w:rsidR="00996B84" w:rsidRPr="00996B84" w:rsidRDefault="00996B84" w:rsidP="00996B84">
            <w:pPr>
              <w:jc w:val="both"/>
              <w:rPr>
                <w:rFonts w:eastAsiaTheme="minorHAnsi"/>
                <w:sz w:val="20"/>
                <w:lang w:val="fr-CA"/>
              </w:rPr>
            </w:pPr>
            <w:r w:rsidRPr="00996B84">
              <w:rPr>
                <w:rFonts w:eastAsiaTheme="minorHAnsi"/>
                <w:sz w:val="20"/>
                <w:lang w:val="fr-CA"/>
              </w:rPr>
              <w:t>Décision accueillant la motion en jugement sommaire des intimés (M. Tram et Mme Skull) rejetant l’action du demandeur</w:t>
            </w:r>
          </w:p>
          <w:p w:rsidR="00996B84" w:rsidRPr="00996B84" w:rsidRDefault="00996B84" w:rsidP="00996B84">
            <w:pPr>
              <w:jc w:val="both"/>
              <w:rPr>
                <w:rFonts w:eastAsiaTheme="minorHAnsi"/>
                <w:sz w:val="20"/>
                <w:lang w:val="fr-CA"/>
              </w:rPr>
            </w:pPr>
          </w:p>
        </w:tc>
      </w:tr>
      <w:tr w:rsidR="00996B84" w:rsidRPr="00996B84" w:rsidTr="001F1074">
        <w:tc>
          <w:tcPr>
            <w:tcW w:w="2390" w:type="pct"/>
          </w:tcPr>
          <w:p w:rsidR="00996B84" w:rsidRPr="00996B84" w:rsidRDefault="00996B84" w:rsidP="00996B84">
            <w:pPr>
              <w:jc w:val="both"/>
              <w:rPr>
                <w:rFonts w:eastAsiaTheme="minorHAnsi"/>
                <w:sz w:val="20"/>
                <w:lang w:val="fr-CA"/>
              </w:rPr>
            </w:pPr>
            <w:r w:rsidRPr="00996B84">
              <w:rPr>
                <w:rFonts w:eastAsiaTheme="minorHAnsi"/>
                <w:sz w:val="20"/>
                <w:lang w:val="fr-CA"/>
              </w:rPr>
              <w:t>11 juin 2014</w:t>
            </w:r>
          </w:p>
          <w:p w:rsidR="00996B84" w:rsidRPr="00996B84" w:rsidRDefault="00996B84" w:rsidP="00996B84">
            <w:pPr>
              <w:jc w:val="both"/>
              <w:rPr>
                <w:rFonts w:eastAsiaTheme="minorHAnsi"/>
                <w:sz w:val="20"/>
                <w:lang w:val="fr-CA"/>
              </w:rPr>
            </w:pPr>
            <w:r w:rsidRPr="00996B84">
              <w:rPr>
                <w:rFonts w:eastAsiaTheme="minorHAnsi"/>
                <w:sz w:val="20"/>
                <w:lang w:val="fr-CA"/>
              </w:rPr>
              <w:t>Cour du Banc de la Reine du Manitoba</w:t>
            </w:r>
          </w:p>
          <w:p w:rsidR="00996B84" w:rsidRPr="00996B84" w:rsidRDefault="00996B84" w:rsidP="00996B84">
            <w:pPr>
              <w:jc w:val="both"/>
              <w:rPr>
                <w:rFonts w:eastAsiaTheme="minorHAnsi"/>
                <w:sz w:val="20"/>
                <w:lang w:val="fr-CA"/>
              </w:rPr>
            </w:pPr>
            <w:r w:rsidRPr="00996B84">
              <w:rPr>
                <w:rFonts w:eastAsiaTheme="minorHAnsi"/>
                <w:sz w:val="20"/>
                <w:lang w:val="fr-CA"/>
              </w:rPr>
              <w:t>(Juge Martin)</w:t>
            </w:r>
          </w:p>
          <w:p w:rsidR="00996B84" w:rsidRPr="00996B84" w:rsidRDefault="00996B84" w:rsidP="00996B84">
            <w:pPr>
              <w:jc w:val="both"/>
              <w:rPr>
                <w:rFonts w:eastAsiaTheme="minorHAnsi"/>
                <w:sz w:val="20"/>
                <w:lang w:val="fr-CA"/>
              </w:rPr>
            </w:pPr>
            <w:r w:rsidRPr="00996B84">
              <w:rPr>
                <w:rFonts w:eastAsiaTheme="minorHAnsi"/>
                <w:sz w:val="20"/>
                <w:lang w:val="fr-CA"/>
              </w:rPr>
              <w:t xml:space="preserve">Référence neutre : </w:t>
            </w:r>
            <w:hyperlink r:id="rId45" w:history="1">
              <w:r w:rsidRPr="00392A88">
                <w:rPr>
                  <w:rFonts w:eastAsiaTheme="minorHAnsi"/>
                  <w:color w:val="0000FF" w:themeColor="hyperlink"/>
                  <w:sz w:val="20"/>
                  <w:u w:val="single"/>
                  <w:lang w:val="fr-CA"/>
                </w:rPr>
                <w:t>2014 MBQB 118</w:t>
              </w:r>
            </w:hyperlink>
          </w:p>
          <w:p w:rsidR="00996B84" w:rsidRPr="00996B84" w:rsidRDefault="00996B84" w:rsidP="00996B84">
            <w:pPr>
              <w:jc w:val="both"/>
              <w:rPr>
                <w:rFonts w:eastAsiaTheme="minorHAnsi"/>
                <w:sz w:val="20"/>
                <w:lang w:val="fr-CA"/>
              </w:rPr>
            </w:pPr>
          </w:p>
        </w:tc>
        <w:tc>
          <w:tcPr>
            <w:tcW w:w="270" w:type="pct"/>
          </w:tcPr>
          <w:p w:rsidR="00996B84" w:rsidRPr="00996B84" w:rsidRDefault="00996B84" w:rsidP="00996B84">
            <w:pPr>
              <w:jc w:val="both"/>
              <w:rPr>
                <w:rFonts w:eastAsiaTheme="minorHAnsi"/>
                <w:sz w:val="20"/>
                <w:lang w:val="fr-CA"/>
              </w:rPr>
            </w:pPr>
          </w:p>
        </w:tc>
        <w:tc>
          <w:tcPr>
            <w:tcW w:w="2340" w:type="pct"/>
          </w:tcPr>
          <w:p w:rsidR="00996B84" w:rsidRPr="00996B84" w:rsidRDefault="00996B84" w:rsidP="00996B84">
            <w:pPr>
              <w:jc w:val="both"/>
              <w:rPr>
                <w:rFonts w:eastAsiaTheme="minorHAnsi"/>
                <w:sz w:val="20"/>
                <w:lang w:val="fr-CA"/>
              </w:rPr>
            </w:pPr>
            <w:r w:rsidRPr="00996B84">
              <w:rPr>
                <w:rFonts w:eastAsiaTheme="minorHAnsi"/>
                <w:sz w:val="20"/>
                <w:lang w:val="fr-CA"/>
              </w:rPr>
              <w:t>Rejet de l’appel du demandeur de l’ordonnance du conseiller-maître; rejet de l’action du demandeur.</w:t>
            </w:r>
          </w:p>
          <w:p w:rsidR="00996B84" w:rsidRPr="00996B84" w:rsidRDefault="00996B84" w:rsidP="00996B84">
            <w:pPr>
              <w:jc w:val="both"/>
              <w:rPr>
                <w:rFonts w:eastAsiaTheme="minorHAnsi"/>
                <w:sz w:val="20"/>
                <w:lang w:val="fr-CA"/>
              </w:rPr>
            </w:pPr>
          </w:p>
        </w:tc>
      </w:tr>
      <w:tr w:rsidR="00996B84" w:rsidRPr="00996B84" w:rsidTr="001F1074">
        <w:tc>
          <w:tcPr>
            <w:tcW w:w="2390" w:type="pct"/>
          </w:tcPr>
          <w:p w:rsidR="00996B84" w:rsidRPr="00996B84" w:rsidRDefault="00996B84" w:rsidP="00996B84">
            <w:pPr>
              <w:jc w:val="both"/>
              <w:rPr>
                <w:rFonts w:eastAsiaTheme="minorHAnsi"/>
                <w:sz w:val="20"/>
                <w:lang w:val="fr-CA"/>
              </w:rPr>
            </w:pPr>
            <w:r w:rsidRPr="00996B84">
              <w:rPr>
                <w:rFonts w:eastAsiaTheme="minorHAnsi"/>
                <w:sz w:val="20"/>
                <w:lang w:val="fr-CA"/>
              </w:rPr>
              <w:t>14 janvier 2015</w:t>
            </w:r>
          </w:p>
          <w:p w:rsidR="00996B84" w:rsidRPr="00996B84" w:rsidRDefault="00996B84" w:rsidP="00996B84">
            <w:pPr>
              <w:jc w:val="both"/>
              <w:rPr>
                <w:rFonts w:eastAsiaTheme="minorHAnsi"/>
                <w:sz w:val="20"/>
                <w:lang w:val="fr-CA"/>
              </w:rPr>
            </w:pPr>
            <w:r w:rsidRPr="00996B84">
              <w:rPr>
                <w:rFonts w:eastAsiaTheme="minorHAnsi"/>
                <w:sz w:val="20"/>
                <w:lang w:val="fr-CA"/>
              </w:rPr>
              <w:t>Cour d’appel du Manitoba</w:t>
            </w:r>
          </w:p>
          <w:p w:rsidR="00996B84" w:rsidRPr="00996B84" w:rsidRDefault="00996B84" w:rsidP="00996B84">
            <w:pPr>
              <w:jc w:val="both"/>
              <w:rPr>
                <w:rFonts w:eastAsiaTheme="minorHAnsi"/>
                <w:sz w:val="20"/>
                <w:lang w:val="fr-CA"/>
              </w:rPr>
            </w:pPr>
            <w:r w:rsidRPr="00996B84">
              <w:rPr>
                <w:rFonts w:eastAsiaTheme="minorHAnsi"/>
                <w:sz w:val="20"/>
                <w:lang w:val="fr-CA"/>
              </w:rPr>
              <w:t>(Juges MacInnes, Monnin et Mainella)</w:t>
            </w:r>
          </w:p>
          <w:p w:rsidR="00996B84" w:rsidRPr="00996B84" w:rsidRDefault="00996B84" w:rsidP="00996B84">
            <w:pPr>
              <w:jc w:val="both"/>
              <w:rPr>
                <w:rFonts w:eastAsiaTheme="minorHAnsi"/>
                <w:sz w:val="20"/>
                <w:lang w:val="fr-CA"/>
              </w:rPr>
            </w:pPr>
            <w:r w:rsidRPr="00996B84">
              <w:rPr>
                <w:rFonts w:eastAsiaTheme="minorHAnsi"/>
                <w:sz w:val="20"/>
                <w:lang w:val="fr-CA"/>
              </w:rPr>
              <w:t xml:space="preserve">Référence neutre : </w:t>
            </w:r>
            <w:hyperlink r:id="rId46" w:history="1">
              <w:r w:rsidRPr="00392A88">
                <w:rPr>
                  <w:rFonts w:eastAsiaTheme="minorHAnsi"/>
                  <w:color w:val="0000FF" w:themeColor="hyperlink"/>
                  <w:sz w:val="20"/>
                  <w:u w:val="single"/>
                  <w:lang w:val="fr-CA"/>
                </w:rPr>
                <w:t>2015 MBCA 8</w:t>
              </w:r>
            </w:hyperlink>
          </w:p>
          <w:p w:rsidR="00996B84" w:rsidRPr="00996B84" w:rsidRDefault="00996B84" w:rsidP="00996B84">
            <w:pPr>
              <w:jc w:val="both"/>
              <w:rPr>
                <w:rFonts w:eastAsiaTheme="minorHAnsi"/>
                <w:sz w:val="20"/>
                <w:lang w:val="fr-CA"/>
              </w:rPr>
            </w:pPr>
          </w:p>
        </w:tc>
        <w:tc>
          <w:tcPr>
            <w:tcW w:w="270" w:type="pct"/>
          </w:tcPr>
          <w:p w:rsidR="00996B84" w:rsidRPr="00996B84" w:rsidRDefault="00996B84" w:rsidP="00996B84">
            <w:pPr>
              <w:jc w:val="both"/>
              <w:rPr>
                <w:rFonts w:eastAsiaTheme="minorHAnsi"/>
                <w:sz w:val="20"/>
                <w:lang w:val="fr-CA"/>
              </w:rPr>
            </w:pPr>
          </w:p>
        </w:tc>
        <w:tc>
          <w:tcPr>
            <w:tcW w:w="2340" w:type="pct"/>
          </w:tcPr>
          <w:p w:rsidR="00996B84" w:rsidRPr="00996B84" w:rsidRDefault="00996B84" w:rsidP="00996B84">
            <w:pPr>
              <w:jc w:val="both"/>
              <w:rPr>
                <w:rFonts w:eastAsiaTheme="minorHAnsi"/>
                <w:sz w:val="20"/>
                <w:lang w:val="fr-CA"/>
              </w:rPr>
            </w:pPr>
            <w:r w:rsidRPr="00996B84">
              <w:rPr>
                <w:rFonts w:eastAsiaTheme="minorHAnsi"/>
                <w:sz w:val="20"/>
                <w:lang w:val="fr-CA"/>
              </w:rPr>
              <w:t>Rejet de l’appel du demandeur.</w:t>
            </w:r>
          </w:p>
          <w:p w:rsidR="00996B84" w:rsidRPr="00996B84" w:rsidRDefault="00996B84" w:rsidP="00996B84">
            <w:pPr>
              <w:jc w:val="both"/>
              <w:rPr>
                <w:rFonts w:eastAsiaTheme="minorHAnsi"/>
                <w:sz w:val="20"/>
                <w:lang w:val="fr-CA"/>
              </w:rPr>
            </w:pPr>
          </w:p>
        </w:tc>
      </w:tr>
      <w:tr w:rsidR="00996B84" w:rsidRPr="00996B84" w:rsidTr="001F1074">
        <w:tc>
          <w:tcPr>
            <w:tcW w:w="2390" w:type="pct"/>
          </w:tcPr>
          <w:p w:rsidR="00996B84" w:rsidRPr="00996B84" w:rsidRDefault="00996B84" w:rsidP="00996B84">
            <w:pPr>
              <w:jc w:val="both"/>
              <w:rPr>
                <w:rFonts w:eastAsiaTheme="minorHAnsi"/>
                <w:sz w:val="20"/>
                <w:lang w:val="fr-CA"/>
              </w:rPr>
            </w:pPr>
            <w:r w:rsidRPr="00996B84">
              <w:rPr>
                <w:rFonts w:eastAsiaTheme="minorHAnsi"/>
                <w:sz w:val="20"/>
                <w:lang w:val="fr-CA"/>
              </w:rPr>
              <w:lastRenderedPageBreak/>
              <w:t>10 mars 2015</w:t>
            </w:r>
          </w:p>
          <w:p w:rsidR="00996B84" w:rsidRPr="00996B84" w:rsidRDefault="00996B84" w:rsidP="00996B84">
            <w:pPr>
              <w:jc w:val="both"/>
              <w:rPr>
                <w:rFonts w:eastAsiaTheme="minorHAnsi"/>
                <w:sz w:val="20"/>
                <w:lang w:val="fr-CA"/>
              </w:rPr>
            </w:pPr>
            <w:r w:rsidRPr="00996B84">
              <w:rPr>
                <w:rFonts w:eastAsiaTheme="minorHAnsi"/>
                <w:sz w:val="20"/>
                <w:lang w:val="fr-CA"/>
              </w:rPr>
              <w:t>Cour suprême du Canada</w:t>
            </w:r>
          </w:p>
        </w:tc>
        <w:tc>
          <w:tcPr>
            <w:tcW w:w="270" w:type="pct"/>
          </w:tcPr>
          <w:p w:rsidR="00996B84" w:rsidRPr="00996B84" w:rsidRDefault="00996B84" w:rsidP="00996B84">
            <w:pPr>
              <w:jc w:val="both"/>
              <w:rPr>
                <w:rFonts w:eastAsiaTheme="minorHAnsi"/>
                <w:sz w:val="20"/>
                <w:lang w:val="fr-CA"/>
              </w:rPr>
            </w:pPr>
          </w:p>
        </w:tc>
        <w:tc>
          <w:tcPr>
            <w:tcW w:w="2340" w:type="pct"/>
          </w:tcPr>
          <w:p w:rsidR="00996B84" w:rsidRPr="00996B84" w:rsidRDefault="00996B84" w:rsidP="00996B84">
            <w:pPr>
              <w:jc w:val="both"/>
              <w:rPr>
                <w:rFonts w:eastAsiaTheme="minorHAnsi"/>
                <w:sz w:val="20"/>
                <w:lang w:val="fr-CA"/>
              </w:rPr>
            </w:pPr>
            <w:r w:rsidRPr="00996B84">
              <w:rPr>
                <w:rFonts w:eastAsiaTheme="minorHAnsi"/>
                <w:sz w:val="20"/>
                <w:lang w:val="fr-CA"/>
              </w:rPr>
              <w:t>Dépôt de la demande d’autorisation d’appel.</w:t>
            </w:r>
          </w:p>
          <w:p w:rsidR="00996B84" w:rsidRPr="00996B84" w:rsidRDefault="00996B84" w:rsidP="00996B84">
            <w:pPr>
              <w:jc w:val="both"/>
              <w:rPr>
                <w:rFonts w:eastAsiaTheme="minorHAnsi"/>
                <w:sz w:val="20"/>
                <w:lang w:val="fr-CA"/>
              </w:rPr>
            </w:pPr>
          </w:p>
        </w:tc>
      </w:tr>
    </w:tbl>
    <w:p w:rsidR="00996B84" w:rsidRPr="00996B84" w:rsidRDefault="00996B84" w:rsidP="00996B84">
      <w:pPr>
        <w:jc w:val="both"/>
        <w:rPr>
          <w:rFonts w:eastAsiaTheme="minorHAnsi"/>
          <w:sz w:val="20"/>
          <w:lang w:val="fr-CA"/>
        </w:rPr>
      </w:pPr>
    </w:p>
    <w:p w:rsidR="00996B84" w:rsidRPr="00996B84" w:rsidRDefault="00996B84" w:rsidP="00AC1250">
      <w:pPr>
        <w:ind w:left="360" w:hanging="360"/>
        <w:jc w:val="both"/>
        <w:rPr>
          <w:sz w:val="20"/>
          <w:lang w:val="fr-CA"/>
        </w:rPr>
      </w:pPr>
    </w:p>
    <w:p w:rsidR="00996B84" w:rsidRPr="00996B84" w:rsidRDefault="00996B84" w:rsidP="00AC1250">
      <w:pPr>
        <w:ind w:left="360" w:hanging="360"/>
        <w:jc w:val="both"/>
        <w:rPr>
          <w:sz w:val="20"/>
          <w:lang w:val="fr-CA"/>
        </w:rPr>
      </w:pPr>
    </w:p>
    <w:p w:rsidR="00E604A4" w:rsidRPr="00996B84" w:rsidRDefault="00E604A4" w:rsidP="00F6251B">
      <w:pPr>
        <w:widowControl w:val="0"/>
        <w:ind w:left="360" w:hanging="360"/>
        <w:jc w:val="both"/>
        <w:rPr>
          <w:sz w:val="20"/>
          <w:lang w:val="fr-CA"/>
        </w:rPr>
      </w:pPr>
    </w:p>
    <w:p w:rsidR="00D3344A" w:rsidRPr="004B4D42" w:rsidRDefault="00D3344A" w:rsidP="00D3344A">
      <w:pPr>
        <w:widowControl w:val="0"/>
        <w:outlineLvl w:val="0"/>
      </w:pPr>
      <w:r w:rsidRPr="004B4D42">
        <w:t xml:space="preserve">Supreme Court of Canada / Cour suprême du Canada : </w:t>
      </w:r>
    </w:p>
    <w:p w:rsidR="00D3344A" w:rsidRPr="004B4D42" w:rsidRDefault="00F12DF5" w:rsidP="00D3344A">
      <w:pPr>
        <w:widowControl w:val="0"/>
        <w:outlineLvl w:val="0"/>
        <w:rPr>
          <w:u w:val="single"/>
        </w:rPr>
      </w:pPr>
      <w:hyperlink r:id="rId47" w:history="1">
        <w:r w:rsidR="00D3344A" w:rsidRPr="004B4D42">
          <w:rPr>
            <w:rStyle w:val="Hyperlink"/>
          </w:rPr>
          <w:t>comments-commentaires@scc-csc.ca</w:t>
        </w:r>
      </w:hyperlink>
    </w:p>
    <w:p w:rsidR="00D3344A" w:rsidRPr="004B4D42" w:rsidRDefault="0065588C" w:rsidP="00D3344A">
      <w:pPr>
        <w:widowControl w:val="0"/>
        <w:outlineLvl w:val="0"/>
      </w:pPr>
      <w:r w:rsidRPr="004B4D42">
        <w:t>613-</w:t>
      </w:r>
      <w:r w:rsidR="00D3344A" w:rsidRPr="004B4D42">
        <w:t>995-4330</w:t>
      </w:r>
    </w:p>
    <w:p w:rsidR="00497B5E" w:rsidRPr="004B4D42" w:rsidRDefault="00497B5E" w:rsidP="00497B5E">
      <w:pPr>
        <w:widowControl w:val="0"/>
        <w:rPr>
          <w:sz w:val="20"/>
        </w:rPr>
      </w:pPr>
    </w:p>
    <w:p w:rsidR="00F6251B" w:rsidRPr="004B4D42" w:rsidRDefault="003F43E6" w:rsidP="00F6251B">
      <w:pPr>
        <w:pStyle w:val="Footer"/>
        <w:jc w:val="center"/>
      </w:pPr>
      <w:r w:rsidRPr="004B4D42">
        <w:t>- 30 -</w:t>
      </w:r>
    </w:p>
    <w:sectPr w:rsidR="00F6251B" w:rsidRPr="004B4D42" w:rsidSect="00524822">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61D" w:rsidRDefault="008C561D" w:rsidP="0034178A">
      <w:r>
        <w:separator/>
      </w:r>
    </w:p>
  </w:endnote>
  <w:endnote w:type="continuationSeparator" w:id="0">
    <w:p w:rsidR="008C561D" w:rsidRDefault="008C561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1AE" w:rsidRDefault="007D31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61D" w:rsidRPr="00EF33BF" w:rsidRDefault="008C561D" w:rsidP="00EF33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1AE" w:rsidRDefault="007D3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61D" w:rsidRDefault="008C561D" w:rsidP="0034178A">
      <w:r>
        <w:separator/>
      </w:r>
    </w:p>
  </w:footnote>
  <w:footnote w:type="continuationSeparator" w:id="0">
    <w:p w:rsidR="008C561D" w:rsidRDefault="008C561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1AE" w:rsidRDefault="007D31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1AE" w:rsidRDefault="007D31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1AE" w:rsidRDefault="007D31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5793"/>
    <w:multiLevelType w:val="hybridMultilevel"/>
    <w:tmpl w:val="DFC2B522"/>
    <w:lvl w:ilvl="0" w:tplc="36A60876">
      <w:start w:val="3"/>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20573"/>
    <w:multiLevelType w:val="hybridMultilevel"/>
    <w:tmpl w:val="66C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43266"/>
    <w:multiLevelType w:val="hybridMultilevel"/>
    <w:tmpl w:val="4936FF92"/>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8F26BE"/>
    <w:multiLevelType w:val="hybridMultilevel"/>
    <w:tmpl w:val="8BEA1A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F02563"/>
    <w:multiLevelType w:val="hybridMultilevel"/>
    <w:tmpl w:val="2C52A452"/>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7" w15:restartNumberingAfterBreak="0">
    <w:nsid w:val="1F2B643E"/>
    <w:multiLevelType w:val="hybridMultilevel"/>
    <w:tmpl w:val="E1D8A0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CF18E7"/>
    <w:multiLevelType w:val="hybridMultilevel"/>
    <w:tmpl w:val="309AF5B6"/>
    <w:lvl w:ilvl="0" w:tplc="063ED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7544C"/>
    <w:multiLevelType w:val="hybridMultilevel"/>
    <w:tmpl w:val="C56AFA52"/>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0" w15:restartNumberingAfterBreak="0">
    <w:nsid w:val="285A46AA"/>
    <w:multiLevelType w:val="hybridMultilevel"/>
    <w:tmpl w:val="331E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71713"/>
    <w:multiLevelType w:val="hybridMultilevel"/>
    <w:tmpl w:val="309E858E"/>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3" w15:restartNumberingAfterBreak="0">
    <w:nsid w:val="307A74D3"/>
    <w:multiLevelType w:val="hybridMultilevel"/>
    <w:tmpl w:val="21D08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73E63"/>
    <w:multiLevelType w:val="hybridMultilevel"/>
    <w:tmpl w:val="FBE637DC"/>
    <w:lvl w:ilvl="0" w:tplc="825476A0">
      <w:start w:val="4"/>
      <w:numFmt w:val="decimal"/>
      <w:lvlText w:val="%1."/>
      <w:lvlJc w:val="left"/>
      <w:pPr>
        <w:ind w:left="720" w:hanging="360"/>
      </w:pPr>
      <w:rPr>
        <w:b w:val="0"/>
        <w:i w:val="0"/>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5" w15:restartNumberingAfterBreak="0">
    <w:nsid w:val="38834196"/>
    <w:multiLevelType w:val="hybridMultilevel"/>
    <w:tmpl w:val="ABDC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EC0E6C"/>
    <w:multiLevelType w:val="hybridMultilevel"/>
    <w:tmpl w:val="9BF209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D84E16"/>
    <w:multiLevelType w:val="hybridMultilevel"/>
    <w:tmpl w:val="CE74C9E6"/>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0"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F3F06"/>
    <w:multiLevelType w:val="hybridMultilevel"/>
    <w:tmpl w:val="072A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F777B0"/>
    <w:multiLevelType w:val="hybridMultilevel"/>
    <w:tmpl w:val="FB28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B45790"/>
    <w:multiLevelType w:val="hybridMultilevel"/>
    <w:tmpl w:val="44C6ABA0"/>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4"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AA1552"/>
    <w:multiLevelType w:val="hybridMultilevel"/>
    <w:tmpl w:val="5C602ED8"/>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21"/>
  </w:num>
  <w:num w:numId="2">
    <w:abstractNumId w:val="17"/>
  </w:num>
  <w:num w:numId="3">
    <w:abstractNumId w:val="5"/>
  </w:num>
  <w:num w:numId="4">
    <w:abstractNumId w:val="7"/>
  </w:num>
  <w:num w:numId="5">
    <w:abstractNumId w:val="2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1"/>
  </w:num>
  <w:num w:numId="10">
    <w:abstractNumId w:val="22"/>
  </w:num>
  <w:num w:numId="11">
    <w:abstractNumId w:val="16"/>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num>
  <w:num w:numId="17">
    <w:abstractNumId w:val="8"/>
  </w:num>
  <w:num w:numId="18">
    <w:abstractNumId w:val="1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3"/>
  </w:num>
  <w:num w:numId="28">
    <w:abstractNumId w:val="4"/>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2A5C41"/>
    <w:rsid w:val="00001846"/>
    <w:rsid w:val="000018E3"/>
    <w:rsid w:val="00003A2D"/>
    <w:rsid w:val="000043C3"/>
    <w:rsid w:val="000128A2"/>
    <w:rsid w:val="000136CC"/>
    <w:rsid w:val="0001374A"/>
    <w:rsid w:val="00014C19"/>
    <w:rsid w:val="000164DB"/>
    <w:rsid w:val="00016D65"/>
    <w:rsid w:val="00016D95"/>
    <w:rsid w:val="00020797"/>
    <w:rsid w:val="00020816"/>
    <w:rsid w:val="00020DAE"/>
    <w:rsid w:val="0002267C"/>
    <w:rsid w:val="00024962"/>
    <w:rsid w:val="000276EE"/>
    <w:rsid w:val="00033257"/>
    <w:rsid w:val="00033D1E"/>
    <w:rsid w:val="00033D28"/>
    <w:rsid w:val="0003496D"/>
    <w:rsid w:val="00034A7F"/>
    <w:rsid w:val="00035790"/>
    <w:rsid w:val="00041B58"/>
    <w:rsid w:val="00042069"/>
    <w:rsid w:val="00042390"/>
    <w:rsid w:val="0004298B"/>
    <w:rsid w:val="00043FDE"/>
    <w:rsid w:val="000467DE"/>
    <w:rsid w:val="00046CB2"/>
    <w:rsid w:val="00047CD6"/>
    <w:rsid w:val="00051DE6"/>
    <w:rsid w:val="00054F8E"/>
    <w:rsid w:val="000577D9"/>
    <w:rsid w:val="00061283"/>
    <w:rsid w:val="000627A2"/>
    <w:rsid w:val="0006417A"/>
    <w:rsid w:val="00065F8F"/>
    <w:rsid w:val="00066B80"/>
    <w:rsid w:val="00067F50"/>
    <w:rsid w:val="00070830"/>
    <w:rsid w:val="00077E16"/>
    <w:rsid w:val="000809B3"/>
    <w:rsid w:val="00080EAB"/>
    <w:rsid w:val="00082444"/>
    <w:rsid w:val="000825A5"/>
    <w:rsid w:val="00082D8D"/>
    <w:rsid w:val="0008327A"/>
    <w:rsid w:val="000843DB"/>
    <w:rsid w:val="00085D13"/>
    <w:rsid w:val="00086629"/>
    <w:rsid w:val="00087808"/>
    <w:rsid w:val="00095627"/>
    <w:rsid w:val="000A0444"/>
    <w:rsid w:val="000A245A"/>
    <w:rsid w:val="000A4311"/>
    <w:rsid w:val="000A50F9"/>
    <w:rsid w:val="000A6C60"/>
    <w:rsid w:val="000A78FC"/>
    <w:rsid w:val="000A7C00"/>
    <w:rsid w:val="000B07FB"/>
    <w:rsid w:val="000B163F"/>
    <w:rsid w:val="000B46A2"/>
    <w:rsid w:val="000B7258"/>
    <w:rsid w:val="000B754A"/>
    <w:rsid w:val="000B76DB"/>
    <w:rsid w:val="000B7CBE"/>
    <w:rsid w:val="000B7EF2"/>
    <w:rsid w:val="000C02C5"/>
    <w:rsid w:val="000C0E20"/>
    <w:rsid w:val="000C182C"/>
    <w:rsid w:val="000C18B8"/>
    <w:rsid w:val="000C236F"/>
    <w:rsid w:val="000C3667"/>
    <w:rsid w:val="000C41A6"/>
    <w:rsid w:val="000C4781"/>
    <w:rsid w:val="000C572E"/>
    <w:rsid w:val="000C61C7"/>
    <w:rsid w:val="000C6AA2"/>
    <w:rsid w:val="000C7BD5"/>
    <w:rsid w:val="000D1DDF"/>
    <w:rsid w:val="000D262B"/>
    <w:rsid w:val="000D2F5C"/>
    <w:rsid w:val="000D3129"/>
    <w:rsid w:val="000D4BBF"/>
    <w:rsid w:val="000D6FB8"/>
    <w:rsid w:val="000E1FB7"/>
    <w:rsid w:val="000E3195"/>
    <w:rsid w:val="000E35CD"/>
    <w:rsid w:val="000E4F1E"/>
    <w:rsid w:val="000E50F2"/>
    <w:rsid w:val="000E514D"/>
    <w:rsid w:val="000E51E9"/>
    <w:rsid w:val="000E5407"/>
    <w:rsid w:val="000F0595"/>
    <w:rsid w:val="000F3118"/>
    <w:rsid w:val="000F3522"/>
    <w:rsid w:val="000F4C35"/>
    <w:rsid w:val="000F525E"/>
    <w:rsid w:val="000F5511"/>
    <w:rsid w:val="00100C1C"/>
    <w:rsid w:val="00100CEE"/>
    <w:rsid w:val="001017D1"/>
    <w:rsid w:val="00101E4B"/>
    <w:rsid w:val="00102F8F"/>
    <w:rsid w:val="001033B2"/>
    <w:rsid w:val="00105612"/>
    <w:rsid w:val="001068F5"/>
    <w:rsid w:val="00107219"/>
    <w:rsid w:val="00107DAF"/>
    <w:rsid w:val="00110FE1"/>
    <w:rsid w:val="001147A4"/>
    <w:rsid w:val="001170C6"/>
    <w:rsid w:val="00117137"/>
    <w:rsid w:val="00117AF3"/>
    <w:rsid w:val="001200D6"/>
    <w:rsid w:val="00120360"/>
    <w:rsid w:val="00120CA0"/>
    <w:rsid w:val="0012101A"/>
    <w:rsid w:val="0012202C"/>
    <w:rsid w:val="00123976"/>
    <w:rsid w:val="00124DEC"/>
    <w:rsid w:val="001262EF"/>
    <w:rsid w:val="0013159F"/>
    <w:rsid w:val="00131EB1"/>
    <w:rsid w:val="00132635"/>
    <w:rsid w:val="00134190"/>
    <w:rsid w:val="001354E7"/>
    <w:rsid w:val="00136710"/>
    <w:rsid w:val="00140982"/>
    <w:rsid w:val="00141200"/>
    <w:rsid w:val="0014243F"/>
    <w:rsid w:val="0014294E"/>
    <w:rsid w:val="00142C72"/>
    <w:rsid w:val="001432DF"/>
    <w:rsid w:val="00143519"/>
    <w:rsid w:val="00144111"/>
    <w:rsid w:val="00144A29"/>
    <w:rsid w:val="00147BE4"/>
    <w:rsid w:val="00147DE3"/>
    <w:rsid w:val="00150453"/>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6790"/>
    <w:rsid w:val="00176D8B"/>
    <w:rsid w:val="00181375"/>
    <w:rsid w:val="001813C3"/>
    <w:rsid w:val="00182705"/>
    <w:rsid w:val="001838E0"/>
    <w:rsid w:val="00183A15"/>
    <w:rsid w:val="00185355"/>
    <w:rsid w:val="001866BF"/>
    <w:rsid w:val="00186884"/>
    <w:rsid w:val="0019000C"/>
    <w:rsid w:val="0019030D"/>
    <w:rsid w:val="0019092C"/>
    <w:rsid w:val="00190C7A"/>
    <w:rsid w:val="00190F7F"/>
    <w:rsid w:val="001947C1"/>
    <w:rsid w:val="00194F2A"/>
    <w:rsid w:val="0019508F"/>
    <w:rsid w:val="001A06DE"/>
    <w:rsid w:val="001A08FF"/>
    <w:rsid w:val="001A1AE7"/>
    <w:rsid w:val="001A2314"/>
    <w:rsid w:val="001A3100"/>
    <w:rsid w:val="001A3AA1"/>
    <w:rsid w:val="001A4547"/>
    <w:rsid w:val="001A48FB"/>
    <w:rsid w:val="001A4C89"/>
    <w:rsid w:val="001A562F"/>
    <w:rsid w:val="001A646C"/>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235D"/>
    <w:rsid w:val="001D2555"/>
    <w:rsid w:val="001D337C"/>
    <w:rsid w:val="001D65C6"/>
    <w:rsid w:val="001E3BCD"/>
    <w:rsid w:val="001F1074"/>
    <w:rsid w:val="001F27B1"/>
    <w:rsid w:val="001F5B11"/>
    <w:rsid w:val="00200F31"/>
    <w:rsid w:val="0020221F"/>
    <w:rsid w:val="00203AEA"/>
    <w:rsid w:val="00205051"/>
    <w:rsid w:val="0020794A"/>
    <w:rsid w:val="00207A23"/>
    <w:rsid w:val="00207C7F"/>
    <w:rsid w:val="00210B48"/>
    <w:rsid w:val="0021175A"/>
    <w:rsid w:val="002120BD"/>
    <w:rsid w:val="00212962"/>
    <w:rsid w:val="00217135"/>
    <w:rsid w:val="0022132D"/>
    <w:rsid w:val="00221D16"/>
    <w:rsid w:val="00222CAE"/>
    <w:rsid w:val="00223622"/>
    <w:rsid w:val="00223B83"/>
    <w:rsid w:val="00225A53"/>
    <w:rsid w:val="002262C4"/>
    <w:rsid w:val="002264F4"/>
    <w:rsid w:val="00227A81"/>
    <w:rsid w:val="00231427"/>
    <w:rsid w:val="00231B27"/>
    <w:rsid w:val="00233057"/>
    <w:rsid w:val="00234A3D"/>
    <w:rsid w:val="00235ACB"/>
    <w:rsid w:val="00236EEA"/>
    <w:rsid w:val="002407C6"/>
    <w:rsid w:val="00241714"/>
    <w:rsid w:val="00244CDD"/>
    <w:rsid w:val="00245D73"/>
    <w:rsid w:val="00250F72"/>
    <w:rsid w:val="002514CA"/>
    <w:rsid w:val="00252FDB"/>
    <w:rsid w:val="002567CD"/>
    <w:rsid w:val="00257322"/>
    <w:rsid w:val="002613AC"/>
    <w:rsid w:val="00261D3C"/>
    <w:rsid w:val="00262C42"/>
    <w:rsid w:val="0026349D"/>
    <w:rsid w:val="00266E0E"/>
    <w:rsid w:val="00266FD4"/>
    <w:rsid w:val="002671CC"/>
    <w:rsid w:val="002676FA"/>
    <w:rsid w:val="002709E7"/>
    <w:rsid w:val="0027369C"/>
    <w:rsid w:val="00274B8F"/>
    <w:rsid w:val="00276C42"/>
    <w:rsid w:val="00280E55"/>
    <w:rsid w:val="00282FEC"/>
    <w:rsid w:val="00282FF3"/>
    <w:rsid w:val="0028364E"/>
    <w:rsid w:val="002848CB"/>
    <w:rsid w:val="002858BA"/>
    <w:rsid w:val="0028661B"/>
    <w:rsid w:val="0028686B"/>
    <w:rsid w:val="0029235D"/>
    <w:rsid w:val="00292574"/>
    <w:rsid w:val="0029396A"/>
    <w:rsid w:val="002A0621"/>
    <w:rsid w:val="002A17E0"/>
    <w:rsid w:val="002A4823"/>
    <w:rsid w:val="002A5245"/>
    <w:rsid w:val="002A55D1"/>
    <w:rsid w:val="002A5C41"/>
    <w:rsid w:val="002A6EA4"/>
    <w:rsid w:val="002A7E9D"/>
    <w:rsid w:val="002B15AC"/>
    <w:rsid w:val="002B36C3"/>
    <w:rsid w:val="002B5525"/>
    <w:rsid w:val="002B5A2E"/>
    <w:rsid w:val="002B5A4B"/>
    <w:rsid w:val="002C10D1"/>
    <w:rsid w:val="002C239C"/>
    <w:rsid w:val="002C3A5F"/>
    <w:rsid w:val="002C5754"/>
    <w:rsid w:val="002D0C49"/>
    <w:rsid w:val="002D2553"/>
    <w:rsid w:val="002D43A1"/>
    <w:rsid w:val="002D63D6"/>
    <w:rsid w:val="002D6680"/>
    <w:rsid w:val="002E00CC"/>
    <w:rsid w:val="002E0473"/>
    <w:rsid w:val="002E1AF1"/>
    <w:rsid w:val="002E3911"/>
    <w:rsid w:val="002F06D0"/>
    <w:rsid w:val="002F2CF2"/>
    <w:rsid w:val="002F3830"/>
    <w:rsid w:val="002F38D7"/>
    <w:rsid w:val="002F4929"/>
    <w:rsid w:val="002F5989"/>
    <w:rsid w:val="002F7DDE"/>
    <w:rsid w:val="002F7E97"/>
    <w:rsid w:val="003012A2"/>
    <w:rsid w:val="00313652"/>
    <w:rsid w:val="0031376D"/>
    <w:rsid w:val="003151B5"/>
    <w:rsid w:val="00315AF8"/>
    <w:rsid w:val="003175F3"/>
    <w:rsid w:val="00317835"/>
    <w:rsid w:val="00317C72"/>
    <w:rsid w:val="003235CC"/>
    <w:rsid w:val="00325668"/>
    <w:rsid w:val="00325823"/>
    <w:rsid w:val="0032752E"/>
    <w:rsid w:val="0033097A"/>
    <w:rsid w:val="00330DCC"/>
    <w:rsid w:val="003310D4"/>
    <w:rsid w:val="0033241A"/>
    <w:rsid w:val="00332627"/>
    <w:rsid w:val="00332F1F"/>
    <w:rsid w:val="0033535C"/>
    <w:rsid w:val="0033625F"/>
    <w:rsid w:val="003379DC"/>
    <w:rsid w:val="00340D7B"/>
    <w:rsid w:val="00341556"/>
    <w:rsid w:val="0034178A"/>
    <w:rsid w:val="003429E0"/>
    <w:rsid w:val="00343A3B"/>
    <w:rsid w:val="00343C1E"/>
    <w:rsid w:val="003441F0"/>
    <w:rsid w:val="003509E6"/>
    <w:rsid w:val="00351946"/>
    <w:rsid w:val="0035210E"/>
    <w:rsid w:val="003521FD"/>
    <w:rsid w:val="00352802"/>
    <w:rsid w:val="00353085"/>
    <w:rsid w:val="003535EF"/>
    <w:rsid w:val="0035515E"/>
    <w:rsid w:val="00357828"/>
    <w:rsid w:val="00357895"/>
    <w:rsid w:val="00357B15"/>
    <w:rsid w:val="00360FCE"/>
    <w:rsid w:val="00362E82"/>
    <w:rsid w:val="00364001"/>
    <w:rsid w:val="00365DC3"/>
    <w:rsid w:val="0036633C"/>
    <w:rsid w:val="0036763E"/>
    <w:rsid w:val="0037013D"/>
    <w:rsid w:val="00370DA4"/>
    <w:rsid w:val="003710CD"/>
    <w:rsid w:val="00372FAD"/>
    <w:rsid w:val="00372FD5"/>
    <w:rsid w:val="0037633B"/>
    <w:rsid w:val="00376958"/>
    <w:rsid w:val="00376C1A"/>
    <w:rsid w:val="0037769F"/>
    <w:rsid w:val="0037792A"/>
    <w:rsid w:val="00377C17"/>
    <w:rsid w:val="00377C46"/>
    <w:rsid w:val="0038431A"/>
    <w:rsid w:val="0038547C"/>
    <w:rsid w:val="00385A88"/>
    <w:rsid w:val="00387900"/>
    <w:rsid w:val="00387AF8"/>
    <w:rsid w:val="00390065"/>
    <w:rsid w:val="00390A1E"/>
    <w:rsid w:val="00392A88"/>
    <w:rsid w:val="00393660"/>
    <w:rsid w:val="003940A4"/>
    <w:rsid w:val="003957B6"/>
    <w:rsid w:val="003958AE"/>
    <w:rsid w:val="00395D43"/>
    <w:rsid w:val="0039618A"/>
    <w:rsid w:val="0039624A"/>
    <w:rsid w:val="0039709D"/>
    <w:rsid w:val="00397213"/>
    <w:rsid w:val="003A00C9"/>
    <w:rsid w:val="003A0258"/>
    <w:rsid w:val="003A11C4"/>
    <w:rsid w:val="003A1F69"/>
    <w:rsid w:val="003A58BA"/>
    <w:rsid w:val="003B00B8"/>
    <w:rsid w:val="003B0718"/>
    <w:rsid w:val="003B1455"/>
    <w:rsid w:val="003B1639"/>
    <w:rsid w:val="003B2AC6"/>
    <w:rsid w:val="003B2F30"/>
    <w:rsid w:val="003B34C2"/>
    <w:rsid w:val="003B39D7"/>
    <w:rsid w:val="003B4B2E"/>
    <w:rsid w:val="003B61F0"/>
    <w:rsid w:val="003B64B3"/>
    <w:rsid w:val="003B693A"/>
    <w:rsid w:val="003B6E18"/>
    <w:rsid w:val="003B7053"/>
    <w:rsid w:val="003C0C25"/>
    <w:rsid w:val="003C2D62"/>
    <w:rsid w:val="003C5F5E"/>
    <w:rsid w:val="003C5FC2"/>
    <w:rsid w:val="003C6BB7"/>
    <w:rsid w:val="003D0A88"/>
    <w:rsid w:val="003D27BD"/>
    <w:rsid w:val="003E29B3"/>
    <w:rsid w:val="003E3957"/>
    <w:rsid w:val="003E7F59"/>
    <w:rsid w:val="003F1E6F"/>
    <w:rsid w:val="003F1F9E"/>
    <w:rsid w:val="003F3BC1"/>
    <w:rsid w:val="003F43E6"/>
    <w:rsid w:val="003F4894"/>
    <w:rsid w:val="004000BE"/>
    <w:rsid w:val="004026BA"/>
    <w:rsid w:val="00403038"/>
    <w:rsid w:val="0040709C"/>
    <w:rsid w:val="004116DA"/>
    <w:rsid w:val="004117D6"/>
    <w:rsid w:val="00411834"/>
    <w:rsid w:val="00412A23"/>
    <w:rsid w:val="004149DA"/>
    <w:rsid w:val="00415755"/>
    <w:rsid w:val="00420841"/>
    <w:rsid w:val="00423732"/>
    <w:rsid w:val="00425B31"/>
    <w:rsid w:val="00426976"/>
    <w:rsid w:val="00427722"/>
    <w:rsid w:val="00427F4F"/>
    <w:rsid w:val="00431779"/>
    <w:rsid w:val="00431A2A"/>
    <w:rsid w:val="00433C3E"/>
    <w:rsid w:val="00440246"/>
    <w:rsid w:val="00441CF2"/>
    <w:rsid w:val="00444072"/>
    <w:rsid w:val="00446BAE"/>
    <w:rsid w:val="0045044A"/>
    <w:rsid w:val="004511AB"/>
    <w:rsid w:val="0045235F"/>
    <w:rsid w:val="004533F1"/>
    <w:rsid w:val="00453797"/>
    <w:rsid w:val="00453ABE"/>
    <w:rsid w:val="004542A8"/>
    <w:rsid w:val="004576E8"/>
    <w:rsid w:val="00460794"/>
    <w:rsid w:val="00463A9F"/>
    <w:rsid w:val="00463CEF"/>
    <w:rsid w:val="00463DEF"/>
    <w:rsid w:val="00464FEE"/>
    <w:rsid w:val="004672B7"/>
    <w:rsid w:val="00467391"/>
    <w:rsid w:val="004706A0"/>
    <w:rsid w:val="00472190"/>
    <w:rsid w:val="004724BF"/>
    <w:rsid w:val="00472695"/>
    <w:rsid w:val="00474D9B"/>
    <w:rsid w:val="004775E8"/>
    <w:rsid w:val="00481888"/>
    <w:rsid w:val="0048370B"/>
    <w:rsid w:val="00487EBC"/>
    <w:rsid w:val="00490DDC"/>
    <w:rsid w:val="00491D56"/>
    <w:rsid w:val="00491D60"/>
    <w:rsid w:val="00494CD1"/>
    <w:rsid w:val="004957BA"/>
    <w:rsid w:val="004963CC"/>
    <w:rsid w:val="004970C9"/>
    <w:rsid w:val="00497B5E"/>
    <w:rsid w:val="004A224A"/>
    <w:rsid w:val="004A28DD"/>
    <w:rsid w:val="004A3074"/>
    <w:rsid w:val="004A570E"/>
    <w:rsid w:val="004A59B2"/>
    <w:rsid w:val="004A7CEC"/>
    <w:rsid w:val="004B06E1"/>
    <w:rsid w:val="004B129A"/>
    <w:rsid w:val="004B31C7"/>
    <w:rsid w:val="004B4BDC"/>
    <w:rsid w:val="004B4D42"/>
    <w:rsid w:val="004B7E3E"/>
    <w:rsid w:val="004C0544"/>
    <w:rsid w:val="004C07ED"/>
    <w:rsid w:val="004C2585"/>
    <w:rsid w:val="004C281D"/>
    <w:rsid w:val="004C2E9D"/>
    <w:rsid w:val="004C4513"/>
    <w:rsid w:val="004C5A9B"/>
    <w:rsid w:val="004C7FC6"/>
    <w:rsid w:val="004D25B5"/>
    <w:rsid w:val="004E00B4"/>
    <w:rsid w:val="004E0963"/>
    <w:rsid w:val="004E0B2F"/>
    <w:rsid w:val="004E1B3F"/>
    <w:rsid w:val="004F000D"/>
    <w:rsid w:val="004F0EC9"/>
    <w:rsid w:val="004F27DD"/>
    <w:rsid w:val="004F40AB"/>
    <w:rsid w:val="0050050B"/>
    <w:rsid w:val="0050132A"/>
    <w:rsid w:val="00502F3E"/>
    <w:rsid w:val="00503196"/>
    <w:rsid w:val="00503ADE"/>
    <w:rsid w:val="00504706"/>
    <w:rsid w:val="0050674F"/>
    <w:rsid w:val="00506A2E"/>
    <w:rsid w:val="00510BE0"/>
    <w:rsid w:val="00510C5C"/>
    <w:rsid w:val="00511E62"/>
    <w:rsid w:val="005208AC"/>
    <w:rsid w:val="00520B14"/>
    <w:rsid w:val="00521DC2"/>
    <w:rsid w:val="00521EFA"/>
    <w:rsid w:val="00523A16"/>
    <w:rsid w:val="00523D2D"/>
    <w:rsid w:val="00524822"/>
    <w:rsid w:val="005256DB"/>
    <w:rsid w:val="00525B79"/>
    <w:rsid w:val="005264A5"/>
    <w:rsid w:val="00526D01"/>
    <w:rsid w:val="00532EB0"/>
    <w:rsid w:val="00533CD5"/>
    <w:rsid w:val="00534871"/>
    <w:rsid w:val="00535069"/>
    <w:rsid w:val="00535A60"/>
    <w:rsid w:val="005372AF"/>
    <w:rsid w:val="00540D5C"/>
    <w:rsid w:val="00541FF9"/>
    <w:rsid w:val="00544481"/>
    <w:rsid w:val="0054689F"/>
    <w:rsid w:val="00546DAD"/>
    <w:rsid w:val="005542A1"/>
    <w:rsid w:val="00555A0C"/>
    <w:rsid w:val="00555A17"/>
    <w:rsid w:val="00555EC7"/>
    <w:rsid w:val="00557DCC"/>
    <w:rsid w:val="00561169"/>
    <w:rsid w:val="005617DA"/>
    <w:rsid w:val="00561B18"/>
    <w:rsid w:val="0056339B"/>
    <w:rsid w:val="00566C79"/>
    <w:rsid w:val="00570169"/>
    <w:rsid w:val="00571FF4"/>
    <w:rsid w:val="005812EF"/>
    <w:rsid w:val="0058351E"/>
    <w:rsid w:val="00587914"/>
    <w:rsid w:val="005925EC"/>
    <w:rsid w:val="0059611F"/>
    <w:rsid w:val="005964F5"/>
    <w:rsid w:val="00597224"/>
    <w:rsid w:val="005A1B7D"/>
    <w:rsid w:val="005A3592"/>
    <w:rsid w:val="005A4082"/>
    <w:rsid w:val="005B0AAB"/>
    <w:rsid w:val="005B4EB8"/>
    <w:rsid w:val="005B5497"/>
    <w:rsid w:val="005B5790"/>
    <w:rsid w:val="005B5E9D"/>
    <w:rsid w:val="005B6F1B"/>
    <w:rsid w:val="005B711B"/>
    <w:rsid w:val="005C196C"/>
    <w:rsid w:val="005C2CA2"/>
    <w:rsid w:val="005C3064"/>
    <w:rsid w:val="005C3191"/>
    <w:rsid w:val="005C3C86"/>
    <w:rsid w:val="005C725E"/>
    <w:rsid w:val="005C7BBF"/>
    <w:rsid w:val="005D019B"/>
    <w:rsid w:val="005D3069"/>
    <w:rsid w:val="005D3730"/>
    <w:rsid w:val="005D3BD1"/>
    <w:rsid w:val="005E2F89"/>
    <w:rsid w:val="005E4E13"/>
    <w:rsid w:val="005E5730"/>
    <w:rsid w:val="005E73A1"/>
    <w:rsid w:val="005F4197"/>
    <w:rsid w:val="005F4C67"/>
    <w:rsid w:val="005F5163"/>
    <w:rsid w:val="005F52C6"/>
    <w:rsid w:val="006067DB"/>
    <w:rsid w:val="006073F9"/>
    <w:rsid w:val="00607F86"/>
    <w:rsid w:val="00610BC0"/>
    <w:rsid w:val="0061157C"/>
    <w:rsid w:val="0061282A"/>
    <w:rsid w:val="006131E5"/>
    <w:rsid w:val="006132AE"/>
    <w:rsid w:val="006167B8"/>
    <w:rsid w:val="00617C22"/>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C9C"/>
    <w:rsid w:val="00642EB3"/>
    <w:rsid w:val="006441AD"/>
    <w:rsid w:val="006442C8"/>
    <w:rsid w:val="00654B60"/>
    <w:rsid w:val="00655090"/>
    <w:rsid w:val="0065588C"/>
    <w:rsid w:val="0066366C"/>
    <w:rsid w:val="006648D1"/>
    <w:rsid w:val="00664E1D"/>
    <w:rsid w:val="00666BA1"/>
    <w:rsid w:val="00667D20"/>
    <w:rsid w:val="006700CB"/>
    <w:rsid w:val="00670428"/>
    <w:rsid w:val="006708BC"/>
    <w:rsid w:val="006721DF"/>
    <w:rsid w:val="00672A20"/>
    <w:rsid w:val="00674808"/>
    <w:rsid w:val="00674CE6"/>
    <w:rsid w:val="00676BB6"/>
    <w:rsid w:val="00677279"/>
    <w:rsid w:val="00677979"/>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A09A4"/>
    <w:rsid w:val="006A21CC"/>
    <w:rsid w:val="006A3856"/>
    <w:rsid w:val="006A438F"/>
    <w:rsid w:val="006A503A"/>
    <w:rsid w:val="006A7FA7"/>
    <w:rsid w:val="006B1C34"/>
    <w:rsid w:val="006B293F"/>
    <w:rsid w:val="006B35F3"/>
    <w:rsid w:val="006B40C1"/>
    <w:rsid w:val="006B6A20"/>
    <w:rsid w:val="006C1EDD"/>
    <w:rsid w:val="006C2F5C"/>
    <w:rsid w:val="006C4010"/>
    <w:rsid w:val="006C477E"/>
    <w:rsid w:val="006C6D7A"/>
    <w:rsid w:val="006D0F19"/>
    <w:rsid w:val="006D2B2B"/>
    <w:rsid w:val="006D3FB0"/>
    <w:rsid w:val="006D443D"/>
    <w:rsid w:val="006D614A"/>
    <w:rsid w:val="006D6B5E"/>
    <w:rsid w:val="006D6CA1"/>
    <w:rsid w:val="006D7DA7"/>
    <w:rsid w:val="006E27D1"/>
    <w:rsid w:val="006E4462"/>
    <w:rsid w:val="006E465C"/>
    <w:rsid w:val="006E4B08"/>
    <w:rsid w:val="006E4EB7"/>
    <w:rsid w:val="006E7F81"/>
    <w:rsid w:val="006F1443"/>
    <w:rsid w:val="006F2579"/>
    <w:rsid w:val="006F2887"/>
    <w:rsid w:val="006F7EB1"/>
    <w:rsid w:val="00700AD5"/>
    <w:rsid w:val="00702D4F"/>
    <w:rsid w:val="00703D5F"/>
    <w:rsid w:val="007045FC"/>
    <w:rsid w:val="0070488F"/>
    <w:rsid w:val="00704CDE"/>
    <w:rsid w:val="0070582E"/>
    <w:rsid w:val="007073E2"/>
    <w:rsid w:val="00710713"/>
    <w:rsid w:val="007123C3"/>
    <w:rsid w:val="007130F7"/>
    <w:rsid w:val="00714183"/>
    <w:rsid w:val="00721EC2"/>
    <w:rsid w:val="007226F3"/>
    <w:rsid w:val="0072344E"/>
    <w:rsid w:val="007240C3"/>
    <w:rsid w:val="007243CC"/>
    <w:rsid w:val="007301CB"/>
    <w:rsid w:val="00731957"/>
    <w:rsid w:val="00733EF3"/>
    <w:rsid w:val="007356BB"/>
    <w:rsid w:val="00735BED"/>
    <w:rsid w:val="0073666D"/>
    <w:rsid w:val="0073669E"/>
    <w:rsid w:val="0073707B"/>
    <w:rsid w:val="00737C67"/>
    <w:rsid w:val="00737D1D"/>
    <w:rsid w:val="00737F76"/>
    <w:rsid w:val="00741002"/>
    <w:rsid w:val="00741637"/>
    <w:rsid w:val="007418D4"/>
    <w:rsid w:val="00742121"/>
    <w:rsid w:val="00744F24"/>
    <w:rsid w:val="00746472"/>
    <w:rsid w:val="00747C5A"/>
    <w:rsid w:val="00751DE7"/>
    <w:rsid w:val="00752CE8"/>
    <w:rsid w:val="00760A78"/>
    <w:rsid w:val="00764725"/>
    <w:rsid w:val="00764B6B"/>
    <w:rsid w:val="00764F0C"/>
    <w:rsid w:val="00766432"/>
    <w:rsid w:val="00766983"/>
    <w:rsid w:val="00767A28"/>
    <w:rsid w:val="007712C3"/>
    <w:rsid w:val="007736D0"/>
    <w:rsid w:val="007758CF"/>
    <w:rsid w:val="00775FEC"/>
    <w:rsid w:val="00776317"/>
    <w:rsid w:val="00776D06"/>
    <w:rsid w:val="007810BC"/>
    <w:rsid w:val="00781EB4"/>
    <w:rsid w:val="007823D7"/>
    <w:rsid w:val="00782E96"/>
    <w:rsid w:val="00785A39"/>
    <w:rsid w:val="0078776F"/>
    <w:rsid w:val="007900EA"/>
    <w:rsid w:val="007918A1"/>
    <w:rsid w:val="00795FC0"/>
    <w:rsid w:val="007975AC"/>
    <w:rsid w:val="007A10D6"/>
    <w:rsid w:val="007A12A7"/>
    <w:rsid w:val="007A14FC"/>
    <w:rsid w:val="007A4A3D"/>
    <w:rsid w:val="007A5A11"/>
    <w:rsid w:val="007A6F16"/>
    <w:rsid w:val="007A7B6E"/>
    <w:rsid w:val="007A7F7F"/>
    <w:rsid w:val="007A7FD6"/>
    <w:rsid w:val="007B09DF"/>
    <w:rsid w:val="007B300E"/>
    <w:rsid w:val="007B567F"/>
    <w:rsid w:val="007B57E8"/>
    <w:rsid w:val="007B65D4"/>
    <w:rsid w:val="007B67FE"/>
    <w:rsid w:val="007B7B2B"/>
    <w:rsid w:val="007B7B34"/>
    <w:rsid w:val="007C5323"/>
    <w:rsid w:val="007C6187"/>
    <w:rsid w:val="007C67EE"/>
    <w:rsid w:val="007C7A8C"/>
    <w:rsid w:val="007D05C7"/>
    <w:rsid w:val="007D07F8"/>
    <w:rsid w:val="007D1707"/>
    <w:rsid w:val="007D24AB"/>
    <w:rsid w:val="007D31AE"/>
    <w:rsid w:val="007D3405"/>
    <w:rsid w:val="007D41C2"/>
    <w:rsid w:val="007D42D5"/>
    <w:rsid w:val="007D4BFC"/>
    <w:rsid w:val="007D6193"/>
    <w:rsid w:val="007D6B1C"/>
    <w:rsid w:val="007E1C60"/>
    <w:rsid w:val="007E5486"/>
    <w:rsid w:val="007E6196"/>
    <w:rsid w:val="007E6656"/>
    <w:rsid w:val="007E70BF"/>
    <w:rsid w:val="007E735A"/>
    <w:rsid w:val="007F0085"/>
    <w:rsid w:val="007F0F01"/>
    <w:rsid w:val="007F155F"/>
    <w:rsid w:val="007F22ED"/>
    <w:rsid w:val="007F4F42"/>
    <w:rsid w:val="007F7F32"/>
    <w:rsid w:val="00800DF8"/>
    <w:rsid w:val="00801E32"/>
    <w:rsid w:val="008021FD"/>
    <w:rsid w:val="008026FA"/>
    <w:rsid w:val="008036BE"/>
    <w:rsid w:val="00803B18"/>
    <w:rsid w:val="00804BA2"/>
    <w:rsid w:val="00804FE6"/>
    <w:rsid w:val="0080556B"/>
    <w:rsid w:val="00807D00"/>
    <w:rsid w:val="00807EB6"/>
    <w:rsid w:val="008115B8"/>
    <w:rsid w:val="008115CF"/>
    <w:rsid w:val="00812315"/>
    <w:rsid w:val="00813018"/>
    <w:rsid w:val="00814DCA"/>
    <w:rsid w:val="00815D1B"/>
    <w:rsid w:val="00816C1F"/>
    <w:rsid w:val="00820876"/>
    <w:rsid w:val="0082143F"/>
    <w:rsid w:val="00822064"/>
    <w:rsid w:val="008220AD"/>
    <w:rsid w:val="00823610"/>
    <w:rsid w:val="0083049A"/>
    <w:rsid w:val="0083380F"/>
    <w:rsid w:val="00835FCE"/>
    <w:rsid w:val="008368DE"/>
    <w:rsid w:val="00840E25"/>
    <w:rsid w:val="0084161A"/>
    <w:rsid w:val="00841962"/>
    <w:rsid w:val="008424BB"/>
    <w:rsid w:val="008465CB"/>
    <w:rsid w:val="0085127E"/>
    <w:rsid w:val="008517C6"/>
    <w:rsid w:val="00852898"/>
    <w:rsid w:val="008534CC"/>
    <w:rsid w:val="00853C98"/>
    <w:rsid w:val="0085543E"/>
    <w:rsid w:val="008568B0"/>
    <w:rsid w:val="008600ED"/>
    <w:rsid w:val="00860366"/>
    <w:rsid w:val="00861CAB"/>
    <w:rsid w:val="00862B21"/>
    <w:rsid w:val="00863E02"/>
    <w:rsid w:val="00865274"/>
    <w:rsid w:val="00865940"/>
    <w:rsid w:val="00865EEC"/>
    <w:rsid w:val="00866A27"/>
    <w:rsid w:val="008701DC"/>
    <w:rsid w:val="0087081B"/>
    <w:rsid w:val="008739F1"/>
    <w:rsid w:val="00874308"/>
    <w:rsid w:val="00877B13"/>
    <w:rsid w:val="00881457"/>
    <w:rsid w:val="00882802"/>
    <w:rsid w:val="008836A7"/>
    <w:rsid w:val="00884467"/>
    <w:rsid w:val="00887F03"/>
    <w:rsid w:val="00893B95"/>
    <w:rsid w:val="008941B2"/>
    <w:rsid w:val="008A1084"/>
    <w:rsid w:val="008A1DA7"/>
    <w:rsid w:val="008A3884"/>
    <w:rsid w:val="008A4ABF"/>
    <w:rsid w:val="008B0108"/>
    <w:rsid w:val="008B18E3"/>
    <w:rsid w:val="008B3670"/>
    <w:rsid w:val="008B4157"/>
    <w:rsid w:val="008B4A24"/>
    <w:rsid w:val="008B5AFF"/>
    <w:rsid w:val="008B5E0B"/>
    <w:rsid w:val="008B758A"/>
    <w:rsid w:val="008B7CD2"/>
    <w:rsid w:val="008C0C4F"/>
    <w:rsid w:val="008C12F3"/>
    <w:rsid w:val="008C561D"/>
    <w:rsid w:val="008C62EC"/>
    <w:rsid w:val="008D0BE4"/>
    <w:rsid w:val="008D19DB"/>
    <w:rsid w:val="008D5BE0"/>
    <w:rsid w:val="008D7B10"/>
    <w:rsid w:val="008E7C23"/>
    <w:rsid w:val="008E7F8D"/>
    <w:rsid w:val="008F06E9"/>
    <w:rsid w:val="008F2850"/>
    <w:rsid w:val="008F2FC2"/>
    <w:rsid w:val="008F302C"/>
    <w:rsid w:val="008F5D1E"/>
    <w:rsid w:val="008F7242"/>
    <w:rsid w:val="00901457"/>
    <w:rsid w:val="0090233F"/>
    <w:rsid w:val="009035A2"/>
    <w:rsid w:val="009119D3"/>
    <w:rsid w:val="00922101"/>
    <w:rsid w:val="00924C0D"/>
    <w:rsid w:val="0092587F"/>
    <w:rsid w:val="009340AB"/>
    <w:rsid w:val="00936192"/>
    <w:rsid w:val="0094066E"/>
    <w:rsid w:val="00942A08"/>
    <w:rsid w:val="00942CAD"/>
    <w:rsid w:val="00943363"/>
    <w:rsid w:val="009434CF"/>
    <w:rsid w:val="00946910"/>
    <w:rsid w:val="00947C38"/>
    <w:rsid w:val="00956067"/>
    <w:rsid w:val="009574F2"/>
    <w:rsid w:val="00957921"/>
    <w:rsid w:val="00957A76"/>
    <w:rsid w:val="00957C00"/>
    <w:rsid w:val="00960719"/>
    <w:rsid w:val="009619CF"/>
    <w:rsid w:val="00963502"/>
    <w:rsid w:val="00963C96"/>
    <w:rsid w:val="009648EF"/>
    <w:rsid w:val="0097114B"/>
    <w:rsid w:val="00971F36"/>
    <w:rsid w:val="00974614"/>
    <w:rsid w:val="0097588C"/>
    <w:rsid w:val="00976FE8"/>
    <w:rsid w:val="0097799A"/>
    <w:rsid w:val="00977C25"/>
    <w:rsid w:val="009807C9"/>
    <w:rsid w:val="00980CAF"/>
    <w:rsid w:val="0098122A"/>
    <w:rsid w:val="009816C8"/>
    <w:rsid w:val="00982327"/>
    <w:rsid w:val="009833CB"/>
    <w:rsid w:val="009836FB"/>
    <w:rsid w:val="009837A3"/>
    <w:rsid w:val="009843E2"/>
    <w:rsid w:val="009861EE"/>
    <w:rsid w:val="009912E2"/>
    <w:rsid w:val="00991536"/>
    <w:rsid w:val="009918AC"/>
    <w:rsid w:val="00993DAC"/>
    <w:rsid w:val="00996373"/>
    <w:rsid w:val="00996A23"/>
    <w:rsid w:val="00996B84"/>
    <w:rsid w:val="00997705"/>
    <w:rsid w:val="009A0E19"/>
    <w:rsid w:val="009A1215"/>
    <w:rsid w:val="009A20E4"/>
    <w:rsid w:val="009A2440"/>
    <w:rsid w:val="009A2448"/>
    <w:rsid w:val="009A3D15"/>
    <w:rsid w:val="009A6007"/>
    <w:rsid w:val="009A6F9E"/>
    <w:rsid w:val="009A714A"/>
    <w:rsid w:val="009B0602"/>
    <w:rsid w:val="009B0987"/>
    <w:rsid w:val="009B14F4"/>
    <w:rsid w:val="009B17DB"/>
    <w:rsid w:val="009B3199"/>
    <w:rsid w:val="009B38BC"/>
    <w:rsid w:val="009B4EC5"/>
    <w:rsid w:val="009B50CC"/>
    <w:rsid w:val="009B51A4"/>
    <w:rsid w:val="009B67B3"/>
    <w:rsid w:val="009B739B"/>
    <w:rsid w:val="009B7BAA"/>
    <w:rsid w:val="009C08E6"/>
    <w:rsid w:val="009C1B38"/>
    <w:rsid w:val="009C205F"/>
    <w:rsid w:val="009C3B2A"/>
    <w:rsid w:val="009C4C78"/>
    <w:rsid w:val="009C5124"/>
    <w:rsid w:val="009C5F2B"/>
    <w:rsid w:val="009C6454"/>
    <w:rsid w:val="009C78E3"/>
    <w:rsid w:val="009C7FFB"/>
    <w:rsid w:val="009D2D62"/>
    <w:rsid w:val="009D31CD"/>
    <w:rsid w:val="009D7121"/>
    <w:rsid w:val="009E01B8"/>
    <w:rsid w:val="009E0843"/>
    <w:rsid w:val="009E38AF"/>
    <w:rsid w:val="009E52A8"/>
    <w:rsid w:val="009E673E"/>
    <w:rsid w:val="009E7AD8"/>
    <w:rsid w:val="009F0D41"/>
    <w:rsid w:val="009F161C"/>
    <w:rsid w:val="009F1BC2"/>
    <w:rsid w:val="009F29A4"/>
    <w:rsid w:val="009F2F18"/>
    <w:rsid w:val="009F4EF8"/>
    <w:rsid w:val="009F4F1B"/>
    <w:rsid w:val="009F5872"/>
    <w:rsid w:val="009F740D"/>
    <w:rsid w:val="00A00F88"/>
    <w:rsid w:val="00A01AAA"/>
    <w:rsid w:val="00A02007"/>
    <w:rsid w:val="00A02A8B"/>
    <w:rsid w:val="00A041C7"/>
    <w:rsid w:val="00A06B3C"/>
    <w:rsid w:val="00A12CC9"/>
    <w:rsid w:val="00A20173"/>
    <w:rsid w:val="00A2060D"/>
    <w:rsid w:val="00A216B7"/>
    <w:rsid w:val="00A21708"/>
    <w:rsid w:val="00A242EA"/>
    <w:rsid w:val="00A2504D"/>
    <w:rsid w:val="00A271B3"/>
    <w:rsid w:val="00A2797C"/>
    <w:rsid w:val="00A309B7"/>
    <w:rsid w:val="00A322BE"/>
    <w:rsid w:val="00A33342"/>
    <w:rsid w:val="00A33719"/>
    <w:rsid w:val="00A40262"/>
    <w:rsid w:val="00A41B5E"/>
    <w:rsid w:val="00A42042"/>
    <w:rsid w:val="00A4281A"/>
    <w:rsid w:val="00A44C41"/>
    <w:rsid w:val="00A45529"/>
    <w:rsid w:val="00A466AC"/>
    <w:rsid w:val="00A47031"/>
    <w:rsid w:val="00A4765E"/>
    <w:rsid w:val="00A50604"/>
    <w:rsid w:val="00A50E26"/>
    <w:rsid w:val="00A522C3"/>
    <w:rsid w:val="00A524A6"/>
    <w:rsid w:val="00A54818"/>
    <w:rsid w:val="00A56859"/>
    <w:rsid w:val="00A569E0"/>
    <w:rsid w:val="00A60CA4"/>
    <w:rsid w:val="00A62285"/>
    <w:rsid w:val="00A65A66"/>
    <w:rsid w:val="00A66EE4"/>
    <w:rsid w:val="00A70197"/>
    <w:rsid w:val="00A715EF"/>
    <w:rsid w:val="00A73387"/>
    <w:rsid w:val="00A745D3"/>
    <w:rsid w:val="00A7462D"/>
    <w:rsid w:val="00A8029C"/>
    <w:rsid w:val="00A8033D"/>
    <w:rsid w:val="00A826B4"/>
    <w:rsid w:val="00A82E1A"/>
    <w:rsid w:val="00A8395A"/>
    <w:rsid w:val="00A83C7E"/>
    <w:rsid w:val="00A8418C"/>
    <w:rsid w:val="00A84DA1"/>
    <w:rsid w:val="00A85812"/>
    <w:rsid w:val="00A871C9"/>
    <w:rsid w:val="00A87FE2"/>
    <w:rsid w:val="00A960E9"/>
    <w:rsid w:val="00A97B41"/>
    <w:rsid w:val="00A97F0C"/>
    <w:rsid w:val="00A97F93"/>
    <w:rsid w:val="00AA0E4D"/>
    <w:rsid w:val="00AB05C9"/>
    <w:rsid w:val="00AB0BC7"/>
    <w:rsid w:val="00AB20AB"/>
    <w:rsid w:val="00AB2AAE"/>
    <w:rsid w:val="00AB2C0F"/>
    <w:rsid w:val="00AB40A0"/>
    <w:rsid w:val="00AB5528"/>
    <w:rsid w:val="00AB74C3"/>
    <w:rsid w:val="00AC0E72"/>
    <w:rsid w:val="00AC1250"/>
    <w:rsid w:val="00AC21C6"/>
    <w:rsid w:val="00AC3779"/>
    <w:rsid w:val="00AD0097"/>
    <w:rsid w:val="00AD020B"/>
    <w:rsid w:val="00AD0D5C"/>
    <w:rsid w:val="00AD1A96"/>
    <w:rsid w:val="00AD2A29"/>
    <w:rsid w:val="00AD52A6"/>
    <w:rsid w:val="00AD5AEC"/>
    <w:rsid w:val="00AD6AD0"/>
    <w:rsid w:val="00AD6D0B"/>
    <w:rsid w:val="00AE42F5"/>
    <w:rsid w:val="00AE4721"/>
    <w:rsid w:val="00AE747B"/>
    <w:rsid w:val="00AE7DE5"/>
    <w:rsid w:val="00AF1653"/>
    <w:rsid w:val="00AF3BF4"/>
    <w:rsid w:val="00AF3F93"/>
    <w:rsid w:val="00AF50BF"/>
    <w:rsid w:val="00B02DE3"/>
    <w:rsid w:val="00B037AA"/>
    <w:rsid w:val="00B054BA"/>
    <w:rsid w:val="00B1256E"/>
    <w:rsid w:val="00B13787"/>
    <w:rsid w:val="00B1445B"/>
    <w:rsid w:val="00B15801"/>
    <w:rsid w:val="00B1644E"/>
    <w:rsid w:val="00B17AAC"/>
    <w:rsid w:val="00B215D0"/>
    <w:rsid w:val="00B21F73"/>
    <w:rsid w:val="00B23A60"/>
    <w:rsid w:val="00B23D80"/>
    <w:rsid w:val="00B245B8"/>
    <w:rsid w:val="00B24ABA"/>
    <w:rsid w:val="00B25FB2"/>
    <w:rsid w:val="00B30861"/>
    <w:rsid w:val="00B33FC9"/>
    <w:rsid w:val="00B34D05"/>
    <w:rsid w:val="00B34E1F"/>
    <w:rsid w:val="00B35194"/>
    <w:rsid w:val="00B36C97"/>
    <w:rsid w:val="00B37AAA"/>
    <w:rsid w:val="00B37C41"/>
    <w:rsid w:val="00B4078C"/>
    <w:rsid w:val="00B4191E"/>
    <w:rsid w:val="00B42C6D"/>
    <w:rsid w:val="00B437D7"/>
    <w:rsid w:val="00B4516E"/>
    <w:rsid w:val="00B45B27"/>
    <w:rsid w:val="00B46CB0"/>
    <w:rsid w:val="00B5139A"/>
    <w:rsid w:val="00B52315"/>
    <w:rsid w:val="00B52DAB"/>
    <w:rsid w:val="00B539BE"/>
    <w:rsid w:val="00B56011"/>
    <w:rsid w:val="00B56EF5"/>
    <w:rsid w:val="00B6070A"/>
    <w:rsid w:val="00B63682"/>
    <w:rsid w:val="00B6581A"/>
    <w:rsid w:val="00B6639E"/>
    <w:rsid w:val="00B670E5"/>
    <w:rsid w:val="00B70890"/>
    <w:rsid w:val="00B71CAF"/>
    <w:rsid w:val="00B7320C"/>
    <w:rsid w:val="00B74DA0"/>
    <w:rsid w:val="00B7733B"/>
    <w:rsid w:val="00B80F85"/>
    <w:rsid w:val="00B824E7"/>
    <w:rsid w:val="00B829D3"/>
    <w:rsid w:val="00B83B7C"/>
    <w:rsid w:val="00B83EBF"/>
    <w:rsid w:val="00B84F90"/>
    <w:rsid w:val="00B85A66"/>
    <w:rsid w:val="00B86E92"/>
    <w:rsid w:val="00B90F3B"/>
    <w:rsid w:val="00B916F3"/>
    <w:rsid w:val="00B92EEB"/>
    <w:rsid w:val="00B9309E"/>
    <w:rsid w:val="00B957C1"/>
    <w:rsid w:val="00B95A58"/>
    <w:rsid w:val="00B9752D"/>
    <w:rsid w:val="00BA01C1"/>
    <w:rsid w:val="00BA06FA"/>
    <w:rsid w:val="00BA0A23"/>
    <w:rsid w:val="00BA3460"/>
    <w:rsid w:val="00BA39C2"/>
    <w:rsid w:val="00BA5F1E"/>
    <w:rsid w:val="00BA6D44"/>
    <w:rsid w:val="00BA7782"/>
    <w:rsid w:val="00BB134D"/>
    <w:rsid w:val="00BB2F5F"/>
    <w:rsid w:val="00BB4B53"/>
    <w:rsid w:val="00BC0A42"/>
    <w:rsid w:val="00BC286A"/>
    <w:rsid w:val="00BC45E1"/>
    <w:rsid w:val="00BC471A"/>
    <w:rsid w:val="00BC52D2"/>
    <w:rsid w:val="00BC5FEE"/>
    <w:rsid w:val="00BC6C9D"/>
    <w:rsid w:val="00BC6F58"/>
    <w:rsid w:val="00BD07C7"/>
    <w:rsid w:val="00BD14CE"/>
    <w:rsid w:val="00BD2421"/>
    <w:rsid w:val="00BD3541"/>
    <w:rsid w:val="00BD4652"/>
    <w:rsid w:val="00BD62A2"/>
    <w:rsid w:val="00BD6A96"/>
    <w:rsid w:val="00BD74B1"/>
    <w:rsid w:val="00BE037A"/>
    <w:rsid w:val="00BE17E6"/>
    <w:rsid w:val="00BE1D6C"/>
    <w:rsid w:val="00BE27CF"/>
    <w:rsid w:val="00BE2D7E"/>
    <w:rsid w:val="00BE4426"/>
    <w:rsid w:val="00BE540B"/>
    <w:rsid w:val="00BE6364"/>
    <w:rsid w:val="00BE6576"/>
    <w:rsid w:val="00BF048F"/>
    <w:rsid w:val="00BF1FCA"/>
    <w:rsid w:val="00C00650"/>
    <w:rsid w:val="00C021BB"/>
    <w:rsid w:val="00C037A3"/>
    <w:rsid w:val="00C03932"/>
    <w:rsid w:val="00C06B98"/>
    <w:rsid w:val="00C15480"/>
    <w:rsid w:val="00C204EF"/>
    <w:rsid w:val="00C23824"/>
    <w:rsid w:val="00C23B84"/>
    <w:rsid w:val="00C264D9"/>
    <w:rsid w:val="00C2655A"/>
    <w:rsid w:val="00C269D6"/>
    <w:rsid w:val="00C26F6A"/>
    <w:rsid w:val="00C31354"/>
    <w:rsid w:val="00C319FB"/>
    <w:rsid w:val="00C31C5A"/>
    <w:rsid w:val="00C31EAC"/>
    <w:rsid w:val="00C3269C"/>
    <w:rsid w:val="00C342CA"/>
    <w:rsid w:val="00C34515"/>
    <w:rsid w:val="00C34D9A"/>
    <w:rsid w:val="00C36C08"/>
    <w:rsid w:val="00C36FF2"/>
    <w:rsid w:val="00C373FF"/>
    <w:rsid w:val="00C412AD"/>
    <w:rsid w:val="00C419F7"/>
    <w:rsid w:val="00C4313B"/>
    <w:rsid w:val="00C45F01"/>
    <w:rsid w:val="00C4698C"/>
    <w:rsid w:val="00C5207F"/>
    <w:rsid w:val="00C52D21"/>
    <w:rsid w:val="00C5543B"/>
    <w:rsid w:val="00C573B1"/>
    <w:rsid w:val="00C600EE"/>
    <w:rsid w:val="00C64192"/>
    <w:rsid w:val="00C7351D"/>
    <w:rsid w:val="00C752EB"/>
    <w:rsid w:val="00C75878"/>
    <w:rsid w:val="00C76BBB"/>
    <w:rsid w:val="00C779D4"/>
    <w:rsid w:val="00C77C0E"/>
    <w:rsid w:val="00C81430"/>
    <w:rsid w:val="00C86829"/>
    <w:rsid w:val="00C9015F"/>
    <w:rsid w:val="00C935F6"/>
    <w:rsid w:val="00C9788C"/>
    <w:rsid w:val="00C97C59"/>
    <w:rsid w:val="00CA0C2B"/>
    <w:rsid w:val="00CA418B"/>
    <w:rsid w:val="00CB1766"/>
    <w:rsid w:val="00CB1E90"/>
    <w:rsid w:val="00CB1EB4"/>
    <w:rsid w:val="00CB328F"/>
    <w:rsid w:val="00CB3B10"/>
    <w:rsid w:val="00CB4831"/>
    <w:rsid w:val="00CB5DBA"/>
    <w:rsid w:val="00CB5FBD"/>
    <w:rsid w:val="00CB7F2D"/>
    <w:rsid w:val="00CC21F6"/>
    <w:rsid w:val="00CC4B0F"/>
    <w:rsid w:val="00CC759C"/>
    <w:rsid w:val="00CD0363"/>
    <w:rsid w:val="00CD171A"/>
    <w:rsid w:val="00CD2B43"/>
    <w:rsid w:val="00CD33A6"/>
    <w:rsid w:val="00CD4E01"/>
    <w:rsid w:val="00CD4F9A"/>
    <w:rsid w:val="00CD6935"/>
    <w:rsid w:val="00CD6C36"/>
    <w:rsid w:val="00CE0A6E"/>
    <w:rsid w:val="00CE113C"/>
    <w:rsid w:val="00CE42F4"/>
    <w:rsid w:val="00CE6C1C"/>
    <w:rsid w:val="00CE7B3F"/>
    <w:rsid w:val="00CF0EF2"/>
    <w:rsid w:val="00CF47E5"/>
    <w:rsid w:val="00CF732A"/>
    <w:rsid w:val="00D00533"/>
    <w:rsid w:val="00D01406"/>
    <w:rsid w:val="00D015A7"/>
    <w:rsid w:val="00D0250E"/>
    <w:rsid w:val="00D04A90"/>
    <w:rsid w:val="00D06EF2"/>
    <w:rsid w:val="00D07131"/>
    <w:rsid w:val="00D07526"/>
    <w:rsid w:val="00D07E3B"/>
    <w:rsid w:val="00D1308F"/>
    <w:rsid w:val="00D17F23"/>
    <w:rsid w:val="00D207B2"/>
    <w:rsid w:val="00D220F4"/>
    <w:rsid w:val="00D22B49"/>
    <w:rsid w:val="00D23F60"/>
    <w:rsid w:val="00D240C0"/>
    <w:rsid w:val="00D24A6C"/>
    <w:rsid w:val="00D24AC2"/>
    <w:rsid w:val="00D25A76"/>
    <w:rsid w:val="00D2692A"/>
    <w:rsid w:val="00D27E31"/>
    <w:rsid w:val="00D308D8"/>
    <w:rsid w:val="00D318AF"/>
    <w:rsid w:val="00D3344A"/>
    <w:rsid w:val="00D3355A"/>
    <w:rsid w:val="00D362BE"/>
    <w:rsid w:val="00D36BE9"/>
    <w:rsid w:val="00D3722A"/>
    <w:rsid w:val="00D43F58"/>
    <w:rsid w:val="00D4457A"/>
    <w:rsid w:val="00D45734"/>
    <w:rsid w:val="00D47829"/>
    <w:rsid w:val="00D47E7C"/>
    <w:rsid w:val="00D50AD1"/>
    <w:rsid w:val="00D542A9"/>
    <w:rsid w:val="00D5501F"/>
    <w:rsid w:val="00D55807"/>
    <w:rsid w:val="00D604C4"/>
    <w:rsid w:val="00D63929"/>
    <w:rsid w:val="00D63C1C"/>
    <w:rsid w:val="00D6421D"/>
    <w:rsid w:val="00D645E0"/>
    <w:rsid w:val="00D65507"/>
    <w:rsid w:val="00D6599A"/>
    <w:rsid w:val="00D669A4"/>
    <w:rsid w:val="00D66E91"/>
    <w:rsid w:val="00D7143F"/>
    <w:rsid w:val="00D73621"/>
    <w:rsid w:val="00D7507B"/>
    <w:rsid w:val="00D7557F"/>
    <w:rsid w:val="00D75794"/>
    <w:rsid w:val="00D75BC9"/>
    <w:rsid w:val="00D77153"/>
    <w:rsid w:val="00D81BB1"/>
    <w:rsid w:val="00D84F6A"/>
    <w:rsid w:val="00D8506B"/>
    <w:rsid w:val="00D86ADC"/>
    <w:rsid w:val="00D90791"/>
    <w:rsid w:val="00D90F27"/>
    <w:rsid w:val="00D90F8B"/>
    <w:rsid w:val="00D95433"/>
    <w:rsid w:val="00D95F43"/>
    <w:rsid w:val="00DA17B0"/>
    <w:rsid w:val="00DA2C00"/>
    <w:rsid w:val="00DA3F09"/>
    <w:rsid w:val="00DA5E1F"/>
    <w:rsid w:val="00DA6D82"/>
    <w:rsid w:val="00DB169C"/>
    <w:rsid w:val="00DB180E"/>
    <w:rsid w:val="00DB21E9"/>
    <w:rsid w:val="00DB27AF"/>
    <w:rsid w:val="00DB292F"/>
    <w:rsid w:val="00DB3966"/>
    <w:rsid w:val="00DB3F0F"/>
    <w:rsid w:val="00DB5A3F"/>
    <w:rsid w:val="00DC124A"/>
    <w:rsid w:val="00DC2AD7"/>
    <w:rsid w:val="00DC6EBF"/>
    <w:rsid w:val="00DD4D17"/>
    <w:rsid w:val="00DD5846"/>
    <w:rsid w:val="00DD6096"/>
    <w:rsid w:val="00DD620A"/>
    <w:rsid w:val="00DE11D6"/>
    <w:rsid w:val="00DE2212"/>
    <w:rsid w:val="00DE2C8D"/>
    <w:rsid w:val="00DE5E69"/>
    <w:rsid w:val="00DE610C"/>
    <w:rsid w:val="00DE7CEB"/>
    <w:rsid w:val="00DE7F13"/>
    <w:rsid w:val="00DF06C4"/>
    <w:rsid w:val="00DF2C09"/>
    <w:rsid w:val="00DF563C"/>
    <w:rsid w:val="00DF631D"/>
    <w:rsid w:val="00DF6C2D"/>
    <w:rsid w:val="00DF6D88"/>
    <w:rsid w:val="00E010DC"/>
    <w:rsid w:val="00E02941"/>
    <w:rsid w:val="00E03081"/>
    <w:rsid w:val="00E04119"/>
    <w:rsid w:val="00E04A8B"/>
    <w:rsid w:val="00E05B90"/>
    <w:rsid w:val="00E06224"/>
    <w:rsid w:val="00E06B80"/>
    <w:rsid w:val="00E10F8D"/>
    <w:rsid w:val="00E114D9"/>
    <w:rsid w:val="00E126BB"/>
    <w:rsid w:val="00E134A9"/>
    <w:rsid w:val="00E135F9"/>
    <w:rsid w:val="00E150E0"/>
    <w:rsid w:val="00E2108D"/>
    <w:rsid w:val="00E21F9F"/>
    <w:rsid w:val="00E220EA"/>
    <w:rsid w:val="00E2262C"/>
    <w:rsid w:val="00E23054"/>
    <w:rsid w:val="00E237A8"/>
    <w:rsid w:val="00E24F7C"/>
    <w:rsid w:val="00E25852"/>
    <w:rsid w:val="00E25FDB"/>
    <w:rsid w:val="00E26DDA"/>
    <w:rsid w:val="00E30009"/>
    <w:rsid w:val="00E30FF3"/>
    <w:rsid w:val="00E31BA9"/>
    <w:rsid w:val="00E31E1C"/>
    <w:rsid w:val="00E337E8"/>
    <w:rsid w:val="00E34AA2"/>
    <w:rsid w:val="00E37FAF"/>
    <w:rsid w:val="00E41F06"/>
    <w:rsid w:val="00E42B30"/>
    <w:rsid w:val="00E42DA2"/>
    <w:rsid w:val="00E45E6B"/>
    <w:rsid w:val="00E50167"/>
    <w:rsid w:val="00E5097C"/>
    <w:rsid w:val="00E51DDA"/>
    <w:rsid w:val="00E5361B"/>
    <w:rsid w:val="00E54925"/>
    <w:rsid w:val="00E604A4"/>
    <w:rsid w:val="00E61C4E"/>
    <w:rsid w:val="00E63F87"/>
    <w:rsid w:val="00E6527E"/>
    <w:rsid w:val="00E65A41"/>
    <w:rsid w:val="00E710C9"/>
    <w:rsid w:val="00E724E4"/>
    <w:rsid w:val="00E73312"/>
    <w:rsid w:val="00E735D4"/>
    <w:rsid w:val="00E7411D"/>
    <w:rsid w:val="00E76439"/>
    <w:rsid w:val="00E80317"/>
    <w:rsid w:val="00E80877"/>
    <w:rsid w:val="00E829FE"/>
    <w:rsid w:val="00E841D8"/>
    <w:rsid w:val="00E858D9"/>
    <w:rsid w:val="00E862F4"/>
    <w:rsid w:val="00E9032B"/>
    <w:rsid w:val="00E90B5E"/>
    <w:rsid w:val="00E92DE1"/>
    <w:rsid w:val="00E93717"/>
    <w:rsid w:val="00E97E2B"/>
    <w:rsid w:val="00EA0D5B"/>
    <w:rsid w:val="00EA3FF6"/>
    <w:rsid w:val="00EA6DC0"/>
    <w:rsid w:val="00EB2481"/>
    <w:rsid w:val="00EB257B"/>
    <w:rsid w:val="00EB2D88"/>
    <w:rsid w:val="00EB5234"/>
    <w:rsid w:val="00EB722E"/>
    <w:rsid w:val="00EC0E72"/>
    <w:rsid w:val="00EC2028"/>
    <w:rsid w:val="00EC2317"/>
    <w:rsid w:val="00EC2990"/>
    <w:rsid w:val="00EC2A4D"/>
    <w:rsid w:val="00EC43F0"/>
    <w:rsid w:val="00EC4BBD"/>
    <w:rsid w:val="00EC4FBB"/>
    <w:rsid w:val="00EC61E5"/>
    <w:rsid w:val="00ED11BA"/>
    <w:rsid w:val="00ED1764"/>
    <w:rsid w:val="00ED200B"/>
    <w:rsid w:val="00ED2E12"/>
    <w:rsid w:val="00ED4F03"/>
    <w:rsid w:val="00ED52B2"/>
    <w:rsid w:val="00EE173D"/>
    <w:rsid w:val="00EE24D6"/>
    <w:rsid w:val="00EE59C6"/>
    <w:rsid w:val="00EF1864"/>
    <w:rsid w:val="00EF26B4"/>
    <w:rsid w:val="00EF33BF"/>
    <w:rsid w:val="00EF775A"/>
    <w:rsid w:val="00F00020"/>
    <w:rsid w:val="00F02E36"/>
    <w:rsid w:val="00F04707"/>
    <w:rsid w:val="00F04ACD"/>
    <w:rsid w:val="00F0571B"/>
    <w:rsid w:val="00F107A8"/>
    <w:rsid w:val="00F10F01"/>
    <w:rsid w:val="00F110F6"/>
    <w:rsid w:val="00F122E7"/>
    <w:rsid w:val="00F12DF5"/>
    <w:rsid w:val="00F152B2"/>
    <w:rsid w:val="00F17D2D"/>
    <w:rsid w:val="00F22AFE"/>
    <w:rsid w:val="00F237A4"/>
    <w:rsid w:val="00F265F6"/>
    <w:rsid w:val="00F27291"/>
    <w:rsid w:val="00F314C0"/>
    <w:rsid w:val="00F32569"/>
    <w:rsid w:val="00F33889"/>
    <w:rsid w:val="00F35C22"/>
    <w:rsid w:val="00F41337"/>
    <w:rsid w:val="00F41940"/>
    <w:rsid w:val="00F44405"/>
    <w:rsid w:val="00F46255"/>
    <w:rsid w:val="00F47DC5"/>
    <w:rsid w:val="00F50A23"/>
    <w:rsid w:val="00F518F3"/>
    <w:rsid w:val="00F5367B"/>
    <w:rsid w:val="00F54B12"/>
    <w:rsid w:val="00F5608F"/>
    <w:rsid w:val="00F60DAD"/>
    <w:rsid w:val="00F60DE0"/>
    <w:rsid w:val="00F6194D"/>
    <w:rsid w:val="00F61F8E"/>
    <w:rsid w:val="00F6251B"/>
    <w:rsid w:val="00F63405"/>
    <w:rsid w:val="00F64156"/>
    <w:rsid w:val="00F71087"/>
    <w:rsid w:val="00F73A04"/>
    <w:rsid w:val="00F74DE7"/>
    <w:rsid w:val="00F76A83"/>
    <w:rsid w:val="00F81D96"/>
    <w:rsid w:val="00F83978"/>
    <w:rsid w:val="00F83ED3"/>
    <w:rsid w:val="00F857B4"/>
    <w:rsid w:val="00F86C88"/>
    <w:rsid w:val="00F86D13"/>
    <w:rsid w:val="00F87535"/>
    <w:rsid w:val="00F91915"/>
    <w:rsid w:val="00F92282"/>
    <w:rsid w:val="00F9337A"/>
    <w:rsid w:val="00F962B4"/>
    <w:rsid w:val="00F972B0"/>
    <w:rsid w:val="00FA0210"/>
    <w:rsid w:val="00FA2BF8"/>
    <w:rsid w:val="00FA3AA3"/>
    <w:rsid w:val="00FA5D62"/>
    <w:rsid w:val="00FA6040"/>
    <w:rsid w:val="00FA6293"/>
    <w:rsid w:val="00FA6373"/>
    <w:rsid w:val="00FB08CC"/>
    <w:rsid w:val="00FB1304"/>
    <w:rsid w:val="00FB3686"/>
    <w:rsid w:val="00FB4545"/>
    <w:rsid w:val="00FB56BD"/>
    <w:rsid w:val="00FB578C"/>
    <w:rsid w:val="00FB58BB"/>
    <w:rsid w:val="00FB597D"/>
    <w:rsid w:val="00FC0D59"/>
    <w:rsid w:val="00FC1A5C"/>
    <w:rsid w:val="00FC2D4C"/>
    <w:rsid w:val="00FC39EA"/>
    <w:rsid w:val="00FC4943"/>
    <w:rsid w:val="00FC60B8"/>
    <w:rsid w:val="00FD15AF"/>
    <w:rsid w:val="00FD2F1A"/>
    <w:rsid w:val="00FD4EC8"/>
    <w:rsid w:val="00FD5E81"/>
    <w:rsid w:val="00FD7F01"/>
    <w:rsid w:val="00FE0F88"/>
    <w:rsid w:val="00FE3782"/>
    <w:rsid w:val="00FE3AC5"/>
    <w:rsid w:val="00FE44CF"/>
    <w:rsid w:val="00FE4721"/>
    <w:rsid w:val="00FE4D2A"/>
    <w:rsid w:val="00FE4FD0"/>
    <w:rsid w:val="00FE5839"/>
    <w:rsid w:val="00FF2F3F"/>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rules v:ext="edit">
        <o:r id="V:Rule2"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6250" TargetMode="External"/><Relationship Id="rId18" Type="http://schemas.openxmlformats.org/officeDocument/2006/relationships/hyperlink" Target="http://canlii.ca/t/g0ttw" TargetMode="External"/><Relationship Id="rId26" Type="http://schemas.openxmlformats.org/officeDocument/2006/relationships/hyperlink" Target="http://canlii.ca/t/gg8jz" TargetMode="External"/><Relationship Id="rId39" Type="http://schemas.openxmlformats.org/officeDocument/2006/relationships/hyperlink" Target="https://www.canlii.org/en/ab/abqb/doc/2013/2013abqb165/2013abqb165.html?searchUrlHash=AAAAAQANMjAxMyBBQlFCIDE2NQAAAAAB&amp;resultIndex=1" TargetMode="External"/><Relationship Id="rId21" Type="http://schemas.openxmlformats.org/officeDocument/2006/relationships/hyperlink" Target="http://canlii.ca/t/fx9cq" TargetMode="External"/><Relationship Id="rId34" Type="http://schemas.openxmlformats.org/officeDocument/2006/relationships/hyperlink" Target="http://canlii.ca/t/g8njj" TargetMode="External"/><Relationship Id="rId42" Type="http://schemas.openxmlformats.org/officeDocument/2006/relationships/hyperlink" Target="http://canlii.ca/t/gfgd3" TargetMode="External"/><Relationship Id="rId47" Type="http://schemas.openxmlformats.org/officeDocument/2006/relationships/hyperlink" Target="mailto:comments-commentaires@scc-csc.ca"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c-csc.ca/case-dossier/info/sum-som-eng.aspx?cas=36326" TargetMode="External"/><Relationship Id="rId17" Type="http://schemas.openxmlformats.org/officeDocument/2006/relationships/hyperlink" Target="http://canlii.ca/t/fx9cq" TargetMode="External"/><Relationship Id="rId25" Type="http://schemas.openxmlformats.org/officeDocument/2006/relationships/hyperlink" Target="http://canlii.ca/t/g621w" TargetMode="External"/><Relationship Id="rId33" Type="http://schemas.openxmlformats.org/officeDocument/2006/relationships/hyperlink" Target="http://canlii.ca/t/g6ftc" TargetMode="External"/><Relationship Id="rId38" Type="http://schemas.openxmlformats.org/officeDocument/2006/relationships/hyperlink" Target="https://www.canlii.org/en/ab/abca/doc/2014/2014abca426/2014abca426.html?searchUrlHash=AAAAAQANMjAxNCBBQkNBIDQyNgAAAAAB&amp;resultIndex=1" TargetMode="External"/><Relationship Id="rId46" Type="http://schemas.openxmlformats.org/officeDocument/2006/relationships/hyperlink" Target="https://www.canlii.org/en/mb/mbca/doc/2015/2015mbca8/2015mbca8.html?searchUrlHash=AAAAAQALMjAxNSBNQkNBIDgAAAAAAQ&amp;resultIndex=1" TargetMode="External"/><Relationship Id="rId2" Type="http://schemas.openxmlformats.org/officeDocument/2006/relationships/numbering" Target="numbering.xml"/><Relationship Id="rId16" Type="http://schemas.openxmlformats.org/officeDocument/2006/relationships/hyperlink" Target="http://www.scc-csc.ca/case-dossier/info/sum-som-eng.aspx?cas=36339" TargetMode="External"/><Relationship Id="rId20" Type="http://schemas.openxmlformats.org/officeDocument/2006/relationships/hyperlink" Target="http://canlii.ca/t/gfr66" TargetMode="External"/><Relationship Id="rId29" Type="http://schemas.openxmlformats.org/officeDocument/2006/relationships/hyperlink" Target="http://www.canlii.org/fr/qc/qcca/doc/2014/2014qcca2232/2014qcca2232.html?autocompleteStr=2014%20qcca%202232&amp;autocompletePos=1" TargetMode="External"/><Relationship Id="rId41" Type="http://schemas.openxmlformats.org/officeDocument/2006/relationships/hyperlink" Target="http://canlii.ca/t/gfgd3"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fra.aspx?cas=36286" TargetMode="External"/><Relationship Id="rId24" Type="http://schemas.openxmlformats.org/officeDocument/2006/relationships/hyperlink" Target="http://canlii.ca/t/gfr66" TargetMode="External"/><Relationship Id="rId32" Type="http://schemas.openxmlformats.org/officeDocument/2006/relationships/hyperlink" Target="http://canlii.ca/t/g8njj" TargetMode="External"/><Relationship Id="rId37" Type="http://schemas.openxmlformats.org/officeDocument/2006/relationships/hyperlink" Target="https://www.canlii.org/en/ab/abqb/doc/2013/2013abqb165/2013abqb165.html?searchUrlHash=AAAAAQANMjAxMyBBQlFCIDE2NQAAAAAB&amp;resultIndex=1" TargetMode="External"/><Relationship Id="rId40" Type="http://schemas.openxmlformats.org/officeDocument/2006/relationships/hyperlink" Target="https://www.canlii.org/en/ab/abca/doc/2014/2014abca426/2014abca426.html?searchUrlHash=AAAAAQANMjAxNCBBQkNBIDQyNgAAAAAB&amp;resultIndex=1" TargetMode="External"/><Relationship Id="rId45" Type="http://schemas.openxmlformats.org/officeDocument/2006/relationships/hyperlink" Target="https://www.canlii.org/en/mb/mbqb/doc/2014/2014mbqb118/2014mbqb118.html?searchUrlHash=AAAAAQANMjAxNCBNQlFCIDExOAAAAAAB&amp;resultIndex=1"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cc-csc.ca/case-dossier/info/sum-som-eng.aspx?cas=36358" TargetMode="External"/><Relationship Id="rId23" Type="http://schemas.openxmlformats.org/officeDocument/2006/relationships/hyperlink" Target="http://canlii.ca/t/g2fl9" TargetMode="External"/><Relationship Id="rId28" Type="http://schemas.openxmlformats.org/officeDocument/2006/relationships/hyperlink" Target="http://canlii.ca/t/gg8jz" TargetMode="External"/><Relationship Id="rId36" Type="http://schemas.openxmlformats.org/officeDocument/2006/relationships/hyperlink" Target="http://www.canlii.org/en/on/onsc/doc/2014/2014onsc3981/2014onsc3981.html?resultIndex=1" TargetMode="External"/><Relationship Id="rId49" Type="http://schemas.openxmlformats.org/officeDocument/2006/relationships/header" Target="header2.xml"/><Relationship Id="rId10" Type="http://schemas.openxmlformats.org/officeDocument/2006/relationships/hyperlink" Target="http://www.scc-csc.ca/case-dossier/info/sum-som-fra.aspx?cas=36233" TargetMode="External"/><Relationship Id="rId19" Type="http://schemas.openxmlformats.org/officeDocument/2006/relationships/hyperlink" Target="http://canlii.ca/t/g2fl9" TargetMode="External"/><Relationship Id="rId31" Type="http://schemas.openxmlformats.org/officeDocument/2006/relationships/hyperlink" Target="http://canlii.ca/t/g6ftc" TargetMode="External"/><Relationship Id="rId44" Type="http://schemas.openxmlformats.org/officeDocument/2006/relationships/hyperlink" Target="https://www.canlii.org/en/mb/mbca/doc/2015/2015mbca8/2015mbca8.html?searchUrlHash=AAAAAQALMjAxNSBNQkNBIDgAAAAAAQ&amp;resultIndex=1"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cc-csc.ca/case-dossier/info/sum-som-eng.aspx?cas=36379" TargetMode="External"/><Relationship Id="rId14" Type="http://schemas.openxmlformats.org/officeDocument/2006/relationships/hyperlink" Target="http://www.scc-csc.ca/case-dossier/info/sum-som-eng.aspx?cas=36303" TargetMode="External"/><Relationship Id="rId22" Type="http://schemas.openxmlformats.org/officeDocument/2006/relationships/hyperlink" Target="http://canlii.ca/t/g0ttw" TargetMode="External"/><Relationship Id="rId27" Type="http://schemas.openxmlformats.org/officeDocument/2006/relationships/hyperlink" Target="http://canlii.ca/t/g621w" TargetMode="External"/><Relationship Id="rId30" Type="http://schemas.openxmlformats.org/officeDocument/2006/relationships/hyperlink" Target="http://www.canlii.org/fr/qc/qcca/doc/2014/2014qcca2232/2014qcca2232.html?autocompleteStr=2014%20qcca%202232&amp;autocompletePos=1" TargetMode="External"/><Relationship Id="rId35" Type="http://schemas.openxmlformats.org/officeDocument/2006/relationships/hyperlink" Target="http://www.canlii.org/en/on/onsc/doc/2014/2014onsc3981/2014onsc3981.html?resultIndex=1" TargetMode="External"/><Relationship Id="rId43" Type="http://schemas.openxmlformats.org/officeDocument/2006/relationships/hyperlink" Target="https://www.canlii.org/en/mb/mbqb/doc/2014/2014mbqb118/2014mbqb118.html?searchUrlHash=AAAAAQANMjAxNCBNQlFCIDExOAAAAAAB&amp;resultIndex=1" TargetMode="External"/><Relationship Id="rId48" Type="http://schemas.openxmlformats.org/officeDocument/2006/relationships/header" Target="header1.xml"/><Relationship Id="rId8" Type="http://schemas.openxmlformats.org/officeDocument/2006/relationships/hyperlink" Target="http://www.scc-csc.ca/case-dossier/info/sum-som-eng.aspx?cas=36321" TargetMode="External"/><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5EB8F-9F68-4092-A6D7-81EA2F30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6026</Words>
  <Characters>34350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40296</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2015-06-15T19:36:00Z</dcterms:created>
  <dcterms:modified xsi:type="dcterms:W3CDTF">2015-11-27T16:05:00Z</dcterms:modified>
</cp:coreProperties>
</file>