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3F43E6">
      <w:pPr>
        <w:pStyle w:val="Header"/>
        <w:jc w:val="center"/>
        <w:rPr>
          <w:b/>
          <w:sz w:val="32"/>
        </w:rPr>
      </w:pPr>
      <w:bookmarkStart w:id="0" w:name="_GoBack"/>
      <w:bookmarkEnd w:id="0"/>
      <w:r w:rsidRPr="004B4D42">
        <w:rPr>
          <w:b/>
          <w:sz w:val="32"/>
        </w:rPr>
        <w:t>Supreme Court of Canada / Cour suprême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(le français suit)</w:t>
      </w:r>
    </w:p>
    <w:p w:rsidR="006F2579" w:rsidRPr="004B4D42" w:rsidRDefault="006F2579" w:rsidP="006F2579">
      <w:pPr>
        <w:widowControl w:val="0"/>
      </w:pPr>
    </w:p>
    <w:p w:rsidR="006F2579" w:rsidRPr="004B4D42" w:rsidRDefault="00C05AF4"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80556B" w:rsidP="006F2579">
      <w:pPr>
        <w:widowControl w:val="0"/>
        <w:rPr>
          <w:b/>
        </w:rPr>
      </w:pPr>
      <w:r>
        <w:rPr>
          <w:b/>
        </w:rPr>
        <w:t xml:space="preserve">June </w:t>
      </w:r>
      <w:r w:rsidR="00932FE2">
        <w:rPr>
          <w:b/>
        </w:rPr>
        <w:t>22</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A02AC3"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6F7EB1" w:rsidRPr="004B4D42">
        <w:t>D</w:t>
      </w:r>
      <w:r w:rsidRPr="004B4D42">
        <w:t xml:space="preserve">T on Thursday, </w:t>
      </w:r>
      <w:r w:rsidR="0080556B">
        <w:t xml:space="preserve">June </w:t>
      </w:r>
      <w:r w:rsidR="00932FE2">
        <w:t>25</w:t>
      </w:r>
      <w:r w:rsidR="00960719" w:rsidRPr="004B4D42">
        <w:t>,</w:t>
      </w:r>
      <w:r w:rsidR="002F38D7" w:rsidRPr="004B4D42">
        <w:t xml:space="preserve"> </w:t>
      </w:r>
      <w:r w:rsidR="006648D1" w:rsidRPr="004B4D42">
        <w:t>2015</w:t>
      </w:r>
      <w:r w:rsidRPr="004B4D42">
        <w:t xml:space="preserve">.  </w:t>
      </w:r>
      <w:r w:rsidRPr="00A02AC3">
        <w:rPr>
          <w:lang w:val="fr-CA"/>
        </w:rPr>
        <w:t>This list is subject to change.</w:t>
      </w:r>
    </w:p>
    <w:p w:rsidR="00D4457A" w:rsidRPr="00A02AC3" w:rsidRDefault="00D4457A" w:rsidP="006F2579">
      <w:pPr>
        <w:widowControl w:val="0"/>
        <w:rPr>
          <w:lang w:val="fr-CA"/>
        </w:rPr>
      </w:pPr>
    </w:p>
    <w:p w:rsidR="00FF5AA4" w:rsidRPr="00A02AC3" w:rsidRDefault="00FF5AA4"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932FE2">
        <w:rPr>
          <w:b/>
          <w:lang w:val="fr-CA"/>
        </w:rPr>
        <w:t>22</w:t>
      </w:r>
      <w:r w:rsidR="0080556B">
        <w:rPr>
          <w:b/>
          <w:lang w:val="fr-CA"/>
        </w:rPr>
        <w:t xml:space="preserve"> juin</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932FE2">
        <w:rPr>
          <w:lang w:val="fr-CA"/>
        </w:rPr>
        <w:t>25</w:t>
      </w:r>
      <w:r w:rsidR="0080556B">
        <w:rPr>
          <w:lang w:val="fr-CA"/>
        </w:rPr>
        <w:t xml:space="preserve"> juin</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6F7EB1" w:rsidRPr="004B4D42">
        <w:rPr>
          <w:lang w:val="fr-CA"/>
        </w:rPr>
        <w:t>A</w:t>
      </w:r>
      <w:r w:rsidRPr="004B4D42">
        <w:rPr>
          <w:lang w:val="fr-CA"/>
        </w:rPr>
        <w:t>E.  Cette liste est sujette à modifications.</w:t>
      </w:r>
    </w:p>
    <w:p w:rsidR="006F2579" w:rsidRPr="004B4D42" w:rsidRDefault="006F2579" w:rsidP="006F2579">
      <w:pPr>
        <w:widowControl w:val="0"/>
        <w:outlineLvl w:val="0"/>
        <w:rPr>
          <w:szCs w:val="24"/>
          <w:lang w:val="fr-CA"/>
        </w:rPr>
      </w:pPr>
    </w:p>
    <w:p w:rsidR="001838E0" w:rsidRPr="004B4D42" w:rsidRDefault="00260D92" w:rsidP="009B14F4">
      <w:pPr>
        <w:widowControl w:val="0"/>
        <w:jc w:val="both"/>
        <w:rPr>
          <w:sz w:val="20"/>
          <w:lang w:val="fr-CA"/>
        </w:rPr>
      </w:pPr>
      <w:r>
        <w:rPr>
          <w:noProof/>
          <w:sz w:val="20"/>
        </w:rPr>
        <w:pict>
          <v:shapetype id="_x0000_t32" coordsize="21600,21600" o:spt="32" o:oned="t" path="m,l21600,21600e" filled="f">
            <v:path arrowok="t" fillok="f" o:connecttype="none"/>
            <o:lock v:ext="edit" shapetype="t"/>
          </v:shapetype>
          <v:shape id="_x0000_s1036" type="#_x0000_t32" style="position:absolute;left:0;text-align:left;margin-left:0;margin-top:7.25pt;width:246.95pt;height:0;z-index:251657728;mso-position-horizontal:center;mso-position-horizontal-relative:margin" o:connectortype="straight">
            <w10:wrap anchorx="margin"/>
          </v:shape>
        </w:pict>
      </w:r>
    </w:p>
    <w:p w:rsidR="003B3019" w:rsidRPr="003B3019" w:rsidRDefault="003B3019" w:rsidP="008C561D">
      <w:pPr>
        <w:ind w:left="360" w:hanging="360"/>
        <w:jc w:val="both"/>
        <w:rPr>
          <w:sz w:val="20"/>
          <w:lang w:val="en-CA"/>
        </w:rPr>
      </w:pPr>
    </w:p>
    <w:p w:rsidR="003B3019" w:rsidRPr="003B3019" w:rsidRDefault="003B3019" w:rsidP="00EB610E">
      <w:pPr>
        <w:pStyle w:val="ListParagraph"/>
        <w:numPr>
          <w:ilvl w:val="0"/>
          <w:numId w:val="31"/>
        </w:numPr>
        <w:ind w:left="360"/>
        <w:jc w:val="both"/>
        <w:rPr>
          <w:sz w:val="20"/>
        </w:rPr>
      </w:pPr>
      <w:r w:rsidRPr="003B3019">
        <w:rPr>
          <w:i/>
          <w:sz w:val="20"/>
        </w:rPr>
        <w:t>Sheila Maguire v. Northwest Organics, Limited Partnership and Northwest Group Properties Inc. et al.</w:t>
      </w:r>
      <w:r w:rsidRPr="003B3019">
        <w:rPr>
          <w:sz w:val="20"/>
        </w:rPr>
        <w:t xml:space="preserve"> (B.C.) (Civil) (By Leave) (</w:t>
      </w:r>
      <w:hyperlink r:id="rId8" w:history="1">
        <w:r w:rsidRPr="00EB610E">
          <w:rPr>
            <w:rStyle w:val="Hyperlink"/>
            <w:sz w:val="20"/>
          </w:rPr>
          <w:t>36248</w:t>
        </w:r>
      </w:hyperlink>
      <w:r w:rsidRPr="003B3019">
        <w:rPr>
          <w:sz w:val="20"/>
        </w:rPr>
        <w:t>)</w:t>
      </w:r>
    </w:p>
    <w:p w:rsidR="003B3019" w:rsidRPr="003B3019" w:rsidRDefault="003B3019" w:rsidP="00EB610E">
      <w:pPr>
        <w:ind w:left="360" w:hanging="360"/>
        <w:jc w:val="both"/>
        <w:rPr>
          <w:sz w:val="20"/>
          <w:u w:val="single"/>
        </w:rPr>
      </w:pPr>
    </w:p>
    <w:p w:rsidR="003B3019" w:rsidRPr="003B3019" w:rsidRDefault="00BD6BF0" w:rsidP="00EB610E">
      <w:pPr>
        <w:pStyle w:val="ListParagraph"/>
        <w:numPr>
          <w:ilvl w:val="0"/>
          <w:numId w:val="31"/>
        </w:numPr>
        <w:ind w:left="360"/>
        <w:jc w:val="both"/>
        <w:rPr>
          <w:sz w:val="20"/>
        </w:rPr>
      </w:pPr>
      <w:r>
        <w:rPr>
          <w:i/>
          <w:sz w:val="20"/>
        </w:rPr>
        <w:t>Jennifer Tanudjaja</w:t>
      </w:r>
      <w:r w:rsidR="003B3019" w:rsidRPr="003B3019">
        <w:rPr>
          <w:i/>
          <w:sz w:val="20"/>
        </w:rPr>
        <w:t xml:space="preserve"> et al. v. Attorney General of Canada et al.</w:t>
      </w:r>
      <w:r w:rsidR="003B3019" w:rsidRPr="003B3019">
        <w:rPr>
          <w:sz w:val="20"/>
        </w:rPr>
        <w:t xml:space="preserve"> (Ont.) (Civil) (By Leave) (</w:t>
      </w:r>
      <w:hyperlink r:id="rId9" w:history="1">
        <w:r w:rsidR="003B3019" w:rsidRPr="00EB610E">
          <w:rPr>
            <w:rStyle w:val="Hyperlink"/>
            <w:sz w:val="20"/>
          </w:rPr>
          <w:t>36283</w:t>
        </w:r>
      </w:hyperlink>
      <w:r w:rsidR="003B3019" w:rsidRPr="003B3019">
        <w:rPr>
          <w:sz w:val="20"/>
        </w:rPr>
        <w:t>)</w:t>
      </w:r>
    </w:p>
    <w:p w:rsidR="003B3019" w:rsidRPr="003B3019" w:rsidRDefault="003B3019" w:rsidP="00EB610E">
      <w:pPr>
        <w:ind w:left="360" w:hanging="360"/>
        <w:jc w:val="both"/>
        <w:rPr>
          <w:sz w:val="20"/>
          <w:u w:val="single"/>
        </w:rPr>
      </w:pPr>
    </w:p>
    <w:p w:rsidR="003B3019" w:rsidRPr="003B3019" w:rsidRDefault="003B3019" w:rsidP="00EB610E">
      <w:pPr>
        <w:pStyle w:val="ListParagraph"/>
        <w:numPr>
          <w:ilvl w:val="0"/>
          <w:numId w:val="31"/>
        </w:numPr>
        <w:ind w:left="360"/>
        <w:jc w:val="both"/>
        <w:rPr>
          <w:sz w:val="20"/>
        </w:rPr>
      </w:pPr>
      <w:r w:rsidRPr="003B3019">
        <w:rPr>
          <w:i/>
          <w:sz w:val="20"/>
        </w:rPr>
        <w:t>Worker</w:t>
      </w:r>
      <w:r w:rsidR="00BD6BF0">
        <w:rPr>
          <w:i/>
          <w:sz w:val="20"/>
        </w:rPr>
        <w:t>s’ Compensation Appeal Tribunal</w:t>
      </w:r>
      <w:r w:rsidRPr="003B3019">
        <w:rPr>
          <w:i/>
          <w:sz w:val="20"/>
        </w:rPr>
        <w:t xml:space="preserve"> et al.</w:t>
      </w:r>
      <w:r w:rsidRPr="003B3019">
        <w:rPr>
          <w:sz w:val="20"/>
        </w:rPr>
        <w:t xml:space="preserve"> </w:t>
      </w:r>
      <w:r w:rsidR="00BD6BF0">
        <w:rPr>
          <w:i/>
          <w:sz w:val="20"/>
        </w:rPr>
        <w:t>v. Fraser Health Authority</w:t>
      </w:r>
      <w:r w:rsidRPr="003B3019">
        <w:rPr>
          <w:i/>
          <w:sz w:val="20"/>
        </w:rPr>
        <w:t xml:space="preserve"> et al. </w:t>
      </w:r>
      <w:r w:rsidRPr="003B3019">
        <w:rPr>
          <w:sz w:val="20"/>
        </w:rPr>
        <w:t>(B.C.) (Civil) (By Leave) (</w:t>
      </w:r>
      <w:hyperlink r:id="rId10" w:history="1">
        <w:r w:rsidRPr="00EB610E">
          <w:rPr>
            <w:rStyle w:val="Hyperlink"/>
            <w:sz w:val="20"/>
          </w:rPr>
          <w:t>36300</w:t>
        </w:r>
      </w:hyperlink>
      <w:r w:rsidRPr="003B3019">
        <w:rPr>
          <w:sz w:val="20"/>
        </w:rPr>
        <w:t>)</w:t>
      </w:r>
    </w:p>
    <w:p w:rsidR="003B3019" w:rsidRPr="003B3019" w:rsidRDefault="003B3019" w:rsidP="00EB610E">
      <w:pPr>
        <w:ind w:left="360" w:hanging="360"/>
        <w:jc w:val="both"/>
        <w:rPr>
          <w:sz w:val="20"/>
          <w:u w:val="single"/>
        </w:rPr>
      </w:pPr>
    </w:p>
    <w:p w:rsidR="003B3019" w:rsidRPr="003B3019" w:rsidRDefault="003B3019" w:rsidP="00EB610E">
      <w:pPr>
        <w:pStyle w:val="ListParagraph"/>
        <w:numPr>
          <w:ilvl w:val="0"/>
          <w:numId w:val="31"/>
        </w:numPr>
        <w:ind w:left="360"/>
        <w:jc w:val="both"/>
        <w:rPr>
          <w:sz w:val="20"/>
          <w:lang w:val="fr-CA"/>
        </w:rPr>
      </w:pPr>
      <w:r w:rsidRPr="00BD6BF0">
        <w:rPr>
          <w:i/>
          <w:sz w:val="20"/>
          <w:lang w:val="fr-CA"/>
        </w:rPr>
        <w:t>C.M. c. L.L</w:t>
      </w:r>
      <w:r w:rsidR="00BD6BF0" w:rsidRPr="00BD6BF0">
        <w:rPr>
          <w:i/>
          <w:sz w:val="20"/>
          <w:lang w:val="fr-CA"/>
        </w:rPr>
        <w:t>.</w:t>
      </w:r>
      <w:r w:rsidRPr="00BD6BF0">
        <w:rPr>
          <w:i/>
          <w:sz w:val="20"/>
          <w:lang w:val="fr-CA"/>
        </w:rPr>
        <w:t xml:space="preserve"> et </w:t>
      </w:r>
      <w:r w:rsidR="00BD6BF0" w:rsidRPr="00BD6BF0">
        <w:rPr>
          <w:i/>
          <w:sz w:val="20"/>
          <w:lang w:val="fr-CA"/>
        </w:rPr>
        <w:t>autre</w:t>
      </w:r>
      <w:r w:rsidRPr="00BD6BF0">
        <w:rPr>
          <w:i/>
          <w:sz w:val="20"/>
          <w:lang w:val="fr-CA"/>
        </w:rPr>
        <w:t xml:space="preserve"> </w:t>
      </w:r>
      <w:r w:rsidRPr="003B3019">
        <w:rPr>
          <w:sz w:val="20"/>
          <w:lang w:val="fr-CA"/>
        </w:rPr>
        <w:t>(Qc) (Civile) (Autorisation) (</w:t>
      </w:r>
      <w:hyperlink r:id="rId11" w:history="1">
        <w:r w:rsidRPr="00EB610E">
          <w:rPr>
            <w:rStyle w:val="Hyperlink"/>
            <w:sz w:val="20"/>
            <w:lang w:val="fr-CA"/>
          </w:rPr>
          <w:t>36306</w:t>
        </w:r>
      </w:hyperlink>
      <w:r w:rsidRPr="003B3019">
        <w:rPr>
          <w:sz w:val="20"/>
          <w:lang w:val="fr-CA"/>
        </w:rPr>
        <w:t>)</w:t>
      </w:r>
    </w:p>
    <w:p w:rsidR="003B3019" w:rsidRPr="003B3019" w:rsidRDefault="003B3019" w:rsidP="00EB610E">
      <w:pPr>
        <w:ind w:left="360" w:hanging="360"/>
        <w:jc w:val="both"/>
        <w:rPr>
          <w:sz w:val="20"/>
          <w:lang w:val="fr-CA"/>
        </w:rPr>
      </w:pPr>
    </w:p>
    <w:p w:rsidR="003B3019" w:rsidRPr="003B3019" w:rsidRDefault="003B3019" w:rsidP="00EB610E">
      <w:pPr>
        <w:pStyle w:val="ListParagraph"/>
        <w:numPr>
          <w:ilvl w:val="0"/>
          <w:numId w:val="31"/>
        </w:numPr>
        <w:ind w:left="360"/>
        <w:jc w:val="both"/>
        <w:rPr>
          <w:sz w:val="20"/>
          <w:lang w:val="fr-CA"/>
        </w:rPr>
      </w:pPr>
      <w:r w:rsidRPr="003B3019">
        <w:rPr>
          <w:i/>
          <w:sz w:val="20"/>
          <w:lang w:val="fr-CA"/>
        </w:rPr>
        <w:t>Jean Maynard</w:t>
      </w:r>
      <w:r w:rsidRPr="00F73422">
        <w:rPr>
          <w:i/>
          <w:sz w:val="20"/>
          <w:lang w:val="fr-CA"/>
        </w:rPr>
        <w:t xml:space="preserve"> c.</w:t>
      </w:r>
      <w:r w:rsidRPr="003B3019">
        <w:rPr>
          <w:i/>
          <w:sz w:val="20"/>
          <w:lang w:val="fr-CA"/>
        </w:rPr>
        <w:t xml:space="preserve"> Agence du revenu du Québec </w:t>
      </w:r>
      <w:r w:rsidRPr="003B3019">
        <w:rPr>
          <w:sz w:val="20"/>
          <w:lang w:val="fr-CA"/>
        </w:rPr>
        <w:t>(Qc) (Civile) (Autorisation) (</w:t>
      </w:r>
      <w:hyperlink r:id="rId12" w:history="1">
        <w:r w:rsidRPr="00EB610E">
          <w:rPr>
            <w:rStyle w:val="Hyperlink"/>
            <w:sz w:val="20"/>
            <w:lang w:val="fr-CA"/>
          </w:rPr>
          <w:t>36255</w:t>
        </w:r>
      </w:hyperlink>
      <w:r w:rsidRPr="003B3019">
        <w:rPr>
          <w:sz w:val="20"/>
          <w:lang w:val="fr-CA"/>
        </w:rPr>
        <w:t>)</w:t>
      </w:r>
    </w:p>
    <w:p w:rsidR="003B3019" w:rsidRPr="003B3019" w:rsidRDefault="003B3019" w:rsidP="00EB610E">
      <w:pPr>
        <w:ind w:left="360" w:hanging="360"/>
        <w:jc w:val="both"/>
        <w:rPr>
          <w:sz w:val="20"/>
          <w:lang w:val="fr-CA"/>
        </w:rPr>
      </w:pPr>
    </w:p>
    <w:p w:rsidR="003B3019" w:rsidRPr="003B3019" w:rsidRDefault="00BD6BF0" w:rsidP="00EB610E">
      <w:pPr>
        <w:pStyle w:val="ListParagraph"/>
        <w:numPr>
          <w:ilvl w:val="0"/>
          <w:numId w:val="31"/>
        </w:numPr>
        <w:ind w:left="360"/>
        <w:jc w:val="both"/>
        <w:rPr>
          <w:sz w:val="20"/>
          <w:lang w:val="fr-CA"/>
        </w:rPr>
      </w:pPr>
      <w:r>
        <w:rPr>
          <w:i/>
          <w:sz w:val="20"/>
          <w:lang w:val="fr-CA"/>
        </w:rPr>
        <w:t>Daniel Beaulieu</w:t>
      </w:r>
      <w:r w:rsidR="003B3019" w:rsidRPr="003B3019">
        <w:rPr>
          <w:i/>
          <w:sz w:val="20"/>
          <w:lang w:val="fr-CA"/>
        </w:rPr>
        <w:t xml:space="preserve"> et </w:t>
      </w:r>
      <w:r>
        <w:rPr>
          <w:i/>
          <w:sz w:val="20"/>
          <w:lang w:val="fr-CA"/>
        </w:rPr>
        <w:t>autres</w:t>
      </w:r>
      <w:r w:rsidR="003B3019" w:rsidRPr="003B3019">
        <w:rPr>
          <w:i/>
          <w:sz w:val="20"/>
          <w:lang w:val="fr-CA"/>
        </w:rPr>
        <w:t xml:space="preserve"> c. Sa Majesté la Reine </w:t>
      </w:r>
      <w:r w:rsidR="003B3019" w:rsidRPr="003B3019">
        <w:rPr>
          <w:sz w:val="20"/>
          <w:lang w:val="fr-CA"/>
        </w:rPr>
        <w:t>(Qc) (Criminelle) (Autorisation) (</w:t>
      </w:r>
      <w:hyperlink r:id="rId13" w:history="1">
        <w:r w:rsidR="003B3019" w:rsidRPr="00EB610E">
          <w:rPr>
            <w:rStyle w:val="Hyperlink"/>
            <w:sz w:val="20"/>
            <w:lang w:val="fr-CA"/>
          </w:rPr>
          <w:t>36278</w:t>
        </w:r>
      </w:hyperlink>
      <w:r w:rsidR="003B3019" w:rsidRPr="003B3019">
        <w:rPr>
          <w:sz w:val="20"/>
          <w:lang w:val="fr-CA"/>
        </w:rPr>
        <w:t>)</w:t>
      </w:r>
    </w:p>
    <w:p w:rsidR="003B3019" w:rsidRPr="003B3019" w:rsidRDefault="003B3019" w:rsidP="00EB610E">
      <w:pPr>
        <w:ind w:left="360" w:hanging="360"/>
        <w:jc w:val="both"/>
        <w:rPr>
          <w:sz w:val="20"/>
          <w:lang w:val="fr-CA"/>
        </w:rPr>
      </w:pPr>
    </w:p>
    <w:p w:rsidR="003B3019" w:rsidRPr="003B3019" w:rsidRDefault="003B3019" w:rsidP="00EB610E">
      <w:pPr>
        <w:pStyle w:val="ListParagraph"/>
        <w:numPr>
          <w:ilvl w:val="0"/>
          <w:numId w:val="31"/>
        </w:numPr>
        <w:ind w:left="360"/>
        <w:jc w:val="both"/>
        <w:rPr>
          <w:sz w:val="20"/>
        </w:rPr>
      </w:pPr>
      <w:r w:rsidRPr="003B3019">
        <w:rPr>
          <w:i/>
          <w:sz w:val="20"/>
        </w:rPr>
        <w:t xml:space="preserve">Frederick Bernard Anthony Prosser v. Her Majesty the Queen </w:t>
      </w:r>
      <w:r w:rsidRPr="003B3019">
        <w:rPr>
          <w:sz w:val="20"/>
        </w:rPr>
        <w:t>(N.B.) (Crim</w:t>
      </w:r>
      <w:r w:rsidR="00BD6BF0">
        <w:rPr>
          <w:sz w:val="20"/>
        </w:rPr>
        <w:t>inal</w:t>
      </w:r>
      <w:r w:rsidRPr="003B3019">
        <w:rPr>
          <w:sz w:val="20"/>
        </w:rPr>
        <w:t>) (By Leave) (</w:t>
      </w:r>
      <w:hyperlink r:id="rId14" w:history="1">
        <w:r w:rsidRPr="00EB610E">
          <w:rPr>
            <w:rStyle w:val="Hyperlink"/>
            <w:sz w:val="20"/>
          </w:rPr>
          <w:t>36370</w:t>
        </w:r>
      </w:hyperlink>
      <w:r w:rsidRPr="003B3019">
        <w:rPr>
          <w:sz w:val="20"/>
        </w:rPr>
        <w:t>)</w:t>
      </w:r>
    </w:p>
    <w:p w:rsidR="003B3019" w:rsidRDefault="003B3019" w:rsidP="00EB610E">
      <w:pPr>
        <w:ind w:left="360" w:hanging="360"/>
        <w:jc w:val="both"/>
        <w:rPr>
          <w:sz w:val="20"/>
        </w:rPr>
      </w:pPr>
    </w:p>
    <w:p w:rsidR="003B3019" w:rsidRPr="003B3019" w:rsidRDefault="003B3019" w:rsidP="00EB610E">
      <w:pPr>
        <w:pStyle w:val="ListParagraph"/>
        <w:numPr>
          <w:ilvl w:val="0"/>
          <w:numId w:val="31"/>
        </w:numPr>
        <w:ind w:left="360"/>
        <w:jc w:val="both"/>
        <w:rPr>
          <w:sz w:val="20"/>
        </w:rPr>
      </w:pPr>
      <w:r w:rsidRPr="003B3019">
        <w:rPr>
          <w:i/>
          <w:sz w:val="20"/>
        </w:rPr>
        <w:t>InStorage Limited Partnership and InStorage Trustee Corp. v. Matthew Brady Self Storage Corporation</w:t>
      </w:r>
      <w:r w:rsidRPr="003B3019">
        <w:rPr>
          <w:sz w:val="20"/>
        </w:rPr>
        <w:t xml:space="preserve"> (Ont.) </w:t>
      </w:r>
      <w:r w:rsidRPr="003B3019">
        <w:rPr>
          <w:sz w:val="20"/>
        </w:rPr>
        <w:lastRenderedPageBreak/>
        <w:t>(Civil) (By Leave) (</w:t>
      </w:r>
      <w:hyperlink r:id="rId15" w:history="1">
        <w:r w:rsidRPr="00EB610E">
          <w:rPr>
            <w:rStyle w:val="Hyperlink"/>
            <w:sz w:val="20"/>
          </w:rPr>
          <w:t>36224</w:t>
        </w:r>
      </w:hyperlink>
      <w:r w:rsidRPr="003B3019">
        <w:rPr>
          <w:sz w:val="20"/>
        </w:rPr>
        <w:t>)</w:t>
      </w:r>
    </w:p>
    <w:p w:rsidR="003B3019" w:rsidRPr="003B3019" w:rsidRDefault="003B3019" w:rsidP="00EB610E">
      <w:pPr>
        <w:ind w:left="360" w:hanging="360"/>
        <w:jc w:val="both"/>
        <w:rPr>
          <w:sz w:val="20"/>
        </w:rPr>
      </w:pPr>
    </w:p>
    <w:p w:rsidR="003B3019" w:rsidRPr="003B3019" w:rsidRDefault="003B3019" w:rsidP="00EB610E">
      <w:pPr>
        <w:pStyle w:val="ListParagraph"/>
        <w:numPr>
          <w:ilvl w:val="0"/>
          <w:numId w:val="31"/>
        </w:numPr>
        <w:ind w:left="360"/>
        <w:jc w:val="both"/>
        <w:rPr>
          <w:sz w:val="20"/>
        </w:rPr>
      </w:pPr>
      <w:r w:rsidRPr="003B3019">
        <w:rPr>
          <w:i/>
          <w:sz w:val="20"/>
        </w:rPr>
        <w:t>P.W.M. Loss Prevent</w:t>
      </w:r>
      <w:r w:rsidR="00BD6BF0">
        <w:rPr>
          <w:i/>
          <w:sz w:val="20"/>
        </w:rPr>
        <w:t>ion Services Inc. v. Miguel Lay</w:t>
      </w:r>
      <w:r w:rsidRPr="003B3019">
        <w:rPr>
          <w:i/>
          <w:sz w:val="20"/>
        </w:rPr>
        <w:t xml:space="preserve"> et al. </w:t>
      </w:r>
      <w:r w:rsidRPr="003B3019">
        <w:rPr>
          <w:sz w:val="20"/>
        </w:rPr>
        <w:t>(Alta.) (Civil)</w:t>
      </w:r>
      <w:r w:rsidR="00BD6BF0">
        <w:rPr>
          <w:sz w:val="20"/>
        </w:rPr>
        <w:t xml:space="preserve"> </w:t>
      </w:r>
      <w:r w:rsidRPr="003B3019">
        <w:rPr>
          <w:sz w:val="20"/>
        </w:rPr>
        <w:t>(By Leave) (</w:t>
      </w:r>
      <w:hyperlink r:id="rId16" w:history="1">
        <w:r w:rsidRPr="00EB610E">
          <w:rPr>
            <w:rStyle w:val="Hyperlink"/>
            <w:sz w:val="20"/>
          </w:rPr>
          <w:t>36327</w:t>
        </w:r>
      </w:hyperlink>
      <w:r w:rsidRPr="003B3019">
        <w:rPr>
          <w:sz w:val="20"/>
        </w:rPr>
        <w:t>)</w:t>
      </w:r>
    </w:p>
    <w:p w:rsidR="003B3019" w:rsidRPr="003B3019" w:rsidRDefault="003B3019" w:rsidP="00EB610E">
      <w:pPr>
        <w:ind w:left="360" w:hanging="360"/>
        <w:jc w:val="both"/>
        <w:rPr>
          <w:sz w:val="20"/>
        </w:rPr>
      </w:pPr>
    </w:p>
    <w:p w:rsidR="003B3019" w:rsidRPr="003B3019" w:rsidRDefault="003B3019" w:rsidP="00EB610E">
      <w:pPr>
        <w:pStyle w:val="ListParagraph"/>
        <w:numPr>
          <w:ilvl w:val="0"/>
          <w:numId w:val="31"/>
        </w:numPr>
        <w:ind w:left="360"/>
        <w:jc w:val="both"/>
        <w:rPr>
          <w:sz w:val="20"/>
        </w:rPr>
      </w:pPr>
      <w:r w:rsidRPr="003B3019">
        <w:rPr>
          <w:i/>
          <w:sz w:val="20"/>
        </w:rPr>
        <w:t xml:space="preserve">Wayne White v. City of Montreal et al. </w:t>
      </w:r>
      <w:r w:rsidRPr="003B3019">
        <w:rPr>
          <w:sz w:val="20"/>
        </w:rPr>
        <w:t>(Que.) (Civil)</w:t>
      </w:r>
      <w:r w:rsidR="00BD6BF0">
        <w:rPr>
          <w:sz w:val="20"/>
        </w:rPr>
        <w:t xml:space="preserve"> </w:t>
      </w:r>
      <w:r w:rsidRPr="003B3019">
        <w:rPr>
          <w:sz w:val="20"/>
        </w:rPr>
        <w:t>(By Leave) (</w:t>
      </w:r>
      <w:hyperlink r:id="rId17" w:history="1">
        <w:r w:rsidRPr="00EB610E">
          <w:rPr>
            <w:rStyle w:val="Hyperlink"/>
            <w:sz w:val="20"/>
          </w:rPr>
          <w:t>36319</w:t>
        </w:r>
      </w:hyperlink>
      <w:r w:rsidRPr="003B3019">
        <w:rPr>
          <w:sz w:val="20"/>
        </w:rPr>
        <w:t>)</w:t>
      </w:r>
    </w:p>
    <w:p w:rsidR="003B3019" w:rsidRPr="003B3019" w:rsidRDefault="003B3019" w:rsidP="00EB610E">
      <w:pPr>
        <w:ind w:left="360" w:hanging="360"/>
        <w:jc w:val="both"/>
        <w:rPr>
          <w:sz w:val="20"/>
        </w:rPr>
      </w:pPr>
    </w:p>
    <w:p w:rsidR="003B3019" w:rsidRPr="003B3019" w:rsidRDefault="003B3019" w:rsidP="00EB610E">
      <w:pPr>
        <w:pStyle w:val="ListParagraph"/>
        <w:numPr>
          <w:ilvl w:val="0"/>
          <w:numId w:val="31"/>
        </w:numPr>
        <w:ind w:left="360"/>
        <w:jc w:val="both"/>
        <w:rPr>
          <w:sz w:val="20"/>
        </w:rPr>
      </w:pPr>
      <w:r w:rsidRPr="003B3019">
        <w:rPr>
          <w:i/>
          <w:sz w:val="20"/>
        </w:rPr>
        <w:t>Brian Leigh Flanagan v. Attorney General of Canada et al.</w:t>
      </w:r>
      <w:r w:rsidRPr="003B3019">
        <w:rPr>
          <w:sz w:val="20"/>
        </w:rPr>
        <w:t xml:space="preserve"> (B.C.) (Civil) (By Leave) (</w:t>
      </w:r>
      <w:hyperlink r:id="rId18" w:history="1">
        <w:r w:rsidRPr="00EB610E">
          <w:rPr>
            <w:rStyle w:val="Hyperlink"/>
            <w:sz w:val="20"/>
          </w:rPr>
          <w:t>36316</w:t>
        </w:r>
      </w:hyperlink>
      <w:r w:rsidRPr="003B3019">
        <w:rPr>
          <w:sz w:val="20"/>
        </w:rPr>
        <w:t>)</w:t>
      </w:r>
    </w:p>
    <w:p w:rsidR="003B3019" w:rsidRPr="003B3019" w:rsidRDefault="003B3019" w:rsidP="003B3019">
      <w:pPr>
        <w:rPr>
          <w:sz w:val="20"/>
        </w:rPr>
      </w:pPr>
    </w:p>
    <w:p w:rsidR="003B3019" w:rsidRDefault="003B3019" w:rsidP="008C561D">
      <w:pPr>
        <w:ind w:left="360" w:hanging="360"/>
        <w:jc w:val="both"/>
        <w:rPr>
          <w:sz w:val="20"/>
        </w:rPr>
      </w:pPr>
    </w:p>
    <w:p w:rsidR="00F609BA" w:rsidRPr="00056924" w:rsidRDefault="00F609BA" w:rsidP="008C561D">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7F7F" w:rsidRPr="00056924" w:rsidTr="00202E4C">
        <w:tc>
          <w:tcPr>
            <w:tcW w:w="543" w:type="pct"/>
          </w:tcPr>
          <w:p w:rsidR="00917F7F" w:rsidRPr="00056924" w:rsidRDefault="00917F7F" w:rsidP="00917F7F">
            <w:pPr>
              <w:jc w:val="both"/>
              <w:rPr>
                <w:rFonts w:eastAsiaTheme="minorHAnsi"/>
                <w:sz w:val="20"/>
                <w:lang w:val="en-CA"/>
              </w:rPr>
            </w:pPr>
            <w:r w:rsidRPr="00056924">
              <w:rPr>
                <w:rFonts w:eastAsiaTheme="minorHAnsi"/>
                <w:b/>
                <w:sz w:val="20"/>
                <w:lang w:val="en-CA"/>
              </w:rPr>
              <w:t>36248</w:t>
            </w:r>
          </w:p>
        </w:tc>
        <w:tc>
          <w:tcPr>
            <w:tcW w:w="4457" w:type="pct"/>
            <w:gridSpan w:val="3"/>
          </w:tcPr>
          <w:p w:rsidR="00917F7F" w:rsidRPr="00056924" w:rsidRDefault="00917F7F" w:rsidP="00917F7F">
            <w:pPr>
              <w:jc w:val="both"/>
              <w:rPr>
                <w:rFonts w:eastAsiaTheme="minorHAnsi"/>
                <w:b/>
                <w:sz w:val="20"/>
                <w:lang w:val="en-CA"/>
              </w:rPr>
            </w:pPr>
            <w:r w:rsidRPr="00056924">
              <w:rPr>
                <w:rFonts w:eastAsiaTheme="minorHAnsi"/>
                <w:b/>
                <w:sz w:val="20"/>
                <w:lang w:val="en-CA"/>
              </w:rPr>
              <w:t>Sheila Maguire v. Northwest Organics, Limited Partnership and Northwest Group Properties Inc., Attorney General of British Columbia</w:t>
            </w:r>
          </w:p>
          <w:p w:rsidR="00917F7F" w:rsidRPr="00056924" w:rsidRDefault="00917F7F" w:rsidP="00917F7F">
            <w:pPr>
              <w:jc w:val="both"/>
              <w:rPr>
                <w:rFonts w:eastAsiaTheme="minorHAnsi"/>
                <w:sz w:val="20"/>
                <w:lang w:val="en-CA"/>
              </w:rPr>
            </w:pPr>
            <w:r w:rsidRPr="00056924">
              <w:rPr>
                <w:rFonts w:eastAsiaTheme="minorHAnsi"/>
                <w:sz w:val="20"/>
                <w:lang w:val="en-CA"/>
              </w:rPr>
              <w:t>(B.C.) (Civil) (By Leave)</w:t>
            </w:r>
          </w:p>
        </w:tc>
      </w:tr>
      <w:tr w:rsidR="00917F7F" w:rsidRPr="00056924" w:rsidTr="00202E4C">
        <w:tc>
          <w:tcPr>
            <w:tcW w:w="5000" w:type="pct"/>
            <w:gridSpan w:val="4"/>
          </w:tcPr>
          <w:p w:rsidR="00917F7F" w:rsidRPr="00056924" w:rsidRDefault="00917F7F" w:rsidP="00917F7F">
            <w:pPr>
              <w:jc w:val="both"/>
              <w:rPr>
                <w:rFonts w:eastAsiaTheme="minorHAnsi"/>
                <w:sz w:val="20"/>
                <w:lang w:val="en-CA"/>
              </w:rPr>
            </w:pPr>
            <w:r w:rsidRPr="00056924">
              <w:rPr>
                <w:rFonts w:eastAsiaTheme="minorHAnsi"/>
                <w:sz w:val="20"/>
                <w:lang w:val="en-CA"/>
              </w:rPr>
              <w:t xml:space="preserve">Civil procedure – Summary judgment – Application to dismiss a defamation claim as a Strategic Lawsuit Against Public Participation (“SLAPP”) – Application dismissed on the basis that a two-part test for summary dismissal proposed to balance the </w:t>
            </w:r>
            <w:r w:rsidRPr="00056924">
              <w:rPr>
                <w:rFonts w:eastAsiaTheme="minorHAnsi"/>
                <w:i/>
                <w:sz w:val="20"/>
                <w:lang w:val="en-CA"/>
              </w:rPr>
              <w:t>Charter</w:t>
            </w:r>
            <w:r w:rsidRPr="00056924">
              <w:rPr>
                <w:rFonts w:eastAsiaTheme="minorHAnsi"/>
                <w:sz w:val="20"/>
                <w:lang w:val="en-CA"/>
              </w:rPr>
              <w:t xml:space="preserve"> values of free expression, access to justice and protection of reputation, would substantively change the law of defamation – Should the test for summary dismissal under Rule 9-6 of the B.C. </w:t>
            </w:r>
            <w:r w:rsidRPr="00056924">
              <w:rPr>
                <w:rFonts w:eastAsiaTheme="minorHAnsi"/>
                <w:i/>
                <w:sz w:val="20"/>
                <w:lang w:val="en-CA"/>
              </w:rPr>
              <w:t>Supreme Court Civil Rules</w:t>
            </w:r>
            <w:r w:rsidRPr="00056924">
              <w:rPr>
                <w:rFonts w:eastAsiaTheme="minorHAnsi"/>
                <w:sz w:val="20"/>
                <w:lang w:val="en-CA"/>
              </w:rPr>
              <w:t>, BC Reg 168/2009, be modified and, if so, how?</w:t>
            </w:r>
          </w:p>
        </w:tc>
      </w:tr>
      <w:tr w:rsidR="00917F7F" w:rsidRPr="00056924" w:rsidTr="00202E4C">
        <w:tc>
          <w:tcPr>
            <w:tcW w:w="5000" w:type="pct"/>
            <w:gridSpan w:val="4"/>
          </w:tcPr>
          <w:p w:rsidR="00917F7F" w:rsidRPr="00056924" w:rsidRDefault="00917F7F" w:rsidP="00917F7F">
            <w:pPr>
              <w:jc w:val="both"/>
              <w:rPr>
                <w:rFonts w:eastAsiaTheme="minorHAnsi"/>
                <w:sz w:val="20"/>
                <w:lang w:val="en-CA"/>
              </w:rPr>
            </w:pPr>
          </w:p>
        </w:tc>
      </w:tr>
      <w:tr w:rsidR="00917F7F" w:rsidRPr="00056924" w:rsidTr="00202E4C">
        <w:tc>
          <w:tcPr>
            <w:tcW w:w="5000" w:type="pct"/>
            <w:gridSpan w:val="4"/>
          </w:tcPr>
          <w:p w:rsidR="00917F7F" w:rsidRPr="00056924" w:rsidRDefault="00917F7F" w:rsidP="00917F7F">
            <w:pPr>
              <w:jc w:val="both"/>
              <w:rPr>
                <w:rFonts w:eastAsiaTheme="minorHAnsi"/>
                <w:sz w:val="20"/>
                <w:lang w:val="en-CA"/>
              </w:rPr>
            </w:pPr>
            <w:r w:rsidRPr="00056924">
              <w:rPr>
                <w:rFonts w:eastAsiaTheme="minorHAnsi"/>
                <w:sz w:val="20"/>
                <w:lang w:val="en-CA"/>
              </w:rPr>
              <w:t xml:space="preserve">The applicant, Ms. Maguire, opposed the development of a composting facility by the respondents, Northwest Organics, L.P. and Northwest Properties Inc. (“Northwest”).  Northwest filed a notice of civil claim against her for defamation.  Ms. Maguire contended that the lawsuit was a SLAPP suit intended to intimidate her and restrict her expressive freedom.  She sought an order to dismiss it pursuant to Rules 9-5 and 9-6 of the B.C. </w:t>
            </w:r>
            <w:r w:rsidRPr="00056924">
              <w:rPr>
                <w:rFonts w:eastAsiaTheme="minorHAnsi"/>
                <w:i/>
                <w:sz w:val="20"/>
                <w:lang w:val="en-CA"/>
              </w:rPr>
              <w:t>Supreme Court Civil Rules</w:t>
            </w:r>
            <w:r w:rsidRPr="00056924">
              <w:rPr>
                <w:rFonts w:eastAsiaTheme="minorHAnsi"/>
                <w:sz w:val="20"/>
                <w:lang w:val="en-CA"/>
              </w:rPr>
              <w:t xml:space="preserve">. </w:t>
            </w:r>
          </w:p>
          <w:p w:rsidR="00917F7F" w:rsidRPr="00056924" w:rsidRDefault="00917F7F" w:rsidP="00917F7F">
            <w:pPr>
              <w:jc w:val="both"/>
              <w:rPr>
                <w:rFonts w:eastAsiaTheme="minorHAnsi"/>
                <w:sz w:val="20"/>
                <w:lang w:val="en-CA"/>
              </w:rPr>
            </w:pPr>
          </w:p>
          <w:p w:rsidR="00917F7F" w:rsidRPr="00056924" w:rsidRDefault="00917F7F" w:rsidP="00917F7F">
            <w:pPr>
              <w:jc w:val="both"/>
              <w:rPr>
                <w:rFonts w:eastAsiaTheme="minorHAnsi"/>
                <w:sz w:val="20"/>
                <w:lang w:val="en-CA"/>
              </w:rPr>
            </w:pPr>
            <w:r w:rsidRPr="00056924">
              <w:rPr>
                <w:rFonts w:eastAsiaTheme="minorHAnsi"/>
                <w:sz w:val="20"/>
                <w:lang w:val="en-CA"/>
              </w:rPr>
              <w:t xml:space="preserve">Ms. Maguire argued that in SLAPP cases, Rules 9-5 and 9-6 should be interpreted in accordance with </w:t>
            </w:r>
            <w:r w:rsidRPr="00056924">
              <w:rPr>
                <w:rFonts w:eastAsiaTheme="minorHAnsi"/>
                <w:i/>
                <w:sz w:val="20"/>
                <w:lang w:val="en-CA"/>
              </w:rPr>
              <w:t>Charter</w:t>
            </w:r>
            <w:r w:rsidRPr="00056924">
              <w:rPr>
                <w:rFonts w:eastAsiaTheme="minorHAnsi"/>
                <w:sz w:val="20"/>
                <w:lang w:val="en-CA"/>
              </w:rPr>
              <w:t xml:space="preserve"> values of freedom of expression, access to justice and protection of reputation, and proposed that a novel two-part test be applied in those cases.  Under that test, a claim involving expression in the public interest would be summarily dismissed if it did not involve significant injury to reputation or if it did not have a significant likelihood of success. The Supreme Court of British Columbia dismissed the application on the basis that the proposed test represented a substantive change to the law of defamation, not simply a change in the rules of civil practice, and that such a change was more properly to be undertaken by the legislature or by higher courts with a full evidentiary record.  The Court of Appeal dismissed the appeal.</w:t>
            </w:r>
          </w:p>
          <w:p w:rsidR="00917F7F" w:rsidRPr="00056924" w:rsidRDefault="00917F7F" w:rsidP="00917F7F">
            <w:pPr>
              <w:jc w:val="both"/>
              <w:rPr>
                <w:rFonts w:eastAsiaTheme="minorHAnsi"/>
                <w:sz w:val="20"/>
                <w:lang w:val="en-CA"/>
              </w:rPr>
            </w:pP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t>July 26, 2013</w:t>
            </w:r>
          </w:p>
          <w:p w:rsidR="00917F7F" w:rsidRPr="00056924" w:rsidRDefault="00917F7F" w:rsidP="00917F7F">
            <w:pPr>
              <w:jc w:val="both"/>
              <w:rPr>
                <w:rFonts w:eastAsiaTheme="minorHAnsi"/>
                <w:sz w:val="20"/>
                <w:lang w:val="en-CA"/>
              </w:rPr>
            </w:pPr>
            <w:r w:rsidRPr="00056924">
              <w:rPr>
                <w:rFonts w:eastAsiaTheme="minorHAnsi"/>
                <w:sz w:val="20"/>
                <w:lang w:val="en-CA"/>
              </w:rPr>
              <w:t>Supreme Court of British Columbia</w:t>
            </w:r>
          </w:p>
          <w:p w:rsidR="00917F7F" w:rsidRPr="00056924" w:rsidRDefault="00917F7F" w:rsidP="00917F7F">
            <w:pPr>
              <w:jc w:val="both"/>
              <w:rPr>
                <w:rFonts w:eastAsiaTheme="minorHAnsi"/>
                <w:sz w:val="20"/>
                <w:lang w:val="fr-FR"/>
              </w:rPr>
            </w:pPr>
            <w:r w:rsidRPr="00056924">
              <w:rPr>
                <w:rFonts w:eastAsiaTheme="minorHAnsi"/>
                <w:sz w:val="20"/>
                <w:lang w:val="fr-FR"/>
              </w:rPr>
              <w:t>(Savage J.)</w:t>
            </w:r>
          </w:p>
          <w:p w:rsidR="00917F7F" w:rsidRPr="00056924" w:rsidRDefault="00260D92" w:rsidP="00917F7F">
            <w:pPr>
              <w:jc w:val="both"/>
              <w:rPr>
                <w:rFonts w:eastAsiaTheme="minorHAnsi"/>
                <w:sz w:val="20"/>
                <w:lang w:val="fr-FR"/>
              </w:rPr>
            </w:pPr>
            <w:hyperlink r:id="rId19" w:history="1">
              <w:r w:rsidR="00917F7F" w:rsidRPr="00056924">
                <w:rPr>
                  <w:rFonts w:eastAsiaTheme="minorHAnsi"/>
                  <w:color w:val="0000FF" w:themeColor="hyperlink"/>
                  <w:sz w:val="20"/>
                  <w:u w:val="single"/>
                  <w:lang w:val="fr-FR"/>
                </w:rPr>
                <w:t>2013 BCSC 1328</w:t>
              </w:r>
            </w:hyperlink>
          </w:p>
          <w:p w:rsidR="00917F7F" w:rsidRPr="00056924" w:rsidRDefault="00917F7F" w:rsidP="00917F7F">
            <w:pPr>
              <w:jc w:val="both"/>
              <w:rPr>
                <w:rFonts w:eastAsiaTheme="minorHAnsi"/>
                <w:sz w:val="20"/>
                <w:lang w:val="fr-FR"/>
              </w:rPr>
            </w:pPr>
          </w:p>
        </w:tc>
        <w:tc>
          <w:tcPr>
            <w:tcW w:w="243" w:type="pct"/>
          </w:tcPr>
          <w:p w:rsidR="00917F7F" w:rsidRPr="00056924" w:rsidRDefault="00917F7F" w:rsidP="00917F7F">
            <w:pPr>
              <w:jc w:val="both"/>
              <w:rPr>
                <w:rFonts w:eastAsiaTheme="minorHAnsi"/>
                <w:sz w:val="20"/>
                <w:lang w:val="fr-FR"/>
              </w:rPr>
            </w:pPr>
          </w:p>
        </w:tc>
        <w:tc>
          <w:tcPr>
            <w:tcW w:w="2330" w:type="pct"/>
          </w:tcPr>
          <w:p w:rsidR="00917F7F" w:rsidRPr="00056924" w:rsidRDefault="00917F7F" w:rsidP="00917F7F">
            <w:pPr>
              <w:jc w:val="both"/>
              <w:rPr>
                <w:rFonts w:eastAsiaTheme="minorHAnsi"/>
                <w:i/>
                <w:sz w:val="20"/>
                <w:lang w:val="en-CA"/>
              </w:rPr>
            </w:pPr>
            <w:r w:rsidRPr="00056924">
              <w:rPr>
                <w:rFonts w:eastAsiaTheme="minorHAnsi"/>
                <w:sz w:val="20"/>
                <w:lang w:val="en-CA"/>
              </w:rPr>
              <w:t xml:space="preserve">Application to dismiss plaintiffs’ claims on the basis of a </w:t>
            </w:r>
            <w:r w:rsidRPr="00056924">
              <w:rPr>
                <w:rFonts w:eastAsiaTheme="minorHAnsi"/>
                <w:i/>
                <w:sz w:val="20"/>
                <w:lang w:val="en-CA"/>
              </w:rPr>
              <w:t>Charter</w:t>
            </w:r>
            <w:r w:rsidRPr="00056924">
              <w:rPr>
                <w:rFonts w:eastAsiaTheme="minorHAnsi"/>
                <w:sz w:val="20"/>
                <w:lang w:val="en-CA"/>
              </w:rPr>
              <w:t xml:space="preserve">-modified interpretation of Rules 9-5 and 9-6 of the </w:t>
            </w:r>
            <w:r w:rsidRPr="00056924">
              <w:rPr>
                <w:rFonts w:eastAsiaTheme="minorHAnsi"/>
                <w:i/>
                <w:sz w:val="20"/>
                <w:lang w:val="en-CA"/>
              </w:rPr>
              <w:t>Supreme Court Civil Rules</w:t>
            </w:r>
            <w:r w:rsidRPr="00056924">
              <w:rPr>
                <w:rFonts w:eastAsiaTheme="minorHAnsi"/>
                <w:sz w:val="20"/>
                <w:lang w:val="en-CA"/>
              </w:rPr>
              <w:t xml:space="preserve"> dismissed; Application to dismiss the claims under Rules 9-5 and 9-6 (without </w:t>
            </w:r>
            <w:r w:rsidRPr="00056924">
              <w:rPr>
                <w:rFonts w:eastAsiaTheme="minorHAnsi"/>
                <w:i/>
                <w:sz w:val="20"/>
                <w:lang w:val="en-CA"/>
              </w:rPr>
              <w:t>Charter</w:t>
            </w:r>
            <w:r w:rsidRPr="00056924">
              <w:rPr>
                <w:rFonts w:eastAsiaTheme="minorHAnsi"/>
                <w:sz w:val="20"/>
                <w:lang w:val="en-CA"/>
              </w:rPr>
              <w:t xml:space="preserve"> modification) adjourned </w:t>
            </w:r>
            <w:r w:rsidRPr="00056924">
              <w:rPr>
                <w:rFonts w:eastAsiaTheme="minorHAnsi"/>
                <w:i/>
                <w:sz w:val="20"/>
                <w:lang w:val="en-CA"/>
              </w:rPr>
              <w:t>sine die</w:t>
            </w:r>
          </w:p>
          <w:p w:rsidR="00917F7F" w:rsidRPr="00056924" w:rsidRDefault="00917F7F" w:rsidP="00917F7F">
            <w:pPr>
              <w:jc w:val="both"/>
              <w:rPr>
                <w:rFonts w:eastAsiaTheme="minorHAnsi"/>
                <w:sz w:val="20"/>
                <w:lang w:val="en-CA"/>
              </w:rPr>
            </w:pP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t>November 10, 2014</w:t>
            </w:r>
          </w:p>
          <w:p w:rsidR="00917F7F" w:rsidRPr="00056924" w:rsidRDefault="00917F7F" w:rsidP="00917F7F">
            <w:pPr>
              <w:jc w:val="both"/>
              <w:rPr>
                <w:rFonts w:eastAsiaTheme="minorHAnsi"/>
                <w:sz w:val="20"/>
                <w:lang w:val="en-CA"/>
              </w:rPr>
            </w:pPr>
            <w:r w:rsidRPr="00056924">
              <w:rPr>
                <w:rFonts w:eastAsiaTheme="minorHAnsi"/>
                <w:sz w:val="20"/>
                <w:lang w:val="en-CA"/>
              </w:rPr>
              <w:t xml:space="preserve">Court of Appeal for British Columbia </w:t>
            </w:r>
          </w:p>
          <w:p w:rsidR="00917F7F" w:rsidRPr="00056924" w:rsidRDefault="00917F7F" w:rsidP="00917F7F">
            <w:pPr>
              <w:jc w:val="both"/>
              <w:rPr>
                <w:rFonts w:eastAsiaTheme="minorHAnsi"/>
                <w:sz w:val="20"/>
                <w:lang w:val="en-CA"/>
              </w:rPr>
            </w:pPr>
            <w:r w:rsidRPr="00056924">
              <w:rPr>
                <w:rFonts w:eastAsiaTheme="minorHAnsi"/>
                <w:sz w:val="20"/>
                <w:lang w:val="en-CA"/>
              </w:rPr>
              <w:t>(Vancouver)</w:t>
            </w:r>
          </w:p>
          <w:p w:rsidR="00917F7F" w:rsidRPr="00056924" w:rsidRDefault="00917F7F" w:rsidP="00917F7F">
            <w:pPr>
              <w:jc w:val="both"/>
              <w:rPr>
                <w:rFonts w:eastAsiaTheme="minorHAnsi"/>
                <w:sz w:val="20"/>
                <w:lang w:val="en-CA"/>
              </w:rPr>
            </w:pPr>
            <w:r w:rsidRPr="00056924">
              <w:rPr>
                <w:rFonts w:eastAsiaTheme="minorHAnsi"/>
                <w:sz w:val="20"/>
                <w:lang w:val="en-CA"/>
              </w:rPr>
              <w:t>(Tysoe, Garson, and MacKenzie JJ. A.)</w:t>
            </w:r>
          </w:p>
          <w:p w:rsidR="00917F7F" w:rsidRPr="00056924" w:rsidRDefault="00260D92" w:rsidP="00917F7F">
            <w:pPr>
              <w:jc w:val="both"/>
              <w:rPr>
                <w:rFonts w:eastAsiaTheme="minorHAnsi"/>
                <w:sz w:val="20"/>
                <w:lang w:val="en-CA"/>
              </w:rPr>
            </w:pPr>
            <w:hyperlink r:id="rId20" w:history="1">
              <w:r w:rsidR="00917F7F" w:rsidRPr="00056924">
                <w:rPr>
                  <w:rFonts w:eastAsiaTheme="minorHAnsi"/>
                  <w:color w:val="0000FF" w:themeColor="hyperlink"/>
                  <w:sz w:val="20"/>
                  <w:u w:val="single"/>
                  <w:lang w:val="en-CA"/>
                </w:rPr>
                <w:t>2014 BCCA 454</w:t>
              </w:r>
            </w:hyperlink>
            <w:r w:rsidR="00917F7F" w:rsidRPr="00056924">
              <w:rPr>
                <w:rFonts w:eastAsiaTheme="minorHAnsi"/>
                <w:sz w:val="20"/>
                <w:lang w:val="en-CA"/>
              </w:rPr>
              <w:t>; CA041143</w:t>
            </w:r>
          </w:p>
          <w:p w:rsidR="00917F7F" w:rsidRPr="00056924" w:rsidRDefault="00917F7F" w:rsidP="00917F7F">
            <w:pPr>
              <w:jc w:val="both"/>
              <w:rPr>
                <w:rFonts w:eastAsiaTheme="minorHAnsi"/>
                <w:sz w:val="20"/>
                <w:lang w:val="en-CA"/>
              </w:rPr>
            </w:pP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Appeal dismissed</w:t>
            </w:r>
          </w:p>
          <w:p w:rsidR="00917F7F" w:rsidRPr="00056924" w:rsidRDefault="00917F7F" w:rsidP="00917F7F">
            <w:pPr>
              <w:jc w:val="both"/>
              <w:rPr>
                <w:rFonts w:eastAsiaTheme="minorHAnsi"/>
                <w:sz w:val="20"/>
                <w:lang w:val="en-CA"/>
              </w:rPr>
            </w:pP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lastRenderedPageBreak/>
              <w:t>January 8, 2015</w:t>
            </w:r>
          </w:p>
          <w:p w:rsidR="00917F7F" w:rsidRPr="00056924" w:rsidRDefault="00917F7F" w:rsidP="00917F7F">
            <w:pPr>
              <w:jc w:val="both"/>
              <w:rPr>
                <w:rFonts w:eastAsiaTheme="minorHAnsi"/>
                <w:sz w:val="20"/>
                <w:lang w:val="en-CA"/>
              </w:rPr>
            </w:pPr>
            <w:r w:rsidRPr="00056924">
              <w:rPr>
                <w:rFonts w:eastAsiaTheme="minorHAnsi"/>
                <w:sz w:val="20"/>
                <w:lang w:val="en-CA"/>
              </w:rPr>
              <w:t>Supreme Court of Canada</w:t>
            </w: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Application for leave to appeal filed</w:t>
            </w:r>
          </w:p>
        </w:tc>
      </w:tr>
    </w:tbl>
    <w:p w:rsidR="00917F7F" w:rsidRDefault="00917F7F" w:rsidP="00917F7F">
      <w:pPr>
        <w:jc w:val="both"/>
        <w:rPr>
          <w:rFonts w:eastAsiaTheme="minorHAnsi"/>
          <w:sz w:val="20"/>
          <w:lang w:val="en-CA"/>
        </w:rPr>
      </w:pPr>
    </w:p>
    <w:p w:rsidR="00056924" w:rsidRPr="00056924" w:rsidRDefault="00056924" w:rsidP="00917F7F">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7F7F" w:rsidRPr="00056924" w:rsidTr="00202E4C">
        <w:tc>
          <w:tcPr>
            <w:tcW w:w="543" w:type="pct"/>
          </w:tcPr>
          <w:p w:rsidR="00917F7F" w:rsidRPr="00056924" w:rsidRDefault="00917F7F" w:rsidP="00917F7F">
            <w:pPr>
              <w:jc w:val="both"/>
              <w:rPr>
                <w:rFonts w:eastAsiaTheme="minorHAnsi"/>
                <w:sz w:val="20"/>
                <w:lang w:val="fr-CA"/>
              </w:rPr>
            </w:pPr>
            <w:r w:rsidRPr="00056924">
              <w:rPr>
                <w:rFonts w:eastAsiaTheme="minorHAnsi"/>
                <w:b/>
                <w:sz w:val="20"/>
                <w:lang w:val="fr-CA"/>
              </w:rPr>
              <w:t>36248</w:t>
            </w:r>
          </w:p>
        </w:tc>
        <w:tc>
          <w:tcPr>
            <w:tcW w:w="4457" w:type="pct"/>
            <w:gridSpan w:val="3"/>
          </w:tcPr>
          <w:p w:rsidR="00917F7F" w:rsidRPr="00056924" w:rsidRDefault="00917F7F" w:rsidP="00917F7F">
            <w:pPr>
              <w:jc w:val="both"/>
              <w:rPr>
                <w:rFonts w:eastAsiaTheme="minorHAnsi"/>
                <w:b/>
                <w:sz w:val="20"/>
                <w:lang w:val="fr-CA"/>
              </w:rPr>
            </w:pPr>
            <w:r w:rsidRPr="00056924">
              <w:rPr>
                <w:rFonts w:eastAsiaTheme="minorHAnsi"/>
                <w:b/>
                <w:sz w:val="20"/>
                <w:lang w:val="fr-CA"/>
              </w:rPr>
              <w:t>Sheila Maguire c. Northwest Organics, Limited Partnership et Northwest Group Properties Inc., procureur général de la Colombie-Britannique</w:t>
            </w:r>
          </w:p>
          <w:p w:rsidR="00917F7F" w:rsidRPr="00056924" w:rsidRDefault="00917F7F" w:rsidP="00917F7F">
            <w:pPr>
              <w:jc w:val="both"/>
              <w:rPr>
                <w:rFonts w:eastAsiaTheme="minorHAnsi"/>
                <w:sz w:val="20"/>
                <w:lang w:val="fr-CA"/>
              </w:rPr>
            </w:pPr>
            <w:r w:rsidRPr="00056924">
              <w:rPr>
                <w:rFonts w:eastAsiaTheme="minorHAnsi"/>
                <w:sz w:val="20"/>
                <w:lang w:val="fr-CA"/>
              </w:rPr>
              <w:t>(C.-B.) (Civile) (Sur autorisation)</w:t>
            </w:r>
          </w:p>
        </w:tc>
      </w:tr>
      <w:tr w:rsidR="00917F7F" w:rsidRPr="00260D92" w:rsidTr="00202E4C">
        <w:tc>
          <w:tcPr>
            <w:tcW w:w="5000" w:type="pct"/>
            <w:gridSpan w:val="4"/>
          </w:tcPr>
          <w:p w:rsidR="00917F7F" w:rsidRPr="00056924" w:rsidRDefault="00917F7F" w:rsidP="00917F7F">
            <w:pPr>
              <w:jc w:val="both"/>
              <w:rPr>
                <w:rFonts w:eastAsiaTheme="minorHAnsi"/>
                <w:sz w:val="20"/>
                <w:lang w:val="fr-CA"/>
              </w:rPr>
            </w:pPr>
            <w:r w:rsidRPr="00056924">
              <w:rPr>
                <w:rFonts w:eastAsiaTheme="minorHAnsi"/>
                <w:sz w:val="20"/>
                <w:lang w:val="fr-CA"/>
              </w:rPr>
              <w:t xml:space="preserve">Procédure civile – Jugement sommaire – Demande de rejet d’une action en diffamation en tant que poursuite stratégique contre la mobilisation publique (« poursuite-bâillon ») – La demande est rejetée au motif qu’un critère à deux volets applicable aux demandes de rejet sommaire, proposé pour mettre en balance les valeurs consacrées par la </w:t>
            </w:r>
            <w:r w:rsidRPr="00056924">
              <w:rPr>
                <w:rFonts w:eastAsiaTheme="minorHAnsi"/>
                <w:i/>
                <w:sz w:val="20"/>
                <w:lang w:val="fr-CA"/>
              </w:rPr>
              <w:t>Charte</w:t>
            </w:r>
            <w:r w:rsidRPr="00056924">
              <w:rPr>
                <w:rFonts w:eastAsiaTheme="minorHAnsi"/>
                <w:sz w:val="20"/>
                <w:lang w:val="fr-CA"/>
              </w:rPr>
              <w:t xml:space="preserve"> que sont la liberté d’expression, l’accès à la justice et la protection de la réputation, aurait pour effet de modifier substantiellement le droit en matière de diffamation – Y a-t-il lieu de modifier le critère applicable aux demandes de rejet sommaire fondées sur la règle 9-6 des </w:t>
            </w:r>
            <w:r w:rsidRPr="00056924">
              <w:rPr>
                <w:rFonts w:eastAsiaTheme="minorHAnsi"/>
                <w:i/>
                <w:sz w:val="20"/>
                <w:lang w:val="fr-CA"/>
              </w:rPr>
              <w:t>Supreme Court Civil Rules</w:t>
            </w:r>
            <w:r w:rsidRPr="00056924">
              <w:rPr>
                <w:rFonts w:eastAsiaTheme="minorHAnsi"/>
                <w:sz w:val="20"/>
                <w:lang w:val="fr-CA"/>
              </w:rPr>
              <w:t>, BC Reg 168/2009 et, dans l’affirmative, comment faut-il le faire?</w:t>
            </w:r>
          </w:p>
        </w:tc>
      </w:tr>
      <w:tr w:rsidR="00917F7F" w:rsidRPr="00260D92" w:rsidTr="00202E4C">
        <w:tc>
          <w:tcPr>
            <w:tcW w:w="5000" w:type="pct"/>
            <w:gridSpan w:val="4"/>
          </w:tcPr>
          <w:p w:rsidR="00917F7F" w:rsidRPr="00056924" w:rsidRDefault="00917F7F" w:rsidP="00917F7F">
            <w:pPr>
              <w:jc w:val="both"/>
              <w:rPr>
                <w:rFonts w:eastAsiaTheme="minorHAnsi"/>
                <w:sz w:val="20"/>
                <w:lang w:val="fr-CA"/>
              </w:rPr>
            </w:pPr>
          </w:p>
        </w:tc>
      </w:tr>
      <w:tr w:rsidR="00917F7F" w:rsidRPr="00056924" w:rsidTr="00202E4C">
        <w:tc>
          <w:tcPr>
            <w:tcW w:w="5000" w:type="pct"/>
            <w:gridSpan w:val="4"/>
          </w:tcPr>
          <w:p w:rsidR="00917F7F" w:rsidRPr="00056924" w:rsidRDefault="00917F7F" w:rsidP="00917F7F">
            <w:pPr>
              <w:jc w:val="both"/>
              <w:rPr>
                <w:rFonts w:eastAsiaTheme="minorHAnsi"/>
                <w:sz w:val="20"/>
                <w:lang w:val="fr-CA"/>
              </w:rPr>
            </w:pPr>
            <w:r w:rsidRPr="00056924">
              <w:rPr>
                <w:rFonts w:eastAsiaTheme="minorHAnsi"/>
                <w:sz w:val="20"/>
                <w:lang w:val="fr-CA"/>
              </w:rPr>
              <w:t xml:space="preserve">La demanderesse, Mme Maguire, s’est opposée à l’aménagement d’une installation de compostage par les intimées, Northwest Organics, L.P. et Northwest Properties Inc. (« Northwest »).  Northwest a déposé un avis de poursuite civile contre elle pour diffamation.  Madame Maguire a prétendu qu’il s’agissait d’une poursuite-bâillon qui avait pour but de l’intimider et de limiter sa liberté d’expression.  Elle a demandé le rejet de la poursuite en application des règles 9-5 et 9-6 des </w:t>
            </w:r>
            <w:r w:rsidRPr="00056924">
              <w:rPr>
                <w:rFonts w:eastAsiaTheme="minorHAnsi"/>
                <w:i/>
                <w:sz w:val="20"/>
                <w:lang w:val="fr-CA"/>
              </w:rPr>
              <w:t>Supreme Court Civil Rules</w:t>
            </w:r>
            <w:r w:rsidRPr="00056924">
              <w:rPr>
                <w:rFonts w:eastAsiaTheme="minorHAnsi"/>
                <w:sz w:val="20"/>
                <w:lang w:val="fr-CA"/>
              </w:rPr>
              <w:t xml:space="preserve"> de la Colombie-Britannique. </w:t>
            </w:r>
          </w:p>
          <w:p w:rsidR="00917F7F" w:rsidRPr="00056924" w:rsidRDefault="00917F7F" w:rsidP="00917F7F">
            <w:pPr>
              <w:jc w:val="both"/>
              <w:rPr>
                <w:rFonts w:eastAsiaTheme="minorHAnsi"/>
                <w:sz w:val="20"/>
                <w:lang w:val="fr-CA"/>
              </w:rPr>
            </w:pPr>
          </w:p>
          <w:p w:rsidR="00917F7F" w:rsidRPr="00056924" w:rsidRDefault="00917F7F" w:rsidP="00917F7F">
            <w:pPr>
              <w:jc w:val="both"/>
              <w:rPr>
                <w:rFonts w:eastAsiaTheme="minorHAnsi"/>
                <w:sz w:val="20"/>
                <w:lang w:val="fr-CA"/>
              </w:rPr>
            </w:pPr>
            <w:r w:rsidRPr="00056924">
              <w:rPr>
                <w:rFonts w:eastAsiaTheme="minorHAnsi"/>
                <w:sz w:val="20"/>
                <w:lang w:val="fr-CA"/>
              </w:rPr>
              <w:t xml:space="preserve">Madame Maguire a plaidé que dans les cas de poursuites-bâillons, les règles 9-5 et 9-6 devaient être interprétées conformément aux valeurs consacrées par la </w:t>
            </w:r>
            <w:r w:rsidRPr="00056924">
              <w:rPr>
                <w:rFonts w:eastAsiaTheme="minorHAnsi"/>
                <w:i/>
                <w:sz w:val="20"/>
                <w:lang w:val="fr-CA"/>
              </w:rPr>
              <w:t>Charte</w:t>
            </w:r>
            <w:r w:rsidRPr="00056924">
              <w:rPr>
                <w:rFonts w:eastAsiaTheme="minorHAnsi"/>
                <w:sz w:val="20"/>
                <w:lang w:val="fr-CA"/>
              </w:rPr>
              <w:t xml:space="preserve"> que sont la liberté d’expression, l’accès à la justice et la protection de la réputation, et elle a proposé l’application, dans ces cas, d’un nouveau critère à deux volets.  Selon ce critère, une demande où entrerait en jeu l’expression dans l’intérêt public serait sommairement rejetée s’il n’y avait pas d’atteinte importante à la réputation ou si la demande n’avait pas de bonnes chances d’être accueillie.  La Cour suprême de la Colombie-Britannique a rejeté la demande, statuant que le critère proposé représentait un changement substantiel du droit en matière de diffamation, et non pas simplement un changement aux règles de pratique civile, et qu’il appartenait plutôt au législateur ou aux juridictions supérieures, au vu de l’ensemble de la preuve, d’apporter un tel changement.  La Cour d’appel a rejeté l’appel.</w:t>
            </w:r>
          </w:p>
          <w:p w:rsidR="00917F7F" w:rsidRPr="00056924" w:rsidRDefault="00917F7F" w:rsidP="00056924">
            <w:pPr>
              <w:jc w:val="both"/>
              <w:rPr>
                <w:rFonts w:eastAsiaTheme="minorHAnsi"/>
                <w:sz w:val="20"/>
                <w:lang w:val="fr-CA"/>
              </w:rPr>
            </w:pPr>
          </w:p>
        </w:tc>
      </w:tr>
      <w:tr w:rsidR="00917F7F" w:rsidRPr="00260D92"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26 juillet 2013</w:t>
            </w:r>
          </w:p>
          <w:p w:rsidR="00917F7F" w:rsidRPr="00056924" w:rsidRDefault="00917F7F" w:rsidP="00917F7F">
            <w:pPr>
              <w:jc w:val="both"/>
              <w:rPr>
                <w:rFonts w:eastAsiaTheme="minorHAnsi"/>
                <w:sz w:val="20"/>
                <w:lang w:val="fr-CA"/>
              </w:rPr>
            </w:pPr>
            <w:r w:rsidRPr="00056924">
              <w:rPr>
                <w:rFonts w:eastAsiaTheme="minorHAnsi"/>
                <w:sz w:val="20"/>
                <w:lang w:val="fr-CA"/>
              </w:rPr>
              <w:t>Cour suprême de la Colombie-Britannique</w:t>
            </w:r>
          </w:p>
          <w:p w:rsidR="00917F7F" w:rsidRPr="00056924" w:rsidRDefault="00917F7F" w:rsidP="00917F7F">
            <w:pPr>
              <w:jc w:val="both"/>
              <w:rPr>
                <w:rFonts w:eastAsiaTheme="minorHAnsi"/>
                <w:sz w:val="20"/>
                <w:lang w:val="fr-CA"/>
              </w:rPr>
            </w:pPr>
            <w:r w:rsidRPr="00056924">
              <w:rPr>
                <w:rFonts w:eastAsiaTheme="minorHAnsi"/>
                <w:sz w:val="20"/>
                <w:lang w:val="fr-CA"/>
              </w:rPr>
              <w:t>(Juge Savage)</w:t>
            </w:r>
          </w:p>
          <w:p w:rsidR="00917F7F" w:rsidRPr="00056924" w:rsidRDefault="00260D92" w:rsidP="00917F7F">
            <w:pPr>
              <w:jc w:val="both"/>
              <w:rPr>
                <w:rFonts w:eastAsiaTheme="minorHAnsi"/>
                <w:sz w:val="20"/>
                <w:lang w:val="fr-CA"/>
              </w:rPr>
            </w:pPr>
            <w:hyperlink r:id="rId21" w:history="1">
              <w:r w:rsidR="00917F7F" w:rsidRPr="00056924">
                <w:rPr>
                  <w:rFonts w:eastAsiaTheme="minorHAnsi"/>
                  <w:color w:val="0000FF" w:themeColor="hyperlink"/>
                  <w:sz w:val="20"/>
                  <w:u w:val="single"/>
                  <w:lang w:val="fr-CA"/>
                </w:rPr>
                <w:t>2013 BCSC 1328</w:t>
              </w:r>
            </w:hyperlink>
          </w:p>
          <w:p w:rsidR="00917F7F" w:rsidRPr="00056924" w:rsidRDefault="00917F7F" w:rsidP="00917F7F">
            <w:pPr>
              <w:jc w:val="both"/>
              <w:rPr>
                <w:rFonts w:eastAsiaTheme="minorHAnsi"/>
                <w:sz w:val="20"/>
                <w:lang w:val="fr-CA"/>
              </w:rPr>
            </w:pPr>
          </w:p>
        </w:tc>
        <w:tc>
          <w:tcPr>
            <w:tcW w:w="243" w:type="pct"/>
          </w:tcPr>
          <w:p w:rsidR="00917F7F" w:rsidRPr="00056924" w:rsidRDefault="00917F7F" w:rsidP="00917F7F">
            <w:pPr>
              <w:jc w:val="both"/>
              <w:rPr>
                <w:rFonts w:eastAsiaTheme="minorHAnsi"/>
                <w:sz w:val="20"/>
                <w:lang w:val="fr-CA"/>
              </w:rPr>
            </w:pPr>
          </w:p>
        </w:tc>
        <w:tc>
          <w:tcPr>
            <w:tcW w:w="2330" w:type="pct"/>
          </w:tcPr>
          <w:p w:rsidR="00917F7F" w:rsidRPr="00056924" w:rsidRDefault="00917F7F" w:rsidP="00917F7F">
            <w:pPr>
              <w:jc w:val="both"/>
              <w:rPr>
                <w:rFonts w:eastAsiaTheme="minorHAnsi"/>
                <w:i/>
                <w:sz w:val="20"/>
                <w:lang w:val="fr-CA"/>
              </w:rPr>
            </w:pPr>
            <w:r w:rsidRPr="00056924">
              <w:rPr>
                <w:rFonts w:eastAsiaTheme="minorHAnsi"/>
                <w:sz w:val="20"/>
                <w:lang w:val="fr-CA"/>
              </w:rPr>
              <w:t xml:space="preserve">Rejet de la demande en rejet des allégations des demanderesses en première instance sur le fondement d’une interprétation modifiée au regard de la </w:t>
            </w:r>
            <w:r w:rsidRPr="00056924">
              <w:rPr>
                <w:rFonts w:eastAsiaTheme="minorHAnsi"/>
                <w:i/>
                <w:sz w:val="20"/>
                <w:lang w:val="fr-CA"/>
              </w:rPr>
              <w:t>Charte</w:t>
            </w:r>
            <w:r w:rsidRPr="00056924">
              <w:rPr>
                <w:rFonts w:eastAsiaTheme="minorHAnsi"/>
                <w:sz w:val="20"/>
                <w:lang w:val="fr-CA"/>
              </w:rPr>
              <w:t xml:space="preserve"> des règles 9-5 et 9-6 des </w:t>
            </w:r>
            <w:r w:rsidRPr="00056924">
              <w:rPr>
                <w:rFonts w:eastAsiaTheme="minorHAnsi"/>
                <w:i/>
                <w:sz w:val="20"/>
                <w:lang w:val="fr-CA"/>
              </w:rPr>
              <w:t>Supreme Court Civil Rules</w:t>
            </w:r>
            <w:r w:rsidRPr="00056924">
              <w:rPr>
                <w:rFonts w:eastAsiaTheme="minorHAnsi"/>
                <w:sz w:val="20"/>
                <w:lang w:val="fr-CA"/>
              </w:rPr>
              <w:t xml:space="preserve">; demande de rejet des allégations fondée sur les règles  9-5 et 9-6 (sans modification au regard de la </w:t>
            </w:r>
            <w:r w:rsidRPr="00056924">
              <w:rPr>
                <w:rFonts w:eastAsiaTheme="minorHAnsi"/>
                <w:i/>
                <w:sz w:val="20"/>
                <w:lang w:val="fr-CA"/>
              </w:rPr>
              <w:t>Charte</w:t>
            </w:r>
            <w:r w:rsidRPr="00056924">
              <w:rPr>
                <w:rFonts w:eastAsiaTheme="minorHAnsi"/>
                <w:sz w:val="20"/>
                <w:lang w:val="fr-CA"/>
              </w:rPr>
              <w:t xml:space="preserve">) ajournée </w:t>
            </w:r>
            <w:r w:rsidRPr="00056924">
              <w:rPr>
                <w:rFonts w:eastAsiaTheme="minorHAnsi"/>
                <w:i/>
                <w:sz w:val="20"/>
                <w:lang w:val="fr-CA"/>
              </w:rPr>
              <w:t>sine die</w:t>
            </w:r>
          </w:p>
          <w:p w:rsidR="00917F7F" w:rsidRPr="00056924" w:rsidRDefault="00917F7F" w:rsidP="00917F7F">
            <w:pPr>
              <w:jc w:val="both"/>
              <w:rPr>
                <w:rFonts w:eastAsiaTheme="minorHAnsi"/>
                <w:sz w:val="20"/>
                <w:lang w:val="fr-CA"/>
              </w:rPr>
            </w:pPr>
          </w:p>
        </w:tc>
      </w:tr>
      <w:tr w:rsidR="00917F7F" w:rsidRPr="00056924"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10 novembre 2014</w:t>
            </w:r>
          </w:p>
          <w:p w:rsidR="00917F7F" w:rsidRPr="00056924" w:rsidRDefault="00917F7F" w:rsidP="00917F7F">
            <w:pPr>
              <w:jc w:val="both"/>
              <w:rPr>
                <w:rFonts w:eastAsiaTheme="minorHAnsi"/>
                <w:sz w:val="20"/>
                <w:lang w:val="fr-CA"/>
              </w:rPr>
            </w:pPr>
            <w:r w:rsidRPr="00056924">
              <w:rPr>
                <w:rFonts w:eastAsiaTheme="minorHAnsi"/>
                <w:sz w:val="20"/>
                <w:lang w:val="fr-CA"/>
              </w:rPr>
              <w:t>Cour d’appel de la Colombie-Britannique</w:t>
            </w:r>
          </w:p>
          <w:p w:rsidR="00917F7F" w:rsidRPr="00056924" w:rsidRDefault="00917F7F" w:rsidP="00917F7F">
            <w:pPr>
              <w:jc w:val="both"/>
              <w:rPr>
                <w:rFonts w:eastAsiaTheme="minorHAnsi"/>
                <w:sz w:val="20"/>
                <w:lang w:val="fr-CA"/>
              </w:rPr>
            </w:pPr>
            <w:r w:rsidRPr="00056924">
              <w:rPr>
                <w:rFonts w:eastAsiaTheme="minorHAnsi"/>
                <w:sz w:val="20"/>
                <w:lang w:val="fr-CA"/>
              </w:rPr>
              <w:t>(Vancouver)</w:t>
            </w:r>
          </w:p>
          <w:p w:rsidR="00917F7F" w:rsidRPr="00056924" w:rsidRDefault="00917F7F" w:rsidP="00917F7F">
            <w:pPr>
              <w:jc w:val="both"/>
              <w:rPr>
                <w:rFonts w:eastAsiaTheme="minorHAnsi"/>
                <w:sz w:val="20"/>
                <w:lang w:val="fr-CA"/>
              </w:rPr>
            </w:pPr>
            <w:r w:rsidRPr="00056924">
              <w:rPr>
                <w:rFonts w:eastAsiaTheme="minorHAnsi"/>
                <w:sz w:val="20"/>
                <w:lang w:val="fr-CA"/>
              </w:rPr>
              <w:t>(Juges Tysoe, Garson et MacKenzie)</w:t>
            </w:r>
          </w:p>
          <w:p w:rsidR="00917F7F" w:rsidRPr="00056924" w:rsidRDefault="00260D92" w:rsidP="00917F7F">
            <w:pPr>
              <w:jc w:val="both"/>
              <w:rPr>
                <w:rFonts w:eastAsiaTheme="minorHAnsi"/>
                <w:sz w:val="20"/>
                <w:lang w:val="fr-CA"/>
              </w:rPr>
            </w:pPr>
            <w:hyperlink r:id="rId22" w:history="1">
              <w:r w:rsidR="00917F7F" w:rsidRPr="00056924">
                <w:rPr>
                  <w:rFonts w:eastAsiaTheme="minorHAnsi"/>
                  <w:color w:val="0000FF" w:themeColor="hyperlink"/>
                  <w:sz w:val="20"/>
                  <w:u w:val="single"/>
                  <w:lang w:val="fr-CA"/>
                </w:rPr>
                <w:t>2014 BCCA 454</w:t>
              </w:r>
            </w:hyperlink>
            <w:r w:rsidR="00917F7F" w:rsidRPr="00056924">
              <w:rPr>
                <w:rFonts w:eastAsiaTheme="minorHAnsi"/>
                <w:sz w:val="20"/>
                <w:lang w:val="fr-CA"/>
              </w:rPr>
              <w:t>; CA041143</w:t>
            </w:r>
          </w:p>
          <w:p w:rsidR="00917F7F" w:rsidRPr="00056924" w:rsidRDefault="00917F7F" w:rsidP="00917F7F">
            <w:pPr>
              <w:jc w:val="both"/>
              <w:rPr>
                <w:rFonts w:eastAsiaTheme="minorHAnsi"/>
                <w:sz w:val="20"/>
                <w:lang w:val="fr-CA"/>
              </w:rPr>
            </w:pPr>
          </w:p>
        </w:tc>
        <w:tc>
          <w:tcPr>
            <w:tcW w:w="243" w:type="pct"/>
          </w:tcPr>
          <w:p w:rsidR="00917F7F" w:rsidRPr="00056924" w:rsidRDefault="00917F7F" w:rsidP="00917F7F">
            <w:pPr>
              <w:jc w:val="both"/>
              <w:rPr>
                <w:rFonts w:eastAsiaTheme="minorHAnsi"/>
                <w:sz w:val="20"/>
                <w:lang w:val="fr-CA"/>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Rejet de l’appel</w:t>
            </w:r>
          </w:p>
          <w:p w:rsidR="00917F7F" w:rsidRPr="00056924" w:rsidRDefault="00917F7F" w:rsidP="00917F7F">
            <w:pPr>
              <w:jc w:val="both"/>
              <w:rPr>
                <w:rFonts w:eastAsiaTheme="minorHAnsi"/>
                <w:sz w:val="20"/>
                <w:lang w:val="fr-CA"/>
              </w:rPr>
            </w:pPr>
          </w:p>
        </w:tc>
      </w:tr>
      <w:tr w:rsidR="00917F7F" w:rsidRPr="00260D92"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8 janvier 2015</w:t>
            </w:r>
          </w:p>
          <w:p w:rsidR="00917F7F" w:rsidRPr="00056924" w:rsidRDefault="00917F7F" w:rsidP="00917F7F">
            <w:pPr>
              <w:jc w:val="both"/>
              <w:rPr>
                <w:rFonts w:eastAsiaTheme="minorHAnsi"/>
                <w:sz w:val="20"/>
                <w:lang w:val="fr-CA"/>
              </w:rPr>
            </w:pPr>
            <w:r w:rsidRPr="00056924">
              <w:rPr>
                <w:rFonts w:eastAsiaTheme="minorHAnsi"/>
                <w:sz w:val="20"/>
                <w:lang w:val="fr-CA"/>
              </w:rPr>
              <w:t>Cour suprême du Canada</w:t>
            </w:r>
          </w:p>
        </w:tc>
        <w:tc>
          <w:tcPr>
            <w:tcW w:w="243" w:type="pct"/>
          </w:tcPr>
          <w:p w:rsidR="00917F7F" w:rsidRPr="00056924" w:rsidRDefault="00917F7F" w:rsidP="00917F7F">
            <w:pPr>
              <w:jc w:val="both"/>
              <w:rPr>
                <w:rFonts w:eastAsiaTheme="minorHAnsi"/>
                <w:sz w:val="20"/>
                <w:lang w:val="fr-CA"/>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Dépôt de la demande d’autorisation d’appel</w:t>
            </w:r>
          </w:p>
        </w:tc>
      </w:tr>
    </w:tbl>
    <w:p w:rsidR="00917F7F" w:rsidRDefault="00917F7F" w:rsidP="00917F7F">
      <w:pPr>
        <w:jc w:val="both"/>
        <w:rPr>
          <w:rFonts w:eastAsiaTheme="minorHAnsi"/>
          <w:sz w:val="20"/>
          <w:lang w:val="fr-CA"/>
        </w:rPr>
      </w:pPr>
    </w:p>
    <w:p w:rsidR="00056924" w:rsidRPr="00056924" w:rsidRDefault="00056924" w:rsidP="00917F7F">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7F7F" w:rsidRPr="00056924" w:rsidTr="00202E4C">
        <w:tc>
          <w:tcPr>
            <w:tcW w:w="543" w:type="pct"/>
          </w:tcPr>
          <w:p w:rsidR="00917F7F" w:rsidRPr="00056924" w:rsidRDefault="00917F7F" w:rsidP="00917F7F">
            <w:pPr>
              <w:jc w:val="both"/>
              <w:rPr>
                <w:rFonts w:eastAsiaTheme="minorHAnsi"/>
                <w:sz w:val="20"/>
                <w:lang w:val="en-CA"/>
              </w:rPr>
            </w:pPr>
            <w:r w:rsidRPr="00056924">
              <w:rPr>
                <w:rFonts w:eastAsiaTheme="minorHAnsi"/>
                <w:b/>
                <w:sz w:val="20"/>
                <w:lang w:val="en-CA"/>
              </w:rPr>
              <w:lastRenderedPageBreak/>
              <w:t>36283</w:t>
            </w:r>
          </w:p>
        </w:tc>
        <w:tc>
          <w:tcPr>
            <w:tcW w:w="4457" w:type="pct"/>
            <w:gridSpan w:val="3"/>
          </w:tcPr>
          <w:p w:rsidR="00917F7F" w:rsidRPr="00056924" w:rsidRDefault="00917F7F" w:rsidP="00917F7F">
            <w:pPr>
              <w:jc w:val="both"/>
              <w:rPr>
                <w:rFonts w:eastAsiaTheme="minorHAnsi"/>
                <w:b/>
                <w:sz w:val="20"/>
                <w:lang w:val="en-CA"/>
              </w:rPr>
            </w:pPr>
            <w:r w:rsidRPr="00056924">
              <w:rPr>
                <w:rFonts w:eastAsiaTheme="minorHAnsi"/>
                <w:b/>
                <w:sz w:val="20"/>
                <w:lang w:val="en-CA"/>
              </w:rPr>
              <w:t>Jennifer Tanudjaja, Janice Arsenault, Ansat Mahmood, Brian DuBourdieu and Centre for Equality Rights in Accommodation v. Attorney General of Canada, Attorney General of Ontario</w:t>
            </w:r>
          </w:p>
          <w:p w:rsidR="00917F7F" w:rsidRPr="00056924" w:rsidRDefault="00917F7F" w:rsidP="00917F7F">
            <w:pPr>
              <w:jc w:val="both"/>
              <w:rPr>
                <w:rFonts w:eastAsiaTheme="minorHAnsi"/>
                <w:sz w:val="20"/>
                <w:lang w:val="en-CA"/>
              </w:rPr>
            </w:pPr>
            <w:r w:rsidRPr="00056924">
              <w:rPr>
                <w:rFonts w:eastAsiaTheme="minorHAnsi"/>
                <w:sz w:val="20"/>
                <w:lang w:val="en-CA"/>
              </w:rPr>
              <w:t>(Ont.) (Civil) (By Leave)</w:t>
            </w:r>
          </w:p>
        </w:tc>
      </w:tr>
      <w:tr w:rsidR="00917F7F" w:rsidRPr="00056924" w:rsidTr="00202E4C">
        <w:tc>
          <w:tcPr>
            <w:tcW w:w="5000" w:type="pct"/>
            <w:gridSpan w:val="4"/>
          </w:tcPr>
          <w:p w:rsidR="00917F7F" w:rsidRPr="00056924" w:rsidRDefault="00917F7F" w:rsidP="00917F7F">
            <w:pPr>
              <w:jc w:val="both"/>
              <w:rPr>
                <w:rFonts w:eastAsiaTheme="minorHAnsi"/>
                <w:sz w:val="20"/>
                <w:lang w:val="en-CA"/>
              </w:rPr>
            </w:pPr>
            <w:r w:rsidRPr="00056924">
              <w:rPr>
                <w:rFonts w:eastAsiaTheme="minorHAnsi"/>
                <w:i/>
                <w:sz w:val="20"/>
                <w:lang w:val="en-CA"/>
              </w:rPr>
              <w:t>Charter of rights</w:t>
            </w:r>
            <w:r w:rsidRPr="00056924">
              <w:rPr>
                <w:rFonts w:eastAsiaTheme="minorHAnsi"/>
                <w:sz w:val="20"/>
                <w:lang w:val="en-CA"/>
              </w:rPr>
              <w:t xml:space="preserve"> — Right to life, liberty and security of the person — Right to equality — Judgments and orders — Summary judgment — Delay — Whether the lower courts erred in granting summary judgment — Whether the justiciability of economic rights fundamental to human life or survival can be determined in the absence of evidence — Whether the extent of positive obligations to safeguard the rights to life and security of the person under s. 7 of the </w:t>
            </w:r>
            <w:r w:rsidRPr="00056924">
              <w:rPr>
                <w:rFonts w:eastAsiaTheme="minorHAnsi"/>
                <w:i/>
                <w:sz w:val="20"/>
                <w:lang w:val="en-CA"/>
              </w:rPr>
              <w:t>Charter</w:t>
            </w:r>
            <w:r w:rsidRPr="00056924">
              <w:rPr>
                <w:rFonts w:eastAsiaTheme="minorHAnsi"/>
                <w:sz w:val="20"/>
                <w:lang w:val="en-CA"/>
              </w:rPr>
              <w:t xml:space="preserve"> can be determined in the absence of evidence — Whether homelessness is an analogous ground on which discrimination is prohibited under s. 15 of the </w:t>
            </w:r>
            <w:r w:rsidRPr="00056924">
              <w:rPr>
                <w:rFonts w:eastAsiaTheme="minorHAnsi"/>
                <w:i/>
                <w:sz w:val="20"/>
                <w:lang w:val="en-CA"/>
              </w:rPr>
              <w:t>Charter</w:t>
            </w:r>
            <w:r w:rsidRPr="00056924">
              <w:rPr>
                <w:rFonts w:eastAsiaTheme="minorHAnsi"/>
                <w:sz w:val="20"/>
                <w:lang w:val="en-CA"/>
              </w:rPr>
              <w:t xml:space="preserve"> — Under what circumstances can motions be brought to strike novel constitutional rights claims? </w:t>
            </w:r>
          </w:p>
        </w:tc>
      </w:tr>
      <w:tr w:rsidR="00917F7F" w:rsidRPr="00056924" w:rsidTr="00202E4C">
        <w:tc>
          <w:tcPr>
            <w:tcW w:w="5000" w:type="pct"/>
            <w:gridSpan w:val="4"/>
          </w:tcPr>
          <w:p w:rsidR="00917F7F" w:rsidRPr="00056924" w:rsidRDefault="00917F7F" w:rsidP="00917F7F">
            <w:pPr>
              <w:jc w:val="both"/>
              <w:rPr>
                <w:rFonts w:eastAsiaTheme="minorHAnsi"/>
                <w:sz w:val="20"/>
                <w:lang w:val="en-CA"/>
              </w:rPr>
            </w:pPr>
          </w:p>
        </w:tc>
      </w:tr>
      <w:tr w:rsidR="00917F7F" w:rsidRPr="00056924" w:rsidTr="00202E4C">
        <w:tc>
          <w:tcPr>
            <w:tcW w:w="5000" w:type="pct"/>
            <w:gridSpan w:val="4"/>
          </w:tcPr>
          <w:p w:rsidR="00917F7F" w:rsidRPr="00056924" w:rsidRDefault="00917F7F" w:rsidP="00917F7F">
            <w:pPr>
              <w:jc w:val="both"/>
              <w:rPr>
                <w:rFonts w:eastAsiaTheme="minorHAnsi"/>
                <w:sz w:val="20"/>
                <w:lang w:val="en-CA"/>
              </w:rPr>
            </w:pPr>
            <w:r w:rsidRPr="00056924">
              <w:rPr>
                <w:rFonts w:eastAsiaTheme="minorHAnsi"/>
                <w:sz w:val="20"/>
                <w:lang w:val="en-CA"/>
              </w:rPr>
              <w:t xml:space="preserve">The application alleges that actions and inaction on the part of Canada and Ontario have resulted in homelessness and inadequate housing in violation of the right to life, liberty and security of the person under s. 7 of the </w:t>
            </w:r>
            <w:r w:rsidRPr="00056924">
              <w:rPr>
                <w:rFonts w:eastAsiaTheme="minorHAnsi"/>
                <w:i/>
                <w:sz w:val="20"/>
                <w:lang w:val="en-CA"/>
              </w:rPr>
              <w:t>Charter</w:t>
            </w:r>
            <w:r w:rsidRPr="00056924">
              <w:rPr>
                <w:rFonts w:eastAsiaTheme="minorHAnsi"/>
                <w:sz w:val="20"/>
                <w:lang w:val="en-CA"/>
              </w:rPr>
              <w:t xml:space="preserve"> and the right to equality under s. 15 of the </w:t>
            </w:r>
            <w:r w:rsidRPr="00056924">
              <w:rPr>
                <w:rFonts w:eastAsiaTheme="minorHAnsi"/>
                <w:i/>
                <w:sz w:val="20"/>
                <w:lang w:val="en-CA"/>
              </w:rPr>
              <w:t>Charter</w:t>
            </w:r>
            <w:r w:rsidRPr="00056924">
              <w:rPr>
                <w:rFonts w:eastAsiaTheme="minorHAnsi"/>
                <w:sz w:val="20"/>
                <w:lang w:val="en-CA"/>
              </w:rPr>
              <w:t>.  It requested declarations that the governments of Canada and Ontario have created conditions that lead to homelessness and inadequate housing; that they have failed to effectively address those problems; that they have obligations pursuant to ss. 7 and 15 to implement effective national and provincial strategies to reduce and eliminate those problems; and that their failure to implement effective national and provincial strategies to those ends violates the applicants’ life, liberty and security of the person contrary to s. 7 and their right to equality contrary to s. 15(1).  They also requested an order that the governments implement effective national and provincial strategies to reduce and eliminate homelessness and inadequate housing in consultation with affected groups, and an order that the Superior Court of Justice shall remain seized of supervisory jurisdiction to address concerns regarding implementation of the order requested.  The Attorneys General for Canada and Ontario brought motions to strike the application, saying that it did not disclose a reasonable cause of action and raised issues that are not justiciable.</w:t>
            </w:r>
          </w:p>
          <w:p w:rsidR="00917F7F" w:rsidRPr="00056924" w:rsidRDefault="00917F7F" w:rsidP="00917F7F">
            <w:pPr>
              <w:jc w:val="both"/>
              <w:rPr>
                <w:rFonts w:eastAsiaTheme="minorHAnsi"/>
                <w:sz w:val="20"/>
                <w:lang w:val="en-CA"/>
              </w:rPr>
            </w:pPr>
          </w:p>
          <w:p w:rsidR="00917F7F" w:rsidRPr="00056924" w:rsidRDefault="00917F7F" w:rsidP="00917F7F">
            <w:pPr>
              <w:jc w:val="both"/>
              <w:rPr>
                <w:rFonts w:eastAsiaTheme="minorHAnsi"/>
                <w:sz w:val="20"/>
                <w:lang w:val="en-CA"/>
              </w:rPr>
            </w:pPr>
            <w:r w:rsidRPr="00056924">
              <w:rPr>
                <w:rFonts w:eastAsiaTheme="minorHAnsi"/>
                <w:sz w:val="20"/>
                <w:lang w:val="en-CA"/>
              </w:rPr>
              <w:t>The motions judge granted the motions to strike, and a majority of the Court of Appeal dismissed the appeal.</w:t>
            </w:r>
          </w:p>
          <w:p w:rsidR="00917F7F" w:rsidRPr="00056924" w:rsidRDefault="00917F7F" w:rsidP="00917F7F">
            <w:pPr>
              <w:jc w:val="both"/>
              <w:rPr>
                <w:rFonts w:eastAsiaTheme="minorHAnsi"/>
                <w:sz w:val="20"/>
                <w:lang w:val="en-CA"/>
              </w:rPr>
            </w:pP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t>September 6, 2013</w:t>
            </w:r>
          </w:p>
          <w:p w:rsidR="00917F7F" w:rsidRPr="00056924" w:rsidRDefault="00917F7F" w:rsidP="00917F7F">
            <w:pPr>
              <w:jc w:val="both"/>
              <w:rPr>
                <w:rFonts w:eastAsiaTheme="minorHAnsi"/>
                <w:sz w:val="20"/>
                <w:lang w:val="en-CA"/>
              </w:rPr>
            </w:pPr>
            <w:r w:rsidRPr="00056924">
              <w:rPr>
                <w:rFonts w:eastAsiaTheme="minorHAnsi"/>
                <w:sz w:val="20"/>
                <w:lang w:val="en-CA"/>
              </w:rPr>
              <w:t>Ontario Superior Court of Justice</w:t>
            </w:r>
          </w:p>
          <w:p w:rsidR="00917F7F" w:rsidRPr="00056924" w:rsidRDefault="00917F7F" w:rsidP="00917F7F">
            <w:pPr>
              <w:jc w:val="both"/>
              <w:rPr>
                <w:rFonts w:eastAsiaTheme="minorHAnsi"/>
                <w:sz w:val="20"/>
                <w:lang w:val="en-CA"/>
              </w:rPr>
            </w:pPr>
            <w:r w:rsidRPr="00056924">
              <w:rPr>
                <w:rFonts w:eastAsiaTheme="minorHAnsi"/>
                <w:sz w:val="20"/>
                <w:lang w:val="en-CA"/>
              </w:rPr>
              <w:t>(Lederer J.)</w:t>
            </w:r>
          </w:p>
          <w:p w:rsidR="00917F7F" w:rsidRPr="00056924" w:rsidRDefault="00260D92" w:rsidP="00917F7F">
            <w:pPr>
              <w:jc w:val="both"/>
              <w:rPr>
                <w:rFonts w:eastAsiaTheme="minorHAnsi"/>
                <w:sz w:val="20"/>
                <w:lang w:val="en-CA"/>
              </w:rPr>
            </w:pPr>
            <w:hyperlink r:id="rId23" w:history="1">
              <w:r w:rsidR="00917F7F" w:rsidRPr="00056924">
                <w:rPr>
                  <w:rFonts w:eastAsiaTheme="minorHAnsi"/>
                  <w:color w:val="0000FF" w:themeColor="hyperlink"/>
                  <w:sz w:val="20"/>
                  <w:u w:val="single"/>
                  <w:lang w:val="en-CA"/>
                </w:rPr>
                <w:t>2013 ONSC 5410</w:t>
              </w:r>
            </w:hyperlink>
          </w:p>
          <w:p w:rsidR="00917F7F" w:rsidRPr="00056924" w:rsidRDefault="00917F7F" w:rsidP="00917F7F">
            <w:pPr>
              <w:jc w:val="both"/>
              <w:rPr>
                <w:rFonts w:eastAsiaTheme="minorHAnsi"/>
                <w:sz w:val="20"/>
                <w:lang w:val="en-CA"/>
              </w:rPr>
            </w:pP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Motions to strike application granted</w:t>
            </w:r>
          </w:p>
          <w:p w:rsidR="00917F7F" w:rsidRPr="00056924" w:rsidRDefault="00917F7F" w:rsidP="00917F7F">
            <w:pPr>
              <w:jc w:val="both"/>
              <w:rPr>
                <w:rFonts w:eastAsiaTheme="minorHAnsi"/>
                <w:sz w:val="20"/>
                <w:lang w:val="en-CA"/>
              </w:rPr>
            </w:pP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t>December 1, 2014</w:t>
            </w:r>
          </w:p>
          <w:p w:rsidR="00917F7F" w:rsidRPr="00056924" w:rsidRDefault="00917F7F" w:rsidP="00917F7F">
            <w:pPr>
              <w:jc w:val="both"/>
              <w:rPr>
                <w:rFonts w:eastAsiaTheme="minorHAnsi"/>
                <w:sz w:val="20"/>
                <w:lang w:val="en-CA"/>
              </w:rPr>
            </w:pPr>
            <w:r w:rsidRPr="00056924">
              <w:rPr>
                <w:rFonts w:eastAsiaTheme="minorHAnsi"/>
                <w:sz w:val="20"/>
                <w:lang w:val="en-CA"/>
              </w:rPr>
              <w:t>Court of Appeal for Ontario</w:t>
            </w:r>
          </w:p>
          <w:p w:rsidR="00917F7F" w:rsidRPr="00056924" w:rsidRDefault="00917F7F" w:rsidP="00917F7F">
            <w:pPr>
              <w:jc w:val="both"/>
              <w:rPr>
                <w:rFonts w:eastAsiaTheme="minorHAnsi"/>
                <w:sz w:val="20"/>
                <w:lang w:val="en-CA"/>
              </w:rPr>
            </w:pPr>
            <w:r w:rsidRPr="00056924">
              <w:rPr>
                <w:rFonts w:eastAsiaTheme="minorHAnsi"/>
                <w:sz w:val="20"/>
                <w:lang w:val="en-CA"/>
              </w:rPr>
              <w:t>(Feldman (dissenting), Pardu JJ.A., Strathy J. (</w:t>
            </w:r>
            <w:r w:rsidRPr="00056924">
              <w:rPr>
                <w:rFonts w:eastAsiaTheme="minorHAnsi"/>
                <w:i/>
                <w:sz w:val="20"/>
                <w:lang w:val="en-CA"/>
              </w:rPr>
              <w:t>ad hoc</w:t>
            </w:r>
            <w:r w:rsidRPr="00056924">
              <w:rPr>
                <w:rFonts w:eastAsiaTheme="minorHAnsi"/>
                <w:sz w:val="20"/>
                <w:lang w:val="en-CA"/>
              </w:rPr>
              <w:t>))</w:t>
            </w:r>
          </w:p>
          <w:p w:rsidR="00917F7F" w:rsidRPr="00056924" w:rsidRDefault="00260D92" w:rsidP="00917F7F">
            <w:pPr>
              <w:jc w:val="both"/>
              <w:rPr>
                <w:rFonts w:eastAsiaTheme="minorHAnsi"/>
                <w:sz w:val="20"/>
                <w:lang w:val="en-CA"/>
              </w:rPr>
            </w:pPr>
            <w:hyperlink r:id="rId24" w:history="1">
              <w:r w:rsidR="00917F7F" w:rsidRPr="00056924">
                <w:rPr>
                  <w:rFonts w:eastAsiaTheme="minorHAnsi"/>
                  <w:color w:val="0000FF" w:themeColor="hyperlink"/>
                  <w:sz w:val="20"/>
                  <w:u w:val="single"/>
                  <w:lang w:val="en-CA"/>
                </w:rPr>
                <w:t>2014 ONCA 852</w:t>
              </w:r>
            </w:hyperlink>
          </w:p>
          <w:p w:rsidR="00917F7F" w:rsidRPr="00056924" w:rsidRDefault="00917F7F" w:rsidP="00917F7F">
            <w:pPr>
              <w:jc w:val="both"/>
              <w:rPr>
                <w:rFonts w:eastAsiaTheme="minorHAnsi"/>
                <w:sz w:val="20"/>
                <w:lang w:val="en-CA"/>
              </w:rPr>
            </w:pP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Appeal dismissed</w:t>
            </w:r>
          </w:p>
          <w:p w:rsidR="00917F7F" w:rsidRPr="00056924" w:rsidRDefault="00917F7F" w:rsidP="00917F7F">
            <w:pPr>
              <w:jc w:val="both"/>
              <w:rPr>
                <w:rFonts w:eastAsiaTheme="minorHAnsi"/>
                <w:sz w:val="20"/>
                <w:lang w:val="en-CA"/>
              </w:rPr>
            </w:pP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t>January 28, 2015</w:t>
            </w:r>
          </w:p>
          <w:p w:rsidR="00917F7F" w:rsidRPr="00056924" w:rsidRDefault="00917F7F" w:rsidP="00917F7F">
            <w:pPr>
              <w:jc w:val="both"/>
              <w:rPr>
                <w:rFonts w:eastAsiaTheme="minorHAnsi"/>
                <w:sz w:val="20"/>
                <w:lang w:val="en-CA"/>
              </w:rPr>
            </w:pPr>
            <w:r w:rsidRPr="00056924">
              <w:rPr>
                <w:rFonts w:eastAsiaTheme="minorHAnsi"/>
                <w:sz w:val="20"/>
                <w:lang w:val="en-CA"/>
              </w:rPr>
              <w:t>Supreme Court of Canada</w:t>
            </w: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Application for leave to appeal filed</w:t>
            </w:r>
          </w:p>
        </w:tc>
      </w:tr>
    </w:tbl>
    <w:p w:rsidR="00917F7F" w:rsidRDefault="00917F7F" w:rsidP="00917F7F">
      <w:pPr>
        <w:jc w:val="both"/>
        <w:rPr>
          <w:rFonts w:eastAsiaTheme="minorHAnsi"/>
          <w:sz w:val="20"/>
          <w:lang w:val="en-CA"/>
        </w:rPr>
      </w:pPr>
    </w:p>
    <w:p w:rsidR="00056924" w:rsidRPr="00056924" w:rsidRDefault="00056924" w:rsidP="00917F7F">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7F7F" w:rsidRPr="00056924" w:rsidTr="00202E4C">
        <w:tc>
          <w:tcPr>
            <w:tcW w:w="543" w:type="pct"/>
          </w:tcPr>
          <w:p w:rsidR="00917F7F" w:rsidRPr="00056924" w:rsidRDefault="00917F7F" w:rsidP="00917F7F">
            <w:pPr>
              <w:jc w:val="both"/>
              <w:rPr>
                <w:rFonts w:eastAsiaTheme="minorHAnsi"/>
                <w:sz w:val="20"/>
                <w:lang w:val="fr-CA"/>
              </w:rPr>
            </w:pPr>
            <w:r w:rsidRPr="00056924">
              <w:rPr>
                <w:rFonts w:eastAsiaTheme="minorHAnsi"/>
                <w:b/>
                <w:sz w:val="20"/>
                <w:lang w:val="fr-CA"/>
              </w:rPr>
              <w:t>36283</w:t>
            </w:r>
          </w:p>
        </w:tc>
        <w:tc>
          <w:tcPr>
            <w:tcW w:w="4457" w:type="pct"/>
            <w:gridSpan w:val="3"/>
          </w:tcPr>
          <w:p w:rsidR="00917F7F" w:rsidRPr="00056924" w:rsidRDefault="00917F7F" w:rsidP="00917F7F">
            <w:pPr>
              <w:jc w:val="both"/>
              <w:rPr>
                <w:rFonts w:eastAsiaTheme="minorHAnsi"/>
                <w:b/>
                <w:sz w:val="20"/>
                <w:lang w:val="fr-CA"/>
              </w:rPr>
            </w:pPr>
            <w:r w:rsidRPr="00056924">
              <w:rPr>
                <w:rFonts w:eastAsiaTheme="minorHAnsi"/>
                <w:b/>
                <w:sz w:val="20"/>
                <w:lang w:val="fr-CA"/>
              </w:rPr>
              <w:t>Jennifer Tanudjaja, Janice Arsenault, Ansat Mahmood, Brian DuBourdieu et Centre pour les droits à l’égalité au logement c. Procureur général du Canada, procureur général de l’Ontario</w:t>
            </w:r>
          </w:p>
          <w:p w:rsidR="00917F7F" w:rsidRPr="00056924" w:rsidRDefault="00917F7F" w:rsidP="00917F7F">
            <w:pPr>
              <w:jc w:val="both"/>
              <w:rPr>
                <w:rFonts w:eastAsiaTheme="minorHAnsi"/>
                <w:sz w:val="20"/>
                <w:lang w:val="fr-CA"/>
              </w:rPr>
            </w:pPr>
            <w:r w:rsidRPr="00056924">
              <w:rPr>
                <w:rFonts w:eastAsiaTheme="minorHAnsi"/>
                <w:sz w:val="20"/>
                <w:lang w:val="fr-CA"/>
              </w:rPr>
              <w:t>(Ont.) (Civile) (Sur autorisation)</w:t>
            </w:r>
          </w:p>
        </w:tc>
      </w:tr>
      <w:tr w:rsidR="00917F7F" w:rsidRPr="00260D92" w:rsidTr="00202E4C">
        <w:tc>
          <w:tcPr>
            <w:tcW w:w="5000" w:type="pct"/>
            <w:gridSpan w:val="4"/>
          </w:tcPr>
          <w:p w:rsidR="00917F7F" w:rsidRPr="00056924" w:rsidRDefault="00917F7F" w:rsidP="00917F7F">
            <w:pPr>
              <w:jc w:val="both"/>
              <w:rPr>
                <w:rFonts w:eastAsiaTheme="minorHAnsi"/>
                <w:sz w:val="20"/>
                <w:lang w:val="fr-CA"/>
              </w:rPr>
            </w:pPr>
            <w:r w:rsidRPr="00056924">
              <w:rPr>
                <w:rFonts w:eastAsiaTheme="minorHAnsi"/>
                <w:i/>
                <w:sz w:val="20"/>
                <w:lang w:val="fr-CA"/>
              </w:rPr>
              <w:lastRenderedPageBreak/>
              <w:t>Charte des droits</w:t>
            </w:r>
            <w:r w:rsidRPr="00056924">
              <w:rPr>
                <w:rFonts w:eastAsiaTheme="minorHAnsi"/>
                <w:sz w:val="20"/>
                <w:lang w:val="fr-CA"/>
              </w:rPr>
              <w:t xml:space="preserve"> — Droit à la vie, à la liberté et à la sécurité de la personne — Droit à l’égalité — Jugements et ordonnances — Jugement sommaire — Retard — Les juridictions inférieures ont-elles commis une erreur en prononçant un jugement sommaire? — La justiciabilité de droits économiques essentiels à la vie ou à la survie humaine peut-elle être déterminée en l’absence de preuve? — L’étendue des obligations positives de protéger les droits à la vie et à la sécurité de la personne en application de l’art. 7 de la </w:t>
            </w:r>
            <w:r w:rsidRPr="00056924">
              <w:rPr>
                <w:rFonts w:eastAsiaTheme="minorHAnsi"/>
                <w:i/>
                <w:sz w:val="20"/>
                <w:lang w:val="fr-CA"/>
              </w:rPr>
              <w:t>Charte</w:t>
            </w:r>
            <w:r w:rsidRPr="00056924">
              <w:rPr>
                <w:rFonts w:eastAsiaTheme="minorHAnsi"/>
                <w:sz w:val="20"/>
                <w:lang w:val="fr-CA"/>
              </w:rPr>
              <w:t xml:space="preserve"> peut-elle être déterminée en l’absence de preuve? — L’itinérance est-il un motif analogue pour lequel la discrimination est interdite à l’art. 15 de la </w:t>
            </w:r>
            <w:r w:rsidRPr="00056924">
              <w:rPr>
                <w:rFonts w:eastAsiaTheme="minorHAnsi"/>
                <w:i/>
                <w:sz w:val="20"/>
                <w:lang w:val="fr-CA"/>
              </w:rPr>
              <w:t>Charte</w:t>
            </w:r>
            <w:r w:rsidRPr="00056924">
              <w:rPr>
                <w:rFonts w:eastAsiaTheme="minorHAnsi"/>
                <w:sz w:val="20"/>
                <w:lang w:val="fr-CA"/>
              </w:rPr>
              <w:t xml:space="preserve">? — Dans quelles circonstances peut-on présenter des requêtes en radiation de revendications inédites de droits constitutionnels? </w:t>
            </w:r>
          </w:p>
        </w:tc>
      </w:tr>
      <w:tr w:rsidR="00917F7F" w:rsidRPr="00260D92" w:rsidTr="00202E4C">
        <w:tc>
          <w:tcPr>
            <w:tcW w:w="5000" w:type="pct"/>
            <w:gridSpan w:val="4"/>
          </w:tcPr>
          <w:p w:rsidR="00917F7F" w:rsidRPr="00056924" w:rsidRDefault="00917F7F" w:rsidP="00917F7F">
            <w:pPr>
              <w:jc w:val="both"/>
              <w:rPr>
                <w:rFonts w:eastAsiaTheme="minorHAnsi"/>
                <w:sz w:val="20"/>
                <w:lang w:val="fr-CA"/>
              </w:rPr>
            </w:pPr>
          </w:p>
        </w:tc>
      </w:tr>
      <w:tr w:rsidR="00917F7F" w:rsidRPr="00260D92" w:rsidTr="00202E4C">
        <w:tc>
          <w:tcPr>
            <w:tcW w:w="5000" w:type="pct"/>
            <w:gridSpan w:val="4"/>
          </w:tcPr>
          <w:p w:rsidR="00917F7F" w:rsidRPr="00056924" w:rsidRDefault="00917F7F" w:rsidP="00917F7F">
            <w:pPr>
              <w:jc w:val="both"/>
              <w:rPr>
                <w:rFonts w:eastAsiaTheme="minorHAnsi"/>
                <w:sz w:val="20"/>
                <w:lang w:val="fr-CA"/>
              </w:rPr>
            </w:pPr>
            <w:r w:rsidRPr="00056924">
              <w:rPr>
                <w:rFonts w:eastAsiaTheme="minorHAnsi"/>
                <w:sz w:val="20"/>
                <w:lang w:val="fr-CA"/>
              </w:rPr>
              <w:t xml:space="preserve">Les demandeurs allèguent que les mesures qu’auraient prises ou que n’auraient pas prises le Canada et l’Ontario ont donné lieu à de l’itinérance et à des logements inadéquats, portant ainsi atteinte au droit à la vie, à la liberté et à la sécurité de la personne garanti par l’art. 7 de la </w:t>
            </w:r>
            <w:r w:rsidRPr="00056924">
              <w:rPr>
                <w:rFonts w:eastAsiaTheme="minorHAnsi"/>
                <w:i/>
                <w:sz w:val="20"/>
                <w:lang w:val="fr-CA"/>
              </w:rPr>
              <w:t>Charte</w:t>
            </w:r>
            <w:r w:rsidRPr="00056924">
              <w:rPr>
                <w:rFonts w:eastAsiaTheme="minorHAnsi"/>
                <w:sz w:val="20"/>
                <w:lang w:val="fr-CA"/>
              </w:rPr>
              <w:t xml:space="preserve"> et au droit à l’égalité garanti par l’art. 15 de la </w:t>
            </w:r>
            <w:r w:rsidRPr="00056924">
              <w:rPr>
                <w:rFonts w:eastAsiaTheme="minorHAnsi"/>
                <w:i/>
                <w:sz w:val="20"/>
                <w:lang w:val="fr-CA"/>
              </w:rPr>
              <w:t>Charte</w:t>
            </w:r>
            <w:r w:rsidRPr="00056924">
              <w:rPr>
                <w:rFonts w:eastAsiaTheme="minorHAnsi"/>
                <w:sz w:val="20"/>
                <w:lang w:val="fr-CA"/>
              </w:rPr>
              <w:t>.  Ils ont sollicité un jugement déclarant que les gouvernements du Canada et de l’Ontario avaient créé des conditions qui menaient à l’itinérance et à des logements inadéquats, qu’ils avaient omis de s’attaquer efficacement à ces problèmes, qu’ils avaient des obligations, fondées sur les art. 7 et 15, de mettre en œuvre des stratégies nationales et provinciales efficaces pour réduire et éliminer ces problèmes et que leur omission de mettre en œuvre de telles stratégies portait atteinte au droit à la vie, à la liberté et à la sécurité de la personne que l’art. 7 garantit aux demandeurs et au droit à l’égalité que leur garantit le par. 15(1).  Ils ont également sollicité une ordonnance enjoignant aux gouvernements de mettre en œuvre des stratégies nationales et provinciales efficaces pour réduire et éliminer l’itinérance et les logements inadéquats en consultation avec les groupes touchés, et une ordonnance statuant que la Cour supérieure de justice demeurera investie du pouvoir de surveillance pour donner suite aux préoccupations relatives à la mise en œuvre de l’ordonnance demandée.  Les procureurs généraux du Canada et de l’Ontario ont présenté des requêtes en radiation de la demande, affirmant qu’elle ne révélait aucune cause d’action fondée et qu’elle soulevait des questions qui n’étaient pas justiciables.</w:t>
            </w:r>
          </w:p>
          <w:p w:rsidR="00917F7F" w:rsidRPr="00056924" w:rsidRDefault="00917F7F" w:rsidP="00917F7F">
            <w:pPr>
              <w:jc w:val="both"/>
              <w:rPr>
                <w:rFonts w:eastAsiaTheme="minorHAnsi"/>
                <w:sz w:val="20"/>
                <w:lang w:val="fr-CA"/>
              </w:rPr>
            </w:pPr>
          </w:p>
          <w:p w:rsidR="00917F7F" w:rsidRPr="00056924" w:rsidRDefault="00917F7F" w:rsidP="00917F7F">
            <w:pPr>
              <w:jc w:val="both"/>
              <w:rPr>
                <w:rFonts w:eastAsiaTheme="minorHAnsi"/>
                <w:sz w:val="20"/>
                <w:lang w:val="fr-CA"/>
              </w:rPr>
            </w:pPr>
            <w:r w:rsidRPr="00056924">
              <w:rPr>
                <w:rFonts w:eastAsiaTheme="minorHAnsi"/>
                <w:sz w:val="20"/>
                <w:lang w:val="fr-CA"/>
              </w:rPr>
              <w:t>Le juge de première instance a accueilli la motion en radiation et les juges majoritaires de la Cour d’appel ont rejeté l’appel.</w:t>
            </w:r>
          </w:p>
          <w:p w:rsidR="00917F7F" w:rsidRPr="00056924" w:rsidRDefault="00917F7F" w:rsidP="00917F7F">
            <w:pPr>
              <w:jc w:val="both"/>
              <w:rPr>
                <w:rFonts w:eastAsiaTheme="minorHAnsi"/>
                <w:sz w:val="20"/>
                <w:lang w:val="fr-CA"/>
              </w:rPr>
            </w:pPr>
          </w:p>
        </w:tc>
      </w:tr>
      <w:tr w:rsidR="00917F7F" w:rsidRPr="00056924"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6 septembre 2013</w:t>
            </w:r>
          </w:p>
          <w:p w:rsidR="00917F7F" w:rsidRPr="00056924" w:rsidRDefault="00917F7F" w:rsidP="00917F7F">
            <w:pPr>
              <w:jc w:val="both"/>
              <w:rPr>
                <w:rFonts w:eastAsiaTheme="minorHAnsi"/>
                <w:sz w:val="20"/>
                <w:lang w:val="fr-CA"/>
              </w:rPr>
            </w:pPr>
            <w:r w:rsidRPr="00056924">
              <w:rPr>
                <w:rFonts w:eastAsiaTheme="minorHAnsi"/>
                <w:sz w:val="20"/>
                <w:lang w:val="fr-CA"/>
              </w:rPr>
              <w:t>Cour supérieure de justice de l’Ontario</w:t>
            </w:r>
          </w:p>
          <w:p w:rsidR="00917F7F" w:rsidRPr="00056924" w:rsidRDefault="00917F7F" w:rsidP="00917F7F">
            <w:pPr>
              <w:jc w:val="both"/>
              <w:rPr>
                <w:rFonts w:eastAsiaTheme="minorHAnsi"/>
                <w:sz w:val="20"/>
                <w:lang w:val="fr-CA"/>
              </w:rPr>
            </w:pPr>
            <w:r w:rsidRPr="00056924">
              <w:rPr>
                <w:rFonts w:eastAsiaTheme="minorHAnsi"/>
                <w:sz w:val="20"/>
                <w:lang w:val="fr-CA"/>
              </w:rPr>
              <w:t>(Juge Lederer)</w:t>
            </w:r>
          </w:p>
          <w:p w:rsidR="00917F7F" w:rsidRPr="00056924" w:rsidRDefault="00260D92" w:rsidP="00917F7F">
            <w:pPr>
              <w:jc w:val="both"/>
              <w:rPr>
                <w:rFonts w:eastAsiaTheme="minorHAnsi"/>
                <w:sz w:val="20"/>
                <w:lang w:val="fr-CA"/>
              </w:rPr>
            </w:pPr>
            <w:hyperlink r:id="rId25" w:history="1">
              <w:r w:rsidR="00917F7F" w:rsidRPr="00056924">
                <w:rPr>
                  <w:rFonts w:eastAsiaTheme="minorHAnsi"/>
                  <w:color w:val="0000FF" w:themeColor="hyperlink"/>
                  <w:sz w:val="20"/>
                  <w:u w:val="single"/>
                  <w:lang w:val="fr-CA"/>
                </w:rPr>
                <w:t>2013 ONSC 5410</w:t>
              </w:r>
            </w:hyperlink>
          </w:p>
          <w:p w:rsidR="00917F7F" w:rsidRPr="00056924" w:rsidRDefault="00917F7F" w:rsidP="00917F7F">
            <w:pPr>
              <w:jc w:val="both"/>
              <w:rPr>
                <w:rFonts w:eastAsiaTheme="minorHAnsi"/>
                <w:sz w:val="20"/>
                <w:lang w:val="fr-CA"/>
              </w:rPr>
            </w:pPr>
          </w:p>
        </w:tc>
        <w:tc>
          <w:tcPr>
            <w:tcW w:w="243" w:type="pct"/>
          </w:tcPr>
          <w:p w:rsidR="00917F7F" w:rsidRPr="00056924" w:rsidRDefault="00917F7F" w:rsidP="00917F7F">
            <w:pPr>
              <w:jc w:val="both"/>
              <w:rPr>
                <w:rFonts w:eastAsiaTheme="minorHAnsi"/>
                <w:sz w:val="20"/>
                <w:lang w:val="fr-CA"/>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Radiation de la demande</w:t>
            </w:r>
          </w:p>
          <w:p w:rsidR="00917F7F" w:rsidRPr="00056924" w:rsidRDefault="00917F7F" w:rsidP="00917F7F">
            <w:pPr>
              <w:jc w:val="both"/>
              <w:rPr>
                <w:rFonts w:eastAsiaTheme="minorHAnsi"/>
                <w:sz w:val="20"/>
                <w:lang w:val="fr-CA"/>
              </w:rPr>
            </w:pPr>
          </w:p>
        </w:tc>
      </w:tr>
      <w:tr w:rsidR="00917F7F" w:rsidRPr="00056924"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1</w:t>
            </w:r>
            <w:r w:rsidRPr="00056924">
              <w:rPr>
                <w:rFonts w:eastAsiaTheme="minorHAnsi"/>
                <w:sz w:val="20"/>
                <w:vertAlign w:val="superscript"/>
                <w:lang w:val="fr-CA"/>
              </w:rPr>
              <w:t>er</w:t>
            </w:r>
            <w:r w:rsidRPr="00056924">
              <w:rPr>
                <w:rFonts w:eastAsiaTheme="minorHAnsi"/>
                <w:sz w:val="20"/>
                <w:lang w:val="fr-CA"/>
              </w:rPr>
              <w:t xml:space="preserve"> décembre 2014</w:t>
            </w:r>
          </w:p>
          <w:p w:rsidR="00917F7F" w:rsidRPr="00056924" w:rsidRDefault="00917F7F" w:rsidP="00917F7F">
            <w:pPr>
              <w:jc w:val="both"/>
              <w:rPr>
                <w:rFonts w:eastAsiaTheme="minorHAnsi"/>
                <w:sz w:val="20"/>
                <w:lang w:val="fr-CA"/>
              </w:rPr>
            </w:pPr>
            <w:r w:rsidRPr="00056924">
              <w:rPr>
                <w:rFonts w:eastAsiaTheme="minorHAnsi"/>
                <w:sz w:val="20"/>
                <w:lang w:val="fr-CA"/>
              </w:rPr>
              <w:t>Cour d’appel de l’Ontario</w:t>
            </w:r>
          </w:p>
          <w:p w:rsidR="00917F7F" w:rsidRPr="00056924" w:rsidRDefault="00917F7F" w:rsidP="00917F7F">
            <w:pPr>
              <w:jc w:val="both"/>
              <w:rPr>
                <w:rFonts w:eastAsiaTheme="minorHAnsi"/>
                <w:sz w:val="20"/>
                <w:lang w:val="fr-CA"/>
              </w:rPr>
            </w:pPr>
            <w:r w:rsidRPr="00056924">
              <w:rPr>
                <w:rFonts w:eastAsiaTheme="minorHAnsi"/>
                <w:sz w:val="20"/>
                <w:lang w:val="fr-CA"/>
              </w:rPr>
              <w:t>(Juges Feldman (dissidente), Pardu et Strathy (</w:t>
            </w:r>
            <w:r w:rsidRPr="00056924">
              <w:rPr>
                <w:rFonts w:eastAsiaTheme="minorHAnsi"/>
                <w:i/>
                <w:sz w:val="20"/>
                <w:lang w:val="fr-CA"/>
              </w:rPr>
              <w:t>ad hoc</w:t>
            </w:r>
            <w:r w:rsidRPr="00056924">
              <w:rPr>
                <w:rFonts w:eastAsiaTheme="minorHAnsi"/>
                <w:sz w:val="20"/>
                <w:lang w:val="fr-CA"/>
              </w:rPr>
              <w:t>))</w:t>
            </w:r>
          </w:p>
          <w:p w:rsidR="00917F7F" w:rsidRPr="00056924" w:rsidRDefault="00260D92" w:rsidP="00917F7F">
            <w:pPr>
              <w:jc w:val="both"/>
              <w:rPr>
                <w:rFonts w:eastAsiaTheme="minorHAnsi"/>
                <w:sz w:val="20"/>
                <w:lang w:val="fr-CA"/>
              </w:rPr>
            </w:pPr>
            <w:hyperlink r:id="rId26" w:history="1">
              <w:r w:rsidR="00917F7F" w:rsidRPr="00056924">
                <w:rPr>
                  <w:rFonts w:eastAsiaTheme="minorHAnsi"/>
                  <w:color w:val="0000FF" w:themeColor="hyperlink"/>
                  <w:sz w:val="20"/>
                  <w:u w:val="single"/>
                  <w:lang w:val="fr-CA"/>
                </w:rPr>
                <w:t>2014 ONCA 852</w:t>
              </w:r>
            </w:hyperlink>
          </w:p>
          <w:p w:rsidR="00917F7F" w:rsidRPr="00056924" w:rsidRDefault="00917F7F" w:rsidP="00917F7F">
            <w:pPr>
              <w:jc w:val="both"/>
              <w:rPr>
                <w:rFonts w:eastAsiaTheme="minorHAnsi"/>
                <w:sz w:val="20"/>
                <w:lang w:val="fr-CA"/>
              </w:rPr>
            </w:pPr>
          </w:p>
        </w:tc>
        <w:tc>
          <w:tcPr>
            <w:tcW w:w="243" w:type="pct"/>
          </w:tcPr>
          <w:p w:rsidR="00917F7F" w:rsidRPr="00056924" w:rsidRDefault="00917F7F" w:rsidP="00917F7F">
            <w:pPr>
              <w:jc w:val="both"/>
              <w:rPr>
                <w:rFonts w:eastAsiaTheme="minorHAnsi"/>
                <w:sz w:val="20"/>
                <w:lang w:val="fr-CA"/>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Rejet de l’appel</w:t>
            </w:r>
          </w:p>
          <w:p w:rsidR="00917F7F" w:rsidRPr="00056924" w:rsidRDefault="00917F7F" w:rsidP="00917F7F">
            <w:pPr>
              <w:jc w:val="both"/>
              <w:rPr>
                <w:rFonts w:eastAsiaTheme="minorHAnsi"/>
                <w:sz w:val="20"/>
                <w:lang w:val="fr-CA"/>
              </w:rPr>
            </w:pPr>
          </w:p>
        </w:tc>
      </w:tr>
      <w:tr w:rsidR="00917F7F" w:rsidRPr="00260D92"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28 janvier 2015</w:t>
            </w:r>
          </w:p>
          <w:p w:rsidR="00917F7F" w:rsidRPr="00056924" w:rsidRDefault="00917F7F" w:rsidP="00917F7F">
            <w:pPr>
              <w:jc w:val="both"/>
              <w:rPr>
                <w:rFonts w:eastAsiaTheme="minorHAnsi"/>
                <w:sz w:val="20"/>
                <w:lang w:val="fr-CA"/>
              </w:rPr>
            </w:pPr>
            <w:r w:rsidRPr="00056924">
              <w:rPr>
                <w:rFonts w:eastAsiaTheme="minorHAnsi"/>
                <w:sz w:val="20"/>
                <w:lang w:val="fr-CA"/>
              </w:rPr>
              <w:t>Cour suprême du Canada</w:t>
            </w:r>
          </w:p>
        </w:tc>
        <w:tc>
          <w:tcPr>
            <w:tcW w:w="243" w:type="pct"/>
          </w:tcPr>
          <w:p w:rsidR="00917F7F" w:rsidRPr="00056924" w:rsidRDefault="00917F7F" w:rsidP="00917F7F">
            <w:pPr>
              <w:jc w:val="both"/>
              <w:rPr>
                <w:rFonts w:eastAsiaTheme="minorHAnsi"/>
                <w:sz w:val="20"/>
                <w:lang w:val="fr-CA"/>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Dépôt de la demande d’autorisation d’appel</w:t>
            </w:r>
          </w:p>
        </w:tc>
      </w:tr>
    </w:tbl>
    <w:p w:rsidR="00917F7F" w:rsidRDefault="00917F7F" w:rsidP="00917F7F">
      <w:pPr>
        <w:jc w:val="both"/>
        <w:rPr>
          <w:rFonts w:eastAsiaTheme="minorHAnsi"/>
          <w:sz w:val="20"/>
          <w:lang w:val="fr-CA"/>
        </w:rPr>
      </w:pPr>
    </w:p>
    <w:p w:rsidR="00056924" w:rsidRPr="00056924" w:rsidRDefault="00056924" w:rsidP="00917F7F">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7F7F" w:rsidRPr="00056924" w:rsidTr="00202E4C">
        <w:tc>
          <w:tcPr>
            <w:tcW w:w="543" w:type="pct"/>
          </w:tcPr>
          <w:p w:rsidR="00917F7F" w:rsidRPr="00056924" w:rsidRDefault="00917F7F" w:rsidP="00917F7F">
            <w:pPr>
              <w:jc w:val="both"/>
              <w:rPr>
                <w:rFonts w:eastAsiaTheme="minorHAnsi"/>
                <w:sz w:val="20"/>
                <w:lang w:val="en-CA"/>
              </w:rPr>
            </w:pPr>
            <w:r w:rsidRPr="00056924">
              <w:rPr>
                <w:rFonts w:eastAsiaTheme="minorHAnsi"/>
                <w:b/>
                <w:sz w:val="20"/>
                <w:lang w:val="en-CA"/>
              </w:rPr>
              <w:t>36300</w:t>
            </w:r>
          </w:p>
        </w:tc>
        <w:tc>
          <w:tcPr>
            <w:tcW w:w="4457" w:type="pct"/>
            <w:gridSpan w:val="3"/>
          </w:tcPr>
          <w:p w:rsidR="00917F7F" w:rsidRPr="00056924" w:rsidRDefault="00917F7F" w:rsidP="00917F7F">
            <w:pPr>
              <w:jc w:val="both"/>
              <w:rPr>
                <w:rFonts w:eastAsiaTheme="minorHAnsi"/>
                <w:b/>
                <w:sz w:val="20"/>
                <w:lang w:val="en-CA"/>
              </w:rPr>
            </w:pPr>
            <w:r w:rsidRPr="00056924">
              <w:rPr>
                <w:rFonts w:eastAsiaTheme="minorHAnsi"/>
                <w:b/>
                <w:sz w:val="20"/>
                <w:lang w:val="en-CA"/>
              </w:rPr>
              <w:t>Workers’ Compensation Appeal Tribunal v. Fraser Health Authority, Katrina Hammer, Patricia Schmidt and Anne MacFarlane</w:t>
            </w:r>
          </w:p>
          <w:p w:rsidR="00917F7F" w:rsidRPr="00056924" w:rsidRDefault="00917F7F" w:rsidP="00917F7F">
            <w:pPr>
              <w:jc w:val="both"/>
              <w:rPr>
                <w:rFonts w:eastAsiaTheme="minorHAnsi"/>
                <w:b/>
                <w:sz w:val="20"/>
                <w:lang w:val="en-CA"/>
              </w:rPr>
            </w:pPr>
            <w:r w:rsidRPr="00056924">
              <w:rPr>
                <w:rFonts w:eastAsiaTheme="minorHAnsi"/>
                <w:b/>
                <w:sz w:val="20"/>
                <w:lang w:val="en-CA"/>
              </w:rPr>
              <w:t>- and between -</w:t>
            </w:r>
          </w:p>
          <w:p w:rsidR="00917F7F" w:rsidRPr="00056924" w:rsidRDefault="00917F7F" w:rsidP="00917F7F">
            <w:pPr>
              <w:jc w:val="both"/>
              <w:rPr>
                <w:rFonts w:eastAsiaTheme="minorHAnsi"/>
                <w:b/>
                <w:sz w:val="20"/>
                <w:lang w:val="en-CA"/>
              </w:rPr>
            </w:pPr>
            <w:r w:rsidRPr="00056924">
              <w:rPr>
                <w:rFonts w:eastAsiaTheme="minorHAnsi"/>
                <w:b/>
                <w:sz w:val="20"/>
                <w:lang w:val="en-CA"/>
              </w:rPr>
              <w:lastRenderedPageBreak/>
              <w:t>Katrina Hammer, Patricia Schmidt and Anne MacFarlane v. Workers’ Compensation Appeal Tribunal, Fraser Health Authority</w:t>
            </w:r>
          </w:p>
          <w:p w:rsidR="00917F7F" w:rsidRPr="00056924" w:rsidRDefault="00917F7F" w:rsidP="00917F7F">
            <w:pPr>
              <w:jc w:val="both"/>
              <w:rPr>
                <w:rFonts w:eastAsiaTheme="minorHAnsi"/>
                <w:sz w:val="20"/>
                <w:lang w:val="en-CA"/>
              </w:rPr>
            </w:pPr>
            <w:r w:rsidRPr="00056924">
              <w:rPr>
                <w:rFonts w:eastAsiaTheme="minorHAnsi"/>
                <w:sz w:val="20"/>
                <w:lang w:val="en-CA"/>
              </w:rPr>
              <w:t>(B.C.) (Civil) (By Leave)</w:t>
            </w:r>
          </w:p>
        </w:tc>
      </w:tr>
      <w:tr w:rsidR="00917F7F" w:rsidRPr="00056924" w:rsidTr="00202E4C">
        <w:tc>
          <w:tcPr>
            <w:tcW w:w="5000" w:type="pct"/>
            <w:gridSpan w:val="4"/>
          </w:tcPr>
          <w:p w:rsidR="00917F7F" w:rsidRPr="00056924" w:rsidRDefault="00917F7F" w:rsidP="00917F7F">
            <w:pPr>
              <w:jc w:val="both"/>
              <w:rPr>
                <w:rFonts w:eastAsiaTheme="minorHAnsi"/>
                <w:sz w:val="20"/>
                <w:lang w:val="en-CA"/>
              </w:rPr>
            </w:pPr>
            <w:r w:rsidRPr="00056924">
              <w:rPr>
                <w:rFonts w:eastAsiaTheme="minorHAnsi"/>
                <w:sz w:val="20"/>
                <w:lang w:val="en-CA"/>
              </w:rPr>
              <w:lastRenderedPageBreak/>
              <w:t xml:space="preserve">Administrative law – Boards and tribunals – Jurisdiction – Appeals – Judicial review – Standard of review – Workers’ Compensation – Causation – Does the common law power of an administrative tribunal to reopen an appeal to cure a jurisdictional error or defect include the power to cure an unreasonable or patently unreasonable error – May a different panel of a tribunal reopen an appeal to cure a jurisdictional defect – Can an administrative tribunal’s findings of fact be interfered with on judicial review if there was evidence before the tribunal capable of supporting such findings – Whether the appropriate approach of the courts on judicial review of findings of fact made by an administrative tribunal should be to determine whether there was evidence capable of supporting the findings or to go further and determine also whether such evidence was sufficient – </w:t>
            </w:r>
            <w:r w:rsidRPr="00056924">
              <w:rPr>
                <w:rFonts w:eastAsiaTheme="minorHAnsi"/>
                <w:i/>
                <w:sz w:val="20"/>
                <w:lang w:val="en-CA"/>
              </w:rPr>
              <w:t>Workers’ Compensation Act</w:t>
            </w:r>
            <w:r w:rsidRPr="00056924">
              <w:rPr>
                <w:rFonts w:eastAsiaTheme="minorHAnsi"/>
                <w:sz w:val="20"/>
                <w:lang w:val="en-CA"/>
              </w:rPr>
              <w:t>, R.S.B.C. 1996, c. 492.</w:t>
            </w:r>
          </w:p>
        </w:tc>
      </w:tr>
      <w:tr w:rsidR="00917F7F" w:rsidRPr="00056924" w:rsidTr="00202E4C">
        <w:tc>
          <w:tcPr>
            <w:tcW w:w="5000" w:type="pct"/>
            <w:gridSpan w:val="4"/>
          </w:tcPr>
          <w:p w:rsidR="00917F7F" w:rsidRPr="00056924" w:rsidRDefault="00917F7F" w:rsidP="00917F7F">
            <w:pPr>
              <w:jc w:val="both"/>
              <w:rPr>
                <w:rFonts w:eastAsiaTheme="minorHAnsi"/>
                <w:sz w:val="20"/>
                <w:lang w:val="en-CA"/>
              </w:rPr>
            </w:pPr>
          </w:p>
        </w:tc>
      </w:tr>
      <w:tr w:rsidR="00917F7F" w:rsidRPr="00056924" w:rsidTr="00202E4C">
        <w:tc>
          <w:tcPr>
            <w:tcW w:w="5000" w:type="pct"/>
            <w:gridSpan w:val="4"/>
          </w:tcPr>
          <w:p w:rsidR="00917F7F" w:rsidRPr="00056924" w:rsidRDefault="00917F7F" w:rsidP="00917F7F">
            <w:pPr>
              <w:jc w:val="both"/>
              <w:rPr>
                <w:rFonts w:eastAsiaTheme="minorHAnsi"/>
                <w:sz w:val="20"/>
                <w:lang w:val="en-CA"/>
              </w:rPr>
            </w:pPr>
            <w:r w:rsidRPr="00056924">
              <w:rPr>
                <w:rFonts w:eastAsiaTheme="minorHAnsi"/>
                <w:sz w:val="20"/>
                <w:lang w:val="en-CA"/>
              </w:rPr>
              <w:t>The three individuals are among six laboratory technicians employed at Mission Memorial Hospital in B.C. who contracted breast cancer during the period from 1970 and 2004.  They applied to the Workers’ Compensation Board for workers compensation benefits, which were denied on the basis that the workplace had not been shown to have caused or materially contributed to the worker’s condition.  These decisions were confirmed by the Board’s Review Division.  On appeal to the Workers’ Compensation Appeal Tribunal, it found that the workers had met the burden of proof in establishing a causal connection.  On reconsiderations by a Review Panel, the decisions were found not to have been patently unreasonable.  On an application for judicial review to the Supreme Court of British Columbia, the parties proceeded with one application as representative of all three.  The Court held that there had been “no evidence” from which causation could have been inferred.  The Tribunal’s original decision having been found patently unreasonable, the reconsideration decision was held to be incorrect.  The Court remitted the matter to the Tribunal for reconsideration.  The British Columbia Court of Appeal dismissed the appeal, with Newbury and Bennett JJ.A. dissenting.</w:t>
            </w:r>
          </w:p>
          <w:p w:rsidR="00917F7F" w:rsidRPr="00056924" w:rsidRDefault="00917F7F" w:rsidP="00917F7F">
            <w:pPr>
              <w:jc w:val="both"/>
              <w:rPr>
                <w:rFonts w:eastAsiaTheme="minorHAnsi"/>
                <w:sz w:val="20"/>
                <w:lang w:val="en-CA"/>
              </w:rPr>
            </w:pP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t>December 29, 2010</w:t>
            </w:r>
          </w:p>
          <w:p w:rsidR="00917F7F" w:rsidRPr="00056924" w:rsidRDefault="00917F7F" w:rsidP="00917F7F">
            <w:pPr>
              <w:jc w:val="both"/>
              <w:rPr>
                <w:rFonts w:eastAsiaTheme="minorHAnsi"/>
                <w:sz w:val="20"/>
                <w:lang w:val="en-CA"/>
              </w:rPr>
            </w:pPr>
            <w:r w:rsidRPr="00056924">
              <w:rPr>
                <w:rFonts w:eastAsiaTheme="minorHAnsi"/>
                <w:sz w:val="20"/>
                <w:lang w:val="en-CA"/>
              </w:rPr>
              <w:t>Workers’ Compensation Appeal Tribunal</w:t>
            </w:r>
          </w:p>
          <w:p w:rsidR="00917F7F" w:rsidRPr="00056924" w:rsidRDefault="00917F7F" w:rsidP="00917F7F">
            <w:pPr>
              <w:jc w:val="both"/>
              <w:rPr>
                <w:rFonts w:eastAsiaTheme="minorHAnsi"/>
                <w:sz w:val="20"/>
                <w:lang w:val="en-CA"/>
              </w:rPr>
            </w:pPr>
            <w:r w:rsidRPr="00056924">
              <w:rPr>
                <w:rFonts w:eastAsiaTheme="minorHAnsi"/>
                <w:sz w:val="20"/>
                <w:lang w:val="en-CA"/>
              </w:rPr>
              <w:t>(Panel Members Lane, Hirose-Cameron and Clarke (dissenting))</w:t>
            </w:r>
          </w:p>
          <w:p w:rsidR="00917F7F" w:rsidRPr="00056924" w:rsidRDefault="00917F7F" w:rsidP="00917F7F">
            <w:pPr>
              <w:jc w:val="both"/>
              <w:rPr>
                <w:rFonts w:eastAsiaTheme="minorHAnsi"/>
                <w:sz w:val="20"/>
                <w:lang w:val="en-CA"/>
              </w:rPr>
            </w:pPr>
            <w:r w:rsidRPr="00056924">
              <w:rPr>
                <w:rFonts w:eastAsiaTheme="minorHAnsi"/>
                <w:sz w:val="20"/>
                <w:lang w:val="en-CA"/>
              </w:rPr>
              <w:t>WCAT-2010-03503</w:t>
            </w:r>
          </w:p>
          <w:p w:rsidR="00917F7F" w:rsidRPr="00056924" w:rsidRDefault="00917F7F" w:rsidP="00917F7F">
            <w:pPr>
              <w:jc w:val="both"/>
              <w:rPr>
                <w:rFonts w:eastAsiaTheme="minorHAnsi"/>
                <w:sz w:val="20"/>
                <w:lang w:val="en-CA"/>
              </w:rPr>
            </w:pP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Workers’ appeal from review officer’s decision allowed. Workers’ breast cancer held to be an occupational disease due to nature of their employment (“Original Decision”)</w:t>
            </w: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t>December 6, 2011</w:t>
            </w:r>
          </w:p>
          <w:p w:rsidR="00917F7F" w:rsidRPr="00056924" w:rsidRDefault="00917F7F" w:rsidP="00917F7F">
            <w:pPr>
              <w:jc w:val="both"/>
              <w:rPr>
                <w:rFonts w:eastAsiaTheme="minorHAnsi"/>
                <w:sz w:val="20"/>
                <w:lang w:val="en-CA"/>
              </w:rPr>
            </w:pPr>
            <w:r w:rsidRPr="00056924">
              <w:rPr>
                <w:rFonts w:eastAsiaTheme="minorHAnsi"/>
                <w:sz w:val="20"/>
                <w:lang w:val="en-CA"/>
              </w:rPr>
              <w:t>Workers’ Compensation Appeal Tribunal</w:t>
            </w:r>
          </w:p>
          <w:p w:rsidR="00917F7F" w:rsidRPr="00056924" w:rsidRDefault="00917F7F" w:rsidP="00917F7F">
            <w:pPr>
              <w:jc w:val="both"/>
              <w:rPr>
                <w:rFonts w:eastAsiaTheme="minorHAnsi"/>
                <w:sz w:val="20"/>
                <w:lang w:val="en-CA"/>
              </w:rPr>
            </w:pPr>
            <w:r w:rsidRPr="00056924">
              <w:rPr>
                <w:rFonts w:eastAsiaTheme="minorHAnsi"/>
                <w:sz w:val="20"/>
                <w:lang w:val="en-CA"/>
              </w:rPr>
              <w:t>Dukelow, Vice Chair</w:t>
            </w:r>
          </w:p>
          <w:p w:rsidR="00917F7F" w:rsidRPr="00056924" w:rsidRDefault="00917F7F" w:rsidP="00917F7F">
            <w:pPr>
              <w:jc w:val="both"/>
              <w:rPr>
                <w:rFonts w:eastAsiaTheme="minorHAnsi"/>
                <w:sz w:val="20"/>
                <w:lang w:val="en-CA"/>
              </w:rPr>
            </w:pPr>
            <w:r w:rsidRPr="00056924">
              <w:rPr>
                <w:rFonts w:eastAsiaTheme="minorHAnsi"/>
                <w:sz w:val="20"/>
                <w:lang w:val="en-CA"/>
              </w:rPr>
              <w:t>WCAT-2011-03079</w:t>
            </w:r>
          </w:p>
          <w:p w:rsidR="00917F7F" w:rsidRPr="00056924" w:rsidRDefault="00917F7F" w:rsidP="00917F7F">
            <w:pPr>
              <w:jc w:val="both"/>
              <w:rPr>
                <w:rFonts w:eastAsiaTheme="minorHAnsi"/>
                <w:sz w:val="20"/>
                <w:lang w:val="en-CA"/>
              </w:rPr>
            </w:pP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Fraser Authority’s application for reconsideration of the Original Decision denied (“Reconsideration Decision”)</w:t>
            </w: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t>March 28, 2013</w:t>
            </w:r>
          </w:p>
          <w:p w:rsidR="00917F7F" w:rsidRPr="00056924" w:rsidRDefault="00917F7F" w:rsidP="00917F7F">
            <w:pPr>
              <w:jc w:val="both"/>
              <w:rPr>
                <w:rFonts w:eastAsiaTheme="minorHAnsi"/>
                <w:sz w:val="20"/>
                <w:lang w:val="en-CA"/>
              </w:rPr>
            </w:pPr>
            <w:r w:rsidRPr="00056924">
              <w:rPr>
                <w:rFonts w:eastAsiaTheme="minorHAnsi"/>
                <w:sz w:val="20"/>
                <w:lang w:val="en-CA"/>
              </w:rPr>
              <w:t>Supreme Court of British Columbia</w:t>
            </w:r>
          </w:p>
          <w:p w:rsidR="00917F7F" w:rsidRPr="00056924" w:rsidRDefault="00917F7F" w:rsidP="00917F7F">
            <w:pPr>
              <w:jc w:val="both"/>
              <w:rPr>
                <w:rFonts w:eastAsiaTheme="minorHAnsi"/>
                <w:sz w:val="20"/>
                <w:lang w:val="en-CA"/>
              </w:rPr>
            </w:pPr>
            <w:r w:rsidRPr="00056924">
              <w:rPr>
                <w:rFonts w:eastAsiaTheme="minorHAnsi"/>
                <w:sz w:val="20"/>
                <w:lang w:val="en-CA"/>
              </w:rPr>
              <w:t>(Savage J.)</w:t>
            </w:r>
          </w:p>
          <w:p w:rsidR="00917F7F" w:rsidRDefault="00260D92" w:rsidP="00917F7F">
            <w:pPr>
              <w:jc w:val="both"/>
              <w:rPr>
                <w:rFonts w:eastAsiaTheme="minorHAnsi"/>
                <w:sz w:val="20"/>
                <w:lang w:val="en-CA"/>
              </w:rPr>
            </w:pPr>
            <w:hyperlink r:id="rId27" w:history="1">
              <w:r w:rsidR="00917F7F" w:rsidRPr="00056924">
                <w:rPr>
                  <w:rFonts w:eastAsiaTheme="minorHAnsi"/>
                  <w:color w:val="0000FF" w:themeColor="hyperlink"/>
                  <w:sz w:val="20"/>
                  <w:u w:val="single"/>
                  <w:lang w:val="en-CA"/>
                </w:rPr>
                <w:t>2013 BCSC 524</w:t>
              </w:r>
            </w:hyperlink>
          </w:p>
          <w:p w:rsidR="00056924" w:rsidRPr="00056924" w:rsidRDefault="00056924" w:rsidP="00917F7F">
            <w:pPr>
              <w:jc w:val="both"/>
              <w:rPr>
                <w:rFonts w:eastAsiaTheme="minorHAnsi"/>
                <w:sz w:val="20"/>
                <w:lang w:val="en-CA"/>
              </w:rPr>
            </w:pP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Fraser Health Authority’s petition allowed, Original Decision and Reconsideration Decision set aside and matter remitted to the Tribunal for reconsideration</w:t>
            </w: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t>December 18, 2014</w:t>
            </w:r>
          </w:p>
          <w:p w:rsidR="00917F7F" w:rsidRPr="00056924" w:rsidRDefault="00917F7F" w:rsidP="00917F7F">
            <w:pPr>
              <w:jc w:val="both"/>
              <w:rPr>
                <w:rFonts w:eastAsiaTheme="minorHAnsi"/>
                <w:sz w:val="20"/>
                <w:lang w:val="en-CA"/>
              </w:rPr>
            </w:pPr>
            <w:r w:rsidRPr="00056924">
              <w:rPr>
                <w:rFonts w:eastAsiaTheme="minorHAnsi"/>
                <w:sz w:val="20"/>
                <w:lang w:val="en-CA"/>
              </w:rPr>
              <w:t xml:space="preserve">Court of Appeal for British Columbia </w:t>
            </w:r>
          </w:p>
          <w:p w:rsidR="00917F7F" w:rsidRPr="00056924" w:rsidRDefault="00917F7F" w:rsidP="00917F7F">
            <w:pPr>
              <w:jc w:val="both"/>
              <w:rPr>
                <w:rFonts w:eastAsiaTheme="minorHAnsi"/>
                <w:sz w:val="20"/>
                <w:lang w:val="en-CA"/>
              </w:rPr>
            </w:pPr>
            <w:r w:rsidRPr="00056924">
              <w:rPr>
                <w:rFonts w:eastAsiaTheme="minorHAnsi"/>
                <w:sz w:val="20"/>
                <w:lang w:val="en-CA"/>
              </w:rPr>
              <w:t>(Vancouver)</w:t>
            </w:r>
          </w:p>
          <w:p w:rsidR="00917F7F" w:rsidRPr="00056924" w:rsidRDefault="00917F7F" w:rsidP="00917F7F">
            <w:pPr>
              <w:jc w:val="both"/>
              <w:rPr>
                <w:rFonts w:eastAsiaTheme="minorHAnsi"/>
                <w:sz w:val="20"/>
                <w:lang w:val="en-CA"/>
              </w:rPr>
            </w:pPr>
            <w:r w:rsidRPr="00056924">
              <w:rPr>
                <w:rFonts w:eastAsiaTheme="minorHAnsi"/>
                <w:sz w:val="20"/>
                <w:lang w:val="en-CA"/>
              </w:rPr>
              <w:t xml:space="preserve">(Newbury (dissenting), Chiasson, Frankel, Bennett </w:t>
            </w:r>
          </w:p>
          <w:p w:rsidR="00917F7F" w:rsidRPr="00056924" w:rsidRDefault="00917F7F" w:rsidP="00917F7F">
            <w:pPr>
              <w:jc w:val="both"/>
              <w:rPr>
                <w:rFonts w:eastAsiaTheme="minorHAnsi"/>
                <w:sz w:val="20"/>
                <w:lang w:val="en-CA"/>
              </w:rPr>
            </w:pPr>
            <w:r w:rsidRPr="00056924">
              <w:rPr>
                <w:rFonts w:eastAsiaTheme="minorHAnsi"/>
                <w:sz w:val="20"/>
                <w:lang w:val="en-CA"/>
              </w:rPr>
              <w:t>(dissenting) and Goepel JJ.A.)</w:t>
            </w:r>
          </w:p>
          <w:p w:rsidR="00917F7F" w:rsidRPr="00056924" w:rsidRDefault="00260D92" w:rsidP="00917F7F">
            <w:pPr>
              <w:jc w:val="both"/>
              <w:rPr>
                <w:rFonts w:eastAsiaTheme="minorHAnsi"/>
                <w:sz w:val="20"/>
                <w:lang w:val="en-CA"/>
              </w:rPr>
            </w:pPr>
            <w:hyperlink r:id="rId28" w:history="1">
              <w:r w:rsidR="00917F7F" w:rsidRPr="00056924">
                <w:rPr>
                  <w:rFonts w:eastAsiaTheme="minorHAnsi"/>
                  <w:color w:val="0000FF" w:themeColor="hyperlink"/>
                  <w:sz w:val="20"/>
                  <w:u w:val="single"/>
                  <w:lang w:val="en-CA"/>
                </w:rPr>
                <w:t>2014 BCCA 499</w:t>
              </w:r>
            </w:hyperlink>
            <w:r w:rsidR="00917F7F" w:rsidRPr="00056924">
              <w:rPr>
                <w:rFonts w:eastAsiaTheme="minorHAnsi"/>
                <w:sz w:val="20"/>
                <w:lang w:val="en-CA"/>
              </w:rPr>
              <w:t>; CA040835</w:t>
            </w:r>
          </w:p>
          <w:p w:rsidR="00917F7F" w:rsidRPr="00056924" w:rsidRDefault="00917F7F" w:rsidP="00917F7F">
            <w:pPr>
              <w:jc w:val="both"/>
              <w:rPr>
                <w:rFonts w:eastAsiaTheme="minorHAnsi"/>
                <w:sz w:val="20"/>
                <w:lang w:val="en-CA"/>
              </w:rPr>
            </w:pP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Appeal from the Order setting aside the Reconsideration Decision as a nullity, dismissed; appeal from the Order setting aside the Original Decision as patently unreasonable, dismissed</w:t>
            </w:r>
          </w:p>
          <w:p w:rsidR="00917F7F" w:rsidRPr="00056924" w:rsidRDefault="00917F7F" w:rsidP="00917F7F">
            <w:pPr>
              <w:jc w:val="both"/>
              <w:rPr>
                <w:rFonts w:eastAsiaTheme="minorHAnsi"/>
                <w:sz w:val="20"/>
                <w:lang w:val="en-CA"/>
              </w:rPr>
            </w:pP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lastRenderedPageBreak/>
              <w:t>February 12, 2015</w:t>
            </w:r>
          </w:p>
          <w:p w:rsidR="00917F7F" w:rsidRDefault="00917F7F" w:rsidP="00917F7F">
            <w:pPr>
              <w:jc w:val="both"/>
              <w:rPr>
                <w:rFonts w:eastAsiaTheme="minorHAnsi"/>
                <w:sz w:val="20"/>
                <w:lang w:val="en-CA"/>
              </w:rPr>
            </w:pPr>
            <w:r w:rsidRPr="00056924">
              <w:rPr>
                <w:rFonts w:eastAsiaTheme="minorHAnsi"/>
                <w:sz w:val="20"/>
                <w:lang w:val="en-CA"/>
              </w:rPr>
              <w:t>Supreme Court of Canada</w:t>
            </w:r>
          </w:p>
          <w:p w:rsidR="00056924" w:rsidRPr="00056924" w:rsidRDefault="00056924" w:rsidP="00917F7F">
            <w:pPr>
              <w:jc w:val="both"/>
              <w:rPr>
                <w:rFonts w:eastAsiaTheme="minorHAnsi"/>
                <w:sz w:val="20"/>
                <w:lang w:val="en-CA"/>
              </w:rPr>
            </w:pP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Application for leave to appeal filed by the Tribunal</w:t>
            </w:r>
          </w:p>
          <w:p w:rsidR="00917F7F" w:rsidRPr="00056924" w:rsidRDefault="00917F7F" w:rsidP="00917F7F">
            <w:pPr>
              <w:jc w:val="both"/>
              <w:rPr>
                <w:rFonts w:eastAsiaTheme="minorHAnsi"/>
                <w:sz w:val="20"/>
                <w:lang w:val="en-CA"/>
              </w:rPr>
            </w:pPr>
          </w:p>
        </w:tc>
      </w:tr>
      <w:tr w:rsidR="00917F7F" w:rsidRPr="00056924" w:rsidTr="00202E4C">
        <w:trPr>
          <w:trHeight w:val="63"/>
        </w:trPr>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t>February 16, 2015</w:t>
            </w:r>
          </w:p>
          <w:p w:rsidR="00917F7F" w:rsidRPr="00056924" w:rsidRDefault="00917F7F" w:rsidP="00917F7F">
            <w:pPr>
              <w:jc w:val="both"/>
              <w:rPr>
                <w:rFonts w:eastAsiaTheme="minorHAnsi"/>
                <w:sz w:val="20"/>
                <w:lang w:val="en-CA"/>
              </w:rPr>
            </w:pPr>
            <w:r w:rsidRPr="00056924">
              <w:rPr>
                <w:rFonts w:eastAsiaTheme="minorHAnsi"/>
                <w:sz w:val="20"/>
                <w:lang w:val="en-CA"/>
              </w:rPr>
              <w:t>Supreme Court of Canada</w:t>
            </w: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 xml:space="preserve">Application for leave to appeal filed by Ms. Hammer, Schmidt and MacFarlane </w:t>
            </w:r>
          </w:p>
        </w:tc>
      </w:tr>
    </w:tbl>
    <w:p w:rsidR="00917F7F" w:rsidRPr="00056924" w:rsidRDefault="00917F7F" w:rsidP="00917F7F">
      <w:pPr>
        <w:jc w:val="both"/>
        <w:rPr>
          <w:rFonts w:eastAsiaTheme="minorHAnsi"/>
          <w:sz w:val="20"/>
          <w:lang w:val="en-CA"/>
        </w:rPr>
      </w:pPr>
    </w:p>
    <w:p w:rsidR="00917F7F" w:rsidRPr="00056924" w:rsidRDefault="00917F7F" w:rsidP="00917F7F">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7F7F" w:rsidRPr="00056924" w:rsidTr="00202E4C">
        <w:tc>
          <w:tcPr>
            <w:tcW w:w="543" w:type="pct"/>
          </w:tcPr>
          <w:p w:rsidR="00917F7F" w:rsidRPr="00056924" w:rsidRDefault="00917F7F" w:rsidP="00917F7F">
            <w:pPr>
              <w:jc w:val="both"/>
              <w:rPr>
                <w:rFonts w:eastAsiaTheme="minorHAnsi"/>
                <w:sz w:val="20"/>
                <w:lang w:val="fr-CA"/>
              </w:rPr>
            </w:pPr>
            <w:r w:rsidRPr="00056924">
              <w:rPr>
                <w:rFonts w:eastAsiaTheme="minorHAnsi"/>
                <w:b/>
                <w:sz w:val="20"/>
                <w:lang w:val="fr-CA"/>
              </w:rPr>
              <w:t>36300</w:t>
            </w:r>
          </w:p>
        </w:tc>
        <w:tc>
          <w:tcPr>
            <w:tcW w:w="4457" w:type="pct"/>
            <w:gridSpan w:val="3"/>
          </w:tcPr>
          <w:p w:rsidR="00917F7F" w:rsidRPr="00056924" w:rsidRDefault="00917F7F" w:rsidP="00917F7F">
            <w:pPr>
              <w:jc w:val="both"/>
              <w:rPr>
                <w:rFonts w:eastAsiaTheme="minorHAnsi"/>
                <w:b/>
                <w:sz w:val="20"/>
              </w:rPr>
            </w:pPr>
            <w:r w:rsidRPr="00056924">
              <w:rPr>
                <w:rFonts w:eastAsiaTheme="minorHAnsi"/>
                <w:b/>
                <w:sz w:val="20"/>
              </w:rPr>
              <w:t>Workers’ Compensation Appeal Tribunal c. Fraser Health Authority, Katrina Hammer, Patricia Schmidt et Anne MacFarlane</w:t>
            </w:r>
          </w:p>
          <w:p w:rsidR="00917F7F" w:rsidRPr="00056924" w:rsidRDefault="00917F7F" w:rsidP="00917F7F">
            <w:pPr>
              <w:jc w:val="both"/>
              <w:rPr>
                <w:rFonts w:eastAsiaTheme="minorHAnsi"/>
                <w:b/>
                <w:sz w:val="20"/>
              </w:rPr>
            </w:pPr>
            <w:r w:rsidRPr="00056924">
              <w:rPr>
                <w:rFonts w:eastAsiaTheme="minorHAnsi"/>
                <w:b/>
                <w:sz w:val="20"/>
              </w:rPr>
              <w:t>- et entre -</w:t>
            </w:r>
          </w:p>
          <w:p w:rsidR="00917F7F" w:rsidRPr="00056924" w:rsidRDefault="00917F7F" w:rsidP="00917F7F">
            <w:pPr>
              <w:jc w:val="both"/>
              <w:rPr>
                <w:rFonts w:eastAsiaTheme="minorHAnsi"/>
                <w:b/>
                <w:sz w:val="20"/>
              </w:rPr>
            </w:pPr>
            <w:r w:rsidRPr="00056924">
              <w:rPr>
                <w:rFonts w:eastAsiaTheme="minorHAnsi"/>
                <w:b/>
                <w:sz w:val="20"/>
              </w:rPr>
              <w:t>Katrina Hammer, Patricia Schmidt et Anne MacFarlane c. Workers’ Compensation Appeal Tribunal, Fraser Health Authority</w:t>
            </w:r>
          </w:p>
          <w:p w:rsidR="00917F7F" w:rsidRPr="00056924" w:rsidRDefault="00917F7F" w:rsidP="00917F7F">
            <w:pPr>
              <w:jc w:val="both"/>
              <w:rPr>
                <w:rFonts w:eastAsiaTheme="minorHAnsi"/>
                <w:sz w:val="20"/>
              </w:rPr>
            </w:pPr>
            <w:r w:rsidRPr="00056924">
              <w:rPr>
                <w:rFonts w:eastAsiaTheme="minorHAnsi"/>
                <w:sz w:val="20"/>
              </w:rPr>
              <w:t>(C.-B.) (Civile) (Sur autorisation)</w:t>
            </w:r>
          </w:p>
        </w:tc>
      </w:tr>
      <w:tr w:rsidR="00917F7F" w:rsidRPr="00260D92" w:rsidTr="00202E4C">
        <w:tc>
          <w:tcPr>
            <w:tcW w:w="5000" w:type="pct"/>
            <w:gridSpan w:val="4"/>
          </w:tcPr>
          <w:p w:rsidR="00917F7F" w:rsidRPr="00056924" w:rsidRDefault="00917F7F" w:rsidP="00917F7F">
            <w:pPr>
              <w:jc w:val="both"/>
              <w:rPr>
                <w:rFonts w:eastAsiaTheme="minorHAnsi"/>
                <w:sz w:val="20"/>
                <w:lang w:val="fr-CA"/>
              </w:rPr>
            </w:pPr>
            <w:r w:rsidRPr="00056924">
              <w:rPr>
                <w:rFonts w:eastAsiaTheme="minorHAnsi"/>
                <w:sz w:val="20"/>
                <w:lang w:val="fr-CA"/>
              </w:rPr>
              <w:t xml:space="preserve">Droit administratif – Organismes et tribunaux administratifs – Compétence – Appels – Contrôle judiciaire – Norme de contrôle – Accidents du travail – Lien de causalité – Le pouvoir de common law permettant à un tribunal administratif de rouvrir un appel pour corriger une erreur ou un vice de compétence comprend-il le pouvoir de corriger une erreur déraisonnable ou manifestement déraisonnable? – Une formation différente d’un tribunal administratif peut-elle rouvrir un appel pour corriger un vice de compétence? – Les conclusions de fait d’un tribunal administratif peuvent-elles être modifiées à l’issue d’un contrôle judiciaire si le tribunal administratif disposait d’une preuve capable d’étayer ces conclusions? – Les tribunaux judiciaires saisis d’une demande de contrôle judiciaire des conclusions de fait d’un tribunal administratif doivent-ils se demander s’il existait une preuve capable d’étayer les conclusions ou doivent-ils plutôt aller plus loin et se demander en outre si cette preuve était suffisante? – </w:t>
            </w:r>
            <w:r w:rsidRPr="00056924">
              <w:rPr>
                <w:rFonts w:eastAsiaTheme="minorHAnsi"/>
                <w:i/>
                <w:sz w:val="20"/>
                <w:lang w:val="fr-CA"/>
              </w:rPr>
              <w:t>Workers’ Compensation Act</w:t>
            </w:r>
            <w:r w:rsidRPr="00056924">
              <w:rPr>
                <w:rFonts w:eastAsiaTheme="minorHAnsi"/>
                <w:sz w:val="20"/>
                <w:lang w:val="fr-CA"/>
              </w:rPr>
              <w:t>, R.S.B.C. 1996, ch. 492.</w:t>
            </w:r>
          </w:p>
        </w:tc>
      </w:tr>
      <w:tr w:rsidR="00917F7F" w:rsidRPr="00260D92" w:rsidTr="00202E4C">
        <w:tc>
          <w:tcPr>
            <w:tcW w:w="5000" w:type="pct"/>
            <w:gridSpan w:val="4"/>
          </w:tcPr>
          <w:p w:rsidR="00917F7F" w:rsidRPr="00056924" w:rsidRDefault="00917F7F" w:rsidP="00917F7F">
            <w:pPr>
              <w:jc w:val="both"/>
              <w:rPr>
                <w:rFonts w:eastAsiaTheme="minorHAnsi"/>
                <w:sz w:val="20"/>
                <w:lang w:val="fr-CA"/>
              </w:rPr>
            </w:pPr>
          </w:p>
        </w:tc>
      </w:tr>
      <w:tr w:rsidR="00917F7F" w:rsidRPr="00260D92" w:rsidTr="00202E4C">
        <w:tc>
          <w:tcPr>
            <w:tcW w:w="5000" w:type="pct"/>
            <w:gridSpan w:val="4"/>
          </w:tcPr>
          <w:p w:rsidR="00917F7F" w:rsidRPr="00056924" w:rsidRDefault="00917F7F" w:rsidP="00917F7F">
            <w:pPr>
              <w:jc w:val="both"/>
              <w:rPr>
                <w:rFonts w:eastAsiaTheme="minorHAnsi"/>
                <w:sz w:val="20"/>
                <w:lang w:val="fr-CA"/>
              </w:rPr>
            </w:pPr>
            <w:r w:rsidRPr="00056924">
              <w:rPr>
                <w:rFonts w:eastAsiaTheme="minorHAnsi"/>
                <w:sz w:val="20"/>
                <w:lang w:val="fr-CA"/>
              </w:rPr>
              <w:t>Les trois femmes en cause en l’espèce font partie des six techniciennes de laboratoire au service du Mission Memorial Hospital en Colombie-Britannique qui ont contracté le cancer du sein au cours des années 1970 à 2004.  Elles ont fait une demande à la Worker’s Compensation Board pour obtenir une indemnité d’accident du travail, mais leur demande a été refusée parce que la preuve n’avait pas établi que le lieu de travail avait causé la pathologie des travailleuses ou y avait contribué de façon importante.  La Division des révisions de la commission a confirmé ces décisions.  À l’issue de l’appel au tribunal des accidents du travail, le tribunal a conclu que les travailleuses s’étaient acquittées du fardeau d’établir un lien de causalité.  À l’issue d’un réexamen, une commission d’examen a conclu que les décisions n’avaient pas été manifestement déraisonnables.  Dans le cadre d’une demande de contrôle judiciaire à la Cour suprême de la Colombie-Britannique, les parties ont procédé au moyen d’une seule demande au nom de toutes les trois.  La Cour a statué qu’[</w:t>
            </w:r>
            <w:r w:rsidRPr="00056924">
              <w:rPr>
                <w:rFonts w:eastAsiaTheme="minorHAnsi"/>
                <w:smallCaps/>
                <w:sz w:val="20"/>
                <w:lang w:val="fr-CA"/>
              </w:rPr>
              <w:t>traduction</w:t>
            </w:r>
            <w:r w:rsidRPr="00056924">
              <w:rPr>
                <w:rFonts w:eastAsiaTheme="minorHAnsi"/>
                <w:sz w:val="20"/>
                <w:lang w:val="fr-CA"/>
              </w:rPr>
              <w:t>] « aucun élément de preuve » ne permettait de conclure à l’existence d’un lien de causalité.  La décision initiale du tribunal ayant été jugée manifestement déraisonnable, la décision à l’issue du réexamen a été jugée mal fondée.  La Cour a renvoyé l’affaire au tribunal pour qu’il l’examine de nouveau.  La Cour d’appel de la Colombie-Britannique a rejeté l’appel, les juges Newbury et Bennett étant dissidentes.</w:t>
            </w:r>
          </w:p>
          <w:p w:rsidR="00917F7F" w:rsidRPr="00056924" w:rsidRDefault="00917F7F" w:rsidP="00917F7F">
            <w:pPr>
              <w:jc w:val="both"/>
              <w:rPr>
                <w:rFonts w:eastAsiaTheme="minorHAnsi"/>
                <w:sz w:val="20"/>
                <w:lang w:val="fr-CA"/>
              </w:rPr>
            </w:pPr>
          </w:p>
        </w:tc>
      </w:tr>
      <w:tr w:rsidR="00917F7F" w:rsidRPr="00260D92"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29 décembre 2010</w:t>
            </w:r>
          </w:p>
          <w:p w:rsidR="00917F7F" w:rsidRPr="00056924" w:rsidRDefault="00917F7F" w:rsidP="00917F7F">
            <w:pPr>
              <w:jc w:val="both"/>
              <w:rPr>
                <w:rFonts w:eastAsiaTheme="minorHAnsi"/>
                <w:sz w:val="20"/>
                <w:lang w:val="fr-CA"/>
              </w:rPr>
            </w:pPr>
            <w:r w:rsidRPr="00056924">
              <w:rPr>
                <w:rFonts w:eastAsiaTheme="minorHAnsi"/>
                <w:sz w:val="20"/>
                <w:lang w:val="fr-CA"/>
              </w:rPr>
              <w:t>Workers’ Compensation Appeal Tribunal</w:t>
            </w:r>
          </w:p>
          <w:p w:rsidR="00917F7F" w:rsidRPr="00056924" w:rsidRDefault="00917F7F" w:rsidP="00917F7F">
            <w:pPr>
              <w:jc w:val="both"/>
              <w:rPr>
                <w:rFonts w:eastAsiaTheme="minorHAnsi"/>
                <w:sz w:val="20"/>
                <w:lang w:val="fr-CA"/>
              </w:rPr>
            </w:pPr>
            <w:r w:rsidRPr="00056924">
              <w:rPr>
                <w:rFonts w:eastAsiaTheme="minorHAnsi"/>
                <w:sz w:val="20"/>
                <w:lang w:val="fr-CA"/>
              </w:rPr>
              <w:t>(Membres Lane, Hirose-Cameron et Clarke (dissidente))</w:t>
            </w:r>
          </w:p>
          <w:p w:rsidR="00917F7F" w:rsidRPr="00056924" w:rsidRDefault="00917F7F" w:rsidP="00917F7F">
            <w:pPr>
              <w:jc w:val="both"/>
              <w:rPr>
                <w:rFonts w:eastAsiaTheme="minorHAnsi"/>
                <w:sz w:val="20"/>
                <w:lang w:val="fr-CA"/>
              </w:rPr>
            </w:pPr>
            <w:r w:rsidRPr="00056924">
              <w:rPr>
                <w:rFonts w:eastAsiaTheme="minorHAnsi"/>
                <w:sz w:val="20"/>
                <w:lang w:val="fr-CA"/>
              </w:rPr>
              <w:t>WCAT-2010-03503</w:t>
            </w:r>
          </w:p>
          <w:p w:rsidR="00917F7F" w:rsidRPr="00056924" w:rsidRDefault="00917F7F" w:rsidP="00917F7F">
            <w:pPr>
              <w:jc w:val="both"/>
              <w:rPr>
                <w:rFonts w:eastAsiaTheme="minorHAnsi"/>
                <w:sz w:val="20"/>
                <w:lang w:val="fr-CA"/>
              </w:rPr>
            </w:pPr>
          </w:p>
        </w:tc>
        <w:tc>
          <w:tcPr>
            <w:tcW w:w="243" w:type="pct"/>
          </w:tcPr>
          <w:p w:rsidR="00917F7F" w:rsidRPr="00056924" w:rsidRDefault="00917F7F" w:rsidP="00917F7F">
            <w:pPr>
              <w:jc w:val="both"/>
              <w:rPr>
                <w:rFonts w:eastAsiaTheme="minorHAnsi"/>
                <w:sz w:val="20"/>
                <w:lang w:val="fr-CA"/>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Décision accueillant l’appel des travailleuses de la décision de l’agent d’examen et statuant que le cancer du sein des travailleuses était une maladie professionnelle en raison de la nature de leur emploi (la « décision initiale »)</w:t>
            </w:r>
          </w:p>
        </w:tc>
      </w:tr>
      <w:tr w:rsidR="00917F7F" w:rsidRPr="00260D92"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6 décembre 2011</w:t>
            </w:r>
          </w:p>
          <w:p w:rsidR="00917F7F" w:rsidRPr="00056924" w:rsidRDefault="00917F7F" w:rsidP="00917F7F">
            <w:pPr>
              <w:jc w:val="both"/>
              <w:rPr>
                <w:rFonts w:eastAsiaTheme="minorHAnsi"/>
                <w:sz w:val="20"/>
                <w:lang w:val="fr-CA"/>
              </w:rPr>
            </w:pPr>
            <w:r w:rsidRPr="00056924">
              <w:rPr>
                <w:rFonts w:eastAsiaTheme="minorHAnsi"/>
                <w:sz w:val="20"/>
                <w:lang w:val="fr-CA"/>
              </w:rPr>
              <w:t>Workers’ Compensation Appeal Tribunal</w:t>
            </w:r>
          </w:p>
          <w:p w:rsidR="00917F7F" w:rsidRPr="00056924" w:rsidRDefault="00917F7F" w:rsidP="00917F7F">
            <w:pPr>
              <w:jc w:val="both"/>
              <w:rPr>
                <w:rFonts w:eastAsiaTheme="minorHAnsi"/>
                <w:sz w:val="20"/>
                <w:lang w:val="fr-CA"/>
              </w:rPr>
            </w:pPr>
            <w:r w:rsidRPr="00056924">
              <w:rPr>
                <w:rFonts w:eastAsiaTheme="minorHAnsi"/>
                <w:sz w:val="20"/>
                <w:lang w:val="fr-CA"/>
              </w:rPr>
              <w:t>Vice-présidente Dukelow</w:t>
            </w:r>
          </w:p>
          <w:p w:rsidR="00917F7F" w:rsidRPr="00056924" w:rsidRDefault="00917F7F" w:rsidP="00917F7F">
            <w:pPr>
              <w:jc w:val="both"/>
              <w:rPr>
                <w:rFonts w:eastAsiaTheme="minorHAnsi"/>
                <w:sz w:val="20"/>
                <w:lang w:val="fr-CA"/>
              </w:rPr>
            </w:pPr>
            <w:r w:rsidRPr="00056924">
              <w:rPr>
                <w:rFonts w:eastAsiaTheme="minorHAnsi"/>
                <w:sz w:val="20"/>
                <w:lang w:val="fr-CA"/>
              </w:rPr>
              <w:t>WCAT-2011-03079</w:t>
            </w:r>
          </w:p>
          <w:p w:rsidR="00917F7F" w:rsidRPr="00056924" w:rsidRDefault="00917F7F" w:rsidP="00917F7F">
            <w:pPr>
              <w:jc w:val="both"/>
              <w:rPr>
                <w:rFonts w:eastAsiaTheme="minorHAnsi"/>
                <w:sz w:val="20"/>
                <w:lang w:val="fr-CA"/>
              </w:rPr>
            </w:pPr>
          </w:p>
        </w:tc>
        <w:tc>
          <w:tcPr>
            <w:tcW w:w="243" w:type="pct"/>
          </w:tcPr>
          <w:p w:rsidR="00917F7F" w:rsidRPr="00056924" w:rsidRDefault="00917F7F" w:rsidP="00917F7F">
            <w:pPr>
              <w:jc w:val="both"/>
              <w:rPr>
                <w:rFonts w:eastAsiaTheme="minorHAnsi"/>
                <w:sz w:val="20"/>
                <w:lang w:val="fr-CA"/>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Rejet de la demande de Fraser Health Authority en réexamen de la décision initiale (la « décision à l’issue du réexamen »)</w:t>
            </w:r>
          </w:p>
        </w:tc>
      </w:tr>
      <w:tr w:rsidR="00917F7F" w:rsidRPr="00260D92"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lastRenderedPageBreak/>
              <w:t>28 mars 2013</w:t>
            </w:r>
          </w:p>
          <w:p w:rsidR="00917F7F" w:rsidRPr="00056924" w:rsidRDefault="00917F7F" w:rsidP="00917F7F">
            <w:pPr>
              <w:jc w:val="both"/>
              <w:rPr>
                <w:rFonts w:eastAsiaTheme="minorHAnsi"/>
                <w:sz w:val="20"/>
                <w:lang w:val="fr-CA"/>
              </w:rPr>
            </w:pPr>
            <w:r w:rsidRPr="00056924">
              <w:rPr>
                <w:rFonts w:eastAsiaTheme="minorHAnsi"/>
                <w:sz w:val="20"/>
                <w:lang w:val="fr-CA"/>
              </w:rPr>
              <w:t>Cour suprême de Colombie-Britannique</w:t>
            </w:r>
          </w:p>
          <w:p w:rsidR="00917F7F" w:rsidRPr="00056924" w:rsidRDefault="00917F7F" w:rsidP="00917F7F">
            <w:pPr>
              <w:jc w:val="both"/>
              <w:rPr>
                <w:rFonts w:eastAsiaTheme="minorHAnsi"/>
                <w:sz w:val="20"/>
                <w:lang w:val="fr-CA"/>
              </w:rPr>
            </w:pPr>
            <w:r w:rsidRPr="00056924">
              <w:rPr>
                <w:rFonts w:eastAsiaTheme="minorHAnsi"/>
                <w:sz w:val="20"/>
                <w:lang w:val="fr-CA"/>
              </w:rPr>
              <w:t>(Juge Savage)</w:t>
            </w:r>
          </w:p>
          <w:p w:rsidR="00917F7F" w:rsidRPr="00056924" w:rsidRDefault="00260D92" w:rsidP="00917F7F">
            <w:pPr>
              <w:jc w:val="both"/>
              <w:rPr>
                <w:rFonts w:eastAsiaTheme="minorHAnsi"/>
                <w:sz w:val="20"/>
                <w:lang w:val="fr-CA"/>
              </w:rPr>
            </w:pPr>
            <w:hyperlink r:id="rId29" w:history="1">
              <w:r w:rsidR="00917F7F" w:rsidRPr="00056924">
                <w:rPr>
                  <w:rFonts w:eastAsiaTheme="minorHAnsi"/>
                  <w:color w:val="0000FF" w:themeColor="hyperlink"/>
                  <w:sz w:val="20"/>
                  <w:u w:val="single"/>
                  <w:lang w:val="fr-CA"/>
                </w:rPr>
                <w:t>2013 BCSC 524</w:t>
              </w:r>
            </w:hyperlink>
          </w:p>
        </w:tc>
        <w:tc>
          <w:tcPr>
            <w:tcW w:w="243" w:type="pct"/>
          </w:tcPr>
          <w:p w:rsidR="00917F7F" w:rsidRPr="00056924" w:rsidRDefault="00917F7F" w:rsidP="00917F7F">
            <w:pPr>
              <w:jc w:val="both"/>
              <w:rPr>
                <w:rFonts w:eastAsiaTheme="minorHAnsi"/>
                <w:sz w:val="20"/>
                <w:lang w:val="fr-CA"/>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 xml:space="preserve">Jugement accueillant la requête de  Fraser Health Authority, annulation de la décision initiale et de la décision à l’issue du réexamen et renvoi de l’affaire au tribunal pour qu’il l’examine de nouveau </w:t>
            </w:r>
          </w:p>
          <w:p w:rsidR="00917F7F" w:rsidRPr="00056924" w:rsidRDefault="00917F7F" w:rsidP="00917F7F">
            <w:pPr>
              <w:jc w:val="both"/>
              <w:rPr>
                <w:rFonts w:eastAsiaTheme="minorHAnsi"/>
                <w:sz w:val="20"/>
                <w:lang w:val="fr-CA"/>
              </w:rPr>
            </w:pPr>
          </w:p>
        </w:tc>
      </w:tr>
      <w:tr w:rsidR="00917F7F" w:rsidRPr="00260D92"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18 décembre 2014</w:t>
            </w:r>
          </w:p>
          <w:p w:rsidR="00917F7F" w:rsidRPr="00056924" w:rsidRDefault="00917F7F" w:rsidP="00917F7F">
            <w:pPr>
              <w:jc w:val="both"/>
              <w:rPr>
                <w:rFonts w:eastAsiaTheme="minorHAnsi"/>
                <w:sz w:val="20"/>
                <w:lang w:val="fr-CA"/>
              </w:rPr>
            </w:pPr>
            <w:r w:rsidRPr="00056924">
              <w:rPr>
                <w:rFonts w:eastAsiaTheme="minorHAnsi"/>
                <w:sz w:val="20"/>
                <w:lang w:val="fr-CA"/>
              </w:rPr>
              <w:t>Cour d’appel de la Colombie-Britannique</w:t>
            </w:r>
          </w:p>
          <w:p w:rsidR="00917F7F" w:rsidRPr="00056924" w:rsidRDefault="00917F7F" w:rsidP="00917F7F">
            <w:pPr>
              <w:jc w:val="both"/>
              <w:rPr>
                <w:rFonts w:eastAsiaTheme="minorHAnsi"/>
                <w:sz w:val="20"/>
                <w:lang w:val="fr-CA"/>
              </w:rPr>
            </w:pPr>
            <w:r w:rsidRPr="00056924">
              <w:rPr>
                <w:rFonts w:eastAsiaTheme="minorHAnsi"/>
                <w:sz w:val="20"/>
                <w:lang w:val="fr-CA"/>
              </w:rPr>
              <w:t>(Vancouver)</w:t>
            </w:r>
          </w:p>
          <w:p w:rsidR="00917F7F" w:rsidRPr="00056924" w:rsidRDefault="00917F7F" w:rsidP="00917F7F">
            <w:pPr>
              <w:jc w:val="both"/>
              <w:rPr>
                <w:rFonts w:eastAsiaTheme="minorHAnsi"/>
                <w:sz w:val="20"/>
                <w:lang w:val="fr-CA"/>
              </w:rPr>
            </w:pPr>
            <w:r w:rsidRPr="00056924">
              <w:rPr>
                <w:rFonts w:eastAsiaTheme="minorHAnsi"/>
                <w:sz w:val="20"/>
                <w:lang w:val="fr-CA"/>
              </w:rPr>
              <w:t xml:space="preserve">(Juges Newbury (dissidente), Chiasson, Frankel, Bennett </w:t>
            </w:r>
          </w:p>
          <w:p w:rsidR="00917F7F" w:rsidRPr="00056924" w:rsidRDefault="00917F7F" w:rsidP="00917F7F">
            <w:pPr>
              <w:jc w:val="both"/>
              <w:rPr>
                <w:rFonts w:eastAsiaTheme="minorHAnsi"/>
                <w:sz w:val="20"/>
                <w:lang w:val="fr-CA"/>
              </w:rPr>
            </w:pPr>
            <w:r w:rsidRPr="00056924">
              <w:rPr>
                <w:rFonts w:eastAsiaTheme="minorHAnsi"/>
                <w:sz w:val="20"/>
                <w:lang w:val="fr-CA"/>
              </w:rPr>
              <w:t>(dissidente) et Goepel)</w:t>
            </w:r>
          </w:p>
          <w:p w:rsidR="00917F7F" w:rsidRPr="00056924" w:rsidRDefault="00260D92" w:rsidP="00917F7F">
            <w:pPr>
              <w:jc w:val="both"/>
              <w:rPr>
                <w:rFonts w:eastAsiaTheme="minorHAnsi"/>
                <w:sz w:val="20"/>
                <w:lang w:val="fr-CA"/>
              </w:rPr>
            </w:pPr>
            <w:hyperlink r:id="rId30" w:history="1">
              <w:r w:rsidR="00917F7F" w:rsidRPr="00056924">
                <w:rPr>
                  <w:rFonts w:eastAsiaTheme="minorHAnsi"/>
                  <w:color w:val="0000FF" w:themeColor="hyperlink"/>
                  <w:sz w:val="20"/>
                  <w:u w:val="single"/>
                  <w:lang w:val="fr-CA"/>
                </w:rPr>
                <w:t>2014 BCCA 499</w:t>
              </w:r>
            </w:hyperlink>
            <w:r w:rsidR="00917F7F" w:rsidRPr="00056924">
              <w:rPr>
                <w:rFonts w:eastAsiaTheme="minorHAnsi"/>
                <w:sz w:val="20"/>
                <w:lang w:val="fr-CA"/>
              </w:rPr>
              <w:t>; CA040835</w:t>
            </w:r>
          </w:p>
          <w:p w:rsidR="00917F7F" w:rsidRPr="00056924" w:rsidRDefault="00917F7F" w:rsidP="00917F7F">
            <w:pPr>
              <w:jc w:val="both"/>
              <w:rPr>
                <w:rFonts w:eastAsiaTheme="minorHAnsi"/>
                <w:sz w:val="20"/>
                <w:lang w:val="fr-CA"/>
              </w:rPr>
            </w:pPr>
          </w:p>
        </w:tc>
        <w:tc>
          <w:tcPr>
            <w:tcW w:w="243" w:type="pct"/>
          </w:tcPr>
          <w:p w:rsidR="00917F7F" w:rsidRPr="00056924" w:rsidRDefault="00917F7F" w:rsidP="00917F7F">
            <w:pPr>
              <w:jc w:val="both"/>
              <w:rPr>
                <w:rFonts w:eastAsiaTheme="minorHAnsi"/>
                <w:sz w:val="20"/>
                <w:lang w:val="fr-CA"/>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Rejet de l’appel de l’ordonnance annulant la décision à l’issue du réexamen pour cause de nullité; rejet de l’appel de l’ordonnance annulant la décision initiale parce que manifestement déraisonnable</w:t>
            </w:r>
          </w:p>
          <w:p w:rsidR="00917F7F" w:rsidRPr="00056924" w:rsidRDefault="00917F7F" w:rsidP="00917F7F">
            <w:pPr>
              <w:jc w:val="both"/>
              <w:rPr>
                <w:rFonts w:eastAsiaTheme="minorHAnsi"/>
                <w:sz w:val="20"/>
                <w:lang w:val="fr-CA"/>
              </w:rPr>
            </w:pPr>
          </w:p>
        </w:tc>
      </w:tr>
      <w:tr w:rsidR="00917F7F" w:rsidRPr="00260D92"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12 février 2015</w:t>
            </w:r>
          </w:p>
          <w:p w:rsidR="00917F7F" w:rsidRPr="00056924" w:rsidRDefault="00917F7F" w:rsidP="00917F7F">
            <w:pPr>
              <w:jc w:val="both"/>
              <w:rPr>
                <w:rFonts w:eastAsiaTheme="minorHAnsi"/>
                <w:sz w:val="20"/>
                <w:lang w:val="fr-CA"/>
              </w:rPr>
            </w:pPr>
            <w:r w:rsidRPr="00056924">
              <w:rPr>
                <w:rFonts w:eastAsiaTheme="minorHAnsi"/>
                <w:sz w:val="20"/>
                <w:lang w:val="fr-CA"/>
              </w:rPr>
              <w:t>Cour suprême du Canada</w:t>
            </w:r>
          </w:p>
        </w:tc>
        <w:tc>
          <w:tcPr>
            <w:tcW w:w="243" w:type="pct"/>
          </w:tcPr>
          <w:p w:rsidR="00917F7F" w:rsidRPr="00056924" w:rsidRDefault="00917F7F" w:rsidP="00917F7F">
            <w:pPr>
              <w:jc w:val="both"/>
              <w:rPr>
                <w:rFonts w:eastAsiaTheme="minorHAnsi"/>
                <w:sz w:val="20"/>
                <w:lang w:val="fr-CA"/>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Dépôt par le tribunal de la demande d’autorisation d’appel</w:t>
            </w:r>
          </w:p>
          <w:p w:rsidR="00917F7F" w:rsidRPr="00056924" w:rsidRDefault="00917F7F" w:rsidP="00917F7F">
            <w:pPr>
              <w:jc w:val="both"/>
              <w:rPr>
                <w:rFonts w:eastAsiaTheme="minorHAnsi"/>
                <w:sz w:val="20"/>
                <w:lang w:val="fr-CA"/>
              </w:rPr>
            </w:pPr>
          </w:p>
        </w:tc>
      </w:tr>
      <w:tr w:rsidR="00917F7F" w:rsidRPr="00260D92" w:rsidTr="00202E4C">
        <w:trPr>
          <w:trHeight w:val="63"/>
        </w:trPr>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16 février 2015</w:t>
            </w:r>
          </w:p>
          <w:p w:rsidR="00917F7F" w:rsidRPr="00056924" w:rsidRDefault="00917F7F" w:rsidP="00917F7F">
            <w:pPr>
              <w:jc w:val="both"/>
              <w:rPr>
                <w:rFonts w:eastAsiaTheme="minorHAnsi"/>
                <w:sz w:val="20"/>
                <w:lang w:val="fr-CA"/>
              </w:rPr>
            </w:pPr>
            <w:r w:rsidRPr="00056924">
              <w:rPr>
                <w:rFonts w:eastAsiaTheme="minorHAnsi"/>
                <w:sz w:val="20"/>
                <w:lang w:val="fr-CA"/>
              </w:rPr>
              <w:t>Cour suprême du Canada</w:t>
            </w:r>
          </w:p>
        </w:tc>
        <w:tc>
          <w:tcPr>
            <w:tcW w:w="243" w:type="pct"/>
          </w:tcPr>
          <w:p w:rsidR="00917F7F" w:rsidRPr="00056924" w:rsidRDefault="00917F7F" w:rsidP="00917F7F">
            <w:pPr>
              <w:jc w:val="both"/>
              <w:rPr>
                <w:rFonts w:eastAsiaTheme="minorHAnsi"/>
                <w:sz w:val="20"/>
                <w:lang w:val="fr-CA"/>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 xml:space="preserve">Dépôt par Mmes Hammer, Schmidt et MacFarlane de la demande d’autorisation d’appel </w:t>
            </w:r>
          </w:p>
        </w:tc>
      </w:tr>
    </w:tbl>
    <w:p w:rsidR="00917F7F" w:rsidRPr="00056924" w:rsidRDefault="00917F7F" w:rsidP="00917F7F">
      <w:pPr>
        <w:jc w:val="both"/>
        <w:rPr>
          <w:rFonts w:eastAsiaTheme="minorHAnsi"/>
          <w:sz w:val="20"/>
          <w:lang w:val="fr-CA"/>
        </w:rPr>
      </w:pPr>
    </w:p>
    <w:p w:rsidR="00917F7F" w:rsidRPr="00056924" w:rsidRDefault="00917F7F" w:rsidP="00917F7F">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7F7F" w:rsidRPr="00056924" w:rsidTr="00202E4C">
        <w:tc>
          <w:tcPr>
            <w:tcW w:w="543" w:type="pct"/>
          </w:tcPr>
          <w:p w:rsidR="00917F7F" w:rsidRPr="00056924" w:rsidRDefault="00917F7F" w:rsidP="00917F7F">
            <w:pPr>
              <w:jc w:val="both"/>
              <w:rPr>
                <w:rFonts w:eastAsiaTheme="minorHAnsi"/>
                <w:sz w:val="20"/>
                <w:lang w:val="en-CA"/>
              </w:rPr>
            </w:pPr>
            <w:r w:rsidRPr="00056924">
              <w:rPr>
                <w:rFonts w:eastAsiaTheme="minorHAnsi"/>
                <w:b/>
                <w:sz w:val="20"/>
                <w:lang w:val="fr-CA"/>
              </w:rPr>
              <w:t>36306</w:t>
            </w:r>
          </w:p>
        </w:tc>
        <w:tc>
          <w:tcPr>
            <w:tcW w:w="4457" w:type="pct"/>
            <w:gridSpan w:val="3"/>
          </w:tcPr>
          <w:p w:rsidR="00917F7F" w:rsidRPr="00056924" w:rsidRDefault="00917F7F" w:rsidP="00917F7F">
            <w:pPr>
              <w:jc w:val="both"/>
              <w:rPr>
                <w:rFonts w:eastAsiaTheme="minorHAnsi"/>
                <w:b/>
                <w:sz w:val="20"/>
                <w:lang w:val="en-CA"/>
              </w:rPr>
            </w:pPr>
            <w:r w:rsidRPr="00056924">
              <w:rPr>
                <w:rFonts w:eastAsiaTheme="minorHAnsi"/>
                <w:b/>
                <w:sz w:val="20"/>
                <w:lang w:val="en-CA"/>
              </w:rPr>
              <w:t>[C.M.] v. [L.L.], [V.L.]</w:t>
            </w:r>
          </w:p>
          <w:p w:rsidR="00917F7F" w:rsidRPr="00056924" w:rsidRDefault="00917F7F" w:rsidP="00917F7F">
            <w:pPr>
              <w:jc w:val="both"/>
              <w:rPr>
                <w:rFonts w:eastAsiaTheme="minorHAnsi"/>
                <w:sz w:val="20"/>
                <w:lang w:val="en-CA"/>
              </w:rPr>
            </w:pPr>
            <w:r w:rsidRPr="00056924">
              <w:rPr>
                <w:rFonts w:eastAsiaTheme="minorHAnsi"/>
                <w:sz w:val="20"/>
                <w:lang w:val="en-CA"/>
              </w:rPr>
              <w:t>(Que.) (Civil) (By Leave)</w:t>
            </w:r>
          </w:p>
        </w:tc>
      </w:tr>
      <w:tr w:rsidR="00917F7F" w:rsidRPr="00056924" w:rsidTr="00202E4C">
        <w:tc>
          <w:tcPr>
            <w:tcW w:w="5000" w:type="pct"/>
            <w:gridSpan w:val="4"/>
          </w:tcPr>
          <w:p w:rsidR="00917F7F" w:rsidRPr="00056924" w:rsidRDefault="00917F7F" w:rsidP="00917F7F">
            <w:pPr>
              <w:jc w:val="both"/>
              <w:rPr>
                <w:rFonts w:eastAsiaTheme="minorHAnsi"/>
                <w:smallCaps/>
                <w:sz w:val="20"/>
                <w:lang w:val="en-CA"/>
              </w:rPr>
            </w:pPr>
            <w:r w:rsidRPr="00056924">
              <w:rPr>
                <w:rFonts w:eastAsiaTheme="minorHAnsi"/>
                <w:smallCaps/>
                <w:sz w:val="20"/>
                <w:lang w:val="en-CA"/>
              </w:rPr>
              <w:t>(Publication Ban in Case) (Publication Ban on Party) (Court file contains information that is not available for inspection by the public)</w:t>
            </w:r>
          </w:p>
          <w:p w:rsidR="00917F7F" w:rsidRPr="00056924" w:rsidRDefault="00917F7F" w:rsidP="00917F7F">
            <w:pPr>
              <w:jc w:val="both"/>
              <w:rPr>
                <w:rFonts w:eastAsiaTheme="minorHAnsi"/>
                <w:sz w:val="20"/>
                <w:lang w:val="en-CA"/>
              </w:rPr>
            </w:pPr>
          </w:p>
          <w:p w:rsidR="00917F7F" w:rsidRPr="00056924" w:rsidRDefault="00917F7F" w:rsidP="00917F7F">
            <w:pPr>
              <w:jc w:val="both"/>
              <w:rPr>
                <w:rFonts w:eastAsiaTheme="minorHAnsi"/>
                <w:sz w:val="20"/>
                <w:lang w:val="en-CA"/>
              </w:rPr>
            </w:pPr>
            <w:r w:rsidRPr="00056924">
              <w:rPr>
                <w:rFonts w:eastAsiaTheme="minorHAnsi"/>
                <w:sz w:val="20"/>
                <w:lang w:val="en-CA"/>
              </w:rPr>
              <w:t>Contracts – Consent – Homologation of transactions – Whether applicant legally capable of contracting</w:t>
            </w:r>
            <w:r w:rsidRPr="00056924">
              <w:rPr>
                <w:rFonts w:eastAsiaTheme="minorHAnsi"/>
                <w:w w:val="105"/>
                <w:sz w:val="20"/>
                <w:lang w:val="en-CA"/>
              </w:rPr>
              <w:t xml:space="preserve"> –</w:t>
            </w:r>
            <w:r w:rsidRPr="00056924">
              <w:rPr>
                <w:rFonts w:eastAsiaTheme="minorHAnsi"/>
                <w:spacing w:val="13"/>
                <w:w w:val="105"/>
                <w:sz w:val="20"/>
                <w:lang w:val="en-CA"/>
              </w:rPr>
              <w:t xml:space="preserve"> </w:t>
            </w:r>
            <w:r w:rsidRPr="00056924">
              <w:rPr>
                <w:rFonts w:eastAsiaTheme="minorHAnsi"/>
                <w:sz w:val="20"/>
                <w:lang w:val="en-CA"/>
              </w:rPr>
              <w:t>Whether applicant’s consent vitiated – Whether applicant raising issue of law of public importance.</w:t>
            </w:r>
          </w:p>
        </w:tc>
      </w:tr>
      <w:tr w:rsidR="00917F7F" w:rsidRPr="00056924" w:rsidTr="00202E4C">
        <w:tc>
          <w:tcPr>
            <w:tcW w:w="5000" w:type="pct"/>
            <w:gridSpan w:val="4"/>
          </w:tcPr>
          <w:p w:rsidR="00917F7F" w:rsidRPr="00056924" w:rsidRDefault="00917F7F" w:rsidP="00917F7F">
            <w:pPr>
              <w:jc w:val="both"/>
              <w:rPr>
                <w:rFonts w:eastAsiaTheme="minorHAnsi"/>
                <w:sz w:val="20"/>
                <w:lang w:val="en-CA"/>
              </w:rPr>
            </w:pPr>
          </w:p>
        </w:tc>
      </w:tr>
      <w:tr w:rsidR="00917F7F" w:rsidRPr="00056924" w:rsidTr="00202E4C">
        <w:tc>
          <w:tcPr>
            <w:tcW w:w="5000" w:type="pct"/>
            <w:gridSpan w:val="4"/>
          </w:tcPr>
          <w:p w:rsidR="00917F7F" w:rsidRPr="00056924" w:rsidRDefault="00917F7F" w:rsidP="00917F7F">
            <w:pPr>
              <w:jc w:val="both"/>
              <w:rPr>
                <w:rFonts w:eastAsiaTheme="minorHAnsi"/>
                <w:sz w:val="20"/>
                <w:lang w:val="en-CA"/>
              </w:rPr>
            </w:pPr>
            <w:r w:rsidRPr="00056924">
              <w:rPr>
                <w:rFonts w:eastAsiaTheme="minorHAnsi"/>
                <w:sz w:val="20"/>
                <w:lang w:val="en-CA"/>
              </w:rPr>
              <w:t>On May 4, 2012, the applicant’s son died in a motor vehicle accident.  There followed various disputes over the devolution of the deceased’s property and, ultimately, an application to annul two transactions entered into on September 27, 2013 as a result of a settlement conference.</w:t>
            </w:r>
          </w:p>
          <w:p w:rsidR="00917F7F" w:rsidRPr="00056924" w:rsidRDefault="00917F7F" w:rsidP="00917F7F">
            <w:pPr>
              <w:jc w:val="both"/>
              <w:rPr>
                <w:rFonts w:eastAsiaTheme="minorHAnsi"/>
                <w:sz w:val="20"/>
                <w:lang w:val="en-CA"/>
              </w:rPr>
            </w:pP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t>October 7, 2014</w:t>
            </w:r>
          </w:p>
          <w:p w:rsidR="00917F7F" w:rsidRPr="00056924" w:rsidRDefault="00917F7F" w:rsidP="00917F7F">
            <w:pPr>
              <w:jc w:val="both"/>
              <w:rPr>
                <w:rFonts w:eastAsiaTheme="minorHAnsi"/>
                <w:sz w:val="20"/>
                <w:lang w:val="en-CA"/>
              </w:rPr>
            </w:pPr>
            <w:r w:rsidRPr="00056924">
              <w:rPr>
                <w:rFonts w:eastAsiaTheme="minorHAnsi"/>
                <w:sz w:val="20"/>
                <w:lang w:val="en-CA"/>
              </w:rPr>
              <w:t>Quebec Superior Court</w:t>
            </w:r>
          </w:p>
          <w:p w:rsidR="00917F7F" w:rsidRPr="00056924" w:rsidRDefault="00917F7F" w:rsidP="00917F7F">
            <w:pPr>
              <w:jc w:val="both"/>
              <w:rPr>
                <w:rFonts w:eastAsiaTheme="minorHAnsi"/>
                <w:sz w:val="20"/>
                <w:lang w:val="en-CA"/>
              </w:rPr>
            </w:pPr>
            <w:r w:rsidRPr="00056924">
              <w:rPr>
                <w:rFonts w:eastAsiaTheme="minorHAnsi"/>
                <w:sz w:val="20"/>
                <w:lang w:val="en-CA"/>
              </w:rPr>
              <w:t>(La Rosa J.)</w:t>
            </w:r>
          </w:p>
          <w:p w:rsidR="00917F7F" w:rsidRPr="00056924" w:rsidRDefault="00917F7F" w:rsidP="00917F7F">
            <w:pPr>
              <w:jc w:val="both"/>
              <w:rPr>
                <w:rFonts w:eastAsiaTheme="minorHAnsi"/>
                <w:sz w:val="20"/>
                <w:lang w:val="en-CA"/>
              </w:rPr>
            </w:pPr>
            <w:r w:rsidRPr="00056924">
              <w:rPr>
                <w:rFonts w:eastAsiaTheme="minorHAnsi"/>
                <w:sz w:val="20"/>
                <w:lang w:val="en-CA"/>
              </w:rPr>
              <w:t>Nos. 200-14-016465-129 and 200-04-021449-</w:t>
            </w:r>
          </w:p>
          <w:p w:rsidR="00917F7F" w:rsidRPr="00056924" w:rsidRDefault="00917F7F" w:rsidP="00917F7F">
            <w:pPr>
              <w:jc w:val="both"/>
              <w:rPr>
                <w:rFonts w:eastAsiaTheme="minorHAnsi"/>
                <w:sz w:val="20"/>
                <w:lang w:val="en-CA"/>
              </w:rPr>
            </w:pPr>
            <w:r w:rsidRPr="00056924">
              <w:rPr>
                <w:rFonts w:eastAsiaTheme="minorHAnsi"/>
                <w:sz w:val="20"/>
                <w:lang w:val="en-CA"/>
              </w:rPr>
              <w:t>127</w:t>
            </w:r>
          </w:p>
          <w:p w:rsidR="00917F7F" w:rsidRPr="00056924" w:rsidRDefault="00260D92" w:rsidP="00917F7F">
            <w:pPr>
              <w:jc w:val="both"/>
              <w:rPr>
                <w:rFonts w:eastAsiaTheme="minorHAnsi"/>
                <w:sz w:val="20"/>
                <w:lang w:val="en-CA"/>
              </w:rPr>
            </w:pPr>
            <w:hyperlink r:id="rId31" w:history="1">
              <w:r w:rsidR="00917F7F" w:rsidRPr="00056924">
                <w:rPr>
                  <w:rFonts w:eastAsiaTheme="minorHAnsi"/>
                  <w:color w:val="0000FF" w:themeColor="hyperlink"/>
                  <w:sz w:val="20"/>
                  <w:u w:val="single"/>
                  <w:lang w:val="en-CA"/>
                </w:rPr>
                <w:t>2014 QCCS 4772</w:t>
              </w:r>
            </w:hyperlink>
          </w:p>
          <w:p w:rsidR="00917F7F" w:rsidRPr="00056924" w:rsidRDefault="00917F7F" w:rsidP="00917F7F">
            <w:pPr>
              <w:jc w:val="both"/>
              <w:rPr>
                <w:rFonts w:eastAsiaTheme="minorHAnsi"/>
                <w:sz w:val="20"/>
                <w:lang w:val="en-CA"/>
              </w:rPr>
            </w:pP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Application to annul transactions dismissed; application to homologate transactions allowed</w:t>
            </w:r>
          </w:p>
          <w:p w:rsidR="00917F7F" w:rsidRPr="00056924" w:rsidRDefault="00917F7F" w:rsidP="00917F7F">
            <w:pPr>
              <w:jc w:val="both"/>
              <w:rPr>
                <w:rFonts w:eastAsiaTheme="minorHAnsi"/>
                <w:sz w:val="20"/>
                <w:lang w:val="en-CA"/>
              </w:rPr>
            </w:pP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t>December 2, 2014</w:t>
            </w:r>
          </w:p>
          <w:p w:rsidR="00917F7F" w:rsidRPr="00056924" w:rsidRDefault="00917F7F" w:rsidP="00917F7F">
            <w:pPr>
              <w:jc w:val="both"/>
              <w:rPr>
                <w:rFonts w:eastAsiaTheme="minorHAnsi"/>
                <w:sz w:val="20"/>
                <w:lang w:val="en-CA"/>
              </w:rPr>
            </w:pPr>
            <w:r w:rsidRPr="00056924">
              <w:rPr>
                <w:rFonts w:eastAsiaTheme="minorHAnsi"/>
                <w:sz w:val="20"/>
                <w:lang w:val="en-CA"/>
              </w:rPr>
              <w:t>Quebec Court of Appeal (Québec)</w:t>
            </w:r>
          </w:p>
          <w:p w:rsidR="00917F7F" w:rsidRPr="00056924" w:rsidRDefault="00917F7F" w:rsidP="00917F7F">
            <w:pPr>
              <w:jc w:val="both"/>
              <w:rPr>
                <w:rFonts w:eastAsiaTheme="minorHAnsi"/>
                <w:sz w:val="20"/>
                <w:lang w:val="en-CA"/>
              </w:rPr>
            </w:pPr>
            <w:r w:rsidRPr="00056924">
              <w:rPr>
                <w:rFonts w:eastAsiaTheme="minorHAnsi"/>
                <w:sz w:val="20"/>
                <w:lang w:val="en-CA"/>
              </w:rPr>
              <w:t>(Bélanger J.A.)</w:t>
            </w:r>
          </w:p>
          <w:p w:rsidR="00917F7F" w:rsidRPr="00056924" w:rsidRDefault="00917F7F" w:rsidP="00917F7F">
            <w:pPr>
              <w:jc w:val="both"/>
              <w:rPr>
                <w:rFonts w:eastAsiaTheme="minorHAnsi"/>
                <w:sz w:val="20"/>
                <w:lang w:val="en-CA"/>
              </w:rPr>
            </w:pPr>
            <w:r w:rsidRPr="00056924">
              <w:rPr>
                <w:rFonts w:eastAsiaTheme="minorHAnsi"/>
                <w:sz w:val="20"/>
                <w:lang w:val="en-CA"/>
              </w:rPr>
              <w:t xml:space="preserve">No. </w:t>
            </w:r>
            <w:bookmarkStart w:id="1" w:name="NoDossier"/>
            <w:r w:rsidRPr="00056924">
              <w:rPr>
                <w:rFonts w:eastAsiaTheme="minorHAnsi"/>
                <w:sz w:val="20"/>
                <w:lang w:val="en-CA"/>
              </w:rPr>
              <w:t>200-09-008780-147</w:t>
            </w:r>
            <w:bookmarkEnd w:id="1"/>
          </w:p>
          <w:p w:rsidR="00917F7F" w:rsidRPr="00056924" w:rsidRDefault="00260D92" w:rsidP="00917F7F">
            <w:pPr>
              <w:jc w:val="both"/>
              <w:rPr>
                <w:rFonts w:eastAsiaTheme="minorHAnsi"/>
                <w:sz w:val="20"/>
                <w:lang w:val="en-CA"/>
              </w:rPr>
            </w:pPr>
            <w:hyperlink r:id="rId32" w:history="1">
              <w:r w:rsidR="00917F7F" w:rsidRPr="00056924">
                <w:rPr>
                  <w:rFonts w:eastAsiaTheme="minorHAnsi"/>
                  <w:color w:val="0000FF" w:themeColor="hyperlink"/>
                  <w:sz w:val="20"/>
                  <w:u w:val="single"/>
                  <w:lang w:val="en-CA"/>
                </w:rPr>
                <w:t>2014 QCCA 2253</w:t>
              </w:r>
            </w:hyperlink>
          </w:p>
          <w:p w:rsidR="00917F7F" w:rsidRPr="00056924" w:rsidRDefault="00917F7F" w:rsidP="00917F7F">
            <w:pPr>
              <w:jc w:val="both"/>
              <w:rPr>
                <w:rFonts w:eastAsiaTheme="minorHAnsi"/>
                <w:sz w:val="20"/>
                <w:lang w:val="en-CA"/>
              </w:rPr>
            </w:pP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Applicant’s motion for leave to appeal dismissed</w:t>
            </w: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lastRenderedPageBreak/>
              <w:t>January 27, 2015</w:t>
            </w:r>
          </w:p>
          <w:p w:rsidR="00917F7F" w:rsidRPr="00056924" w:rsidRDefault="00917F7F" w:rsidP="00917F7F">
            <w:pPr>
              <w:jc w:val="both"/>
              <w:rPr>
                <w:rFonts w:eastAsiaTheme="minorHAnsi"/>
                <w:sz w:val="20"/>
                <w:lang w:val="en-CA"/>
              </w:rPr>
            </w:pPr>
            <w:r w:rsidRPr="00056924">
              <w:rPr>
                <w:rFonts w:eastAsiaTheme="minorHAnsi"/>
                <w:sz w:val="20"/>
                <w:lang w:val="en-CA"/>
              </w:rPr>
              <w:t>Supreme Court of Canada</w:t>
            </w: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Application for leave to appeal filed</w:t>
            </w:r>
          </w:p>
        </w:tc>
      </w:tr>
    </w:tbl>
    <w:p w:rsidR="00917F7F" w:rsidRDefault="00917F7F" w:rsidP="00917F7F">
      <w:pPr>
        <w:jc w:val="both"/>
        <w:rPr>
          <w:rFonts w:eastAsiaTheme="minorHAnsi"/>
          <w:sz w:val="20"/>
          <w:lang w:val="en-CA"/>
        </w:rPr>
      </w:pPr>
    </w:p>
    <w:p w:rsidR="00056924" w:rsidRPr="00056924" w:rsidRDefault="00056924" w:rsidP="00917F7F">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7F7F" w:rsidRPr="00260D92" w:rsidTr="00202E4C">
        <w:tc>
          <w:tcPr>
            <w:tcW w:w="543" w:type="pct"/>
          </w:tcPr>
          <w:p w:rsidR="00917F7F" w:rsidRPr="00056924" w:rsidRDefault="00917F7F" w:rsidP="00917F7F">
            <w:pPr>
              <w:jc w:val="both"/>
              <w:rPr>
                <w:rFonts w:eastAsiaTheme="minorHAnsi"/>
                <w:sz w:val="20"/>
                <w:lang w:val="fr-CA"/>
              </w:rPr>
            </w:pPr>
            <w:r w:rsidRPr="00056924">
              <w:rPr>
                <w:rFonts w:eastAsiaTheme="minorHAnsi"/>
                <w:b/>
                <w:sz w:val="20"/>
                <w:lang w:val="fr-CA"/>
              </w:rPr>
              <w:t>36306</w:t>
            </w:r>
          </w:p>
        </w:tc>
        <w:tc>
          <w:tcPr>
            <w:tcW w:w="4457" w:type="pct"/>
            <w:gridSpan w:val="3"/>
          </w:tcPr>
          <w:p w:rsidR="00917F7F" w:rsidRPr="00056924" w:rsidRDefault="00917F7F" w:rsidP="00917F7F">
            <w:pPr>
              <w:jc w:val="both"/>
              <w:rPr>
                <w:rFonts w:eastAsiaTheme="minorHAnsi"/>
                <w:b/>
                <w:sz w:val="20"/>
                <w:lang w:val="fr-CA"/>
              </w:rPr>
            </w:pPr>
            <w:r w:rsidRPr="00056924">
              <w:rPr>
                <w:rFonts w:eastAsiaTheme="minorHAnsi"/>
                <w:b/>
                <w:sz w:val="20"/>
                <w:lang w:val="fr-CA"/>
              </w:rPr>
              <w:t>[C.M.] c. [L.L.], [V.L.]</w:t>
            </w:r>
          </w:p>
          <w:p w:rsidR="00917F7F" w:rsidRPr="00056924" w:rsidRDefault="00917F7F" w:rsidP="00917F7F">
            <w:pPr>
              <w:jc w:val="both"/>
              <w:rPr>
                <w:rFonts w:eastAsiaTheme="minorHAnsi"/>
                <w:sz w:val="20"/>
                <w:lang w:val="fr-CA"/>
              </w:rPr>
            </w:pPr>
            <w:r w:rsidRPr="00056924">
              <w:rPr>
                <w:rFonts w:eastAsiaTheme="minorHAnsi"/>
                <w:sz w:val="20"/>
                <w:lang w:val="fr-CA"/>
              </w:rPr>
              <w:t>(Qc) (Civile) (Autorisation)</w:t>
            </w:r>
          </w:p>
        </w:tc>
      </w:tr>
      <w:tr w:rsidR="00917F7F" w:rsidRPr="00260D92" w:rsidTr="00202E4C">
        <w:tc>
          <w:tcPr>
            <w:tcW w:w="5000" w:type="pct"/>
            <w:gridSpan w:val="4"/>
          </w:tcPr>
          <w:p w:rsidR="00917F7F" w:rsidRPr="00056924" w:rsidRDefault="00917F7F" w:rsidP="00917F7F">
            <w:pPr>
              <w:jc w:val="both"/>
              <w:rPr>
                <w:rFonts w:eastAsiaTheme="minorHAnsi"/>
                <w:smallCaps/>
                <w:sz w:val="20"/>
                <w:lang w:val="fr-CA"/>
              </w:rPr>
            </w:pPr>
            <w:r w:rsidRPr="00056924">
              <w:rPr>
                <w:rFonts w:eastAsiaTheme="minorHAnsi"/>
                <w:smallCaps/>
                <w:sz w:val="20"/>
                <w:lang w:val="fr-CA"/>
              </w:rPr>
              <w:t>(Ordonnance de non-publication dans le dossier) (Ordonnance de non-publication visant une partie) (Le dossier de la Cour renferme des données que le public n'est pas autorisé à consulter)</w:t>
            </w:r>
          </w:p>
          <w:p w:rsidR="00917F7F" w:rsidRPr="00056924" w:rsidRDefault="00917F7F" w:rsidP="00917F7F">
            <w:pPr>
              <w:jc w:val="both"/>
              <w:rPr>
                <w:rFonts w:eastAsiaTheme="minorHAnsi"/>
                <w:sz w:val="20"/>
                <w:lang w:val="fr-CA"/>
              </w:rPr>
            </w:pPr>
          </w:p>
          <w:p w:rsidR="00917F7F" w:rsidRPr="00056924" w:rsidRDefault="00917F7F" w:rsidP="00917F7F">
            <w:pPr>
              <w:jc w:val="both"/>
              <w:rPr>
                <w:rFonts w:eastAsiaTheme="minorHAnsi"/>
                <w:sz w:val="20"/>
                <w:lang w:val="fr-CA"/>
              </w:rPr>
            </w:pPr>
            <w:r w:rsidRPr="00056924">
              <w:rPr>
                <w:rFonts w:eastAsiaTheme="minorHAnsi"/>
                <w:sz w:val="20"/>
                <w:lang w:val="fr-CA"/>
              </w:rPr>
              <w:t xml:space="preserve">Contrats – Consentement – Homologation de transactions – La demanderesse avait-elle la </w:t>
            </w:r>
            <w:r w:rsidRPr="00056924">
              <w:rPr>
                <w:rFonts w:eastAsiaTheme="minorHAnsi"/>
                <w:w w:val="105"/>
                <w:sz w:val="20"/>
                <w:lang w:val="fr-CA"/>
              </w:rPr>
              <w:t>capacité</w:t>
            </w:r>
            <w:r w:rsidRPr="00056924">
              <w:rPr>
                <w:rFonts w:eastAsiaTheme="minorHAnsi"/>
                <w:spacing w:val="12"/>
                <w:w w:val="105"/>
                <w:sz w:val="20"/>
                <w:lang w:val="fr-CA"/>
              </w:rPr>
              <w:t xml:space="preserve"> </w:t>
            </w:r>
            <w:r w:rsidRPr="00056924">
              <w:rPr>
                <w:rFonts w:eastAsiaTheme="minorHAnsi"/>
                <w:spacing w:val="2"/>
                <w:w w:val="105"/>
                <w:sz w:val="20"/>
                <w:lang w:val="fr-CA"/>
              </w:rPr>
              <w:t>légale</w:t>
            </w:r>
            <w:r w:rsidRPr="00056924">
              <w:rPr>
                <w:rFonts w:eastAsiaTheme="minorHAnsi"/>
                <w:spacing w:val="-20"/>
                <w:w w:val="105"/>
                <w:sz w:val="20"/>
                <w:lang w:val="fr-CA"/>
              </w:rPr>
              <w:t xml:space="preserve"> </w:t>
            </w:r>
            <w:r w:rsidRPr="00056924">
              <w:rPr>
                <w:rFonts w:eastAsiaTheme="minorHAnsi"/>
                <w:spacing w:val="-2"/>
                <w:w w:val="105"/>
                <w:sz w:val="20"/>
                <w:lang w:val="fr-CA"/>
              </w:rPr>
              <w:t>d</w:t>
            </w:r>
            <w:r w:rsidRPr="00056924">
              <w:rPr>
                <w:rFonts w:eastAsiaTheme="minorHAnsi"/>
                <w:spacing w:val="-3"/>
                <w:w w:val="105"/>
                <w:sz w:val="20"/>
                <w:lang w:val="fr-CA"/>
              </w:rPr>
              <w:t>e</w:t>
            </w:r>
            <w:r w:rsidRPr="00056924">
              <w:rPr>
                <w:rFonts w:eastAsiaTheme="minorHAnsi"/>
                <w:spacing w:val="-25"/>
                <w:w w:val="105"/>
                <w:sz w:val="20"/>
                <w:lang w:val="fr-CA"/>
              </w:rPr>
              <w:t xml:space="preserve"> </w:t>
            </w:r>
            <w:r w:rsidRPr="00056924">
              <w:rPr>
                <w:rFonts w:eastAsiaTheme="minorHAnsi"/>
                <w:w w:val="105"/>
                <w:sz w:val="20"/>
                <w:lang w:val="fr-CA"/>
              </w:rPr>
              <w:t>contracter? –</w:t>
            </w:r>
            <w:r w:rsidRPr="00056924">
              <w:rPr>
                <w:rFonts w:eastAsiaTheme="minorHAnsi"/>
                <w:spacing w:val="13"/>
                <w:w w:val="105"/>
                <w:sz w:val="20"/>
                <w:lang w:val="fr-CA"/>
              </w:rPr>
              <w:t xml:space="preserve"> </w:t>
            </w:r>
            <w:r w:rsidRPr="00056924">
              <w:rPr>
                <w:rFonts w:eastAsiaTheme="minorHAnsi"/>
                <w:sz w:val="20"/>
                <w:lang w:val="fr-CA"/>
              </w:rPr>
              <w:t xml:space="preserve">Le </w:t>
            </w:r>
            <w:r w:rsidRPr="00056924">
              <w:rPr>
                <w:rFonts w:eastAsiaTheme="minorHAnsi"/>
                <w:w w:val="105"/>
                <w:sz w:val="20"/>
                <w:lang w:val="fr-CA"/>
              </w:rPr>
              <w:t>consentement</w:t>
            </w:r>
            <w:r w:rsidRPr="00056924">
              <w:rPr>
                <w:rFonts w:eastAsiaTheme="minorHAnsi"/>
                <w:spacing w:val="36"/>
                <w:w w:val="105"/>
                <w:sz w:val="20"/>
                <w:lang w:val="fr-CA"/>
              </w:rPr>
              <w:t xml:space="preserve"> </w:t>
            </w:r>
            <w:r w:rsidRPr="00056924">
              <w:rPr>
                <w:rFonts w:eastAsiaTheme="minorHAnsi"/>
                <w:w w:val="105"/>
                <w:sz w:val="20"/>
                <w:lang w:val="fr-CA"/>
              </w:rPr>
              <w:t>de</w:t>
            </w:r>
            <w:r w:rsidRPr="00056924">
              <w:rPr>
                <w:rFonts w:eastAsiaTheme="minorHAnsi"/>
                <w:spacing w:val="28"/>
                <w:w w:val="105"/>
                <w:sz w:val="20"/>
                <w:lang w:val="fr-CA"/>
              </w:rPr>
              <w:t xml:space="preserve"> </w:t>
            </w:r>
            <w:r w:rsidRPr="00056924">
              <w:rPr>
                <w:rFonts w:eastAsiaTheme="minorHAnsi"/>
                <w:w w:val="105"/>
                <w:sz w:val="20"/>
                <w:lang w:val="fr-CA"/>
              </w:rPr>
              <w:t>la</w:t>
            </w:r>
            <w:r w:rsidRPr="00056924">
              <w:rPr>
                <w:rFonts w:eastAsiaTheme="minorHAnsi"/>
                <w:spacing w:val="13"/>
                <w:w w:val="105"/>
                <w:sz w:val="20"/>
                <w:lang w:val="fr-CA"/>
              </w:rPr>
              <w:t xml:space="preserve"> </w:t>
            </w:r>
            <w:r w:rsidRPr="00056924">
              <w:rPr>
                <w:rFonts w:eastAsiaTheme="minorHAnsi"/>
                <w:w w:val="105"/>
                <w:sz w:val="20"/>
                <w:lang w:val="fr-CA"/>
              </w:rPr>
              <w:t>demandere</w:t>
            </w:r>
            <w:r w:rsidRPr="00056924">
              <w:rPr>
                <w:rFonts w:eastAsiaTheme="minorHAnsi"/>
                <w:spacing w:val="3"/>
                <w:w w:val="105"/>
                <w:sz w:val="20"/>
                <w:lang w:val="fr-CA"/>
              </w:rPr>
              <w:t>sse</w:t>
            </w:r>
            <w:r w:rsidRPr="00056924">
              <w:rPr>
                <w:rFonts w:eastAsiaTheme="minorHAnsi"/>
                <w:spacing w:val="18"/>
                <w:w w:val="105"/>
                <w:sz w:val="20"/>
                <w:lang w:val="fr-CA"/>
              </w:rPr>
              <w:t xml:space="preserve"> </w:t>
            </w:r>
            <w:r w:rsidRPr="00056924">
              <w:rPr>
                <w:rFonts w:eastAsiaTheme="minorHAnsi"/>
                <w:w w:val="105"/>
                <w:sz w:val="20"/>
                <w:lang w:val="fr-CA"/>
              </w:rPr>
              <w:t>a-t-il</w:t>
            </w:r>
            <w:r w:rsidRPr="00056924">
              <w:rPr>
                <w:rFonts w:eastAsiaTheme="minorHAnsi"/>
                <w:spacing w:val="19"/>
                <w:w w:val="105"/>
                <w:sz w:val="20"/>
                <w:lang w:val="fr-CA"/>
              </w:rPr>
              <w:t xml:space="preserve"> </w:t>
            </w:r>
            <w:r w:rsidRPr="00056924">
              <w:rPr>
                <w:rFonts w:eastAsiaTheme="minorHAnsi"/>
                <w:w w:val="105"/>
                <w:sz w:val="20"/>
                <w:lang w:val="fr-CA"/>
              </w:rPr>
              <w:t>été</w:t>
            </w:r>
            <w:r w:rsidRPr="00056924">
              <w:rPr>
                <w:rFonts w:eastAsiaTheme="minorHAnsi"/>
                <w:spacing w:val="18"/>
                <w:w w:val="105"/>
                <w:sz w:val="20"/>
                <w:lang w:val="fr-CA"/>
              </w:rPr>
              <w:t xml:space="preserve"> </w:t>
            </w:r>
            <w:r w:rsidRPr="00056924">
              <w:rPr>
                <w:rFonts w:eastAsiaTheme="minorHAnsi"/>
                <w:spacing w:val="4"/>
                <w:w w:val="105"/>
                <w:sz w:val="20"/>
                <w:lang w:val="fr-CA"/>
              </w:rPr>
              <w:t>vicié? – La demanderesse soulève-t-elle une question juridique d’importance pour le public?</w:t>
            </w:r>
          </w:p>
        </w:tc>
      </w:tr>
      <w:tr w:rsidR="00917F7F" w:rsidRPr="00260D92" w:rsidTr="00202E4C">
        <w:tc>
          <w:tcPr>
            <w:tcW w:w="5000" w:type="pct"/>
            <w:gridSpan w:val="4"/>
          </w:tcPr>
          <w:p w:rsidR="00917F7F" w:rsidRPr="00056924" w:rsidRDefault="00917F7F" w:rsidP="00917F7F">
            <w:pPr>
              <w:jc w:val="both"/>
              <w:rPr>
                <w:rFonts w:eastAsiaTheme="minorHAnsi"/>
                <w:sz w:val="20"/>
                <w:lang w:val="fr-CA"/>
              </w:rPr>
            </w:pPr>
          </w:p>
        </w:tc>
      </w:tr>
      <w:tr w:rsidR="00917F7F" w:rsidRPr="00260D92" w:rsidTr="00202E4C">
        <w:tc>
          <w:tcPr>
            <w:tcW w:w="5000" w:type="pct"/>
            <w:gridSpan w:val="4"/>
          </w:tcPr>
          <w:p w:rsidR="00917F7F" w:rsidRPr="00056924" w:rsidRDefault="00917F7F" w:rsidP="00917F7F">
            <w:pPr>
              <w:jc w:val="both"/>
              <w:rPr>
                <w:rFonts w:eastAsiaTheme="minorHAnsi"/>
                <w:sz w:val="20"/>
                <w:lang w:val="fr-CA"/>
              </w:rPr>
            </w:pPr>
            <w:r w:rsidRPr="00056924">
              <w:rPr>
                <w:rFonts w:eastAsiaTheme="minorHAnsi"/>
                <w:sz w:val="20"/>
                <w:lang w:val="fr-CA"/>
              </w:rPr>
              <w:t>Le 4 mai 2012, le fils de la demanderesse est décédé dans un accident de la route.  Il s’en est suivi divers différends quant à la dévolution des biens du défunt, et ultimement une demande d’annulation de deux transactions intervenues le 27 septembre 2013 à la suite d’une conférence de règlement à l’amiable.</w:t>
            </w:r>
          </w:p>
          <w:p w:rsidR="00917F7F" w:rsidRPr="00056924" w:rsidRDefault="00917F7F" w:rsidP="00917F7F">
            <w:pPr>
              <w:jc w:val="both"/>
              <w:rPr>
                <w:rFonts w:eastAsiaTheme="minorHAnsi"/>
                <w:sz w:val="20"/>
                <w:lang w:val="fr-CA"/>
              </w:rPr>
            </w:pPr>
          </w:p>
        </w:tc>
      </w:tr>
      <w:tr w:rsidR="00917F7F" w:rsidRPr="00260D92"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Le 7 octobre 2014</w:t>
            </w:r>
          </w:p>
          <w:p w:rsidR="00917F7F" w:rsidRPr="00056924" w:rsidRDefault="00917F7F" w:rsidP="00917F7F">
            <w:pPr>
              <w:jc w:val="both"/>
              <w:rPr>
                <w:rFonts w:eastAsiaTheme="minorHAnsi"/>
                <w:sz w:val="20"/>
                <w:lang w:val="fr-CA"/>
              </w:rPr>
            </w:pPr>
            <w:r w:rsidRPr="00056924">
              <w:rPr>
                <w:rFonts w:eastAsiaTheme="minorHAnsi"/>
                <w:sz w:val="20"/>
                <w:lang w:val="fr-CA"/>
              </w:rPr>
              <w:t>Cour supérieure du Québec</w:t>
            </w:r>
          </w:p>
          <w:p w:rsidR="00917F7F" w:rsidRPr="00056924" w:rsidRDefault="00917F7F" w:rsidP="00917F7F">
            <w:pPr>
              <w:jc w:val="both"/>
              <w:rPr>
                <w:rFonts w:eastAsiaTheme="minorHAnsi"/>
                <w:sz w:val="20"/>
                <w:lang w:val="fr-CA"/>
              </w:rPr>
            </w:pPr>
            <w:r w:rsidRPr="00056924">
              <w:rPr>
                <w:rFonts w:eastAsiaTheme="minorHAnsi"/>
                <w:sz w:val="20"/>
                <w:lang w:val="fr-CA"/>
              </w:rPr>
              <w:t>(La juge La Rosa)</w:t>
            </w:r>
          </w:p>
          <w:p w:rsidR="00917F7F" w:rsidRPr="00056924" w:rsidRDefault="00917F7F" w:rsidP="00917F7F">
            <w:pPr>
              <w:jc w:val="both"/>
              <w:rPr>
                <w:rFonts w:eastAsiaTheme="minorHAnsi"/>
                <w:sz w:val="20"/>
                <w:lang w:val="fr-CA"/>
              </w:rPr>
            </w:pPr>
            <w:r w:rsidRPr="00056924">
              <w:rPr>
                <w:rFonts w:eastAsiaTheme="minorHAnsi"/>
                <w:sz w:val="20"/>
                <w:lang w:val="fr-CA"/>
              </w:rPr>
              <w:t>Nos. 200-14-016465-129 et 200-04-021449-</w:t>
            </w:r>
          </w:p>
          <w:p w:rsidR="00917F7F" w:rsidRPr="00056924" w:rsidRDefault="00917F7F" w:rsidP="00917F7F">
            <w:pPr>
              <w:jc w:val="both"/>
              <w:rPr>
                <w:rFonts w:eastAsiaTheme="minorHAnsi"/>
                <w:sz w:val="20"/>
                <w:lang w:val="fr-CA"/>
              </w:rPr>
            </w:pPr>
            <w:r w:rsidRPr="00056924">
              <w:rPr>
                <w:rFonts w:eastAsiaTheme="minorHAnsi"/>
                <w:sz w:val="20"/>
                <w:lang w:val="fr-CA"/>
              </w:rPr>
              <w:t>127</w:t>
            </w:r>
          </w:p>
          <w:p w:rsidR="00917F7F" w:rsidRPr="00056924" w:rsidRDefault="00260D92" w:rsidP="00917F7F">
            <w:pPr>
              <w:jc w:val="both"/>
              <w:rPr>
                <w:rFonts w:eastAsiaTheme="minorHAnsi"/>
                <w:sz w:val="20"/>
                <w:lang w:val="fr-CA"/>
              </w:rPr>
            </w:pPr>
            <w:hyperlink r:id="rId33" w:history="1">
              <w:r w:rsidR="00917F7F" w:rsidRPr="00056924">
                <w:rPr>
                  <w:rFonts w:eastAsiaTheme="minorHAnsi"/>
                  <w:color w:val="0000FF" w:themeColor="hyperlink"/>
                  <w:sz w:val="20"/>
                  <w:u w:val="single"/>
                  <w:lang w:val="fr-CA"/>
                </w:rPr>
                <w:t>2014 QCCS 4772</w:t>
              </w:r>
            </w:hyperlink>
          </w:p>
          <w:p w:rsidR="00917F7F" w:rsidRPr="00056924" w:rsidRDefault="00917F7F" w:rsidP="00917F7F">
            <w:pPr>
              <w:jc w:val="both"/>
              <w:rPr>
                <w:rFonts w:eastAsiaTheme="minorHAnsi"/>
                <w:sz w:val="20"/>
              </w:rPr>
            </w:pPr>
          </w:p>
        </w:tc>
        <w:tc>
          <w:tcPr>
            <w:tcW w:w="243" w:type="pct"/>
          </w:tcPr>
          <w:p w:rsidR="00917F7F" w:rsidRPr="00056924" w:rsidRDefault="00917F7F" w:rsidP="00917F7F">
            <w:pPr>
              <w:jc w:val="both"/>
              <w:rPr>
                <w:rFonts w:eastAsiaTheme="minorHAnsi"/>
                <w:sz w:val="20"/>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Demande d’annulation de transactions rejetée; demande d’homologation de transactions accueillie.</w:t>
            </w:r>
          </w:p>
          <w:p w:rsidR="00917F7F" w:rsidRPr="00056924" w:rsidRDefault="00917F7F" w:rsidP="00917F7F">
            <w:pPr>
              <w:jc w:val="both"/>
              <w:rPr>
                <w:rFonts w:eastAsiaTheme="minorHAnsi"/>
                <w:sz w:val="20"/>
                <w:lang w:val="fr-CA"/>
              </w:rPr>
            </w:pPr>
          </w:p>
        </w:tc>
      </w:tr>
      <w:tr w:rsidR="00917F7F" w:rsidRPr="00A02AC3"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Le 2 décembre 2014</w:t>
            </w:r>
          </w:p>
          <w:p w:rsidR="00917F7F" w:rsidRPr="00056924" w:rsidRDefault="00917F7F" w:rsidP="00917F7F">
            <w:pPr>
              <w:jc w:val="both"/>
              <w:rPr>
                <w:rFonts w:eastAsiaTheme="minorHAnsi"/>
                <w:sz w:val="20"/>
                <w:lang w:val="fr-CA"/>
              </w:rPr>
            </w:pPr>
            <w:r w:rsidRPr="00056924">
              <w:rPr>
                <w:rFonts w:eastAsiaTheme="minorHAnsi"/>
                <w:sz w:val="20"/>
                <w:lang w:val="fr-CA"/>
              </w:rPr>
              <w:t>Cour d’appel du Québec (Québec)</w:t>
            </w:r>
          </w:p>
          <w:p w:rsidR="00917F7F" w:rsidRPr="00056924" w:rsidRDefault="00917F7F" w:rsidP="00917F7F">
            <w:pPr>
              <w:jc w:val="both"/>
              <w:rPr>
                <w:rFonts w:eastAsiaTheme="minorHAnsi"/>
                <w:sz w:val="20"/>
                <w:lang w:val="fr-CA"/>
              </w:rPr>
            </w:pPr>
            <w:r w:rsidRPr="00056924">
              <w:rPr>
                <w:rFonts w:eastAsiaTheme="minorHAnsi"/>
                <w:sz w:val="20"/>
                <w:lang w:val="fr-CA"/>
              </w:rPr>
              <w:t>(La juge Bélanger)</w:t>
            </w:r>
          </w:p>
          <w:p w:rsidR="00917F7F" w:rsidRPr="00056924" w:rsidRDefault="00917F7F" w:rsidP="00917F7F">
            <w:pPr>
              <w:jc w:val="both"/>
              <w:rPr>
                <w:rFonts w:eastAsiaTheme="minorHAnsi"/>
                <w:sz w:val="20"/>
                <w:lang w:val="fr-CA"/>
              </w:rPr>
            </w:pPr>
            <w:r w:rsidRPr="00056924">
              <w:rPr>
                <w:rFonts w:eastAsiaTheme="minorHAnsi"/>
                <w:sz w:val="20"/>
                <w:lang w:val="fr-CA"/>
              </w:rPr>
              <w:t>No. 200-09-008780-147</w:t>
            </w:r>
          </w:p>
          <w:p w:rsidR="00917F7F" w:rsidRPr="00056924" w:rsidRDefault="00260D92" w:rsidP="00917F7F">
            <w:pPr>
              <w:jc w:val="both"/>
              <w:rPr>
                <w:rFonts w:eastAsiaTheme="minorHAnsi"/>
                <w:sz w:val="20"/>
                <w:lang w:val="fr-CA"/>
              </w:rPr>
            </w:pPr>
            <w:hyperlink r:id="rId34" w:history="1">
              <w:r w:rsidR="00917F7F" w:rsidRPr="00056924">
                <w:rPr>
                  <w:rFonts w:eastAsiaTheme="minorHAnsi"/>
                  <w:color w:val="0000FF" w:themeColor="hyperlink"/>
                  <w:sz w:val="20"/>
                  <w:u w:val="single"/>
                  <w:lang w:val="fr-CA"/>
                </w:rPr>
                <w:t>2014 QCCA 2253</w:t>
              </w:r>
            </w:hyperlink>
          </w:p>
          <w:p w:rsidR="00917F7F" w:rsidRPr="00056924" w:rsidRDefault="00917F7F" w:rsidP="00917F7F">
            <w:pPr>
              <w:jc w:val="both"/>
              <w:rPr>
                <w:rFonts w:eastAsiaTheme="minorHAnsi"/>
                <w:sz w:val="20"/>
                <w:lang w:val="fr-CA"/>
              </w:rPr>
            </w:pPr>
          </w:p>
        </w:tc>
        <w:tc>
          <w:tcPr>
            <w:tcW w:w="243" w:type="pct"/>
          </w:tcPr>
          <w:p w:rsidR="00917F7F" w:rsidRPr="00056924" w:rsidRDefault="00917F7F" w:rsidP="00917F7F">
            <w:pPr>
              <w:jc w:val="both"/>
              <w:rPr>
                <w:rFonts w:eastAsiaTheme="minorHAnsi"/>
                <w:sz w:val="20"/>
                <w:lang w:val="fr-CA"/>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Requête de la demanderesse pour permission d’appeler rejetée.</w:t>
            </w:r>
          </w:p>
        </w:tc>
      </w:tr>
      <w:tr w:rsidR="00917F7F" w:rsidRPr="00056924"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Le 27 janvier 2015</w:t>
            </w:r>
          </w:p>
          <w:p w:rsidR="00917F7F" w:rsidRPr="00056924" w:rsidRDefault="00917F7F" w:rsidP="00917F7F">
            <w:pPr>
              <w:jc w:val="both"/>
              <w:rPr>
                <w:rFonts w:eastAsiaTheme="minorHAnsi"/>
                <w:sz w:val="20"/>
                <w:lang w:val="fr-CA"/>
              </w:rPr>
            </w:pPr>
            <w:r w:rsidRPr="00056924">
              <w:rPr>
                <w:rFonts w:eastAsiaTheme="minorHAnsi"/>
                <w:sz w:val="20"/>
                <w:lang w:val="fr-CA"/>
              </w:rPr>
              <w:t>Cour suprême du Canada</w:t>
            </w:r>
          </w:p>
        </w:tc>
        <w:tc>
          <w:tcPr>
            <w:tcW w:w="243" w:type="pct"/>
          </w:tcPr>
          <w:p w:rsidR="00917F7F" w:rsidRPr="00056924" w:rsidRDefault="00917F7F" w:rsidP="00917F7F">
            <w:pPr>
              <w:jc w:val="both"/>
              <w:rPr>
                <w:rFonts w:eastAsiaTheme="minorHAnsi"/>
                <w:sz w:val="20"/>
                <w:lang w:val="fr-CA"/>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Demande d’autorisation d'appel déposée.</w:t>
            </w:r>
          </w:p>
          <w:p w:rsidR="00917F7F" w:rsidRPr="00056924" w:rsidRDefault="00917F7F" w:rsidP="00917F7F">
            <w:pPr>
              <w:jc w:val="both"/>
              <w:rPr>
                <w:rFonts w:eastAsiaTheme="minorHAnsi"/>
                <w:sz w:val="20"/>
                <w:lang w:val="fr-CA"/>
              </w:rPr>
            </w:pPr>
          </w:p>
        </w:tc>
      </w:tr>
    </w:tbl>
    <w:p w:rsidR="00917F7F" w:rsidRDefault="00917F7F" w:rsidP="00917F7F">
      <w:pPr>
        <w:jc w:val="both"/>
        <w:rPr>
          <w:rFonts w:eastAsiaTheme="minorHAnsi"/>
          <w:sz w:val="20"/>
          <w:lang w:val="fr-CA"/>
        </w:rPr>
      </w:pPr>
    </w:p>
    <w:p w:rsidR="00056924" w:rsidRPr="00056924" w:rsidRDefault="00056924" w:rsidP="00917F7F">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7F7F" w:rsidRPr="00056924" w:rsidTr="00202E4C">
        <w:tc>
          <w:tcPr>
            <w:tcW w:w="543" w:type="pct"/>
          </w:tcPr>
          <w:p w:rsidR="00917F7F" w:rsidRPr="00056924" w:rsidRDefault="00917F7F" w:rsidP="00917F7F">
            <w:pPr>
              <w:jc w:val="both"/>
              <w:rPr>
                <w:rFonts w:eastAsiaTheme="minorHAnsi"/>
                <w:sz w:val="20"/>
                <w:lang w:val="en-CA"/>
              </w:rPr>
            </w:pPr>
            <w:r w:rsidRPr="00056924">
              <w:rPr>
                <w:rFonts w:eastAsiaTheme="minorHAnsi"/>
                <w:b/>
                <w:sz w:val="20"/>
                <w:lang w:val="fr-CA"/>
              </w:rPr>
              <w:t>36255</w:t>
            </w:r>
          </w:p>
        </w:tc>
        <w:tc>
          <w:tcPr>
            <w:tcW w:w="4457" w:type="pct"/>
            <w:gridSpan w:val="3"/>
          </w:tcPr>
          <w:p w:rsidR="00917F7F" w:rsidRPr="00056924" w:rsidRDefault="00917F7F" w:rsidP="00917F7F">
            <w:pPr>
              <w:jc w:val="both"/>
              <w:rPr>
                <w:rFonts w:eastAsiaTheme="minorHAnsi"/>
                <w:b/>
                <w:sz w:val="20"/>
                <w:lang w:val="en-CA"/>
              </w:rPr>
            </w:pPr>
            <w:r w:rsidRPr="00056924">
              <w:rPr>
                <w:rFonts w:eastAsiaTheme="minorHAnsi"/>
                <w:b/>
                <w:sz w:val="20"/>
                <w:lang w:val="en-CA"/>
              </w:rPr>
              <w:t>Jean Maynard v. Canada Revenue Agency</w:t>
            </w:r>
          </w:p>
          <w:p w:rsidR="00917F7F" w:rsidRPr="00056924" w:rsidRDefault="00917F7F" w:rsidP="00917F7F">
            <w:pPr>
              <w:jc w:val="both"/>
              <w:rPr>
                <w:rFonts w:eastAsiaTheme="minorHAnsi"/>
                <w:sz w:val="20"/>
                <w:lang w:val="en-CA"/>
              </w:rPr>
            </w:pPr>
            <w:r w:rsidRPr="00056924">
              <w:rPr>
                <w:rFonts w:eastAsiaTheme="minorHAnsi"/>
                <w:sz w:val="20"/>
                <w:lang w:val="en-CA"/>
              </w:rPr>
              <w:t>(Que.) (Civil) (By Leave)</w:t>
            </w:r>
          </w:p>
        </w:tc>
      </w:tr>
      <w:tr w:rsidR="00917F7F" w:rsidRPr="00056924" w:rsidTr="00202E4C">
        <w:tc>
          <w:tcPr>
            <w:tcW w:w="5000" w:type="pct"/>
            <w:gridSpan w:val="4"/>
          </w:tcPr>
          <w:p w:rsidR="00917F7F" w:rsidRPr="00056924" w:rsidRDefault="00917F7F" w:rsidP="00917F7F">
            <w:pPr>
              <w:jc w:val="both"/>
              <w:rPr>
                <w:rFonts w:eastAsiaTheme="minorHAnsi"/>
                <w:sz w:val="20"/>
                <w:lang w:val="en-CA"/>
              </w:rPr>
            </w:pPr>
            <w:r w:rsidRPr="00056924">
              <w:rPr>
                <w:rFonts w:eastAsiaTheme="minorHAnsi"/>
                <w:sz w:val="20"/>
                <w:lang w:val="en-CA"/>
              </w:rPr>
              <w:t>Taxation – Search warrants – Review – Evidence for issuing search warrants – Failure to present evidence that could affect credibility of principal witnesses – Whether courts below applied appropriate standard in reviewing decision to issue search warrant.</w:t>
            </w:r>
          </w:p>
        </w:tc>
      </w:tr>
      <w:tr w:rsidR="00917F7F" w:rsidRPr="00056924" w:rsidTr="00202E4C">
        <w:tc>
          <w:tcPr>
            <w:tcW w:w="5000" w:type="pct"/>
            <w:gridSpan w:val="4"/>
          </w:tcPr>
          <w:p w:rsidR="00917F7F" w:rsidRPr="00056924" w:rsidRDefault="00917F7F" w:rsidP="00917F7F">
            <w:pPr>
              <w:jc w:val="both"/>
              <w:rPr>
                <w:rFonts w:eastAsiaTheme="minorHAnsi"/>
                <w:sz w:val="20"/>
                <w:lang w:val="en-CA"/>
              </w:rPr>
            </w:pPr>
          </w:p>
        </w:tc>
      </w:tr>
      <w:tr w:rsidR="00917F7F" w:rsidRPr="00056924" w:rsidTr="00202E4C">
        <w:tc>
          <w:tcPr>
            <w:tcW w:w="5000" w:type="pct"/>
            <w:gridSpan w:val="4"/>
          </w:tcPr>
          <w:p w:rsidR="00917F7F" w:rsidRPr="00056924" w:rsidRDefault="00917F7F" w:rsidP="00917F7F">
            <w:pPr>
              <w:jc w:val="both"/>
              <w:rPr>
                <w:rFonts w:eastAsiaTheme="minorHAnsi"/>
                <w:sz w:val="20"/>
                <w:lang w:val="en-CA"/>
              </w:rPr>
            </w:pPr>
            <w:r w:rsidRPr="00056924">
              <w:rPr>
                <w:rFonts w:eastAsiaTheme="minorHAnsi"/>
                <w:sz w:val="20"/>
                <w:lang w:val="en-CA"/>
              </w:rPr>
              <w:t xml:space="preserve">On the basis of an information laid by an investigator, Judge De Carufel authorized the Canada Revenue Agency to execute six search warrants to find evidence to establish tax evasion and fraud offences allegedly committed by the </w:t>
            </w:r>
            <w:r w:rsidRPr="00056924">
              <w:rPr>
                <w:rFonts w:eastAsiaTheme="minorHAnsi"/>
                <w:sz w:val="20"/>
                <w:lang w:val="en-CA"/>
              </w:rPr>
              <w:lastRenderedPageBreak/>
              <w:t xml:space="preserve">applicant.  The applicant then served a motion for </w:t>
            </w:r>
            <w:r w:rsidRPr="00056924">
              <w:rPr>
                <w:rFonts w:eastAsiaTheme="minorHAnsi"/>
                <w:i/>
                <w:sz w:val="20"/>
                <w:lang w:val="en-CA"/>
              </w:rPr>
              <w:t>certiorari</w:t>
            </w:r>
            <w:r w:rsidRPr="00056924">
              <w:rPr>
                <w:rFonts w:eastAsiaTheme="minorHAnsi"/>
                <w:sz w:val="20"/>
                <w:lang w:val="en-CA"/>
              </w:rPr>
              <w:t>.  He asked that four of the warrants be quashed and sought a declaration that the seizures were unlawful, unreasonable and of no effect and an order to return the seized items to him.  The applicant alleged that the investigator had deliberately and/or recklessly failed to disclose some important and necessary information that would have enabled the judge to make an informed decision.</w:t>
            </w:r>
          </w:p>
          <w:p w:rsidR="00917F7F" w:rsidRPr="00056924" w:rsidRDefault="00917F7F" w:rsidP="00917F7F">
            <w:pPr>
              <w:jc w:val="both"/>
              <w:rPr>
                <w:rFonts w:eastAsiaTheme="minorHAnsi"/>
                <w:sz w:val="20"/>
                <w:lang w:val="en-CA"/>
              </w:rPr>
            </w:pPr>
          </w:p>
          <w:p w:rsidR="00917F7F" w:rsidRPr="00056924" w:rsidRDefault="00917F7F" w:rsidP="00917F7F">
            <w:pPr>
              <w:jc w:val="both"/>
              <w:rPr>
                <w:rFonts w:eastAsiaTheme="minorHAnsi"/>
                <w:sz w:val="20"/>
                <w:lang w:val="en-CA"/>
              </w:rPr>
            </w:pPr>
            <w:r w:rsidRPr="00056924">
              <w:rPr>
                <w:rFonts w:eastAsiaTheme="minorHAnsi"/>
                <w:sz w:val="20"/>
                <w:lang w:val="en-CA"/>
              </w:rPr>
              <w:t>The Superior Court dismissed the action and the Court of Appeal dismissed the appeal.</w:t>
            </w:r>
          </w:p>
          <w:p w:rsidR="00917F7F" w:rsidRPr="00056924" w:rsidRDefault="00917F7F" w:rsidP="00917F7F">
            <w:pPr>
              <w:jc w:val="both"/>
              <w:rPr>
                <w:rFonts w:eastAsiaTheme="minorHAnsi"/>
                <w:sz w:val="20"/>
                <w:lang w:val="en-CA"/>
              </w:rPr>
            </w:pP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lastRenderedPageBreak/>
              <w:t>April 5, 2013</w:t>
            </w:r>
          </w:p>
          <w:p w:rsidR="00917F7F" w:rsidRPr="00056924" w:rsidRDefault="00917F7F" w:rsidP="00917F7F">
            <w:pPr>
              <w:jc w:val="both"/>
              <w:rPr>
                <w:rFonts w:eastAsiaTheme="minorHAnsi"/>
                <w:sz w:val="20"/>
                <w:lang w:val="en-CA"/>
              </w:rPr>
            </w:pPr>
            <w:r w:rsidRPr="00056924">
              <w:rPr>
                <w:rFonts w:eastAsiaTheme="minorHAnsi"/>
                <w:sz w:val="20"/>
                <w:lang w:val="en-CA"/>
              </w:rPr>
              <w:t>Quebec Superior Court</w:t>
            </w:r>
          </w:p>
          <w:p w:rsidR="00917F7F" w:rsidRPr="00056924" w:rsidRDefault="00917F7F" w:rsidP="00917F7F">
            <w:pPr>
              <w:jc w:val="both"/>
              <w:rPr>
                <w:rFonts w:eastAsiaTheme="minorHAnsi"/>
                <w:sz w:val="20"/>
                <w:lang w:val="en-CA"/>
              </w:rPr>
            </w:pPr>
            <w:r w:rsidRPr="00056924">
              <w:rPr>
                <w:rFonts w:eastAsiaTheme="minorHAnsi"/>
                <w:sz w:val="20"/>
                <w:lang w:val="en-CA"/>
              </w:rPr>
              <w:t>(Buffoni J.)</w:t>
            </w:r>
          </w:p>
          <w:p w:rsidR="00917F7F" w:rsidRPr="00056924" w:rsidRDefault="00917F7F" w:rsidP="00917F7F">
            <w:pPr>
              <w:jc w:val="both"/>
              <w:rPr>
                <w:rFonts w:eastAsiaTheme="minorHAnsi"/>
                <w:sz w:val="20"/>
                <w:lang w:val="en-CA"/>
              </w:rPr>
            </w:pPr>
            <w:r w:rsidRPr="00056924">
              <w:rPr>
                <w:rFonts w:eastAsiaTheme="minorHAnsi"/>
                <w:sz w:val="20"/>
                <w:lang w:val="en-CA"/>
              </w:rPr>
              <w:t>500-36-006366-127</w:t>
            </w:r>
          </w:p>
          <w:p w:rsidR="00917F7F" w:rsidRPr="00056924" w:rsidRDefault="00917F7F" w:rsidP="00917F7F">
            <w:pPr>
              <w:jc w:val="both"/>
              <w:rPr>
                <w:rFonts w:eastAsiaTheme="minorHAnsi"/>
                <w:sz w:val="20"/>
                <w:lang w:val="en-CA"/>
              </w:rPr>
            </w:pP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 xml:space="preserve">Motion for </w:t>
            </w:r>
            <w:r w:rsidRPr="00056924">
              <w:rPr>
                <w:rFonts w:eastAsiaTheme="minorHAnsi"/>
                <w:i/>
                <w:sz w:val="20"/>
                <w:lang w:val="en-CA"/>
              </w:rPr>
              <w:t>certiorari</w:t>
            </w:r>
            <w:r w:rsidRPr="00056924">
              <w:rPr>
                <w:rFonts w:eastAsiaTheme="minorHAnsi"/>
                <w:sz w:val="20"/>
                <w:lang w:val="en-CA"/>
              </w:rPr>
              <w:t xml:space="preserve"> and to challenge search warrants dismissed</w:t>
            </w: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t>November 17, 2014</w:t>
            </w:r>
          </w:p>
          <w:p w:rsidR="00917F7F" w:rsidRPr="00056924" w:rsidRDefault="00917F7F" w:rsidP="00917F7F">
            <w:pPr>
              <w:jc w:val="both"/>
              <w:rPr>
                <w:rFonts w:eastAsiaTheme="minorHAnsi"/>
                <w:sz w:val="20"/>
                <w:lang w:val="en-CA"/>
              </w:rPr>
            </w:pPr>
            <w:r w:rsidRPr="00056924">
              <w:rPr>
                <w:rFonts w:eastAsiaTheme="minorHAnsi"/>
                <w:sz w:val="20"/>
                <w:lang w:val="en-CA"/>
              </w:rPr>
              <w:t>Quebec Court of Appeal (Montréal)</w:t>
            </w:r>
          </w:p>
          <w:p w:rsidR="00917F7F" w:rsidRPr="00056924" w:rsidRDefault="00917F7F" w:rsidP="00917F7F">
            <w:pPr>
              <w:jc w:val="both"/>
              <w:rPr>
                <w:rFonts w:eastAsiaTheme="minorHAnsi"/>
                <w:sz w:val="20"/>
                <w:lang w:val="fr-CA"/>
              </w:rPr>
            </w:pPr>
            <w:r w:rsidRPr="00056924">
              <w:rPr>
                <w:rFonts w:eastAsiaTheme="minorHAnsi"/>
                <w:sz w:val="20"/>
                <w:lang w:val="fr-CA"/>
              </w:rPr>
              <w:t>(Pelletier, Kasirer and Bélanger JJ.A.)</w:t>
            </w:r>
          </w:p>
          <w:p w:rsidR="00917F7F" w:rsidRPr="00056924" w:rsidRDefault="00260D92" w:rsidP="00917F7F">
            <w:pPr>
              <w:jc w:val="both"/>
              <w:rPr>
                <w:rFonts w:eastAsiaTheme="minorHAnsi"/>
                <w:sz w:val="20"/>
                <w:lang w:val="en-CA"/>
              </w:rPr>
            </w:pPr>
            <w:hyperlink r:id="rId35" w:history="1">
              <w:r w:rsidR="00917F7F" w:rsidRPr="00056924">
                <w:rPr>
                  <w:rFonts w:eastAsiaTheme="minorHAnsi"/>
                  <w:color w:val="0000FF" w:themeColor="hyperlink"/>
                  <w:sz w:val="20"/>
                  <w:u w:val="single"/>
                  <w:lang w:val="en-CA"/>
                </w:rPr>
                <w:t>2014 QCCA 2102</w:t>
              </w:r>
            </w:hyperlink>
            <w:r w:rsidR="00917F7F" w:rsidRPr="00056924">
              <w:rPr>
                <w:rFonts w:eastAsiaTheme="minorHAnsi"/>
                <w:sz w:val="20"/>
                <w:lang w:val="en-CA"/>
              </w:rPr>
              <w:t>; 500-10-005406-135</w:t>
            </w:r>
          </w:p>
          <w:p w:rsidR="00917F7F" w:rsidRPr="00056924" w:rsidRDefault="00917F7F" w:rsidP="00917F7F">
            <w:pPr>
              <w:jc w:val="both"/>
              <w:rPr>
                <w:rFonts w:eastAsiaTheme="minorHAnsi"/>
                <w:sz w:val="20"/>
                <w:lang w:val="en-CA"/>
              </w:rPr>
            </w:pP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Appeal dismissed</w:t>
            </w:r>
          </w:p>
          <w:p w:rsidR="00917F7F" w:rsidRPr="00056924" w:rsidRDefault="00917F7F" w:rsidP="00917F7F">
            <w:pPr>
              <w:jc w:val="both"/>
              <w:rPr>
                <w:rFonts w:eastAsiaTheme="minorHAnsi"/>
                <w:sz w:val="20"/>
                <w:lang w:val="en-CA"/>
              </w:rPr>
            </w:pP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t>January 14, 2015</w:t>
            </w:r>
          </w:p>
          <w:p w:rsidR="00917F7F" w:rsidRPr="00056924" w:rsidRDefault="00917F7F" w:rsidP="00917F7F">
            <w:pPr>
              <w:jc w:val="both"/>
              <w:rPr>
                <w:rFonts w:eastAsiaTheme="minorHAnsi"/>
                <w:sz w:val="20"/>
                <w:lang w:val="en-CA"/>
              </w:rPr>
            </w:pPr>
            <w:r w:rsidRPr="00056924">
              <w:rPr>
                <w:rFonts w:eastAsiaTheme="minorHAnsi"/>
                <w:sz w:val="20"/>
                <w:lang w:val="en-CA"/>
              </w:rPr>
              <w:t>Supreme Court of Canada</w:t>
            </w: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Application for leave to appeal filed</w:t>
            </w:r>
          </w:p>
          <w:p w:rsidR="00917F7F" w:rsidRPr="00056924" w:rsidRDefault="00917F7F" w:rsidP="00917F7F">
            <w:pPr>
              <w:jc w:val="both"/>
              <w:rPr>
                <w:rFonts w:eastAsiaTheme="minorHAnsi"/>
                <w:sz w:val="20"/>
                <w:lang w:val="en-CA"/>
              </w:rPr>
            </w:pPr>
          </w:p>
        </w:tc>
      </w:tr>
    </w:tbl>
    <w:p w:rsidR="00917F7F" w:rsidRDefault="00917F7F" w:rsidP="00917F7F">
      <w:pPr>
        <w:jc w:val="both"/>
        <w:rPr>
          <w:rFonts w:eastAsiaTheme="minorHAnsi"/>
          <w:sz w:val="20"/>
          <w:lang w:val="en-CA"/>
        </w:rPr>
      </w:pPr>
    </w:p>
    <w:p w:rsidR="00056924" w:rsidRPr="00056924" w:rsidRDefault="00056924" w:rsidP="00917F7F">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7F7F" w:rsidRPr="00056924" w:rsidTr="00202E4C">
        <w:tc>
          <w:tcPr>
            <w:tcW w:w="543" w:type="pct"/>
          </w:tcPr>
          <w:p w:rsidR="00917F7F" w:rsidRPr="00056924" w:rsidRDefault="00917F7F" w:rsidP="00917F7F">
            <w:pPr>
              <w:jc w:val="both"/>
              <w:rPr>
                <w:rFonts w:eastAsiaTheme="minorHAnsi"/>
                <w:sz w:val="20"/>
                <w:lang w:val="fr-CA"/>
              </w:rPr>
            </w:pPr>
            <w:r w:rsidRPr="00056924">
              <w:rPr>
                <w:rFonts w:eastAsiaTheme="minorHAnsi"/>
                <w:b/>
                <w:sz w:val="20"/>
                <w:lang w:val="fr-CA"/>
              </w:rPr>
              <w:t>36255</w:t>
            </w:r>
          </w:p>
        </w:tc>
        <w:tc>
          <w:tcPr>
            <w:tcW w:w="4457" w:type="pct"/>
            <w:gridSpan w:val="3"/>
          </w:tcPr>
          <w:p w:rsidR="00917F7F" w:rsidRPr="00056924" w:rsidRDefault="00917F7F" w:rsidP="00917F7F">
            <w:pPr>
              <w:jc w:val="both"/>
              <w:rPr>
                <w:rFonts w:eastAsiaTheme="minorHAnsi"/>
                <w:b/>
                <w:sz w:val="20"/>
                <w:lang w:val="fr-CA"/>
              </w:rPr>
            </w:pPr>
            <w:r w:rsidRPr="00056924">
              <w:rPr>
                <w:rFonts w:eastAsiaTheme="minorHAnsi"/>
                <w:b/>
                <w:sz w:val="20"/>
                <w:lang w:val="fr-CA"/>
              </w:rPr>
              <w:t>Jean Maynard c. Agence du revenu du Canada</w:t>
            </w:r>
          </w:p>
          <w:p w:rsidR="00917F7F" w:rsidRPr="00056924" w:rsidRDefault="00917F7F" w:rsidP="00917F7F">
            <w:pPr>
              <w:jc w:val="both"/>
              <w:rPr>
                <w:rFonts w:eastAsiaTheme="minorHAnsi"/>
                <w:sz w:val="20"/>
                <w:lang w:val="fr-CA"/>
              </w:rPr>
            </w:pPr>
            <w:r w:rsidRPr="00056924">
              <w:rPr>
                <w:rFonts w:eastAsiaTheme="minorHAnsi"/>
                <w:sz w:val="20"/>
                <w:lang w:val="fr-CA"/>
              </w:rPr>
              <w:t>(Qc) (Civile) (Autorisation)</w:t>
            </w:r>
          </w:p>
        </w:tc>
      </w:tr>
      <w:tr w:rsidR="00917F7F" w:rsidRPr="00A02AC3" w:rsidTr="00202E4C">
        <w:tc>
          <w:tcPr>
            <w:tcW w:w="5000" w:type="pct"/>
            <w:gridSpan w:val="4"/>
          </w:tcPr>
          <w:p w:rsidR="00917F7F" w:rsidRPr="00056924" w:rsidRDefault="00917F7F" w:rsidP="00917F7F">
            <w:pPr>
              <w:jc w:val="both"/>
              <w:rPr>
                <w:rFonts w:eastAsiaTheme="minorHAnsi"/>
                <w:sz w:val="20"/>
                <w:lang w:val="fr-CA"/>
              </w:rPr>
            </w:pPr>
            <w:r w:rsidRPr="00056924">
              <w:rPr>
                <w:rFonts w:eastAsiaTheme="minorHAnsi"/>
                <w:sz w:val="20"/>
                <w:lang w:val="fr-CA"/>
              </w:rPr>
              <w:t>Droit fiscal – Mandats de perquisition – Révision – Éléments de preuve permettant la délivrance de mandats de perquisition – Omission de présenter certains éléments qui pouvaient affecter la crédibilité des témoins principaux – Les instances inférieures ont-elles appliqué la norme appropriée pour réviser la décision de décerner un mandat de perquisition?</w:t>
            </w:r>
          </w:p>
        </w:tc>
      </w:tr>
      <w:tr w:rsidR="00917F7F" w:rsidRPr="00A02AC3" w:rsidTr="00202E4C">
        <w:tc>
          <w:tcPr>
            <w:tcW w:w="5000" w:type="pct"/>
            <w:gridSpan w:val="4"/>
          </w:tcPr>
          <w:p w:rsidR="00917F7F" w:rsidRPr="00056924" w:rsidRDefault="00917F7F" w:rsidP="00917F7F">
            <w:pPr>
              <w:jc w:val="both"/>
              <w:rPr>
                <w:rFonts w:eastAsiaTheme="minorHAnsi"/>
                <w:sz w:val="20"/>
                <w:lang w:val="fr-CA"/>
              </w:rPr>
            </w:pPr>
          </w:p>
        </w:tc>
      </w:tr>
      <w:tr w:rsidR="00917F7F" w:rsidRPr="00A02AC3" w:rsidTr="00202E4C">
        <w:tc>
          <w:tcPr>
            <w:tcW w:w="5000" w:type="pct"/>
            <w:gridSpan w:val="4"/>
          </w:tcPr>
          <w:p w:rsidR="00917F7F" w:rsidRPr="00056924" w:rsidRDefault="00917F7F" w:rsidP="00917F7F">
            <w:pPr>
              <w:jc w:val="both"/>
              <w:rPr>
                <w:rFonts w:eastAsiaTheme="minorHAnsi"/>
                <w:sz w:val="20"/>
                <w:lang w:val="fr-CA"/>
              </w:rPr>
            </w:pPr>
            <w:r w:rsidRPr="00056924">
              <w:rPr>
                <w:rFonts w:eastAsiaTheme="minorHAnsi"/>
                <w:sz w:val="20"/>
                <w:lang w:val="fr-CA"/>
              </w:rPr>
              <w:t xml:space="preserve">Sur la foi de la dénonciation d’un enquêteur, la juge De Carufel autorise l’Agence du revenu du Canada à exécuter six mandats de perquisition pour lui permettre de trouver de la preuve permettant d’établir des infractions d’évasion fiscale et de fraude prétendument commises par le demandeur.  Le demandeur signifie alors une requête en </w:t>
            </w:r>
            <w:r w:rsidRPr="00056924">
              <w:rPr>
                <w:rFonts w:eastAsiaTheme="minorHAnsi"/>
                <w:i/>
                <w:sz w:val="20"/>
                <w:lang w:val="fr-CA"/>
              </w:rPr>
              <w:t>certiorari</w:t>
            </w:r>
            <w:r w:rsidRPr="00056924">
              <w:rPr>
                <w:rFonts w:eastAsiaTheme="minorHAnsi"/>
                <w:sz w:val="20"/>
                <w:lang w:val="fr-CA"/>
              </w:rPr>
              <w:t xml:space="preserve">.  Il recherche l’annulation de quatre des mandats, une déclaration que les saisies sont illégales, déraisonnables et sans effet, et une ordonnance de lui retourner les choses saisies.  </w:t>
            </w:r>
            <w:r w:rsidRPr="00056924">
              <w:rPr>
                <w:rFonts w:eastAsiaTheme="minorHAnsi"/>
                <w:sz w:val="20"/>
                <w:lang w:val="fr-FR"/>
              </w:rPr>
              <w:t>Le demandeur reproche à l’enquêteur d’avoir délibérément et/ou témérairement omis de divulguer certaines informations importantes et nécessaires et qui auraient permis à la juge de prendre sa décision en toute connaissance de cause.</w:t>
            </w:r>
          </w:p>
          <w:p w:rsidR="00917F7F" w:rsidRPr="00056924" w:rsidRDefault="00917F7F" w:rsidP="00917F7F">
            <w:pPr>
              <w:jc w:val="both"/>
              <w:rPr>
                <w:rFonts w:eastAsiaTheme="minorHAnsi"/>
                <w:sz w:val="20"/>
                <w:lang w:val="fr-CA"/>
              </w:rPr>
            </w:pPr>
          </w:p>
          <w:p w:rsidR="00917F7F" w:rsidRPr="00056924" w:rsidRDefault="00917F7F" w:rsidP="00917F7F">
            <w:pPr>
              <w:jc w:val="both"/>
              <w:rPr>
                <w:rFonts w:eastAsiaTheme="minorHAnsi"/>
                <w:sz w:val="20"/>
                <w:lang w:val="fr-CA"/>
              </w:rPr>
            </w:pPr>
            <w:r w:rsidRPr="00056924">
              <w:rPr>
                <w:rFonts w:eastAsiaTheme="minorHAnsi"/>
                <w:sz w:val="20"/>
                <w:lang w:val="fr-CA"/>
              </w:rPr>
              <w:t>La Cour supérieure rejette le recours, et la Cour d’appel rejette l’appel.</w:t>
            </w:r>
          </w:p>
          <w:p w:rsidR="00917F7F" w:rsidRPr="00056924" w:rsidRDefault="00917F7F" w:rsidP="00917F7F">
            <w:pPr>
              <w:jc w:val="both"/>
              <w:rPr>
                <w:rFonts w:eastAsiaTheme="minorHAnsi"/>
                <w:sz w:val="20"/>
                <w:lang w:val="fr-CA"/>
              </w:rPr>
            </w:pPr>
          </w:p>
        </w:tc>
      </w:tr>
      <w:tr w:rsidR="00917F7F" w:rsidRPr="00A02AC3"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Le 5 avril 2013</w:t>
            </w:r>
          </w:p>
          <w:p w:rsidR="00917F7F" w:rsidRPr="00056924" w:rsidRDefault="00917F7F" w:rsidP="00917F7F">
            <w:pPr>
              <w:jc w:val="both"/>
              <w:rPr>
                <w:rFonts w:eastAsiaTheme="minorHAnsi"/>
                <w:sz w:val="20"/>
                <w:lang w:val="fr-CA"/>
              </w:rPr>
            </w:pPr>
            <w:r w:rsidRPr="00056924">
              <w:rPr>
                <w:rFonts w:eastAsiaTheme="minorHAnsi"/>
                <w:sz w:val="20"/>
                <w:lang w:val="fr-CA"/>
              </w:rPr>
              <w:t>Cour supérieure du Québec</w:t>
            </w:r>
          </w:p>
          <w:p w:rsidR="00917F7F" w:rsidRPr="00056924" w:rsidRDefault="00917F7F" w:rsidP="00917F7F">
            <w:pPr>
              <w:jc w:val="both"/>
              <w:rPr>
                <w:rFonts w:eastAsiaTheme="minorHAnsi"/>
                <w:sz w:val="20"/>
                <w:lang w:val="fr-CA"/>
              </w:rPr>
            </w:pPr>
            <w:r w:rsidRPr="00056924">
              <w:rPr>
                <w:rFonts w:eastAsiaTheme="minorHAnsi"/>
                <w:sz w:val="20"/>
                <w:lang w:val="fr-CA"/>
              </w:rPr>
              <w:t>(Le juge Buffoni)</w:t>
            </w:r>
          </w:p>
          <w:p w:rsidR="00917F7F" w:rsidRPr="00056924" w:rsidRDefault="00917F7F" w:rsidP="00917F7F">
            <w:pPr>
              <w:jc w:val="both"/>
              <w:rPr>
                <w:rFonts w:eastAsiaTheme="minorHAnsi"/>
                <w:sz w:val="20"/>
                <w:lang w:val="fr-CA"/>
              </w:rPr>
            </w:pPr>
            <w:r w:rsidRPr="00056924">
              <w:rPr>
                <w:rFonts w:eastAsiaTheme="minorHAnsi"/>
                <w:sz w:val="20"/>
                <w:lang w:val="fr-CA"/>
              </w:rPr>
              <w:t>500-36-006366-127</w:t>
            </w:r>
          </w:p>
          <w:p w:rsidR="00917F7F" w:rsidRPr="00056924" w:rsidRDefault="00917F7F" w:rsidP="00917F7F">
            <w:pPr>
              <w:jc w:val="both"/>
              <w:rPr>
                <w:rFonts w:eastAsiaTheme="minorHAnsi"/>
                <w:sz w:val="20"/>
                <w:lang w:val="fr-CA"/>
              </w:rPr>
            </w:pPr>
          </w:p>
        </w:tc>
        <w:tc>
          <w:tcPr>
            <w:tcW w:w="243" w:type="pct"/>
          </w:tcPr>
          <w:p w:rsidR="00917F7F" w:rsidRPr="00056924" w:rsidRDefault="00917F7F" w:rsidP="00917F7F">
            <w:pPr>
              <w:jc w:val="both"/>
              <w:rPr>
                <w:rFonts w:eastAsiaTheme="minorHAnsi"/>
                <w:sz w:val="20"/>
                <w:lang w:val="fr-CA"/>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 xml:space="preserve">Requête en </w:t>
            </w:r>
            <w:r w:rsidRPr="00056924">
              <w:rPr>
                <w:rFonts w:eastAsiaTheme="minorHAnsi"/>
                <w:i/>
                <w:sz w:val="20"/>
                <w:lang w:val="fr-CA"/>
              </w:rPr>
              <w:t>certiorari</w:t>
            </w:r>
            <w:r w:rsidRPr="00056924">
              <w:rPr>
                <w:rFonts w:eastAsiaTheme="minorHAnsi"/>
                <w:sz w:val="20"/>
                <w:lang w:val="fr-CA"/>
              </w:rPr>
              <w:t xml:space="preserve"> et en contestation de mandats de perquisition rejetée</w:t>
            </w:r>
          </w:p>
        </w:tc>
      </w:tr>
      <w:tr w:rsidR="00917F7F" w:rsidRPr="00056924"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Le 17 novembre 2014</w:t>
            </w:r>
          </w:p>
          <w:p w:rsidR="00917F7F" w:rsidRPr="00056924" w:rsidRDefault="00917F7F" w:rsidP="00917F7F">
            <w:pPr>
              <w:jc w:val="both"/>
              <w:rPr>
                <w:rFonts w:eastAsiaTheme="minorHAnsi"/>
                <w:sz w:val="20"/>
                <w:lang w:val="fr-CA"/>
              </w:rPr>
            </w:pPr>
            <w:r w:rsidRPr="00056924">
              <w:rPr>
                <w:rFonts w:eastAsiaTheme="minorHAnsi"/>
                <w:sz w:val="20"/>
                <w:lang w:val="fr-CA"/>
              </w:rPr>
              <w:t>Cour d’appel du Québec (Montréal)</w:t>
            </w:r>
          </w:p>
          <w:p w:rsidR="00917F7F" w:rsidRPr="00056924" w:rsidRDefault="00917F7F" w:rsidP="00917F7F">
            <w:pPr>
              <w:jc w:val="both"/>
              <w:rPr>
                <w:rFonts w:eastAsiaTheme="minorHAnsi"/>
                <w:sz w:val="20"/>
                <w:lang w:val="fr-CA"/>
              </w:rPr>
            </w:pPr>
            <w:r w:rsidRPr="00056924">
              <w:rPr>
                <w:rFonts w:eastAsiaTheme="minorHAnsi"/>
                <w:sz w:val="20"/>
                <w:lang w:val="fr-CA"/>
              </w:rPr>
              <w:t>(Les juges Pelletier, Kasirer et Bélanger)</w:t>
            </w:r>
          </w:p>
          <w:p w:rsidR="00917F7F" w:rsidRPr="00056924" w:rsidRDefault="00260D92" w:rsidP="00917F7F">
            <w:pPr>
              <w:jc w:val="both"/>
              <w:rPr>
                <w:rFonts w:eastAsiaTheme="minorHAnsi"/>
                <w:sz w:val="20"/>
                <w:lang w:val="fr-CA"/>
              </w:rPr>
            </w:pPr>
            <w:hyperlink r:id="rId36" w:history="1">
              <w:r w:rsidR="00917F7F" w:rsidRPr="00056924">
                <w:rPr>
                  <w:rFonts w:eastAsiaTheme="minorHAnsi"/>
                  <w:color w:val="0000FF" w:themeColor="hyperlink"/>
                  <w:sz w:val="20"/>
                  <w:u w:val="single"/>
                  <w:lang w:val="fr-CA"/>
                </w:rPr>
                <w:t>2014 QCCA 2102</w:t>
              </w:r>
            </w:hyperlink>
            <w:r w:rsidR="00917F7F" w:rsidRPr="00056924">
              <w:rPr>
                <w:rFonts w:eastAsiaTheme="minorHAnsi"/>
                <w:sz w:val="20"/>
                <w:lang w:val="fr-CA"/>
              </w:rPr>
              <w:t>; 500-10-005406-135</w:t>
            </w:r>
          </w:p>
          <w:p w:rsidR="00917F7F" w:rsidRPr="00056924" w:rsidRDefault="00917F7F" w:rsidP="00917F7F">
            <w:pPr>
              <w:jc w:val="both"/>
              <w:rPr>
                <w:rFonts w:eastAsiaTheme="minorHAnsi"/>
                <w:sz w:val="20"/>
                <w:lang w:val="fr-CA"/>
              </w:rPr>
            </w:pPr>
          </w:p>
        </w:tc>
        <w:tc>
          <w:tcPr>
            <w:tcW w:w="243" w:type="pct"/>
          </w:tcPr>
          <w:p w:rsidR="00917F7F" w:rsidRPr="00056924" w:rsidRDefault="00917F7F" w:rsidP="00917F7F">
            <w:pPr>
              <w:jc w:val="both"/>
              <w:rPr>
                <w:rFonts w:eastAsiaTheme="minorHAnsi"/>
                <w:sz w:val="20"/>
                <w:lang w:val="fr-CA"/>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Appel rejeté</w:t>
            </w:r>
          </w:p>
          <w:p w:rsidR="00917F7F" w:rsidRPr="00056924" w:rsidRDefault="00917F7F" w:rsidP="00917F7F">
            <w:pPr>
              <w:jc w:val="both"/>
              <w:rPr>
                <w:rFonts w:eastAsiaTheme="minorHAnsi"/>
                <w:sz w:val="20"/>
                <w:lang w:val="fr-CA"/>
              </w:rPr>
            </w:pPr>
          </w:p>
        </w:tc>
      </w:tr>
      <w:tr w:rsidR="00917F7F" w:rsidRPr="00056924"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lastRenderedPageBreak/>
              <w:t>Le 14 janvier 2015</w:t>
            </w:r>
          </w:p>
          <w:p w:rsidR="00917F7F" w:rsidRPr="00056924" w:rsidRDefault="00917F7F" w:rsidP="00917F7F">
            <w:pPr>
              <w:jc w:val="both"/>
              <w:rPr>
                <w:rFonts w:eastAsiaTheme="minorHAnsi"/>
                <w:sz w:val="20"/>
                <w:lang w:val="fr-CA"/>
              </w:rPr>
            </w:pPr>
            <w:r w:rsidRPr="00056924">
              <w:rPr>
                <w:rFonts w:eastAsiaTheme="minorHAnsi"/>
                <w:sz w:val="20"/>
                <w:lang w:val="fr-CA"/>
              </w:rPr>
              <w:t>Cour suprême du Canada</w:t>
            </w:r>
          </w:p>
        </w:tc>
        <w:tc>
          <w:tcPr>
            <w:tcW w:w="243" w:type="pct"/>
          </w:tcPr>
          <w:p w:rsidR="00917F7F" w:rsidRPr="00056924" w:rsidRDefault="00917F7F" w:rsidP="00917F7F">
            <w:pPr>
              <w:jc w:val="both"/>
              <w:rPr>
                <w:rFonts w:eastAsiaTheme="minorHAnsi"/>
                <w:sz w:val="20"/>
                <w:lang w:val="fr-CA"/>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Demande d'autorisation d'appel déposée</w:t>
            </w:r>
          </w:p>
          <w:p w:rsidR="00917F7F" w:rsidRPr="00056924" w:rsidRDefault="00917F7F" w:rsidP="00917F7F">
            <w:pPr>
              <w:jc w:val="both"/>
              <w:rPr>
                <w:rFonts w:eastAsiaTheme="minorHAnsi"/>
                <w:sz w:val="20"/>
                <w:lang w:val="fr-CA"/>
              </w:rPr>
            </w:pPr>
          </w:p>
        </w:tc>
      </w:tr>
    </w:tbl>
    <w:p w:rsidR="00917F7F" w:rsidRDefault="00917F7F" w:rsidP="00917F7F">
      <w:pPr>
        <w:jc w:val="both"/>
        <w:rPr>
          <w:rFonts w:eastAsiaTheme="minorHAnsi"/>
          <w:sz w:val="20"/>
          <w:lang w:val="fr-CA"/>
        </w:rPr>
      </w:pPr>
    </w:p>
    <w:p w:rsidR="00056924" w:rsidRPr="00056924" w:rsidRDefault="00056924" w:rsidP="00917F7F">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7F7F" w:rsidRPr="00056924" w:rsidTr="00202E4C">
        <w:tc>
          <w:tcPr>
            <w:tcW w:w="543" w:type="pct"/>
          </w:tcPr>
          <w:p w:rsidR="00917F7F" w:rsidRPr="00056924" w:rsidRDefault="00917F7F" w:rsidP="00917F7F">
            <w:pPr>
              <w:jc w:val="both"/>
              <w:rPr>
                <w:rFonts w:eastAsiaTheme="minorHAnsi"/>
                <w:sz w:val="20"/>
                <w:lang w:val="en-CA"/>
              </w:rPr>
            </w:pPr>
            <w:r w:rsidRPr="00056924">
              <w:rPr>
                <w:rFonts w:eastAsiaTheme="minorHAnsi"/>
                <w:b/>
                <w:sz w:val="20"/>
                <w:lang w:val="fr-CA"/>
              </w:rPr>
              <w:t>36278</w:t>
            </w:r>
          </w:p>
        </w:tc>
        <w:tc>
          <w:tcPr>
            <w:tcW w:w="4457" w:type="pct"/>
            <w:gridSpan w:val="3"/>
          </w:tcPr>
          <w:p w:rsidR="00917F7F" w:rsidRPr="00056924" w:rsidRDefault="00917F7F" w:rsidP="00917F7F">
            <w:pPr>
              <w:jc w:val="both"/>
              <w:rPr>
                <w:rFonts w:eastAsiaTheme="minorHAnsi"/>
                <w:b/>
                <w:sz w:val="20"/>
                <w:lang w:val="fr-CA"/>
              </w:rPr>
            </w:pPr>
            <w:r w:rsidRPr="00056924">
              <w:rPr>
                <w:rFonts w:eastAsiaTheme="minorHAnsi"/>
                <w:b/>
                <w:sz w:val="20"/>
                <w:lang w:val="fr-CA"/>
              </w:rPr>
              <w:t>Daniel Beaulieu, Claude Berger, Jean-François Bergeron, Alain Biron, Éric Bouffard, Clermont Carrier, Christian Daneault, Lionel Deschamps, Steeve Doucet, Guy Dubé, Jacques Dumais, Yves Gagné, Serge Gauthier, Michel Guertin, François Hinse, Marc-André Hinse, Marc-André Hotte, Bertrand Joyal, Norman Labelle, Frédéric Landry-Hétu, Michel Langlois, Claude Lavigne, Serge Lebrasseur, Marc Loiseau, Paul Magnan, Dean Moore, Claude Pépin, Jean-Damien Perron, Bernard Plourde, Stéphane Poitras, Steve Rainville, Jean-Paul Ramsay, Gilles Robidoux, Daniel Ryer and Louis Ruel v. Her Majesty the Queen</w:t>
            </w:r>
          </w:p>
          <w:p w:rsidR="00917F7F" w:rsidRPr="00056924" w:rsidRDefault="00917F7F" w:rsidP="00917F7F">
            <w:pPr>
              <w:jc w:val="both"/>
              <w:rPr>
                <w:rFonts w:eastAsiaTheme="minorHAnsi"/>
                <w:sz w:val="20"/>
                <w:lang w:val="fr-CA"/>
              </w:rPr>
            </w:pPr>
          </w:p>
          <w:p w:rsidR="00917F7F" w:rsidRPr="00056924" w:rsidRDefault="00917F7F" w:rsidP="00917F7F">
            <w:pPr>
              <w:jc w:val="both"/>
              <w:rPr>
                <w:rFonts w:eastAsiaTheme="minorHAnsi"/>
                <w:b/>
                <w:sz w:val="20"/>
                <w:lang w:val="en-CA"/>
              </w:rPr>
            </w:pPr>
            <w:r w:rsidRPr="00056924">
              <w:rPr>
                <w:rFonts w:eastAsiaTheme="minorHAnsi"/>
                <w:b/>
                <w:sz w:val="20"/>
                <w:lang w:val="en-CA"/>
              </w:rPr>
              <w:t>- and between -</w:t>
            </w:r>
          </w:p>
          <w:p w:rsidR="00917F7F" w:rsidRPr="00056924" w:rsidRDefault="00917F7F" w:rsidP="00917F7F">
            <w:pPr>
              <w:jc w:val="both"/>
              <w:rPr>
                <w:rFonts w:eastAsiaTheme="minorHAnsi"/>
                <w:b/>
                <w:sz w:val="20"/>
                <w:lang w:val="en-CA"/>
              </w:rPr>
            </w:pPr>
          </w:p>
          <w:p w:rsidR="00917F7F" w:rsidRPr="00056924" w:rsidRDefault="00917F7F" w:rsidP="00917F7F">
            <w:pPr>
              <w:jc w:val="both"/>
              <w:rPr>
                <w:rFonts w:eastAsiaTheme="minorHAnsi"/>
                <w:b/>
                <w:sz w:val="20"/>
                <w:lang w:val="en-CA"/>
              </w:rPr>
            </w:pPr>
            <w:r w:rsidRPr="00056924">
              <w:rPr>
                <w:rFonts w:eastAsiaTheme="minorHAnsi"/>
                <w:b/>
                <w:sz w:val="20"/>
                <w:lang w:val="en-CA"/>
              </w:rPr>
              <w:t>Martin Robert, Gaétan Proulx, Marcel Messier v. Her Majesty the Queen</w:t>
            </w:r>
          </w:p>
          <w:p w:rsidR="00917F7F" w:rsidRPr="00056924" w:rsidRDefault="00917F7F" w:rsidP="00917F7F">
            <w:pPr>
              <w:jc w:val="both"/>
              <w:rPr>
                <w:rFonts w:eastAsiaTheme="minorHAnsi"/>
                <w:sz w:val="20"/>
                <w:lang w:val="en-CA"/>
              </w:rPr>
            </w:pPr>
            <w:r w:rsidRPr="00056924">
              <w:rPr>
                <w:rFonts w:eastAsiaTheme="minorHAnsi"/>
                <w:sz w:val="20"/>
                <w:lang w:val="en-CA"/>
              </w:rPr>
              <w:t>(Que.) (Criminal) (By Leave)</w:t>
            </w:r>
          </w:p>
        </w:tc>
      </w:tr>
      <w:tr w:rsidR="00917F7F" w:rsidRPr="00056924" w:rsidTr="00202E4C">
        <w:tc>
          <w:tcPr>
            <w:tcW w:w="5000" w:type="pct"/>
            <w:gridSpan w:val="4"/>
          </w:tcPr>
          <w:p w:rsidR="00917F7F" w:rsidRPr="00056924" w:rsidRDefault="00917F7F" w:rsidP="00917F7F">
            <w:pPr>
              <w:jc w:val="both"/>
              <w:rPr>
                <w:rFonts w:eastAsiaTheme="minorHAnsi"/>
                <w:smallCaps/>
                <w:sz w:val="20"/>
                <w:lang w:val="en-CA"/>
              </w:rPr>
            </w:pPr>
            <w:r w:rsidRPr="00056924">
              <w:rPr>
                <w:rFonts w:eastAsiaTheme="minorHAnsi"/>
                <w:smallCaps/>
                <w:sz w:val="20"/>
                <w:lang w:val="en-CA"/>
              </w:rPr>
              <w:t>(Publication Ban in Case)</w:t>
            </w:r>
          </w:p>
          <w:p w:rsidR="00917F7F" w:rsidRPr="00056924" w:rsidRDefault="00917F7F" w:rsidP="00917F7F">
            <w:pPr>
              <w:jc w:val="both"/>
              <w:rPr>
                <w:rFonts w:eastAsiaTheme="minorHAnsi"/>
                <w:sz w:val="20"/>
                <w:lang w:val="en-CA"/>
              </w:rPr>
            </w:pPr>
          </w:p>
          <w:p w:rsidR="00917F7F" w:rsidRPr="00056924" w:rsidRDefault="00917F7F" w:rsidP="00917F7F">
            <w:pPr>
              <w:jc w:val="both"/>
              <w:rPr>
                <w:rFonts w:eastAsiaTheme="minorHAnsi"/>
                <w:sz w:val="20"/>
                <w:lang w:val="en-CA"/>
              </w:rPr>
            </w:pPr>
            <w:r w:rsidRPr="00056924">
              <w:rPr>
                <w:rFonts w:eastAsiaTheme="minorHAnsi"/>
                <w:sz w:val="20"/>
                <w:lang w:val="en-CA"/>
              </w:rPr>
              <w:t xml:space="preserve">Criminal law — Right of Attorney General to appeal under s. 676 of </w:t>
            </w:r>
            <w:r w:rsidRPr="00056924">
              <w:rPr>
                <w:rFonts w:eastAsiaTheme="minorHAnsi"/>
                <w:i/>
                <w:sz w:val="20"/>
                <w:lang w:val="en-CA"/>
              </w:rPr>
              <w:t>Criminal Code</w:t>
            </w:r>
            <w:r w:rsidRPr="00056924">
              <w:rPr>
                <w:rFonts w:eastAsiaTheme="minorHAnsi"/>
                <w:sz w:val="20"/>
                <w:lang w:val="en-CA"/>
              </w:rPr>
              <w:t xml:space="preserve"> — Whether Court of Appeal erred in dismissing motion to dismiss appeal brought by Attorney General — </w:t>
            </w:r>
            <w:r w:rsidRPr="00056924">
              <w:rPr>
                <w:rFonts w:eastAsiaTheme="minorHAnsi"/>
                <w:i/>
                <w:sz w:val="20"/>
                <w:lang w:val="en-CA"/>
              </w:rPr>
              <w:t>Criminal Code</w:t>
            </w:r>
            <w:r w:rsidRPr="00056924">
              <w:rPr>
                <w:rFonts w:eastAsiaTheme="minorHAnsi"/>
                <w:sz w:val="20"/>
                <w:lang w:val="en-CA"/>
              </w:rPr>
              <w:t>, s. 676(1)(</w:t>
            </w:r>
            <w:r w:rsidRPr="00056924">
              <w:rPr>
                <w:rFonts w:eastAsiaTheme="minorHAnsi"/>
                <w:i/>
                <w:sz w:val="20"/>
                <w:lang w:val="en-CA"/>
              </w:rPr>
              <w:t>c</w:t>
            </w:r>
            <w:r w:rsidRPr="00056924">
              <w:rPr>
                <w:rFonts w:eastAsiaTheme="minorHAnsi"/>
                <w:sz w:val="20"/>
                <w:lang w:val="en-CA"/>
              </w:rPr>
              <w:t>).</w:t>
            </w:r>
          </w:p>
        </w:tc>
      </w:tr>
      <w:tr w:rsidR="00917F7F" w:rsidRPr="00056924" w:rsidTr="00202E4C">
        <w:tc>
          <w:tcPr>
            <w:tcW w:w="5000" w:type="pct"/>
            <w:gridSpan w:val="4"/>
          </w:tcPr>
          <w:p w:rsidR="00917F7F" w:rsidRPr="00056924" w:rsidRDefault="00917F7F" w:rsidP="00917F7F">
            <w:pPr>
              <w:jc w:val="both"/>
              <w:rPr>
                <w:rFonts w:eastAsiaTheme="minorHAnsi"/>
                <w:sz w:val="20"/>
                <w:lang w:val="en-CA"/>
              </w:rPr>
            </w:pPr>
          </w:p>
        </w:tc>
      </w:tr>
      <w:tr w:rsidR="00917F7F" w:rsidRPr="00056924" w:rsidTr="00202E4C">
        <w:tc>
          <w:tcPr>
            <w:tcW w:w="5000" w:type="pct"/>
            <w:gridSpan w:val="4"/>
          </w:tcPr>
          <w:p w:rsidR="00917F7F" w:rsidRPr="00056924" w:rsidRDefault="00917F7F" w:rsidP="00917F7F">
            <w:pPr>
              <w:jc w:val="both"/>
              <w:rPr>
                <w:rFonts w:eastAsiaTheme="minorHAnsi"/>
                <w:sz w:val="20"/>
                <w:lang w:val="en-CA"/>
              </w:rPr>
            </w:pPr>
            <w:r w:rsidRPr="00056924">
              <w:rPr>
                <w:rFonts w:eastAsiaTheme="minorHAnsi"/>
                <w:sz w:val="20"/>
                <w:lang w:val="en-CA"/>
              </w:rPr>
              <w:t xml:space="preserve">In a criminal trial, a judge directed a stay of proceedings on certain counts but allowed the trial to proceed on other counts. The Attorney General appealed and the accused filed motions to dismiss the appeal. </w:t>
            </w:r>
          </w:p>
          <w:p w:rsidR="00917F7F" w:rsidRPr="00056924" w:rsidRDefault="00917F7F" w:rsidP="00917F7F">
            <w:pPr>
              <w:jc w:val="both"/>
              <w:rPr>
                <w:rFonts w:eastAsiaTheme="minorHAnsi"/>
                <w:sz w:val="20"/>
                <w:lang w:val="en-CA"/>
              </w:rPr>
            </w:pP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t>September 11, 2014</w:t>
            </w:r>
          </w:p>
          <w:p w:rsidR="00917F7F" w:rsidRPr="00056924" w:rsidRDefault="00917F7F" w:rsidP="00917F7F">
            <w:pPr>
              <w:jc w:val="both"/>
              <w:rPr>
                <w:rFonts w:eastAsiaTheme="minorHAnsi"/>
                <w:sz w:val="20"/>
                <w:lang w:val="en-CA"/>
              </w:rPr>
            </w:pPr>
            <w:r w:rsidRPr="00056924">
              <w:rPr>
                <w:rFonts w:eastAsiaTheme="minorHAnsi"/>
                <w:sz w:val="20"/>
                <w:lang w:val="en-CA"/>
              </w:rPr>
              <w:t>Quebec Superior Court</w:t>
            </w:r>
          </w:p>
          <w:p w:rsidR="00917F7F" w:rsidRPr="00056924" w:rsidRDefault="00917F7F" w:rsidP="00917F7F">
            <w:pPr>
              <w:jc w:val="both"/>
              <w:rPr>
                <w:rFonts w:eastAsiaTheme="minorHAnsi"/>
                <w:sz w:val="20"/>
                <w:lang w:val="en-CA"/>
              </w:rPr>
            </w:pPr>
            <w:r w:rsidRPr="00056924">
              <w:rPr>
                <w:rFonts w:eastAsiaTheme="minorHAnsi"/>
                <w:sz w:val="20"/>
                <w:lang w:val="en-CA"/>
              </w:rPr>
              <w:t>(Brunton J.)</w:t>
            </w:r>
          </w:p>
          <w:p w:rsidR="00917F7F" w:rsidRPr="00056924" w:rsidRDefault="00917F7F" w:rsidP="00917F7F">
            <w:pPr>
              <w:jc w:val="both"/>
              <w:rPr>
                <w:rFonts w:eastAsiaTheme="minorHAnsi"/>
                <w:sz w:val="20"/>
                <w:lang w:val="en-CA"/>
              </w:rPr>
            </w:pP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Motion for stay of proceedings allowed in part</w:t>
            </w:r>
          </w:p>
          <w:p w:rsidR="00917F7F" w:rsidRPr="00056924" w:rsidRDefault="00917F7F" w:rsidP="00917F7F">
            <w:pPr>
              <w:jc w:val="both"/>
              <w:rPr>
                <w:rFonts w:eastAsiaTheme="minorHAnsi"/>
                <w:sz w:val="20"/>
                <w:lang w:val="en-CA"/>
              </w:rPr>
            </w:pP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t>December 8, 2014</w:t>
            </w:r>
          </w:p>
          <w:p w:rsidR="00917F7F" w:rsidRPr="00056924" w:rsidRDefault="00917F7F" w:rsidP="00917F7F">
            <w:pPr>
              <w:jc w:val="both"/>
              <w:rPr>
                <w:rFonts w:eastAsiaTheme="minorHAnsi"/>
                <w:sz w:val="20"/>
                <w:lang w:val="en-CA"/>
              </w:rPr>
            </w:pPr>
            <w:r w:rsidRPr="00056924">
              <w:rPr>
                <w:rFonts w:eastAsiaTheme="minorHAnsi"/>
                <w:sz w:val="20"/>
                <w:lang w:val="en-CA"/>
              </w:rPr>
              <w:t>Quebec Court of Appeal (Montréal)</w:t>
            </w:r>
          </w:p>
          <w:p w:rsidR="00917F7F" w:rsidRPr="00056924" w:rsidRDefault="00917F7F" w:rsidP="00917F7F">
            <w:pPr>
              <w:jc w:val="both"/>
              <w:rPr>
                <w:rFonts w:eastAsiaTheme="minorHAnsi"/>
                <w:sz w:val="20"/>
                <w:lang w:val="en-CA"/>
              </w:rPr>
            </w:pPr>
            <w:r w:rsidRPr="00056924">
              <w:rPr>
                <w:rFonts w:eastAsiaTheme="minorHAnsi"/>
                <w:sz w:val="20"/>
                <w:lang w:val="en-CA"/>
              </w:rPr>
              <w:t>(Chamberland, Doyon and Marcotte JJ.A.)</w:t>
            </w:r>
          </w:p>
          <w:p w:rsidR="00917F7F" w:rsidRPr="00056924" w:rsidRDefault="00260D92" w:rsidP="00917F7F">
            <w:pPr>
              <w:jc w:val="both"/>
              <w:rPr>
                <w:rFonts w:eastAsiaTheme="minorHAnsi"/>
                <w:sz w:val="20"/>
                <w:lang w:val="en-CA"/>
              </w:rPr>
            </w:pPr>
            <w:hyperlink r:id="rId37" w:history="1">
              <w:r w:rsidR="00917F7F" w:rsidRPr="00056924">
                <w:rPr>
                  <w:rFonts w:eastAsiaTheme="minorHAnsi"/>
                  <w:color w:val="0000FF" w:themeColor="hyperlink"/>
                  <w:sz w:val="20"/>
                  <w:u w:val="single"/>
                  <w:lang w:val="en-CA"/>
                </w:rPr>
                <w:t>2014 QCCA 2311</w:t>
              </w:r>
            </w:hyperlink>
          </w:p>
          <w:p w:rsidR="00917F7F" w:rsidRPr="00056924" w:rsidRDefault="00917F7F" w:rsidP="00917F7F">
            <w:pPr>
              <w:jc w:val="both"/>
              <w:rPr>
                <w:rFonts w:eastAsiaTheme="minorHAnsi"/>
                <w:sz w:val="20"/>
                <w:lang w:val="en-CA"/>
              </w:rPr>
            </w:pP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Motions to dismiss appeal dismissed</w:t>
            </w:r>
          </w:p>
          <w:p w:rsidR="00917F7F" w:rsidRPr="00056924" w:rsidRDefault="00917F7F" w:rsidP="00917F7F">
            <w:pPr>
              <w:jc w:val="both"/>
              <w:rPr>
                <w:rFonts w:eastAsiaTheme="minorHAnsi"/>
                <w:sz w:val="20"/>
                <w:lang w:val="en-CA"/>
              </w:rPr>
            </w:pPr>
          </w:p>
        </w:tc>
      </w:tr>
      <w:tr w:rsidR="00917F7F" w:rsidRPr="00056924" w:rsidTr="00202E4C">
        <w:tc>
          <w:tcPr>
            <w:tcW w:w="2427" w:type="pct"/>
            <w:gridSpan w:val="2"/>
          </w:tcPr>
          <w:p w:rsidR="00917F7F" w:rsidRPr="00056924" w:rsidRDefault="00917F7F" w:rsidP="00917F7F">
            <w:pPr>
              <w:jc w:val="both"/>
              <w:rPr>
                <w:rFonts w:eastAsiaTheme="minorHAnsi"/>
                <w:sz w:val="20"/>
                <w:lang w:val="en-CA"/>
              </w:rPr>
            </w:pPr>
            <w:r w:rsidRPr="00056924">
              <w:rPr>
                <w:rFonts w:eastAsiaTheme="minorHAnsi"/>
                <w:sz w:val="20"/>
                <w:lang w:val="en-CA"/>
              </w:rPr>
              <w:t>January 26, 2015</w:t>
            </w:r>
          </w:p>
          <w:p w:rsidR="00917F7F" w:rsidRPr="00056924" w:rsidRDefault="00917F7F" w:rsidP="00917F7F">
            <w:pPr>
              <w:jc w:val="both"/>
              <w:rPr>
                <w:rFonts w:eastAsiaTheme="minorHAnsi"/>
                <w:sz w:val="20"/>
                <w:lang w:val="en-CA"/>
              </w:rPr>
            </w:pPr>
            <w:r w:rsidRPr="00056924">
              <w:rPr>
                <w:rFonts w:eastAsiaTheme="minorHAnsi"/>
                <w:sz w:val="20"/>
                <w:lang w:val="en-CA"/>
              </w:rPr>
              <w:t>Supreme Court of Canada</w:t>
            </w:r>
          </w:p>
        </w:tc>
        <w:tc>
          <w:tcPr>
            <w:tcW w:w="243" w:type="pct"/>
          </w:tcPr>
          <w:p w:rsidR="00917F7F" w:rsidRPr="00056924" w:rsidRDefault="00917F7F" w:rsidP="00917F7F">
            <w:pPr>
              <w:jc w:val="both"/>
              <w:rPr>
                <w:rFonts w:eastAsiaTheme="minorHAnsi"/>
                <w:sz w:val="20"/>
                <w:lang w:val="en-CA"/>
              </w:rPr>
            </w:pPr>
          </w:p>
        </w:tc>
        <w:tc>
          <w:tcPr>
            <w:tcW w:w="2330" w:type="pct"/>
          </w:tcPr>
          <w:p w:rsidR="00917F7F" w:rsidRPr="00056924" w:rsidRDefault="00917F7F" w:rsidP="00917F7F">
            <w:pPr>
              <w:jc w:val="both"/>
              <w:rPr>
                <w:rFonts w:eastAsiaTheme="minorHAnsi"/>
                <w:sz w:val="20"/>
                <w:lang w:val="en-CA"/>
              </w:rPr>
            </w:pPr>
            <w:r w:rsidRPr="00056924">
              <w:rPr>
                <w:rFonts w:eastAsiaTheme="minorHAnsi"/>
                <w:sz w:val="20"/>
                <w:lang w:val="en-CA"/>
              </w:rPr>
              <w:t>Applications for leave to appeal filed</w:t>
            </w:r>
          </w:p>
          <w:p w:rsidR="00917F7F" w:rsidRPr="00056924" w:rsidRDefault="00917F7F" w:rsidP="00917F7F">
            <w:pPr>
              <w:jc w:val="both"/>
              <w:rPr>
                <w:rFonts w:eastAsiaTheme="minorHAnsi"/>
                <w:sz w:val="20"/>
                <w:lang w:val="en-CA"/>
              </w:rPr>
            </w:pPr>
          </w:p>
        </w:tc>
      </w:tr>
    </w:tbl>
    <w:p w:rsidR="00917F7F" w:rsidRDefault="00917F7F" w:rsidP="00917F7F">
      <w:pPr>
        <w:jc w:val="both"/>
        <w:rPr>
          <w:rFonts w:eastAsiaTheme="minorHAnsi"/>
          <w:sz w:val="20"/>
          <w:lang w:val="en-CA"/>
        </w:rPr>
      </w:pPr>
    </w:p>
    <w:p w:rsidR="00056924" w:rsidRPr="00056924" w:rsidRDefault="00056924" w:rsidP="00917F7F">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17F7F" w:rsidRPr="00056924" w:rsidTr="00202E4C">
        <w:tc>
          <w:tcPr>
            <w:tcW w:w="543" w:type="pct"/>
          </w:tcPr>
          <w:p w:rsidR="00917F7F" w:rsidRPr="00056924" w:rsidRDefault="00917F7F" w:rsidP="00917F7F">
            <w:pPr>
              <w:jc w:val="both"/>
              <w:rPr>
                <w:rFonts w:eastAsiaTheme="minorHAnsi"/>
                <w:sz w:val="20"/>
                <w:lang w:val="fr-CA"/>
              </w:rPr>
            </w:pPr>
            <w:r w:rsidRPr="00056924">
              <w:rPr>
                <w:rFonts w:eastAsiaTheme="minorHAnsi"/>
                <w:b/>
                <w:sz w:val="20"/>
                <w:lang w:val="fr-CA"/>
              </w:rPr>
              <w:t>36278</w:t>
            </w:r>
          </w:p>
        </w:tc>
        <w:tc>
          <w:tcPr>
            <w:tcW w:w="4457" w:type="pct"/>
            <w:gridSpan w:val="3"/>
          </w:tcPr>
          <w:p w:rsidR="00917F7F" w:rsidRPr="00056924" w:rsidRDefault="00917F7F" w:rsidP="00917F7F">
            <w:pPr>
              <w:jc w:val="both"/>
              <w:rPr>
                <w:rFonts w:eastAsiaTheme="minorHAnsi"/>
                <w:b/>
                <w:sz w:val="20"/>
                <w:lang w:val="fr-CA"/>
              </w:rPr>
            </w:pPr>
            <w:r w:rsidRPr="00056924">
              <w:rPr>
                <w:rFonts w:eastAsiaTheme="minorHAnsi"/>
                <w:b/>
                <w:sz w:val="20"/>
                <w:lang w:val="fr-CA"/>
              </w:rPr>
              <w:t xml:space="preserve">Daniel Beaulieu, Claude Berger, Jean-François Bergeron, Alain Biron, Éric Bouffard, Clermont Carrier, Christian Daneault, Lionel Deschamps, Steeve Doucet, Guy Dubé, Jacques Dumais, Yves Gagné, Serge Gauthier, Michel Guertin, François Hinse, Marc-André Hinse, Marc-André </w:t>
            </w:r>
            <w:r w:rsidRPr="00056924">
              <w:rPr>
                <w:rFonts w:eastAsiaTheme="minorHAnsi"/>
                <w:b/>
                <w:sz w:val="20"/>
                <w:lang w:val="fr-CA"/>
              </w:rPr>
              <w:lastRenderedPageBreak/>
              <w:t>Hotte, Bertrand Joyal, Norman Labelle, Frédéric Landry-Hétu, Michel Langlois, Claude Lavigne, Serge Lebrasseur, Marc Loiseau, Paul Magnan, Dean Moore, Claude Pépin, Jean-Damien Perron, Bernard Plourde, Stéphane Poitras, Steve Rainville, Jean-Paul Ramsay, Gilles Robidoux, Daniel Ryer et Louis Ruel c. Sa Majesté la Reine</w:t>
            </w:r>
          </w:p>
          <w:p w:rsidR="00917F7F" w:rsidRPr="00056924" w:rsidRDefault="00917F7F" w:rsidP="00917F7F">
            <w:pPr>
              <w:jc w:val="both"/>
              <w:rPr>
                <w:rFonts w:eastAsiaTheme="minorHAnsi"/>
                <w:sz w:val="20"/>
                <w:lang w:val="fr-CA"/>
              </w:rPr>
            </w:pPr>
          </w:p>
          <w:p w:rsidR="00917F7F" w:rsidRPr="00056924" w:rsidRDefault="00917F7F" w:rsidP="00917F7F">
            <w:pPr>
              <w:jc w:val="both"/>
              <w:rPr>
                <w:rFonts w:eastAsiaTheme="minorHAnsi"/>
                <w:b/>
                <w:sz w:val="20"/>
                <w:lang w:val="fr-CA"/>
              </w:rPr>
            </w:pPr>
            <w:r w:rsidRPr="00056924">
              <w:rPr>
                <w:rFonts w:eastAsiaTheme="minorHAnsi"/>
                <w:b/>
                <w:sz w:val="20"/>
                <w:lang w:val="fr-CA"/>
              </w:rPr>
              <w:t>- et entre -</w:t>
            </w:r>
          </w:p>
          <w:p w:rsidR="00917F7F" w:rsidRPr="00056924" w:rsidRDefault="00917F7F" w:rsidP="00917F7F">
            <w:pPr>
              <w:jc w:val="both"/>
              <w:rPr>
                <w:rFonts w:eastAsiaTheme="minorHAnsi"/>
                <w:b/>
                <w:sz w:val="20"/>
                <w:lang w:val="fr-CA"/>
              </w:rPr>
            </w:pPr>
          </w:p>
          <w:p w:rsidR="00917F7F" w:rsidRPr="00056924" w:rsidRDefault="00917F7F" w:rsidP="00917F7F">
            <w:pPr>
              <w:jc w:val="both"/>
              <w:rPr>
                <w:rFonts w:eastAsiaTheme="minorHAnsi"/>
                <w:b/>
                <w:sz w:val="20"/>
                <w:lang w:val="fr-CA"/>
              </w:rPr>
            </w:pPr>
            <w:r w:rsidRPr="00056924">
              <w:rPr>
                <w:rFonts w:eastAsiaTheme="minorHAnsi"/>
                <w:b/>
                <w:sz w:val="20"/>
                <w:lang w:val="fr-CA"/>
              </w:rPr>
              <w:t>Martin Robert, Gaétan Proulx, Marcel Messier c. Sa Majesté la Reine</w:t>
            </w:r>
          </w:p>
          <w:p w:rsidR="00917F7F" w:rsidRPr="00056924" w:rsidRDefault="00917F7F" w:rsidP="00917F7F">
            <w:pPr>
              <w:jc w:val="both"/>
              <w:rPr>
                <w:rFonts w:eastAsiaTheme="minorHAnsi"/>
                <w:sz w:val="20"/>
                <w:lang w:val="fr-CA"/>
              </w:rPr>
            </w:pPr>
            <w:r w:rsidRPr="00056924">
              <w:rPr>
                <w:rFonts w:eastAsiaTheme="minorHAnsi"/>
                <w:sz w:val="20"/>
                <w:lang w:val="fr-CA"/>
              </w:rPr>
              <w:t>(Qc) (Criminelle) (Autorisation)</w:t>
            </w:r>
          </w:p>
        </w:tc>
      </w:tr>
      <w:tr w:rsidR="00917F7F" w:rsidRPr="00A02AC3" w:rsidTr="00202E4C">
        <w:tc>
          <w:tcPr>
            <w:tcW w:w="5000" w:type="pct"/>
            <w:gridSpan w:val="4"/>
          </w:tcPr>
          <w:p w:rsidR="00917F7F" w:rsidRPr="00056924" w:rsidRDefault="00917F7F" w:rsidP="00917F7F">
            <w:pPr>
              <w:jc w:val="both"/>
              <w:rPr>
                <w:rFonts w:eastAsiaTheme="minorHAnsi"/>
                <w:smallCaps/>
                <w:sz w:val="20"/>
                <w:lang w:val="fr-CA"/>
              </w:rPr>
            </w:pPr>
            <w:r w:rsidRPr="00056924">
              <w:rPr>
                <w:rFonts w:eastAsiaTheme="minorHAnsi"/>
                <w:smallCaps/>
                <w:sz w:val="20"/>
                <w:lang w:val="fr-CA"/>
              </w:rPr>
              <w:lastRenderedPageBreak/>
              <w:t>(Ordonnance de non-publication dans le dossier)</w:t>
            </w:r>
          </w:p>
          <w:p w:rsidR="00917F7F" w:rsidRPr="00056924" w:rsidRDefault="00917F7F" w:rsidP="00917F7F">
            <w:pPr>
              <w:jc w:val="both"/>
              <w:rPr>
                <w:rFonts w:eastAsiaTheme="minorHAnsi"/>
                <w:sz w:val="20"/>
                <w:lang w:val="fr-CA"/>
              </w:rPr>
            </w:pPr>
          </w:p>
          <w:p w:rsidR="00917F7F" w:rsidRPr="00056924" w:rsidRDefault="00917F7F" w:rsidP="00917F7F">
            <w:pPr>
              <w:jc w:val="both"/>
              <w:rPr>
                <w:rFonts w:eastAsiaTheme="minorHAnsi"/>
                <w:sz w:val="20"/>
                <w:lang w:val="fr-CA"/>
              </w:rPr>
            </w:pPr>
            <w:r w:rsidRPr="00056924">
              <w:rPr>
                <w:rFonts w:eastAsiaTheme="minorHAnsi"/>
                <w:sz w:val="20"/>
                <w:lang w:val="fr-CA"/>
              </w:rPr>
              <w:t xml:space="preserve">Droit criminel — Droit d’appel du procureur général en vertu de l’article 676 du </w:t>
            </w:r>
            <w:r w:rsidRPr="00056924">
              <w:rPr>
                <w:rFonts w:eastAsiaTheme="minorHAnsi"/>
                <w:i/>
                <w:sz w:val="20"/>
                <w:lang w:val="fr-CA"/>
              </w:rPr>
              <w:t>Code criminel</w:t>
            </w:r>
            <w:r w:rsidRPr="00056924">
              <w:rPr>
                <w:rFonts w:eastAsiaTheme="minorHAnsi"/>
                <w:sz w:val="20"/>
                <w:lang w:val="fr-CA"/>
              </w:rPr>
              <w:t xml:space="preserve"> — Cour d’appel a-t-elle erré en rejetant requête visant rejet d’appel logé par procureur général — </w:t>
            </w:r>
            <w:r w:rsidRPr="00056924">
              <w:rPr>
                <w:rFonts w:eastAsiaTheme="minorHAnsi"/>
                <w:i/>
                <w:sz w:val="20"/>
                <w:lang w:val="fr-CA"/>
              </w:rPr>
              <w:t>Code criminel</w:t>
            </w:r>
            <w:r w:rsidRPr="00056924">
              <w:rPr>
                <w:rFonts w:eastAsiaTheme="minorHAnsi"/>
                <w:sz w:val="20"/>
                <w:lang w:val="fr-CA"/>
              </w:rPr>
              <w:t>, art. 676(1)c).</w:t>
            </w:r>
          </w:p>
        </w:tc>
      </w:tr>
      <w:tr w:rsidR="00917F7F" w:rsidRPr="00A02AC3" w:rsidTr="00202E4C">
        <w:tc>
          <w:tcPr>
            <w:tcW w:w="5000" w:type="pct"/>
            <w:gridSpan w:val="4"/>
          </w:tcPr>
          <w:p w:rsidR="00917F7F" w:rsidRPr="00056924" w:rsidRDefault="00917F7F" w:rsidP="00917F7F">
            <w:pPr>
              <w:jc w:val="both"/>
              <w:rPr>
                <w:rFonts w:eastAsiaTheme="minorHAnsi"/>
                <w:sz w:val="20"/>
                <w:lang w:val="fr-CA"/>
              </w:rPr>
            </w:pPr>
          </w:p>
        </w:tc>
      </w:tr>
      <w:tr w:rsidR="00917F7F" w:rsidRPr="00A02AC3" w:rsidTr="00202E4C">
        <w:tc>
          <w:tcPr>
            <w:tcW w:w="5000" w:type="pct"/>
            <w:gridSpan w:val="4"/>
          </w:tcPr>
          <w:p w:rsidR="00917F7F" w:rsidRPr="00056924" w:rsidRDefault="00917F7F" w:rsidP="00917F7F">
            <w:pPr>
              <w:jc w:val="both"/>
              <w:rPr>
                <w:rFonts w:eastAsiaTheme="minorHAnsi"/>
                <w:sz w:val="20"/>
                <w:lang w:val="fr-CA"/>
              </w:rPr>
            </w:pPr>
            <w:r w:rsidRPr="00056924">
              <w:rPr>
                <w:rFonts w:eastAsiaTheme="minorHAnsi"/>
                <w:sz w:val="20"/>
                <w:lang w:val="fr-CA"/>
              </w:rPr>
              <w:t xml:space="preserve">Dans le cadre d’un procès en matière criminelle, un juge a prononcé l’arrêt des procédures à l’égard de certains chefs d’accusation, permettant toutefois à un procès relativement à d’autres chefs d’accusation d'aller de l’avant.  Le procureur général interjeta appel et les accusés déposèrent des requêtes en rejet d’appel. </w:t>
            </w:r>
          </w:p>
          <w:p w:rsidR="00917F7F" w:rsidRPr="00056924" w:rsidRDefault="00917F7F" w:rsidP="00917F7F">
            <w:pPr>
              <w:jc w:val="both"/>
              <w:rPr>
                <w:rFonts w:eastAsiaTheme="minorHAnsi"/>
                <w:sz w:val="20"/>
                <w:lang w:val="fr-CA"/>
              </w:rPr>
            </w:pPr>
          </w:p>
        </w:tc>
      </w:tr>
      <w:tr w:rsidR="00917F7F" w:rsidRPr="00A02AC3"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Le 11 septembre 2014</w:t>
            </w:r>
          </w:p>
          <w:p w:rsidR="00917F7F" w:rsidRPr="00056924" w:rsidRDefault="00917F7F" w:rsidP="00917F7F">
            <w:pPr>
              <w:jc w:val="both"/>
              <w:rPr>
                <w:rFonts w:eastAsiaTheme="minorHAnsi"/>
                <w:sz w:val="20"/>
                <w:lang w:val="fr-CA"/>
              </w:rPr>
            </w:pPr>
            <w:r w:rsidRPr="00056924">
              <w:rPr>
                <w:rFonts w:eastAsiaTheme="minorHAnsi"/>
                <w:sz w:val="20"/>
                <w:lang w:val="fr-CA"/>
              </w:rPr>
              <w:t>Cour supérieure du Québec</w:t>
            </w:r>
          </w:p>
          <w:p w:rsidR="00917F7F" w:rsidRPr="00056924" w:rsidRDefault="00917F7F" w:rsidP="00917F7F">
            <w:pPr>
              <w:jc w:val="both"/>
              <w:rPr>
                <w:rFonts w:eastAsiaTheme="minorHAnsi"/>
                <w:sz w:val="20"/>
                <w:lang w:val="fr-CA"/>
              </w:rPr>
            </w:pPr>
            <w:r w:rsidRPr="00056924">
              <w:rPr>
                <w:rFonts w:eastAsiaTheme="minorHAnsi"/>
                <w:sz w:val="20"/>
                <w:lang w:val="fr-CA"/>
              </w:rPr>
              <w:t>(Le juge Brunton)</w:t>
            </w:r>
          </w:p>
          <w:p w:rsidR="00917F7F" w:rsidRPr="00056924" w:rsidRDefault="00917F7F" w:rsidP="00917F7F">
            <w:pPr>
              <w:jc w:val="both"/>
              <w:rPr>
                <w:rFonts w:eastAsiaTheme="minorHAnsi"/>
                <w:sz w:val="20"/>
                <w:lang w:val="fr-CA"/>
              </w:rPr>
            </w:pPr>
          </w:p>
        </w:tc>
        <w:tc>
          <w:tcPr>
            <w:tcW w:w="243" w:type="pct"/>
          </w:tcPr>
          <w:p w:rsidR="00917F7F" w:rsidRPr="00056924" w:rsidRDefault="00917F7F" w:rsidP="00917F7F">
            <w:pPr>
              <w:jc w:val="both"/>
              <w:rPr>
                <w:rFonts w:eastAsiaTheme="minorHAnsi"/>
                <w:sz w:val="20"/>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Requête en arrêt des procédures, accordée en partie</w:t>
            </w:r>
          </w:p>
          <w:p w:rsidR="00917F7F" w:rsidRPr="00056924" w:rsidRDefault="00917F7F" w:rsidP="00917F7F">
            <w:pPr>
              <w:jc w:val="both"/>
              <w:rPr>
                <w:rFonts w:eastAsiaTheme="minorHAnsi"/>
                <w:sz w:val="20"/>
                <w:lang w:val="fr-CA"/>
              </w:rPr>
            </w:pPr>
          </w:p>
        </w:tc>
      </w:tr>
      <w:tr w:rsidR="00917F7F" w:rsidRPr="00056924"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Le 8 décembre 2014</w:t>
            </w:r>
          </w:p>
          <w:p w:rsidR="00917F7F" w:rsidRPr="00056924" w:rsidRDefault="00917F7F" w:rsidP="00917F7F">
            <w:pPr>
              <w:jc w:val="both"/>
              <w:rPr>
                <w:rFonts w:eastAsiaTheme="minorHAnsi"/>
                <w:sz w:val="20"/>
                <w:lang w:val="fr-CA"/>
              </w:rPr>
            </w:pPr>
            <w:r w:rsidRPr="00056924">
              <w:rPr>
                <w:rFonts w:eastAsiaTheme="minorHAnsi"/>
                <w:sz w:val="20"/>
                <w:lang w:val="fr-CA"/>
              </w:rPr>
              <w:t>Cour d’appel du Québec (Montréal)</w:t>
            </w:r>
          </w:p>
          <w:p w:rsidR="00917F7F" w:rsidRPr="00056924" w:rsidRDefault="00917F7F" w:rsidP="00917F7F">
            <w:pPr>
              <w:jc w:val="both"/>
              <w:rPr>
                <w:rFonts w:eastAsiaTheme="minorHAnsi"/>
                <w:sz w:val="20"/>
                <w:lang w:val="fr-CA"/>
              </w:rPr>
            </w:pPr>
            <w:r w:rsidRPr="00056924">
              <w:rPr>
                <w:rFonts w:eastAsiaTheme="minorHAnsi"/>
                <w:sz w:val="20"/>
                <w:lang w:val="fr-CA"/>
              </w:rPr>
              <w:t>(Les juges Chamberland, Doyon et Marcotte)</w:t>
            </w:r>
          </w:p>
          <w:p w:rsidR="00917F7F" w:rsidRPr="00056924" w:rsidRDefault="00260D92" w:rsidP="00917F7F">
            <w:pPr>
              <w:jc w:val="both"/>
              <w:rPr>
                <w:rFonts w:eastAsiaTheme="minorHAnsi"/>
                <w:sz w:val="20"/>
                <w:lang w:val="fr-CA"/>
              </w:rPr>
            </w:pPr>
            <w:hyperlink r:id="rId38" w:history="1">
              <w:r w:rsidR="00917F7F" w:rsidRPr="00056924">
                <w:rPr>
                  <w:rFonts w:eastAsiaTheme="minorHAnsi"/>
                  <w:color w:val="0000FF" w:themeColor="hyperlink"/>
                  <w:sz w:val="20"/>
                  <w:u w:val="single"/>
                  <w:lang w:val="fr-CA"/>
                </w:rPr>
                <w:t>2014 QCCA 2311</w:t>
              </w:r>
            </w:hyperlink>
          </w:p>
          <w:p w:rsidR="00917F7F" w:rsidRPr="00056924" w:rsidRDefault="00917F7F" w:rsidP="00917F7F">
            <w:pPr>
              <w:jc w:val="both"/>
              <w:rPr>
                <w:rFonts w:eastAsiaTheme="minorHAnsi"/>
                <w:sz w:val="20"/>
              </w:rPr>
            </w:pPr>
          </w:p>
        </w:tc>
        <w:tc>
          <w:tcPr>
            <w:tcW w:w="243" w:type="pct"/>
          </w:tcPr>
          <w:p w:rsidR="00917F7F" w:rsidRPr="00056924" w:rsidRDefault="00917F7F" w:rsidP="00917F7F">
            <w:pPr>
              <w:jc w:val="both"/>
              <w:rPr>
                <w:rFonts w:eastAsiaTheme="minorHAnsi"/>
                <w:sz w:val="20"/>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Requêtes en rejet d’appel, rejetées</w:t>
            </w:r>
          </w:p>
          <w:p w:rsidR="00917F7F" w:rsidRPr="00056924" w:rsidRDefault="00917F7F" w:rsidP="00917F7F">
            <w:pPr>
              <w:jc w:val="both"/>
              <w:rPr>
                <w:rFonts w:eastAsiaTheme="minorHAnsi"/>
                <w:sz w:val="20"/>
                <w:lang w:val="fr-CA"/>
              </w:rPr>
            </w:pPr>
          </w:p>
        </w:tc>
      </w:tr>
      <w:tr w:rsidR="00917F7F" w:rsidRPr="00056924" w:rsidTr="00202E4C">
        <w:tc>
          <w:tcPr>
            <w:tcW w:w="2427" w:type="pct"/>
            <w:gridSpan w:val="2"/>
          </w:tcPr>
          <w:p w:rsidR="00917F7F" w:rsidRPr="00056924" w:rsidRDefault="00917F7F" w:rsidP="00917F7F">
            <w:pPr>
              <w:jc w:val="both"/>
              <w:rPr>
                <w:rFonts w:eastAsiaTheme="minorHAnsi"/>
                <w:sz w:val="20"/>
                <w:lang w:val="fr-CA"/>
              </w:rPr>
            </w:pPr>
            <w:r w:rsidRPr="00056924">
              <w:rPr>
                <w:rFonts w:eastAsiaTheme="minorHAnsi"/>
                <w:sz w:val="20"/>
                <w:lang w:val="fr-CA"/>
              </w:rPr>
              <w:t>Le 26 janvier 2015</w:t>
            </w:r>
          </w:p>
          <w:p w:rsidR="00917F7F" w:rsidRPr="00056924" w:rsidRDefault="00917F7F" w:rsidP="00917F7F">
            <w:pPr>
              <w:jc w:val="both"/>
              <w:rPr>
                <w:rFonts w:eastAsiaTheme="minorHAnsi"/>
                <w:sz w:val="20"/>
                <w:lang w:val="fr-CA"/>
              </w:rPr>
            </w:pPr>
            <w:r w:rsidRPr="00056924">
              <w:rPr>
                <w:rFonts w:eastAsiaTheme="minorHAnsi"/>
                <w:sz w:val="20"/>
                <w:lang w:val="fr-CA"/>
              </w:rPr>
              <w:t>Cour suprême du Canada</w:t>
            </w:r>
          </w:p>
        </w:tc>
        <w:tc>
          <w:tcPr>
            <w:tcW w:w="243" w:type="pct"/>
          </w:tcPr>
          <w:p w:rsidR="00917F7F" w:rsidRPr="00056924" w:rsidRDefault="00917F7F" w:rsidP="00917F7F">
            <w:pPr>
              <w:jc w:val="both"/>
              <w:rPr>
                <w:rFonts w:eastAsiaTheme="minorHAnsi"/>
                <w:sz w:val="20"/>
                <w:lang w:val="fr-CA"/>
              </w:rPr>
            </w:pPr>
          </w:p>
        </w:tc>
        <w:tc>
          <w:tcPr>
            <w:tcW w:w="2330" w:type="pct"/>
          </w:tcPr>
          <w:p w:rsidR="00917F7F" w:rsidRPr="00056924" w:rsidRDefault="00917F7F" w:rsidP="00917F7F">
            <w:pPr>
              <w:jc w:val="both"/>
              <w:rPr>
                <w:rFonts w:eastAsiaTheme="minorHAnsi"/>
                <w:sz w:val="20"/>
                <w:lang w:val="fr-CA"/>
              </w:rPr>
            </w:pPr>
            <w:r w:rsidRPr="00056924">
              <w:rPr>
                <w:rFonts w:eastAsiaTheme="minorHAnsi"/>
                <w:sz w:val="20"/>
                <w:lang w:val="fr-CA"/>
              </w:rPr>
              <w:t>Demandes d'autorisation d'appel déposées</w:t>
            </w:r>
          </w:p>
          <w:p w:rsidR="00917F7F" w:rsidRPr="00056924" w:rsidRDefault="00917F7F" w:rsidP="00917F7F">
            <w:pPr>
              <w:jc w:val="both"/>
              <w:rPr>
                <w:rFonts w:eastAsiaTheme="minorHAnsi"/>
                <w:sz w:val="20"/>
                <w:lang w:val="fr-CA"/>
              </w:rPr>
            </w:pPr>
          </w:p>
        </w:tc>
      </w:tr>
    </w:tbl>
    <w:p w:rsidR="00917F7F" w:rsidRDefault="00917F7F" w:rsidP="00917F7F">
      <w:pPr>
        <w:jc w:val="both"/>
        <w:rPr>
          <w:rFonts w:eastAsiaTheme="minorHAnsi"/>
          <w:sz w:val="20"/>
          <w:lang w:val="fr-CA"/>
        </w:rPr>
      </w:pPr>
    </w:p>
    <w:p w:rsidR="00056924" w:rsidRPr="00056924" w:rsidRDefault="00056924" w:rsidP="00917F7F">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202E4C" w:rsidRPr="00056924" w:rsidTr="006C1A56">
        <w:tc>
          <w:tcPr>
            <w:tcW w:w="542" w:type="pct"/>
          </w:tcPr>
          <w:p w:rsidR="00202E4C" w:rsidRPr="00056924" w:rsidRDefault="00202E4C" w:rsidP="00202E4C">
            <w:pPr>
              <w:jc w:val="both"/>
              <w:rPr>
                <w:rFonts w:eastAsiaTheme="minorHAnsi"/>
                <w:sz w:val="20"/>
                <w:lang w:val="en-CA"/>
              </w:rPr>
            </w:pPr>
            <w:r w:rsidRPr="00056924">
              <w:rPr>
                <w:rFonts w:eastAsiaTheme="minorHAnsi"/>
                <w:b/>
                <w:sz w:val="20"/>
                <w:lang w:val="en-CA"/>
              </w:rPr>
              <w:t>36370</w:t>
            </w:r>
          </w:p>
        </w:tc>
        <w:tc>
          <w:tcPr>
            <w:tcW w:w="4458" w:type="pct"/>
            <w:gridSpan w:val="3"/>
          </w:tcPr>
          <w:p w:rsidR="00202E4C" w:rsidRPr="00056924" w:rsidRDefault="00202E4C" w:rsidP="00202E4C">
            <w:pPr>
              <w:jc w:val="both"/>
              <w:rPr>
                <w:rFonts w:eastAsiaTheme="minorHAnsi"/>
                <w:b/>
                <w:sz w:val="20"/>
                <w:lang w:val="en-CA"/>
              </w:rPr>
            </w:pPr>
            <w:r w:rsidRPr="00056924">
              <w:rPr>
                <w:rFonts w:eastAsiaTheme="minorHAnsi"/>
                <w:b/>
                <w:sz w:val="20"/>
                <w:lang w:val="en-CA"/>
              </w:rPr>
              <w:t>Frederick Bernard Anthony Prosser v. Her Majesty the Queen</w:t>
            </w:r>
          </w:p>
          <w:p w:rsidR="00202E4C" w:rsidRPr="00056924" w:rsidRDefault="00202E4C" w:rsidP="00202E4C">
            <w:pPr>
              <w:jc w:val="both"/>
              <w:rPr>
                <w:rFonts w:eastAsiaTheme="minorHAnsi"/>
                <w:sz w:val="20"/>
                <w:lang w:val="en-CA"/>
              </w:rPr>
            </w:pPr>
            <w:r w:rsidRPr="00056924">
              <w:rPr>
                <w:rFonts w:eastAsiaTheme="minorHAnsi"/>
                <w:sz w:val="20"/>
                <w:lang w:val="en-CA"/>
              </w:rPr>
              <w:t>(N.B.) (Criminal) (By Leave)</w:t>
            </w:r>
          </w:p>
        </w:tc>
      </w:tr>
      <w:tr w:rsidR="00202E4C" w:rsidRPr="00056924" w:rsidTr="006C1A56">
        <w:tc>
          <w:tcPr>
            <w:tcW w:w="5000" w:type="pct"/>
            <w:gridSpan w:val="4"/>
          </w:tcPr>
          <w:p w:rsidR="00202E4C" w:rsidRPr="00056924" w:rsidRDefault="00202E4C" w:rsidP="00202E4C">
            <w:pPr>
              <w:jc w:val="both"/>
              <w:rPr>
                <w:rFonts w:eastAsiaTheme="minorHAnsi"/>
                <w:smallCaps/>
                <w:sz w:val="20"/>
                <w:lang w:val="en-CA"/>
              </w:rPr>
            </w:pPr>
            <w:r w:rsidRPr="00056924">
              <w:rPr>
                <w:rFonts w:eastAsiaTheme="minorHAnsi"/>
                <w:smallCaps/>
                <w:sz w:val="20"/>
                <w:lang w:val="en-CA"/>
              </w:rPr>
              <w:t>(Publication ban in case)</w:t>
            </w:r>
          </w:p>
          <w:p w:rsidR="00202E4C" w:rsidRPr="00056924" w:rsidRDefault="00202E4C" w:rsidP="00202E4C">
            <w:pPr>
              <w:jc w:val="both"/>
              <w:rPr>
                <w:rFonts w:eastAsiaTheme="minorHAnsi"/>
                <w:sz w:val="20"/>
                <w:lang w:val="en-CA"/>
              </w:rPr>
            </w:pPr>
          </w:p>
          <w:p w:rsidR="00202E4C" w:rsidRPr="00056924" w:rsidRDefault="00202E4C" w:rsidP="00202E4C">
            <w:pPr>
              <w:jc w:val="both"/>
              <w:rPr>
                <w:rFonts w:eastAsiaTheme="minorHAnsi"/>
                <w:sz w:val="20"/>
                <w:lang w:val="en-CA"/>
              </w:rPr>
            </w:pPr>
            <w:r w:rsidRPr="00056924">
              <w:rPr>
                <w:rFonts w:eastAsiaTheme="minorHAnsi"/>
                <w:sz w:val="20"/>
                <w:lang w:val="en-CA"/>
              </w:rPr>
              <w:t>Criminal Law – Charge to Jury – Evidence – DNA evidence – Whether potential prejudicial effect of probability statistics necessitated an instruction on limitations of DNA evidence – Whether lack of evidentiary foundation for an expert’s DNA opinion necessitated a warning that second-hand information related by the expert was not proof of the facts stated – Appropriate jury charge on weight to accord to DNA evidence when there is a dearth of proof surrounding the evidence – Whether trial judge was obliged to warn jury that data provided to DNA experts by technicians over which they had no supervision and who were not called as witnesses was not proof of underlying facts and that no weight could accordingly be given to the experts’ opinions.</w:t>
            </w:r>
          </w:p>
        </w:tc>
      </w:tr>
      <w:tr w:rsidR="00202E4C" w:rsidRPr="00056924" w:rsidTr="006C1A56">
        <w:tc>
          <w:tcPr>
            <w:tcW w:w="5000" w:type="pct"/>
            <w:gridSpan w:val="4"/>
          </w:tcPr>
          <w:p w:rsidR="00202E4C" w:rsidRPr="00056924" w:rsidRDefault="00202E4C" w:rsidP="00202E4C">
            <w:pPr>
              <w:jc w:val="both"/>
              <w:rPr>
                <w:rFonts w:eastAsiaTheme="minorHAnsi"/>
                <w:sz w:val="20"/>
                <w:lang w:val="en-CA"/>
              </w:rPr>
            </w:pPr>
          </w:p>
        </w:tc>
      </w:tr>
      <w:tr w:rsidR="00202E4C" w:rsidRPr="00056924" w:rsidTr="006C1A56">
        <w:tc>
          <w:tcPr>
            <w:tcW w:w="5000" w:type="pct"/>
            <w:gridSpan w:val="4"/>
          </w:tcPr>
          <w:p w:rsidR="00202E4C" w:rsidRPr="00056924" w:rsidRDefault="00202E4C" w:rsidP="00202E4C">
            <w:pPr>
              <w:jc w:val="both"/>
              <w:rPr>
                <w:rFonts w:eastAsiaTheme="minorHAnsi"/>
                <w:sz w:val="20"/>
                <w:lang w:val="en-CA"/>
              </w:rPr>
            </w:pPr>
            <w:r w:rsidRPr="00056924">
              <w:rPr>
                <w:rFonts w:eastAsiaTheme="minorHAnsi"/>
                <w:sz w:val="20"/>
                <w:lang w:val="en-CA"/>
              </w:rPr>
              <w:t xml:space="preserve">The Crown alleged that Mr. Prosser sexually assaulted and then fatally strangled his girlfriend. DNA experts who testified at trial gave opinion evidence linking the victim and Mr. Prosser. Their testimony was critical to the Crown’s case. Defence counsel argued that the factual underpinnings of the opinions were not adduced in evidence </w:t>
            </w:r>
            <w:r w:rsidRPr="00056924">
              <w:rPr>
                <w:rFonts w:eastAsiaTheme="minorHAnsi"/>
                <w:sz w:val="20"/>
                <w:lang w:val="en-CA"/>
              </w:rPr>
              <w:lastRenderedPageBreak/>
              <w:t>because the experts’ opinions were based on data supplied by laboratory technicians, none of the technicians testified, and the experts had no supervision over the technicians. Defence counsel argued that the jury should be instructed to accord minimal or no weight to the DNA evidence. The trial judge did not give the requested instruction.</w:t>
            </w:r>
          </w:p>
          <w:p w:rsidR="00202E4C" w:rsidRPr="00056924" w:rsidRDefault="00202E4C" w:rsidP="00202E4C">
            <w:pPr>
              <w:jc w:val="both"/>
              <w:rPr>
                <w:rFonts w:eastAsiaTheme="minorHAnsi"/>
                <w:sz w:val="20"/>
                <w:lang w:val="en-CA"/>
              </w:rPr>
            </w:pPr>
          </w:p>
        </w:tc>
      </w:tr>
      <w:tr w:rsidR="00202E4C" w:rsidRPr="00056924" w:rsidTr="006C1A56">
        <w:tblPrEx>
          <w:tblCellMar>
            <w:bottom w:w="0" w:type="dxa"/>
          </w:tblCellMar>
        </w:tblPrEx>
        <w:tc>
          <w:tcPr>
            <w:tcW w:w="2390" w:type="pct"/>
            <w:gridSpan w:val="2"/>
          </w:tcPr>
          <w:p w:rsidR="00202E4C" w:rsidRPr="00056924" w:rsidRDefault="00202E4C" w:rsidP="00202E4C">
            <w:pPr>
              <w:jc w:val="both"/>
              <w:rPr>
                <w:rFonts w:eastAsiaTheme="minorHAnsi"/>
                <w:sz w:val="20"/>
                <w:lang w:val="en-CA"/>
              </w:rPr>
            </w:pPr>
            <w:r w:rsidRPr="00056924">
              <w:rPr>
                <w:rFonts w:eastAsiaTheme="minorHAnsi"/>
                <w:sz w:val="20"/>
                <w:lang w:val="en-CA"/>
              </w:rPr>
              <w:lastRenderedPageBreak/>
              <w:t>December 4, 2012</w:t>
            </w:r>
          </w:p>
          <w:p w:rsidR="00202E4C" w:rsidRPr="00056924" w:rsidRDefault="00202E4C" w:rsidP="00202E4C">
            <w:pPr>
              <w:jc w:val="both"/>
              <w:rPr>
                <w:rFonts w:eastAsiaTheme="minorHAnsi"/>
                <w:sz w:val="20"/>
                <w:lang w:val="en-CA"/>
              </w:rPr>
            </w:pPr>
            <w:r w:rsidRPr="00056924">
              <w:rPr>
                <w:rFonts w:eastAsiaTheme="minorHAnsi"/>
                <w:sz w:val="20"/>
                <w:lang w:val="en-CA"/>
              </w:rPr>
              <w:t>Court of Queen’s Bench of New Brunswick</w:t>
            </w:r>
          </w:p>
          <w:p w:rsidR="00202E4C" w:rsidRDefault="00202E4C" w:rsidP="00202E4C">
            <w:pPr>
              <w:jc w:val="both"/>
              <w:rPr>
                <w:rFonts w:eastAsiaTheme="minorHAnsi"/>
                <w:sz w:val="20"/>
                <w:lang w:val="en-CA"/>
              </w:rPr>
            </w:pPr>
            <w:r w:rsidRPr="00056924">
              <w:rPr>
                <w:rFonts w:eastAsiaTheme="minorHAnsi"/>
                <w:sz w:val="20"/>
                <w:lang w:val="en-CA"/>
              </w:rPr>
              <w:t>(Rideout J.)</w:t>
            </w:r>
          </w:p>
          <w:p w:rsidR="00F73422" w:rsidRPr="00056924" w:rsidRDefault="00F73422" w:rsidP="00202E4C">
            <w:pPr>
              <w:jc w:val="both"/>
              <w:rPr>
                <w:rFonts w:eastAsiaTheme="minorHAnsi"/>
                <w:sz w:val="20"/>
                <w:lang w:val="en-CA"/>
              </w:rPr>
            </w:pPr>
          </w:p>
        </w:tc>
        <w:tc>
          <w:tcPr>
            <w:tcW w:w="270" w:type="pct"/>
          </w:tcPr>
          <w:p w:rsidR="00202E4C" w:rsidRPr="00056924" w:rsidRDefault="00202E4C" w:rsidP="00202E4C">
            <w:pPr>
              <w:jc w:val="both"/>
              <w:rPr>
                <w:rFonts w:eastAsiaTheme="minorHAnsi"/>
                <w:sz w:val="20"/>
                <w:lang w:val="en-CA"/>
              </w:rPr>
            </w:pPr>
          </w:p>
        </w:tc>
        <w:tc>
          <w:tcPr>
            <w:tcW w:w="2340" w:type="pct"/>
          </w:tcPr>
          <w:p w:rsidR="00202E4C" w:rsidRPr="00056924" w:rsidRDefault="00202E4C" w:rsidP="00202E4C">
            <w:pPr>
              <w:jc w:val="both"/>
              <w:rPr>
                <w:rFonts w:eastAsiaTheme="minorHAnsi"/>
                <w:sz w:val="20"/>
                <w:lang w:val="en-CA"/>
              </w:rPr>
            </w:pPr>
            <w:r w:rsidRPr="00056924">
              <w:rPr>
                <w:rFonts w:eastAsiaTheme="minorHAnsi"/>
                <w:sz w:val="20"/>
                <w:lang w:val="en-CA"/>
              </w:rPr>
              <w:t>Conviction by jury of first degree murder, sexual assault causing bodily harm, and sexual assault</w:t>
            </w:r>
          </w:p>
          <w:p w:rsidR="00202E4C" w:rsidRPr="00056924" w:rsidRDefault="00202E4C" w:rsidP="00202E4C">
            <w:pPr>
              <w:jc w:val="both"/>
              <w:rPr>
                <w:rFonts w:eastAsiaTheme="minorHAnsi"/>
                <w:sz w:val="20"/>
                <w:lang w:val="en-CA"/>
              </w:rPr>
            </w:pPr>
          </w:p>
        </w:tc>
      </w:tr>
      <w:tr w:rsidR="00202E4C" w:rsidRPr="00056924" w:rsidTr="006C1A56">
        <w:tblPrEx>
          <w:tblCellMar>
            <w:bottom w:w="0" w:type="dxa"/>
          </w:tblCellMar>
        </w:tblPrEx>
        <w:tc>
          <w:tcPr>
            <w:tcW w:w="2390" w:type="pct"/>
            <w:gridSpan w:val="2"/>
          </w:tcPr>
          <w:p w:rsidR="00202E4C" w:rsidRPr="00056924" w:rsidRDefault="00202E4C" w:rsidP="00202E4C">
            <w:pPr>
              <w:jc w:val="both"/>
              <w:rPr>
                <w:rFonts w:eastAsiaTheme="minorHAnsi"/>
                <w:sz w:val="20"/>
                <w:lang w:val="en-CA"/>
              </w:rPr>
            </w:pPr>
            <w:r w:rsidRPr="00056924">
              <w:rPr>
                <w:rFonts w:eastAsiaTheme="minorHAnsi"/>
                <w:sz w:val="20"/>
                <w:lang w:val="en-CA"/>
              </w:rPr>
              <w:t>January 29, 2015</w:t>
            </w:r>
          </w:p>
          <w:p w:rsidR="00202E4C" w:rsidRPr="00056924" w:rsidRDefault="00202E4C" w:rsidP="00202E4C">
            <w:pPr>
              <w:jc w:val="both"/>
              <w:rPr>
                <w:rFonts w:eastAsiaTheme="minorHAnsi"/>
                <w:sz w:val="20"/>
                <w:lang w:val="en-CA"/>
              </w:rPr>
            </w:pPr>
            <w:r w:rsidRPr="00056924">
              <w:rPr>
                <w:rFonts w:eastAsiaTheme="minorHAnsi"/>
                <w:sz w:val="20"/>
                <w:lang w:val="en-CA"/>
              </w:rPr>
              <w:t>Court of Appeal of New Brunswick</w:t>
            </w:r>
          </w:p>
          <w:p w:rsidR="00202E4C" w:rsidRPr="00056924" w:rsidRDefault="00202E4C" w:rsidP="00202E4C">
            <w:pPr>
              <w:jc w:val="both"/>
              <w:rPr>
                <w:rFonts w:eastAsiaTheme="minorHAnsi"/>
                <w:sz w:val="20"/>
                <w:lang w:val="en-CA"/>
              </w:rPr>
            </w:pPr>
            <w:r w:rsidRPr="00056924">
              <w:rPr>
                <w:rFonts w:eastAsiaTheme="minorHAnsi"/>
                <w:sz w:val="20"/>
                <w:lang w:val="en-CA"/>
              </w:rPr>
              <w:t>(Larlee, Deschênes, Bell JJ.A.)</w:t>
            </w:r>
          </w:p>
          <w:p w:rsidR="00202E4C" w:rsidRPr="00056924" w:rsidRDefault="00202E4C" w:rsidP="00202E4C">
            <w:pPr>
              <w:jc w:val="both"/>
              <w:rPr>
                <w:rFonts w:eastAsiaTheme="minorHAnsi"/>
                <w:sz w:val="20"/>
                <w:lang w:val="en-CA"/>
              </w:rPr>
            </w:pPr>
            <w:r w:rsidRPr="00056924">
              <w:rPr>
                <w:rFonts w:eastAsiaTheme="minorHAnsi"/>
                <w:sz w:val="20"/>
                <w:lang w:val="en-CA"/>
              </w:rPr>
              <w:t xml:space="preserve">161-12-CA; </w:t>
            </w:r>
            <w:hyperlink r:id="rId39" w:history="1">
              <w:r w:rsidRPr="00056924">
                <w:rPr>
                  <w:rFonts w:eastAsiaTheme="minorHAnsi"/>
                  <w:color w:val="0000FF" w:themeColor="hyperlink"/>
                  <w:sz w:val="20"/>
                  <w:u w:val="single"/>
                  <w:lang w:val="en-CA"/>
                </w:rPr>
                <w:t>2015 NBCA 7</w:t>
              </w:r>
            </w:hyperlink>
          </w:p>
          <w:p w:rsidR="00202E4C" w:rsidRPr="00056924" w:rsidRDefault="00202E4C" w:rsidP="00202E4C">
            <w:pPr>
              <w:jc w:val="both"/>
              <w:rPr>
                <w:rFonts w:eastAsiaTheme="minorHAnsi"/>
                <w:sz w:val="20"/>
                <w:lang w:val="en-CA"/>
              </w:rPr>
            </w:pPr>
          </w:p>
        </w:tc>
        <w:tc>
          <w:tcPr>
            <w:tcW w:w="270" w:type="pct"/>
          </w:tcPr>
          <w:p w:rsidR="00202E4C" w:rsidRPr="00056924" w:rsidRDefault="00202E4C" w:rsidP="00202E4C">
            <w:pPr>
              <w:jc w:val="both"/>
              <w:rPr>
                <w:rFonts w:eastAsiaTheme="minorHAnsi"/>
                <w:sz w:val="20"/>
                <w:lang w:val="en-CA"/>
              </w:rPr>
            </w:pPr>
          </w:p>
        </w:tc>
        <w:tc>
          <w:tcPr>
            <w:tcW w:w="2340" w:type="pct"/>
          </w:tcPr>
          <w:p w:rsidR="00202E4C" w:rsidRPr="00056924" w:rsidRDefault="00202E4C" w:rsidP="00202E4C">
            <w:pPr>
              <w:jc w:val="both"/>
              <w:rPr>
                <w:rFonts w:eastAsiaTheme="minorHAnsi"/>
                <w:sz w:val="20"/>
                <w:lang w:val="en-CA"/>
              </w:rPr>
            </w:pPr>
            <w:r w:rsidRPr="00056924">
              <w:rPr>
                <w:rFonts w:eastAsiaTheme="minorHAnsi"/>
                <w:sz w:val="20"/>
                <w:lang w:val="en-CA"/>
              </w:rPr>
              <w:t>Appeal dismissed</w:t>
            </w:r>
          </w:p>
        </w:tc>
      </w:tr>
      <w:tr w:rsidR="00202E4C" w:rsidRPr="00056924" w:rsidTr="006C1A56">
        <w:tblPrEx>
          <w:tblCellMar>
            <w:bottom w:w="0" w:type="dxa"/>
          </w:tblCellMar>
        </w:tblPrEx>
        <w:tc>
          <w:tcPr>
            <w:tcW w:w="2390" w:type="pct"/>
            <w:gridSpan w:val="2"/>
          </w:tcPr>
          <w:p w:rsidR="00202E4C" w:rsidRPr="00056924" w:rsidRDefault="00202E4C" w:rsidP="00202E4C">
            <w:pPr>
              <w:jc w:val="both"/>
              <w:rPr>
                <w:rFonts w:eastAsiaTheme="minorHAnsi"/>
                <w:sz w:val="20"/>
                <w:lang w:val="en-CA"/>
              </w:rPr>
            </w:pPr>
            <w:r w:rsidRPr="00056924">
              <w:rPr>
                <w:rFonts w:eastAsiaTheme="minorHAnsi"/>
                <w:sz w:val="20"/>
                <w:lang w:val="en-CA"/>
              </w:rPr>
              <w:t>March 30, 2015</w:t>
            </w:r>
          </w:p>
          <w:p w:rsidR="00202E4C" w:rsidRPr="00056924" w:rsidRDefault="00202E4C" w:rsidP="00202E4C">
            <w:pPr>
              <w:jc w:val="both"/>
              <w:rPr>
                <w:rFonts w:eastAsiaTheme="minorHAnsi"/>
                <w:sz w:val="20"/>
                <w:lang w:val="en-CA"/>
              </w:rPr>
            </w:pPr>
            <w:r w:rsidRPr="00056924">
              <w:rPr>
                <w:rFonts w:eastAsiaTheme="minorHAnsi"/>
                <w:sz w:val="20"/>
                <w:lang w:val="en-CA"/>
              </w:rPr>
              <w:t>Supreme Court of Canada</w:t>
            </w:r>
          </w:p>
        </w:tc>
        <w:tc>
          <w:tcPr>
            <w:tcW w:w="270" w:type="pct"/>
          </w:tcPr>
          <w:p w:rsidR="00202E4C" w:rsidRPr="00056924" w:rsidRDefault="00202E4C" w:rsidP="00202E4C">
            <w:pPr>
              <w:jc w:val="both"/>
              <w:rPr>
                <w:rFonts w:eastAsiaTheme="minorHAnsi"/>
                <w:sz w:val="20"/>
                <w:lang w:val="en-CA"/>
              </w:rPr>
            </w:pPr>
          </w:p>
        </w:tc>
        <w:tc>
          <w:tcPr>
            <w:tcW w:w="2340" w:type="pct"/>
          </w:tcPr>
          <w:p w:rsidR="00202E4C" w:rsidRPr="00056924" w:rsidRDefault="00202E4C" w:rsidP="00202E4C">
            <w:pPr>
              <w:jc w:val="both"/>
              <w:rPr>
                <w:rFonts w:eastAsiaTheme="minorHAnsi"/>
                <w:sz w:val="20"/>
                <w:lang w:val="en-CA"/>
              </w:rPr>
            </w:pPr>
            <w:r w:rsidRPr="00056924">
              <w:rPr>
                <w:rFonts w:eastAsiaTheme="minorHAnsi"/>
                <w:sz w:val="20"/>
                <w:lang w:val="en-CA"/>
              </w:rPr>
              <w:t>Application for leave to appeal filed</w:t>
            </w:r>
          </w:p>
          <w:p w:rsidR="00202E4C" w:rsidRPr="00056924" w:rsidRDefault="00202E4C" w:rsidP="00202E4C">
            <w:pPr>
              <w:jc w:val="both"/>
              <w:rPr>
                <w:rFonts w:eastAsiaTheme="minorHAnsi"/>
                <w:sz w:val="20"/>
                <w:lang w:val="en-CA"/>
              </w:rPr>
            </w:pPr>
          </w:p>
        </w:tc>
      </w:tr>
    </w:tbl>
    <w:p w:rsidR="00202E4C" w:rsidRDefault="00202E4C" w:rsidP="00202E4C">
      <w:pPr>
        <w:jc w:val="both"/>
        <w:rPr>
          <w:rFonts w:eastAsiaTheme="minorHAnsi"/>
          <w:sz w:val="20"/>
          <w:lang w:val="en-CA"/>
        </w:rPr>
      </w:pPr>
    </w:p>
    <w:p w:rsidR="00056924" w:rsidRPr="00056924" w:rsidRDefault="00056924" w:rsidP="00202E4C">
      <w:pPr>
        <w:jc w:val="both"/>
        <w:rPr>
          <w:rFonts w:eastAsiaTheme="minorHAnsi"/>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202E4C" w:rsidRPr="00A02AC3" w:rsidTr="00202E4C">
        <w:trPr>
          <w:gridAfter w:val="1"/>
          <w:wAfter w:w="48" w:type="pct"/>
        </w:trPr>
        <w:tc>
          <w:tcPr>
            <w:tcW w:w="537" w:type="pct"/>
          </w:tcPr>
          <w:p w:rsidR="00202E4C" w:rsidRPr="00056924" w:rsidRDefault="00202E4C" w:rsidP="00202E4C">
            <w:pPr>
              <w:jc w:val="both"/>
              <w:rPr>
                <w:rFonts w:eastAsiaTheme="minorHAnsi"/>
                <w:sz w:val="20"/>
                <w:lang w:val="fr-CA"/>
              </w:rPr>
            </w:pPr>
            <w:r w:rsidRPr="00056924">
              <w:rPr>
                <w:rFonts w:eastAsiaTheme="minorHAnsi"/>
                <w:b/>
                <w:sz w:val="20"/>
                <w:lang w:val="fr-CA"/>
              </w:rPr>
              <w:t>36370</w:t>
            </w:r>
          </w:p>
        </w:tc>
        <w:tc>
          <w:tcPr>
            <w:tcW w:w="4415" w:type="pct"/>
            <w:gridSpan w:val="3"/>
          </w:tcPr>
          <w:p w:rsidR="00202E4C" w:rsidRPr="00056924" w:rsidRDefault="00202E4C" w:rsidP="00202E4C">
            <w:pPr>
              <w:jc w:val="both"/>
              <w:rPr>
                <w:rFonts w:eastAsiaTheme="minorHAnsi"/>
                <w:b/>
                <w:sz w:val="20"/>
                <w:lang w:val="fr-CA"/>
              </w:rPr>
            </w:pPr>
            <w:r w:rsidRPr="00056924">
              <w:rPr>
                <w:rFonts w:eastAsiaTheme="minorHAnsi"/>
                <w:b/>
                <w:sz w:val="20"/>
                <w:lang w:val="fr-CA"/>
              </w:rPr>
              <w:t>Frederick Bernard Anthony Prosser c. Sa Majesté la Reine</w:t>
            </w:r>
          </w:p>
          <w:p w:rsidR="00202E4C" w:rsidRPr="00056924" w:rsidRDefault="00202E4C" w:rsidP="00202E4C">
            <w:pPr>
              <w:jc w:val="both"/>
              <w:rPr>
                <w:rFonts w:eastAsiaTheme="minorHAnsi"/>
                <w:sz w:val="20"/>
                <w:lang w:val="fr-CA"/>
              </w:rPr>
            </w:pPr>
            <w:r w:rsidRPr="00056924">
              <w:rPr>
                <w:rFonts w:eastAsiaTheme="minorHAnsi"/>
                <w:sz w:val="20"/>
                <w:lang w:val="fr-CA"/>
              </w:rPr>
              <w:t>(N.-B.) (Criminelle) (Sur autorisation)</w:t>
            </w:r>
          </w:p>
        </w:tc>
      </w:tr>
      <w:tr w:rsidR="00202E4C" w:rsidRPr="00A02AC3" w:rsidTr="00202E4C">
        <w:trPr>
          <w:gridAfter w:val="1"/>
          <w:wAfter w:w="48" w:type="pct"/>
        </w:trPr>
        <w:tc>
          <w:tcPr>
            <w:tcW w:w="4952" w:type="pct"/>
            <w:gridSpan w:val="4"/>
          </w:tcPr>
          <w:p w:rsidR="00202E4C" w:rsidRPr="00056924" w:rsidRDefault="00202E4C" w:rsidP="00202E4C">
            <w:pPr>
              <w:jc w:val="both"/>
              <w:rPr>
                <w:rFonts w:eastAsiaTheme="minorHAnsi"/>
                <w:smallCaps/>
                <w:sz w:val="20"/>
                <w:lang w:val="fr-CA"/>
              </w:rPr>
            </w:pPr>
            <w:r w:rsidRPr="00056924">
              <w:rPr>
                <w:rFonts w:eastAsiaTheme="minorHAnsi"/>
                <w:smallCaps/>
                <w:sz w:val="20"/>
                <w:lang w:val="fr-CA"/>
              </w:rPr>
              <w:t>(Ordonnance de non-publication dans le dossier)</w:t>
            </w:r>
          </w:p>
          <w:p w:rsidR="00202E4C" w:rsidRPr="00056924" w:rsidRDefault="00202E4C" w:rsidP="00202E4C">
            <w:pPr>
              <w:jc w:val="both"/>
              <w:rPr>
                <w:rFonts w:eastAsiaTheme="minorHAnsi"/>
                <w:sz w:val="20"/>
                <w:lang w:val="fr-CA"/>
              </w:rPr>
            </w:pPr>
          </w:p>
          <w:p w:rsidR="00202E4C" w:rsidRPr="00056924" w:rsidRDefault="00202E4C" w:rsidP="00202E4C">
            <w:pPr>
              <w:jc w:val="both"/>
              <w:rPr>
                <w:rFonts w:eastAsiaTheme="minorHAnsi"/>
                <w:sz w:val="20"/>
                <w:lang w:val="fr-CA"/>
              </w:rPr>
            </w:pPr>
            <w:r w:rsidRPr="00056924">
              <w:rPr>
                <w:rFonts w:eastAsiaTheme="minorHAnsi"/>
                <w:sz w:val="20"/>
                <w:lang w:val="fr-CA"/>
              </w:rPr>
              <w:t>Droit criminel – Exposé au jury – Preuve – Preuve génétique – En raison de l’effet préjudiciable possible des données sur les probabilités, fallait-il donner des directives sur les limites de la preuve génétique? – En raison de l’absence de fondement probatoire à l’appui de l’opinion d’un témoin expert en génétique, fallait-il servir une mise en garde selon laquelle les renseignements de seconde main rapportés par l’expert ne constituaient pas une preuve des faits allégués? – Directives appropriées au jury quant au poids à attribuer à la preuve génétique lorsqu’on sait très peu de choses sur les circonstances dans lesquelles elle a été obtenue? – Le juge du procès était-il obligé d’avertir le jury que les données fournies aux experts en génétique par des techniciens qu’ils ne supervisaient pas et qui n’ont pas été assignés comme témoins ne constituaient pas une preuve des faits sous-jacents et qu’il ne fallait donc pas attribuer de poids aux opinions de ces experts?</w:t>
            </w:r>
          </w:p>
        </w:tc>
      </w:tr>
      <w:tr w:rsidR="00202E4C" w:rsidRPr="00A02AC3" w:rsidTr="00202E4C">
        <w:trPr>
          <w:gridAfter w:val="1"/>
          <w:wAfter w:w="48" w:type="pct"/>
        </w:trPr>
        <w:tc>
          <w:tcPr>
            <w:tcW w:w="4952" w:type="pct"/>
            <w:gridSpan w:val="4"/>
          </w:tcPr>
          <w:p w:rsidR="00202E4C" w:rsidRPr="00056924" w:rsidRDefault="00202E4C" w:rsidP="00202E4C">
            <w:pPr>
              <w:jc w:val="both"/>
              <w:rPr>
                <w:rFonts w:eastAsiaTheme="minorHAnsi"/>
                <w:sz w:val="20"/>
                <w:lang w:val="fr-CA"/>
              </w:rPr>
            </w:pPr>
          </w:p>
        </w:tc>
      </w:tr>
      <w:tr w:rsidR="00202E4C" w:rsidRPr="00A02AC3" w:rsidTr="00202E4C">
        <w:trPr>
          <w:gridAfter w:val="1"/>
          <w:wAfter w:w="48" w:type="pct"/>
        </w:trPr>
        <w:tc>
          <w:tcPr>
            <w:tcW w:w="4952" w:type="pct"/>
            <w:gridSpan w:val="4"/>
          </w:tcPr>
          <w:p w:rsidR="00202E4C" w:rsidRPr="00056924" w:rsidRDefault="00202E4C" w:rsidP="00202E4C">
            <w:pPr>
              <w:jc w:val="both"/>
              <w:rPr>
                <w:rFonts w:eastAsiaTheme="minorHAnsi"/>
                <w:sz w:val="20"/>
                <w:lang w:val="fr-CA"/>
              </w:rPr>
            </w:pPr>
            <w:r w:rsidRPr="00056924">
              <w:rPr>
                <w:rFonts w:eastAsiaTheme="minorHAnsi"/>
                <w:sz w:val="20"/>
                <w:lang w:val="fr-CA"/>
              </w:rPr>
              <w:t>Le ministère public a allégué que M. Prosser avait agressé sexuellement, puis mortellement étranglé sa petite amie. Les experts en génétique qui ont témoigné au procès ont présenté une preuve sous forme d’opinion qui liait la victime et M. Prosser. Leur témoignage constituait un élément crucial de la preuve du ministère public. L’avocat de la défense a plaidé que le fondement factuel des opinions n’avait pas été produit en preuve, puisque les opinions des experts étaient fondées sur des données fournies par des techniciens de laboratoire, parce qu’aucun de ces techniciens n’avait témoigné et parce que les experts ne supervisaient pas les techniciens. L’avocat de la défense a plaidé qu’il fallait dire au jury que ce dernier ne devait attribuer qu’un poids minime – voire aucun poids – à la preuve génétique. Le juge du procès n’a pas donné la directive demandée.</w:t>
            </w:r>
          </w:p>
          <w:p w:rsidR="00202E4C" w:rsidRPr="00056924" w:rsidRDefault="00202E4C" w:rsidP="00202E4C">
            <w:pPr>
              <w:jc w:val="both"/>
              <w:rPr>
                <w:rFonts w:eastAsiaTheme="minorHAnsi"/>
                <w:sz w:val="20"/>
                <w:lang w:val="fr-CA"/>
              </w:rPr>
            </w:pPr>
          </w:p>
        </w:tc>
      </w:tr>
      <w:tr w:rsidR="00202E4C" w:rsidRPr="00A02AC3" w:rsidTr="00202E4C">
        <w:tblPrEx>
          <w:tblCellMar>
            <w:bottom w:w="0" w:type="dxa"/>
          </w:tblCellMar>
        </w:tblPrEx>
        <w:tc>
          <w:tcPr>
            <w:tcW w:w="2367" w:type="pct"/>
            <w:gridSpan w:val="2"/>
          </w:tcPr>
          <w:p w:rsidR="00202E4C" w:rsidRPr="00056924" w:rsidRDefault="00202E4C" w:rsidP="00202E4C">
            <w:pPr>
              <w:jc w:val="both"/>
              <w:rPr>
                <w:rFonts w:eastAsiaTheme="minorHAnsi"/>
                <w:sz w:val="20"/>
                <w:lang w:val="fr-CA"/>
              </w:rPr>
            </w:pPr>
            <w:r w:rsidRPr="00056924">
              <w:rPr>
                <w:rFonts w:eastAsiaTheme="minorHAnsi"/>
                <w:sz w:val="20"/>
                <w:lang w:val="fr-CA"/>
              </w:rPr>
              <w:t>4 décembre 2012</w:t>
            </w:r>
          </w:p>
          <w:p w:rsidR="00202E4C" w:rsidRPr="00056924" w:rsidRDefault="00202E4C" w:rsidP="00202E4C">
            <w:pPr>
              <w:jc w:val="both"/>
              <w:rPr>
                <w:rFonts w:eastAsiaTheme="minorHAnsi"/>
                <w:sz w:val="20"/>
                <w:lang w:val="fr-CA"/>
              </w:rPr>
            </w:pPr>
            <w:r w:rsidRPr="00056924">
              <w:rPr>
                <w:rFonts w:eastAsiaTheme="minorHAnsi"/>
                <w:sz w:val="20"/>
                <w:lang w:val="fr-CA"/>
              </w:rPr>
              <w:t>Cour du Banc de la Reine du Nouveau- Brunswick</w:t>
            </w:r>
          </w:p>
          <w:p w:rsidR="00202E4C" w:rsidRPr="00056924" w:rsidRDefault="00202E4C" w:rsidP="00202E4C">
            <w:pPr>
              <w:jc w:val="both"/>
              <w:rPr>
                <w:rFonts w:eastAsiaTheme="minorHAnsi"/>
                <w:sz w:val="20"/>
                <w:lang w:val="fr-CA"/>
              </w:rPr>
            </w:pPr>
            <w:r w:rsidRPr="00056924">
              <w:rPr>
                <w:rFonts w:eastAsiaTheme="minorHAnsi"/>
                <w:sz w:val="20"/>
                <w:lang w:val="fr-CA"/>
              </w:rPr>
              <w:t>(Juge Rideout)</w:t>
            </w:r>
          </w:p>
        </w:tc>
        <w:tc>
          <w:tcPr>
            <w:tcW w:w="267" w:type="pct"/>
          </w:tcPr>
          <w:p w:rsidR="00202E4C" w:rsidRPr="00056924" w:rsidRDefault="00202E4C" w:rsidP="00202E4C">
            <w:pPr>
              <w:jc w:val="both"/>
              <w:rPr>
                <w:rFonts w:eastAsiaTheme="minorHAnsi"/>
                <w:sz w:val="20"/>
                <w:lang w:val="fr-CA"/>
              </w:rPr>
            </w:pPr>
          </w:p>
        </w:tc>
        <w:tc>
          <w:tcPr>
            <w:tcW w:w="2366" w:type="pct"/>
            <w:gridSpan w:val="2"/>
          </w:tcPr>
          <w:p w:rsidR="00202E4C" w:rsidRPr="00056924" w:rsidRDefault="00202E4C" w:rsidP="00202E4C">
            <w:pPr>
              <w:jc w:val="both"/>
              <w:rPr>
                <w:rFonts w:eastAsiaTheme="minorHAnsi"/>
                <w:sz w:val="20"/>
                <w:lang w:val="fr-CA"/>
              </w:rPr>
            </w:pPr>
            <w:r w:rsidRPr="00056924">
              <w:rPr>
                <w:rFonts w:eastAsiaTheme="minorHAnsi"/>
                <w:sz w:val="20"/>
                <w:lang w:val="fr-CA"/>
              </w:rPr>
              <w:t>Déclaration de culpabilité par un jury de meurtre au premier degré, d’agression sexuelle causant des lésions corporelles et d’agression sexuelle</w:t>
            </w:r>
          </w:p>
          <w:p w:rsidR="00202E4C" w:rsidRPr="00056924" w:rsidRDefault="00202E4C" w:rsidP="00202E4C">
            <w:pPr>
              <w:jc w:val="both"/>
              <w:rPr>
                <w:rFonts w:eastAsiaTheme="minorHAnsi"/>
                <w:sz w:val="20"/>
                <w:lang w:val="fr-CA"/>
              </w:rPr>
            </w:pPr>
          </w:p>
        </w:tc>
      </w:tr>
      <w:tr w:rsidR="00202E4C" w:rsidRPr="00056924" w:rsidTr="006C1A56">
        <w:tblPrEx>
          <w:tblCellMar>
            <w:bottom w:w="0" w:type="dxa"/>
          </w:tblCellMar>
        </w:tblPrEx>
        <w:trPr>
          <w:gridAfter w:val="1"/>
          <w:wAfter w:w="48" w:type="pct"/>
        </w:trPr>
        <w:tc>
          <w:tcPr>
            <w:tcW w:w="2367" w:type="pct"/>
            <w:gridSpan w:val="2"/>
          </w:tcPr>
          <w:p w:rsidR="00202E4C" w:rsidRPr="00056924" w:rsidRDefault="00202E4C" w:rsidP="00202E4C">
            <w:pPr>
              <w:jc w:val="both"/>
              <w:rPr>
                <w:rFonts w:eastAsiaTheme="minorHAnsi"/>
                <w:sz w:val="20"/>
                <w:lang w:val="fr-CA"/>
              </w:rPr>
            </w:pPr>
            <w:r w:rsidRPr="00056924">
              <w:rPr>
                <w:rFonts w:eastAsiaTheme="minorHAnsi"/>
                <w:sz w:val="20"/>
                <w:lang w:val="fr-CA"/>
              </w:rPr>
              <w:t>29 janvier 2015</w:t>
            </w:r>
          </w:p>
          <w:p w:rsidR="00202E4C" w:rsidRPr="00056924" w:rsidRDefault="00202E4C" w:rsidP="00202E4C">
            <w:pPr>
              <w:jc w:val="both"/>
              <w:rPr>
                <w:rFonts w:eastAsiaTheme="minorHAnsi"/>
                <w:sz w:val="20"/>
                <w:lang w:val="fr-CA"/>
              </w:rPr>
            </w:pPr>
            <w:r w:rsidRPr="00056924">
              <w:rPr>
                <w:rFonts w:eastAsiaTheme="minorHAnsi"/>
                <w:sz w:val="20"/>
                <w:lang w:val="fr-CA"/>
              </w:rPr>
              <w:t>Cour d’appel du Nouveau-Brunswick</w:t>
            </w:r>
          </w:p>
          <w:p w:rsidR="00202E4C" w:rsidRPr="00056924" w:rsidRDefault="00202E4C" w:rsidP="00202E4C">
            <w:pPr>
              <w:jc w:val="both"/>
              <w:rPr>
                <w:rFonts w:eastAsiaTheme="minorHAnsi"/>
                <w:sz w:val="20"/>
                <w:lang w:val="fr-CA"/>
              </w:rPr>
            </w:pPr>
            <w:r w:rsidRPr="00056924">
              <w:rPr>
                <w:rFonts w:eastAsiaTheme="minorHAnsi"/>
                <w:sz w:val="20"/>
                <w:lang w:val="fr-CA"/>
              </w:rPr>
              <w:t>(Juges Larlee, Deschênes et Bell)</w:t>
            </w:r>
          </w:p>
          <w:p w:rsidR="00202E4C" w:rsidRPr="00056924" w:rsidRDefault="00202E4C" w:rsidP="00202E4C">
            <w:pPr>
              <w:jc w:val="both"/>
              <w:rPr>
                <w:rFonts w:eastAsiaTheme="minorHAnsi"/>
                <w:sz w:val="20"/>
                <w:lang w:val="fr-CA"/>
              </w:rPr>
            </w:pPr>
            <w:r w:rsidRPr="00056924">
              <w:rPr>
                <w:rFonts w:eastAsiaTheme="minorHAnsi"/>
                <w:sz w:val="20"/>
                <w:lang w:val="fr-CA"/>
              </w:rPr>
              <w:t xml:space="preserve">161-12-CA; </w:t>
            </w:r>
            <w:hyperlink r:id="rId40" w:history="1">
              <w:r w:rsidRPr="00056924">
                <w:rPr>
                  <w:rFonts w:eastAsiaTheme="minorHAnsi"/>
                  <w:color w:val="0000FF" w:themeColor="hyperlink"/>
                  <w:sz w:val="20"/>
                  <w:u w:val="single"/>
                  <w:lang w:val="fr-CA"/>
                </w:rPr>
                <w:t>2015 NBCA 7</w:t>
              </w:r>
            </w:hyperlink>
          </w:p>
          <w:p w:rsidR="00202E4C" w:rsidRPr="00056924" w:rsidRDefault="00202E4C" w:rsidP="00202E4C">
            <w:pPr>
              <w:jc w:val="both"/>
              <w:rPr>
                <w:rFonts w:eastAsiaTheme="minorHAnsi"/>
                <w:sz w:val="20"/>
                <w:lang w:val="fr-CA"/>
              </w:rPr>
            </w:pPr>
          </w:p>
        </w:tc>
        <w:tc>
          <w:tcPr>
            <w:tcW w:w="267" w:type="pct"/>
          </w:tcPr>
          <w:p w:rsidR="00202E4C" w:rsidRPr="00056924" w:rsidRDefault="00202E4C" w:rsidP="00202E4C">
            <w:pPr>
              <w:jc w:val="both"/>
              <w:rPr>
                <w:rFonts w:eastAsiaTheme="minorHAnsi"/>
                <w:sz w:val="20"/>
                <w:lang w:val="fr-CA"/>
              </w:rPr>
            </w:pPr>
          </w:p>
        </w:tc>
        <w:tc>
          <w:tcPr>
            <w:tcW w:w="2318" w:type="pct"/>
          </w:tcPr>
          <w:p w:rsidR="00202E4C" w:rsidRPr="00056924" w:rsidRDefault="00202E4C" w:rsidP="00202E4C">
            <w:pPr>
              <w:jc w:val="both"/>
              <w:rPr>
                <w:rFonts w:eastAsiaTheme="minorHAnsi"/>
                <w:sz w:val="20"/>
                <w:lang w:val="fr-CA"/>
              </w:rPr>
            </w:pPr>
            <w:r w:rsidRPr="00056924">
              <w:rPr>
                <w:rFonts w:eastAsiaTheme="minorHAnsi"/>
                <w:sz w:val="20"/>
                <w:lang w:val="fr-CA"/>
              </w:rPr>
              <w:t>Rejet de l’appel</w:t>
            </w:r>
          </w:p>
        </w:tc>
      </w:tr>
      <w:tr w:rsidR="00202E4C" w:rsidRPr="00A02AC3" w:rsidTr="00202E4C">
        <w:tblPrEx>
          <w:tblCellMar>
            <w:bottom w:w="0" w:type="dxa"/>
          </w:tblCellMar>
        </w:tblPrEx>
        <w:tc>
          <w:tcPr>
            <w:tcW w:w="2367" w:type="pct"/>
            <w:gridSpan w:val="2"/>
          </w:tcPr>
          <w:p w:rsidR="00202E4C" w:rsidRPr="00056924" w:rsidRDefault="00202E4C" w:rsidP="00202E4C">
            <w:pPr>
              <w:jc w:val="both"/>
              <w:rPr>
                <w:rFonts w:eastAsiaTheme="minorHAnsi"/>
                <w:sz w:val="20"/>
                <w:lang w:val="fr-CA"/>
              </w:rPr>
            </w:pPr>
            <w:r w:rsidRPr="00056924">
              <w:rPr>
                <w:rFonts w:eastAsiaTheme="minorHAnsi"/>
                <w:sz w:val="20"/>
                <w:lang w:val="fr-CA"/>
              </w:rPr>
              <w:lastRenderedPageBreak/>
              <w:t>30 mars 2015</w:t>
            </w:r>
          </w:p>
          <w:p w:rsidR="00202E4C" w:rsidRPr="00056924" w:rsidRDefault="00202E4C" w:rsidP="00202E4C">
            <w:pPr>
              <w:jc w:val="both"/>
              <w:rPr>
                <w:rFonts w:eastAsiaTheme="minorHAnsi"/>
                <w:sz w:val="20"/>
                <w:lang w:val="fr-CA"/>
              </w:rPr>
            </w:pPr>
            <w:r w:rsidRPr="00056924">
              <w:rPr>
                <w:rFonts w:eastAsiaTheme="minorHAnsi"/>
                <w:sz w:val="20"/>
                <w:lang w:val="fr-CA"/>
              </w:rPr>
              <w:t>Cour suprême du Canada</w:t>
            </w:r>
          </w:p>
        </w:tc>
        <w:tc>
          <w:tcPr>
            <w:tcW w:w="267" w:type="pct"/>
          </w:tcPr>
          <w:p w:rsidR="00202E4C" w:rsidRPr="00056924" w:rsidRDefault="00202E4C" w:rsidP="00202E4C">
            <w:pPr>
              <w:jc w:val="both"/>
              <w:rPr>
                <w:rFonts w:eastAsiaTheme="minorHAnsi"/>
                <w:sz w:val="20"/>
                <w:lang w:val="fr-CA"/>
              </w:rPr>
            </w:pPr>
          </w:p>
        </w:tc>
        <w:tc>
          <w:tcPr>
            <w:tcW w:w="2366" w:type="pct"/>
            <w:gridSpan w:val="2"/>
          </w:tcPr>
          <w:p w:rsidR="00202E4C" w:rsidRPr="00056924" w:rsidRDefault="00202E4C" w:rsidP="00202E4C">
            <w:pPr>
              <w:jc w:val="both"/>
              <w:rPr>
                <w:rFonts w:eastAsiaTheme="minorHAnsi"/>
                <w:sz w:val="20"/>
                <w:lang w:val="fr-CA"/>
              </w:rPr>
            </w:pPr>
            <w:r w:rsidRPr="00056924">
              <w:rPr>
                <w:rFonts w:eastAsiaTheme="minorHAnsi"/>
                <w:sz w:val="20"/>
                <w:lang w:val="fr-CA"/>
              </w:rPr>
              <w:t>Dépôt de la demande d’autorisation d’appel</w:t>
            </w:r>
          </w:p>
          <w:p w:rsidR="00202E4C" w:rsidRPr="00056924" w:rsidRDefault="00202E4C" w:rsidP="00202E4C">
            <w:pPr>
              <w:jc w:val="both"/>
              <w:rPr>
                <w:rFonts w:eastAsiaTheme="minorHAnsi"/>
                <w:sz w:val="20"/>
                <w:lang w:val="fr-CA"/>
              </w:rPr>
            </w:pPr>
          </w:p>
        </w:tc>
      </w:tr>
    </w:tbl>
    <w:p w:rsidR="00202E4C" w:rsidRDefault="00202E4C" w:rsidP="00202E4C">
      <w:pPr>
        <w:jc w:val="both"/>
        <w:rPr>
          <w:rFonts w:eastAsiaTheme="minorHAnsi"/>
          <w:sz w:val="20"/>
          <w:lang w:val="fr-CA"/>
        </w:rPr>
      </w:pPr>
    </w:p>
    <w:p w:rsidR="00056924" w:rsidRPr="00056924" w:rsidRDefault="00056924" w:rsidP="00202E4C">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2E4C" w:rsidRPr="00056924" w:rsidTr="00202E4C">
        <w:tc>
          <w:tcPr>
            <w:tcW w:w="543" w:type="pct"/>
          </w:tcPr>
          <w:p w:rsidR="00202E4C" w:rsidRPr="00056924" w:rsidRDefault="00202E4C" w:rsidP="00202E4C">
            <w:pPr>
              <w:jc w:val="both"/>
              <w:rPr>
                <w:rFonts w:eastAsiaTheme="minorHAnsi"/>
                <w:b/>
                <w:sz w:val="20"/>
                <w:lang w:val="en-CA"/>
              </w:rPr>
            </w:pPr>
            <w:r w:rsidRPr="00056924">
              <w:rPr>
                <w:rFonts w:eastAsiaTheme="minorHAnsi"/>
                <w:b/>
                <w:sz w:val="20"/>
                <w:lang w:val="en-CA"/>
              </w:rPr>
              <w:t>36224</w:t>
            </w:r>
          </w:p>
        </w:tc>
        <w:tc>
          <w:tcPr>
            <w:tcW w:w="4457" w:type="pct"/>
            <w:gridSpan w:val="3"/>
          </w:tcPr>
          <w:p w:rsidR="00202E4C" w:rsidRPr="00056924" w:rsidRDefault="00202E4C" w:rsidP="00202E4C">
            <w:pPr>
              <w:jc w:val="both"/>
              <w:rPr>
                <w:rFonts w:eastAsiaTheme="minorHAnsi"/>
                <w:b/>
                <w:sz w:val="20"/>
                <w:lang w:val="en-CA"/>
              </w:rPr>
            </w:pPr>
            <w:r w:rsidRPr="00056924">
              <w:rPr>
                <w:rFonts w:eastAsiaTheme="minorHAnsi"/>
                <w:b/>
                <w:sz w:val="20"/>
                <w:lang w:val="en-CA"/>
              </w:rPr>
              <w:t>InStorage Limited Partnership and InStorage Trustee Corp. v. Matthew Brady Self Storage Corporation</w:t>
            </w:r>
          </w:p>
          <w:p w:rsidR="00202E4C" w:rsidRPr="00056924" w:rsidRDefault="00202E4C" w:rsidP="00202E4C">
            <w:pPr>
              <w:jc w:val="both"/>
              <w:rPr>
                <w:rFonts w:eastAsiaTheme="minorHAnsi"/>
                <w:sz w:val="20"/>
                <w:lang w:val="en-CA"/>
              </w:rPr>
            </w:pPr>
            <w:r w:rsidRPr="00056924">
              <w:rPr>
                <w:rFonts w:eastAsiaTheme="minorHAnsi"/>
                <w:sz w:val="20"/>
                <w:lang w:val="en-CA"/>
              </w:rPr>
              <w:t>(Ont.) (Civil) (By Leave)</w:t>
            </w:r>
          </w:p>
        </w:tc>
      </w:tr>
      <w:tr w:rsidR="00202E4C" w:rsidRPr="00056924" w:rsidTr="00202E4C">
        <w:tc>
          <w:tcPr>
            <w:tcW w:w="5000" w:type="pct"/>
            <w:gridSpan w:val="4"/>
          </w:tcPr>
          <w:p w:rsidR="00202E4C" w:rsidRPr="00056924" w:rsidRDefault="00202E4C" w:rsidP="00202E4C">
            <w:pPr>
              <w:jc w:val="both"/>
              <w:rPr>
                <w:rFonts w:eastAsiaTheme="minorHAnsi"/>
                <w:sz w:val="20"/>
                <w:lang w:val="en-CA"/>
              </w:rPr>
            </w:pPr>
            <w:r w:rsidRPr="00056924">
              <w:rPr>
                <w:rFonts w:eastAsiaTheme="minorHAnsi"/>
                <w:sz w:val="20"/>
                <w:lang w:val="en-CA"/>
              </w:rPr>
              <w:t>Contracts – Non-performance – Vendor seeking specific performance of contract for sale of commercial property – Does a vendor of commercial property have an entitlement to remedy of specific performance? – Does the uniqueness of business transaction outweigh uniqueness of subject real property when awarding specific performance to a vendor? – When must a vendor of commercial property mitigate its damages?</w:t>
            </w:r>
          </w:p>
        </w:tc>
      </w:tr>
      <w:tr w:rsidR="00202E4C" w:rsidRPr="00056924" w:rsidTr="00202E4C">
        <w:tc>
          <w:tcPr>
            <w:tcW w:w="5000" w:type="pct"/>
            <w:gridSpan w:val="4"/>
          </w:tcPr>
          <w:p w:rsidR="00202E4C" w:rsidRPr="00056924" w:rsidRDefault="00202E4C" w:rsidP="00202E4C">
            <w:pPr>
              <w:jc w:val="both"/>
              <w:rPr>
                <w:rFonts w:eastAsiaTheme="minorHAnsi"/>
                <w:sz w:val="20"/>
                <w:lang w:val="en-CA"/>
              </w:rPr>
            </w:pPr>
          </w:p>
        </w:tc>
      </w:tr>
      <w:tr w:rsidR="00202E4C" w:rsidRPr="00056924" w:rsidTr="00202E4C">
        <w:tc>
          <w:tcPr>
            <w:tcW w:w="5000" w:type="pct"/>
            <w:gridSpan w:val="4"/>
          </w:tcPr>
          <w:p w:rsidR="00202E4C" w:rsidRPr="00056924" w:rsidRDefault="00202E4C" w:rsidP="00202E4C">
            <w:pPr>
              <w:jc w:val="both"/>
              <w:rPr>
                <w:rFonts w:eastAsiaTheme="minorHAnsi"/>
                <w:sz w:val="20"/>
                <w:lang w:val="en-CA"/>
              </w:rPr>
            </w:pPr>
            <w:r w:rsidRPr="00056924">
              <w:rPr>
                <w:rFonts w:eastAsiaTheme="minorHAnsi"/>
                <w:sz w:val="20"/>
                <w:lang w:val="en-CA"/>
              </w:rPr>
              <w:t>The corporate parties were in the business of developing and managing self-storage facilities.   In 2007, their principals agreed to jointly purchase a vacant factory in Windsor and convert it into a self-storage facility. The deal was originally structured so that each side would pay 50 percent of the $2 million purchase price for 50 percent of the equity during the period of time it took Matthew Brady Self Storage Corporation (“MBSS”) to complete the retro-fit conversion. The plan was that the applicant (collectively “InStorage”) would ultimately purchase the whole property from MBSS. At the time, however, InStorage had insufficient money for its share of the purchase price. MBSS agreed to pay the entire purchase price and would be the sole owner pending completion of the project. The parties also entered into an Option Agreement on February 18, 2008 that contained two “Put” clauses, allowing MBSS to force InStorage to buy out MBSS’s interest and two “Call” provisions allowing InStorage to force MBSS to sell the property to it. In the event of a Put or a Call, the parties would have 15 days to agree on the purchase price. Failing an agreement, Valco Consulting Inc. (“Valco”) was to be retained to determine the purchase price and “in the absence of manifest error”, Valco’s determination of “Fair Market Value” would bind the parties. On July 21, 2009, more than a year after substantial completion, MBSS exercised the Put option. In the meantime, InStorage was the subject of a hostile take-over by a U.S. based corporation. It refused to complete the purchase. Valco placed the value of the building at $7.3 million. The applicant’s position was that it was worth less than $5 million. MBSS sued for specific performance.</w:t>
            </w:r>
          </w:p>
          <w:p w:rsidR="00202E4C" w:rsidRPr="00056924" w:rsidRDefault="00202E4C" w:rsidP="00202E4C">
            <w:pPr>
              <w:jc w:val="both"/>
              <w:rPr>
                <w:rFonts w:eastAsiaTheme="minorHAnsi"/>
                <w:sz w:val="20"/>
                <w:lang w:val="en-CA"/>
              </w:rPr>
            </w:pPr>
          </w:p>
        </w:tc>
      </w:tr>
      <w:tr w:rsidR="00202E4C" w:rsidRPr="00056924" w:rsidTr="00202E4C">
        <w:tc>
          <w:tcPr>
            <w:tcW w:w="2427" w:type="pct"/>
            <w:gridSpan w:val="2"/>
          </w:tcPr>
          <w:p w:rsidR="00202E4C" w:rsidRPr="00056924" w:rsidRDefault="00202E4C" w:rsidP="00202E4C">
            <w:pPr>
              <w:jc w:val="both"/>
              <w:rPr>
                <w:rFonts w:eastAsiaTheme="minorHAnsi"/>
                <w:sz w:val="20"/>
                <w:lang w:val="en-CA"/>
              </w:rPr>
            </w:pPr>
            <w:r w:rsidRPr="00056924">
              <w:rPr>
                <w:rFonts w:eastAsiaTheme="minorHAnsi"/>
                <w:sz w:val="20"/>
                <w:lang w:val="en-CA"/>
              </w:rPr>
              <w:t>August 30, 2013</w:t>
            </w:r>
          </w:p>
          <w:p w:rsidR="00202E4C" w:rsidRPr="00056924" w:rsidRDefault="00202E4C" w:rsidP="00202E4C">
            <w:pPr>
              <w:jc w:val="both"/>
              <w:rPr>
                <w:rFonts w:eastAsiaTheme="minorHAnsi"/>
                <w:sz w:val="20"/>
                <w:lang w:val="en-CA"/>
              </w:rPr>
            </w:pPr>
            <w:r w:rsidRPr="00056924">
              <w:rPr>
                <w:rFonts w:eastAsiaTheme="minorHAnsi"/>
                <w:sz w:val="20"/>
                <w:lang w:val="en-CA"/>
              </w:rPr>
              <w:t>Ontario Superior Court of Justice</w:t>
            </w:r>
          </w:p>
          <w:p w:rsidR="00202E4C" w:rsidRPr="00056924" w:rsidRDefault="00202E4C" w:rsidP="00202E4C">
            <w:pPr>
              <w:jc w:val="both"/>
              <w:rPr>
                <w:rFonts w:eastAsiaTheme="minorHAnsi"/>
                <w:sz w:val="20"/>
                <w:lang w:val="en-CA"/>
              </w:rPr>
            </w:pPr>
            <w:r w:rsidRPr="00056924">
              <w:rPr>
                <w:rFonts w:eastAsiaTheme="minorHAnsi"/>
                <w:sz w:val="20"/>
                <w:lang w:val="en-CA"/>
              </w:rPr>
              <w:t>(Gates J.)</w:t>
            </w:r>
          </w:p>
          <w:p w:rsidR="00202E4C" w:rsidRPr="00056924" w:rsidRDefault="00260D92" w:rsidP="00202E4C">
            <w:pPr>
              <w:jc w:val="both"/>
              <w:rPr>
                <w:rFonts w:eastAsiaTheme="minorHAnsi"/>
                <w:sz w:val="20"/>
                <w:lang w:val="en-CA"/>
              </w:rPr>
            </w:pPr>
            <w:hyperlink r:id="rId41" w:history="1">
              <w:r w:rsidR="00202E4C" w:rsidRPr="00056924">
                <w:rPr>
                  <w:rFonts w:eastAsiaTheme="minorHAnsi"/>
                  <w:color w:val="0000FF" w:themeColor="hyperlink"/>
                  <w:sz w:val="20"/>
                  <w:u w:val="single"/>
                  <w:lang w:val="en-CA"/>
                </w:rPr>
                <w:t>2013 ONSC 4345</w:t>
              </w:r>
            </w:hyperlink>
          </w:p>
          <w:p w:rsidR="00202E4C" w:rsidRPr="00056924" w:rsidRDefault="00202E4C" w:rsidP="00202E4C">
            <w:pPr>
              <w:jc w:val="both"/>
              <w:rPr>
                <w:rFonts w:eastAsiaTheme="minorHAnsi"/>
                <w:sz w:val="20"/>
                <w:lang w:val="en-CA"/>
              </w:rPr>
            </w:pPr>
          </w:p>
        </w:tc>
        <w:tc>
          <w:tcPr>
            <w:tcW w:w="243" w:type="pct"/>
          </w:tcPr>
          <w:p w:rsidR="00202E4C" w:rsidRPr="00056924" w:rsidRDefault="00202E4C" w:rsidP="00202E4C">
            <w:pPr>
              <w:jc w:val="both"/>
              <w:rPr>
                <w:rFonts w:eastAsiaTheme="minorHAnsi"/>
                <w:sz w:val="20"/>
                <w:lang w:val="en-CA"/>
              </w:rPr>
            </w:pPr>
          </w:p>
        </w:tc>
        <w:tc>
          <w:tcPr>
            <w:tcW w:w="2330" w:type="pct"/>
          </w:tcPr>
          <w:p w:rsidR="00202E4C" w:rsidRPr="00056924" w:rsidRDefault="00202E4C" w:rsidP="00202E4C">
            <w:pPr>
              <w:jc w:val="both"/>
              <w:rPr>
                <w:rFonts w:eastAsiaTheme="minorHAnsi"/>
                <w:sz w:val="20"/>
                <w:lang w:val="en-CA"/>
              </w:rPr>
            </w:pPr>
            <w:r w:rsidRPr="00056924">
              <w:rPr>
                <w:rFonts w:eastAsiaTheme="minorHAnsi"/>
                <w:sz w:val="20"/>
                <w:lang w:val="en-CA"/>
              </w:rPr>
              <w:t>Order for specific performance of commercial contract, damages and costs.</w:t>
            </w:r>
          </w:p>
          <w:p w:rsidR="00202E4C" w:rsidRPr="00056924" w:rsidRDefault="00202E4C" w:rsidP="00202E4C">
            <w:pPr>
              <w:jc w:val="both"/>
              <w:rPr>
                <w:rFonts w:eastAsiaTheme="minorHAnsi"/>
                <w:sz w:val="20"/>
                <w:lang w:val="en-CA"/>
              </w:rPr>
            </w:pPr>
          </w:p>
        </w:tc>
      </w:tr>
      <w:tr w:rsidR="00202E4C" w:rsidRPr="00056924" w:rsidTr="00202E4C">
        <w:tc>
          <w:tcPr>
            <w:tcW w:w="2427" w:type="pct"/>
            <w:gridSpan w:val="2"/>
          </w:tcPr>
          <w:p w:rsidR="00202E4C" w:rsidRPr="00056924" w:rsidRDefault="00202E4C" w:rsidP="00202E4C">
            <w:pPr>
              <w:jc w:val="both"/>
              <w:rPr>
                <w:rFonts w:eastAsiaTheme="minorHAnsi"/>
                <w:sz w:val="20"/>
                <w:lang w:val="en-CA"/>
              </w:rPr>
            </w:pPr>
            <w:r w:rsidRPr="00056924">
              <w:rPr>
                <w:rFonts w:eastAsiaTheme="minorHAnsi"/>
                <w:sz w:val="20"/>
                <w:lang w:val="en-CA"/>
              </w:rPr>
              <w:t>December 3, 2014</w:t>
            </w:r>
          </w:p>
          <w:p w:rsidR="00202E4C" w:rsidRPr="00056924" w:rsidRDefault="00202E4C" w:rsidP="00202E4C">
            <w:pPr>
              <w:jc w:val="both"/>
              <w:rPr>
                <w:rFonts w:eastAsiaTheme="minorHAnsi"/>
                <w:sz w:val="20"/>
                <w:lang w:val="en-CA"/>
              </w:rPr>
            </w:pPr>
            <w:r w:rsidRPr="00056924">
              <w:rPr>
                <w:rFonts w:eastAsiaTheme="minorHAnsi"/>
                <w:sz w:val="20"/>
                <w:lang w:val="en-CA"/>
              </w:rPr>
              <w:t>Court of Appeal for Ontario</w:t>
            </w:r>
          </w:p>
          <w:p w:rsidR="00202E4C" w:rsidRPr="00056924" w:rsidRDefault="00202E4C" w:rsidP="00202E4C">
            <w:pPr>
              <w:jc w:val="both"/>
              <w:rPr>
                <w:rFonts w:eastAsiaTheme="minorHAnsi"/>
                <w:sz w:val="20"/>
                <w:lang w:val="en-CA"/>
              </w:rPr>
            </w:pPr>
            <w:r w:rsidRPr="00056924">
              <w:rPr>
                <w:rFonts w:eastAsiaTheme="minorHAnsi"/>
                <w:sz w:val="20"/>
                <w:lang w:val="en-CA"/>
              </w:rPr>
              <w:t>(Doherty, Blair and Tulloch JJ.A.)</w:t>
            </w:r>
          </w:p>
          <w:p w:rsidR="00202E4C" w:rsidRPr="00056924" w:rsidRDefault="00260D92" w:rsidP="00202E4C">
            <w:pPr>
              <w:jc w:val="both"/>
              <w:rPr>
                <w:rFonts w:eastAsiaTheme="minorHAnsi"/>
                <w:sz w:val="20"/>
                <w:lang w:val="en-CA"/>
              </w:rPr>
            </w:pPr>
            <w:hyperlink r:id="rId42" w:history="1">
              <w:r w:rsidR="00202E4C" w:rsidRPr="00056924">
                <w:rPr>
                  <w:rFonts w:eastAsiaTheme="minorHAnsi"/>
                  <w:color w:val="0000FF" w:themeColor="hyperlink"/>
                  <w:sz w:val="20"/>
                  <w:u w:val="single"/>
                  <w:lang w:val="en-CA"/>
                </w:rPr>
                <w:t>2014 ONCA 858</w:t>
              </w:r>
            </w:hyperlink>
          </w:p>
          <w:p w:rsidR="00202E4C" w:rsidRPr="00056924" w:rsidRDefault="00202E4C" w:rsidP="00202E4C">
            <w:pPr>
              <w:jc w:val="both"/>
              <w:rPr>
                <w:rFonts w:eastAsiaTheme="minorHAnsi"/>
                <w:sz w:val="20"/>
                <w:lang w:val="en-CA"/>
              </w:rPr>
            </w:pPr>
          </w:p>
        </w:tc>
        <w:tc>
          <w:tcPr>
            <w:tcW w:w="243" w:type="pct"/>
          </w:tcPr>
          <w:p w:rsidR="00202E4C" w:rsidRPr="00056924" w:rsidRDefault="00202E4C" w:rsidP="00202E4C">
            <w:pPr>
              <w:jc w:val="both"/>
              <w:rPr>
                <w:rFonts w:eastAsiaTheme="minorHAnsi"/>
                <w:sz w:val="20"/>
                <w:lang w:val="en-CA"/>
              </w:rPr>
            </w:pPr>
          </w:p>
        </w:tc>
        <w:tc>
          <w:tcPr>
            <w:tcW w:w="2330" w:type="pct"/>
          </w:tcPr>
          <w:p w:rsidR="00202E4C" w:rsidRPr="00056924" w:rsidRDefault="00202E4C" w:rsidP="00202E4C">
            <w:pPr>
              <w:jc w:val="both"/>
              <w:rPr>
                <w:rFonts w:eastAsiaTheme="minorHAnsi"/>
                <w:sz w:val="20"/>
                <w:lang w:val="en-CA"/>
              </w:rPr>
            </w:pPr>
            <w:r w:rsidRPr="00056924">
              <w:rPr>
                <w:rFonts w:eastAsiaTheme="minorHAnsi"/>
                <w:sz w:val="20"/>
                <w:lang w:val="en-CA"/>
              </w:rPr>
              <w:t>Applicant’s appeal dismissed</w:t>
            </w:r>
          </w:p>
        </w:tc>
      </w:tr>
      <w:tr w:rsidR="00202E4C" w:rsidRPr="00056924" w:rsidTr="00202E4C">
        <w:tc>
          <w:tcPr>
            <w:tcW w:w="2427" w:type="pct"/>
            <w:gridSpan w:val="2"/>
          </w:tcPr>
          <w:p w:rsidR="00202E4C" w:rsidRPr="00056924" w:rsidRDefault="00202E4C" w:rsidP="00202E4C">
            <w:pPr>
              <w:jc w:val="both"/>
              <w:rPr>
                <w:rFonts w:eastAsiaTheme="minorHAnsi"/>
                <w:sz w:val="20"/>
                <w:lang w:val="en-CA"/>
              </w:rPr>
            </w:pPr>
            <w:r w:rsidRPr="00056924">
              <w:rPr>
                <w:rFonts w:eastAsiaTheme="minorHAnsi"/>
                <w:sz w:val="20"/>
                <w:lang w:val="en-CA"/>
              </w:rPr>
              <w:t>January 30, 2015</w:t>
            </w:r>
          </w:p>
          <w:p w:rsidR="00202E4C" w:rsidRPr="00056924" w:rsidRDefault="00202E4C" w:rsidP="00202E4C">
            <w:pPr>
              <w:jc w:val="both"/>
              <w:rPr>
                <w:rFonts w:eastAsiaTheme="minorHAnsi"/>
                <w:sz w:val="20"/>
                <w:lang w:val="en-CA"/>
              </w:rPr>
            </w:pPr>
            <w:r w:rsidRPr="00056924">
              <w:rPr>
                <w:rFonts w:eastAsiaTheme="minorHAnsi"/>
                <w:sz w:val="20"/>
                <w:lang w:val="en-CA"/>
              </w:rPr>
              <w:t>Supreme Court of Canada</w:t>
            </w:r>
          </w:p>
        </w:tc>
        <w:tc>
          <w:tcPr>
            <w:tcW w:w="243" w:type="pct"/>
          </w:tcPr>
          <w:p w:rsidR="00202E4C" w:rsidRPr="00056924" w:rsidRDefault="00202E4C" w:rsidP="00202E4C">
            <w:pPr>
              <w:jc w:val="both"/>
              <w:rPr>
                <w:rFonts w:eastAsiaTheme="minorHAnsi"/>
                <w:sz w:val="20"/>
                <w:lang w:val="en-CA"/>
              </w:rPr>
            </w:pPr>
          </w:p>
        </w:tc>
        <w:tc>
          <w:tcPr>
            <w:tcW w:w="2330" w:type="pct"/>
          </w:tcPr>
          <w:p w:rsidR="00202E4C" w:rsidRPr="00056924" w:rsidRDefault="00202E4C" w:rsidP="00202E4C">
            <w:pPr>
              <w:jc w:val="both"/>
              <w:rPr>
                <w:rFonts w:eastAsiaTheme="minorHAnsi"/>
                <w:sz w:val="20"/>
                <w:lang w:val="en-CA"/>
              </w:rPr>
            </w:pPr>
            <w:r w:rsidRPr="00056924">
              <w:rPr>
                <w:rFonts w:eastAsiaTheme="minorHAnsi"/>
                <w:sz w:val="20"/>
                <w:lang w:val="en-CA"/>
              </w:rPr>
              <w:t>Application for leave to appeal filed</w:t>
            </w:r>
          </w:p>
          <w:p w:rsidR="00202E4C" w:rsidRPr="00056924" w:rsidRDefault="00202E4C" w:rsidP="00202E4C">
            <w:pPr>
              <w:jc w:val="both"/>
              <w:rPr>
                <w:rFonts w:eastAsiaTheme="minorHAnsi"/>
                <w:sz w:val="20"/>
                <w:lang w:val="en-CA"/>
              </w:rPr>
            </w:pPr>
          </w:p>
        </w:tc>
      </w:tr>
    </w:tbl>
    <w:p w:rsidR="00202E4C" w:rsidRDefault="00202E4C" w:rsidP="00202E4C">
      <w:pPr>
        <w:jc w:val="both"/>
        <w:rPr>
          <w:rFonts w:eastAsiaTheme="minorHAnsi"/>
          <w:sz w:val="20"/>
          <w:lang w:val="en-CA"/>
        </w:rPr>
      </w:pPr>
    </w:p>
    <w:p w:rsidR="00056924" w:rsidRPr="00056924" w:rsidRDefault="00056924" w:rsidP="00202E4C">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2E4C" w:rsidRPr="00056924" w:rsidTr="00202E4C">
        <w:tc>
          <w:tcPr>
            <w:tcW w:w="543" w:type="pct"/>
          </w:tcPr>
          <w:p w:rsidR="00202E4C" w:rsidRPr="00056924" w:rsidRDefault="00202E4C" w:rsidP="00202E4C">
            <w:pPr>
              <w:jc w:val="both"/>
              <w:rPr>
                <w:rFonts w:eastAsiaTheme="minorHAnsi"/>
                <w:b/>
                <w:sz w:val="20"/>
                <w:lang w:val="fr-CA"/>
              </w:rPr>
            </w:pPr>
            <w:r w:rsidRPr="00056924">
              <w:rPr>
                <w:rFonts w:eastAsiaTheme="minorHAnsi"/>
                <w:b/>
                <w:sz w:val="20"/>
                <w:lang w:val="fr-CA"/>
              </w:rPr>
              <w:t>36224</w:t>
            </w:r>
          </w:p>
        </w:tc>
        <w:tc>
          <w:tcPr>
            <w:tcW w:w="4457" w:type="pct"/>
            <w:gridSpan w:val="3"/>
          </w:tcPr>
          <w:p w:rsidR="00202E4C" w:rsidRPr="00056924" w:rsidRDefault="00202E4C" w:rsidP="00202E4C">
            <w:pPr>
              <w:jc w:val="both"/>
              <w:rPr>
                <w:rFonts w:eastAsiaTheme="minorHAnsi"/>
                <w:b/>
                <w:sz w:val="20"/>
              </w:rPr>
            </w:pPr>
            <w:r w:rsidRPr="00056924">
              <w:rPr>
                <w:rFonts w:eastAsiaTheme="minorHAnsi"/>
                <w:b/>
                <w:sz w:val="20"/>
              </w:rPr>
              <w:t>InStorage Limited Partnership et InStorage Trustee Corp. c. Matthew Brady Self Storage Corporation</w:t>
            </w:r>
          </w:p>
          <w:p w:rsidR="00202E4C" w:rsidRPr="00056924" w:rsidRDefault="00202E4C" w:rsidP="00202E4C">
            <w:pPr>
              <w:jc w:val="both"/>
              <w:rPr>
                <w:rFonts w:eastAsiaTheme="minorHAnsi"/>
                <w:sz w:val="20"/>
                <w:lang w:val="fr-CA"/>
              </w:rPr>
            </w:pPr>
            <w:r w:rsidRPr="00056924">
              <w:rPr>
                <w:rFonts w:eastAsiaTheme="minorHAnsi"/>
                <w:sz w:val="20"/>
                <w:lang w:val="fr-CA"/>
              </w:rPr>
              <w:t>(Ont.) (Civile) (Sur autorisation)</w:t>
            </w:r>
          </w:p>
        </w:tc>
      </w:tr>
      <w:tr w:rsidR="00202E4C" w:rsidRPr="00A02AC3" w:rsidTr="00202E4C">
        <w:tc>
          <w:tcPr>
            <w:tcW w:w="5000" w:type="pct"/>
            <w:gridSpan w:val="4"/>
          </w:tcPr>
          <w:p w:rsidR="00202E4C" w:rsidRPr="00056924" w:rsidRDefault="00202E4C" w:rsidP="00202E4C">
            <w:pPr>
              <w:jc w:val="both"/>
              <w:rPr>
                <w:rFonts w:eastAsiaTheme="minorHAnsi"/>
                <w:sz w:val="20"/>
                <w:lang w:val="fr-CA"/>
              </w:rPr>
            </w:pPr>
            <w:r w:rsidRPr="00056924">
              <w:rPr>
                <w:rFonts w:eastAsiaTheme="minorHAnsi"/>
                <w:sz w:val="20"/>
                <w:lang w:val="fr-CA"/>
              </w:rPr>
              <w:t xml:space="preserve">Contrats – Inexécution – La venderesse demande l’exécution intégrale d’un contrat de vente d’immeuble commercial – Le vendeur d’un immeuble commercial a-t-il le droit d’obtenir l’exécution intégrale? – Le caractère </w:t>
            </w:r>
            <w:r w:rsidRPr="00056924">
              <w:rPr>
                <w:rFonts w:eastAsiaTheme="minorHAnsi"/>
                <w:sz w:val="20"/>
                <w:lang w:val="fr-CA"/>
              </w:rPr>
              <w:lastRenderedPageBreak/>
              <w:t>unique d’une opération commerciale l’emporte-t-il sur le caractère unique du bien immeuble en cause quand il s’agit d’ordonner l’exécution intégrale en faveur du vendeur? – Dans quelles situations le vendeur d’un immeuble commercial doit-il mitiger son préjudice?</w:t>
            </w:r>
          </w:p>
        </w:tc>
      </w:tr>
      <w:tr w:rsidR="00202E4C" w:rsidRPr="00A02AC3" w:rsidTr="00202E4C">
        <w:tc>
          <w:tcPr>
            <w:tcW w:w="5000" w:type="pct"/>
            <w:gridSpan w:val="4"/>
          </w:tcPr>
          <w:p w:rsidR="00202E4C" w:rsidRPr="00056924" w:rsidRDefault="00202E4C" w:rsidP="00202E4C">
            <w:pPr>
              <w:jc w:val="both"/>
              <w:rPr>
                <w:rFonts w:eastAsiaTheme="minorHAnsi"/>
                <w:sz w:val="20"/>
                <w:lang w:val="fr-CA"/>
              </w:rPr>
            </w:pPr>
          </w:p>
        </w:tc>
      </w:tr>
      <w:tr w:rsidR="00202E4C" w:rsidRPr="00056924" w:rsidTr="00202E4C">
        <w:tc>
          <w:tcPr>
            <w:tcW w:w="5000" w:type="pct"/>
            <w:gridSpan w:val="4"/>
          </w:tcPr>
          <w:p w:rsidR="00202E4C" w:rsidRPr="00056924" w:rsidRDefault="00202E4C" w:rsidP="00202E4C">
            <w:pPr>
              <w:jc w:val="both"/>
              <w:rPr>
                <w:rFonts w:eastAsiaTheme="minorHAnsi"/>
                <w:sz w:val="20"/>
                <w:lang w:val="fr-CA"/>
              </w:rPr>
            </w:pPr>
            <w:r w:rsidRPr="00056924">
              <w:rPr>
                <w:rFonts w:eastAsiaTheme="minorHAnsi"/>
                <w:sz w:val="20"/>
                <w:lang w:val="fr-CA"/>
              </w:rPr>
              <w:t>Les personnes morales en cause exploitaient des entreprises de développement et de gestion d’installations de stockage en libre-service. En 2007, leurs dirigeants ont convenu d’acheter ensemble une usine vacante à Windsor et de la convertir en installation de stockage en libre-service. Au départ, l’opération avait été structurée de façon à ce que chaque partie acquitte cinquante pour cent du prix d’achat de deux millions de dollars en contrepartie d’une participation de cinquante pour cent, le temps que Matthew Brady Self Storage Corporation (« MBSS ») achève les travaux de rénovation en vue de la conversion. Il était prévu que la demanderesse (collectivement « InStorage ») finirait par acheter l’immeuble au complet de MBSS. Toutefois, à l’époque en cause, InStorage ne disposait pas de suffisamment d’argent pour acquitter sa part du prix d’achat. MBSS a accepté d’acquitter intégralement le prix d’achat et elle allait être la propriétaire unique en attendant l’achèvement du projet. Les parties ont également conclu une convention d’option le 18 février 2008 qui renfermait deux clauses [</w:t>
            </w:r>
            <w:r w:rsidRPr="00056924">
              <w:rPr>
                <w:rFonts w:eastAsiaTheme="minorHAnsi"/>
                <w:smallCaps/>
                <w:sz w:val="20"/>
                <w:lang w:val="fr-CA"/>
              </w:rPr>
              <w:t>traduction</w:t>
            </w:r>
            <w:r w:rsidRPr="00056924">
              <w:rPr>
                <w:rFonts w:eastAsiaTheme="minorHAnsi"/>
                <w:sz w:val="20"/>
                <w:lang w:val="fr-CA"/>
              </w:rPr>
              <w:t>] « de vente », permettant à MBSS de contraindre InStorage de racheter la participation de MBSS et deux clauses [</w:t>
            </w:r>
            <w:r w:rsidRPr="00056924">
              <w:rPr>
                <w:rFonts w:eastAsiaTheme="minorHAnsi"/>
                <w:smallCaps/>
                <w:sz w:val="20"/>
                <w:lang w:val="fr-CA"/>
              </w:rPr>
              <w:t>traduction</w:t>
            </w:r>
            <w:r w:rsidRPr="00056924">
              <w:rPr>
                <w:rFonts w:eastAsiaTheme="minorHAnsi"/>
                <w:sz w:val="20"/>
                <w:lang w:val="fr-CA"/>
              </w:rPr>
              <w:t>] « d’achat » permettant à InStorage de contraindre MBSS à lui vendre l’immeuble. Si une de ces options était levée, les parties auraient quinze jours pour s’entendre sur un prix d’achat. À défaut d’entente, Valco Consulting Inc. (« Valco ») allait être chargée de déterminer le prix d’achat et [</w:t>
            </w:r>
            <w:r w:rsidRPr="00056924">
              <w:rPr>
                <w:rFonts w:eastAsiaTheme="minorHAnsi"/>
                <w:smallCaps/>
                <w:sz w:val="20"/>
                <w:lang w:val="fr-CA"/>
              </w:rPr>
              <w:t>traduction</w:t>
            </w:r>
            <w:r w:rsidRPr="00056924">
              <w:rPr>
                <w:rFonts w:eastAsiaTheme="minorHAnsi"/>
                <w:sz w:val="20"/>
                <w:lang w:val="fr-CA"/>
              </w:rPr>
              <w:t>] « à moins d’erreur manifeste », la détermination de la [</w:t>
            </w:r>
            <w:r w:rsidRPr="00056924">
              <w:rPr>
                <w:rFonts w:eastAsiaTheme="minorHAnsi"/>
                <w:smallCaps/>
                <w:sz w:val="20"/>
                <w:lang w:val="fr-CA"/>
              </w:rPr>
              <w:t>traduction</w:t>
            </w:r>
            <w:r w:rsidRPr="00056924">
              <w:rPr>
                <w:rFonts w:eastAsiaTheme="minorHAnsi"/>
                <w:sz w:val="20"/>
                <w:lang w:val="fr-CA"/>
              </w:rPr>
              <w:t>] « juste valeur marchande » par Valco lierait les parties. Le 21 juillet 2009, plus d’un an après l’achèvement substantiel des travaux, MBSS a levé l’option de vente. Entretemps, InStorage a été l’objet d’une prise de contrôle non sollicitée de la part d’une société ayant son siège aux États-Unis. Elle a refusé de conclure l’achat. Valco a fixé la valeur de l’immeuble à 7,3 millions de dollars. La demanderesse a fait valoir que l’immeuble valait moins de cinq millions de dollars. MBSS a intenté une poursuite en exécution intégrale.</w:t>
            </w:r>
          </w:p>
          <w:p w:rsidR="00202E4C" w:rsidRPr="00056924" w:rsidRDefault="00202E4C" w:rsidP="00202E4C">
            <w:pPr>
              <w:jc w:val="both"/>
              <w:rPr>
                <w:rFonts w:eastAsiaTheme="minorHAnsi"/>
                <w:sz w:val="20"/>
                <w:lang w:val="fr-CA"/>
              </w:rPr>
            </w:pPr>
          </w:p>
        </w:tc>
      </w:tr>
      <w:tr w:rsidR="00202E4C" w:rsidRPr="00A02AC3" w:rsidTr="00202E4C">
        <w:tc>
          <w:tcPr>
            <w:tcW w:w="2427" w:type="pct"/>
            <w:gridSpan w:val="2"/>
          </w:tcPr>
          <w:p w:rsidR="00202E4C" w:rsidRPr="00056924" w:rsidRDefault="00202E4C" w:rsidP="00202E4C">
            <w:pPr>
              <w:jc w:val="both"/>
              <w:rPr>
                <w:rFonts w:eastAsiaTheme="minorHAnsi"/>
                <w:sz w:val="20"/>
                <w:lang w:val="fr-CA"/>
              </w:rPr>
            </w:pPr>
            <w:r w:rsidRPr="00056924">
              <w:rPr>
                <w:rFonts w:eastAsiaTheme="minorHAnsi"/>
                <w:sz w:val="20"/>
                <w:lang w:val="fr-CA"/>
              </w:rPr>
              <w:t>30 août 2013</w:t>
            </w:r>
          </w:p>
          <w:p w:rsidR="00202E4C" w:rsidRPr="00056924" w:rsidRDefault="00202E4C" w:rsidP="00202E4C">
            <w:pPr>
              <w:jc w:val="both"/>
              <w:rPr>
                <w:rFonts w:eastAsiaTheme="minorHAnsi"/>
                <w:sz w:val="20"/>
                <w:lang w:val="fr-CA"/>
              </w:rPr>
            </w:pPr>
            <w:r w:rsidRPr="00056924">
              <w:rPr>
                <w:rFonts w:eastAsiaTheme="minorHAnsi"/>
                <w:sz w:val="20"/>
                <w:lang w:val="fr-CA"/>
              </w:rPr>
              <w:t>Cour supérieure de justice de l’Ontario</w:t>
            </w:r>
          </w:p>
          <w:p w:rsidR="00202E4C" w:rsidRPr="00056924" w:rsidRDefault="00202E4C" w:rsidP="00202E4C">
            <w:pPr>
              <w:jc w:val="both"/>
              <w:rPr>
                <w:rFonts w:eastAsiaTheme="minorHAnsi"/>
                <w:sz w:val="20"/>
                <w:lang w:val="fr-CA"/>
              </w:rPr>
            </w:pPr>
            <w:r w:rsidRPr="00056924">
              <w:rPr>
                <w:rFonts w:eastAsiaTheme="minorHAnsi"/>
                <w:sz w:val="20"/>
                <w:lang w:val="fr-CA"/>
              </w:rPr>
              <w:t>(Juge Gates)</w:t>
            </w:r>
          </w:p>
          <w:p w:rsidR="00202E4C" w:rsidRPr="00056924" w:rsidRDefault="00260D92" w:rsidP="00202E4C">
            <w:pPr>
              <w:jc w:val="both"/>
              <w:rPr>
                <w:rFonts w:eastAsiaTheme="minorHAnsi"/>
                <w:sz w:val="20"/>
                <w:lang w:val="fr-CA"/>
              </w:rPr>
            </w:pPr>
            <w:hyperlink r:id="rId43" w:history="1">
              <w:r w:rsidR="00202E4C" w:rsidRPr="00056924">
                <w:rPr>
                  <w:rFonts w:eastAsiaTheme="minorHAnsi"/>
                  <w:color w:val="0000FF" w:themeColor="hyperlink"/>
                  <w:sz w:val="20"/>
                  <w:u w:val="single"/>
                  <w:lang w:val="fr-CA"/>
                </w:rPr>
                <w:t>2013 ONSC 4345</w:t>
              </w:r>
            </w:hyperlink>
          </w:p>
          <w:p w:rsidR="00202E4C" w:rsidRPr="00056924" w:rsidRDefault="00202E4C" w:rsidP="00202E4C">
            <w:pPr>
              <w:jc w:val="both"/>
              <w:rPr>
                <w:rFonts w:eastAsiaTheme="minorHAnsi"/>
                <w:sz w:val="20"/>
                <w:lang w:val="fr-CA"/>
              </w:rPr>
            </w:pPr>
          </w:p>
        </w:tc>
        <w:tc>
          <w:tcPr>
            <w:tcW w:w="243" w:type="pct"/>
          </w:tcPr>
          <w:p w:rsidR="00202E4C" w:rsidRPr="00056924" w:rsidRDefault="00202E4C" w:rsidP="00202E4C">
            <w:pPr>
              <w:jc w:val="both"/>
              <w:rPr>
                <w:rFonts w:eastAsiaTheme="minorHAnsi"/>
                <w:sz w:val="20"/>
                <w:lang w:val="fr-CA"/>
              </w:rPr>
            </w:pPr>
          </w:p>
        </w:tc>
        <w:tc>
          <w:tcPr>
            <w:tcW w:w="2330" w:type="pct"/>
          </w:tcPr>
          <w:p w:rsidR="00202E4C" w:rsidRPr="00056924" w:rsidRDefault="00202E4C" w:rsidP="00202E4C">
            <w:pPr>
              <w:jc w:val="both"/>
              <w:rPr>
                <w:rFonts w:eastAsiaTheme="minorHAnsi"/>
                <w:sz w:val="20"/>
                <w:lang w:val="fr-CA"/>
              </w:rPr>
            </w:pPr>
            <w:r w:rsidRPr="00056924">
              <w:rPr>
                <w:rFonts w:eastAsiaTheme="minorHAnsi"/>
                <w:sz w:val="20"/>
                <w:lang w:val="fr-CA"/>
              </w:rPr>
              <w:t>Ordonnance d’exécution intégrale d’un contrat commercial, de dommages-intérêts et de dépens.</w:t>
            </w:r>
          </w:p>
          <w:p w:rsidR="00202E4C" w:rsidRPr="00056924" w:rsidRDefault="00202E4C" w:rsidP="00202E4C">
            <w:pPr>
              <w:jc w:val="both"/>
              <w:rPr>
                <w:rFonts w:eastAsiaTheme="minorHAnsi"/>
                <w:sz w:val="20"/>
                <w:lang w:val="fr-CA"/>
              </w:rPr>
            </w:pPr>
          </w:p>
        </w:tc>
      </w:tr>
      <w:tr w:rsidR="00202E4C" w:rsidRPr="00A02AC3" w:rsidTr="00202E4C">
        <w:tc>
          <w:tcPr>
            <w:tcW w:w="2427" w:type="pct"/>
            <w:gridSpan w:val="2"/>
          </w:tcPr>
          <w:p w:rsidR="00202E4C" w:rsidRPr="00056924" w:rsidRDefault="00202E4C" w:rsidP="00202E4C">
            <w:pPr>
              <w:jc w:val="both"/>
              <w:rPr>
                <w:rFonts w:eastAsiaTheme="minorHAnsi"/>
                <w:sz w:val="20"/>
                <w:lang w:val="fr-CA"/>
              </w:rPr>
            </w:pPr>
            <w:r w:rsidRPr="00056924">
              <w:rPr>
                <w:rFonts w:eastAsiaTheme="minorHAnsi"/>
                <w:sz w:val="20"/>
                <w:lang w:val="fr-CA"/>
              </w:rPr>
              <w:t>3 décembre 2014</w:t>
            </w:r>
          </w:p>
          <w:p w:rsidR="00202E4C" w:rsidRPr="00056924" w:rsidRDefault="00202E4C" w:rsidP="00202E4C">
            <w:pPr>
              <w:jc w:val="both"/>
              <w:rPr>
                <w:rFonts w:eastAsiaTheme="minorHAnsi"/>
                <w:sz w:val="20"/>
                <w:lang w:val="fr-CA"/>
              </w:rPr>
            </w:pPr>
            <w:r w:rsidRPr="00056924">
              <w:rPr>
                <w:rFonts w:eastAsiaTheme="minorHAnsi"/>
                <w:sz w:val="20"/>
                <w:lang w:val="fr-CA"/>
              </w:rPr>
              <w:t>Cour d’appel de l’Ontario</w:t>
            </w:r>
          </w:p>
          <w:p w:rsidR="00202E4C" w:rsidRPr="00056924" w:rsidRDefault="00202E4C" w:rsidP="00202E4C">
            <w:pPr>
              <w:jc w:val="both"/>
              <w:rPr>
                <w:rFonts w:eastAsiaTheme="minorHAnsi"/>
                <w:sz w:val="20"/>
                <w:lang w:val="fr-CA"/>
              </w:rPr>
            </w:pPr>
            <w:r w:rsidRPr="00056924">
              <w:rPr>
                <w:rFonts w:eastAsiaTheme="minorHAnsi"/>
                <w:sz w:val="20"/>
                <w:lang w:val="fr-CA"/>
              </w:rPr>
              <w:t>(Juges Doherty, Blair et Tulloch)</w:t>
            </w:r>
          </w:p>
          <w:p w:rsidR="00202E4C" w:rsidRPr="00056924" w:rsidRDefault="00260D92" w:rsidP="00202E4C">
            <w:pPr>
              <w:jc w:val="both"/>
              <w:rPr>
                <w:rFonts w:eastAsiaTheme="minorHAnsi"/>
                <w:sz w:val="20"/>
                <w:lang w:val="fr-CA"/>
              </w:rPr>
            </w:pPr>
            <w:hyperlink r:id="rId44" w:history="1">
              <w:r w:rsidR="00202E4C" w:rsidRPr="00056924">
                <w:rPr>
                  <w:rFonts w:eastAsiaTheme="minorHAnsi"/>
                  <w:color w:val="0000FF" w:themeColor="hyperlink"/>
                  <w:sz w:val="20"/>
                  <w:u w:val="single"/>
                  <w:lang w:val="fr-CA"/>
                </w:rPr>
                <w:t>2014 ONCA 858</w:t>
              </w:r>
            </w:hyperlink>
          </w:p>
          <w:p w:rsidR="00202E4C" w:rsidRPr="00056924" w:rsidRDefault="00202E4C" w:rsidP="00202E4C">
            <w:pPr>
              <w:jc w:val="both"/>
              <w:rPr>
                <w:rFonts w:eastAsiaTheme="minorHAnsi"/>
                <w:sz w:val="20"/>
                <w:lang w:val="fr-CA"/>
              </w:rPr>
            </w:pPr>
          </w:p>
        </w:tc>
        <w:tc>
          <w:tcPr>
            <w:tcW w:w="243" w:type="pct"/>
          </w:tcPr>
          <w:p w:rsidR="00202E4C" w:rsidRPr="00056924" w:rsidRDefault="00202E4C" w:rsidP="00202E4C">
            <w:pPr>
              <w:jc w:val="both"/>
              <w:rPr>
                <w:rFonts w:eastAsiaTheme="minorHAnsi"/>
                <w:sz w:val="20"/>
                <w:lang w:val="fr-CA"/>
              </w:rPr>
            </w:pPr>
          </w:p>
        </w:tc>
        <w:tc>
          <w:tcPr>
            <w:tcW w:w="2330" w:type="pct"/>
          </w:tcPr>
          <w:p w:rsidR="00202E4C" w:rsidRPr="00056924" w:rsidRDefault="00202E4C" w:rsidP="00202E4C">
            <w:pPr>
              <w:jc w:val="both"/>
              <w:rPr>
                <w:rFonts w:eastAsiaTheme="minorHAnsi"/>
                <w:sz w:val="20"/>
                <w:lang w:val="fr-CA"/>
              </w:rPr>
            </w:pPr>
            <w:r w:rsidRPr="00056924">
              <w:rPr>
                <w:rFonts w:eastAsiaTheme="minorHAnsi"/>
                <w:sz w:val="20"/>
                <w:lang w:val="fr-CA"/>
              </w:rPr>
              <w:t>Rejet de l’appel de la demanderesse.</w:t>
            </w:r>
          </w:p>
        </w:tc>
      </w:tr>
      <w:tr w:rsidR="00202E4C" w:rsidRPr="00A02AC3" w:rsidTr="00202E4C">
        <w:tc>
          <w:tcPr>
            <w:tcW w:w="2427" w:type="pct"/>
            <w:gridSpan w:val="2"/>
          </w:tcPr>
          <w:p w:rsidR="00202E4C" w:rsidRPr="00056924" w:rsidRDefault="00202E4C" w:rsidP="00202E4C">
            <w:pPr>
              <w:jc w:val="both"/>
              <w:rPr>
                <w:rFonts w:eastAsiaTheme="minorHAnsi"/>
                <w:sz w:val="20"/>
                <w:lang w:val="fr-CA"/>
              </w:rPr>
            </w:pPr>
            <w:r w:rsidRPr="00056924">
              <w:rPr>
                <w:rFonts w:eastAsiaTheme="minorHAnsi"/>
                <w:sz w:val="20"/>
                <w:lang w:val="fr-CA"/>
              </w:rPr>
              <w:t>30 janvier 2015</w:t>
            </w:r>
          </w:p>
          <w:p w:rsidR="00202E4C" w:rsidRPr="00056924" w:rsidRDefault="00202E4C" w:rsidP="00202E4C">
            <w:pPr>
              <w:jc w:val="both"/>
              <w:rPr>
                <w:rFonts w:eastAsiaTheme="minorHAnsi"/>
                <w:sz w:val="20"/>
                <w:lang w:val="fr-CA"/>
              </w:rPr>
            </w:pPr>
            <w:r w:rsidRPr="00056924">
              <w:rPr>
                <w:rFonts w:eastAsiaTheme="minorHAnsi"/>
                <w:sz w:val="20"/>
                <w:lang w:val="fr-CA"/>
              </w:rPr>
              <w:t>Cour suprême du Canada</w:t>
            </w:r>
          </w:p>
        </w:tc>
        <w:tc>
          <w:tcPr>
            <w:tcW w:w="243" w:type="pct"/>
          </w:tcPr>
          <w:p w:rsidR="00202E4C" w:rsidRPr="00056924" w:rsidRDefault="00202E4C" w:rsidP="00202E4C">
            <w:pPr>
              <w:jc w:val="both"/>
              <w:rPr>
                <w:rFonts w:eastAsiaTheme="minorHAnsi"/>
                <w:sz w:val="20"/>
                <w:lang w:val="fr-CA"/>
              </w:rPr>
            </w:pPr>
          </w:p>
        </w:tc>
        <w:tc>
          <w:tcPr>
            <w:tcW w:w="2330" w:type="pct"/>
          </w:tcPr>
          <w:p w:rsidR="00202E4C" w:rsidRPr="00056924" w:rsidRDefault="00202E4C" w:rsidP="00202E4C">
            <w:pPr>
              <w:jc w:val="both"/>
              <w:rPr>
                <w:rFonts w:eastAsiaTheme="minorHAnsi"/>
                <w:sz w:val="20"/>
                <w:lang w:val="fr-CA"/>
              </w:rPr>
            </w:pPr>
            <w:r w:rsidRPr="00056924">
              <w:rPr>
                <w:rFonts w:eastAsiaTheme="minorHAnsi"/>
                <w:sz w:val="20"/>
                <w:lang w:val="fr-CA"/>
              </w:rPr>
              <w:t>Dépôt de la demande d’autorisation d’appel.</w:t>
            </w:r>
          </w:p>
          <w:p w:rsidR="00202E4C" w:rsidRPr="00056924" w:rsidRDefault="00202E4C" w:rsidP="00202E4C">
            <w:pPr>
              <w:jc w:val="both"/>
              <w:rPr>
                <w:rFonts w:eastAsiaTheme="minorHAnsi"/>
                <w:sz w:val="20"/>
                <w:lang w:val="fr-CA"/>
              </w:rPr>
            </w:pPr>
          </w:p>
        </w:tc>
      </w:tr>
    </w:tbl>
    <w:p w:rsidR="00202E4C" w:rsidRDefault="00202E4C" w:rsidP="00202E4C">
      <w:pPr>
        <w:jc w:val="both"/>
        <w:rPr>
          <w:rFonts w:eastAsiaTheme="minorHAnsi"/>
          <w:sz w:val="20"/>
          <w:lang w:val="fr-CA"/>
        </w:rPr>
      </w:pPr>
    </w:p>
    <w:p w:rsidR="00056924" w:rsidRPr="00056924" w:rsidRDefault="00056924" w:rsidP="00202E4C">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202E4C" w:rsidRPr="00056924" w:rsidTr="006C1A56">
        <w:tc>
          <w:tcPr>
            <w:tcW w:w="542" w:type="pct"/>
          </w:tcPr>
          <w:p w:rsidR="00202E4C" w:rsidRPr="00056924" w:rsidRDefault="00202E4C" w:rsidP="00202E4C">
            <w:pPr>
              <w:jc w:val="both"/>
              <w:rPr>
                <w:rFonts w:eastAsiaTheme="minorHAnsi"/>
                <w:sz w:val="20"/>
                <w:lang w:val="en-CA"/>
              </w:rPr>
            </w:pPr>
            <w:r w:rsidRPr="00056924">
              <w:rPr>
                <w:rFonts w:eastAsiaTheme="minorHAnsi"/>
                <w:b/>
                <w:sz w:val="20"/>
                <w:lang w:val="en-CA"/>
              </w:rPr>
              <w:t>36327</w:t>
            </w:r>
          </w:p>
        </w:tc>
        <w:tc>
          <w:tcPr>
            <w:tcW w:w="4458" w:type="pct"/>
            <w:gridSpan w:val="3"/>
          </w:tcPr>
          <w:p w:rsidR="00202E4C" w:rsidRPr="00056924" w:rsidRDefault="00202E4C" w:rsidP="00202E4C">
            <w:pPr>
              <w:jc w:val="both"/>
              <w:rPr>
                <w:rFonts w:eastAsiaTheme="minorHAnsi"/>
                <w:b/>
                <w:sz w:val="20"/>
                <w:lang w:val="en-CA"/>
              </w:rPr>
            </w:pPr>
            <w:r w:rsidRPr="00056924">
              <w:rPr>
                <w:rFonts w:eastAsiaTheme="minorHAnsi"/>
                <w:b/>
                <w:sz w:val="20"/>
                <w:lang w:val="en-CA"/>
              </w:rPr>
              <w:t>P.W.M. Loss Prevention Services Inc. v. Miguel Lay, Government of Alberta, Employment and Immigration Employment Standards Program Delivery</w:t>
            </w:r>
          </w:p>
          <w:p w:rsidR="00202E4C" w:rsidRPr="00056924" w:rsidRDefault="00202E4C" w:rsidP="00202E4C">
            <w:pPr>
              <w:jc w:val="both"/>
              <w:rPr>
                <w:rFonts w:eastAsiaTheme="minorHAnsi"/>
                <w:sz w:val="20"/>
                <w:lang w:val="en-CA"/>
              </w:rPr>
            </w:pPr>
            <w:r w:rsidRPr="00056924">
              <w:rPr>
                <w:rFonts w:eastAsiaTheme="minorHAnsi"/>
                <w:sz w:val="20"/>
                <w:lang w:val="en-CA"/>
              </w:rPr>
              <w:t>(Alta.) (Civil) (By Leave)</w:t>
            </w:r>
          </w:p>
        </w:tc>
      </w:tr>
      <w:tr w:rsidR="00202E4C" w:rsidRPr="00056924" w:rsidTr="006C1A56">
        <w:tc>
          <w:tcPr>
            <w:tcW w:w="5000" w:type="pct"/>
            <w:gridSpan w:val="4"/>
          </w:tcPr>
          <w:p w:rsidR="00202E4C" w:rsidRPr="00056924" w:rsidRDefault="00202E4C" w:rsidP="00202E4C">
            <w:pPr>
              <w:jc w:val="both"/>
              <w:rPr>
                <w:rFonts w:eastAsiaTheme="minorHAnsi"/>
                <w:sz w:val="20"/>
                <w:lang w:val="en-CA"/>
              </w:rPr>
            </w:pPr>
            <w:r w:rsidRPr="00056924">
              <w:rPr>
                <w:rFonts w:eastAsiaTheme="minorHAnsi"/>
                <w:sz w:val="20"/>
                <w:lang w:val="en-CA"/>
              </w:rPr>
              <w:t>Courts – Appeals – Application for leave to appeal – Whether the Court of Appeal erred in dismissing an application for leave to appeal from a decision dismissing an application for judicial review of a decision of the Director of the Alberta Employment and Immigration Employment Standards Program, extending a limitation period.</w:t>
            </w:r>
          </w:p>
        </w:tc>
      </w:tr>
      <w:tr w:rsidR="00202E4C" w:rsidRPr="00056924" w:rsidTr="006C1A56">
        <w:tc>
          <w:tcPr>
            <w:tcW w:w="5000" w:type="pct"/>
            <w:gridSpan w:val="4"/>
          </w:tcPr>
          <w:p w:rsidR="00202E4C" w:rsidRPr="00056924" w:rsidRDefault="00202E4C" w:rsidP="00202E4C">
            <w:pPr>
              <w:jc w:val="both"/>
              <w:rPr>
                <w:rFonts w:eastAsiaTheme="minorHAnsi"/>
                <w:sz w:val="20"/>
                <w:lang w:val="en-CA"/>
              </w:rPr>
            </w:pPr>
          </w:p>
        </w:tc>
      </w:tr>
      <w:tr w:rsidR="00202E4C" w:rsidRPr="00056924" w:rsidTr="006C1A56">
        <w:tc>
          <w:tcPr>
            <w:tcW w:w="5000" w:type="pct"/>
            <w:gridSpan w:val="4"/>
          </w:tcPr>
          <w:p w:rsidR="00202E4C" w:rsidRPr="00056924" w:rsidRDefault="00202E4C" w:rsidP="00202E4C">
            <w:pPr>
              <w:jc w:val="both"/>
              <w:rPr>
                <w:rFonts w:eastAsiaTheme="minorHAnsi"/>
                <w:sz w:val="20"/>
                <w:lang w:val="en-CA"/>
              </w:rPr>
            </w:pPr>
            <w:r w:rsidRPr="00056924">
              <w:rPr>
                <w:rFonts w:eastAsiaTheme="minorHAnsi"/>
                <w:sz w:val="20"/>
                <w:lang w:val="en-CA"/>
              </w:rPr>
              <w:t xml:space="preserve">On March 8, 2010, the respondent, Miguel Lay, filed a complaint with Employment Standards alleging that he was terminated from his employment with the applicant, P.W.M. Loss Prevention Services Inc., and was owed outstanding wages, overtime pay, vacation pay and general holiday pay. On or about June 30, 2010, the matter proceeded to the office of the Director of the Employment and Immigration Standards Program, and the Registrar took carriage of the complaint. It appears that the complaint sat in abeyance until June 21, 2011, when the </w:t>
            </w:r>
            <w:r w:rsidRPr="00056924">
              <w:rPr>
                <w:rFonts w:eastAsiaTheme="minorHAnsi"/>
                <w:sz w:val="20"/>
                <w:lang w:val="en-CA"/>
              </w:rPr>
              <w:lastRenderedPageBreak/>
              <w:t xml:space="preserve">Program’s new Registrar took charge of it after his predecessor’s departure. On June 24, 2011 the Director granted a one-year extension to Mr. Lay’s complaint due to extenuating circumstances, pursuant to section 90(3) of the </w:t>
            </w:r>
            <w:r w:rsidRPr="00056924">
              <w:rPr>
                <w:rFonts w:eastAsiaTheme="minorHAnsi"/>
                <w:i/>
                <w:sz w:val="20"/>
                <w:lang w:val="en-CA"/>
              </w:rPr>
              <w:t>Employment Standards Code</w:t>
            </w:r>
            <w:r w:rsidRPr="00056924">
              <w:rPr>
                <w:rFonts w:eastAsiaTheme="minorHAnsi"/>
                <w:sz w:val="20"/>
                <w:lang w:val="en-CA"/>
              </w:rPr>
              <w:t>, R.S.A. 2000, c. E-9. The extenuating circumstances were that the previous Registrar was in the process of leaving and the limitation period was inadvertently missed. The new Registrar determined that Mr. Lay should not suffer as a consequence of such a lapse. PWM then commenced an application for judicial review of the decision to extend the limitation period.</w:t>
            </w:r>
          </w:p>
          <w:p w:rsidR="00202E4C" w:rsidRPr="00056924" w:rsidRDefault="00202E4C" w:rsidP="00202E4C">
            <w:pPr>
              <w:jc w:val="both"/>
              <w:rPr>
                <w:rFonts w:eastAsiaTheme="minorHAnsi"/>
                <w:sz w:val="20"/>
                <w:lang w:val="en-CA"/>
              </w:rPr>
            </w:pPr>
          </w:p>
          <w:p w:rsidR="00202E4C" w:rsidRPr="00056924" w:rsidRDefault="00202E4C" w:rsidP="00202E4C">
            <w:pPr>
              <w:jc w:val="both"/>
              <w:rPr>
                <w:rFonts w:eastAsiaTheme="minorHAnsi"/>
                <w:sz w:val="20"/>
                <w:lang w:val="en-CA"/>
              </w:rPr>
            </w:pPr>
            <w:r w:rsidRPr="00056924">
              <w:rPr>
                <w:rFonts w:eastAsiaTheme="minorHAnsi"/>
                <w:sz w:val="20"/>
                <w:lang w:val="en-CA"/>
              </w:rPr>
              <w:t>The Court of Queen’s Bench dismissed the applicant’s application for judicial review. The Alberta Court of Appeal dismissed the applicant’s application for leave to appeal.</w:t>
            </w:r>
          </w:p>
          <w:p w:rsidR="00202E4C" w:rsidRPr="00056924" w:rsidRDefault="00202E4C" w:rsidP="00202E4C">
            <w:pPr>
              <w:jc w:val="both"/>
              <w:rPr>
                <w:rFonts w:eastAsiaTheme="minorHAnsi"/>
                <w:sz w:val="20"/>
                <w:lang w:val="en-CA"/>
              </w:rPr>
            </w:pPr>
          </w:p>
        </w:tc>
      </w:tr>
      <w:tr w:rsidR="00202E4C" w:rsidRPr="00056924" w:rsidTr="006C1A56">
        <w:tblPrEx>
          <w:tblCellMar>
            <w:bottom w:w="0" w:type="dxa"/>
          </w:tblCellMar>
        </w:tblPrEx>
        <w:tc>
          <w:tcPr>
            <w:tcW w:w="2390" w:type="pct"/>
            <w:gridSpan w:val="2"/>
          </w:tcPr>
          <w:p w:rsidR="00202E4C" w:rsidRPr="00056924" w:rsidRDefault="00202E4C" w:rsidP="00202E4C">
            <w:pPr>
              <w:jc w:val="both"/>
              <w:rPr>
                <w:rFonts w:eastAsiaTheme="minorHAnsi"/>
                <w:sz w:val="20"/>
                <w:lang w:val="en-CA"/>
              </w:rPr>
            </w:pPr>
            <w:r w:rsidRPr="00056924">
              <w:rPr>
                <w:rFonts w:eastAsiaTheme="minorHAnsi"/>
                <w:sz w:val="20"/>
                <w:lang w:val="en-CA"/>
              </w:rPr>
              <w:lastRenderedPageBreak/>
              <w:t>August 25, 2014</w:t>
            </w:r>
          </w:p>
          <w:p w:rsidR="00202E4C" w:rsidRPr="00056924" w:rsidRDefault="00202E4C" w:rsidP="00202E4C">
            <w:pPr>
              <w:jc w:val="both"/>
              <w:rPr>
                <w:rFonts w:eastAsiaTheme="minorHAnsi"/>
                <w:sz w:val="20"/>
                <w:lang w:val="en-CA"/>
              </w:rPr>
            </w:pPr>
            <w:r w:rsidRPr="00056924">
              <w:rPr>
                <w:rFonts w:eastAsiaTheme="minorHAnsi"/>
                <w:sz w:val="20"/>
                <w:lang w:val="en-CA"/>
              </w:rPr>
              <w:t>Court of Queen’s Bench of Alberta</w:t>
            </w:r>
          </w:p>
          <w:p w:rsidR="00202E4C" w:rsidRPr="00056924" w:rsidRDefault="00202E4C" w:rsidP="00202E4C">
            <w:pPr>
              <w:jc w:val="both"/>
              <w:rPr>
                <w:rFonts w:eastAsiaTheme="minorHAnsi"/>
                <w:sz w:val="20"/>
                <w:lang w:val="en-CA"/>
              </w:rPr>
            </w:pPr>
            <w:r w:rsidRPr="00056924">
              <w:rPr>
                <w:rFonts w:eastAsiaTheme="minorHAnsi"/>
                <w:sz w:val="20"/>
                <w:lang w:val="en-CA"/>
              </w:rPr>
              <w:t>(Erb J.)</w:t>
            </w:r>
          </w:p>
          <w:p w:rsidR="00202E4C" w:rsidRPr="00056924" w:rsidRDefault="00202E4C" w:rsidP="00202E4C">
            <w:pPr>
              <w:jc w:val="both"/>
              <w:rPr>
                <w:rFonts w:eastAsiaTheme="minorHAnsi"/>
                <w:sz w:val="20"/>
                <w:lang w:val="en-CA"/>
              </w:rPr>
            </w:pPr>
            <w:r w:rsidRPr="00056924">
              <w:rPr>
                <w:rFonts w:eastAsiaTheme="minorHAnsi"/>
                <w:sz w:val="20"/>
                <w:lang w:val="en-CA"/>
              </w:rPr>
              <w:t xml:space="preserve">Neutral citation: </w:t>
            </w:r>
            <w:hyperlink r:id="rId45" w:history="1">
              <w:r w:rsidRPr="00056924">
                <w:rPr>
                  <w:rFonts w:eastAsiaTheme="minorHAnsi"/>
                  <w:color w:val="0000FF" w:themeColor="hyperlink"/>
                  <w:sz w:val="20"/>
                  <w:u w:val="single"/>
                  <w:lang w:val="en-CA"/>
                </w:rPr>
                <w:t>2014 ABQB 524</w:t>
              </w:r>
            </w:hyperlink>
          </w:p>
          <w:p w:rsidR="00202E4C" w:rsidRPr="00056924" w:rsidRDefault="00202E4C" w:rsidP="00202E4C">
            <w:pPr>
              <w:jc w:val="both"/>
              <w:rPr>
                <w:rFonts w:eastAsiaTheme="minorHAnsi"/>
                <w:sz w:val="20"/>
                <w:lang w:val="en-CA"/>
              </w:rPr>
            </w:pPr>
          </w:p>
        </w:tc>
        <w:tc>
          <w:tcPr>
            <w:tcW w:w="270" w:type="pct"/>
          </w:tcPr>
          <w:p w:rsidR="00202E4C" w:rsidRPr="00056924" w:rsidRDefault="00202E4C" w:rsidP="00202E4C">
            <w:pPr>
              <w:jc w:val="both"/>
              <w:rPr>
                <w:rFonts w:eastAsiaTheme="minorHAnsi"/>
                <w:sz w:val="20"/>
                <w:lang w:val="en-CA"/>
              </w:rPr>
            </w:pPr>
          </w:p>
        </w:tc>
        <w:tc>
          <w:tcPr>
            <w:tcW w:w="2340" w:type="pct"/>
          </w:tcPr>
          <w:p w:rsidR="00202E4C" w:rsidRPr="00056924" w:rsidRDefault="00202E4C" w:rsidP="00202E4C">
            <w:pPr>
              <w:jc w:val="both"/>
              <w:rPr>
                <w:rFonts w:eastAsiaTheme="minorHAnsi"/>
                <w:sz w:val="20"/>
                <w:lang w:val="en-CA"/>
              </w:rPr>
            </w:pPr>
            <w:r w:rsidRPr="00056924">
              <w:rPr>
                <w:rFonts w:eastAsiaTheme="minorHAnsi"/>
                <w:sz w:val="20"/>
                <w:lang w:val="en-CA"/>
              </w:rPr>
              <w:t>Applicant’s application for judicial review, dismissed.</w:t>
            </w:r>
          </w:p>
          <w:p w:rsidR="00202E4C" w:rsidRPr="00056924" w:rsidRDefault="00202E4C" w:rsidP="00202E4C">
            <w:pPr>
              <w:jc w:val="both"/>
              <w:rPr>
                <w:rFonts w:eastAsiaTheme="minorHAnsi"/>
                <w:sz w:val="20"/>
                <w:lang w:val="en-CA"/>
              </w:rPr>
            </w:pPr>
          </w:p>
        </w:tc>
      </w:tr>
      <w:tr w:rsidR="00202E4C" w:rsidRPr="00056924" w:rsidTr="006C1A56">
        <w:tblPrEx>
          <w:tblCellMar>
            <w:bottom w:w="0" w:type="dxa"/>
          </w:tblCellMar>
        </w:tblPrEx>
        <w:tc>
          <w:tcPr>
            <w:tcW w:w="2390" w:type="pct"/>
            <w:gridSpan w:val="2"/>
          </w:tcPr>
          <w:p w:rsidR="00202E4C" w:rsidRPr="00056924" w:rsidRDefault="00A02AC3" w:rsidP="00202E4C">
            <w:pPr>
              <w:jc w:val="both"/>
              <w:rPr>
                <w:rFonts w:eastAsiaTheme="minorHAnsi"/>
                <w:sz w:val="20"/>
                <w:lang w:val="en-CA"/>
              </w:rPr>
            </w:pPr>
            <w:r>
              <w:rPr>
                <w:rFonts w:eastAsiaTheme="minorHAnsi"/>
                <w:sz w:val="20"/>
                <w:lang w:val="en-CA"/>
              </w:rPr>
              <w:t>October 29</w:t>
            </w:r>
            <w:r w:rsidR="00202E4C" w:rsidRPr="00056924">
              <w:rPr>
                <w:rFonts w:eastAsiaTheme="minorHAnsi"/>
                <w:sz w:val="20"/>
                <w:lang w:val="en-CA"/>
              </w:rPr>
              <w:t>, 2014</w:t>
            </w:r>
          </w:p>
          <w:p w:rsidR="00202E4C" w:rsidRPr="00056924" w:rsidRDefault="00202E4C" w:rsidP="00202E4C">
            <w:pPr>
              <w:jc w:val="both"/>
              <w:rPr>
                <w:rFonts w:eastAsiaTheme="minorHAnsi"/>
                <w:sz w:val="20"/>
                <w:lang w:val="en-CA"/>
              </w:rPr>
            </w:pPr>
            <w:r w:rsidRPr="00056924">
              <w:rPr>
                <w:rFonts w:eastAsiaTheme="minorHAnsi"/>
                <w:sz w:val="20"/>
                <w:lang w:val="en-CA"/>
              </w:rPr>
              <w:t>Court of Appeal of Alberta (Calgary)</w:t>
            </w:r>
          </w:p>
          <w:p w:rsidR="00202E4C" w:rsidRPr="00056924" w:rsidRDefault="00202E4C" w:rsidP="00202E4C">
            <w:pPr>
              <w:jc w:val="both"/>
              <w:rPr>
                <w:rFonts w:eastAsiaTheme="minorHAnsi"/>
                <w:sz w:val="20"/>
                <w:lang w:val="en-CA"/>
              </w:rPr>
            </w:pPr>
            <w:r w:rsidRPr="00056924">
              <w:rPr>
                <w:rFonts w:eastAsiaTheme="minorHAnsi"/>
                <w:sz w:val="20"/>
                <w:lang w:val="en-CA"/>
              </w:rPr>
              <w:t>(McDonald J.A.)</w:t>
            </w:r>
          </w:p>
          <w:p w:rsidR="00202E4C" w:rsidRPr="00056924" w:rsidRDefault="00202E4C" w:rsidP="00202E4C">
            <w:pPr>
              <w:jc w:val="both"/>
              <w:rPr>
                <w:rFonts w:eastAsiaTheme="minorHAnsi"/>
                <w:sz w:val="20"/>
                <w:lang w:val="en-CA"/>
              </w:rPr>
            </w:pPr>
            <w:r w:rsidRPr="00056924">
              <w:rPr>
                <w:rFonts w:eastAsiaTheme="minorHAnsi"/>
                <w:sz w:val="20"/>
                <w:lang w:val="en-CA"/>
              </w:rPr>
              <w:t xml:space="preserve">Neutral citation: </w:t>
            </w:r>
            <w:hyperlink r:id="rId46" w:history="1">
              <w:r w:rsidRPr="00056924">
                <w:rPr>
                  <w:rFonts w:eastAsiaTheme="minorHAnsi"/>
                  <w:color w:val="0000FF" w:themeColor="hyperlink"/>
                  <w:sz w:val="20"/>
                  <w:u w:val="single"/>
                  <w:lang w:val="en-CA"/>
                </w:rPr>
                <w:t>2014 ABCA 376</w:t>
              </w:r>
            </w:hyperlink>
            <w:r w:rsidRPr="00056924">
              <w:rPr>
                <w:rFonts w:eastAsiaTheme="minorHAnsi"/>
                <w:sz w:val="20"/>
                <w:lang w:val="en-CA"/>
              </w:rPr>
              <w:t xml:space="preserve"> </w:t>
            </w:r>
          </w:p>
          <w:p w:rsidR="00202E4C" w:rsidRPr="00056924" w:rsidRDefault="00202E4C" w:rsidP="00202E4C">
            <w:pPr>
              <w:jc w:val="both"/>
              <w:rPr>
                <w:rFonts w:eastAsiaTheme="minorHAnsi"/>
                <w:sz w:val="20"/>
                <w:lang w:val="en-CA"/>
              </w:rPr>
            </w:pPr>
          </w:p>
        </w:tc>
        <w:tc>
          <w:tcPr>
            <w:tcW w:w="270" w:type="pct"/>
          </w:tcPr>
          <w:p w:rsidR="00202E4C" w:rsidRPr="00056924" w:rsidRDefault="00202E4C" w:rsidP="00202E4C">
            <w:pPr>
              <w:jc w:val="both"/>
              <w:rPr>
                <w:rFonts w:eastAsiaTheme="minorHAnsi"/>
                <w:sz w:val="20"/>
                <w:lang w:val="en-CA"/>
              </w:rPr>
            </w:pPr>
          </w:p>
        </w:tc>
        <w:tc>
          <w:tcPr>
            <w:tcW w:w="2340" w:type="pct"/>
          </w:tcPr>
          <w:p w:rsidR="00202E4C" w:rsidRPr="00056924" w:rsidRDefault="00202E4C" w:rsidP="00202E4C">
            <w:pPr>
              <w:jc w:val="both"/>
              <w:rPr>
                <w:rFonts w:eastAsiaTheme="minorHAnsi"/>
                <w:sz w:val="20"/>
                <w:lang w:val="en-CA"/>
              </w:rPr>
            </w:pPr>
            <w:r w:rsidRPr="00056924">
              <w:rPr>
                <w:rFonts w:eastAsiaTheme="minorHAnsi"/>
                <w:sz w:val="20"/>
                <w:lang w:val="en-CA"/>
              </w:rPr>
              <w:t>Applicant’s application for leave to appeal, dismissed.</w:t>
            </w:r>
          </w:p>
          <w:p w:rsidR="00202E4C" w:rsidRPr="00056924" w:rsidRDefault="00202E4C" w:rsidP="00202E4C">
            <w:pPr>
              <w:jc w:val="both"/>
              <w:rPr>
                <w:rFonts w:eastAsiaTheme="minorHAnsi"/>
                <w:sz w:val="20"/>
                <w:lang w:val="en-CA"/>
              </w:rPr>
            </w:pPr>
          </w:p>
        </w:tc>
      </w:tr>
      <w:tr w:rsidR="00202E4C" w:rsidRPr="00056924" w:rsidTr="006C1A56">
        <w:tblPrEx>
          <w:tblCellMar>
            <w:bottom w:w="0" w:type="dxa"/>
          </w:tblCellMar>
        </w:tblPrEx>
        <w:tc>
          <w:tcPr>
            <w:tcW w:w="2390" w:type="pct"/>
            <w:gridSpan w:val="2"/>
          </w:tcPr>
          <w:p w:rsidR="00202E4C" w:rsidRPr="00056924" w:rsidRDefault="00202E4C" w:rsidP="00202E4C">
            <w:pPr>
              <w:jc w:val="both"/>
              <w:rPr>
                <w:rFonts w:eastAsiaTheme="minorHAnsi"/>
                <w:sz w:val="20"/>
                <w:lang w:val="en-CA"/>
              </w:rPr>
            </w:pPr>
            <w:r w:rsidRPr="00056924">
              <w:rPr>
                <w:rFonts w:eastAsiaTheme="minorHAnsi"/>
                <w:sz w:val="20"/>
                <w:lang w:val="en-CA"/>
              </w:rPr>
              <w:t>February 19, 2015</w:t>
            </w:r>
          </w:p>
          <w:p w:rsidR="00202E4C" w:rsidRPr="00056924" w:rsidRDefault="00202E4C" w:rsidP="00202E4C">
            <w:pPr>
              <w:jc w:val="both"/>
              <w:rPr>
                <w:rFonts w:eastAsiaTheme="minorHAnsi"/>
                <w:sz w:val="20"/>
                <w:lang w:val="en-CA"/>
              </w:rPr>
            </w:pPr>
            <w:r w:rsidRPr="00056924">
              <w:rPr>
                <w:rFonts w:eastAsiaTheme="minorHAnsi"/>
                <w:sz w:val="20"/>
                <w:lang w:val="en-CA"/>
              </w:rPr>
              <w:t>Supreme Court of Canada</w:t>
            </w:r>
          </w:p>
        </w:tc>
        <w:tc>
          <w:tcPr>
            <w:tcW w:w="270" w:type="pct"/>
          </w:tcPr>
          <w:p w:rsidR="00202E4C" w:rsidRPr="00056924" w:rsidRDefault="00202E4C" w:rsidP="00202E4C">
            <w:pPr>
              <w:jc w:val="both"/>
              <w:rPr>
                <w:rFonts w:eastAsiaTheme="minorHAnsi"/>
                <w:sz w:val="20"/>
                <w:lang w:val="en-CA"/>
              </w:rPr>
            </w:pPr>
          </w:p>
        </w:tc>
        <w:tc>
          <w:tcPr>
            <w:tcW w:w="2340" w:type="pct"/>
          </w:tcPr>
          <w:p w:rsidR="00202E4C" w:rsidRPr="00056924" w:rsidRDefault="00202E4C" w:rsidP="00202E4C">
            <w:pPr>
              <w:jc w:val="both"/>
              <w:rPr>
                <w:rFonts w:eastAsiaTheme="minorHAnsi"/>
                <w:sz w:val="20"/>
                <w:lang w:val="en-CA"/>
              </w:rPr>
            </w:pPr>
            <w:r w:rsidRPr="00056924">
              <w:rPr>
                <w:rFonts w:eastAsiaTheme="minorHAnsi"/>
                <w:sz w:val="20"/>
                <w:lang w:val="en-CA"/>
              </w:rPr>
              <w:t>Motion to extend time to serve and file application for leave to appeal and application for leave to appeal filed.</w:t>
            </w:r>
          </w:p>
          <w:p w:rsidR="00202E4C" w:rsidRPr="00056924" w:rsidRDefault="00202E4C" w:rsidP="00202E4C">
            <w:pPr>
              <w:jc w:val="both"/>
              <w:rPr>
                <w:rFonts w:eastAsiaTheme="minorHAnsi"/>
                <w:sz w:val="20"/>
                <w:lang w:val="en-CA"/>
              </w:rPr>
            </w:pPr>
          </w:p>
        </w:tc>
      </w:tr>
    </w:tbl>
    <w:p w:rsidR="00202E4C" w:rsidRPr="00056924" w:rsidRDefault="00202E4C" w:rsidP="00202E4C">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202E4C" w:rsidRPr="00A02AC3" w:rsidTr="006C1A56">
        <w:tc>
          <w:tcPr>
            <w:tcW w:w="542" w:type="pct"/>
          </w:tcPr>
          <w:p w:rsidR="00202E4C" w:rsidRPr="00056924" w:rsidRDefault="00202E4C" w:rsidP="00202E4C">
            <w:pPr>
              <w:jc w:val="both"/>
              <w:rPr>
                <w:rFonts w:eastAsiaTheme="minorHAnsi"/>
                <w:sz w:val="20"/>
                <w:lang w:val="fr-CA"/>
              </w:rPr>
            </w:pPr>
            <w:r w:rsidRPr="00056924">
              <w:rPr>
                <w:rFonts w:eastAsiaTheme="minorHAnsi"/>
                <w:b/>
                <w:sz w:val="20"/>
                <w:lang w:val="fr-CA"/>
              </w:rPr>
              <w:t>36327</w:t>
            </w:r>
          </w:p>
        </w:tc>
        <w:tc>
          <w:tcPr>
            <w:tcW w:w="4458" w:type="pct"/>
            <w:gridSpan w:val="3"/>
          </w:tcPr>
          <w:p w:rsidR="00202E4C" w:rsidRPr="00056924" w:rsidRDefault="00202E4C" w:rsidP="00202E4C">
            <w:pPr>
              <w:jc w:val="both"/>
              <w:rPr>
                <w:rFonts w:eastAsiaTheme="minorHAnsi"/>
                <w:b/>
                <w:sz w:val="20"/>
                <w:lang w:val="fr-CA"/>
              </w:rPr>
            </w:pPr>
            <w:r w:rsidRPr="00056924">
              <w:rPr>
                <w:rFonts w:eastAsiaTheme="minorHAnsi"/>
                <w:b/>
                <w:sz w:val="20"/>
                <w:lang w:val="fr-CA"/>
              </w:rPr>
              <w:t>P.W.M. Loss Prevention Services Inc. c. Miguel Lay, Gouvernement de l’Alberta, Employment and Immigration Employment Standards Program Delivery</w:t>
            </w:r>
          </w:p>
          <w:p w:rsidR="00202E4C" w:rsidRPr="00056924" w:rsidRDefault="00202E4C" w:rsidP="00202E4C">
            <w:pPr>
              <w:jc w:val="both"/>
              <w:rPr>
                <w:rFonts w:eastAsiaTheme="minorHAnsi"/>
                <w:sz w:val="20"/>
                <w:lang w:val="fr-CA"/>
              </w:rPr>
            </w:pPr>
            <w:r w:rsidRPr="00056924">
              <w:rPr>
                <w:rFonts w:eastAsiaTheme="minorHAnsi"/>
                <w:sz w:val="20"/>
                <w:lang w:val="fr-CA"/>
              </w:rPr>
              <w:t>(Alb.) (Civile) (Sur autorisation)</w:t>
            </w:r>
          </w:p>
        </w:tc>
      </w:tr>
      <w:tr w:rsidR="00202E4C" w:rsidRPr="00A02AC3" w:rsidTr="006C1A56">
        <w:tc>
          <w:tcPr>
            <w:tcW w:w="5000" w:type="pct"/>
            <w:gridSpan w:val="4"/>
          </w:tcPr>
          <w:p w:rsidR="00202E4C" w:rsidRPr="00056924" w:rsidRDefault="00202E4C" w:rsidP="00202E4C">
            <w:pPr>
              <w:jc w:val="both"/>
              <w:rPr>
                <w:rFonts w:eastAsiaTheme="minorHAnsi"/>
                <w:sz w:val="20"/>
                <w:lang w:val="fr-CA"/>
              </w:rPr>
            </w:pPr>
            <w:r w:rsidRPr="00056924">
              <w:rPr>
                <w:rFonts w:eastAsiaTheme="minorHAnsi"/>
                <w:sz w:val="20"/>
                <w:lang w:val="fr-CA"/>
              </w:rPr>
              <w:t>Tribunaux – Appels – Demande d’autorisation d’appel – La Cour d’appel de l’Alberta a-t-elle eu tort de rejeter la demande d’autorisation d’appel de la décision rejetant la demande de contrôle judiciaire d’une décision du directeur de l’Alberta Employment and Immigration Employment Standards Program de prolonger un délai de prescription?</w:t>
            </w:r>
          </w:p>
        </w:tc>
      </w:tr>
      <w:tr w:rsidR="00202E4C" w:rsidRPr="00A02AC3" w:rsidTr="006C1A56">
        <w:tc>
          <w:tcPr>
            <w:tcW w:w="5000" w:type="pct"/>
            <w:gridSpan w:val="4"/>
          </w:tcPr>
          <w:p w:rsidR="00202E4C" w:rsidRPr="00056924" w:rsidRDefault="00202E4C" w:rsidP="00202E4C">
            <w:pPr>
              <w:jc w:val="both"/>
              <w:rPr>
                <w:rFonts w:eastAsiaTheme="minorHAnsi"/>
                <w:sz w:val="20"/>
                <w:lang w:val="fr-CA"/>
              </w:rPr>
            </w:pPr>
          </w:p>
        </w:tc>
      </w:tr>
      <w:tr w:rsidR="00202E4C" w:rsidRPr="00A02AC3" w:rsidTr="006C1A56">
        <w:tc>
          <w:tcPr>
            <w:tcW w:w="5000" w:type="pct"/>
            <w:gridSpan w:val="4"/>
          </w:tcPr>
          <w:p w:rsidR="00202E4C" w:rsidRPr="00056924" w:rsidRDefault="00202E4C" w:rsidP="00202E4C">
            <w:pPr>
              <w:jc w:val="both"/>
              <w:rPr>
                <w:rFonts w:eastAsiaTheme="minorHAnsi"/>
                <w:sz w:val="20"/>
                <w:lang w:val="fr-CA"/>
              </w:rPr>
            </w:pPr>
            <w:r w:rsidRPr="00056924">
              <w:rPr>
                <w:rFonts w:eastAsiaTheme="minorHAnsi"/>
                <w:sz w:val="20"/>
                <w:lang w:val="fr-CA"/>
              </w:rPr>
              <w:t xml:space="preserve">Le 8 mars 2010, l’intimé Miguel Lay a déposé une plainte aux normes d’emploi, alléguant qu’il avait été congédié par la demanderesse, P.W.M. Loss Prevention Services Inc., et qu’on lui devait de l’argent au titre du salaire, des heures supplémentaires, de la paie de vacances et de jours fériés impayés. Le 30 juin 2010 ou vers cette date, l’affaire a suivi son cours jusqu’au bureau du directeur du programme des normes d’emploi et d’immigration, et le greffier a pris en charge la plainte. La plainte était apparemment restée en suspens jusqu’au 21 juin 2011, date à laquelle le nouveau greffier du programme l’aurait prise en charge après le départ de son prédécesseur. Le 24 juin 2011, le directeur a accepté de prolonger d’un an le délai de prescription de la plainte de M. Lay en raison de circonstances atténuantes, en application du par. 90(3) du </w:t>
            </w:r>
            <w:r w:rsidRPr="00056924">
              <w:rPr>
                <w:rFonts w:eastAsiaTheme="minorHAnsi"/>
                <w:i/>
                <w:sz w:val="20"/>
                <w:lang w:val="fr-CA"/>
              </w:rPr>
              <w:t>Employment Standards Code</w:t>
            </w:r>
            <w:r w:rsidRPr="00056924">
              <w:rPr>
                <w:rFonts w:eastAsiaTheme="minorHAnsi"/>
                <w:sz w:val="20"/>
                <w:lang w:val="fr-CA"/>
              </w:rPr>
              <w:t xml:space="preserve">, R.S.A. 2000, ch. E-9. Les circonstances atténuantes en question étaient que le greffier précédent était en voie de quitter son poste et que, par inadvertance, le délai de prescription n’avait pas été respecté. Le nouveau registraire a conclu que M. Lay ne devait pas subir les conséquences de cette situation. PWM a ensuite introduit une demande de contrôle judiciaire de la </w:t>
            </w:r>
            <w:r w:rsidRPr="00056924">
              <w:rPr>
                <w:rFonts w:eastAsiaTheme="minorHAnsi"/>
                <w:sz w:val="20"/>
                <w:lang w:val="fr-CA"/>
              </w:rPr>
              <w:lastRenderedPageBreak/>
              <w:t>décision de prolonger le délai de prescription.</w:t>
            </w:r>
          </w:p>
          <w:p w:rsidR="00202E4C" w:rsidRPr="00056924" w:rsidRDefault="00202E4C" w:rsidP="00202E4C">
            <w:pPr>
              <w:jc w:val="both"/>
              <w:rPr>
                <w:rFonts w:eastAsiaTheme="minorHAnsi"/>
                <w:sz w:val="20"/>
                <w:lang w:val="fr-CA"/>
              </w:rPr>
            </w:pPr>
          </w:p>
          <w:p w:rsidR="00202E4C" w:rsidRPr="00056924" w:rsidRDefault="00202E4C" w:rsidP="00202E4C">
            <w:pPr>
              <w:jc w:val="both"/>
              <w:rPr>
                <w:rFonts w:eastAsiaTheme="minorHAnsi"/>
                <w:sz w:val="20"/>
                <w:lang w:val="fr-CA"/>
              </w:rPr>
            </w:pPr>
            <w:r w:rsidRPr="00056924">
              <w:rPr>
                <w:rFonts w:eastAsiaTheme="minorHAnsi"/>
                <w:sz w:val="20"/>
                <w:lang w:val="fr-CA"/>
              </w:rPr>
              <w:t>La Cour du Banc de la Reine a rejeté la demande de contrôle judiciaire de la demanderesse. La Cour d’appel de l’Alberta a rejeté la demande d’autorisation d’appel de la demanderesse.</w:t>
            </w:r>
          </w:p>
          <w:p w:rsidR="00202E4C" w:rsidRPr="00056924" w:rsidRDefault="00202E4C" w:rsidP="00202E4C">
            <w:pPr>
              <w:jc w:val="both"/>
              <w:rPr>
                <w:rFonts w:eastAsiaTheme="minorHAnsi"/>
                <w:sz w:val="20"/>
                <w:lang w:val="fr-CA"/>
              </w:rPr>
            </w:pPr>
          </w:p>
        </w:tc>
      </w:tr>
      <w:tr w:rsidR="00202E4C" w:rsidRPr="00A02AC3" w:rsidTr="006C1A56">
        <w:tblPrEx>
          <w:tblCellMar>
            <w:bottom w:w="0" w:type="dxa"/>
          </w:tblCellMar>
        </w:tblPrEx>
        <w:tc>
          <w:tcPr>
            <w:tcW w:w="2390" w:type="pct"/>
            <w:gridSpan w:val="2"/>
          </w:tcPr>
          <w:p w:rsidR="00202E4C" w:rsidRPr="00056924" w:rsidRDefault="00202E4C" w:rsidP="00202E4C">
            <w:pPr>
              <w:jc w:val="both"/>
              <w:rPr>
                <w:rFonts w:eastAsiaTheme="minorHAnsi"/>
                <w:sz w:val="20"/>
                <w:lang w:val="fr-CA"/>
              </w:rPr>
            </w:pPr>
            <w:r w:rsidRPr="00056924">
              <w:rPr>
                <w:rFonts w:eastAsiaTheme="minorHAnsi"/>
                <w:sz w:val="20"/>
                <w:lang w:val="fr-CA"/>
              </w:rPr>
              <w:lastRenderedPageBreak/>
              <w:t>25 août 2014</w:t>
            </w:r>
          </w:p>
          <w:p w:rsidR="00202E4C" w:rsidRPr="00056924" w:rsidRDefault="00202E4C" w:rsidP="00202E4C">
            <w:pPr>
              <w:jc w:val="both"/>
              <w:rPr>
                <w:rFonts w:eastAsiaTheme="minorHAnsi"/>
                <w:sz w:val="20"/>
                <w:lang w:val="fr-CA"/>
              </w:rPr>
            </w:pPr>
            <w:r w:rsidRPr="00056924">
              <w:rPr>
                <w:rFonts w:eastAsiaTheme="minorHAnsi"/>
                <w:sz w:val="20"/>
                <w:lang w:val="fr-CA"/>
              </w:rPr>
              <w:t>Cour du Banc de la Reine de l’Alberta</w:t>
            </w:r>
          </w:p>
          <w:p w:rsidR="00202E4C" w:rsidRPr="00056924" w:rsidRDefault="00202E4C" w:rsidP="00202E4C">
            <w:pPr>
              <w:jc w:val="both"/>
              <w:rPr>
                <w:rFonts w:eastAsiaTheme="minorHAnsi"/>
                <w:sz w:val="20"/>
                <w:lang w:val="fr-CA"/>
              </w:rPr>
            </w:pPr>
            <w:r w:rsidRPr="00056924">
              <w:rPr>
                <w:rFonts w:eastAsiaTheme="minorHAnsi"/>
                <w:sz w:val="20"/>
                <w:lang w:val="fr-CA"/>
              </w:rPr>
              <w:t>(Juge Erb)</w:t>
            </w:r>
          </w:p>
          <w:p w:rsidR="00202E4C" w:rsidRPr="00056924" w:rsidRDefault="00202E4C" w:rsidP="00202E4C">
            <w:pPr>
              <w:jc w:val="both"/>
              <w:rPr>
                <w:rFonts w:eastAsiaTheme="minorHAnsi"/>
                <w:sz w:val="20"/>
                <w:lang w:val="fr-CA"/>
              </w:rPr>
            </w:pPr>
            <w:r w:rsidRPr="00056924">
              <w:rPr>
                <w:rFonts w:eastAsiaTheme="minorHAnsi"/>
                <w:sz w:val="20"/>
                <w:lang w:val="fr-CA"/>
              </w:rPr>
              <w:t xml:space="preserve">Référence neutre : </w:t>
            </w:r>
            <w:hyperlink r:id="rId47" w:history="1">
              <w:r w:rsidRPr="00056924">
                <w:rPr>
                  <w:rFonts w:eastAsiaTheme="minorHAnsi"/>
                  <w:color w:val="0000FF" w:themeColor="hyperlink"/>
                  <w:sz w:val="20"/>
                  <w:u w:val="single"/>
                  <w:lang w:val="fr-CA"/>
                </w:rPr>
                <w:t>2014 ABQB 524</w:t>
              </w:r>
            </w:hyperlink>
          </w:p>
          <w:p w:rsidR="00202E4C" w:rsidRPr="00056924" w:rsidRDefault="00202E4C" w:rsidP="00202E4C">
            <w:pPr>
              <w:jc w:val="both"/>
              <w:rPr>
                <w:rFonts w:eastAsiaTheme="minorHAnsi"/>
                <w:sz w:val="20"/>
                <w:lang w:val="fr-CA"/>
              </w:rPr>
            </w:pPr>
          </w:p>
        </w:tc>
        <w:tc>
          <w:tcPr>
            <w:tcW w:w="270" w:type="pct"/>
          </w:tcPr>
          <w:p w:rsidR="00202E4C" w:rsidRPr="00056924" w:rsidRDefault="00202E4C" w:rsidP="00202E4C">
            <w:pPr>
              <w:jc w:val="both"/>
              <w:rPr>
                <w:rFonts w:eastAsiaTheme="minorHAnsi"/>
                <w:sz w:val="20"/>
                <w:lang w:val="fr-CA"/>
              </w:rPr>
            </w:pPr>
          </w:p>
        </w:tc>
        <w:tc>
          <w:tcPr>
            <w:tcW w:w="2340" w:type="pct"/>
          </w:tcPr>
          <w:p w:rsidR="00202E4C" w:rsidRPr="00056924" w:rsidRDefault="00202E4C" w:rsidP="00202E4C">
            <w:pPr>
              <w:jc w:val="both"/>
              <w:rPr>
                <w:rFonts w:eastAsiaTheme="minorHAnsi"/>
                <w:sz w:val="20"/>
                <w:lang w:val="fr-CA"/>
              </w:rPr>
            </w:pPr>
            <w:r w:rsidRPr="00056924">
              <w:rPr>
                <w:rFonts w:eastAsiaTheme="minorHAnsi"/>
                <w:sz w:val="20"/>
                <w:lang w:val="fr-CA"/>
              </w:rPr>
              <w:t>Rejet de la demande de contrôle judiciaire de la demanderesse.</w:t>
            </w:r>
          </w:p>
          <w:p w:rsidR="00202E4C" w:rsidRPr="00056924" w:rsidRDefault="00202E4C" w:rsidP="00202E4C">
            <w:pPr>
              <w:jc w:val="both"/>
              <w:rPr>
                <w:rFonts w:eastAsiaTheme="minorHAnsi"/>
                <w:sz w:val="20"/>
                <w:lang w:val="fr-CA"/>
              </w:rPr>
            </w:pPr>
          </w:p>
        </w:tc>
      </w:tr>
      <w:tr w:rsidR="00202E4C" w:rsidRPr="00A02AC3" w:rsidTr="006C1A56">
        <w:tblPrEx>
          <w:tblCellMar>
            <w:bottom w:w="0" w:type="dxa"/>
          </w:tblCellMar>
        </w:tblPrEx>
        <w:tc>
          <w:tcPr>
            <w:tcW w:w="2390" w:type="pct"/>
            <w:gridSpan w:val="2"/>
          </w:tcPr>
          <w:p w:rsidR="00202E4C" w:rsidRPr="00056924" w:rsidRDefault="00A02AC3" w:rsidP="00202E4C">
            <w:pPr>
              <w:jc w:val="both"/>
              <w:rPr>
                <w:rFonts w:eastAsiaTheme="minorHAnsi"/>
                <w:sz w:val="20"/>
                <w:lang w:val="fr-CA"/>
              </w:rPr>
            </w:pPr>
            <w:r>
              <w:rPr>
                <w:rFonts w:eastAsiaTheme="minorHAnsi"/>
                <w:sz w:val="20"/>
                <w:lang w:val="fr-CA"/>
              </w:rPr>
              <w:t>29</w:t>
            </w:r>
            <w:r w:rsidR="00202E4C" w:rsidRPr="00056924">
              <w:rPr>
                <w:rFonts w:eastAsiaTheme="minorHAnsi"/>
                <w:sz w:val="20"/>
                <w:lang w:val="fr-CA"/>
              </w:rPr>
              <w:t xml:space="preserve"> </w:t>
            </w:r>
            <w:r>
              <w:rPr>
                <w:rFonts w:eastAsiaTheme="minorHAnsi"/>
                <w:sz w:val="20"/>
                <w:lang w:val="fr-CA"/>
              </w:rPr>
              <w:t>octo</w:t>
            </w:r>
            <w:r w:rsidR="00202E4C" w:rsidRPr="00056924">
              <w:rPr>
                <w:rFonts w:eastAsiaTheme="minorHAnsi"/>
                <w:sz w:val="20"/>
                <w:lang w:val="fr-CA"/>
              </w:rPr>
              <w:t>bre 2014</w:t>
            </w:r>
          </w:p>
          <w:p w:rsidR="00202E4C" w:rsidRPr="00056924" w:rsidRDefault="00202E4C" w:rsidP="00202E4C">
            <w:pPr>
              <w:jc w:val="both"/>
              <w:rPr>
                <w:rFonts w:eastAsiaTheme="minorHAnsi"/>
                <w:sz w:val="20"/>
                <w:lang w:val="fr-CA"/>
              </w:rPr>
            </w:pPr>
            <w:r w:rsidRPr="00056924">
              <w:rPr>
                <w:rFonts w:eastAsiaTheme="minorHAnsi"/>
                <w:sz w:val="20"/>
                <w:lang w:val="fr-CA"/>
              </w:rPr>
              <w:t>Cour d’appel de l’Alberta (Calgary)</w:t>
            </w:r>
          </w:p>
          <w:p w:rsidR="00202E4C" w:rsidRPr="00056924" w:rsidRDefault="00202E4C" w:rsidP="00202E4C">
            <w:pPr>
              <w:jc w:val="both"/>
              <w:rPr>
                <w:rFonts w:eastAsiaTheme="minorHAnsi"/>
                <w:sz w:val="20"/>
                <w:lang w:val="fr-CA"/>
              </w:rPr>
            </w:pPr>
            <w:r w:rsidRPr="00056924">
              <w:rPr>
                <w:rFonts w:eastAsiaTheme="minorHAnsi"/>
                <w:sz w:val="20"/>
                <w:lang w:val="fr-CA"/>
              </w:rPr>
              <w:t>(Juge McDonald)</w:t>
            </w:r>
          </w:p>
          <w:p w:rsidR="00202E4C" w:rsidRPr="00056924" w:rsidRDefault="00202E4C" w:rsidP="00202E4C">
            <w:pPr>
              <w:jc w:val="both"/>
              <w:rPr>
                <w:rFonts w:eastAsiaTheme="minorHAnsi"/>
                <w:sz w:val="20"/>
                <w:lang w:val="fr-CA"/>
              </w:rPr>
            </w:pPr>
            <w:r w:rsidRPr="00056924">
              <w:rPr>
                <w:rFonts w:eastAsiaTheme="minorHAnsi"/>
                <w:sz w:val="20"/>
                <w:lang w:val="fr-CA"/>
              </w:rPr>
              <w:t xml:space="preserve">Référence neutre : </w:t>
            </w:r>
            <w:hyperlink r:id="rId48" w:history="1">
              <w:r w:rsidRPr="00056924">
                <w:rPr>
                  <w:rFonts w:eastAsiaTheme="minorHAnsi"/>
                  <w:color w:val="0000FF" w:themeColor="hyperlink"/>
                  <w:sz w:val="20"/>
                  <w:u w:val="single"/>
                  <w:lang w:val="fr-CA"/>
                </w:rPr>
                <w:t>2014 ABCA 376</w:t>
              </w:r>
            </w:hyperlink>
            <w:r w:rsidRPr="00056924">
              <w:rPr>
                <w:rFonts w:eastAsiaTheme="minorHAnsi"/>
                <w:sz w:val="20"/>
                <w:lang w:val="fr-CA"/>
              </w:rPr>
              <w:t xml:space="preserve"> </w:t>
            </w:r>
          </w:p>
          <w:p w:rsidR="00202E4C" w:rsidRPr="00056924" w:rsidRDefault="00202E4C" w:rsidP="00202E4C">
            <w:pPr>
              <w:jc w:val="both"/>
              <w:rPr>
                <w:rFonts w:eastAsiaTheme="minorHAnsi"/>
                <w:sz w:val="20"/>
                <w:lang w:val="fr-CA"/>
              </w:rPr>
            </w:pPr>
          </w:p>
        </w:tc>
        <w:tc>
          <w:tcPr>
            <w:tcW w:w="270" w:type="pct"/>
          </w:tcPr>
          <w:p w:rsidR="00202E4C" w:rsidRPr="00056924" w:rsidRDefault="00202E4C" w:rsidP="00202E4C">
            <w:pPr>
              <w:jc w:val="both"/>
              <w:rPr>
                <w:rFonts w:eastAsiaTheme="minorHAnsi"/>
                <w:sz w:val="20"/>
                <w:lang w:val="fr-CA"/>
              </w:rPr>
            </w:pPr>
          </w:p>
        </w:tc>
        <w:tc>
          <w:tcPr>
            <w:tcW w:w="2340" w:type="pct"/>
          </w:tcPr>
          <w:p w:rsidR="00202E4C" w:rsidRPr="00056924" w:rsidRDefault="00202E4C" w:rsidP="00202E4C">
            <w:pPr>
              <w:jc w:val="both"/>
              <w:rPr>
                <w:rFonts w:eastAsiaTheme="minorHAnsi"/>
                <w:sz w:val="20"/>
                <w:lang w:val="fr-CA"/>
              </w:rPr>
            </w:pPr>
            <w:r w:rsidRPr="00056924">
              <w:rPr>
                <w:rFonts w:eastAsiaTheme="minorHAnsi"/>
                <w:sz w:val="20"/>
                <w:lang w:val="fr-CA"/>
              </w:rPr>
              <w:t>Rejet de la demande d’autorisation d’appel de la demanderesse.</w:t>
            </w:r>
          </w:p>
          <w:p w:rsidR="00202E4C" w:rsidRPr="00056924" w:rsidRDefault="00202E4C" w:rsidP="00202E4C">
            <w:pPr>
              <w:jc w:val="both"/>
              <w:rPr>
                <w:rFonts w:eastAsiaTheme="minorHAnsi"/>
                <w:sz w:val="20"/>
                <w:lang w:val="fr-CA"/>
              </w:rPr>
            </w:pPr>
          </w:p>
        </w:tc>
      </w:tr>
      <w:tr w:rsidR="00202E4C" w:rsidRPr="00A02AC3" w:rsidTr="006C1A56">
        <w:tblPrEx>
          <w:tblCellMar>
            <w:bottom w:w="0" w:type="dxa"/>
          </w:tblCellMar>
        </w:tblPrEx>
        <w:tc>
          <w:tcPr>
            <w:tcW w:w="2390" w:type="pct"/>
            <w:gridSpan w:val="2"/>
          </w:tcPr>
          <w:p w:rsidR="00202E4C" w:rsidRPr="00056924" w:rsidRDefault="00202E4C" w:rsidP="00202E4C">
            <w:pPr>
              <w:jc w:val="both"/>
              <w:rPr>
                <w:rFonts w:eastAsiaTheme="minorHAnsi"/>
                <w:sz w:val="20"/>
                <w:lang w:val="fr-CA"/>
              </w:rPr>
            </w:pPr>
            <w:r w:rsidRPr="00056924">
              <w:rPr>
                <w:rFonts w:eastAsiaTheme="minorHAnsi"/>
                <w:sz w:val="20"/>
                <w:lang w:val="fr-CA"/>
              </w:rPr>
              <w:t>19 février 2015</w:t>
            </w:r>
          </w:p>
          <w:p w:rsidR="00202E4C" w:rsidRPr="00056924" w:rsidRDefault="00202E4C" w:rsidP="00202E4C">
            <w:pPr>
              <w:jc w:val="both"/>
              <w:rPr>
                <w:rFonts w:eastAsiaTheme="minorHAnsi"/>
                <w:sz w:val="20"/>
                <w:lang w:val="fr-CA"/>
              </w:rPr>
            </w:pPr>
            <w:r w:rsidRPr="00056924">
              <w:rPr>
                <w:rFonts w:eastAsiaTheme="minorHAnsi"/>
                <w:sz w:val="20"/>
                <w:lang w:val="fr-CA"/>
              </w:rPr>
              <w:t>Cour suprême du Canada</w:t>
            </w:r>
          </w:p>
        </w:tc>
        <w:tc>
          <w:tcPr>
            <w:tcW w:w="270" w:type="pct"/>
          </w:tcPr>
          <w:p w:rsidR="00202E4C" w:rsidRPr="00056924" w:rsidRDefault="00202E4C" w:rsidP="00202E4C">
            <w:pPr>
              <w:jc w:val="both"/>
              <w:rPr>
                <w:rFonts w:eastAsiaTheme="minorHAnsi"/>
                <w:sz w:val="20"/>
                <w:lang w:val="fr-CA"/>
              </w:rPr>
            </w:pPr>
          </w:p>
        </w:tc>
        <w:tc>
          <w:tcPr>
            <w:tcW w:w="2340" w:type="pct"/>
          </w:tcPr>
          <w:p w:rsidR="00202E4C" w:rsidRPr="00056924" w:rsidRDefault="00202E4C" w:rsidP="00202E4C">
            <w:pPr>
              <w:jc w:val="both"/>
              <w:rPr>
                <w:rFonts w:eastAsiaTheme="minorHAnsi"/>
                <w:sz w:val="20"/>
                <w:lang w:val="fr-CA"/>
              </w:rPr>
            </w:pPr>
            <w:r w:rsidRPr="00056924">
              <w:rPr>
                <w:rFonts w:eastAsiaTheme="minorHAnsi"/>
                <w:sz w:val="20"/>
                <w:lang w:val="fr-CA"/>
              </w:rPr>
              <w:t>Dépôt de la requête en prorogation du délai de signification et de dépôt de la demande d’autorisation d’appel et de la demande d’autorisation d’appel.</w:t>
            </w:r>
          </w:p>
          <w:p w:rsidR="00202E4C" w:rsidRPr="00056924" w:rsidRDefault="00202E4C" w:rsidP="00202E4C">
            <w:pPr>
              <w:jc w:val="both"/>
              <w:rPr>
                <w:rFonts w:eastAsiaTheme="minorHAnsi"/>
                <w:sz w:val="20"/>
                <w:lang w:val="fr-CA"/>
              </w:rPr>
            </w:pPr>
          </w:p>
        </w:tc>
      </w:tr>
    </w:tbl>
    <w:p w:rsidR="00202E4C" w:rsidRPr="00056924" w:rsidRDefault="00202E4C" w:rsidP="00202E4C">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3ACF" w:rsidRPr="00863ACF" w:rsidTr="00056924">
        <w:tc>
          <w:tcPr>
            <w:tcW w:w="543" w:type="pct"/>
          </w:tcPr>
          <w:p w:rsidR="00863ACF" w:rsidRPr="00863ACF" w:rsidRDefault="00863ACF" w:rsidP="00863ACF">
            <w:pPr>
              <w:jc w:val="both"/>
              <w:rPr>
                <w:rFonts w:eastAsiaTheme="minorHAnsi"/>
                <w:sz w:val="20"/>
                <w:lang w:val="en-CA"/>
              </w:rPr>
            </w:pPr>
            <w:r w:rsidRPr="00056924">
              <w:rPr>
                <w:rFonts w:eastAsiaTheme="minorHAnsi"/>
                <w:b/>
                <w:sz w:val="20"/>
                <w:lang w:val="en-CA"/>
              </w:rPr>
              <w:t>36319</w:t>
            </w:r>
          </w:p>
        </w:tc>
        <w:tc>
          <w:tcPr>
            <w:tcW w:w="4457" w:type="pct"/>
            <w:gridSpan w:val="3"/>
          </w:tcPr>
          <w:p w:rsidR="00863ACF" w:rsidRPr="00863ACF" w:rsidRDefault="00863ACF" w:rsidP="00863ACF">
            <w:pPr>
              <w:jc w:val="both"/>
              <w:rPr>
                <w:rFonts w:eastAsiaTheme="minorHAnsi"/>
                <w:b/>
                <w:sz w:val="20"/>
                <w:lang w:val="en-CA"/>
              </w:rPr>
            </w:pPr>
            <w:r w:rsidRPr="00863ACF">
              <w:rPr>
                <w:rFonts w:eastAsiaTheme="minorHAnsi"/>
                <w:b/>
                <w:sz w:val="20"/>
                <w:lang w:val="en-CA"/>
              </w:rPr>
              <w:t>Wayne White v. City of Montréal and Attorney General of Quebec</w:t>
            </w:r>
          </w:p>
          <w:p w:rsidR="00863ACF" w:rsidRPr="00863ACF" w:rsidRDefault="00863ACF" w:rsidP="00863ACF">
            <w:pPr>
              <w:jc w:val="both"/>
              <w:rPr>
                <w:rFonts w:eastAsiaTheme="minorHAnsi"/>
                <w:sz w:val="20"/>
                <w:lang w:val="en-CA"/>
              </w:rPr>
            </w:pPr>
            <w:r w:rsidRPr="00863ACF">
              <w:rPr>
                <w:rFonts w:eastAsiaTheme="minorHAnsi"/>
                <w:sz w:val="20"/>
                <w:lang w:val="en-CA"/>
              </w:rPr>
              <w:t>(Que.) (Civil) (By Leave)</w:t>
            </w:r>
          </w:p>
        </w:tc>
      </w:tr>
      <w:tr w:rsidR="00863ACF" w:rsidRPr="00863ACF" w:rsidTr="00056924">
        <w:tc>
          <w:tcPr>
            <w:tcW w:w="5000" w:type="pct"/>
            <w:gridSpan w:val="4"/>
          </w:tcPr>
          <w:p w:rsidR="00863ACF" w:rsidRPr="00863ACF" w:rsidRDefault="00863ACF" w:rsidP="00863ACF">
            <w:pPr>
              <w:jc w:val="both"/>
              <w:rPr>
                <w:rFonts w:eastAsiaTheme="minorHAnsi"/>
                <w:sz w:val="20"/>
                <w:lang w:val="en-CA"/>
              </w:rPr>
            </w:pPr>
            <w:r w:rsidRPr="00863ACF">
              <w:rPr>
                <w:rFonts w:eastAsiaTheme="minorHAnsi"/>
                <w:sz w:val="20"/>
                <w:lang w:val="en-CA"/>
              </w:rPr>
              <w:t>Civil liability – Appeal – Leave to appeal – Whether the applicant raises a legal issue – Whether the issue is of public importance.</w:t>
            </w:r>
          </w:p>
        </w:tc>
      </w:tr>
      <w:tr w:rsidR="00863ACF" w:rsidRPr="00863ACF" w:rsidTr="00056924">
        <w:tc>
          <w:tcPr>
            <w:tcW w:w="5000" w:type="pct"/>
            <w:gridSpan w:val="4"/>
          </w:tcPr>
          <w:p w:rsidR="00863ACF" w:rsidRPr="00863ACF" w:rsidRDefault="00863ACF" w:rsidP="00863ACF">
            <w:pPr>
              <w:jc w:val="both"/>
              <w:rPr>
                <w:rFonts w:eastAsiaTheme="minorHAnsi"/>
                <w:sz w:val="20"/>
                <w:lang w:val="en-CA"/>
              </w:rPr>
            </w:pPr>
          </w:p>
        </w:tc>
      </w:tr>
      <w:tr w:rsidR="00863ACF" w:rsidRPr="00863ACF" w:rsidTr="00056924">
        <w:tc>
          <w:tcPr>
            <w:tcW w:w="5000" w:type="pct"/>
            <w:gridSpan w:val="4"/>
          </w:tcPr>
          <w:p w:rsidR="00863ACF" w:rsidRPr="00863ACF" w:rsidRDefault="00863ACF" w:rsidP="00863ACF">
            <w:pPr>
              <w:jc w:val="both"/>
              <w:rPr>
                <w:rFonts w:eastAsiaTheme="minorHAnsi"/>
                <w:sz w:val="20"/>
                <w:lang w:val="en-CA"/>
              </w:rPr>
            </w:pPr>
            <w:r w:rsidRPr="00863ACF">
              <w:rPr>
                <w:rFonts w:eastAsiaTheme="minorHAnsi"/>
                <w:sz w:val="20"/>
                <w:lang w:val="en-CA"/>
              </w:rPr>
              <w:t>On August 17, 2011, the applicant had an altercation with an off-duty police officer who resided on his street. The events led to the applicant’s arrest by police officers of the Service de police de la Ville de Montréal, and to charges against the applicant on three counts: using violence against a justice system participant, criminal harassment and assault. The charges were later dropped at the preliminary inquiry.</w:t>
            </w:r>
          </w:p>
          <w:p w:rsidR="00863ACF" w:rsidRPr="00863ACF" w:rsidRDefault="00863ACF" w:rsidP="00863ACF">
            <w:pPr>
              <w:jc w:val="both"/>
              <w:rPr>
                <w:rFonts w:eastAsiaTheme="minorHAnsi"/>
                <w:sz w:val="20"/>
                <w:lang w:val="en-CA"/>
              </w:rPr>
            </w:pPr>
          </w:p>
          <w:p w:rsidR="00863ACF" w:rsidRPr="00863ACF" w:rsidRDefault="00863ACF" w:rsidP="00863ACF">
            <w:pPr>
              <w:jc w:val="both"/>
              <w:rPr>
                <w:rFonts w:eastAsiaTheme="minorHAnsi"/>
                <w:sz w:val="20"/>
                <w:lang w:val="en-CA"/>
              </w:rPr>
            </w:pPr>
            <w:r w:rsidRPr="00863ACF">
              <w:rPr>
                <w:rFonts w:eastAsiaTheme="minorHAnsi"/>
                <w:sz w:val="20"/>
                <w:lang w:val="en-CA"/>
              </w:rPr>
              <w:t>Following those events, the applicant commenced an action against the City of Montréal and the Directeur des poursuites criminelles et pénales. He claimed $65,000 in damages caused by the false accusations brought against him. Lewis J. of the Court of Quebec dismissed the applicant’s action, finding that the police officers acted reasonably and did not commit any fault. The Court of Appeal of Quebec dismissed the applicant’s motion for an extension of time to seek leave to appeal, holding that his appeal had no reasonable chance of success.</w:t>
            </w:r>
          </w:p>
          <w:p w:rsidR="00863ACF" w:rsidRPr="00863ACF" w:rsidRDefault="00863ACF" w:rsidP="00863ACF">
            <w:pPr>
              <w:jc w:val="both"/>
              <w:rPr>
                <w:rFonts w:eastAsiaTheme="minorHAnsi"/>
                <w:sz w:val="20"/>
                <w:lang w:val="en-CA"/>
              </w:rPr>
            </w:pPr>
          </w:p>
        </w:tc>
      </w:tr>
      <w:tr w:rsidR="00863ACF" w:rsidRPr="00863ACF" w:rsidTr="00056924">
        <w:tc>
          <w:tcPr>
            <w:tcW w:w="2427" w:type="pct"/>
            <w:gridSpan w:val="2"/>
          </w:tcPr>
          <w:p w:rsidR="00863ACF" w:rsidRPr="00863ACF" w:rsidRDefault="00863ACF" w:rsidP="00863ACF">
            <w:pPr>
              <w:jc w:val="both"/>
              <w:rPr>
                <w:rFonts w:eastAsiaTheme="minorHAnsi"/>
                <w:sz w:val="20"/>
                <w:lang w:val="en-CA"/>
              </w:rPr>
            </w:pPr>
            <w:r w:rsidRPr="00863ACF">
              <w:rPr>
                <w:rFonts w:eastAsiaTheme="minorHAnsi"/>
                <w:sz w:val="20"/>
                <w:lang w:val="en-CA"/>
              </w:rPr>
              <w:t>September 29, 2014</w:t>
            </w:r>
          </w:p>
          <w:p w:rsidR="00863ACF" w:rsidRPr="00863ACF" w:rsidRDefault="00863ACF" w:rsidP="00863ACF">
            <w:pPr>
              <w:jc w:val="both"/>
              <w:rPr>
                <w:rFonts w:eastAsiaTheme="minorHAnsi"/>
                <w:sz w:val="20"/>
                <w:lang w:val="en-CA"/>
              </w:rPr>
            </w:pPr>
            <w:r w:rsidRPr="00863ACF">
              <w:rPr>
                <w:rFonts w:eastAsiaTheme="minorHAnsi"/>
                <w:sz w:val="20"/>
                <w:lang w:val="en-CA"/>
              </w:rPr>
              <w:t>Provincial Court of Quebec</w:t>
            </w:r>
          </w:p>
          <w:p w:rsidR="00863ACF" w:rsidRPr="00863ACF" w:rsidRDefault="00863ACF" w:rsidP="00863ACF">
            <w:pPr>
              <w:jc w:val="both"/>
              <w:rPr>
                <w:rFonts w:eastAsiaTheme="minorHAnsi"/>
                <w:sz w:val="20"/>
                <w:lang w:val="en-CA"/>
              </w:rPr>
            </w:pPr>
            <w:r w:rsidRPr="00863ACF">
              <w:rPr>
                <w:rFonts w:eastAsiaTheme="minorHAnsi"/>
                <w:sz w:val="20"/>
                <w:lang w:val="en-CA"/>
              </w:rPr>
              <w:t>(Lewis, J.)</w:t>
            </w:r>
          </w:p>
          <w:p w:rsidR="00863ACF" w:rsidRPr="00863ACF" w:rsidRDefault="00260D92" w:rsidP="00863ACF">
            <w:pPr>
              <w:jc w:val="both"/>
              <w:rPr>
                <w:rFonts w:eastAsiaTheme="minorHAnsi"/>
                <w:sz w:val="20"/>
                <w:lang w:val="en-CA"/>
              </w:rPr>
            </w:pPr>
            <w:hyperlink r:id="rId49" w:history="1">
              <w:r w:rsidR="00863ACF" w:rsidRPr="00056924">
                <w:rPr>
                  <w:rFonts w:eastAsiaTheme="minorHAnsi"/>
                  <w:color w:val="0000FF" w:themeColor="hyperlink"/>
                  <w:sz w:val="20"/>
                  <w:u w:val="single"/>
                  <w:lang w:val="en-CA"/>
                </w:rPr>
                <w:t>2014 QCCQ 11946</w:t>
              </w:r>
            </w:hyperlink>
          </w:p>
          <w:p w:rsidR="00863ACF" w:rsidRPr="00863ACF" w:rsidRDefault="00863ACF" w:rsidP="00863ACF">
            <w:pPr>
              <w:jc w:val="both"/>
              <w:rPr>
                <w:rFonts w:eastAsiaTheme="minorHAnsi"/>
                <w:sz w:val="20"/>
                <w:lang w:val="en-CA"/>
              </w:rPr>
            </w:pPr>
          </w:p>
        </w:tc>
        <w:tc>
          <w:tcPr>
            <w:tcW w:w="243" w:type="pct"/>
          </w:tcPr>
          <w:p w:rsidR="00863ACF" w:rsidRPr="00863ACF" w:rsidRDefault="00863ACF" w:rsidP="00863ACF">
            <w:pPr>
              <w:jc w:val="both"/>
              <w:rPr>
                <w:rFonts w:eastAsiaTheme="minorHAnsi"/>
                <w:sz w:val="20"/>
                <w:lang w:val="en-CA"/>
              </w:rPr>
            </w:pPr>
          </w:p>
        </w:tc>
        <w:tc>
          <w:tcPr>
            <w:tcW w:w="2330" w:type="pct"/>
          </w:tcPr>
          <w:p w:rsidR="00863ACF" w:rsidRPr="00863ACF" w:rsidRDefault="00863ACF" w:rsidP="00863ACF">
            <w:pPr>
              <w:jc w:val="both"/>
              <w:rPr>
                <w:rFonts w:eastAsiaTheme="minorHAnsi"/>
                <w:sz w:val="20"/>
                <w:lang w:val="en-CA"/>
              </w:rPr>
            </w:pPr>
            <w:r w:rsidRPr="00863ACF">
              <w:rPr>
                <w:rFonts w:eastAsiaTheme="minorHAnsi"/>
                <w:sz w:val="20"/>
                <w:lang w:val="en-CA"/>
              </w:rPr>
              <w:t>Action by applicant dismissed</w:t>
            </w:r>
          </w:p>
          <w:p w:rsidR="00863ACF" w:rsidRPr="00863ACF" w:rsidRDefault="00863ACF" w:rsidP="00863ACF">
            <w:pPr>
              <w:jc w:val="both"/>
              <w:rPr>
                <w:rFonts w:eastAsiaTheme="minorHAnsi"/>
                <w:sz w:val="20"/>
                <w:lang w:val="en-CA"/>
              </w:rPr>
            </w:pPr>
          </w:p>
        </w:tc>
      </w:tr>
      <w:tr w:rsidR="00863ACF" w:rsidRPr="00863ACF" w:rsidTr="00056924">
        <w:tc>
          <w:tcPr>
            <w:tcW w:w="2427" w:type="pct"/>
            <w:gridSpan w:val="2"/>
          </w:tcPr>
          <w:p w:rsidR="00863ACF" w:rsidRPr="00863ACF" w:rsidRDefault="00863ACF" w:rsidP="00863ACF">
            <w:pPr>
              <w:jc w:val="both"/>
              <w:rPr>
                <w:rFonts w:eastAsiaTheme="minorHAnsi"/>
                <w:sz w:val="20"/>
                <w:lang w:val="en-CA"/>
              </w:rPr>
            </w:pPr>
            <w:r w:rsidRPr="00863ACF">
              <w:rPr>
                <w:rFonts w:eastAsiaTheme="minorHAnsi"/>
                <w:sz w:val="20"/>
                <w:lang w:val="en-CA"/>
              </w:rPr>
              <w:lastRenderedPageBreak/>
              <w:t>December 3, 2014</w:t>
            </w:r>
          </w:p>
          <w:p w:rsidR="00863ACF" w:rsidRPr="00863ACF" w:rsidRDefault="00863ACF" w:rsidP="00863ACF">
            <w:pPr>
              <w:jc w:val="both"/>
              <w:rPr>
                <w:rFonts w:eastAsiaTheme="minorHAnsi"/>
                <w:sz w:val="20"/>
                <w:lang w:val="en-CA"/>
              </w:rPr>
            </w:pPr>
            <w:r w:rsidRPr="00863ACF">
              <w:rPr>
                <w:rFonts w:eastAsiaTheme="minorHAnsi"/>
                <w:sz w:val="20"/>
                <w:lang w:val="en-CA"/>
              </w:rPr>
              <w:t>Court of Appeal of Quebec (Montréal)</w:t>
            </w:r>
          </w:p>
          <w:p w:rsidR="00863ACF" w:rsidRPr="00863ACF" w:rsidRDefault="00863ACF" w:rsidP="00863ACF">
            <w:pPr>
              <w:jc w:val="both"/>
              <w:rPr>
                <w:rFonts w:eastAsiaTheme="minorHAnsi"/>
                <w:sz w:val="20"/>
              </w:rPr>
            </w:pPr>
            <w:r w:rsidRPr="00863ACF">
              <w:rPr>
                <w:rFonts w:eastAsiaTheme="minorHAnsi"/>
                <w:sz w:val="20"/>
              </w:rPr>
              <w:t>(Kasirer, Émond and Schrager JJ.A.)</w:t>
            </w:r>
          </w:p>
          <w:p w:rsidR="00863ACF" w:rsidRPr="00863ACF" w:rsidRDefault="00260D92" w:rsidP="00863ACF">
            <w:pPr>
              <w:jc w:val="both"/>
              <w:rPr>
                <w:rFonts w:eastAsiaTheme="minorHAnsi"/>
                <w:sz w:val="20"/>
                <w:lang w:val="en-CA"/>
              </w:rPr>
            </w:pPr>
            <w:hyperlink r:id="rId50" w:history="1">
              <w:r w:rsidR="00863ACF" w:rsidRPr="00056924">
                <w:rPr>
                  <w:rFonts w:eastAsiaTheme="minorHAnsi"/>
                  <w:color w:val="0000FF" w:themeColor="hyperlink"/>
                  <w:sz w:val="20"/>
                  <w:u w:val="single"/>
                  <w:lang w:val="en-CA"/>
                </w:rPr>
                <w:t>2014 QCCA 2221</w:t>
              </w:r>
            </w:hyperlink>
            <w:r w:rsidR="00863ACF" w:rsidRPr="00863ACF">
              <w:rPr>
                <w:rFonts w:eastAsiaTheme="minorHAnsi"/>
                <w:sz w:val="20"/>
                <w:lang w:val="en-CA"/>
              </w:rPr>
              <w:t xml:space="preserve"> </w:t>
            </w:r>
          </w:p>
          <w:p w:rsidR="00863ACF" w:rsidRPr="00863ACF" w:rsidRDefault="00863ACF" w:rsidP="00863ACF">
            <w:pPr>
              <w:jc w:val="both"/>
              <w:rPr>
                <w:rFonts w:eastAsiaTheme="minorHAnsi"/>
                <w:sz w:val="20"/>
                <w:lang w:val="en-CA"/>
              </w:rPr>
            </w:pPr>
          </w:p>
        </w:tc>
        <w:tc>
          <w:tcPr>
            <w:tcW w:w="243" w:type="pct"/>
          </w:tcPr>
          <w:p w:rsidR="00863ACF" w:rsidRPr="00863ACF" w:rsidRDefault="00863ACF" w:rsidP="00863ACF">
            <w:pPr>
              <w:jc w:val="both"/>
              <w:rPr>
                <w:rFonts w:eastAsiaTheme="minorHAnsi"/>
                <w:sz w:val="20"/>
                <w:lang w:val="en-CA"/>
              </w:rPr>
            </w:pPr>
          </w:p>
        </w:tc>
        <w:tc>
          <w:tcPr>
            <w:tcW w:w="2330" w:type="pct"/>
          </w:tcPr>
          <w:p w:rsidR="00863ACF" w:rsidRPr="00863ACF" w:rsidRDefault="00863ACF" w:rsidP="00863ACF">
            <w:pPr>
              <w:jc w:val="both"/>
              <w:rPr>
                <w:rFonts w:eastAsiaTheme="minorHAnsi"/>
                <w:sz w:val="20"/>
                <w:lang w:val="en-CA"/>
              </w:rPr>
            </w:pPr>
            <w:r w:rsidRPr="00863ACF">
              <w:rPr>
                <w:rFonts w:eastAsiaTheme="minorHAnsi"/>
                <w:sz w:val="20"/>
                <w:lang w:val="en-CA"/>
              </w:rPr>
              <w:t xml:space="preserve">Motion by applicant for extension of time to seek leave to appeal dismissed </w:t>
            </w:r>
          </w:p>
        </w:tc>
      </w:tr>
      <w:tr w:rsidR="00863ACF" w:rsidRPr="00863ACF" w:rsidTr="00056924">
        <w:tc>
          <w:tcPr>
            <w:tcW w:w="2427" w:type="pct"/>
            <w:gridSpan w:val="2"/>
          </w:tcPr>
          <w:p w:rsidR="00863ACF" w:rsidRPr="00863ACF" w:rsidRDefault="00863ACF" w:rsidP="00863ACF">
            <w:pPr>
              <w:jc w:val="both"/>
              <w:rPr>
                <w:rFonts w:eastAsiaTheme="minorHAnsi"/>
                <w:sz w:val="20"/>
                <w:lang w:val="en-CA"/>
              </w:rPr>
            </w:pPr>
            <w:r w:rsidRPr="00863ACF">
              <w:rPr>
                <w:rFonts w:eastAsiaTheme="minorHAnsi"/>
                <w:sz w:val="20"/>
                <w:lang w:val="en-CA"/>
              </w:rPr>
              <w:t>January 15, 2015</w:t>
            </w:r>
          </w:p>
          <w:p w:rsidR="00863ACF" w:rsidRPr="00863ACF" w:rsidRDefault="00863ACF" w:rsidP="00863ACF">
            <w:pPr>
              <w:jc w:val="both"/>
              <w:rPr>
                <w:rFonts w:eastAsiaTheme="minorHAnsi"/>
                <w:sz w:val="20"/>
                <w:lang w:val="en-CA"/>
              </w:rPr>
            </w:pPr>
            <w:r w:rsidRPr="00863ACF">
              <w:rPr>
                <w:rFonts w:eastAsiaTheme="minorHAnsi"/>
                <w:sz w:val="20"/>
                <w:lang w:val="en-CA"/>
              </w:rPr>
              <w:t>Supreme Court of Canada</w:t>
            </w:r>
          </w:p>
        </w:tc>
        <w:tc>
          <w:tcPr>
            <w:tcW w:w="243" w:type="pct"/>
          </w:tcPr>
          <w:p w:rsidR="00863ACF" w:rsidRPr="00863ACF" w:rsidRDefault="00863ACF" w:rsidP="00863ACF">
            <w:pPr>
              <w:jc w:val="both"/>
              <w:rPr>
                <w:rFonts w:eastAsiaTheme="minorHAnsi"/>
                <w:sz w:val="20"/>
                <w:lang w:val="en-CA"/>
              </w:rPr>
            </w:pPr>
          </w:p>
        </w:tc>
        <w:tc>
          <w:tcPr>
            <w:tcW w:w="2330" w:type="pct"/>
          </w:tcPr>
          <w:p w:rsidR="00863ACF" w:rsidRPr="00863ACF" w:rsidRDefault="00863ACF" w:rsidP="00863ACF">
            <w:pPr>
              <w:jc w:val="both"/>
              <w:rPr>
                <w:rFonts w:eastAsiaTheme="minorHAnsi"/>
                <w:sz w:val="20"/>
                <w:lang w:val="en-CA"/>
              </w:rPr>
            </w:pPr>
            <w:r w:rsidRPr="00863ACF">
              <w:rPr>
                <w:rFonts w:eastAsiaTheme="minorHAnsi"/>
                <w:sz w:val="20"/>
                <w:lang w:val="en-CA"/>
              </w:rPr>
              <w:t>Application for leave to appeal filed</w:t>
            </w:r>
          </w:p>
          <w:p w:rsidR="00863ACF" w:rsidRPr="00863ACF" w:rsidRDefault="00863ACF" w:rsidP="00863ACF">
            <w:pPr>
              <w:jc w:val="both"/>
              <w:rPr>
                <w:rFonts w:eastAsiaTheme="minorHAnsi"/>
                <w:sz w:val="20"/>
                <w:lang w:val="en-CA"/>
              </w:rPr>
            </w:pPr>
          </w:p>
        </w:tc>
      </w:tr>
    </w:tbl>
    <w:p w:rsidR="00863ACF" w:rsidRDefault="00863ACF" w:rsidP="00863ACF">
      <w:pPr>
        <w:jc w:val="both"/>
        <w:rPr>
          <w:rFonts w:eastAsiaTheme="minorHAnsi"/>
          <w:sz w:val="20"/>
          <w:lang w:val="en-CA"/>
        </w:rPr>
      </w:pPr>
    </w:p>
    <w:p w:rsidR="00056924" w:rsidRPr="00863ACF" w:rsidRDefault="00056924" w:rsidP="00863ACF">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3ACF" w:rsidRPr="00863ACF" w:rsidTr="00056924">
        <w:tc>
          <w:tcPr>
            <w:tcW w:w="543" w:type="pct"/>
          </w:tcPr>
          <w:p w:rsidR="00863ACF" w:rsidRPr="00863ACF" w:rsidRDefault="00863ACF" w:rsidP="00863ACF">
            <w:pPr>
              <w:jc w:val="both"/>
              <w:rPr>
                <w:rFonts w:eastAsiaTheme="minorHAnsi"/>
                <w:sz w:val="20"/>
                <w:lang w:val="fr-CA"/>
              </w:rPr>
            </w:pPr>
            <w:r w:rsidRPr="00056924">
              <w:rPr>
                <w:rFonts w:eastAsiaTheme="minorHAnsi"/>
                <w:b/>
                <w:sz w:val="20"/>
                <w:lang w:val="fr-CA"/>
              </w:rPr>
              <w:t>36319</w:t>
            </w:r>
          </w:p>
        </w:tc>
        <w:tc>
          <w:tcPr>
            <w:tcW w:w="4457" w:type="pct"/>
            <w:gridSpan w:val="3"/>
          </w:tcPr>
          <w:p w:rsidR="00863ACF" w:rsidRPr="00863ACF" w:rsidRDefault="00863ACF" w:rsidP="00863ACF">
            <w:pPr>
              <w:jc w:val="both"/>
              <w:rPr>
                <w:rFonts w:eastAsiaTheme="minorHAnsi"/>
                <w:b/>
                <w:sz w:val="20"/>
                <w:lang w:val="fr-CA"/>
              </w:rPr>
            </w:pPr>
            <w:r w:rsidRPr="00863ACF">
              <w:rPr>
                <w:rFonts w:eastAsiaTheme="minorHAnsi"/>
                <w:b/>
                <w:sz w:val="20"/>
                <w:lang w:val="fr-CA"/>
              </w:rPr>
              <w:t>Wayne White c. Ville de Montréal et procureur général du Québec</w:t>
            </w:r>
          </w:p>
          <w:p w:rsidR="00863ACF" w:rsidRPr="00863ACF" w:rsidRDefault="00863ACF" w:rsidP="00863ACF">
            <w:pPr>
              <w:jc w:val="both"/>
              <w:rPr>
                <w:rFonts w:eastAsiaTheme="minorHAnsi"/>
                <w:sz w:val="20"/>
                <w:lang w:val="fr-CA"/>
              </w:rPr>
            </w:pPr>
            <w:r w:rsidRPr="00863ACF">
              <w:rPr>
                <w:rFonts w:eastAsiaTheme="minorHAnsi"/>
                <w:sz w:val="20"/>
                <w:lang w:val="fr-CA"/>
              </w:rPr>
              <w:t>(Qué.) (Civile) (Sur autorisation)</w:t>
            </w:r>
          </w:p>
        </w:tc>
      </w:tr>
      <w:tr w:rsidR="00863ACF" w:rsidRPr="00A02AC3" w:rsidTr="00056924">
        <w:tc>
          <w:tcPr>
            <w:tcW w:w="5000" w:type="pct"/>
            <w:gridSpan w:val="4"/>
          </w:tcPr>
          <w:p w:rsidR="00863ACF" w:rsidRPr="00863ACF" w:rsidRDefault="00863ACF" w:rsidP="00863ACF">
            <w:pPr>
              <w:jc w:val="both"/>
              <w:rPr>
                <w:rFonts w:eastAsiaTheme="minorHAnsi"/>
                <w:sz w:val="20"/>
                <w:lang w:val="fr-CA"/>
              </w:rPr>
            </w:pPr>
            <w:r w:rsidRPr="00863ACF">
              <w:rPr>
                <w:rFonts w:eastAsiaTheme="minorHAnsi"/>
                <w:sz w:val="20"/>
                <w:lang w:val="fr-CA"/>
              </w:rPr>
              <w:t>Responsabilité civile – Appel – Autorisation d’appel – Le demandeur soulève-t-il une question de droit? – La question revêt-t-elle de l’importance pour le public?</w:t>
            </w:r>
          </w:p>
        </w:tc>
      </w:tr>
      <w:tr w:rsidR="00863ACF" w:rsidRPr="00A02AC3" w:rsidTr="00056924">
        <w:tc>
          <w:tcPr>
            <w:tcW w:w="5000" w:type="pct"/>
            <w:gridSpan w:val="4"/>
          </w:tcPr>
          <w:p w:rsidR="00863ACF" w:rsidRPr="00863ACF" w:rsidRDefault="00863ACF" w:rsidP="00863ACF">
            <w:pPr>
              <w:jc w:val="both"/>
              <w:rPr>
                <w:rFonts w:eastAsiaTheme="minorHAnsi"/>
                <w:sz w:val="20"/>
                <w:lang w:val="fr-CA"/>
              </w:rPr>
            </w:pPr>
          </w:p>
        </w:tc>
      </w:tr>
      <w:tr w:rsidR="00863ACF" w:rsidRPr="00A02AC3" w:rsidTr="00056924">
        <w:tc>
          <w:tcPr>
            <w:tcW w:w="5000" w:type="pct"/>
            <w:gridSpan w:val="4"/>
          </w:tcPr>
          <w:p w:rsidR="00863ACF" w:rsidRPr="00863ACF" w:rsidRDefault="00863ACF" w:rsidP="00863ACF">
            <w:pPr>
              <w:jc w:val="both"/>
              <w:rPr>
                <w:rFonts w:eastAsiaTheme="minorHAnsi"/>
                <w:sz w:val="20"/>
                <w:lang w:val="fr-CA"/>
              </w:rPr>
            </w:pPr>
            <w:r w:rsidRPr="00863ACF">
              <w:rPr>
                <w:rFonts w:eastAsiaTheme="minorHAnsi"/>
                <w:sz w:val="20"/>
                <w:lang w:val="fr-CA"/>
              </w:rPr>
              <w:t>Le 17 août 2011, le demandeur a eu une altercation avec un policier en congé qui habitait la même rue que lui. Les événements ont mené à l’arrestation du demandeur par des policiers du Service de police de la Ville de Montréal et à des accusations portées contre le demandeur sous trois chefs : violence à l’endroit d’un intervenant du système judiciaire, harcèlement criminel et voies de fait. Les accusations ont été abandonnées plus tard, à l’enquête préliminaire.</w:t>
            </w:r>
          </w:p>
          <w:p w:rsidR="00863ACF" w:rsidRPr="00863ACF" w:rsidRDefault="00863ACF" w:rsidP="00863ACF">
            <w:pPr>
              <w:jc w:val="both"/>
              <w:rPr>
                <w:rFonts w:eastAsiaTheme="minorHAnsi"/>
                <w:sz w:val="20"/>
                <w:lang w:val="fr-CA"/>
              </w:rPr>
            </w:pPr>
          </w:p>
          <w:p w:rsidR="00863ACF" w:rsidRPr="00863ACF" w:rsidRDefault="00863ACF" w:rsidP="00863ACF">
            <w:pPr>
              <w:jc w:val="both"/>
              <w:rPr>
                <w:rFonts w:eastAsiaTheme="minorHAnsi"/>
                <w:sz w:val="20"/>
                <w:lang w:val="fr-CA"/>
              </w:rPr>
            </w:pPr>
            <w:r w:rsidRPr="00863ACF">
              <w:rPr>
                <w:rFonts w:eastAsiaTheme="minorHAnsi"/>
                <w:sz w:val="20"/>
                <w:lang w:val="fr-CA"/>
              </w:rPr>
              <w:t>À la suite de ces événements, le demandeur a intenté une action contre la Ville de Montréal et le Directeur des poursuites criminelles et pénales. Il a réclamé la somme de 65 000 $ en dommages-intérêts, alléguant que de fausses accusations avaient été portées contre lui. La juge Lewis de la Cour du Québec a rejeté l’action du demandeur, concluant que les policiers avaient agi raisonnablement et qu’ils n’avaient commis aucune faute. La Cour d’appel du Québec a rejeté la requête en prorogation du délai pour présenter une demande d’autorisation d’appel, statuant que son appel ne présentait aucune chance raisonnable de succès.</w:t>
            </w:r>
          </w:p>
          <w:p w:rsidR="00863ACF" w:rsidRPr="00863ACF" w:rsidRDefault="00863ACF" w:rsidP="00863ACF">
            <w:pPr>
              <w:jc w:val="both"/>
              <w:rPr>
                <w:rFonts w:eastAsiaTheme="minorHAnsi"/>
                <w:sz w:val="20"/>
                <w:lang w:val="fr-CA"/>
              </w:rPr>
            </w:pPr>
          </w:p>
        </w:tc>
      </w:tr>
      <w:tr w:rsidR="00863ACF" w:rsidRPr="00863ACF" w:rsidTr="00056924">
        <w:tc>
          <w:tcPr>
            <w:tcW w:w="2427" w:type="pct"/>
            <w:gridSpan w:val="2"/>
          </w:tcPr>
          <w:p w:rsidR="00863ACF" w:rsidRPr="00863ACF" w:rsidRDefault="00863ACF" w:rsidP="00863ACF">
            <w:pPr>
              <w:jc w:val="both"/>
              <w:rPr>
                <w:rFonts w:eastAsiaTheme="minorHAnsi"/>
                <w:sz w:val="20"/>
                <w:lang w:val="fr-CA"/>
              </w:rPr>
            </w:pPr>
            <w:r w:rsidRPr="00863ACF">
              <w:rPr>
                <w:rFonts w:eastAsiaTheme="minorHAnsi"/>
                <w:sz w:val="20"/>
                <w:lang w:val="fr-CA"/>
              </w:rPr>
              <w:t>29 septembre 2014</w:t>
            </w:r>
          </w:p>
          <w:p w:rsidR="00863ACF" w:rsidRPr="00863ACF" w:rsidRDefault="00863ACF" w:rsidP="00863ACF">
            <w:pPr>
              <w:jc w:val="both"/>
              <w:rPr>
                <w:rFonts w:eastAsiaTheme="minorHAnsi"/>
                <w:sz w:val="20"/>
                <w:lang w:val="fr-CA"/>
              </w:rPr>
            </w:pPr>
            <w:r w:rsidRPr="00863ACF">
              <w:rPr>
                <w:rFonts w:eastAsiaTheme="minorHAnsi"/>
                <w:sz w:val="20"/>
                <w:lang w:val="fr-CA"/>
              </w:rPr>
              <w:t>Cour du Québec</w:t>
            </w:r>
          </w:p>
          <w:p w:rsidR="00863ACF" w:rsidRPr="00863ACF" w:rsidRDefault="00863ACF" w:rsidP="00863ACF">
            <w:pPr>
              <w:jc w:val="both"/>
              <w:rPr>
                <w:rFonts w:eastAsiaTheme="minorHAnsi"/>
                <w:sz w:val="20"/>
                <w:lang w:val="fr-CA"/>
              </w:rPr>
            </w:pPr>
            <w:r w:rsidRPr="00863ACF">
              <w:rPr>
                <w:rFonts w:eastAsiaTheme="minorHAnsi"/>
                <w:sz w:val="20"/>
                <w:lang w:val="fr-CA"/>
              </w:rPr>
              <w:t>(Juge Lewis)</w:t>
            </w:r>
          </w:p>
          <w:p w:rsidR="00863ACF" w:rsidRPr="00863ACF" w:rsidRDefault="00260D92" w:rsidP="00863ACF">
            <w:pPr>
              <w:jc w:val="both"/>
              <w:rPr>
                <w:rFonts w:eastAsiaTheme="minorHAnsi"/>
                <w:sz w:val="20"/>
                <w:lang w:val="fr-CA"/>
              </w:rPr>
            </w:pPr>
            <w:hyperlink r:id="rId51" w:history="1">
              <w:r w:rsidR="00863ACF" w:rsidRPr="00056924">
                <w:rPr>
                  <w:rFonts w:eastAsiaTheme="minorHAnsi"/>
                  <w:color w:val="0000FF" w:themeColor="hyperlink"/>
                  <w:sz w:val="20"/>
                  <w:u w:val="single"/>
                  <w:lang w:val="fr-CA"/>
                </w:rPr>
                <w:t>2014 QCCQ 11946</w:t>
              </w:r>
            </w:hyperlink>
          </w:p>
          <w:p w:rsidR="00863ACF" w:rsidRPr="00863ACF" w:rsidRDefault="00863ACF" w:rsidP="00863ACF">
            <w:pPr>
              <w:jc w:val="both"/>
              <w:rPr>
                <w:rFonts w:eastAsiaTheme="minorHAnsi"/>
                <w:sz w:val="20"/>
                <w:lang w:val="fr-CA"/>
              </w:rPr>
            </w:pPr>
          </w:p>
        </w:tc>
        <w:tc>
          <w:tcPr>
            <w:tcW w:w="243" w:type="pct"/>
          </w:tcPr>
          <w:p w:rsidR="00863ACF" w:rsidRPr="00863ACF" w:rsidRDefault="00863ACF" w:rsidP="00863ACF">
            <w:pPr>
              <w:jc w:val="both"/>
              <w:rPr>
                <w:rFonts w:eastAsiaTheme="minorHAnsi"/>
                <w:sz w:val="20"/>
                <w:lang w:val="fr-CA"/>
              </w:rPr>
            </w:pPr>
          </w:p>
        </w:tc>
        <w:tc>
          <w:tcPr>
            <w:tcW w:w="2330" w:type="pct"/>
          </w:tcPr>
          <w:p w:rsidR="00863ACF" w:rsidRPr="00863ACF" w:rsidRDefault="00863ACF" w:rsidP="00863ACF">
            <w:pPr>
              <w:jc w:val="both"/>
              <w:rPr>
                <w:rFonts w:eastAsiaTheme="minorHAnsi"/>
                <w:sz w:val="20"/>
                <w:lang w:val="fr-CA"/>
              </w:rPr>
            </w:pPr>
            <w:r w:rsidRPr="00863ACF">
              <w:rPr>
                <w:rFonts w:eastAsiaTheme="minorHAnsi"/>
                <w:sz w:val="20"/>
                <w:lang w:val="fr-CA"/>
              </w:rPr>
              <w:t>Rejet de l’action du demandeur</w:t>
            </w:r>
          </w:p>
          <w:p w:rsidR="00863ACF" w:rsidRPr="00863ACF" w:rsidRDefault="00863ACF" w:rsidP="00863ACF">
            <w:pPr>
              <w:jc w:val="both"/>
              <w:rPr>
                <w:rFonts w:eastAsiaTheme="minorHAnsi"/>
                <w:sz w:val="20"/>
                <w:lang w:val="fr-CA"/>
              </w:rPr>
            </w:pPr>
          </w:p>
        </w:tc>
      </w:tr>
      <w:tr w:rsidR="00863ACF" w:rsidRPr="00A02AC3" w:rsidTr="00056924">
        <w:tc>
          <w:tcPr>
            <w:tcW w:w="2427" w:type="pct"/>
            <w:gridSpan w:val="2"/>
          </w:tcPr>
          <w:p w:rsidR="00863ACF" w:rsidRPr="00863ACF" w:rsidRDefault="00863ACF" w:rsidP="00863ACF">
            <w:pPr>
              <w:jc w:val="both"/>
              <w:rPr>
                <w:rFonts w:eastAsiaTheme="minorHAnsi"/>
                <w:sz w:val="20"/>
                <w:lang w:val="fr-CA"/>
              </w:rPr>
            </w:pPr>
            <w:r w:rsidRPr="00863ACF">
              <w:rPr>
                <w:rFonts w:eastAsiaTheme="minorHAnsi"/>
                <w:sz w:val="20"/>
                <w:lang w:val="fr-CA"/>
              </w:rPr>
              <w:t>3 décembre 2014</w:t>
            </w:r>
          </w:p>
          <w:p w:rsidR="00863ACF" w:rsidRPr="00863ACF" w:rsidRDefault="00863ACF" w:rsidP="00863ACF">
            <w:pPr>
              <w:jc w:val="both"/>
              <w:rPr>
                <w:rFonts w:eastAsiaTheme="minorHAnsi"/>
                <w:sz w:val="20"/>
                <w:lang w:val="fr-CA"/>
              </w:rPr>
            </w:pPr>
            <w:r w:rsidRPr="00863ACF">
              <w:rPr>
                <w:rFonts w:eastAsiaTheme="minorHAnsi"/>
                <w:sz w:val="20"/>
                <w:lang w:val="fr-CA"/>
              </w:rPr>
              <w:t>Cour d’appel du Québec (Montréal)</w:t>
            </w:r>
          </w:p>
          <w:p w:rsidR="00863ACF" w:rsidRPr="00863ACF" w:rsidRDefault="00863ACF" w:rsidP="00863ACF">
            <w:pPr>
              <w:jc w:val="both"/>
              <w:rPr>
                <w:rFonts w:eastAsiaTheme="minorHAnsi"/>
                <w:sz w:val="20"/>
                <w:lang w:val="fr-CA"/>
              </w:rPr>
            </w:pPr>
            <w:r w:rsidRPr="00863ACF">
              <w:rPr>
                <w:rFonts w:eastAsiaTheme="minorHAnsi"/>
                <w:sz w:val="20"/>
                <w:lang w:val="fr-CA"/>
              </w:rPr>
              <w:t>(Juges Kasirer, Émond et Schrager)</w:t>
            </w:r>
          </w:p>
          <w:p w:rsidR="00863ACF" w:rsidRPr="00863ACF" w:rsidRDefault="00260D92" w:rsidP="00863ACF">
            <w:pPr>
              <w:jc w:val="both"/>
              <w:rPr>
                <w:rFonts w:eastAsiaTheme="minorHAnsi"/>
                <w:sz w:val="20"/>
                <w:lang w:val="fr-CA"/>
              </w:rPr>
            </w:pPr>
            <w:hyperlink r:id="rId52" w:history="1">
              <w:r w:rsidR="00863ACF" w:rsidRPr="00056924">
                <w:rPr>
                  <w:rFonts w:eastAsiaTheme="minorHAnsi"/>
                  <w:color w:val="0000FF" w:themeColor="hyperlink"/>
                  <w:sz w:val="20"/>
                  <w:u w:val="single"/>
                  <w:lang w:val="fr-CA"/>
                </w:rPr>
                <w:t>2014 QCCA 2221</w:t>
              </w:r>
            </w:hyperlink>
            <w:r w:rsidR="00863ACF" w:rsidRPr="00863ACF">
              <w:rPr>
                <w:rFonts w:eastAsiaTheme="minorHAnsi"/>
                <w:sz w:val="20"/>
                <w:lang w:val="fr-CA"/>
              </w:rPr>
              <w:t xml:space="preserve"> </w:t>
            </w:r>
          </w:p>
          <w:p w:rsidR="00863ACF" w:rsidRPr="00863ACF" w:rsidRDefault="00863ACF" w:rsidP="00863ACF">
            <w:pPr>
              <w:jc w:val="both"/>
              <w:rPr>
                <w:rFonts w:eastAsiaTheme="minorHAnsi"/>
                <w:sz w:val="20"/>
                <w:lang w:val="fr-CA"/>
              </w:rPr>
            </w:pPr>
          </w:p>
        </w:tc>
        <w:tc>
          <w:tcPr>
            <w:tcW w:w="243" w:type="pct"/>
          </w:tcPr>
          <w:p w:rsidR="00863ACF" w:rsidRPr="00863ACF" w:rsidRDefault="00863ACF" w:rsidP="00863ACF">
            <w:pPr>
              <w:jc w:val="both"/>
              <w:rPr>
                <w:rFonts w:eastAsiaTheme="minorHAnsi"/>
                <w:sz w:val="20"/>
                <w:lang w:val="fr-CA"/>
              </w:rPr>
            </w:pPr>
          </w:p>
        </w:tc>
        <w:tc>
          <w:tcPr>
            <w:tcW w:w="2330" w:type="pct"/>
          </w:tcPr>
          <w:p w:rsidR="00863ACF" w:rsidRPr="00863ACF" w:rsidRDefault="00863ACF" w:rsidP="00863ACF">
            <w:pPr>
              <w:jc w:val="both"/>
              <w:rPr>
                <w:rFonts w:eastAsiaTheme="minorHAnsi"/>
                <w:sz w:val="20"/>
                <w:lang w:val="fr-CA"/>
              </w:rPr>
            </w:pPr>
            <w:r w:rsidRPr="00863ACF">
              <w:rPr>
                <w:rFonts w:eastAsiaTheme="minorHAnsi"/>
                <w:sz w:val="20"/>
                <w:lang w:val="fr-CA"/>
              </w:rPr>
              <w:t xml:space="preserve">Rejet de la requête du demandeur en prorogation du délai pour demander l’autorisation d’appel </w:t>
            </w:r>
          </w:p>
        </w:tc>
      </w:tr>
      <w:tr w:rsidR="00863ACF" w:rsidRPr="00A02AC3" w:rsidTr="00056924">
        <w:tc>
          <w:tcPr>
            <w:tcW w:w="2427" w:type="pct"/>
            <w:gridSpan w:val="2"/>
          </w:tcPr>
          <w:p w:rsidR="00863ACF" w:rsidRPr="00863ACF" w:rsidRDefault="00863ACF" w:rsidP="00863ACF">
            <w:pPr>
              <w:jc w:val="both"/>
              <w:rPr>
                <w:rFonts w:eastAsiaTheme="minorHAnsi"/>
                <w:sz w:val="20"/>
                <w:lang w:val="fr-CA"/>
              </w:rPr>
            </w:pPr>
            <w:r w:rsidRPr="00863ACF">
              <w:rPr>
                <w:rFonts w:eastAsiaTheme="minorHAnsi"/>
                <w:sz w:val="20"/>
                <w:lang w:val="fr-CA"/>
              </w:rPr>
              <w:t>15 janvier 2015</w:t>
            </w:r>
          </w:p>
          <w:p w:rsidR="00863ACF" w:rsidRPr="00863ACF" w:rsidRDefault="00863ACF" w:rsidP="00863ACF">
            <w:pPr>
              <w:jc w:val="both"/>
              <w:rPr>
                <w:rFonts w:eastAsiaTheme="minorHAnsi"/>
                <w:sz w:val="20"/>
                <w:lang w:val="fr-CA"/>
              </w:rPr>
            </w:pPr>
            <w:r w:rsidRPr="00863ACF">
              <w:rPr>
                <w:rFonts w:eastAsiaTheme="minorHAnsi"/>
                <w:sz w:val="20"/>
                <w:lang w:val="fr-CA"/>
              </w:rPr>
              <w:t>Cour suprême du Canada</w:t>
            </w:r>
          </w:p>
        </w:tc>
        <w:tc>
          <w:tcPr>
            <w:tcW w:w="243" w:type="pct"/>
          </w:tcPr>
          <w:p w:rsidR="00863ACF" w:rsidRPr="00863ACF" w:rsidRDefault="00863ACF" w:rsidP="00863ACF">
            <w:pPr>
              <w:jc w:val="both"/>
              <w:rPr>
                <w:rFonts w:eastAsiaTheme="minorHAnsi"/>
                <w:sz w:val="20"/>
                <w:lang w:val="fr-CA"/>
              </w:rPr>
            </w:pPr>
          </w:p>
        </w:tc>
        <w:tc>
          <w:tcPr>
            <w:tcW w:w="2330" w:type="pct"/>
          </w:tcPr>
          <w:p w:rsidR="00863ACF" w:rsidRPr="00863ACF" w:rsidRDefault="00863ACF" w:rsidP="00863ACF">
            <w:pPr>
              <w:jc w:val="both"/>
              <w:rPr>
                <w:rFonts w:eastAsiaTheme="minorHAnsi"/>
                <w:sz w:val="20"/>
                <w:lang w:val="fr-CA"/>
              </w:rPr>
            </w:pPr>
            <w:r w:rsidRPr="00863ACF">
              <w:rPr>
                <w:rFonts w:eastAsiaTheme="minorHAnsi"/>
                <w:sz w:val="20"/>
                <w:lang w:val="fr-CA"/>
              </w:rPr>
              <w:t>Dépôt de la demande d’autorisation d’appel</w:t>
            </w:r>
          </w:p>
          <w:p w:rsidR="00863ACF" w:rsidRPr="00863ACF" w:rsidRDefault="00863ACF" w:rsidP="00863ACF">
            <w:pPr>
              <w:jc w:val="both"/>
              <w:rPr>
                <w:rFonts w:eastAsiaTheme="minorHAnsi"/>
                <w:sz w:val="20"/>
                <w:lang w:val="fr-CA"/>
              </w:rPr>
            </w:pPr>
          </w:p>
        </w:tc>
      </w:tr>
    </w:tbl>
    <w:p w:rsidR="00863ACF" w:rsidRDefault="00863ACF" w:rsidP="00863ACF">
      <w:pPr>
        <w:jc w:val="both"/>
        <w:rPr>
          <w:rFonts w:eastAsiaTheme="minorHAnsi"/>
          <w:sz w:val="20"/>
          <w:lang w:val="fr-CA"/>
        </w:rPr>
      </w:pPr>
    </w:p>
    <w:p w:rsidR="00056924" w:rsidRPr="00863ACF" w:rsidRDefault="00056924" w:rsidP="00863ACF">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3ACF" w:rsidRPr="00863ACF" w:rsidTr="00056924">
        <w:tc>
          <w:tcPr>
            <w:tcW w:w="543" w:type="pct"/>
          </w:tcPr>
          <w:p w:rsidR="00863ACF" w:rsidRPr="00863ACF" w:rsidRDefault="00863ACF" w:rsidP="00863ACF">
            <w:pPr>
              <w:jc w:val="both"/>
              <w:rPr>
                <w:rFonts w:eastAsiaTheme="minorHAnsi"/>
                <w:sz w:val="20"/>
                <w:lang w:val="en-CA"/>
              </w:rPr>
            </w:pPr>
            <w:r w:rsidRPr="00056924">
              <w:rPr>
                <w:rFonts w:eastAsiaTheme="minorHAnsi"/>
                <w:b/>
                <w:sz w:val="20"/>
                <w:lang w:val="en-CA"/>
              </w:rPr>
              <w:t>36316</w:t>
            </w:r>
          </w:p>
        </w:tc>
        <w:tc>
          <w:tcPr>
            <w:tcW w:w="4457" w:type="pct"/>
            <w:gridSpan w:val="3"/>
          </w:tcPr>
          <w:p w:rsidR="00863ACF" w:rsidRPr="00863ACF" w:rsidRDefault="00863ACF" w:rsidP="00863ACF">
            <w:pPr>
              <w:jc w:val="both"/>
              <w:rPr>
                <w:rFonts w:eastAsiaTheme="minorHAnsi"/>
                <w:b/>
                <w:sz w:val="20"/>
                <w:lang w:val="en-CA"/>
              </w:rPr>
            </w:pPr>
            <w:r w:rsidRPr="00863ACF">
              <w:rPr>
                <w:rFonts w:eastAsiaTheme="minorHAnsi"/>
                <w:b/>
                <w:sz w:val="20"/>
                <w:lang w:val="en-CA"/>
              </w:rPr>
              <w:t>Brian Leigh Flanagan v. Attorney General of Canada, Minister of Public Safety and Solicitor General for the Province of British Columbia</w:t>
            </w:r>
          </w:p>
          <w:p w:rsidR="00863ACF" w:rsidRPr="00863ACF" w:rsidRDefault="00863ACF" w:rsidP="00863ACF">
            <w:pPr>
              <w:jc w:val="both"/>
              <w:rPr>
                <w:rFonts w:eastAsiaTheme="minorHAnsi"/>
                <w:sz w:val="20"/>
                <w:lang w:val="en-CA"/>
              </w:rPr>
            </w:pPr>
            <w:r w:rsidRPr="00863ACF">
              <w:rPr>
                <w:rFonts w:eastAsiaTheme="minorHAnsi"/>
                <w:sz w:val="20"/>
                <w:lang w:val="en-CA"/>
              </w:rPr>
              <w:t>(B.C.) (Civil) (By Leave)</w:t>
            </w:r>
          </w:p>
        </w:tc>
      </w:tr>
      <w:tr w:rsidR="00863ACF" w:rsidRPr="00863ACF" w:rsidTr="00056924">
        <w:tc>
          <w:tcPr>
            <w:tcW w:w="5000" w:type="pct"/>
            <w:gridSpan w:val="4"/>
          </w:tcPr>
          <w:p w:rsidR="00863ACF" w:rsidRPr="00863ACF" w:rsidRDefault="00863ACF" w:rsidP="00863ACF">
            <w:pPr>
              <w:jc w:val="both"/>
              <w:rPr>
                <w:rFonts w:eastAsiaTheme="minorHAnsi"/>
                <w:sz w:val="20"/>
                <w:lang w:val="en-CA"/>
              </w:rPr>
            </w:pPr>
            <w:r w:rsidRPr="00863ACF">
              <w:rPr>
                <w:rFonts w:eastAsiaTheme="minorHAnsi"/>
                <w:sz w:val="20"/>
                <w:lang w:val="en-CA"/>
              </w:rPr>
              <w:lastRenderedPageBreak/>
              <w:t xml:space="preserve">Employment Law – Whether members of the Royal Canadian Mounted Police have a contract – based employment relationship with the Crown – If so, does the grievance procedure in the </w:t>
            </w:r>
            <w:r w:rsidRPr="00863ACF">
              <w:rPr>
                <w:rFonts w:eastAsiaTheme="minorHAnsi"/>
                <w:i/>
                <w:sz w:val="20"/>
              </w:rPr>
              <w:t>Royal Canadian Mounted Police Act</w:t>
            </w:r>
            <w:r w:rsidRPr="00863ACF">
              <w:rPr>
                <w:rFonts w:eastAsiaTheme="minorHAnsi"/>
                <w:sz w:val="20"/>
              </w:rPr>
              <w:t xml:space="preserve">, R.S.C. 1985, c. R-10, </w:t>
            </w:r>
            <w:r w:rsidRPr="00863ACF">
              <w:rPr>
                <w:rFonts w:eastAsiaTheme="minorHAnsi"/>
                <w:sz w:val="20"/>
                <w:lang w:val="en-CA"/>
              </w:rPr>
              <w:t>constitute a member’s sole remedy for breach of that contract or can they proceed by civil action?</w:t>
            </w:r>
          </w:p>
        </w:tc>
      </w:tr>
      <w:tr w:rsidR="00863ACF" w:rsidRPr="00863ACF" w:rsidTr="00056924">
        <w:tc>
          <w:tcPr>
            <w:tcW w:w="5000" w:type="pct"/>
            <w:gridSpan w:val="4"/>
          </w:tcPr>
          <w:p w:rsidR="00863ACF" w:rsidRPr="00863ACF" w:rsidRDefault="00863ACF" w:rsidP="00863ACF">
            <w:pPr>
              <w:jc w:val="both"/>
              <w:rPr>
                <w:rFonts w:eastAsiaTheme="minorHAnsi"/>
                <w:sz w:val="20"/>
                <w:lang w:val="en-CA"/>
              </w:rPr>
            </w:pPr>
          </w:p>
        </w:tc>
      </w:tr>
      <w:tr w:rsidR="00863ACF" w:rsidRPr="00863ACF" w:rsidTr="00056924">
        <w:tc>
          <w:tcPr>
            <w:tcW w:w="5000" w:type="pct"/>
            <w:gridSpan w:val="4"/>
          </w:tcPr>
          <w:p w:rsidR="00863ACF" w:rsidRPr="00863ACF" w:rsidRDefault="00863ACF" w:rsidP="00863ACF">
            <w:pPr>
              <w:jc w:val="both"/>
              <w:rPr>
                <w:rFonts w:eastAsiaTheme="minorHAnsi"/>
                <w:sz w:val="20"/>
              </w:rPr>
            </w:pPr>
            <w:r w:rsidRPr="00863ACF">
              <w:rPr>
                <w:rFonts w:eastAsiaTheme="minorHAnsi"/>
                <w:sz w:val="20"/>
              </w:rPr>
              <w:t xml:space="preserve">After 25 years as a member of the Royal Canadian Mounted Police, Mr. Flanagan was granted a voluntary discharge in 2005 after a dispute with his superiors concerning his alcohol consumption.  He contends that the discharge constitutes a constructive, wrongful dismissal.  In 2007, he commenced an action for damages. </w:t>
            </w:r>
          </w:p>
          <w:p w:rsidR="00863ACF" w:rsidRPr="00863ACF" w:rsidRDefault="00863ACF" w:rsidP="00863ACF">
            <w:pPr>
              <w:jc w:val="both"/>
              <w:rPr>
                <w:rFonts w:eastAsiaTheme="minorHAnsi"/>
                <w:sz w:val="20"/>
                <w:lang w:val="en-CA"/>
              </w:rPr>
            </w:pPr>
          </w:p>
        </w:tc>
      </w:tr>
      <w:tr w:rsidR="00863ACF" w:rsidRPr="00863ACF" w:rsidTr="00056924">
        <w:tc>
          <w:tcPr>
            <w:tcW w:w="2427" w:type="pct"/>
            <w:gridSpan w:val="2"/>
          </w:tcPr>
          <w:p w:rsidR="00863ACF" w:rsidRPr="00863ACF" w:rsidRDefault="00863ACF" w:rsidP="00863ACF">
            <w:pPr>
              <w:jc w:val="both"/>
              <w:rPr>
                <w:rFonts w:eastAsiaTheme="minorHAnsi"/>
                <w:sz w:val="20"/>
                <w:lang w:val="en-CA"/>
              </w:rPr>
            </w:pPr>
            <w:r w:rsidRPr="00863ACF">
              <w:rPr>
                <w:rFonts w:eastAsiaTheme="minorHAnsi"/>
                <w:sz w:val="20"/>
                <w:lang w:val="en-CA"/>
              </w:rPr>
              <w:t>July 5, 2013</w:t>
            </w:r>
          </w:p>
          <w:p w:rsidR="00863ACF" w:rsidRPr="00863ACF" w:rsidRDefault="00863ACF" w:rsidP="00863ACF">
            <w:pPr>
              <w:jc w:val="both"/>
              <w:rPr>
                <w:rFonts w:eastAsiaTheme="minorHAnsi"/>
                <w:sz w:val="20"/>
                <w:lang w:val="en-CA"/>
              </w:rPr>
            </w:pPr>
            <w:r w:rsidRPr="00863ACF">
              <w:rPr>
                <w:rFonts w:eastAsiaTheme="minorHAnsi"/>
                <w:sz w:val="20"/>
                <w:lang w:val="en-CA"/>
              </w:rPr>
              <w:t>Supreme Court of British Columbia</w:t>
            </w:r>
          </w:p>
          <w:p w:rsidR="00863ACF" w:rsidRPr="00863ACF" w:rsidRDefault="00863ACF" w:rsidP="00863ACF">
            <w:pPr>
              <w:jc w:val="both"/>
              <w:rPr>
                <w:rFonts w:eastAsiaTheme="minorHAnsi"/>
                <w:sz w:val="20"/>
                <w:lang w:val="en-CA"/>
              </w:rPr>
            </w:pPr>
            <w:r w:rsidRPr="00863ACF">
              <w:rPr>
                <w:rFonts w:eastAsiaTheme="minorHAnsi"/>
                <w:sz w:val="20"/>
                <w:lang w:val="en-CA"/>
              </w:rPr>
              <w:t>(Melnick J.)</w:t>
            </w:r>
          </w:p>
          <w:p w:rsidR="00863ACF" w:rsidRPr="00863ACF" w:rsidRDefault="00260D92" w:rsidP="00863ACF">
            <w:pPr>
              <w:jc w:val="both"/>
              <w:rPr>
                <w:rFonts w:eastAsiaTheme="minorHAnsi"/>
                <w:sz w:val="20"/>
                <w:lang w:val="en-CA"/>
              </w:rPr>
            </w:pPr>
            <w:hyperlink r:id="rId53" w:history="1">
              <w:r w:rsidR="00863ACF" w:rsidRPr="00056924">
                <w:rPr>
                  <w:rFonts w:eastAsiaTheme="minorHAnsi"/>
                  <w:color w:val="0000FF" w:themeColor="hyperlink"/>
                  <w:sz w:val="20"/>
                  <w:u w:val="single"/>
                  <w:lang w:val="en-CA"/>
                </w:rPr>
                <w:t>2013 BCSC 1205</w:t>
              </w:r>
            </w:hyperlink>
            <w:r w:rsidR="00863ACF" w:rsidRPr="00863ACF">
              <w:rPr>
                <w:rFonts w:eastAsiaTheme="minorHAnsi"/>
                <w:sz w:val="20"/>
                <w:lang w:val="en-CA"/>
              </w:rPr>
              <w:t xml:space="preserve"> </w:t>
            </w:r>
          </w:p>
          <w:p w:rsidR="00863ACF" w:rsidRPr="00863ACF" w:rsidRDefault="00863ACF" w:rsidP="00863ACF">
            <w:pPr>
              <w:spacing w:after="120"/>
              <w:jc w:val="both"/>
              <w:rPr>
                <w:rFonts w:eastAsiaTheme="minorHAnsi"/>
                <w:sz w:val="20"/>
                <w:lang w:val="en-CA"/>
              </w:rPr>
            </w:pPr>
          </w:p>
        </w:tc>
        <w:tc>
          <w:tcPr>
            <w:tcW w:w="243" w:type="pct"/>
          </w:tcPr>
          <w:p w:rsidR="00863ACF" w:rsidRPr="00863ACF" w:rsidRDefault="00863ACF" w:rsidP="00863ACF">
            <w:pPr>
              <w:jc w:val="both"/>
              <w:rPr>
                <w:rFonts w:eastAsiaTheme="minorHAnsi"/>
                <w:sz w:val="20"/>
                <w:lang w:val="en-CA"/>
              </w:rPr>
            </w:pPr>
          </w:p>
        </w:tc>
        <w:tc>
          <w:tcPr>
            <w:tcW w:w="2330" w:type="pct"/>
          </w:tcPr>
          <w:p w:rsidR="00863ACF" w:rsidRPr="00863ACF" w:rsidRDefault="00863ACF" w:rsidP="00863ACF">
            <w:pPr>
              <w:jc w:val="both"/>
              <w:rPr>
                <w:rFonts w:eastAsiaTheme="minorHAnsi"/>
                <w:sz w:val="20"/>
                <w:lang w:val="en-CA"/>
              </w:rPr>
            </w:pPr>
            <w:r w:rsidRPr="00863ACF">
              <w:rPr>
                <w:rFonts w:eastAsiaTheme="minorHAnsi"/>
                <w:sz w:val="20"/>
                <w:lang w:val="en-CA"/>
              </w:rPr>
              <w:t>Action dismissed</w:t>
            </w:r>
          </w:p>
          <w:p w:rsidR="00863ACF" w:rsidRPr="00863ACF" w:rsidRDefault="00863ACF" w:rsidP="00863ACF">
            <w:pPr>
              <w:spacing w:after="120"/>
              <w:jc w:val="both"/>
              <w:rPr>
                <w:rFonts w:eastAsiaTheme="minorHAnsi"/>
                <w:sz w:val="20"/>
                <w:lang w:val="en-CA"/>
              </w:rPr>
            </w:pPr>
          </w:p>
        </w:tc>
      </w:tr>
      <w:tr w:rsidR="00863ACF" w:rsidRPr="00863ACF" w:rsidTr="00056924">
        <w:tc>
          <w:tcPr>
            <w:tcW w:w="2427" w:type="pct"/>
            <w:gridSpan w:val="2"/>
          </w:tcPr>
          <w:p w:rsidR="00863ACF" w:rsidRPr="00863ACF" w:rsidRDefault="00863ACF" w:rsidP="00863ACF">
            <w:pPr>
              <w:jc w:val="both"/>
              <w:rPr>
                <w:rFonts w:eastAsiaTheme="minorHAnsi"/>
                <w:sz w:val="20"/>
                <w:lang w:val="en-CA"/>
              </w:rPr>
            </w:pPr>
            <w:r w:rsidRPr="00863ACF">
              <w:rPr>
                <w:rFonts w:eastAsiaTheme="minorHAnsi"/>
                <w:sz w:val="20"/>
                <w:lang w:val="en-CA"/>
              </w:rPr>
              <w:t>December 10, 2014</w:t>
            </w:r>
          </w:p>
          <w:p w:rsidR="00863ACF" w:rsidRPr="00863ACF" w:rsidRDefault="00863ACF" w:rsidP="00863ACF">
            <w:pPr>
              <w:jc w:val="both"/>
              <w:rPr>
                <w:rFonts w:eastAsiaTheme="minorHAnsi"/>
                <w:sz w:val="20"/>
                <w:lang w:val="en-CA"/>
              </w:rPr>
            </w:pPr>
            <w:r w:rsidRPr="00863ACF">
              <w:rPr>
                <w:rFonts w:eastAsiaTheme="minorHAnsi"/>
                <w:sz w:val="20"/>
                <w:lang w:val="en-CA"/>
              </w:rPr>
              <w:t xml:space="preserve">Court of Appeal for British Columbia </w:t>
            </w:r>
          </w:p>
          <w:p w:rsidR="00863ACF" w:rsidRPr="00863ACF" w:rsidRDefault="00863ACF" w:rsidP="00863ACF">
            <w:pPr>
              <w:jc w:val="both"/>
              <w:rPr>
                <w:rFonts w:eastAsiaTheme="minorHAnsi"/>
                <w:sz w:val="20"/>
                <w:lang w:val="en-CA"/>
              </w:rPr>
            </w:pPr>
            <w:r w:rsidRPr="00863ACF">
              <w:rPr>
                <w:rFonts w:eastAsiaTheme="minorHAnsi"/>
                <w:sz w:val="20"/>
                <w:lang w:val="en-CA"/>
              </w:rPr>
              <w:t>(Vancouver)</w:t>
            </w:r>
          </w:p>
          <w:p w:rsidR="00863ACF" w:rsidRPr="00863ACF" w:rsidRDefault="00863ACF" w:rsidP="00863ACF">
            <w:pPr>
              <w:jc w:val="both"/>
              <w:rPr>
                <w:rFonts w:eastAsiaTheme="minorHAnsi"/>
                <w:sz w:val="20"/>
                <w:lang w:val="en-CA"/>
              </w:rPr>
            </w:pPr>
            <w:r w:rsidRPr="00863ACF">
              <w:rPr>
                <w:rFonts w:eastAsiaTheme="minorHAnsi"/>
                <w:sz w:val="20"/>
                <w:lang w:val="en-CA"/>
              </w:rPr>
              <w:t>(Lowry, Kirkpatrick, Groberman JJ.A.)</w:t>
            </w:r>
          </w:p>
          <w:p w:rsidR="00863ACF" w:rsidRPr="00863ACF" w:rsidRDefault="00863ACF" w:rsidP="00863ACF">
            <w:pPr>
              <w:jc w:val="both"/>
              <w:rPr>
                <w:rFonts w:eastAsiaTheme="minorHAnsi"/>
                <w:sz w:val="20"/>
                <w:lang w:val="en-CA"/>
              </w:rPr>
            </w:pPr>
            <w:r w:rsidRPr="00863ACF">
              <w:rPr>
                <w:rFonts w:eastAsiaTheme="minorHAnsi"/>
                <w:sz w:val="20"/>
                <w:lang w:val="en-CA"/>
              </w:rPr>
              <w:t xml:space="preserve">CA041102; </w:t>
            </w:r>
            <w:hyperlink r:id="rId54" w:history="1">
              <w:r w:rsidRPr="00056924">
                <w:rPr>
                  <w:rFonts w:eastAsiaTheme="minorHAnsi"/>
                  <w:color w:val="0000FF" w:themeColor="hyperlink"/>
                  <w:sz w:val="20"/>
                  <w:u w:val="single"/>
                  <w:lang w:val="en-CA"/>
                </w:rPr>
                <w:t>2014 BCCA 487</w:t>
              </w:r>
            </w:hyperlink>
          </w:p>
          <w:p w:rsidR="00863ACF" w:rsidRPr="00863ACF" w:rsidRDefault="00863ACF" w:rsidP="00863ACF">
            <w:pPr>
              <w:spacing w:after="120"/>
              <w:jc w:val="both"/>
              <w:rPr>
                <w:rFonts w:eastAsiaTheme="minorHAnsi"/>
                <w:sz w:val="20"/>
                <w:lang w:val="en-CA"/>
              </w:rPr>
            </w:pPr>
          </w:p>
        </w:tc>
        <w:tc>
          <w:tcPr>
            <w:tcW w:w="243" w:type="pct"/>
          </w:tcPr>
          <w:p w:rsidR="00863ACF" w:rsidRPr="00863ACF" w:rsidRDefault="00863ACF" w:rsidP="00863ACF">
            <w:pPr>
              <w:jc w:val="both"/>
              <w:rPr>
                <w:rFonts w:eastAsiaTheme="minorHAnsi"/>
                <w:sz w:val="20"/>
                <w:lang w:val="en-CA"/>
              </w:rPr>
            </w:pPr>
          </w:p>
        </w:tc>
        <w:tc>
          <w:tcPr>
            <w:tcW w:w="2330" w:type="pct"/>
          </w:tcPr>
          <w:p w:rsidR="00863ACF" w:rsidRPr="00863ACF" w:rsidRDefault="00863ACF" w:rsidP="00863ACF">
            <w:pPr>
              <w:jc w:val="both"/>
              <w:rPr>
                <w:rFonts w:eastAsiaTheme="minorHAnsi"/>
                <w:sz w:val="20"/>
                <w:lang w:val="en-CA"/>
              </w:rPr>
            </w:pPr>
            <w:r w:rsidRPr="00863ACF">
              <w:rPr>
                <w:rFonts w:eastAsiaTheme="minorHAnsi"/>
                <w:sz w:val="20"/>
                <w:lang w:val="en-CA"/>
              </w:rPr>
              <w:t>Appeal dismissed</w:t>
            </w:r>
          </w:p>
          <w:p w:rsidR="00863ACF" w:rsidRPr="00863ACF" w:rsidRDefault="00863ACF" w:rsidP="00863ACF">
            <w:pPr>
              <w:jc w:val="both"/>
              <w:rPr>
                <w:rFonts w:eastAsiaTheme="minorHAnsi"/>
                <w:sz w:val="20"/>
                <w:lang w:val="en-CA"/>
              </w:rPr>
            </w:pPr>
          </w:p>
        </w:tc>
      </w:tr>
      <w:tr w:rsidR="00863ACF" w:rsidRPr="00863ACF" w:rsidTr="00056924">
        <w:tc>
          <w:tcPr>
            <w:tcW w:w="2427" w:type="pct"/>
            <w:gridSpan w:val="2"/>
          </w:tcPr>
          <w:p w:rsidR="00863ACF" w:rsidRPr="00863ACF" w:rsidRDefault="00863ACF" w:rsidP="00863ACF">
            <w:pPr>
              <w:jc w:val="both"/>
              <w:rPr>
                <w:rFonts w:eastAsiaTheme="minorHAnsi"/>
                <w:sz w:val="20"/>
                <w:lang w:val="en-CA"/>
              </w:rPr>
            </w:pPr>
            <w:r w:rsidRPr="00863ACF">
              <w:rPr>
                <w:rFonts w:eastAsiaTheme="minorHAnsi"/>
                <w:sz w:val="20"/>
                <w:lang w:val="en-CA"/>
              </w:rPr>
              <w:t>February 20, 2015</w:t>
            </w:r>
          </w:p>
          <w:p w:rsidR="00863ACF" w:rsidRPr="00863ACF" w:rsidRDefault="00863ACF" w:rsidP="00863ACF">
            <w:pPr>
              <w:jc w:val="both"/>
              <w:rPr>
                <w:rFonts w:eastAsiaTheme="minorHAnsi"/>
                <w:sz w:val="20"/>
                <w:lang w:val="en-CA"/>
              </w:rPr>
            </w:pPr>
            <w:r w:rsidRPr="00863ACF">
              <w:rPr>
                <w:rFonts w:eastAsiaTheme="minorHAnsi"/>
                <w:sz w:val="20"/>
                <w:lang w:val="en-CA"/>
              </w:rPr>
              <w:t>Supreme Court of Canada</w:t>
            </w:r>
          </w:p>
        </w:tc>
        <w:tc>
          <w:tcPr>
            <w:tcW w:w="243" w:type="pct"/>
          </w:tcPr>
          <w:p w:rsidR="00863ACF" w:rsidRPr="00863ACF" w:rsidRDefault="00863ACF" w:rsidP="00863ACF">
            <w:pPr>
              <w:jc w:val="both"/>
              <w:rPr>
                <w:rFonts w:eastAsiaTheme="minorHAnsi"/>
                <w:sz w:val="20"/>
                <w:lang w:val="en-CA"/>
              </w:rPr>
            </w:pPr>
          </w:p>
        </w:tc>
        <w:tc>
          <w:tcPr>
            <w:tcW w:w="2330" w:type="pct"/>
          </w:tcPr>
          <w:p w:rsidR="00863ACF" w:rsidRPr="00863ACF" w:rsidRDefault="00863ACF" w:rsidP="00863ACF">
            <w:pPr>
              <w:jc w:val="both"/>
              <w:rPr>
                <w:rFonts w:eastAsiaTheme="minorHAnsi"/>
                <w:sz w:val="20"/>
                <w:lang w:val="en-CA"/>
              </w:rPr>
            </w:pPr>
            <w:r w:rsidRPr="00863ACF">
              <w:rPr>
                <w:rFonts w:eastAsiaTheme="minorHAnsi"/>
                <w:sz w:val="20"/>
                <w:lang w:val="en-CA"/>
              </w:rPr>
              <w:t>Application for extension of time to serve and file application for leave to appeal and Application for leave to appeal filed</w:t>
            </w:r>
          </w:p>
        </w:tc>
      </w:tr>
    </w:tbl>
    <w:p w:rsidR="00863ACF" w:rsidRDefault="00863ACF" w:rsidP="00863ACF">
      <w:pPr>
        <w:jc w:val="both"/>
        <w:rPr>
          <w:rFonts w:eastAsiaTheme="minorHAnsi"/>
          <w:sz w:val="20"/>
          <w:lang w:val="en-CA"/>
        </w:rPr>
      </w:pPr>
    </w:p>
    <w:p w:rsidR="00056924" w:rsidRPr="00863ACF" w:rsidRDefault="00056924" w:rsidP="00863ACF">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3ACF" w:rsidRPr="00A02AC3" w:rsidTr="00056924">
        <w:tc>
          <w:tcPr>
            <w:tcW w:w="543" w:type="pct"/>
          </w:tcPr>
          <w:p w:rsidR="00863ACF" w:rsidRPr="00863ACF" w:rsidRDefault="00863ACF" w:rsidP="00863ACF">
            <w:pPr>
              <w:jc w:val="both"/>
              <w:rPr>
                <w:rFonts w:eastAsiaTheme="minorHAnsi"/>
                <w:sz w:val="20"/>
                <w:lang w:val="fr-CA"/>
              </w:rPr>
            </w:pPr>
            <w:r w:rsidRPr="00056924">
              <w:rPr>
                <w:rFonts w:eastAsiaTheme="minorHAnsi"/>
                <w:b/>
                <w:sz w:val="20"/>
                <w:lang w:val="fr-CA"/>
              </w:rPr>
              <w:t>36316</w:t>
            </w:r>
          </w:p>
        </w:tc>
        <w:tc>
          <w:tcPr>
            <w:tcW w:w="4457" w:type="pct"/>
            <w:gridSpan w:val="3"/>
          </w:tcPr>
          <w:p w:rsidR="00863ACF" w:rsidRPr="00863ACF" w:rsidRDefault="00863ACF" w:rsidP="00863ACF">
            <w:pPr>
              <w:jc w:val="both"/>
              <w:rPr>
                <w:rFonts w:eastAsiaTheme="minorHAnsi"/>
                <w:b/>
                <w:sz w:val="20"/>
                <w:lang w:val="fr-CA"/>
              </w:rPr>
            </w:pPr>
            <w:r w:rsidRPr="00863ACF">
              <w:rPr>
                <w:rFonts w:eastAsiaTheme="minorHAnsi"/>
                <w:b/>
                <w:sz w:val="20"/>
                <w:lang w:val="fr-CA"/>
              </w:rPr>
              <w:t>Brian Leigh Flanagan c. Procureur général du Canada, ministre de la Sécurité publique et solliciteur général de la Province de Colombie-Britannique</w:t>
            </w:r>
          </w:p>
          <w:p w:rsidR="00863ACF" w:rsidRPr="00863ACF" w:rsidRDefault="00863ACF" w:rsidP="00863ACF">
            <w:pPr>
              <w:jc w:val="both"/>
              <w:rPr>
                <w:rFonts w:eastAsiaTheme="minorHAnsi"/>
                <w:sz w:val="20"/>
                <w:lang w:val="fr-CA"/>
              </w:rPr>
            </w:pPr>
            <w:r w:rsidRPr="00863ACF">
              <w:rPr>
                <w:rFonts w:eastAsiaTheme="minorHAnsi"/>
                <w:sz w:val="20"/>
                <w:lang w:val="fr-CA"/>
              </w:rPr>
              <w:t>(C.-B.) (Civile) (Sur autorisation)</w:t>
            </w:r>
          </w:p>
        </w:tc>
      </w:tr>
      <w:tr w:rsidR="00863ACF" w:rsidRPr="00863ACF" w:rsidTr="00056924">
        <w:tc>
          <w:tcPr>
            <w:tcW w:w="5000" w:type="pct"/>
            <w:gridSpan w:val="4"/>
          </w:tcPr>
          <w:p w:rsidR="00863ACF" w:rsidRPr="00863ACF" w:rsidRDefault="00863ACF" w:rsidP="00863ACF">
            <w:pPr>
              <w:jc w:val="both"/>
              <w:rPr>
                <w:rFonts w:eastAsiaTheme="minorHAnsi"/>
                <w:sz w:val="20"/>
                <w:lang w:val="fr-CA"/>
              </w:rPr>
            </w:pPr>
            <w:r w:rsidRPr="00863ACF">
              <w:rPr>
                <w:rFonts w:eastAsiaTheme="minorHAnsi"/>
                <w:sz w:val="20"/>
                <w:lang w:val="fr-CA"/>
              </w:rPr>
              <w:t xml:space="preserve">Droit de l’emploi – Les membres de la Gendarmerie royale du Canada ont-ils avec l’État une relation d’emploi fondée sur un contrat? – Dans l’affirmative, en cas de violation de ce contrat, le membre a-t-il pour seul recours la procédure de grief prévue dans la </w:t>
            </w:r>
            <w:r w:rsidRPr="00863ACF">
              <w:rPr>
                <w:rFonts w:eastAsiaTheme="minorHAnsi"/>
                <w:i/>
                <w:sz w:val="20"/>
                <w:lang w:val="fr-CA"/>
              </w:rPr>
              <w:t>Loi sur la Gendarmerie royale du Canada</w:t>
            </w:r>
            <w:r w:rsidRPr="00863ACF">
              <w:rPr>
                <w:rFonts w:eastAsiaTheme="minorHAnsi"/>
                <w:sz w:val="20"/>
                <w:lang w:val="fr-CA"/>
              </w:rPr>
              <w:t>, L.R.C. 1985, ch. R-10, ou peut-il intenter une action au civil?</w:t>
            </w:r>
          </w:p>
        </w:tc>
      </w:tr>
      <w:tr w:rsidR="00863ACF" w:rsidRPr="00863ACF" w:rsidTr="00056924">
        <w:tc>
          <w:tcPr>
            <w:tcW w:w="5000" w:type="pct"/>
            <w:gridSpan w:val="4"/>
          </w:tcPr>
          <w:p w:rsidR="00863ACF" w:rsidRPr="00863ACF" w:rsidRDefault="00863ACF" w:rsidP="00863ACF">
            <w:pPr>
              <w:jc w:val="both"/>
              <w:rPr>
                <w:rFonts w:eastAsiaTheme="minorHAnsi"/>
                <w:sz w:val="20"/>
                <w:lang w:val="fr-CA"/>
              </w:rPr>
            </w:pPr>
          </w:p>
        </w:tc>
      </w:tr>
      <w:tr w:rsidR="00863ACF" w:rsidRPr="00863ACF" w:rsidTr="00056924">
        <w:tc>
          <w:tcPr>
            <w:tcW w:w="5000" w:type="pct"/>
            <w:gridSpan w:val="4"/>
          </w:tcPr>
          <w:p w:rsidR="00863ACF" w:rsidRPr="00863ACF" w:rsidRDefault="00863ACF" w:rsidP="00863ACF">
            <w:pPr>
              <w:jc w:val="both"/>
              <w:rPr>
                <w:rFonts w:eastAsiaTheme="minorHAnsi"/>
                <w:sz w:val="20"/>
                <w:lang w:val="fr-CA"/>
              </w:rPr>
            </w:pPr>
            <w:r w:rsidRPr="00863ACF">
              <w:rPr>
                <w:rFonts w:eastAsiaTheme="minorHAnsi"/>
                <w:sz w:val="20"/>
                <w:lang w:val="fr-CA"/>
              </w:rPr>
              <w:t xml:space="preserve">Après 25 ans comme membre de la Gendarmerie royale du Canada, M. Flanagan s’est vu accorder une libération volontaire en 2005 à l’issue d’un différend avec ses supérieurs concernant sa consommation d’alcool.  Il prétend que la libération constitue un congédiement injustifié déguisé.  En 2007, il a intenté une action en dommages-intérêts. </w:t>
            </w:r>
          </w:p>
          <w:p w:rsidR="00863ACF" w:rsidRPr="00863ACF" w:rsidRDefault="00863ACF" w:rsidP="00863ACF">
            <w:pPr>
              <w:jc w:val="both"/>
              <w:rPr>
                <w:rFonts w:eastAsiaTheme="minorHAnsi"/>
                <w:sz w:val="20"/>
                <w:lang w:val="fr-CA"/>
              </w:rPr>
            </w:pPr>
          </w:p>
        </w:tc>
      </w:tr>
      <w:tr w:rsidR="00863ACF" w:rsidRPr="00863ACF" w:rsidTr="00056924">
        <w:tc>
          <w:tcPr>
            <w:tcW w:w="2427" w:type="pct"/>
            <w:gridSpan w:val="2"/>
          </w:tcPr>
          <w:p w:rsidR="00863ACF" w:rsidRPr="00863ACF" w:rsidRDefault="00863ACF" w:rsidP="00DA1B81">
            <w:pPr>
              <w:jc w:val="both"/>
              <w:rPr>
                <w:rFonts w:eastAsiaTheme="minorHAnsi"/>
                <w:sz w:val="20"/>
                <w:lang w:val="fr-CA"/>
              </w:rPr>
            </w:pPr>
            <w:r w:rsidRPr="00863ACF">
              <w:rPr>
                <w:rFonts w:eastAsiaTheme="minorHAnsi"/>
                <w:sz w:val="20"/>
                <w:lang w:val="fr-CA"/>
              </w:rPr>
              <w:t>5 juillet 2013</w:t>
            </w:r>
          </w:p>
          <w:p w:rsidR="00863ACF" w:rsidRPr="00863ACF" w:rsidRDefault="00863ACF" w:rsidP="00DA1B81">
            <w:pPr>
              <w:jc w:val="both"/>
              <w:rPr>
                <w:rFonts w:eastAsiaTheme="minorHAnsi"/>
                <w:sz w:val="20"/>
                <w:lang w:val="fr-CA"/>
              </w:rPr>
            </w:pPr>
            <w:r w:rsidRPr="00863ACF">
              <w:rPr>
                <w:rFonts w:eastAsiaTheme="minorHAnsi"/>
                <w:sz w:val="20"/>
                <w:lang w:val="fr-CA"/>
              </w:rPr>
              <w:t>Cour suprême de la Colombie-Britannique</w:t>
            </w:r>
          </w:p>
          <w:p w:rsidR="00863ACF" w:rsidRPr="00863ACF" w:rsidRDefault="00863ACF" w:rsidP="00DA1B81">
            <w:pPr>
              <w:jc w:val="both"/>
              <w:rPr>
                <w:rFonts w:eastAsiaTheme="minorHAnsi"/>
                <w:sz w:val="20"/>
                <w:lang w:val="fr-CA"/>
              </w:rPr>
            </w:pPr>
            <w:r w:rsidRPr="00863ACF">
              <w:rPr>
                <w:rFonts w:eastAsiaTheme="minorHAnsi"/>
                <w:sz w:val="20"/>
                <w:lang w:val="fr-CA"/>
              </w:rPr>
              <w:lastRenderedPageBreak/>
              <w:t>(Juge Melnick)</w:t>
            </w:r>
          </w:p>
          <w:p w:rsidR="00863ACF" w:rsidRPr="00863ACF" w:rsidRDefault="00260D92" w:rsidP="00DA1B81">
            <w:pPr>
              <w:jc w:val="both"/>
              <w:rPr>
                <w:rFonts w:eastAsiaTheme="minorHAnsi"/>
                <w:sz w:val="20"/>
                <w:lang w:val="fr-CA"/>
              </w:rPr>
            </w:pPr>
            <w:hyperlink r:id="rId55" w:history="1">
              <w:r w:rsidR="00863ACF" w:rsidRPr="00056924">
                <w:rPr>
                  <w:rFonts w:eastAsiaTheme="minorHAnsi"/>
                  <w:color w:val="0000FF" w:themeColor="hyperlink"/>
                  <w:sz w:val="20"/>
                  <w:u w:val="single"/>
                  <w:lang w:val="fr-CA"/>
                </w:rPr>
                <w:t>2013 BCSC 1205</w:t>
              </w:r>
            </w:hyperlink>
            <w:r w:rsidR="00863ACF" w:rsidRPr="00863ACF">
              <w:rPr>
                <w:rFonts w:eastAsiaTheme="minorHAnsi"/>
                <w:sz w:val="20"/>
                <w:lang w:val="fr-CA"/>
              </w:rPr>
              <w:t xml:space="preserve"> </w:t>
            </w:r>
          </w:p>
          <w:p w:rsidR="00863ACF" w:rsidRPr="00863ACF" w:rsidRDefault="00863ACF" w:rsidP="00DA1B81">
            <w:pPr>
              <w:jc w:val="both"/>
              <w:rPr>
                <w:rFonts w:eastAsiaTheme="minorHAnsi"/>
                <w:sz w:val="20"/>
                <w:lang w:val="fr-CA"/>
              </w:rPr>
            </w:pPr>
          </w:p>
        </w:tc>
        <w:tc>
          <w:tcPr>
            <w:tcW w:w="243" w:type="pct"/>
          </w:tcPr>
          <w:p w:rsidR="00863ACF" w:rsidRPr="00863ACF" w:rsidRDefault="00863ACF" w:rsidP="00DA1B81">
            <w:pPr>
              <w:jc w:val="both"/>
              <w:rPr>
                <w:rFonts w:eastAsiaTheme="minorHAnsi"/>
                <w:sz w:val="20"/>
                <w:lang w:val="fr-CA"/>
              </w:rPr>
            </w:pPr>
          </w:p>
        </w:tc>
        <w:tc>
          <w:tcPr>
            <w:tcW w:w="2330" w:type="pct"/>
          </w:tcPr>
          <w:p w:rsidR="00863ACF" w:rsidRPr="00863ACF" w:rsidRDefault="00863ACF" w:rsidP="00DA1B81">
            <w:pPr>
              <w:jc w:val="both"/>
              <w:rPr>
                <w:rFonts w:eastAsiaTheme="minorHAnsi"/>
                <w:sz w:val="20"/>
                <w:lang w:val="fr-CA"/>
              </w:rPr>
            </w:pPr>
            <w:r w:rsidRPr="00863ACF">
              <w:rPr>
                <w:rFonts w:eastAsiaTheme="minorHAnsi"/>
                <w:sz w:val="20"/>
                <w:lang w:val="fr-CA"/>
              </w:rPr>
              <w:t>Rejet de l’action</w:t>
            </w:r>
          </w:p>
          <w:p w:rsidR="00863ACF" w:rsidRPr="00863ACF" w:rsidRDefault="00863ACF" w:rsidP="00DA1B81">
            <w:pPr>
              <w:jc w:val="both"/>
              <w:rPr>
                <w:rFonts w:eastAsiaTheme="minorHAnsi"/>
                <w:sz w:val="20"/>
                <w:lang w:val="fr-CA"/>
              </w:rPr>
            </w:pPr>
          </w:p>
        </w:tc>
      </w:tr>
      <w:tr w:rsidR="00863ACF" w:rsidRPr="00863ACF" w:rsidTr="00056924">
        <w:tc>
          <w:tcPr>
            <w:tcW w:w="2427" w:type="pct"/>
            <w:gridSpan w:val="2"/>
          </w:tcPr>
          <w:p w:rsidR="00863ACF" w:rsidRPr="00863ACF" w:rsidRDefault="00863ACF" w:rsidP="00DA1B81">
            <w:pPr>
              <w:jc w:val="both"/>
              <w:rPr>
                <w:rFonts w:eastAsiaTheme="minorHAnsi"/>
                <w:sz w:val="20"/>
                <w:lang w:val="fr-CA"/>
              </w:rPr>
            </w:pPr>
            <w:r w:rsidRPr="00863ACF">
              <w:rPr>
                <w:rFonts w:eastAsiaTheme="minorHAnsi"/>
                <w:sz w:val="20"/>
                <w:lang w:val="fr-CA"/>
              </w:rPr>
              <w:lastRenderedPageBreak/>
              <w:t>10 décembre 2014</w:t>
            </w:r>
          </w:p>
          <w:p w:rsidR="00863ACF" w:rsidRPr="00863ACF" w:rsidRDefault="00863ACF" w:rsidP="00DA1B81">
            <w:pPr>
              <w:jc w:val="both"/>
              <w:rPr>
                <w:rFonts w:eastAsiaTheme="minorHAnsi"/>
                <w:sz w:val="20"/>
                <w:lang w:val="fr-CA"/>
              </w:rPr>
            </w:pPr>
            <w:r w:rsidRPr="00863ACF">
              <w:rPr>
                <w:rFonts w:eastAsiaTheme="minorHAnsi"/>
                <w:sz w:val="20"/>
                <w:lang w:val="fr-CA"/>
              </w:rPr>
              <w:t>Cour d’appel de la Colombie-Britannique</w:t>
            </w:r>
          </w:p>
          <w:p w:rsidR="00863ACF" w:rsidRPr="00863ACF" w:rsidRDefault="00863ACF" w:rsidP="00DA1B81">
            <w:pPr>
              <w:jc w:val="both"/>
              <w:rPr>
                <w:rFonts w:eastAsiaTheme="minorHAnsi"/>
                <w:sz w:val="20"/>
                <w:lang w:val="fr-CA"/>
              </w:rPr>
            </w:pPr>
            <w:r w:rsidRPr="00863ACF">
              <w:rPr>
                <w:rFonts w:eastAsiaTheme="minorHAnsi"/>
                <w:sz w:val="20"/>
                <w:lang w:val="fr-CA"/>
              </w:rPr>
              <w:t>(Vancouver)</w:t>
            </w:r>
          </w:p>
          <w:p w:rsidR="00863ACF" w:rsidRPr="00863ACF" w:rsidRDefault="00863ACF" w:rsidP="00DA1B81">
            <w:pPr>
              <w:jc w:val="both"/>
              <w:rPr>
                <w:rFonts w:eastAsiaTheme="minorHAnsi"/>
                <w:sz w:val="20"/>
                <w:lang w:val="fr-CA"/>
              </w:rPr>
            </w:pPr>
            <w:r w:rsidRPr="00863ACF">
              <w:rPr>
                <w:rFonts w:eastAsiaTheme="minorHAnsi"/>
                <w:sz w:val="20"/>
                <w:lang w:val="fr-CA"/>
              </w:rPr>
              <w:t>(Juges Lowry, Kirkpatrick et Groberman)</w:t>
            </w:r>
          </w:p>
          <w:p w:rsidR="00863ACF" w:rsidRPr="00863ACF" w:rsidRDefault="00863ACF" w:rsidP="00DA1B81">
            <w:pPr>
              <w:jc w:val="both"/>
              <w:rPr>
                <w:rFonts w:eastAsiaTheme="minorHAnsi"/>
                <w:sz w:val="20"/>
                <w:lang w:val="fr-CA"/>
              </w:rPr>
            </w:pPr>
            <w:r w:rsidRPr="00863ACF">
              <w:rPr>
                <w:rFonts w:eastAsiaTheme="minorHAnsi"/>
                <w:sz w:val="20"/>
                <w:lang w:val="fr-CA"/>
              </w:rPr>
              <w:t xml:space="preserve">CA041102; </w:t>
            </w:r>
            <w:hyperlink r:id="rId56" w:history="1">
              <w:r w:rsidRPr="00056924">
                <w:rPr>
                  <w:rFonts w:eastAsiaTheme="minorHAnsi"/>
                  <w:color w:val="0000FF" w:themeColor="hyperlink"/>
                  <w:sz w:val="20"/>
                  <w:u w:val="single"/>
                  <w:lang w:val="fr-CA"/>
                </w:rPr>
                <w:t>2014 BCCA 487</w:t>
              </w:r>
            </w:hyperlink>
          </w:p>
          <w:p w:rsidR="00863ACF" w:rsidRPr="00863ACF" w:rsidRDefault="00863ACF" w:rsidP="00DA1B81">
            <w:pPr>
              <w:jc w:val="both"/>
              <w:rPr>
                <w:rFonts w:eastAsiaTheme="minorHAnsi"/>
                <w:sz w:val="20"/>
                <w:lang w:val="fr-CA"/>
              </w:rPr>
            </w:pPr>
          </w:p>
        </w:tc>
        <w:tc>
          <w:tcPr>
            <w:tcW w:w="243" w:type="pct"/>
          </w:tcPr>
          <w:p w:rsidR="00863ACF" w:rsidRPr="00863ACF" w:rsidRDefault="00863ACF" w:rsidP="00DA1B81">
            <w:pPr>
              <w:jc w:val="both"/>
              <w:rPr>
                <w:rFonts w:eastAsiaTheme="minorHAnsi"/>
                <w:sz w:val="20"/>
                <w:lang w:val="fr-CA"/>
              </w:rPr>
            </w:pPr>
          </w:p>
        </w:tc>
        <w:tc>
          <w:tcPr>
            <w:tcW w:w="2330" w:type="pct"/>
          </w:tcPr>
          <w:p w:rsidR="00863ACF" w:rsidRPr="00863ACF" w:rsidRDefault="00863ACF" w:rsidP="00DA1B81">
            <w:pPr>
              <w:jc w:val="both"/>
              <w:rPr>
                <w:rFonts w:eastAsiaTheme="minorHAnsi"/>
                <w:sz w:val="20"/>
                <w:lang w:val="fr-CA"/>
              </w:rPr>
            </w:pPr>
            <w:r w:rsidRPr="00863ACF">
              <w:rPr>
                <w:rFonts w:eastAsiaTheme="minorHAnsi"/>
                <w:sz w:val="20"/>
                <w:lang w:val="fr-CA"/>
              </w:rPr>
              <w:t>Rejet de l’appel</w:t>
            </w:r>
          </w:p>
          <w:p w:rsidR="00863ACF" w:rsidRPr="00863ACF" w:rsidRDefault="00863ACF" w:rsidP="00DA1B81">
            <w:pPr>
              <w:jc w:val="both"/>
              <w:rPr>
                <w:rFonts w:eastAsiaTheme="minorHAnsi"/>
                <w:sz w:val="20"/>
                <w:lang w:val="fr-CA"/>
              </w:rPr>
            </w:pPr>
          </w:p>
        </w:tc>
      </w:tr>
      <w:tr w:rsidR="00863ACF" w:rsidRPr="00A02AC3" w:rsidTr="00056924">
        <w:tc>
          <w:tcPr>
            <w:tcW w:w="2427" w:type="pct"/>
            <w:gridSpan w:val="2"/>
          </w:tcPr>
          <w:p w:rsidR="00863ACF" w:rsidRPr="00863ACF" w:rsidRDefault="00863ACF" w:rsidP="00DA1B81">
            <w:pPr>
              <w:jc w:val="both"/>
              <w:rPr>
                <w:rFonts w:eastAsiaTheme="minorHAnsi"/>
                <w:sz w:val="20"/>
                <w:lang w:val="fr-CA"/>
              </w:rPr>
            </w:pPr>
            <w:r w:rsidRPr="00863ACF">
              <w:rPr>
                <w:rFonts w:eastAsiaTheme="minorHAnsi"/>
                <w:sz w:val="20"/>
                <w:lang w:val="fr-CA"/>
              </w:rPr>
              <w:t>20 février 2015</w:t>
            </w:r>
          </w:p>
          <w:p w:rsidR="00863ACF" w:rsidRPr="00863ACF" w:rsidRDefault="00863ACF" w:rsidP="00DA1B81">
            <w:pPr>
              <w:jc w:val="both"/>
              <w:rPr>
                <w:rFonts w:eastAsiaTheme="minorHAnsi"/>
                <w:sz w:val="20"/>
                <w:lang w:val="fr-CA"/>
              </w:rPr>
            </w:pPr>
            <w:r w:rsidRPr="00863ACF">
              <w:rPr>
                <w:rFonts w:eastAsiaTheme="minorHAnsi"/>
                <w:sz w:val="20"/>
                <w:lang w:val="fr-CA"/>
              </w:rPr>
              <w:t>Cour suprême du Canada</w:t>
            </w:r>
          </w:p>
        </w:tc>
        <w:tc>
          <w:tcPr>
            <w:tcW w:w="243" w:type="pct"/>
          </w:tcPr>
          <w:p w:rsidR="00863ACF" w:rsidRPr="00863ACF" w:rsidRDefault="00863ACF" w:rsidP="00DA1B81">
            <w:pPr>
              <w:jc w:val="both"/>
              <w:rPr>
                <w:rFonts w:eastAsiaTheme="minorHAnsi"/>
                <w:sz w:val="20"/>
                <w:lang w:val="fr-CA"/>
              </w:rPr>
            </w:pPr>
          </w:p>
        </w:tc>
        <w:tc>
          <w:tcPr>
            <w:tcW w:w="2330" w:type="pct"/>
          </w:tcPr>
          <w:p w:rsidR="00863ACF" w:rsidRPr="00863ACF" w:rsidRDefault="00863ACF" w:rsidP="00822077">
            <w:pPr>
              <w:jc w:val="both"/>
              <w:rPr>
                <w:rFonts w:eastAsiaTheme="minorHAnsi"/>
                <w:sz w:val="20"/>
                <w:lang w:val="fr-CA"/>
              </w:rPr>
            </w:pPr>
            <w:r w:rsidRPr="00863ACF">
              <w:rPr>
                <w:rFonts w:eastAsiaTheme="minorHAnsi"/>
                <w:sz w:val="20"/>
                <w:lang w:val="fr-CA"/>
              </w:rPr>
              <w:t>Dépôt de la demande en prorogation du délai de signification et de dépôt de la demande d’autorisation d’appel et de la demande d’autorisation d’appel</w:t>
            </w:r>
          </w:p>
        </w:tc>
      </w:tr>
    </w:tbl>
    <w:p w:rsidR="00863ACF" w:rsidRPr="00863ACF" w:rsidRDefault="00863ACF" w:rsidP="00863ACF">
      <w:pPr>
        <w:jc w:val="both"/>
        <w:rPr>
          <w:rFonts w:eastAsiaTheme="minorHAnsi"/>
          <w:sz w:val="20"/>
          <w:lang w:val="fr-CA"/>
        </w:rPr>
      </w:pPr>
    </w:p>
    <w:p w:rsidR="00F609BA" w:rsidRPr="00056924" w:rsidRDefault="00F609BA" w:rsidP="008C561D">
      <w:pPr>
        <w:ind w:left="360" w:hanging="360"/>
        <w:jc w:val="both"/>
        <w:rPr>
          <w:sz w:val="20"/>
          <w:lang w:val="fr-CA"/>
        </w:rPr>
      </w:pPr>
    </w:p>
    <w:p w:rsidR="00157B04" w:rsidRPr="00863ACF" w:rsidRDefault="00157B04" w:rsidP="00AC1250">
      <w:pPr>
        <w:ind w:left="360" w:hanging="360"/>
        <w:jc w:val="both"/>
        <w:rPr>
          <w:sz w:val="20"/>
          <w:lang w:val="fr-CA"/>
        </w:rPr>
      </w:pPr>
    </w:p>
    <w:p w:rsidR="00E604A4" w:rsidRPr="00863ACF" w:rsidRDefault="00E604A4" w:rsidP="00F6251B">
      <w:pPr>
        <w:widowControl w:val="0"/>
        <w:ind w:left="360" w:hanging="360"/>
        <w:jc w:val="both"/>
        <w:rPr>
          <w:sz w:val="20"/>
          <w:lang w:val="fr-CA"/>
        </w:rPr>
      </w:pPr>
    </w:p>
    <w:p w:rsidR="00D3344A" w:rsidRPr="004B4D42" w:rsidRDefault="00D3344A" w:rsidP="00D3344A">
      <w:pPr>
        <w:widowControl w:val="0"/>
        <w:outlineLvl w:val="0"/>
      </w:pPr>
      <w:r w:rsidRPr="004B4D42">
        <w:t xml:space="preserve">Supreme Court of Canada / Cour suprême du Canada : </w:t>
      </w:r>
    </w:p>
    <w:p w:rsidR="00D3344A" w:rsidRPr="004B4D42" w:rsidRDefault="00260D92" w:rsidP="00D3344A">
      <w:pPr>
        <w:widowControl w:val="0"/>
        <w:outlineLvl w:val="0"/>
        <w:rPr>
          <w:u w:val="single"/>
        </w:rPr>
      </w:pPr>
      <w:hyperlink r:id="rId57"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sectPr w:rsidR="00F6251B" w:rsidRPr="004B4D42" w:rsidSect="00524822">
      <w:footerReference w:type="default" r:id="rId5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24" w:rsidRDefault="00056924" w:rsidP="0034178A">
      <w:r>
        <w:separator/>
      </w:r>
    </w:p>
  </w:endnote>
  <w:endnote w:type="continuationSeparator" w:id="0">
    <w:p w:rsidR="00056924" w:rsidRDefault="0005692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924" w:rsidRPr="00EF33BF" w:rsidRDefault="00056924" w:rsidP="00EF3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24" w:rsidRDefault="00056924" w:rsidP="0034178A">
      <w:r>
        <w:separator/>
      </w:r>
    </w:p>
  </w:footnote>
  <w:footnote w:type="continuationSeparator" w:id="0">
    <w:p w:rsidR="00056924" w:rsidRDefault="00056924"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793"/>
    <w:multiLevelType w:val="hybridMultilevel"/>
    <w:tmpl w:val="DFC2B522"/>
    <w:lvl w:ilvl="0" w:tplc="36A60876">
      <w:start w:val="3"/>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43266"/>
    <w:multiLevelType w:val="hybridMultilevel"/>
    <w:tmpl w:val="4936FF9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8F26BE"/>
    <w:multiLevelType w:val="hybridMultilevel"/>
    <w:tmpl w:val="8BEA1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F02563"/>
    <w:multiLevelType w:val="hybridMultilevel"/>
    <w:tmpl w:val="2C52A4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15:restartNumberingAfterBreak="0">
    <w:nsid w:val="1F2B643E"/>
    <w:multiLevelType w:val="hybridMultilevel"/>
    <w:tmpl w:val="E1D8A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7544C"/>
    <w:multiLevelType w:val="hybridMultilevel"/>
    <w:tmpl w:val="C56AFA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285A46AA"/>
    <w:multiLevelType w:val="hybridMultilevel"/>
    <w:tmpl w:val="331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71713"/>
    <w:multiLevelType w:val="hybridMultilevel"/>
    <w:tmpl w:val="309E858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3" w15:restartNumberingAfterBreak="0">
    <w:nsid w:val="307A74D3"/>
    <w:multiLevelType w:val="hybridMultilevel"/>
    <w:tmpl w:val="21D0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73E63"/>
    <w:multiLevelType w:val="hybridMultilevel"/>
    <w:tmpl w:val="FBE637DC"/>
    <w:lvl w:ilvl="0" w:tplc="825476A0">
      <w:start w:val="4"/>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5" w15:restartNumberingAfterBreak="0">
    <w:nsid w:val="38834196"/>
    <w:multiLevelType w:val="hybridMultilevel"/>
    <w:tmpl w:val="ABD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C0E6C"/>
    <w:multiLevelType w:val="hybridMultilevel"/>
    <w:tmpl w:val="9BF20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84E16"/>
    <w:multiLevelType w:val="hybridMultilevel"/>
    <w:tmpl w:val="CE74C9E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0"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F3F06"/>
    <w:multiLevelType w:val="hybridMultilevel"/>
    <w:tmpl w:val="072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777B0"/>
    <w:multiLevelType w:val="hybridMultilevel"/>
    <w:tmpl w:val="FB2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60478"/>
    <w:multiLevelType w:val="hybridMultilevel"/>
    <w:tmpl w:val="4BE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45790"/>
    <w:multiLevelType w:val="hybridMultilevel"/>
    <w:tmpl w:val="44C6ABA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5"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A1552"/>
    <w:multiLevelType w:val="hybridMultilevel"/>
    <w:tmpl w:val="5C602ED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1"/>
  </w:num>
  <w:num w:numId="2">
    <w:abstractNumId w:val="17"/>
  </w:num>
  <w:num w:numId="3">
    <w:abstractNumId w:val="5"/>
  </w:num>
  <w:num w:numId="4">
    <w:abstractNumId w:val="7"/>
  </w:num>
  <w:num w:numId="5">
    <w:abstractNumId w:val="2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1"/>
  </w:num>
  <w:num w:numId="10">
    <w:abstractNumId w:val="22"/>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8"/>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num>
  <w:num w:numId="28">
    <w:abstractNumId w:val="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2A5C41"/>
    <w:rsid w:val="00001846"/>
    <w:rsid w:val="000018E3"/>
    <w:rsid w:val="00003A2D"/>
    <w:rsid w:val="000043C3"/>
    <w:rsid w:val="000128A2"/>
    <w:rsid w:val="000136CC"/>
    <w:rsid w:val="0001374A"/>
    <w:rsid w:val="00014C19"/>
    <w:rsid w:val="00015EE9"/>
    <w:rsid w:val="000164DB"/>
    <w:rsid w:val="00016D65"/>
    <w:rsid w:val="00016D95"/>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6924"/>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5627"/>
    <w:rsid w:val="000A0444"/>
    <w:rsid w:val="000A245A"/>
    <w:rsid w:val="000A4311"/>
    <w:rsid w:val="000A50F9"/>
    <w:rsid w:val="000A6C60"/>
    <w:rsid w:val="000A78FC"/>
    <w:rsid w:val="000A7C00"/>
    <w:rsid w:val="000B07FB"/>
    <w:rsid w:val="000B163F"/>
    <w:rsid w:val="000B46A2"/>
    <w:rsid w:val="000B7258"/>
    <w:rsid w:val="000B754A"/>
    <w:rsid w:val="000B76DB"/>
    <w:rsid w:val="000B7CBE"/>
    <w:rsid w:val="000B7EF2"/>
    <w:rsid w:val="000C02C5"/>
    <w:rsid w:val="000C0E20"/>
    <w:rsid w:val="000C182C"/>
    <w:rsid w:val="000C18B8"/>
    <w:rsid w:val="000C236F"/>
    <w:rsid w:val="000C3667"/>
    <w:rsid w:val="000C41A6"/>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3118"/>
    <w:rsid w:val="000F3522"/>
    <w:rsid w:val="000F4C35"/>
    <w:rsid w:val="000F525E"/>
    <w:rsid w:val="000F5511"/>
    <w:rsid w:val="00100C1C"/>
    <w:rsid w:val="00100CEE"/>
    <w:rsid w:val="001017D1"/>
    <w:rsid w:val="00101E4B"/>
    <w:rsid w:val="00102F8F"/>
    <w:rsid w:val="001033B2"/>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235D"/>
    <w:rsid w:val="001D2555"/>
    <w:rsid w:val="001D337C"/>
    <w:rsid w:val="001D380D"/>
    <w:rsid w:val="001D65C6"/>
    <w:rsid w:val="001E3BCD"/>
    <w:rsid w:val="001F27B1"/>
    <w:rsid w:val="001F5B11"/>
    <w:rsid w:val="00200F31"/>
    <w:rsid w:val="0020221F"/>
    <w:rsid w:val="00202E4C"/>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3057"/>
    <w:rsid w:val="00234A3D"/>
    <w:rsid w:val="00235ACB"/>
    <w:rsid w:val="00236EEA"/>
    <w:rsid w:val="002407C6"/>
    <w:rsid w:val="00241714"/>
    <w:rsid w:val="00244CDD"/>
    <w:rsid w:val="00245D73"/>
    <w:rsid w:val="00250F72"/>
    <w:rsid w:val="002514CA"/>
    <w:rsid w:val="00252FDB"/>
    <w:rsid w:val="002567CD"/>
    <w:rsid w:val="00257322"/>
    <w:rsid w:val="00260D92"/>
    <w:rsid w:val="002613AC"/>
    <w:rsid w:val="00261D3C"/>
    <w:rsid w:val="00262C42"/>
    <w:rsid w:val="0026349D"/>
    <w:rsid w:val="00266E0E"/>
    <w:rsid w:val="00266FD4"/>
    <w:rsid w:val="002671CC"/>
    <w:rsid w:val="002676FA"/>
    <w:rsid w:val="002709E7"/>
    <w:rsid w:val="0027369C"/>
    <w:rsid w:val="00274B8F"/>
    <w:rsid w:val="00276C42"/>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E29B3"/>
    <w:rsid w:val="003E3957"/>
    <w:rsid w:val="003E7F59"/>
    <w:rsid w:val="003F1E6F"/>
    <w:rsid w:val="003F1F9E"/>
    <w:rsid w:val="003F3BC1"/>
    <w:rsid w:val="003F43E6"/>
    <w:rsid w:val="003F4894"/>
    <w:rsid w:val="004000BE"/>
    <w:rsid w:val="004026BA"/>
    <w:rsid w:val="00403038"/>
    <w:rsid w:val="0040709C"/>
    <w:rsid w:val="004116DA"/>
    <w:rsid w:val="004117D6"/>
    <w:rsid w:val="00411834"/>
    <w:rsid w:val="00412A23"/>
    <w:rsid w:val="004149DA"/>
    <w:rsid w:val="00415755"/>
    <w:rsid w:val="00420841"/>
    <w:rsid w:val="00423732"/>
    <w:rsid w:val="00425B31"/>
    <w:rsid w:val="00426976"/>
    <w:rsid w:val="00427722"/>
    <w:rsid w:val="00427F4F"/>
    <w:rsid w:val="00431779"/>
    <w:rsid w:val="00431A2A"/>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E00B4"/>
    <w:rsid w:val="004E0963"/>
    <w:rsid w:val="004E0B2F"/>
    <w:rsid w:val="004E1B3F"/>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96C"/>
    <w:rsid w:val="005C2CA2"/>
    <w:rsid w:val="005C3064"/>
    <w:rsid w:val="005C3191"/>
    <w:rsid w:val="005C3C86"/>
    <w:rsid w:val="005C725E"/>
    <w:rsid w:val="005C7BBF"/>
    <w:rsid w:val="005D019B"/>
    <w:rsid w:val="005D3069"/>
    <w:rsid w:val="005D3730"/>
    <w:rsid w:val="005D3BD1"/>
    <w:rsid w:val="005E2F89"/>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A09A4"/>
    <w:rsid w:val="006A21CC"/>
    <w:rsid w:val="006A3856"/>
    <w:rsid w:val="006A438F"/>
    <w:rsid w:val="006A503A"/>
    <w:rsid w:val="006A7FA7"/>
    <w:rsid w:val="006B1C34"/>
    <w:rsid w:val="006B293F"/>
    <w:rsid w:val="006B35F3"/>
    <w:rsid w:val="006B40C1"/>
    <w:rsid w:val="006B6A20"/>
    <w:rsid w:val="006C1A56"/>
    <w:rsid w:val="006C1EDD"/>
    <w:rsid w:val="006C2F5C"/>
    <w:rsid w:val="006C4010"/>
    <w:rsid w:val="006C477E"/>
    <w:rsid w:val="006C6D7A"/>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EB1"/>
    <w:rsid w:val="00700AD5"/>
    <w:rsid w:val="00702D4F"/>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6472"/>
    <w:rsid w:val="00747C5A"/>
    <w:rsid w:val="00751DE7"/>
    <w:rsid w:val="00752CE8"/>
    <w:rsid w:val="00760A78"/>
    <w:rsid w:val="00764725"/>
    <w:rsid w:val="00764B6B"/>
    <w:rsid w:val="00764F0C"/>
    <w:rsid w:val="00766432"/>
    <w:rsid w:val="00766983"/>
    <w:rsid w:val="00767A28"/>
    <w:rsid w:val="007712C3"/>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10D6"/>
    <w:rsid w:val="007A12A7"/>
    <w:rsid w:val="007A14FC"/>
    <w:rsid w:val="007A4A3D"/>
    <w:rsid w:val="007A5A11"/>
    <w:rsid w:val="007A6F16"/>
    <w:rsid w:val="007A7B6E"/>
    <w:rsid w:val="007A7F7F"/>
    <w:rsid w:val="007A7FD6"/>
    <w:rsid w:val="007B09DF"/>
    <w:rsid w:val="007B300E"/>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E1C60"/>
    <w:rsid w:val="007E5486"/>
    <w:rsid w:val="007E6196"/>
    <w:rsid w:val="007E6656"/>
    <w:rsid w:val="007E70BF"/>
    <w:rsid w:val="007E735A"/>
    <w:rsid w:val="007F0085"/>
    <w:rsid w:val="007F0F01"/>
    <w:rsid w:val="007F155F"/>
    <w:rsid w:val="007F22ED"/>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D1B"/>
    <w:rsid w:val="00816C1F"/>
    <w:rsid w:val="00820876"/>
    <w:rsid w:val="0082143F"/>
    <w:rsid w:val="00822064"/>
    <w:rsid w:val="00822077"/>
    <w:rsid w:val="008220AD"/>
    <w:rsid w:val="00823610"/>
    <w:rsid w:val="0083049A"/>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600ED"/>
    <w:rsid w:val="00860366"/>
    <w:rsid w:val="00861CAB"/>
    <w:rsid w:val="00862B21"/>
    <w:rsid w:val="00863ACF"/>
    <w:rsid w:val="00863E02"/>
    <w:rsid w:val="00865274"/>
    <w:rsid w:val="00865940"/>
    <w:rsid w:val="00865EEC"/>
    <w:rsid w:val="00866A27"/>
    <w:rsid w:val="008701DC"/>
    <w:rsid w:val="0087081B"/>
    <w:rsid w:val="008739F1"/>
    <w:rsid w:val="00874308"/>
    <w:rsid w:val="00877B13"/>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561D"/>
    <w:rsid w:val="008C62EC"/>
    <w:rsid w:val="008D0BE4"/>
    <w:rsid w:val="008D19DB"/>
    <w:rsid w:val="008D5BE0"/>
    <w:rsid w:val="008D7B10"/>
    <w:rsid w:val="008E7C23"/>
    <w:rsid w:val="008E7F8D"/>
    <w:rsid w:val="008F06E9"/>
    <w:rsid w:val="008F2850"/>
    <w:rsid w:val="008F2FC2"/>
    <w:rsid w:val="008F302C"/>
    <w:rsid w:val="008F5D1E"/>
    <w:rsid w:val="008F7242"/>
    <w:rsid w:val="00901457"/>
    <w:rsid w:val="0090233F"/>
    <w:rsid w:val="009035A2"/>
    <w:rsid w:val="009119D3"/>
    <w:rsid w:val="00917F7F"/>
    <w:rsid w:val="00922101"/>
    <w:rsid w:val="00924C0D"/>
    <w:rsid w:val="0092587F"/>
    <w:rsid w:val="00932FE2"/>
    <w:rsid w:val="009340AB"/>
    <w:rsid w:val="00936192"/>
    <w:rsid w:val="0094066E"/>
    <w:rsid w:val="00942A08"/>
    <w:rsid w:val="00942CAD"/>
    <w:rsid w:val="00943363"/>
    <w:rsid w:val="009434CF"/>
    <w:rsid w:val="00946910"/>
    <w:rsid w:val="00947C38"/>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20E4"/>
    <w:rsid w:val="009A2440"/>
    <w:rsid w:val="009A2448"/>
    <w:rsid w:val="009A3D15"/>
    <w:rsid w:val="009A6007"/>
    <w:rsid w:val="009A6F9E"/>
    <w:rsid w:val="009A714A"/>
    <w:rsid w:val="009B0602"/>
    <w:rsid w:val="009B0987"/>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A8B"/>
    <w:rsid w:val="00A02AC3"/>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81A"/>
    <w:rsid w:val="00A44C41"/>
    <w:rsid w:val="00A45529"/>
    <w:rsid w:val="00A466AC"/>
    <w:rsid w:val="00A47031"/>
    <w:rsid w:val="00A4765E"/>
    <w:rsid w:val="00A50604"/>
    <w:rsid w:val="00A50E26"/>
    <w:rsid w:val="00A522C3"/>
    <w:rsid w:val="00A524A6"/>
    <w:rsid w:val="00A54818"/>
    <w:rsid w:val="00A56859"/>
    <w:rsid w:val="00A569E0"/>
    <w:rsid w:val="00A60CA4"/>
    <w:rsid w:val="00A62285"/>
    <w:rsid w:val="00A65A66"/>
    <w:rsid w:val="00A66EE4"/>
    <w:rsid w:val="00A70197"/>
    <w:rsid w:val="00A715EF"/>
    <w:rsid w:val="00A73387"/>
    <w:rsid w:val="00A745D3"/>
    <w:rsid w:val="00A7462D"/>
    <w:rsid w:val="00A8029C"/>
    <w:rsid w:val="00A8033D"/>
    <w:rsid w:val="00A826B4"/>
    <w:rsid w:val="00A82E1A"/>
    <w:rsid w:val="00A8395A"/>
    <w:rsid w:val="00A83C7E"/>
    <w:rsid w:val="00A8418C"/>
    <w:rsid w:val="00A84DA1"/>
    <w:rsid w:val="00A85812"/>
    <w:rsid w:val="00A871C9"/>
    <w:rsid w:val="00A87FE2"/>
    <w:rsid w:val="00A960E9"/>
    <w:rsid w:val="00A97B41"/>
    <w:rsid w:val="00A97F0C"/>
    <w:rsid w:val="00A97F93"/>
    <w:rsid w:val="00AA0E4D"/>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42F5"/>
    <w:rsid w:val="00AE4721"/>
    <w:rsid w:val="00AE747B"/>
    <w:rsid w:val="00AE7DE5"/>
    <w:rsid w:val="00AF1653"/>
    <w:rsid w:val="00AF3BF4"/>
    <w:rsid w:val="00AF3F93"/>
    <w:rsid w:val="00AF50BF"/>
    <w:rsid w:val="00B02DE3"/>
    <w:rsid w:val="00B037AA"/>
    <w:rsid w:val="00B054BA"/>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C9D"/>
    <w:rsid w:val="00BC6F58"/>
    <w:rsid w:val="00BD07C7"/>
    <w:rsid w:val="00BD14CE"/>
    <w:rsid w:val="00BD2421"/>
    <w:rsid w:val="00BD3541"/>
    <w:rsid w:val="00BD4652"/>
    <w:rsid w:val="00BD62A2"/>
    <w:rsid w:val="00BD6A96"/>
    <w:rsid w:val="00BD6BF0"/>
    <w:rsid w:val="00BD74B1"/>
    <w:rsid w:val="00BE037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5AF4"/>
    <w:rsid w:val="00C06B98"/>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2AD"/>
    <w:rsid w:val="00C419F7"/>
    <w:rsid w:val="00C4313B"/>
    <w:rsid w:val="00C45F01"/>
    <w:rsid w:val="00C4698C"/>
    <w:rsid w:val="00C5207F"/>
    <w:rsid w:val="00C52D21"/>
    <w:rsid w:val="00C5543B"/>
    <w:rsid w:val="00C573B1"/>
    <w:rsid w:val="00C600EE"/>
    <w:rsid w:val="00C64192"/>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7829"/>
    <w:rsid w:val="00D47E7C"/>
    <w:rsid w:val="00D50AD1"/>
    <w:rsid w:val="00D542A9"/>
    <w:rsid w:val="00D5501F"/>
    <w:rsid w:val="00D55807"/>
    <w:rsid w:val="00D604C4"/>
    <w:rsid w:val="00D63929"/>
    <w:rsid w:val="00D63C1C"/>
    <w:rsid w:val="00D6421D"/>
    <w:rsid w:val="00D645E0"/>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A17B0"/>
    <w:rsid w:val="00DA1B81"/>
    <w:rsid w:val="00DA2C00"/>
    <w:rsid w:val="00DA3F09"/>
    <w:rsid w:val="00DA5E1F"/>
    <w:rsid w:val="00DA6D82"/>
    <w:rsid w:val="00DB169C"/>
    <w:rsid w:val="00DB180E"/>
    <w:rsid w:val="00DB21E9"/>
    <w:rsid w:val="00DB27AF"/>
    <w:rsid w:val="00DB292F"/>
    <w:rsid w:val="00DB3966"/>
    <w:rsid w:val="00DB3F0F"/>
    <w:rsid w:val="00DB5A3F"/>
    <w:rsid w:val="00DC124A"/>
    <w:rsid w:val="00DC2AD7"/>
    <w:rsid w:val="00DC6EBF"/>
    <w:rsid w:val="00DD4D17"/>
    <w:rsid w:val="00DD5846"/>
    <w:rsid w:val="00DD620A"/>
    <w:rsid w:val="00DE11D6"/>
    <w:rsid w:val="00DE2212"/>
    <w:rsid w:val="00DE2C8D"/>
    <w:rsid w:val="00DE5E69"/>
    <w:rsid w:val="00DE610C"/>
    <w:rsid w:val="00DE7CEB"/>
    <w:rsid w:val="00DE7F13"/>
    <w:rsid w:val="00DF06C4"/>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411D"/>
    <w:rsid w:val="00E76439"/>
    <w:rsid w:val="00E80317"/>
    <w:rsid w:val="00E80877"/>
    <w:rsid w:val="00E829FE"/>
    <w:rsid w:val="00E841D8"/>
    <w:rsid w:val="00E858D9"/>
    <w:rsid w:val="00E85DC1"/>
    <w:rsid w:val="00E862F4"/>
    <w:rsid w:val="00E9032B"/>
    <w:rsid w:val="00E90B5E"/>
    <w:rsid w:val="00E92DE1"/>
    <w:rsid w:val="00E93717"/>
    <w:rsid w:val="00E97E2B"/>
    <w:rsid w:val="00EA0D5B"/>
    <w:rsid w:val="00EA3FF6"/>
    <w:rsid w:val="00EA6DC0"/>
    <w:rsid w:val="00EB2481"/>
    <w:rsid w:val="00EB257B"/>
    <w:rsid w:val="00EB2D88"/>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E173D"/>
    <w:rsid w:val="00EE24D6"/>
    <w:rsid w:val="00EE59C6"/>
    <w:rsid w:val="00EF1864"/>
    <w:rsid w:val="00EF26B4"/>
    <w:rsid w:val="00EF33BF"/>
    <w:rsid w:val="00EF5A27"/>
    <w:rsid w:val="00EF775A"/>
    <w:rsid w:val="00F00020"/>
    <w:rsid w:val="00F02E36"/>
    <w:rsid w:val="00F04707"/>
    <w:rsid w:val="00F04ACD"/>
    <w:rsid w:val="00F0571B"/>
    <w:rsid w:val="00F107A8"/>
    <w:rsid w:val="00F10F01"/>
    <w:rsid w:val="00F110F6"/>
    <w:rsid w:val="00F122E7"/>
    <w:rsid w:val="00F152B2"/>
    <w:rsid w:val="00F17D2D"/>
    <w:rsid w:val="00F22AFE"/>
    <w:rsid w:val="00F237A4"/>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9BA"/>
    <w:rsid w:val="00F60DAD"/>
    <w:rsid w:val="00F60DE0"/>
    <w:rsid w:val="00F6194D"/>
    <w:rsid w:val="00F61F8E"/>
    <w:rsid w:val="00F6251B"/>
    <w:rsid w:val="00F63405"/>
    <w:rsid w:val="00F64156"/>
    <w:rsid w:val="00F71087"/>
    <w:rsid w:val="00F73422"/>
    <w:rsid w:val="00F73A04"/>
    <w:rsid w:val="00F74DE7"/>
    <w:rsid w:val="00F76A83"/>
    <w:rsid w:val="00F81D96"/>
    <w:rsid w:val="00F83978"/>
    <w:rsid w:val="00F83ED3"/>
    <w:rsid w:val="00F857B4"/>
    <w:rsid w:val="00F86C88"/>
    <w:rsid w:val="00F86D13"/>
    <w:rsid w:val="00F87535"/>
    <w:rsid w:val="00F91915"/>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rules v:ext="edit">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fra.aspx?cas=36278" TargetMode="External"/><Relationship Id="rId18" Type="http://schemas.openxmlformats.org/officeDocument/2006/relationships/hyperlink" Target="http://www.scc-csc.ca/case-dossier/info/sum-som-eng.aspx?cas=36316" TargetMode="External"/><Relationship Id="rId26" Type="http://schemas.openxmlformats.org/officeDocument/2006/relationships/hyperlink" Target="http://www.canlii.org/en/on/onca/doc/2014/2014onca852/2014onca852.html?autocompleteStr=2014%20ONCA%20852&amp;autocompletePos=1" TargetMode="External"/><Relationship Id="rId39" Type="http://schemas.openxmlformats.org/officeDocument/2006/relationships/hyperlink" Target="http://www.canlii.org/en/nb/nbca/doc/2015/2015nbca7/2015nbca7.html?autocompleteStr=2015%20nbca%207&amp;autocompletePos=1" TargetMode="External"/><Relationship Id="rId21" Type="http://schemas.openxmlformats.org/officeDocument/2006/relationships/hyperlink" Target="http://canlii.ca/t/fzttb" TargetMode="External"/><Relationship Id="rId34" Type="http://schemas.openxmlformats.org/officeDocument/2006/relationships/hyperlink" Target="http://www.canlii.org/fr/qc/qcca/doc/2014/2014qcca2253/2014qcca2253.html" TargetMode="External"/><Relationship Id="rId42" Type="http://schemas.openxmlformats.org/officeDocument/2006/relationships/hyperlink" Target="http://canlii.ca/t/gfgxx" TargetMode="External"/><Relationship Id="rId47" Type="http://schemas.openxmlformats.org/officeDocument/2006/relationships/hyperlink" Target="https://www.canlii.org/en/ab/abqb/doc/2014/2014abqb524/2014abqb524.html?searchUrlHash=AAAAAQANMjAxNCBBQlFCIDUyNAAAAAAB&amp;resultIndex=1" TargetMode="External"/><Relationship Id="rId50" Type="http://schemas.openxmlformats.org/officeDocument/2006/relationships/hyperlink" Target="http://www.canlii.org/en/qc/qcca/doc/2014/2014qcca2221/2014qcca2221.html" TargetMode="External"/><Relationship Id="rId55" Type="http://schemas.openxmlformats.org/officeDocument/2006/relationships/hyperlink" Target="http://www.canlii.org/en/bc/bcsc/doc/2013/2013bcsc1205/2013bcsc1205.html?autocompleteStr=2013%20bcsc%201205&amp;autocompletePos=1" TargetMode="External"/><Relationship Id="rId7" Type="http://schemas.openxmlformats.org/officeDocument/2006/relationships/endnotes" Target="endnotes.xml"/><Relationship Id="rId12" Type="http://schemas.openxmlformats.org/officeDocument/2006/relationships/hyperlink" Target="http://www.scc-csc.ca/case-dossier/info/sum-som-fra.aspx?cas=36255" TargetMode="External"/><Relationship Id="rId17" Type="http://schemas.openxmlformats.org/officeDocument/2006/relationships/hyperlink" Target="http://www.scc-csc.ca/case-dossier/info/sum-som-eng.aspx?cas=36319" TargetMode="External"/><Relationship Id="rId25" Type="http://schemas.openxmlformats.org/officeDocument/2006/relationships/hyperlink" Target="http://www.canlii.org/en/on/onsc/doc/2013/2013onsc5410/2013onsc5410.html" TargetMode="External"/><Relationship Id="rId33" Type="http://schemas.openxmlformats.org/officeDocument/2006/relationships/hyperlink" Target="http://www.canlii.org/fr/qc/qccs/doc/2014/2014qccs4772/2014qccs4772.html" TargetMode="External"/><Relationship Id="rId38" Type="http://schemas.openxmlformats.org/officeDocument/2006/relationships/hyperlink" Target="http://www.canlii.org/fr/qc/qcca/doc/2014/2014qcca2311/2014qcca2311.html?autocompleteStr=2014%20QCCA%202311&amp;autocompletePos=1" TargetMode="External"/><Relationship Id="rId46" Type="http://schemas.openxmlformats.org/officeDocument/2006/relationships/hyperlink" Target="https://www.canlii.org/en/ab/abca/doc/2014/2014abca376/2014abca376.html?autocompleteStr=2014%20ABCA%20376%20&amp;autocompletePos=1"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c-csc.ca/case-dossier/info/sum-som-eng.aspx?cas=36327" TargetMode="External"/><Relationship Id="rId20" Type="http://schemas.openxmlformats.org/officeDocument/2006/relationships/hyperlink" Target="http://canlii.ca/t/gfj0r" TargetMode="External"/><Relationship Id="rId29" Type="http://schemas.openxmlformats.org/officeDocument/2006/relationships/hyperlink" Target="http://www.canlii.org/en/bc/bcsc/doc/2013/2013bcsc524/2013bcsc524.html" TargetMode="External"/><Relationship Id="rId41" Type="http://schemas.openxmlformats.org/officeDocument/2006/relationships/hyperlink" Target="http://canlii.ca/t/g0jbv" TargetMode="External"/><Relationship Id="rId54" Type="http://schemas.openxmlformats.org/officeDocument/2006/relationships/hyperlink" Target="http://www.canlii.org/en/bc/bcca/doc/2014/2014bcca487/2014bcca487.html?autocompleteStr=2014%20BCCA%20487&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6306" TargetMode="External"/><Relationship Id="rId24" Type="http://schemas.openxmlformats.org/officeDocument/2006/relationships/hyperlink" Target="http://www.canlii.org/en/on/onca/doc/2014/2014onca852/2014onca852.html?autocompleteStr=2014%20ONCA%20852&amp;autocompletePos=1" TargetMode="External"/><Relationship Id="rId32" Type="http://schemas.openxmlformats.org/officeDocument/2006/relationships/hyperlink" Target="http://www.canlii.org/fr/qc/qcca/doc/2014/2014qcca2253/2014qcca2253.html" TargetMode="External"/><Relationship Id="rId37" Type="http://schemas.openxmlformats.org/officeDocument/2006/relationships/hyperlink" Target="http://www.canlii.org/fr/qc/qcca/doc/2014/2014qcca2311/2014qcca2311.html?autocompleteStr=2014%20QCCA%202311&amp;autocompletePos=1" TargetMode="External"/><Relationship Id="rId40" Type="http://schemas.openxmlformats.org/officeDocument/2006/relationships/hyperlink" Target="http://www.canlii.org/en/nb/nbca/doc/2015/2015nbca7/2015nbca7.html?autocompleteStr=2015%20nbca%207&amp;autocompletePos=1" TargetMode="External"/><Relationship Id="rId45" Type="http://schemas.openxmlformats.org/officeDocument/2006/relationships/hyperlink" Target="https://www.canlii.org/en/ab/abqb/doc/2014/2014abqb524/2014abqb524.html?searchUrlHash=AAAAAQANMjAxNCBBQlFCIDUyNAAAAAAB&amp;resultIndex=1" TargetMode="External"/><Relationship Id="rId53" Type="http://schemas.openxmlformats.org/officeDocument/2006/relationships/hyperlink" Target="http://www.canlii.org/en/bc/bcsc/doc/2013/2013bcsc1205/2013bcsc1205.html?autocompleteStr=2013%20bcsc%201205&amp;autocompletePos=1"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c-csc.ca/case-dossier/info/sum-som-eng.aspx?cas=36224" TargetMode="External"/><Relationship Id="rId23" Type="http://schemas.openxmlformats.org/officeDocument/2006/relationships/hyperlink" Target="http://www.canlii.org/en/on/onsc/doc/2013/2013onsc5410/2013onsc5410.html" TargetMode="External"/><Relationship Id="rId28" Type="http://schemas.openxmlformats.org/officeDocument/2006/relationships/hyperlink" Target="http://www.canlii.org/en/bc/bcca/doc/2014/2014bcca499/2014bcca499.html" TargetMode="External"/><Relationship Id="rId36" Type="http://schemas.openxmlformats.org/officeDocument/2006/relationships/hyperlink" Target="http://www.canlii.org/fr/qc/qcca/doc/2014/2014qcca2102/2014qcca2102.html?autocompleteStr=500-10-005406-135&amp;autocompletePos=1" TargetMode="External"/><Relationship Id="rId49" Type="http://schemas.openxmlformats.org/officeDocument/2006/relationships/hyperlink" Target="http://www.canlii.org/fr/qc/qccq/doc/2014/2014qccq11946/2014qccq11946.html" TargetMode="External"/><Relationship Id="rId57" Type="http://schemas.openxmlformats.org/officeDocument/2006/relationships/hyperlink" Target="mailto:comments-commentaires@scc-csc.ca" TargetMode="External"/><Relationship Id="rId10" Type="http://schemas.openxmlformats.org/officeDocument/2006/relationships/hyperlink" Target="http://www.scc-csc.ca/case-dossier/info/sum-som-eng.aspx?cas=36300" TargetMode="External"/><Relationship Id="rId19" Type="http://schemas.openxmlformats.org/officeDocument/2006/relationships/hyperlink" Target="http://canlii.ca/t/fzttb" TargetMode="External"/><Relationship Id="rId31" Type="http://schemas.openxmlformats.org/officeDocument/2006/relationships/hyperlink" Target="http://www.canlii.org/fr/qc/qccs/doc/2014/2014qccs4772/2014qccs4772.html" TargetMode="External"/><Relationship Id="rId44" Type="http://schemas.openxmlformats.org/officeDocument/2006/relationships/hyperlink" Target="http://canlii.ca/t/gfgxx" TargetMode="External"/><Relationship Id="rId52" Type="http://schemas.openxmlformats.org/officeDocument/2006/relationships/hyperlink" Target="http://www.canlii.org/en/qc/qcca/doc/2014/2014qcca2221/2014qcca2221.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6283" TargetMode="External"/><Relationship Id="rId14" Type="http://schemas.openxmlformats.org/officeDocument/2006/relationships/hyperlink" Target="http://www.scc-csc.ca/case-dossier/info/sum-som-eng.aspx?cas=36370" TargetMode="External"/><Relationship Id="rId22" Type="http://schemas.openxmlformats.org/officeDocument/2006/relationships/hyperlink" Target="http://canlii.ca/t/gfj0r" TargetMode="External"/><Relationship Id="rId27" Type="http://schemas.openxmlformats.org/officeDocument/2006/relationships/hyperlink" Target="http://www.canlii.org/en/bc/bcsc/doc/2013/2013bcsc524/2013bcsc524.html" TargetMode="External"/><Relationship Id="rId30" Type="http://schemas.openxmlformats.org/officeDocument/2006/relationships/hyperlink" Target="http://www.canlii.org/en/bc/bcca/doc/2014/2014bcca499/2014bcca499.html" TargetMode="External"/><Relationship Id="rId35" Type="http://schemas.openxmlformats.org/officeDocument/2006/relationships/hyperlink" Target="http://www.canlii.org/fr/qc/qcca/doc/2014/2014qcca2102/2014qcca2102.html?autocompleteStr=500-10-005406-135&amp;autocompletePos=1" TargetMode="External"/><Relationship Id="rId43" Type="http://schemas.openxmlformats.org/officeDocument/2006/relationships/hyperlink" Target="http://canlii.ca/t/g0jbv" TargetMode="External"/><Relationship Id="rId48" Type="http://schemas.openxmlformats.org/officeDocument/2006/relationships/hyperlink" Target="https://www.canlii.org/en/ab/abca/doc/2014/2014abca376/2014abca376.html?autocompleteStr=2014%20ABCA%20376%20&amp;autocompletePos=1" TargetMode="External"/><Relationship Id="rId56" Type="http://schemas.openxmlformats.org/officeDocument/2006/relationships/hyperlink" Target="http://www.canlii.org/en/bc/bcca/doc/2014/2014bcca487/2014bcca487.html?autocompleteStr=2014%20BCCA%20487&amp;autocompletePos=1" TargetMode="External"/><Relationship Id="rId8" Type="http://schemas.openxmlformats.org/officeDocument/2006/relationships/hyperlink" Target="http://www.scc-csc.ca/case-dossier/info/sum-som-eng.aspx?cas=36248" TargetMode="External"/><Relationship Id="rId51" Type="http://schemas.openxmlformats.org/officeDocument/2006/relationships/hyperlink" Target="http://www.canlii.org/fr/qc/qccq/doc/2014/2014qccq11946/2014qccq11946.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40426-8163-48D9-A9D6-EBC7CA2F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8400</Words>
  <Characters>47880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56168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2015-06-22T14:28:00Z</dcterms:created>
  <dcterms:modified xsi:type="dcterms:W3CDTF">2015-11-27T16:04:00Z</dcterms:modified>
</cp:coreProperties>
</file>