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3F43E6">
      <w:pPr>
        <w:pStyle w:val="Header"/>
        <w:jc w:val="center"/>
        <w:rPr>
          <w:b/>
          <w:sz w:val="32"/>
        </w:rPr>
      </w:pPr>
      <w:bookmarkStart w:id="0" w:name="_GoBack"/>
      <w:bookmarkEnd w:id="0"/>
      <w:r w:rsidRPr="004B4D42">
        <w:rPr>
          <w:b/>
          <w:sz w:val="32"/>
        </w:rPr>
        <w:t xml:space="preserve">Supreme Court of Canada / Cour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62043"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80556B" w:rsidP="006F2579">
      <w:pPr>
        <w:widowControl w:val="0"/>
        <w:rPr>
          <w:b/>
        </w:rPr>
      </w:pPr>
      <w:r>
        <w:rPr>
          <w:b/>
        </w:rPr>
        <w:t xml:space="preserve">June </w:t>
      </w:r>
      <w:r w:rsidR="00932FE2">
        <w:rPr>
          <w:b/>
        </w:rPr>
        <w:t>2</w:t>
      </w:r>
      <w:r w:rsidR="00696CA3">
        <w:rPr>
          <w:b/>
        </w:rPr>
        <w:t>9</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1155B4"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6F7EB1" w:rsidRPr="004B4D42">
        <w:t>D</w:t>
      </w:r>
      <w:r w:rsidRPr="004B4D42">
        <w:t xml:space="preserve">T on Thursday, </w:t>
      </w:r>
      <w:r w:rsidR="0080556B">
        <w:t>Ju</w:t>
      </w:r>
      <w:r w:rsidR="00696CA3">
        <w:t>ly</w:t>
      </w:r>
      <w:r w:rsidR="0080556B">
        <w:t xml:space="preserve"> </w:t>
      </w:r>
      <w:r w:rsidR="00932FE2">
        <w:t>2</w:t>
      </w:r>
      <w:r w:rsidR="00960719" w:rsidRPr="004B4D42">
        <w:t>,</w:t>
      </w:r>
      <w:r w:rsidR="002F38D7" w:rsidRPr="004B4D42">
        <w:t xml:space="preserve"> </w:t>
      </w:r>
      <w:r w:rsidR="006648D1" w:rsidRPr="004B4D42">
        <w:t>2015</w:t>
      </w:r>
      <w:r w:rsidRPr="004B4D42">
        <w:t xml:space="preserve">.  </w:t>
      </w:r>
      <w:r w:rsidRPr="001155B4">
        <w:rPr>
          <w:lang w:val="fr-CA"/>
        </w:rPr>
        <w:t>This list is subject to change.</w:t>
      </w:r>
    </w:p>
    <w:p w:rsidR="006F2579" w:rsidRPr="001155B4" w:rsidRDefault="006F2579" w:rsidP="006F2579">
      <w:pPr>
        <w:widowControl w:val="0"/>
        <w:rPr>
          <w:lang w:val="fr-CA"/>
        </w:rPr>
      </w:pPr>
    </w:p>
    <w:p w:rsidR="00FF5AA4" w:rsidRPr="001155B4" w:rsidRDefault="00FF5AA4"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932FE2">
        <w:rPr>
          <w:b/>
          <w:lang w:val="fr-CA"/>
        </w:rPr>
        <w:t>2</w:t>
      </w:r>
      <w:r w:rsidR="00696CA3">
        <w:rPr>
          <w:b/>
          <w:lang w:val="fr-CA"/>
        </w:rPr>
        <w:t>9</w:t>
      </w:r>
      <w:r w:rsidR="0080556B">
        <w:rPr>
          <w:b/>
          <w:lang w:val="fr-CA"/>
        </w:rPr>
        <w:t xml:space="preserve"> juin</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932FE2">
        <w:rPr>
          <w:lang w:val="fr-CA"/>
        </w:rPr>
        <w:t>2</w:t>
      </w:r>
      <w:r w:rsidR="0080556B">
        <w:rPr>
          <w:lang w:val="fr-CA"/>
        </w:rPr>
        <w:t xml:space="preserve"> jui</w:t>
      </w:r>
      <w:r w:rsidR="00696CA3">
        <w:rPr>
          <w:lang w:val="fr-CA"/>
        </w:rPr>
        <w:t>llet</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6F7EB1" w:rsidRPr="004B4D42">
        <w:rPr>
          <w:lang w:val="fr-CA"/>
        </w:rPr>
        <w:t>A</w:t>
      </w:r>
      <w:r w:rsidRPr="004B4D42">
        <w:rPr>
          <w:lang w:val="fr-CA"/>
        </w:rPr>
        <w:t>E.  Cette liste est sujette à modifications.</w:t>
      </w:r>
    </w:p>
    <w:p w:rsidR="006F2579" w:rsidRPr="004B4D42" w:rsidRDefault="006F2579" w:rsidP="006F2579">
      <w:pPr>
        <w:widowControl w:val="0"/>
        <w:outlineLvl w:val="0"/>
        <w:rPr>
          <w:szCs w:val="24"/>
          <w:lang w:val="fr-CA"/>
        </w:rPr>
      </w:pPr>
    </w:p>
    <w:p w:rsidR="001838E0" w:rsidRPr="004B4D42" w:rsidRDefault="001155B4" w:rsidP="009B14F4">
      <w:pPr>
        <w:widowControl w:val="0"/>
        <w:jc w:val="both"/>
        <w:rPr>
          <w:sz w:val="20"/>
          <w:lang w:val="fr-CA"/>
        </w:rPr>
      </w:pPr>
      <w:r>
        <w:rPr>
          <w:noProof/>
          <w:sz w:val="20"/>
        </w:rPr>
        <w:pict>
          <v:shapetype id="_x0000_t32" coordsize="21600,21600" o:spt="32" o:oned="t" path="m,l21600,21600e" filled="f">
            <v:path arrowok="t" fillok="f" o:connecttype="none"/>
            <o:lock v:ext="edit" shapetype="t"/>
          </v:shapetype>
          <v:shape id="_x0000_s1036" type="#_x0000_t32" style="position:absolute;left:0;text-align:left;margin-left:0;margin-top:7.25pt;width:246.95pt;height:0;z-index:251657728;mso-position-horizontal:center;mso-position-horizontal-relative:margin" o:connectortype="straight">
            <w10:wrap anchorx="margin"/>
          </v:shape>
        </w:pict>
      </w:r>
    </w:p>
    <w:p w:rsidR="003B3019" w:rsidRPr="007D7A92" w:rsidRDefault="003B3019" w:rsidP="008C561D">
      <w:pPr>
        <w:ind w:left="360" w:hanging="360"/>
        <w:jc w:val="both"/>
        <w:rPr>
          <w:sz w:val="20"/>
          <w:lang w:val="fr-CA"/>
        </w:rPr>
      </w:pPr>
    </w:p>
    <w:p w:rsidR="002A5CF5" w:rsidRPr="00F921C0" w:rsidRDefault="002A5CF5" w:rsidP="00F921C0">
      <w:pPr>
        <w:pStyle w:val="ListParagraph"/>
        <w:numPr>
          <w:ilvl w:val="0"/>
          <w:numId w:val="35"/>
        </w:numPr>
        <w:ind w:left="360"/>
        <w:jc w:val="both"/>
        <w:rPr>
          <w:sz w:val="20"/>
          <w:lang w:val="fr-CA"/>
        </w:rPr>
      </w:pPr>
      <w:r w:rsidRPr="00F921C0">
        <w:rPr>
          <w:i/>
          <w:sz w:val="20"/>
          <w:lang w:val="fr-CA"/>
        </w:rPr>
        <w:t xml:space="preserve">Roch </w:t>
      </w:r>
      <w:proofErr w:type="spellStart"/>
      <w:r w:rsidRPr="00F921C0">
        <w:rPr>
          <w:i/>
          <w:sz w:val="20"/>
          <w:lang w:val="fr-CA"/>
        </w:rPr>
        <w:t>Guimon</w:t>
      </w:r>
      <w:r w:rsidR="005748A1">
        <w:rPr>
          <w:i/>
          <w:sz w:val="20"/>
          <w:lang w:val="fr-CA"/>
        </w:rPr>
        <w:t>t</w:t>
      </w:r>
      <w:proofErr w:type="spellEnd"/>
      <w:r w:rsidRPr="00F921C0">
        <w:rPr>
          <w:i/>
          <w:sz w:val="20"/>
          <w:lang w:val="fr-CA"/>
        </w:rPr>
        <w:t xml:space="preserve"> et a</w:t>
      </w:r>
      <w:r w:rsidR="005748A1">
        <w:rPr>
          <w:i/>
          <w:sz w:val="20"/>
          <w:lang w:val="fr-CA"/>
        </w:rPr>
        <w:t>utre</w:t>
      </w:r>
      <w:r w:rsidRPr="00F921C0">
        <w:rPr>
          <w:i/>
          <w:sz w:val="20"/>
          <w:lang w:val="fr-CA"/>
        </w:rPr>
        <w:t xml:space="preserve"> c. Sa Majesté la Reine</w:t>
      </w:r>
      <w:r w:rsidRPr="00F921C0">
        <w:rPr>
          <w:sz w:val="20"/>
          <w:lang w:val="fr-CA"/>
        </w:rPr>
        <w:t xml:space="preserve"> (</w:t>
      </w:r>
      <w:proofErr w:type="spellStart"/>
      <w:r w:rsidRPr="00F921C0">
        <w:rPr>
          <w:sz w:val="20"/>
          <w:lang w:val="fr-CA"/>
        </w:rPr>
        <w:t>Qc</w:t>
      </w:r>
      <w:proofErr w:type="spellEnd"/>
      <w:r w:rsidRPr="00F921C0">
        <w:rPr>
          <w:sz w:val="20"/>
          <w:lang w:val="fr-CA"/>
        </w:rPr>
        <w:t>) (Criminelle) (Autorisation) (</w:t>
      </w:r>
      <w:r w:rsidR="001155B4">
        <w:fldChar w:fldCharType="begin"/>
      </w:r>
      <w:r w:rsidR="001155B4" w:rsidRPr="001155B4">
        <w:rPr>
          <w:lang w:val="fr-CA"/>
        </w:rPr>
        <w:instrText xml:space="preserve"> HYPERLINK "http://www.scc-csc.ca</w:instrText>
      </w:r>
      <w:r w:rsidR="001155B4" w:rsidRPr="001155B4">
        <w:rPr>
          <w:lang w:val="fr-CA"/>
        </w:rPr>
        <w:instrText xml:space="preserve">/case-dossier/info/sum-som-fra.aspx?cas=36391" </w:instrText>
      </w:r>
      <w:r w:rsidR="001155B4">
        <w:fldChar w:fldCharType="separate"/>
      </w:r>
      <w:r w:rsidRPr="00CC71C7">
        <w:rPr>
          <w:rStyle w:val="Hyperlink"/>
          <w:sz w:val="20"/>
          <w:lang w:val="fr-CA"/>
        </w:rPr>
        <w:t>36391</w:t>
      </w:r>
      <w:r w:rsidR="001155B4">
        <w:rPr>
          <w:rStyle w:val="Hyperlink"/>
          <w:sz w:val="20"/>
          <w:lang w:val="fr-CA"/>
        </w:rPr>
        <w:fldChar w:fldCharType="end"/>
      </w:r>
      <w:r w:rsidRPr="00F921C0">
        <w:rPr>
          <w:sz w:val="20"/>
          <w:lang w:val="fr-CA"/>
        </w:rPr>
        <w:t>)</w:t>
      </w:r>
    </w:p>
    <w:p w:rsidR="002A5CF5" w:rsidRPr="00F921C0" w:rsidRDefault="002A5CF5" w:rsidP="00F921C0">
      <w:pPr>
        <w:ind w:left="360" w:hanging="360"/>
        <w:jc w:val="both"/>
        <w:rPr>
          <w:sz w:val="20"/>
          <w:lang w:val="fr-CA"/>
        </w:rPr>
      </w:pPr>
    </w:p>
    <w:p w:rsidR="002A5CF5" w:rsidRPr="00F921C0" w:rsidRDefault="002A5CF5" w:rsidP="00F921C0">
      <w:pPr>
        <w:pStyle w:val="ListParagraph"/>
        <w:numPr>
          <w:ilvl w:val="0"/>
          <w:numId w:val="35"/>
        </w:numPr>
        <w:ind w:left="360"/>
        <w:jc w:val="both"/>
        <w:rPr>
          <w:sz w:val="20"/>
          <w:lang w:val="fr-CA"/>
        </w:rPr>
      </w:pPr>
      <w:r w:rsidRPr="00F921C0">
        <w:rPr>
          <w:i/>
          <w:sz w:val="20"/>
          <w:lang w:val="fr-CA"/>
        </w:rPr>
        <w:t xml:space="preserve">Jacques </w:t>
      </w:r>
      <w:proofErr w:type="spellStart"/>
      <w:r w:rsidRPr="00F921C0">
        <w:rPr>
          <w:i/>
          <w:sz w:val="20"/>
          <w:lang w:val="fr-CA"/>
        </w:rPr>
        <w:t>Laperrière</w:t>
      </w:r>
      <w:proofErr w:type="spellEnd"/>
      <w:r w:rsidRPr="00F921C0">
        <w:rPr>
          <w:i/>
          <w:sz w:val="20"/>
          <w:lang w:val="fr-CA"/>
        </w:rPr>
        <w:t xml:space="preserve"> c. Sa Majesté la Reine</w:t>
      </w:r>
      <w:r w:rsidRPr="00F921C0">
        <w:rPr>
          <w:sz w:val="20"/>
          <w:lang w:val="fr-CA"/>
        </w:rPr>
        <w:t xml:space="preserve"> (</w:t>
      </w:r>
      <w:proofErr w:type="spellStart"/>
      <w:r w:rsidRPr="00F921C0">
        <w:rPr>
          <w:sz w:val="20"/>
          <w:lang w:val="fr-CA"/>
        </w:rPr>
        <w:t>Qc</w:t>
      </w:r>
      <w:proofErr w:type="spellEnd"/>
      <w:r w:rsidRPr="00F921C0">
        <w:rPr>
          <w:sz w:val="20"/>
          <w:lang w:val="fr-CA"/>
        </w:rPr>
        <w:t>) (Criminelle) (Autorisation) (</w:t>
      </w:r>
      <w:r w:rsidR="001155B4">
        <w:fldChar w:fldCharType="begin"/>
      </w:r>
      <w:r w:rsidR="001155B4" w:rsidRPr="001155B4">
        <w:rPr>
          <w:lang w:val="fr-CA"/>
        </w:rPr>
        <w:instrText xml:space="preserve"> HYPERLINK</w:instrText>
      </w:r>
      <w:r w:rsidR="001155B4" w:rsidRPr="001155B4">
        <w:rPr>
          <w:lang w:val="fr-CA"/>
        </w:rPr>
        <w:instrText xml:space="preserve"> "http://www.scc-csc.ca</w:instrText>
      </w:r>
      <w:r w:rsidR="001155B4" w:rsidRPr="001155B4">
        <w:rPr>
          <w:lang w:val="fr-CA"/>
        </w:rPr>
        <w:instrText xml:space="preserve">/case-dossier/info/sum-som-fra.aspx?cas=36345" </w:instrText>
      </w:r>
      <w:r w:rsidR="001155B4">
        <w:fldChar w:fldCharType="separate"/>
      </w:r>
      <w:r w:rsidRPr="00CC71C7">
        <w:rPr>
          <w:rStyle w:val="Hyperlink"/>
          <w:sz w:val="20"/>
          <w:lang w:val="fr-CA"/>
        </w:rPr>
        <w:t>36345</w:t>
      </w:r>
      <w:r w:rsidR="001155B4">
        <w:rPr>
          <w:rStyle w:val="Hyperlink"/>
          <w:sz w:val="20"/>
          <w:lang w:val="fr-CA"/>
        </w:rPr>
        <w:fldChar w:fldCharType="end"/>
      </w:r>
      <w:r w:rsidRPr="00F921C0">
        <w:rPr>
          <w:sz w:val="20"/>
          <w:lang w:val="fr-CA"/>
        </w:rPr>
        <w:t>)</w:t>
      </w:r>
    </w:p>
    <w:p w:rsidR="002A5CF5" w:rsidRPr="00F921C0" w:rsidRDefault="002A5CF5" w:rsidP="00F921C0">
      <w:pPr>
        <w:ind w:left="360" w:hanging="360"/>
        <w:jc w:val="both"/>
        <w:rPr>
          <w:sz w:val="20"/>
          <w:lang w:val="fr-CA"/>
        </w:rPr>
      </w:pPr>
    </w:p>
    <w:p w:rsidR="002A5CF5" w:rsidRPr="00F921C0" w:rsidRDefault="002A5CF5" w:rsidP="00F921C0">
      <w:pPr>
        <w:pStyle w:val="ListParagraph"/>
        <w:numPr>
          <w:ilvl w:val="0"/>
          <w:numId w:val="35"/>
        </w:numPr>
        <w:ind w:left="360"/>
        <w:jc w:val="both"/>
        <w:rPr>
          <w:sz w:val="20"/>
          <w:lang w:val="fr-CA"/>
        </w:rPr>
      </w:pPr>
      <w:r w:rsidRPr="00F921C0">
        <w:rPr>
          <w:i/>
          <w:sz w:val="20"/>
          <w:lang w:val="fr-CA"/>
        </w:rPr>
        <w:t>Procureur général du Canada c. Barreau du Québec</w:t>
      </w:r>
      <w:r w:rsidRPr="00F921C0">
        <w:rPr>
          <w:sz w:val="20"/>
          <w:lang w:val="fr-CA"/>
        </w:rPr>
        <w:t xml:space="preserve"> (</w:t>
      </w:r>
      <w:proofErr w:type="spellStart"/>
      <w:r w:rsidRPr="00F921C0">
        <w:rPr>
          <w:sz w:val="20"/>
          <w:lang w:val="fr-CA"/>
        </w:rPr>
        <w:t>Qc</w:t>
      </w:r>
      <w:proofErr w:type="spellEnd"/>
      <w:r w:rsidRPr="00F921C0">
        <w:rPr>
          <w:sz w:val="20"/>
          <w:lang w:val="fr-CA"/>
        </w:rPr>
        <w:t>) (Civile) (Autorisation) (</w:t>
      </w:r>
      <w:r w:rsidR="001155B4">
        <w:fldChar w:fldCharType="begin"/>
      </w:r>
      <w:r w:rsidR="001155B4" w:rsidRPr="001155B4">
        <w:rPr>
          <w:lang w:val="fr-CA"/>
        </w:rPr>
        <w:instrText xml:space="preserve"> HYPERLINK "http://www.scc-csc.ca</w:instrText>
      </w:r>
      <w:r w:rsidR="001155B4" w:rsidRPr="001155B4">
        <w:rPr>
          <w:lang w:val="fr-CA"/>
        </w:rPr>
        <w:instrText xml:space="preserve">/case-dossier/info/sum-som-fra.aspx?cas=36290" </w:instrText>
      </w:r>
      <w:r w:rsidR="001155B4">
        <w:fldChar w:fldCharType="separate"/>
      </w:r>
      <w:r w:rsidRPr="00CC71C7">
        <w:rPr>
          <w:rStyle w:val="Hyperlink"/>
          <w:sz w:val="20"/>
          <w:lang w:val="fr-CA"/>
        </w:rPr>
        <w:t>36290</w:t>
      </w:r>
      <w:r w:rsidR="001155B4">
        <w:rPr>
          <w:rStyle w:val="Hyperlink"/>
          <w:sz w:val="20"/>
          <w:lang w:val="fr-CA"/>
        </w:rPr>
        <w:fldChar w:fldCharType="end"/>
      </w:r>
      <w:r w:rsidRPr="00F921C0">
        <w:rPr>
          <w:sz w:val="20"/>
          <w:lang w:val="fr-CA"/>
        </w:rPr>
        <w:t>)</w:t>
      </w:r>
    </w:p>
    <w:p w:rsidR="002A5CF5" w:rsidRPr="00F921C0" w:rsidRDefault="002A5CF5" w:rsidP="00F921C0">
      <w:pPr>
        <w:ind w:left="360" w:hanging="360"/>
        <w:jc w:val="both"/>
        <w:rPr>
          <w:sz w:val="20"/>
          <w:lang w:val="fr-CA"/>
        </w:rPr>
      </w:pPr>
    </w:p>
    <w:p w:rsidR="002A5CF5" w:rsidRPr="00F921C0" w:rsidRDefault="002A5CF5" w:rsidP="00F921C0">
      <w:pPr>
        <w:pStyle w:val="ListParagraph"/>
        <w:numPr>
          <w:ilvl w:val="0"/>
          <w:numId w:val="35"/>
        </w:numPr>
        <w:ind w:left="360"/>
        <w:jc w:val="both"/>
        <w:rPr>
          <w:sz w:val="20"/>
          <w:lang w:val="en-CA"/>
        </w:rPr>
      </w:pPr>
      <w:r w:rsidRPr="00F921C0">
        <w:rPr>
          <w:i/>
          <w:sz w:val="20"/>
          <w:lang w:val="fr-CA"/>
        </w:rPr>
        <w:t xml:space="preserve">9080-9211 Québec Inc. (Les Propriétés Victoria) v. </w:t>
      </w:r>
      <w:proofErr w:type="spellStart"/>
      <w:r w:rsidRPr="00F921C0">
        <w:rPr>
          <w:i/>
          <w:sz w:val="20"/>
          <w:lang w:val="fr-CA"/>
        </w:rPr>
        <w:t>Athena</w:t>
      </w:r>
      <w:proofErr w:type="spellEnd"/>
      <w:r w:rsidRPr="00F921C0">
        <w:rPr>
          <w:i/>
          <w:sz w:val="20"/>
          <w:lang w:val="fr-CA"/>
        </w:rPr>
        <w:t xml:space="preserve"> </w:t>
      </w:r>
      <w:proofErr w:type="spellStart"/>
      <w:r w:rsidRPr="00F921C0">
        <w:rPr>
          <w:i/>
          <w:sz w:val="20"/>
          <w:lang w:val="fr-CA"/>
        </w:rPr>
        <w:t>Energy</w:t>
      </w:r>
      <w:proofErr w:type="spellEnd"/>
      <w:r w:rsidRPr="00F921C0">
        <w:rPr>
          <w:i/>
          <w:sz w:val="20"/>
          <w:lang w:val="fr-CA"/>
        </w:rPr>
        <w:t xml:space="preserve"> Marketing Inc. </w:t>
      </w:r>
      <w:r w:rsidRPr="00F921C0">
        <w:rPr>
          <w:i/>
          <w:sz w:val="20"/>
          <w:lang w:val="en-CA"/>
        </w:rPr>
        <w:t xml:space="preserve">(doing business under the trade name </w:t>
      </w:r>
      <w:r w:rsidR="005748A1">
        <w:rPr>
          <w:i/>
          <w:sz w:val="20"/>
          <w:lang w:val="en-CA"/>
        </w:rPr>
        <w:t>RBC Natural Gas Services Inc.)</w:t>
      </w:r>
      <w:r w:rsidRPr="00F921C0">
        <w:rPr>
          <w:i/>
          <w:sz w:val="20"/>
          <w:lang w:val="en-CA"/>
        </w:rPr>
        <w:t xml:space="preserve"> et al.</w:t>
      </w:r>
      <w:r w:rsidRPr="00F921C0">
        <w:rPr>
          <w:sz w:val="20"/>
          <w:lang w:val="en-CA"/>
        </w:rPr>
        <w:t xml:space="preserve"> (Que.) (Civil) (By Leave) (</w:t>
      </w:r>
      <w:hyperlink r:id="rId8" w:history="1">
        <w:r w:rsidRPr="00CC71C7">
          <w:rPr>
            <w:rStyle w:val="Hyperlink"/>
            <w:sz w:val="20"/>
            <w:lang w:val="en-CA"/>
          </w:rPr>
          <w:t>36279</w:t>
        </w:r>
      </w:hyperlink>
      <w:r w:rsidRPr="00F921C0">
        <w:rPr>
          <w:sz w:val="20"/>
          <w:lang w:val="en-CA"/>
        </w:rPr>
        <w:t>)</w:t>
      </w:r>
    </w:p>
    <w:p w:rsidR="002A5CF5" w:rsidRPr="005748A1" w:rsidRDefault="002A5CF5" w:rsidP="00F921C0">
      <w:pPr>
        <w:ind w:left="360" w:hanging="360"/>
        <w:jc w:val="both"/>
        <w:rPr>
          <w:sz w:val="20"/>
        </w:rPr>
      </w:pPr>
    </w:p>
    <w:p w:rsidR="00F921C0" w:rsidRPr="00F921C0" w:rsidRDefault="00F921C0" w:rsidP="00F921C0">
      <w:pPr>
        <w:pStyle w:val="ListParagraph"/>
        <w:numPr>
          <w:ilvl w:val="0"/>
          <w:numId w:val="35"/>
        </w:numPr>
        <w:ind w:left="360"/>
        <w:jc w:val="both"/>
        <w:rPr>
          <w:sz w:val="20"/>
          <w:lang w:val="en-CA"/>
        </w:rPr>
      </w:pPr>
      <w:r w:rsidRPr="00F921C0">
        <w:rPr>
          <w:i/>
          <w:sz w:val="20"/>
          <w:lang w:val="en-CA"/>
        </w:rPr>
        <w:t xml:space="preserve">World Bank Group v. Kevin Wallace, et al. </w:t>
      </w:r>
      <w:r w:rsidRPr="00F921C0">
        <w:rPr>
          <w:sz w:val="20"/>
          <w:lang w:val="en-CA"/>
        </w:rPr>
        <w:t>(Ont.) (Crim</w:t>
      </w:r>
      <w:r w:rsidR="005748A1">
        <w:rPr>
          <w:sz w:val="20"/>
          <w:lang w:val="en-CA"/>
        </w:rPr>
        <w:t>inal</w:t>
      </w:r>
      <w:r w:rsidRPr="00F921C0">
        <w:rPr>
          <w:sz w:val="20"/>
          <w:lang w:val="en-CA"/>
        </w:rPr>
        <w:t>) (By Leave) (</w:t>
      </w:r>
      <w:hyperlink r:id="rId9" w:history="1">
        <w:r w:rsidRPr="00CC71C7">
          <w:rPr>
            <w:rStyle w:val="Hyperlink"/>
            <w:sz w:val="20"/>
            <w:lang w:val="en-CA"/>
          </w:rPr>
          <w:t>36315</w:t>
        </w:r>
      </w:hyperlink>
      <w:r w:rsidRPr="00F921C0">
        <w:rPr>
          <w:sz w:val="20"/>
          <w:lang w:val="en-CA"/>
        </w:rPr>
        <w:t>)</w:t>
      </w:r>
    </w:p>
    <w:p w:rsidR="00F921C0" w:rsidRPr="00F921C0" w:rsidRDefault="00F921C0" w:rsidP="00F921C0">
      <w:pPr>
        <w:ind w:left="360" w:hanging="360"/>
        <w:jc w:val="both"/>
        <w:rPr>
          <w:sz w:val="20"/>
          <w:lang w:val="en-CA"/>
        </w:rPr>
      </w:pPr>
    </w:p>
    <w:p w:rsidR="00F921C0" w:rsidRPr="00F921C0" w:rsidRDefault="00F921C0" w:rsidP="00F921C0">
      <w:pPr>
        <w:pStyle w:val="ListParagraph"/>
        <w:numPr>
          <w:ilvl w:val="0"/>
          <w:numId w:val="35"/>
        </w:numPr>
        <w:ind w:left="360"/>
        <w:jc w:val="both"/>
        <w:rPr>
          <w:sz w:val="20"/>
          <w:lang w:val="en-CA"/>
        </w:rPr>
      </w:pPr>
      <w:r w:rsidRPr="00F921C0">
        <w:rPr>
          <w:i/>
          <w:sz w:val="20"/>
          <w:lang w:val="en-CA"/>
        </w:rPr>
        <w:t xml:space="preserve">Michael </w:t>
      </w:r>
      <w:proofErr w:type="spellStart"/>
      <w:r w:rsidRPr="00F921C0">
        <w:rPr>
          <w:i/>
          <w:sz w:val="20"/>
          <w:lang w:val="en-CA"/>
        </w:rPr>
        <w:t>Panula</w:t>
      </w:r>
      <w:proofErr w:type="spellEnd"/>
      <w:r w:rsidRPr="00F921C0">
        <w:rPr>
          <w:i/>
          <w:sz w:val="20"/>
          <w:lang w:val="en-CA"/>
        </w:rPr>
        <w:t xml:space="preserve"> v. </w:t>
      </w:r>
      <w:r w:rsidR="005748A1">
        <w:rPr>
          <w:i/>
          <w:sz w:val="20"/>
          <w:lang w:val="en-CA"/>
        </w:rPr>
        <w:t>A</w:t>
      </w:r>
      <w:r w:rsidRPr="00F921C0">
        <w:rPr>
          <w:i/>
          <w:sz w:val="20"/>
          <w:lang w:val="en-CA"/>
        </w:rPr>
        <w:t xml:space="preserve">ttorney General of Canada </w:t>
      </w:r>
      <w:r w:rsidRPr="00F921C0">
        <w:rPr>
          <w:sz w:val="20"/>
          <w:lang w:val="en-CA"/>
        </w:rPr>
        <w:t>(F</w:t>
      </w:r>
      <w:r w:rsidR="005748A1">
        <w:rPr>
          <w:sz w:val="20"/>
          <w:lang w:val="en-CA"/>
        </w:rPr>
        <w:t>.</w:t>
      </w:r>
      <w:r w:rsidRPr="00F921C0">
        <w:rPr>
          <w:sz w:val="20"/>
          <w:lang w:val="en-CA"/>
        </w:rPr>
        <w:t>C</w:t>
      </w:r>
      <w:r w:rsidR="005748A1">
        <w:rPr>
          <w:sz w:val="20"/>
          <w:lang w:val="en-CA"/>
        </w:rPr>
        <w:t>.</w:t>
      </w:r>
      <w:r w:rsidRPr="00F921C0">
        <w:rPr>
          <w:sz w:val="20"/>
          <w:lang w:val="en-CA"/>
        </w:rPr>
        <w:t>) (Civil) (By Leave) (</w:t>
      </w:r>
      <w:hyperlink r:id="rId10" w:history="1">
        <w:r w:rsidRPr="00CC71C7">
          <w:rPr>
            <w:rStyle w:val="Hyperlink"/>
            <w:sz w:val="20"/>
            <w:lang w:val="en-CA"/>
          </w:rPr>
          <w:t>36344</w:t>
        </w:r>
      </w:hyperlink>
      <w:r w:rsidRPr="00F921C0">
        <w:rPr>
          <w:sz w:val="20"/>
          <w:lang w:val="en-CA"/>
        </w:rPr>
        <w:t>)</w:t>
      </w:r>
    </w:p>
    <w:p w:rsidR="00F921C0" w:rsidRPr="00F921C0" w:rsidRDefault="00F921C0" w:rsidP="00F921C0">
      <w:pPr>
        <w:ind w:left="360" w:hanging="360"/>
        <w:jc w:val="both"/>
        <w:rPr>
          <w:sz w:val="20"/>
          <w:lang w:val="en-CA"/>
        </w:rPr>
      </w:pPr>
    </w:p>
    <w:p w:rsidR="00F921C0" w:rsidRPr="00F921C0" w:rsidRDefault="00F921C0" w:rsidP="00F921C0">
      <w:pPr>
        <w:pStyle w:val="ListParagraph"/>
        <w:numPr>
          <w:ilvl w:val="0"/>
          <w:numId w:val="35"/>
        </w:numPr>
        <w:ind w:left="360"/>
        <w:jc w:val="both"/>
        <w:rPr>
          <w:sz w:val="20"/>
          <w:lang w:val="en-CA"/>
        </w:rPr>
      </w:pPr>
      <w:r w:rsidRPr="00F921C0">
        <w:rPr>
          <w:i/>
          <w:sz w:val="20"/>
          <w:lang w:val="en-CA"/>
        </w:rPr>
        <w:t xml:space="preserve">Shin Han F &amp; P Inc. v. Canada-Nova Scotia Offshore Petroleum Board </w:t>
      </w:r>
      <w:r w:rsidRPr="00F921C0">
        <w:rPr>
          <w:sz w:val="20"/>
          <w:lang w:val="en-CA"/>
        </w:rPr>
        <w:t>(N.S.) (Civil) (By Leave) (</w:t>
      </w:r>
      <w:hyperlink r:id="rId11" w:history="1">
        <w:r w:rsidRPr="00CC71C7">
          <w:rPr>
            <w:rStyle w:val="Hyperlink"/>
            <w:sz w:val="20"/>
            <w:lang w:val="en-CA"/>
          </w:rPr>
          <w:t>36289</w:t>
        </w:r>
      </w:hyperlink>
      <w:r w:rsidRPr="00F921C0">
        <w:rPr>
          <w:sz w:val="20"/>
          <w:lang w:val="en-CA"/>
        </w:rPr>
        <w:t>)</w:t>
      </w:r>
    </w:p>
    <w:p w:rsidR="00F921C0" w:rsidRPr="00F921C0" w:rsidRDefault="00F921C0" w:rsidP="00F921C0">
      <w:pPr>
        <w:ind w:left="360" w:hanging="360"/>
        <w:jc w:val="both"/>
        <w:rPr>
          <w:sz w:val="20"/>
          <w:lang w:val="en-CA"/>
        </w:rPr>
      </w:pPr>
    </w:p>
    <w:p w:rsidR="00F921C0" w:rsidRPr="00F921C0" w:rsidRDefault="00F921C0" w:rsidP="00F921C0">
      <w:pPr>
        <w:pStyle w:val="ListParagraph"/>
        <w:numPr>
          <w:ilvl w:val="0"/>
          <w:numId w:val="35"/>
        </w:numPr>
        <w:ind w:left="360"/>
        <w:jc w:val="both"/>
        <w:rPr>
          <w:sz w:val="20"/>
          <w:lang w:val="en-CA"/>
        </w:rPr>
      </w:pPr>
      <w:r w:rsidRPr="00F921C0">
        <w:rPr>
          <w:i/>
          <w:sz w:val="20"/>
          <w:lang w:val="en-CA"/>
        </w:rPr>
        <w:t xml:space="preserve">Larry Peter </w:t>
      </w:r>
      <w:proofErr w:type="spellStart"/>
      <w:r w:rsidRPr="00F921C0">
        <w:rPr>
          <w:i/>
          <w:sz w:val="20"/>
          <w:lang w:val="en-CA"/>
        </w:rPr>
        <w:t>Klippenstein</w:t>
      </w:r>
      <w:proofErr w:type="spellEnd"/>
      <w:r w:rsidRPr="00F921C0">
        <w:rPr>
          <w:i/>
          <w:sz w:val="20"/>
          <w:lang w:val="en-CA"/>
        </w:rPr>
        <w:t xml:space="preserve"> v. Attorney General of Canada </w:t>
      </w:r>
      <w:r w:rsidRPr="00F921C0">
        <w:rPr>
          <w:sz w:val="20"/>
          <w:lang w:val="en-CA"/>
        </w:rPr>
        <w:t>(F</w:t>
      </w:r>
      <w:r w:rsidR="005748A1">
        <w:rPr>
          <w:sz w:val="20"/>
          <w:lang w:val="en-CA"/>
        </w:rPr>
        <w:t>.</w:t>
      </w:r>
      <w:r w:rsidRPr="00F921C0">
        <w:rPr>
          <w:sz w:val="20"/>
          <w:lang w:val="en-CA"/>
        </w:rPr>
        <w:t>C</w:t>
      </w:r>
      <w:r w:rsidR="005748A1">
        <w:rPr>
          <w:sz w:val="20"/>
          <w:lang w:val="en-CA"/>
        </w:rPr>
        <w:t>.</w:t>
      </w:r>
      <w:r w:rsidRPr="00F921C0">
        <w:rPr>
          <w:sz w:val="20"/>
          <w:lang w:val="en-CA"/>
        </w:rPr>
        <w:t>) (Civil) (By Leave) (</w:t>
      </w:r>
      <w:hyperlink r:id="rId12" w:history="1">
        <w:r w:rsidRPr="00CC71C7">
          <w:rPr>
            <w:rStyle w:val="Hyperlink"/>
            <w:sz w:val="20"/>
            <w:lang w:val="en-CA"/>
          </w:rPr>
          <w:t>36406</w:t>
        </w:r>
      </w:hyperlink>
      <w:r w:rsidRPr="00F921C0">
        <w:rPr>
          <w:sz w:val="20"/>
          <w:lang w:val="en-CA"/>
        </w:rPr>
        <w:t>)</w:t>
      </w:r>
    </w:p>
    <w:p w:rsidR="00F921C0" w:rsidRPr="00F921C0" w:rsidRDefault="00F921C0" w:rsidP="00F921C0">
      <w:pPr>
        <w:ind w:left="360" w:hanging="360"/>
        <w:jc w:val="both"/>
        <w:rPr>
          <w:sz w:val="20"/>
          <w:lang w:val="en-CA"/>
        </w:rPr>
      </w:pPr>
    </w:p>
    <w:p w:rsidR="00F921C0" w:rsidRPr="00F921C0" w:rsidRDefault="00F921C0" w:rsidP="00F921C0">
      <w:pPr>
        <w:pStyle w:val="ListParagraph"/>
        <w:numPr>
          <w:ilvl w:val="0"/>
          <w:numId w:val="35"/>
        </w:numPr>
        <w:ind w:left="360"/>
        <w:jc w:val="both"/>
        <w:rPr>
          <w:sz w:val="20"/>
          <w:lang w:val="en-CA"/>
        </w:rPr>
      </w:pPr>
      <w:proofErr w:type="spellStart"/>
      <w:r w:rsidRPr="00F921C0">
        <w:rPr>
          <w:i/>
          <w:sz w:val="20"/>
          <w:lang w:val="en-CA"/>
        </w:rPr>
        <w:t>Amexon</w:t>
      </w:r>
      <w:proofErr w:type="spellEnd"/>
      <w:r w:rsidRPr="00F921C0">
        <w:rPr>
          <w:i/>
          <w:sz w:val="20"/>
          <w:lang w:val="en-CA"/>
        </w:rPr>
        <w:t xml:space="preserve"> Developments Inc. v. 1465152 Ontario Limited </w:t>
      </w:r>
      <w:r w:rsidRPr="00F921C0">
        <w:rPr>
          <w:sz w:val="20"/>
          <w:lang w:val="en-CA"/>
        </w:rPr>
        <w:t>(Ont.) (Civil) (By Leave) (</w:t>
      </w:r>
      <w:hyperlink r:id="rId13" w:history="1">
        <w:r w:rsidRPr="00CC71C7">
          <w:rPr>
            <w:rStyle w:val="Hyperlink"/>
            <w:sz w:val="20"/>
            <w:lang w:val="en-CA"/>
          </w:rPr>
          <w:t>36343</w:t>
        </w:r>
      </w:hyperlink>
      <w:r w:rsidRPr="00F921C0">
        <w:rPr>
          <w:sz w:val="20"/>
          <w:lang w:val="en-CA"/>
        </w:rPr>
        <w:t>)</w:t>
      </w:r>
    </w:p>
    <w:p w:rsidR="00F921C0" w:rsidRPr="00F921C0" w:rsidRDefault="00F921C0" w:rsidP="00F921C0">
      <w:pPr>
        <w:ind w:left="360" w:hanging="360"/>
        <w:jc w:val="both"/>
        <w:rPr>
          <w:sz w:val="20"/>
          <w:lang w:val="en-CA"/>
        </w:rPr>
      </w:pPr>
    </w:p>
    <w:p w:rsidR="002A5CF5" w:rsidRPr="00F921C0" w:rsidRDefault="00F921C0" w:rsidP="00F921C0">
      <w:pPr>
        <w:pStyle w:val="ListParagraph"/>
        <w:numPr>
          <w:ilvl w:val="0"/>
          <w:numId w:val="35"/>
        </w:numPr>
        <w:ind w:left="360"/>
        <w:jc w:val="both"/>
      </w:pPr>
      <w:r w:rsidRPr="00F921C0">
        <w:rPr>
          <w:i/>
          <w:sz w:val="20"/>
          <w:lang w:val="en-CA"/>
        </w:rPr>
        <w:t xml:space="preserve">1298417 Ontario Ltd. v. Corporation of the Town of Lakeshore </w:t>
      </w:r>
      <w:r w:rsidRPr="00F921C0">
        <w:rPr>
          <w:sz w:val="20"/>
          <w:lang w:val="en-CA"/>
        </w:rPr>
        <w:t>(Ont.) (Civil) (By Leave) (</w:t>
      </w:r>
      <w:hyperlink r:id="rId14" w:history="1">
        <w:r w:rsidRPr="00CC71C7">
          <w:rPr>
            <w:rStyle w:val="Hyperlink"/>
            <w:sz w:val="20"/>
            <w:lang w:val="en-CA"/>
          </w:rPr>
          <w:t>36288</w:t>
        </w:r>
      </w:hyperlink>
      <w:r w:rsidRPr="00F921C0">
        <w:rPr>
          <w:sz w:val="20"/>
          <w:lang w:val="en-CA"/>
        </w:rPr>
        <w:t>)</w:t>
      </w:r>
    </w:p>
    <w:p w:rsidR="003B3019" w:rsidRDefault="003B3019" w:rsidP="003B3019">
      <w:pPr>
        <w:rPr>
          <w:sz w:val="20"/>
        </w:rPr>
      </w:pPr>
    </w:p>
    <w:p w:rsidR="00EC3EE4" w:rsidRPr="00E52530" w:rsidRDefault="00EC3EE4" w:rsidP="003B3019">
      <w:pPr>
        <w:rPr>
          <w:sz w:val="20"/>
        </w:rPr>
      </w:pPr>
    </w:p>
    <w:p w:rsidR="00EC3EE4" w:rsidRPr="00E52530" w:rsidRDefault="00EC3EE4" w:rsidP="003B3019">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3EE4" w:rsidRPr="00EC3EE4" w:rsidTr="00E52530">
        <w:tc>
          <w:tcPr>
            <w:tcW w:w="543" w:type="pct"/>
          </w:tcPr>
          <w:p w:rsidR="00EC3EE4" w:rsidRPr="00EC3EE4" w:rsidRDefault="00EC3EE4" w:rsidP="00EC3EE4">
            <w:pPr>
              <w:jc w:val="both"/>
              <w:rPr>
                <w:rFonts w:eastAsiaTheme="minorHAnsi"/>
                <w:sz w:val="20"/>
                <w:lang w:val="en-CA"/>
              </w:rPr>
            </w:pPr>
            <w:r w:rsidRPr="00E52530">
              <w:rPr>
                <w:rFonts w:eastAsiaTheme="minorHAnsi"/>
                <w:b/>
                <w:sz w:val="20"/>
                <w:lang w:val="fr-CA"/>
              </w:rPr>
              <w:t>36391</w:t>
            </w:r>
          </w:p>
        </w:tc>
        <w:tc>
          <w:tcPr>
            <w:tcW w:w="4457" w:type="pct"/>
            <w:gridSpan w:val="3"/>
          </w:tcPr>
          <w:p w:rsidR="00EC3EE4" w:rsidRPr="00EC3EE4" w:rsidRDefault="00EC3EE4" w:rsidP="00EC3EE4">
            <w:pPr>
              <w:jc w:val="both"/>
              <w:rPr>
                <w:rFonts w:eastAsiaTheme="minorHAnsi"/>
                <w:b/>
                <w:sz w:val="20"/>
                <w:lang w:val="en-CA"/>
              </w:rPr>
            </w:pPr>
            <w:r w:rsidRPr="00EC3EE4">
              <w:rPr>
                <w:rFonts w:eastAsiaTheme="minorHAnsi"/>
                <w:b/>
                <w:sz w:val="20"/>
                <w:lang w:val="en-CA"/>
              </w:rPr>
              <w:t xml:space="preserve">Roch </w:t>
            </w:r>
            <w:proofErr w:type="spellStart"/>
            <w:r w:rsidRPr="00EC3EE4">
              <w:rPr>
                <w:rFonts w:eastAsiaTheme="minorHAnsi"/>
                <w:b/>
                <w:sz w:val="20"/>
                <w:lang w:val="en-CA"/>
              </w:rPr>
              <w:t>Guimont</w:t>
            </w:r>
            <w:proofErr w:type="spellEnd"/>
            <w:r w:rsidRPr="00EC3EE4">
              <w:rPr>
                <w:rFonts w:eastAsiaTheme="minorHAnsi"/>
                <w:b/>
                <w:sz w:val="20"/>
                <w:lang w:val="en-CA"/>
              </w:rPr>
              <w:t xml:space="preserve"> and Constance </w:t>
            </w:r>
            <w:proofErr w:type="spellStart"/>
            <w:r w:rsidRPr="00EC3EE4">
              <w:rPr>
                <w:rFonts w:eastAsiaTheme="minorHAnsi"/>
                <w:b/>
                <w:sz w:val="20"/>
                <w:lang w:val="en-CA"/>
              </w:rPr>
              <w:t>Guimont</w:t>
            </w:r>
            <w:proofErr w:type="spellEnd"/>
            <w:r w:rsidRPr="00EC3EE4">
              <w:rPr>
                <w:rFonts w:eastAsiaTheme="minorHAnsi"/>
                <w:b/>
                <w:sz w:val="20"/>
                <w:lang w:val="en-CA"/>
              </w:rPr>
              <w:t xml:space="preserve"> v. Her Majesty the Queen</w:t>
            </w:r>
          </w:p>
          <w:p w:rsidR="00EC3EE4" w:rsidRPr="00EC3EE4" w:rsidRDefault="00EC3EE4" w:rsidP="00EC3EE4">
            <w:pPr>
              <w:jc w:val="both"/>
              <w:rPr>
                <w:rFonts w:eastAsiaTheme="minorHAnsi"/>
                <w:sz w:val="20"/>
                <w:lang w:val="en-CA"/>
              </w:rPr>
            </w:pPr>
            <w:r w:rsidRPr="00EC3EE4">
              <w:rPr>
                <w:rFonts w:eastAsiaTheme="minorHAnsi"/>
                <w:sz w:val="20"/>
                <w:lang w:val="en-CA"/>
              </w:rPr>
              <w:t>(Que.) (Criminal) (By Leave)</w:t>
            </w:r>
          </w:p>
        </w:tc>
      </w:tr>
      <w:tr w:rsidR="00EC3EE4" w:rsidRPr="00EC3EE4" w:rsidTr="00E52530">
        <w:tc>
          <w:tcPr>
            <w:tcW w:w="5000" w:type="pct"/>
            <w:gridSpan w:val="4"/>
          </w:tcPr>
          <w:p w:rsidR="00EC3EE4" w:rsidRPr="00EC3EE4" w:rsidRDefault="00EC3EE4" w:rsidP="00EC3EE4">
            <w:pPr>
              <w:jc w:val="both"/>
              <w:rPr>
                <w:rFonts w:eastAsiaTheme="minorHAnsi"/>
                <w:sz w:val="20"/>
                <w:lang w:val="en-CA"/>
              </w:rPr>
            </w:pPr>
            <w:r w:rsidRPr="00EC3EE4">
              <w:rPr>
                <w:rFonts w:eastAsiaTheme="minorHAnsi"/>
                <w:i/>
                <w:sz w:val="20"/>
                <w:lang w:val="en-CA"/>
              </w:rPr>
              <w:t xml:space="preserve">Charter of Rights and Freedoms </w:t>
            </w:r>
            <w:r w:rsidRPr="00EC3EE4">
              <w:rPr>
                <w:rFonts w:eastAsiaTheme="minorHAnsi"/>
                <w:sz w:val="20"/>
                <w:lang w:val="en-CA"/>
              </w:rPr>
              <w:t>– Criminal law – Search and seizure – Remedy – Appeals – Leave to appeal – Interlocutory judgment – Whether Court of Appeal erred in law in finding that interlocutory judgment not subject to immediate appeal – Whether Superior Court erred in law in dismissing motion for illegal search and for stay of proceedings – Whether applicants raising question of public importance.</w:t>
            </w:r>
          </w:p>
        </w:tc>
      </w:tr>
      <w:tr w:rsidR="00EC3EE4" w:rsidRPr="00EC3EE4" w:rsidTr="00E52530">
        <w:tc>
          <w:tcPr>
            <w:tcW w:w="5000" w:type="pct"/>
            <w:gridSpan w:val="4"/>
          </w:tcPr>
          <w:p w:rsidR="00EC3EE4" w:rsidRPr="00EC3EE4" w:rsidRDefault="00EC3EE4" w:rsidP="00EC3EE4">
            <w:pPr>
              <w:jc w:val="both"/>
              <w:rPr>
                <w:rFonts w:eastAsiaTheme="minorHAnsi"/>
                <w:sz w:val="20"/>
                <w:lang w:val="en-CA"/>
              </w:rPr>
            </w:pPr>
          </w:p>
        </w:tc>
      </w:tr>
      <w:tr w:rsidR="00EC3EE4" w:rsidRPr="00EC3EE4" w:rsidTr="00E52530">
        <w:tc>
          <w:tcPr>
            <w:tcW w:w="5000" w:type="pct"/>
            <w:gridSpan w:val="4"/>
          </w:tcPr>
          <w:p w:rsidR="00EC3EE4" w:rsidRPr="00EC3EE4" w:rsidRDefault="00EC3EE4" w:rsidP="00EC3EE4">
            <w:pPr>
              <w:jc w:val="both"/>
              <w:rPr>
                <w:rFonts w:eastAsiaTheme="minorHAnsi"/>
                <w:sz w:val="20"/>
                <w:lang w:val="en-CA"/>
              </w:rPr>
            </w:pPr>
            <w:r w:rsidRPr="00EC3EE4">
              <w:rPr>
                <w:rFonts w:eastAsiaTheme="minorHAnsi"/>
                <w:sz w:val="20"/>
                <w:lang w:val="en-CA"/>
              </w:rPr>
              <w:t>The applicants were charged with several offences under s. 45(1)(</w:t>
            </w:r>
            <w:r w:rsidRPr="00EC3EE4">
              <w:rPr>
                <w:rFonts w:eastAsiaTheme="minorHAnsi"/>
                <w:i/>
                <w:sz w:val="20"/>
                <w:lang w:val="en-CA"/>
              </w:rPr>
              <w:t>b</w:t>
            </w:r>
            <w:r w:rsidRPr="00EC3EE4">
              <w:rPr>
                <w:rFonts w:eastAsiaTheme="minorHAnsi"/>
                <w:sz w:val="20"/>
                <w:lang w:val="en-CA"/>
              </w:rPr>
              <w:t xml:space="preserve">) of the </w:t>
            </w:r>
            <w:r w:rsidRPr="00EC3EE4">
              <w:rPr>
                <w:rFonts w:eastAsiaTheme="minorHAnsi"/>
                <w:i/>
                <w:sz w:val="20"/>
                <w:lang w:val="en-CA"/>
              </w:rPr>
              <w:t>Defence Production Act</w:t>
            </w:r>
            <w:r w:rsidRPr="00EC3EE4">
              <w:rPr>
                <w:rFonts w:eastAsiaTheme="minorHAnsi"/>
                <w:sz w:val="20"/>
                <w:lang w:val="en-CA"/>
              </w:rPr>
              <w:t>, R.S.C. 1985, c. D</w:t>
            </w:r>
            <w:r w:rsidRPr="00EC3EE4">
              <w:rPr>
                <w:rFonts w:eastAsiaTheme="minorHAnsi"/>
                <w:sz w:val="20"/>
                <w:lang w:val="en-CA"/>
              </w:rPr>
              <w:noBreakHyphen/>
              <w:t>1, for possessing a controlled good, namely third</w:t>
            </w:r>
            <w:r w:rsidRPr="00EC3EE4">
              <w:rPr>
                <w:rFonts w:eastAsiaTheme="minorHAnsi"/>
                <w:sz w:val="20"/>
                <w:lang w:val="en-CA"/>
              </w:rPr>
              <w:noBreakHyphen/>
              <w:t xml:space="preserve">generation night vision goggles, without being registered or exempt from registration, contrary to s. 37 of that Act. They were also charged with several offences under s. 19(1) of the </w:t>
            </w:r>
            <w:r w:rsidRPr="00EC3EE4">
              <w:rPr>
                <w:rFonts w:eastAsiaTheme="minorHAnsi"/>
                <w:i/>
                <w:sz w:val="20"/>
                <w:lang w:val="en-CA"/>
              </w:rPr>
              <w:t>Export and Import Permits Act</w:t>
            </w:r>
            <w:r w:rsidRPr="00EC3EE4">
              <w:rPr>
                <w:rFonts w:eastAsiaTheme="minorHAnsi"/>
                <w:sz w:val="20"/>
                <w:lang w:val="en-CA"/>
              </w:rPr>
              <w:t>, R.S.C. 1985, c. E</w:t>
            </w:r>
            <w:r w:rsidRPr="00EC3EE4">
              <w:rPr>
                <w:rFonts w:eastAsiaTheme="minorHAnsi"/>
                <w:sz w:val="20"/>
                <w:lang w:val="en-CA"/>
              </w:rPr>
              <w:noBreakHyphen/>
              <w:t>19, for exporting any goods or technology included in an Export Control List, namely a third</w:t>
            </w:r>
            <w:r w:rsidRPr="00EC3EE4">
              <w:rPr>
                <w:rFonts w:eastAsiaTheme="minorHAnsi"/>
                <w:sz w:val="20"/>
                <w:lang w:val="en-CA"/>
              </w:rPr>
              <w:noBreakHyphen/>
              <w:t>generation image intensifier, without holding an export permit, contrary to s. 13 of that Act.</w:t>
            </w:r>
          </w:p>
          <w:p w:rsidR="00EC3EE4" w:rsidRPr="00EC3EE4" w:rsidRDefault="00EC3EE4" w:rsidP="00EC3EE4">
            <w:pPr>
              <w:jc w:val="both"/>
              <w:rPr>
                <w:rFonts w:eastAsiaTheme="minorHAnsi"/>
                <w:sz w:val="20"/>
                <w:lang w:val="en-CA"/>
              </w:rPr>
            </w:pPr>
          </w:p>
          <w:p w:rsidR="00EC3EE4" w:rsidRPr="00EC3EE4" w:rsidRDefault="00EC3EE4" w:rsidP="00EC3EE4">
            <w:pPr>
              <w:jc w:val="both"/>
              <w:rPr>
                <w:rFonts w:eastAsiaTheme="minorHAnsi"/>
                <w:sz w:val="20"/>
                <w:lang w:val="en-CA"/>
              </w:rPr>
            </w:pPr>
            <w:r w:rsidRPr="00EC3EE4">
              <w:rPr>
                <w:rFonts w:eastAsiaTheme="minorHAnsi"/>
                <w:sz w:val="20"/>
                <w:lang w:val="en-CA"/>
              </w:rPr>
              <w:t>Before their trial, the applicants brought a motion for illegal search and for a stay of proceedings in the Superior Court.  The motion was dismissed.  The Court of Appeal then dismissed their application for leave to appeal and their application for certiorari.</w:t>
            </w:r>
          </w:p>
          <w:p w:rsidR="00EC3EE4" w:rsidRPr="00EC3EE4" w:rsidRDefault="00EC3EE4" w:rsidP="00EC3EE4">
            <w:pPr>
              <w:jc w:val="both"/>
              <w:rPr>
                <w:rFonts w:eastAsiaTheme="minorHAnsi"/>
                <w:sz w:val="20"/>
                <w:lang w:val="en-CA"/>
              </w:rPr>
            </w:pPr>
          </w:p>
        </w:tc>
      </w:tr>
      <w:tr w:rsidR="00EC3EE4" w:rsidRPr="00EC3EE4" w:rsidTr="00E52530">
        <w:tc>
          <w:tcPr>
            <w:tcW w:w="2427" w:type="pct"/>
            <w:gridSpan w:val="2"/>
          </w:tcPr>
          <w:p w:rsidR="00EC3EE4" w:rsidRPr="00EC3EE4" w:rsidRDefault="00EC3EE4" w:rsidP="00EC3EE4">
            <w:pPr>
              <w:jc w:val="both"/>
              <w:rPr>
                <w:rFonts w:eastAsiaTheme="minorHAnsi"/>
                <w:sz w:val="20"/>
                <w:lang w:val="en-CA"/>
              </w:rPr>
            </w:pPr>
            <w:r w:rsidRPr="00EC3EE4">
              <w:rPr>
                <w:rFonts w:eastAsiaTheme="minorHAnsi"/>
                <w:sz w:val="20"/>
                <w:lang w:val="en-CA"/>
              </w:rPr>
              <w:t>February 6, 2015</w:t>
            </w:r>
          </w:p>
          <w:p w:rsidR="00EC3EE4" w:rsidRPr="00EC3EE4" w:rsidRDefault="00EC3EE4" w:rsidP="00EC3EE4">
            <w:pPr>
              <w:jc w:val="both"/>
              <w:rPr>
                <w:rFonts w:eastAsiaTheme="minorHAnsi"/>
                <w:sz w:val="20"/>
                <w:lang w:val="en-CA"/>
              </w:rPr>
            </w:pPr>
            <w:r w:rsidRPr="00EC3EE4">
              <w:rPr>
                <w:rFonts w:eastAsiaTheme="minorHAnsi"/>
                <w:sz w:val="20"/>
                <w:lang w:val="en-CA"/>
              </w:rPr>
              <w:t>Quebec Superior Court</w:t>
            </w:r>
          </w:p>
          <w:p w:rsidR="00EC3EE4" w:rsidRPr="00EC3EE4" w:rsidRDefault="00EC3EE4" w:rsidP="00EC3EE4">
            <w:pPr>
              <w:jc w:val="both"/>
              <w:rPr>
                <w:rFonts w:eastAsiaTheme="minorHAnsi"/>
                <w:sz w:val="20"/>
                <w:lang w:val="en-CA"/>
              </w:rPr>
            </w:pPr>
            <w:r w:rsidRPr="00EC3EE4">
              <w:rPr>
                <w:rFonts w:eastAsiaTheme="minorHAnsi"/>
                <w:sz w:val="20"/>
                <w:lang w:val="en-CA"/>
              </w:rPr>
              <w:t>(Dionne J.)</w:t>
            </w:r>
          </w:p>
          <w:p w:rsidR="00EC3EE4" w:rsidRPr="00EC3EE4" w:rsidRDefault="00EC3EE4" w:rsidP="00EC3EE4">
            <w:pPr>
              <w:jc w:val="both"/>
              <w:rPr>
                <w:rFonts w:eastAsiaTheme="minorHAnsi"/>
                <w:sz w:val="20"/>
                <w:lang w:val="en-CA"/>
              </w:rPr>
            </w:pPr>
          </w:p>
        </w:tc>
        <w:tc>
          <w:tcPr>
            <w:tcW w:w="243" w:type="pct"/>
          </w:tcPr>
          <w:p w:rsidR="00EC3EE4" w:rsidRPr="00EC3EE4" w:rsidRDefault="00EC3EE4" w:rsidP="00EC3EE4">
            <w:pPr>
              <w:jc w:val="both"/>
              <w:rPr>
                <w:rFonts w:eastAsiaTheme="minorHAnsi"/>
                <w:sz w:val="20"/>
                <w:lang w:val="en-CA"/>
              </w:rPr>
            </w:pPr>
          </w:p>
        </w:tc>
        <w:tc>
          <w:tcPr>
            <w:tcW w:w="2330" w:type="pct"/>
          </w:tcPr>
          <w:p w:rsidR="00EC3EE4" w:rsidRPr="00EC3EE4" w:rsidRDefault="00EC3EE4" w:rsidP="00EC3EE4">
            <w:pPr>
              <w:jc w:val="both"/>
              <w:rPr>
                <w:rFonts w:eastAsiaTheme="minorHAnsi"/>
                <w:sz w:val="20"/>
                <w:lang w:val="en-CA"/>
              </w:rPr>
            </w:pPr>
            <w:r w:rsidRPr="00EC3EE4">
              <w:rPr>
                <w:rFonts w:eastAsiaTheme="minorHAnsi"/>
                <w:sz w:val="20"/>
                <w:lang w:val="en-CA"/>
              </w:rPr>
              <w:t>Applicants’ motion for illegal search and for stay of proceedings dismissed</w:t>
            </w:r>
          </w:p>
          <w:p w:rsidR="00EC3EE4" w:rsidRPr="00EC3EE4" w:rsidRDefault="00EC3EE4" w:rsidP="00EC3EE4">
            <w:pPr>
              <w:jc w:val="both"/>
              <w:rPr>
                <w:rFonts w:eastAsiaTheme="minorHAnsi"/>
                <w:sz w:val="20"/>
                <w:lang w:val="en-CA"/>
              </w:rPr>
            </w:pPr>
          </w:p>
        </w:tc>
      </w:tr>
      <w:tr w:rsidR="00EC3EE4" w:rsidRPr="00EC3EE4" w:rsidTr="00E52530">
        <w:tc>
          <w:tcPr>
            <w:tcW w:w="2427" w:type="pct"/>
            <w:gridSpan w:val="2"/>
          </w:tcPr>
          <w:p w:rsidR="00EC3EE4" w:rsidRPr="00EC3EE4" w:rsidRDefault="00EC3EE4" w:rsidP="00EC3EE4">
            <w:pPr>
              <w:jc w:val="both"/>
              <w:rPr>
                <w:rFonts w:eastAsiaTheme="minorHAnsi"/>
                <w:sz w:val="20"/>
                <w:lang w:val="en-CA"/>
              </w:rPr>
            </w:pPr>
            <w:r w:rsidRPr="00EC3EE4">
              <w:rPr>
                <w:rFonts w:eastAsiaTheme="minorHAnsi"/>
                <w:sz w:val="20"/>
                <w:lang w:val="en-CA"/>
              </w:rPr>
              <w:t>March 13, 2015</w:t>
            </w:r>
          </w:p>
          <w:p w:rsidR="00EC3EE4" w:rsidRPr="00EC3EE4" w:rsidRDefault="00EC3EE4" w:rsidP="00EC3EE4">
            <w:pPr>
              <w:jc w:val="both"/>
              <w:rPr>
                <w:rFonts w:eastAsiaTheme="minorHAnsi"/>
                <w:sz w:val="20"/>
                <w:lang w:val="en-CA"/>
              </w:rPr>
            </w:pPr>
            <w:r w:rsidRPr="00EC3EE4">
              <w:rPr>
                <w:rFonts w:eastAsiaTheme="minorHAnsi"/>
                <w:sz w:val="20"/>
                <w:lang w:val="en-CA"/>
              </w:rPr>
              <w:t>Quebec Court of Appeal (Québec)</w:t>
            </w:r>
          </w:p>
          <w:p w:rsidR="00EC3EE4" w:rsidRPr="00EC3EE4" w:rsidRDefault="00EC3EE4" w:rsidP="00EC3EE4">
            <w:pPr>
              <w:jc w:val="both"/>
              <w:rPr>
                <w:rFonts w:eastAsiaTheme="minorHAnsi"/>
                <w:sz w:val="20"/>
                <w:lang w:val="en-CA"/>
              </w:rPr>
            </w:pPr>
            <w:r w:rsidRPr="00EC3EE4">
              <w:rPr>
                <w:rFonts w:eastAsiaTheme="minorHAnsi"/>
                <w:sz w:val="20"/>
                <w:lang w:val="en-CA"/>
              </w:rPr>
              <w:t>(Bélanger J.A.)</w:t>
            </w:r>
          </w:p>
          <w:p w:rsidR="00EC3EE4" w:rsidRPr="00EC3EE4" w:rsidRDefault="001155B4" w:rsidP="00EC3EE4">
            <w:pPr>
              <w:jc w:val="both"/>
              <w:rPr>
                <w:rFonts w:eastAsiaTheme="minorHAnsi"/>
                <w:sz w:val="20"/>
                <w:lang w:val="en-CA"/>
              </w:rPr>
            </w:pPr>
            <w:hyperlink r:id="rId15" w:history="1">
              <w:r w:rsidR="00EC3EE4" w:rsidRPr="00E52530">
                <w:rPr>
                  <w:rFonts w:eastAsiaTheme="minorHAnsi"/>
                  <w:color w:val="0000FF" w:themeColor="hyperlink"/>
                  <w:sz w:val="20"/>
                  <w:u w:val="single"/>
                  <w:lang w:val="en-CA"/>
                </w:rPr>
                <w:t>2015 QCCA 518</w:t>
              </w:r>
            </w:hyperlink>
          </w:p>
          <w:p w:rsidR="00EC3EE4" w:rsidRPr="00EC3EE4" w:rsidRDefault="00EC3EE4" w:rsidP="00EC3EE4">
            <w:pPr>
              <w:jc w:val="both"/>
              <w:rPr>
                <w:rFonts w:eastAsiaTheme="minorHAnsi"/>
                <w:sz w:val="20"/>
                <w:lang w:val="en-CA"/>
              </w:rPr>
            </w:pPr>
          </w:p>
        </w:tc>
        <w:tc>
          <w:tcPr>
            <w:tcW w:w="243" w:type="pct"/>
          </w:tcPr>
          <w:p w:rsidR="00EC3EE4" w:rsidRPr="00EC3EE4" w:rsidRDefault="00EC3EE4" w:rsidP="00EC3EE4">
            <w:pPr>
              <w:jc w:val="both"/>
              <w:rPr>
                <w:rFonts w:eastAsiaTheme="minorHAnsi"/>
                <w:sz w:val="20"/>
                <w:lang w:val="en-CA"/>
              </w:rPr>
            </w:pPr>
          </w:p>
        </w:tc>
        <w:tc>
          <w:tcPr>
            <w:tcW w:w="2330" w:type="pct"/>
          </w:tcPr>
          <w:p w:rsidR="00EC3EE4" w:rsidRPr="00EC3EE4" w:rsidRDefault="00EC3EE4" w:rsidP="00EC3EE4">
            <w:pPr>
              <w:jc w:val="both"/>
              <w:rPr>
                <w:rFonts w:eastAsiaTheme="minorHAnsi"/>
                <w:sz w:val="20"/>
                <w:lang w:val="en-CA"/>
              </w:rPr>
            </w:pPr>
            <w:r w:rsidRPr="00EC3EE4">
              <w:rPr>
                <w:rFonts w:eastAsiaTheme="minorHAnsi"/>
                <w:sz w:val="20"/>
                <w:lang w:val="en-CA"/>
              </w:rPr>
              <w:t>Motion for leave to appeal and motion for certiorari dismissed</w:t>
            </w:r>
          </w:p>
          <w:p w:rsidR="00EC3EE4" w:rsidRPr="00EC3EE4" w:rsidRDefault="00EC3EE4" w:rsidP="00EC3EE4">
            <w:pPr>
              <w:jc w:val="both"/>
              <w:rPr>
                <w:rFonts w:eastAsiaTheme="minorHAnsi"/>
                <w:sz w:val="20"/>
                <w:lang w:val="en-CA"/>
              </w:rPr>
            </w:pPr>
          </w:p>
        </w:tc>
      </w:tr>
      <w:tr w:rsidR="00EC3EE4" w:rsidRPr="00EC3EE4" w:rsidTr="00E52530">
        <w:tc>
          <w:tcPr>
            <w:tcW w:w="2427" w:type="pct"/>
            <w:gridSpan w:val="2"/>
          </w:tcPr>
          <w:p w:rsidR="00EC3EE4" w:rsidRPr="00EC3EE4" w:rsidRDefault="00EC3EE4" w:rsidP="00EC3EE4">
            <w:pPr>
              <w:jc w:val="both"/>
              <w:rPr>
                <w:rFonts w:eastAsiaTheme="minorHAnsi"/>
                <w:sz w:val="20"/>
                <w:lang w:val="en-CA"/>
              </w:rPr>
            </w:pPr>
            <w:r w:rsidRPr="00EC3EE4">
              <w:rPr>
                <w:rFonts w:eastAsiaTheme="minorHAnsi"/>
                <w:sz w:val="20"/>
                <w:lang w:val="en-CA"/>
              </w:rPr>
              <w:t>April 13, 2015</w:t>
            </w:r>
          </w:p>
          <w:p w:rsidR="00EC3EE4" w:rsidRPr="00EC3EE4" w:rsidRDefault="00EC3EE4" w:rsidP="00EC3EE4">
            <w:pPr>
              <w:jc w:val="both"/>
              <w:rPr>
                <w:rFonts w:eastAsiaTheme="minorHAnsi"/>
                <w:sz w:val="20"/>
                <w:lang w:val="en-CA"/>
              </w:rPr>
            </w:pPr>
            <w:r w:rsidRPr="00EC3EE4">
              <w:rPr>
                <w:rFonts w:eastAsiaTheme="minorHAnsi"/>
                <w:sz w:val="20"/>
                <w:lang w:val="en-CA"/>
              </w:rPr>
              <w:t>Supreme Court of Canada</w:t>
            </w:r>
          </w:p>
        </w:tc>
        <w:tc>
          <w:tcPr>
            <w:tcW w:w="243" w:type="pct"/>
          </w:tcPr>
          <w:p w:rsidR="00EC3EE4" w:rsidRPr="00EC3EE4" w:rsidRDefault="00EC3EE4" w:rsidP="00EC3EE4">
            <w:pPr>
              <w:jc w:val="both"/>
              <w:rPr>
                <w:rFonts w:eastAsiaTheme="minorHAnsi"/>
                <w:sz w:val="20"/>
                <w:lang w:val="en-CA"/>
              </w:rPr>
            </w:pPr>
          </w:p>
        </w:tc>
        <w:tc>
          <w:tcPr>
            <w:tcW w:w="2330" w:type="pct"/>
          </w:tcPr>
          <w:p w:rsidR="00EC3EE4" w:rsidRPr="00EC3EE4" w:rsidRDefault="00EC3EE4" w:rsidP="00EC3EE4">
            <w:pPr>
              <w:jc w:val="both"/>
              <w:rPr>
                <w:rFonts w:eastAsiaTheme="minorHAnsi"/>
                <w:sz w:val="20"/>
                <w:lang w:val="en-CA"/>
              </w:rPr>
            </w:pPr>
            <w:r w:rsidRPr="00EC3EE4">
              <w:rPr>
                <w:rFonts w:eastAsiaTheme="minorHAnsi"/>
                <w:sz w:val="20"/>
                <w:lang w:val="en-CA"/>
              </w:rPr>
              <w:t>Application for leave to appeal filed</w:t>
            </w:r>
          </w:p>
          <w:p w:rsidR="00EC3EE4" w:rsidRPr="00EC3EE4" w:rsidRDefault="00EC3EE4" w:rsidP="00EC3EE4">
            <w:pPr>
              <w:jc w:val="both"/>
              <w:rPr>
                <w:rFonts w:eastAsiaTheme="minorHAnsi"/>
                <w:sz w:val="20"/>
                <w:lang w:val="en-CA"/>
              </w:rPr>
            </w:pPr>
          </w:p>
        </w:tc>
      </w:tr>
    </w:tbl>
    <w:p w:rsidR="00EC3EE4" w:rsidRDefault="00EC3EE4" w:rsidP="00EC3EE4">
      <w:pPr>
        <w:jc w:val="both"/>
        <w:rPr>
          <w:rFonts w:eastAsiaTheme="minorHAnsi"/>
          <w:sz w:val="20"/>
          <w:lang w:val="en-CA"/>
        </w:rPr>
      </w:pPr>
    </w:p>
    <w:p w:rsidR="00E52530" w:rsidRPr="00EC3EE4" w:rsidRDefault="00E52530" w:rsidP="00EC3EE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3EE4" w:rsidRPr="00EC3EE4" w:rsidTr="00E52530">
        <w:tc>
          <w:tcPr>
            <w:tcW w:w="543" w:type="pct"/>
          </w:tcPr>
          <w:p w:rsidR="00EC3EE4" w:rsidRPr="00EC3EE4" w:rsidRDefault="00EC3EE4" w:rsidP="00EC3EE4">
            <w:pPr>
              <w:jc w:val="both"/>
              <w:rPr>
                <w:rFonts w:eastAsiaTheme="minorHAnsi"/>
                <w:sz w:val="20"/>
                <w:lang w:val="fr-CA"/>
              </w:rPr>
            </w:pPr>
            <w:r w:rsidRPr="00E52530">
              <w:rPr>
                <w:rFonts w:eastAsiaTheme="minorHAnsi"/>
                <w:b/>
                <w:sz w:val="20"/>
                <w:lang w:val="fr-CA"/>
              </w:rPr>
              <w:t>36391</w:t>
            </w:r>
          </w:p>
        </w:tc>
        <w:tc>
          <w:tcPr>
            <w:tcW w:w="4457" w:type="pct"/>
            <w:gridSpan w:val="3"/>
          </w:tcPr>
          <w:p w:rsidR="00EC3EE4" w:rsidRPr="00EC3EE4" w:rsidRDefault="00EC3EE4" w:rsidP="00EC3EE4">
            <w:pPr>
              <w:jc w:val="both"/>
              <w:rPr>
                <w:rFonts w:eastAsiaTheme="minorHAnsi"/>
                <w:b/>
                <w:sz w:val="20"/>
                <w:lang w:val="fr-CA"/>
              </w:rPr>
            </w:pPr>
            <w:r w:rsidRPr="00EC3EE4">
              <w:rPr>
                <w:rFonts w:eastAsiaTheme="minorHAnsi"/>
                <w:b/>
                <w:sz w:val="20"/>
                <w:lang w:val="fr-CA"/>
              </w:rPr>
              <w:t xml:space="preserve">Roch </w:t>
            </w:r>
            <w:proofErr w:type="spellStart"/>
            <w:r w:rsidRPr="00EC3EE4">
              <w:rPr>
                <w:rFonts w:eastAsiaTheme="minorHAnsi"/>
                <w:b/>
                <w:sz w:val="20"/>
                <w:lang w:val="fr-CA"/>
              </w:rPr>
              <w:t>Guimont</w:t>
            </w:r>
            <w:proofErr w:type="spellEnd"/>
            <w:r w:rsidRPr="00EC3EE4">
              <w:rPr>
                <w:rFonts w:eastAsiaTheme="minorHAnsi"/>
                <w:b/>
                <w:sz w:val="20"/>
                <w:lang w:val="fr-CA"/>
              </w:rPr>
              <w:t xml:space="preserve"> et Constance </w:t>
            </w:r>
            <w:proofErr w:type="spellStart"/>
            <w:r w:rsidRPr="00EC3EE4">
              <w:rPr>
                <w:rFonts w:eastAsiaTheme="minorHAnsi"/>
                <w:b/>
                <w:sz w:val="20"/>
                <w:lang w:val="fr-CA"/>
              </w:rPr>
              <w:t>Guimont</w:t>
            </w:r>
            <w:proofErr w:type="spellEnd"/>
            <w:r w:rsidRPr="00EC3EE4">
              <w:rPr>
                <w:rFonts w:eastAsiaTheme="minorHAnsi"/>
                <w:b/>
                <w:sz w:val="20"/>
                <w:lang w:val="fr-CA"/>
              </w:rPr>
              <w:t xml:space="preserve"> c. Sa Majesté la Reine</w:t>
            </w:r>
          </w:p>
          <w:p w:rsidR="00EC3EE4" w:rsidRPr="00EC3EE4" w:rsidRDefault="00EC3EE4" w:rsidP="00EC3EE4">
            <w:pPr>
              <w:jc w:val="both"/>
              <w:rPr>
                <w:rFonts w:eastAsiaTheme="minorHAnsi"/>
                <w:sz w:val="20"/>
                <w:lang w:val="fr-CA"/>
              </w:rPr>
            </w:pPr>
            <w:r w:rsidRPr="00EC3EE4">
              <w:rPr>
                <w:rFonts w:eastAsiaTheme="minorHAnsi"/>
                <w:sz w:val="20"/>
                <w:lang w:val="fr-CA"/>
              </w:rPr>
              <w:t>(</w:t>
            </w:r>
            <w:proofErr w:type="spellStart"/>
            <w:r w:rsidRPr="00EC3EE4">
              <w:rPr>
                <w:rFonts w:eastAsiaTheme="minorHAnsi"/>
                <w:sz w:val="20"/>
                <w:lang w:val="fr-CA"/>
              </w:rPr>
              <w:t>Qc</w:t>
            </w:r>
            <w:proofErr w:type="spellEnd"/>
            <w:r w:rsidRPr="00EC3EE4">
              <w:rPr>
                <w:rFonts w:eastAsiaTheme="minorHAnsi"/>
                <w:sz w:val="20"/>
                <w:lang w:val="fr-CA"/>
              </w:rPr>
              <w:t>) (Criminelle) (Autorisation)</w:t>
            </w:r>
          </w:p>
        </w:tc>
      </w:tr>
      <w:tr w:rsidR="00EC3EE4" w:rsidRPr="001155B4" w:rsidTr="00E52530">
        <w:tc>
          <w:tcPr>
            <w:tcW w:w="5000" w:type="pct"/>
            <w:gridSpan w:val="4"/>
          </w:tcPr>
          <w:p w:rsidR="00EC3EE4" w:rsidRPr="00EC3EE4" w:rsidRDefault="00EC3EE4" w:rsidP="00EC3EE4">
            <w:pPr>
              <w:jc w:val="both"/>
              <w:rPr>
                <w:rFonts w:eastAsiaTheme="minorHAnsi"/>
                <w:sz w:val="20"/>
                <w:lang w:val="fr-CA"/>
              </w:rPr>
            </w:pPr>
            <w:r w:rsidRPr="00EC3EE4">
              <w:rPr>
                <w:rFonts w:eastAsiaTheme="minorHAnsi"/>
                <w:i/>
                <w:sz w:val="20"/>
                <w:lang w:val="fr-CA"/>
              </w:rPr>
              <w:t xml:space="preserve">Charte des droits et libertés </w:t>
            </w:r>
            <w:r w:rsidRPr="00EC3EE4">
              <w:rPr>
                <w:rFonts w:eastAsiaTheme="minorHAnsi"/>
                <w:sz w:val="20"/>
                <w:lang w:val="fr-CA"/>
              </w:rPr>
              <w:t>– Droit criminel – Fouilles, perquisitions et saisies – Réparation – Appels – Permission d’appeler – Jugement interlocutoire – La Cour d’appel a-t-elle erré en droit en concluant qu’un jugement interlocutoire ne peut faire l’objet d’un appel immédiat? – La Cour supérieure a-t-elle erré en droit en rejetant la requête en perquisition illégale et en arrêt des procédures? – Les demandeurs soulèvent-ils une question d’importance pour le public?</w:t>
            </w:r>
          </w:p>
        </w:tc>
      </w:tr>
      <w:tr w:rsidR="00EC3EE4" w:rsidRPr="001155B4" w:rsidTr="00E52530">
        <w:tc>
          <w:tcPr>
            <w:tcW w:w="5000" w:type="pct"/>
            <w:gridSpan w:val="4"/>
          </w:tcPr>
          <w:p w:rsidR="00EC3EE4" w:rsidRPr="00EC3EE4" w:rsidRDefault="00EC3EE4" w:rsidP="00EC3EE4">
            <w:pPr>
              <w:jc w:val="both"/>
              <w:rPr>
                <w:rFonts w:eastAsiaTheme="minorHAnsi"/>
                <w:sz w:val="20"/>
                <w:lang w:val="fr-CA"/>
              </w:rPr>
            </w:pPr>
          </w:p>
        </w:tc>
      </w:tr>
      <w:tr w:rsidR="00EC3EE4" w:rsidRPr="001155B4" w:rsidTr="00E52530">
        <w:tc>
          <w:tcPr>
            <w:tcW w:w="5000" w:type="pct"/>
            <w:gridSpan w:val="4"/>
          </w:tcPr>
          <w:p w:rsidR="00EC3EE4" w:rsidRPr="00EC3EE4" w:rsidRDefault="00EC3EE4" w:rsidP="00EC3EE4">
            <w:pPr>
              <w:jc w:val="both"/>
              <w:rPr>
                <w:rFonts w:eastAsiaTheme="minorHAnsi"/>
                <w:sz w:val="20"/>
                <w:lang w:val="fr-CA"/>
              </w:rPr>
            </w:pPr>
            <w:r w:rsidRPr="00EC3EE4">
              <w:rPr>
                <w:rFonts w:eastAsiaTheme="minorHAnsi"/>
                <w:sz w:val="20"/>
                <w:lang w:val="fr-CA"/>
              </w:rPr>
              <w:t>Les demandeurs sont accusés de plusieurs infractions prévues à l’art. 45(1)</w:t>
            </w:r>
            <w:r w:rsidRPr="00EC3EE4">
              <w:rPr>
                <w:rFonts w:eastAsiaTheme="minorHAnsi"/>
                <w:i/>
                <w:sz w:val="20"/>
                <w:lang w:val="fr-CA"/>
              </w:rPr>
              <w:t>b</w:t>
            </w:r>
            <w:r w:rsidRPr="00EC3EE4">
              <w:rPr>
                <w:rFonts w:eastAsiaTheme="minorHAnsi"/>
                <w:sz w:val="20"/>
                <w:lang w:val="fr-CA"/>
              </w:rPr>
              <w:t xml:space="preserve">) de la </w:t>
            </w:r>
            <w:r w:rsidRPr="00EC3EE4">
              <w:rPr>
                <w:rFonts w:eastAsiaTheme="minorHAnsi"/>
                <w:i/>
                <w:sz w:val="20"/>
                <w:lang w:val="fr-CA"/>
              </w:rPr>
              <w:t>Loi sur la production de la défense</w:t>
            </w:r>
            <w:r w:rsidRPr="00EC3EE4">
              <w:rPr>
                <w:rFonts w:eastAsiaTheme="minorHAnsi"/>
                <w:sz w:val="20"/>
                <w:lang w:val="fr-CA"/>
              </w:rPr>
              <w:t xml:space="preserve">, L.R.C. 1985, c. D-1, pour avoir eu en leur possession des marchandises contrôlées, soit des lunettes de vision de nuit de troisième génération, sans être inscrits ou exemptés d’inscription, contrairement à l’art. 37 de cette loi.  Ils sont également accusés de plusieurs infractions prévues à l’art. 19(1) de la </w:t>
            </w:r>
            <w:r w:rsidRPr="00EC3EE4">
              <w:rPr>
                <w:rFonts w:eastAsiaTheme="minorHAnsi"/>
                <w:i/>
                <w:sz w:val="20"/>
                <w:lang w:val="fr-CA"/>
              </w:rPr>
              <w:t>Loi sur les licences d’importation et d’exportation</w:t>
            </w:r>
            <w:r w:rsidRPr="00EC3EE4">
              <w:rPr>
                <w:rFonts w:eastAsiaTheme="minorHAnsi"/>
                <w:sz w:val="20"/>
                <w:lang w:val="fr-CA"/>
              </w:rPr>
              <w:t>, L.R.C. 1985, c. E-19, pour avoir exporté des marchandises ou des technologies figurant sur la liste des marchandises d’exportation contrôlée, à savoir un intensificateur d’image de troisième génération, sans détenir une licence d’exportation, contrairement à l’art. 13 de cette loi.</w:t>
            </w:r>
          </w:p>
          <w:p w:rsidR="00EC3EE4" w:rsidRPr="00EC3EE4" w:rsidRDefault="00EC3EE4" w:rsidP="00EC3EE4">
            <w:pPr>
              <w:jc w:val="both"/>
              <w:rPr>
                <w:rFonts w:eastAsiaTheme="minorHAnsi"/>
                <w:sz w:val="20"/>
                <w:lang w:val="fr-CA"/>
              </w:rPr>
            </w:pPr>
          </w:p>
          <w:p w:rsidR="00EC3EE4" w:rsidRPr="00EC3EE4" w:rsidRDefault="00EC3EE4" w:rsidP="00EC3EE4">
            <w:pPr>
              <w:jc w:val="both"/>
              <w:rPr>
                <w:rFonts w:eastAsiaTheme="minorHAnsi"/>
                <w:sz w:val="20"/>
                <w:lang w:val="fr-CA"/>
              </w:rPr>
            </w:pPr>
            <w:r w:rsidRPr="00EC3EE4">
              <w:rPr>
                <w:rFonts w:eastAsiaTheme="minorHAnsi"/>
                <w:sz w:val="20"/>
                <w:lang w:val="fr-CA"/>
              </w:rPr>
              <w:t xml:space="preserve">Avant leur procès, les demandeurs ont présenté une requête en perquisition illégale et en arrêt des procédures devant la Cour supérieure.  La requête a été rejetée.  La Cour d’appel a ensuite rejeté leur demande d’autorisation d’appel et leur demande de </w:t>
            </w:r>
            <w:proofErr w:type="spellStart"/>
            <w:r w:rsidRPr="00EC3EE4">
              <w:rPr>
                <w:rFonts w:eastAsiaTheme="minorHAnsi"/>
                <w:sz w:val="20"/>
                <w:lang w:val="fr-CA"/>
              </w:rPr>
              <w:t>certiorari</w:t>
            </w:r>
            <w:proofErr w:type="spellEnd"/>
            <w:r w:rsidRPr="00EC3EE4">
              <w:rPr>
                <w:rFonts w:eastAsiaTheme="minorHAnsi"/>
                <w:sz w:val="20"/>
                <w:lang w:val="fr-CA"/>
              </w:rPr>
              <w:t>.</w:t>
            </w:r>
          </w:p>
          <w:p w:rsidR="00EC3EE4" w:rsidRPr="00EC3EE4" w:rsidRDefault="00EC3EE4" w:rsidP="00EC3EE4">
            <w:pPr>
              <w:jc w:val="both"/>
              <w:rPr>
                <w:rFonts w:eastAsiaTheme="minorHAnsi"/>
                <w:sz w:val="20"/>
                <w:lang w:val="fr-CA"/>
              </w:rPr>
            </w:pPr>
          </w:p>
        </w:tc>
      </w:tr>
      <w:tr w:rsidR="00EC3EE4" w:rsidRPr="001155B4" w:rsidTr="00E52530">
        <w:tc>
          <w:tcPr>
            <w:tcW w:w="2427" w:type="pct"/>
            <w:gridSpan w:val="2"/>
          </w:tcPr>
          <w:p w:rsidR="00EC3EE4" w:rsidRPr="00EC3EE4" w:rsidRDefault="00EC3EE4" w:rsidP="00EC3EE4">
            <w:pPr>
              <w:jc w:val="both"/>
              <w:rPr>
                <w:rFonts w:eastAsiaTheme="minorHAnsi"/>
                <w:sz w:val="20"/>
                <w:lang w:val="fr-CA"/>
              </w:rPr>
            </w:pPr>
            <w:r w:rsidRPr="00EC3EE4">
              <w:rPr>
                <w:rFonts w:eastAsiaTheme="minorHAnsi"/>
                <w:sz w:val="20"/>
                <w:lang w:val="fr-CA"/>
              </w:rPr>
              <w:t>Le 6 février 2015</w:t>
            </w:r>
          </w:p>
          <w:p w:rsidR="00EC3EE4" w:rsidRPr="00EC3EE4" w:rsidRDefault="00EC3EE4" w:rsidP="00EC3EE4">
            <w:pPr>
              <w:jc w:val="both"/>
              <w:rPr>
                <w:rFonts w:eastAsiaTheme="minorHAnsi"/>
                <w:sz w:val="20"/>
                <w:lang w:val="fr-CA"/>
              </w:rPr>
            </w:pPr>
            <w:r w:rsidRPr="00EC3EE4">
              <w:rPr>
                <w:rFonts w:eastAsiaTheme="minorHAnsi"/>
                <w:sz w:val="20"/>
                <w:lang w:val="fr-CA"/>
              </w:rPr>
              <w:t>Cour supérieure du Québec</w:t>
            </w:r>
          </w:p>
          <w:p w:rsidR="00EC3EE4" w:rsidRPr="00EC3EE4" w:rsidRDefault="00EC3EE4" w:rsidP="00EC3EE4">
            <w:pPr>
              <w:jc w:val="both"/>
              <w:rPr>
                <w:rFonts w:eastAsiaTheme="minorHAnsi"/>
                <w:sz w:val="20"/>
                <w:lang w:val="fr-CA"/>
              </w:rPr>
            </w:pPr>
            <w:r w:rsidRPr="00EC3EE4">
              <w:rPr>
                <w:rFonts w:eastAsiaTheme="minorHAnsi"/>
                <w:sz w:val="20"/>
                <w:lang w:val="fr-CA"/>
              </w:rPr>
              <w:t>(Le juge Dionne)</w:t>
            </w:r>
          </w:p>
          <w:p w:rsidR="00EC3EE4" w:rsidRPr="00EC3EE4" w:rsidRDefault="00EC3EE4" w:rsidP="00EC3EE4">
            <w:pPr>
              <w:jc w:val="both"/>
              <w:rPr>
                <w:rFonts w:eastAsiaTheme="minorHAnsi"/>
                <w:sz w:val="20"/>
                <w:lang w:val="fr-CA"/>
              </w:rPr>
            </w:pPr>
          </w:p>
        </w:tc>
        <w:tc>
          <w:tcPr>
            <w:tcW w:w="243" w:type="pct"/>
          </w:tcPr>
          <w:p w:rsidR="00EC3EE4" w:rsidRPr="00EC3EE4" w:rsidRDefault="00EC3EE4" w:rsidP="00EC3EE4">
            <w:pPr>
              <w:jc w:val="both"/>
              <w:rPr>
                <w:rFonts w:eastAsiaTheme="minorHAnsi"/>
                <w:sz w:val="20"/>
                <w:lang w:val="fr-CA"/>
              </w:rPr>
            </w:pPr>
          </w:p>
        </w:tc>
        <w:tc>
          <w:tcPr>
            <w:tcW w:w="2330" w:type="pct"/>
          </w:tcPr>
          <w:p w:rsidR="00EC3EE4" w:rsidRPr="00EC3EE4" w:rsidRDefault="00EC3EE4" w:rsidP="00EC3EE4">
            <w:pPr>
              <w:jc w:val="both"/>
              <w:rPr>
                <w:rFonts w:eastAsiaTheme="minorHAnsi"/>
                <w:sz w:val="20"/>
                <w:lang w:val="fr-CA"/>
              </w:rPr>
            </w:pPr>
            <w:r w:rsidRPr="00EC3EE4">
              <w:rPr>
                <w:rFonts w:eastAsiaTheme="minorHAnsi"/>
                <w:sz w:val="20"/>
                <w:lang w:val="fr-CA"/>
              </w:rPr>
              <w:t>Requête des demandeurs en perquisition illégale et en arrêt des procédures rejetée</w:t>
            </w:r>
          </w:p>
          <w:p w:rsidR="00EC3EE4" w:rsidRPr="00EC3EE4" w:rsidRDefault="00EC3EE4" w:rsidP="00EC3EE4">
            <w:pPr>
              <w:jc w:val="both"/>
              <w:rPr>
                <w:rFonts w:eastAsiaTheme="minorHAnsi"/>
                <w:sz w:val="20"/>
                <w:lang w:val="fr-CA"/>
              </w:rPr>
            </w:pPr>
          </w:p>
        </w:tc>
      </w:tr>
      <w:tr w:rsidR="00EC3EE4" w:rsidRPr="001155B4" w:rsidTr="00E52530">
        <w:tc>
          <w:tcPr>
            <w:tcW w:w="2427" w:type="pct"/>
            <w:gridSpan w:val="2"/>
          </w:tcPr>
          <w:p w:rsidR="00EC3EE4" w:rsidRPr="00EC3EE4" w:rsidRDefault="00EC3EE4" w:rsidP="00EC3EE4">
            <w:pPr>
              <w:jc w:val="both"/>
              <w:rPr>
                <w:rFonts w:eastAsiaTheme="minorHAnsi"/>
                <w:sz w:val="20"/>
                <w:lang w:val="fr-CA"/>
              </w:rPr>
            </w:pPr>
            <w:r w:rsidRPr="00EC3EE4">
              <w:rPr>
                <w:rFonts w:eastAsiaTheme="minorHAnsi"/>
                <w:sz w:val="20"/>
                <w:lang w:val="fr-CA"/>
              </w:rPr>
              <w:t>Le 13 mars 2015</w:t>
            </w:r>
          </w:p>
          <w:p w:rsidR="00EC3EE4" w:rsidRPr="00EC3EE4" w:rsidRDefault="00EC3EE4" w:rsidP="00EC3EE4">
            <w:pPr>
              <w:jc w:val="both"/>
              <w:rPr>
                <w:rFonts w:eastAsiaTheme="minorHAnsi"/>
                <w:sz w:val="20"/>
                <w:lang w:val="fr-CA"/>
              </w:rPr>
            </w:pPr>
            <w:r w:rsidRPr="00EC3EE4">
              <w:rPr>
                <w:rFonts w:eastAsiaTheme="minorHAnsi"/>
                <w:sz w:val="20"/>
                <w:lang w:val="fr-CA"/>
              </w:rPr>
              <w:t>Cour d’appel du Québec (Québec)</w:t>
            </w:r>
          </w:p>
          <w:p w:rsidR="00EC3EE4" w:rsidRPr="00EC3EE4" w:rsidRDefault="00EC3EE4" w:rsidP="00EC3EE4">
            <w:pPr>
              <w:jc w:val="both"/>
              <w:rPr>
                <w:rFonts w:eastAsiaTheme="minorHAnsi"/>
                <w:sz w:val="20"/>
                <w:lang w:val="fr-CA"/>
              </w:rPr>
            </w:pPr>
            <w:r w:rsidRPr="00EC3EE4">
              <w:rPr>
                <w:rFonts w:eastAsiaTheme="minorHAnsi"/>
                <w:sz w:val="20"/>
                <w:lang w:val="fr-CA"/>
              </w:rPr>
              <w:t>(La juge Bélanger)</w:t>
            </w:r>
          </w:p>
          <w:p w:rsidR="00EC3EE4" w:rsidRPr="00EC3EE4" w:rsidRDefault="001155B4" w:rsidP="00EC3EE4">
            <w:pPr>
              <w:jc w:val="both"/>
              <w:rPr>
                <w:rFonts w:eastAsiaTheme="minorHAnsi"/>
                <w:sz w:val="20"/>
                <w:lang w:val="fr-CA"/>
              </w:rPr>
            </w:pPr>
            <w:hyperlink r:id="rId16" w:history="1">
              <w:r w:rsidR="00EC3EE4" w:rsidRPr="00E52530">
                <w:rPr>
                  <w:rFonts w:eastAsiaTheme="minorHAnsi"/>
                  <w:color w:val="0000FF" w:themeColor="hyperlink"/>
                  <w:sz w:val="20"/>
                  <w:u w:val="single"/>
                  <w:lang w:val="fr-CA"/>
                </w:rPr>
                <w:t>2015 QCCA 518</w:t>
              </w:r>
            </w:hyperlink>
          </w:p>
          <w:p w:rsidR="00EC3EE4" w:rsidRPr="00EC3EE4" w:rsidRDefault="00EC3EE4" w:rsidP="00EC3EE4">
            <w:pPr>
              <w:jc w:val="both"/>
              <w:rPr>
                <w:rFonts w:eastAsiaTheme="minorHAnsi"/>
                <w:sz w:val="20"/>
                <w:lang w:val="fr-CA"/>
              </w:rPr>
            </w:pPr>
          </w:p>
        </w:tc>
        <w:tc>
          <w:tcPr>
            <w:tcW w:w="243" w:type="pct"/>
          </w:tcPr>
          <w:p w:rsidR="00EC3EE4" w:rsidRPr="00EC3EE4" w:rsidRDefault="00EC3EE4" w:rsidP="00EC3EE4">
            <w:pPr>
              <w:jc w:val="both"/>
              <w:rPr>
                <w:rFonts w:eastAsiaTheme="minorHAnsi"/>
                <w:sz w:val="20"/>
                <w:lang w:val="fr-CA"/>
              </w:rPr>
            </w:pPr>
          </w:p>
        </w:tc>
        <w:tc>
          <w:tcPr>
            <w:tcW w:w="2330" w:type="pct"/>
          </w:tcPr>
          <w:p w:rsidR="00EC3EE4" w:rsidRPr="00EC3EE4" w:rsidRDefault="00EC3EE4" w:rsidP="00EC3EE4">
            <w:pPr>
              <w:jc w:val="both"/>
              <w:rPr>
                <w:rFonts w:eastAsiaTheme="minorHAnsi"/>
                <w:sz w:val="20"/>
                <w:lang w:val="fr-CA"/>
              </w:rPr>
            </w:pPr>
            <w:r w:rsidRPr="00EC3EE4">
              <w:rPr>
                <w:rFonts w:eastAsiaTheme="minorHAnsi"/>
                <w:sz w:val="20"/>
                <w:lang w:val="fr-CA"/>
              </w:rPr>
              <w:t xml:space="preserve">Requête en demande d’autorisation d’appel et requête en demande de </w:t>
            </w:r>
            <w:proofErr w:type="spellStart"/>
            <w:r w:rsidRPr="00EC3EE4">
              <w:rPr>
                <w:rFonts w:eastAsiaTheme="minorHAnsi"/>
                <w:sz w:val="20"/>
                <w:lang w:val="fr-CA"/>
              </w:rPr>
              <w:t>certiorari</w:t>
            </w:r>
            <w:proofErr w:type="spellEnd"/>
            <w:r w:rsidRPr="00EC3EE4">
              <w:rPr>
                <w:rFonts w:eastAsiaTheme="minorHAnsi"/>
                <w:sz w:val="20"/>
                <w:lang w:val="fr-CA"/>
              </w:rPr>
              <w:t xml:space="preserve"> rejetées</w:t>
            </w:r>
          </w:p>
          <w:p w:rsidR="00EC3EE4" w:rsidRPr="00EC3EE4" w:rsidRDefault="00EC3EE4" w:rsidP="00EC3EE4">
            <w:pPr>
              <w:jc w:val="both"/>
              <w:rPr>
                <w:rFonts w:eastAsiaTheme="minorHAnsi"/>
                <w:sz w:val="20"/>
                <w:lang w:val="fr-CA"/>
              </w:rPr>
            </w:pPr>
          </w:p>
        </w:tc>
      </w:tr>
      <w:tr w:rsidR="00EC3EE4" w:rsidRPr="00EC3EE4" w:rsidTr="00E52530">
        <w:tc>
          <w:tcPr>
            <w:tcW w:w="2427" w:type="pct"/>
            <w:gridSpan w:val="2"/>
          </w:tcPr>
          <w:p w:rsidR="00EC3EE4" w:rsidRPr="00EC3EE4" w:rsidRDefault="00EC3EE4" w:rsidP="00EC3EE4">
            <w:pPr>
              <w:jc w:val="both"/>
              <w:rPr>
                <w:rFonts w:eastAsiaTheme="minorHAnsi"/>
                <w:sz w:val="20"/>
                <w:lang w:val="fr-CA"/>
              </w:rPr>
            </w:pPr>
            <w:r w:rsidRPr="00EC3EE4">
              <w:rPr>
                <w:rFonts w:eastAsiaTheme="minorHAnsi"/>
                <w:sz w:val="20"/>
                <w:lang w:val="fr-CA"/>
              </w:rPr>
              <w:t>Le 13 avril 2015</w:t>
            </w:r>
          </w:p>
          <w:p w:rsidR="00EC3EE4" w:rsidRPr="00EC3EE4" w:rsidRDefault="00EC3EE4" w:rsidP="00EC3EE4">
            <w:pPr>
              <w:jc w:val="both"/>
              <w:rPr>
                <w:rFonts w:eastAsiaTheme="minorHAnsi"/>
                <w:sz w:val="20"/>
                <w:lang w:val="fr-CA"/>
              </w:rPr>
            </w:pPr>
            <w:r w:rsidRPr="00EC3EE4">
              <w:rPr>
                <w:rFonts w:eastAsiaTheme="minorHAnsi"/>
                <w:sz w:val="20"/>
                <w:lang w:val="fr-CA"/>
              </w:rPr>
              <w:t>Cour suprême du Canada</w:t>
            </w:r>
          </w:p>
        </w:tc>
        <w:tc>
          <w:tcPr>
            <w:tcW w:w="243" w:type="pct"/>
          </w:tcPr>
          <w:p w:rsidR="00EC3EE4" w:rsidRPr="00EC3EE4" w:rsidRDefault="00EC3EE4" w:rsidP="00EC3EE4">
            <w:pPr>
              <w:jc w:val="both"/>
              <w:rPr>
                <w:rFonts w:eastAsiaTheme="minorHAnsi"/>
                <w:sz w:val="20"/>
                <w:lang w:val="fr-CA"/>
              </w:rPr>
            </w:pPr>
          </w:p>
        </w:tc>
        <w:tc>
          <w:tcPr>
            <w:tcW w:w="2330" w:type="pct"/>
          </w:tcPr>
          <w:p w:rsidR="00EC3EE4" w:rsidRPr="00EC3EE4" w:rsidRDefault="00EC3EE4" w:rsidP="00EC3EE4">
            <w:pPr>
              <w:jc w:val="both"/>
              <w:rPr>
                <w:rFonts w:eastAsiaTheme="minorHAnsi"/>
                <w:sz w:val="20"/>
                <w:lang w:val="fr-CA"/>
              </w:rPr>
            </w:pPr>
            <w:r w:rsidRPr="00EC3EE4">
              <w:rPr>
                <w:rFonts w:eastAsiaTheme="minorHAnsi"/>
                <w:sz w:val="20"/>
                <w:lang w:val="fr-CA"/>
              </w:rPr>
              <w:t>Demande d’autorisation d’appel déposée</w:t>
            </w:r>
          </w:p>
          <w:p w:rsidR="00EC3EE4" w:rsidRPr="00EC3EE4" w:rsidRDefault="00EC3EE4" w:rsidP="00EC3EE4">
            <w:pPr>
              <w:jc w:val="both"/>
              <w:rPr>
                <w:rFonts w:eastAsiaTheme="minorHAnsi"/>
                <w:sz w:val="20"/>
                <w:lang w:val="fr-CA"/>
              </w:rPr>
            </w:pPr>
          </w:p>
        </w:tc>
      </w:tr>
    </w:tbl>
    <w:p w:rsidR="00EC3EE4" w:rsidRDefault="00EC3EE4" w:rsidP="00EC3EE4">
      <w:pPr>
        <w:jc w:val="both"/>
        <w:rPr>
          <w:rFonts w:eastAsiaTheme="minorHAnsi"/>
          <w:sz w:val="20"/>
          <w:lang w:val="fr-CA"/>
        </w:rPr>
      </w:pPr>
    </w:p>
    <w:p w:rsidR="00E52530" w:rsidRPr="00EC3EE4" w:rsidRDefault="00E52530" w:rsidP="00EC3EE4">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3EE4" w:rsidRPr="00EC3EE4" w:rsidTr="00E52530">
        <w:tc>
          <w:tcPr>
            <w:tcW w:w="543" w:type="pct"/>
          </w:tcPr>
          <w:p w:rsidR="00EC3EE4" w:rsidRPr="00EC3EE4" w:rsidRDefault="00EC3EE4" w:rsidP="00EC3EE4">
            <w:pPr>
              <w:jc w:val="both"/>
              <w:rPr>
                <w:rFonts w:eastAsiaTheme="minorHAnsi"/>
                <w:sz w:val="20"/>
                <w:lang w:val="en-CA"/>
              </w:rPr>
            </w:pPr>
            <w:r w:rsidRPr="00E52530">
              <w:rPr>
                <w:rFonts w:eastAsiaTheme="minorHAnsi"/>
                <w:b/>
                <w:sz w:val="20"/>
                <w:lang w:val="fr-CA"/>
              </w:rPr>
              <w:t>36345</w:t>
            </w:r>
          </w:p>
        </w:tc>
        <w:tc>
          <w:tcPr>
            <w:tcW w:w="4457" w:type="pct"/>
            <w:gridSpan w:val="3"/>
          </w:tcPr>
          <w:p w:rsidR="00EC3EE4" w:rsidRPr="00EC3EE4" w:rsidRDefault="00EC3EE4" w:rsidP="00EC3EE4">
            <w:pPr>
              <w:jc w:val="both"/>
              <w:rPr>
                <w:rFonts w:eastAsiaTheme="minorHAnsi"/>
                <w:b/>
                <w:sz w:val="20"/>
                <w:lang w:val="en-CA"/>
              </w:rPr>
            </w:pPr>
            <w:r w:rsidRPr="00EC3EE4">
              <w:rPr>
                <w:rFonts w:eastAsiaTheme="minorHAnsi"/>
                <w:b/>
                <w:sz w:val="20"/>
                <w:lang w:val="en-CA"/>
              </w:rPr>
              <w:t xml:space="preserve">Jacques </w:t>
            </w:r>
            <w:proofErr w:type="spellStart"/>
            <w:r w:rsidRPr="00EC3EE4">
              <w:rPr>
                <w:rFonts w:eastAsiaTheme="minorHAnsi"/>
                <w:b/>
                <w:sz w:val="20"/>
                <w:lang w:val="en-CA"/>
              </w:rPr>
              <w:t>Laperrière</w:t>
            </w:r>
            <w:proofErr w:type="spellEnd"/>
            <w:r w:rsidRPr="00EC3EE4">
              <w:rPr>
                <w:rFonts w:eastAsiaTheme="minorHAnsi"/>
                <w:b/>
                <w:sz w:val="20"/>
                <w:lang w:val="en-CA"/>
              </w:rPr>
              <w:t xml:space="preserve"> v. Her Majesty the Queen</w:t>
            </w:r>
          </w:p>
          <w:p w:rsidR="00EC3EE4" w:rsidRPr="00EC3EE4" w:rsidRDefault="00EC3EE4" w:rsidP="00EC3EE4">
            <w:pPr>
              <w:jc w:val="both"/>
              <w:rPr>
                <w:rFonts w:eastAsiaTheme="minorHAnsi"/>
                <w:sz w:val="20"/>
                <w:lang w:val="en-CA"/>
              </w:rPr>
            </w:pPr>
            <w:r w:rsidRPr="00EC3EE4">
              <w:rPr>
                <w:rFonts w:eastAsiaTheme="minorHAnsi"/>
                <w:sz w:val="20"/>
                <w:lang w:val="en-CA"/>
              </w:rPr>
              <w:t>(Que.) (Criminal) (By Leave)</w:t>
            </w:r>
          </w:p>
        </w:tc>
      </w:tr>
      <w:tr w:rsidR="00EC3EE4" w:rsidRPr="00EC3EE4" w:rsidTr="00E52530">
        <w:tc>
          <w:tcPr>
            <w:tcW w:w="5000" w:type="pct"/>
            <w:gridSpan w:val="4"/>
          </w:tcPr>
          <w:p w:rsidR="00EC3EE4" w:rsidRPr="00EC3EE4" w:rsidRDefault="00EC3EE4" w:rsidP="00EC3EE4">
            <w:pPr>
              <w:jc w:val="both"/>
              <w:rPr>
                <w:rFonts w:eastAsiaTheme="minorHAnsi"/>
                <w:sz w:val="20"/>
                <w:lang w:val="en-CA"/>
              </w:rPr>
            </w:pPr>
            <w:r w:rsidRPr="00EC3EE4">
              <w:rPr>
                <w:rFonts w:eastAsiaTheme="minorHAnsi"/>
                <w:sz w:val="20"/>
                <w:lang w:val="en-CA"/>
              </w:rPr>
              <w:t>Criminal law — Charge to jury — Whether Court of Appeal erred in law in finding that trial judge had not made error in charge to jury.</w:t>
            </w:r>
          </w:p>
        </w:tc>
      </w:tr>
      <w:tr w:rsidR="00EC3EE4" w:rsidRPr="00EC3EE4" w:rsidTr="00E52530">
        <w:tc>
          <w:tcPr>
            <w:tcW w:w="5000" w:type="pct"/>
            <w:gridSpan w:val="4"/>
          </w:tcPr>
          <w:p w:rsidR="00EC3EE4" w:rsidRPr="00EC3EE4" w:rsidRDefault="00EC3EE4" w:rsidP="00EC3EE4">
            <w:pPr>
              <w:jc w:val="both"/>
              <w:rPr>
                <w:rFonts w:eastAsiaTheme="minorHAnsi"/>
                <w:sz w:val="20"/>
                <w:lang w:val="en-CA"/>
              </w:rPr>
            </w:pPr>
          </w:p>
        </w:tc>
      </w:tr>
      <w:tr w:rsidR="00EC3EE4" w:rsidRPr="00EC3EE4" w:rsidTr="00E52530">
        <w:tc>
          <w:tcPr>
            <w:tcW w:w="5000" w:type="pct"/>
            <w:gridSpan w:val="4"/>
          </w:tcPr>
          <w:p w:rsidR="00EC3EE4" w:rsidRPr="00EC3EE4" w:rsidRDefault="00EC3EE4" w:rsidP="00EC3EE4">
            <w:pPr>
              <w:jc w:val="both"/>
              <w:rPr>
                <w:rFonts w:eastAsiaTheme="minorHAnsi"/>
                <w:sz w:val="20"/>
                <w:lang w:val="en-CA"/>
              </w:rPr>
            </w:pPr>
            <w:r w:rsidRPr="00EC3EE4">
              <w:rPr>
                <w:rFonts w:eastAsiaTheme="minorHAnsi"/>
                <w:sz w:val="20"/>
                <w:lang w:val="en-CA"/>
              </w:rPr>
              <w:t xml:space="preserve">The applicant, who suffers from paranoid schizophrenia, was convicted of second degree murder in a jury trial. He appealed his conviction, alleging, </w:t>
            </w:r>
            <w:r w:rsidRPr="00EC3EE4">
              <w:rPr>
                <w:rFonts w:eastAsiaTheme="minorHAnsi"/>
                <w:i/>
                <w:sz w:val="20"/>
                <w:lang w:val="en-CA"/>
              </w:rPr>
              <w:t>inter alia</w:t>
            </w:r>
            <w:r w:rsidRPr="00EC3EE4">
              <w:rPr>
                <w:rFonts w:eastAsiaTheme="minorHAnsi"/>
                <w:sz w:val="20"/>
                <w:lang w:val="en-CA"/>
              </w:rPr>
              <w:t>, that in instructing the jurors the judge had erred in defining “mental disorder” in relation to the concept of not being criminally responsible and in refusing to put the defence of provocation to the jury.</w:t>
            </w:r>
          </w:p>
          <w:p w:rsidR="00EC3EE4" w:rsidRPr="00EC3EE4" w:rsidRDefault="00EC3EE4" w:rsidP="00EC3EE4">
            <w:pPr>
              <w:jc w:val="both"/>
              <w:rPr>
                <w:rFonts w:eastAsiaTheme="minorHAnsi"/>
                <w:sz w:val="20"/>
                <w:lang w:val="en-CA"/>
              </w:rPr>
            </w:pPr>
          </w:p>
        </w:tc>
      </w:tr>
      <w:tr w:rsidR="00EC3EE4" w:rsidRPr="00EC3EE4" w:rsidTr="00E52530">
        <w:tc>
          <w:tcPr>
            <w:tcW w:w="2427" w:type="pct"/>
            <w:gridSpan w:val="2"/>
          </w:tcPr>
          <w:p w:rsidR="00EC3EE4" w:rsidRPr="00EC3EE4" w:rsidRDefault="00EC3EE4" w:rsidP="00EC3EE4">
            <w:pPr>
              <w:jc w:val="both"/>
              <w:rPr>
                <w:rFonts w:eastAsiaTheme="minorHAnsi"/>
                <w:sz w:val="20"/>
                <w:lang w:val="en-CA"/>
              </w:rPr>
            </w:pPr>
            <w:r w:rsidRPr="00EC3EE4">
              <w:rPr>
                <w:rFonts w:eastAsiaTheme="minorHAnsi"/>
                <w:sz w:val="20"/>
                <w:lang w:val="en-CA"/>
              </w:rPr>
              <w:t>November 23, 2012</w:t>
            </w:r>
          </w:p>
          <w:p w:rsidR="00EC3EE4" w:rsidRPr="00EC3EE4" w:rsidRDefault="00EC3EE4" w:rsidP="00EC3EE4">
            <w:pPr>
              <w:jc w:val="both"/>
              <w:rPr>
                <w:rFonts w:eastAsiaTheme="minorHAnsi"/>
                <w:sz w:val="20"/>
                <w:lang w:val="en-CA"/>
              </w:rPr>
            </w:pPr>
            <w:r w:rsidRPr="00EC3EE4">
              <w:rPr>
                <w:rFonts w:eastAsiaTheme="minorHAnsi"/>
                <w:sz w:val="20"/>
                <w:lang w:val="en-CA"/>
              </w:rPr>
              <w:t>Quebec Superior Court</w:t>
            </w:r>
          </w:p>
          <w:p w:rsidR="00EC3EE4" w:rsidRPr="00EC3EE4" w:rsidRDefault="00EC3EE4" w:rsidP="00EC3EE4">
            <w:pPr>
              <w:jc w:val="both"/>
              <w:rPr>
                <w:rFonts w:eastAsiaTheme="minorHAnsi"/>
                <w:sz w:val="20"/>
                <w:lang w:val="en-CA"/>
              </w:rPr>
            </w:pPr>
            <w:r w:rsidRPr="00EC3EE4">
              <w:rPr>
                <w:rFonts w:eastAsiaTheme="minorHAnsi"/>
                <w:sz w:val="20"/>
                <w:lang w:val="en-CA"/>
              </w:rPr>
              <w:t>(Levesque J.)</w:t>
            </w:r>
          </w:p>
          <w:p w:rsidR="00EC3EE4" w:rsidRPr="00EC3EE4" w:rsidRDefault="00EC3EE4" w:rsidP="00EC3EE4">
            <w:pPr>
              <w:jc w:val="both"/>
              <w:rPr>
                <w:rFonts w:eastAsiaTheme="minorHAnsi"/>
                <w:sz w:val="20"/>
                <w:lang w:val="en-CA"/>
              </w:rPr>
            </w:pPr>
            <w:r w:rsidRPr="00EC3EE4">
              <w:rPr>
                <w:rFonts w:eastAsiaTheme="minorHAnsi"/>
                <w:sz w:val="20"/>
                <w:lang w:val="en-CA"/>
              </w:rPr>
              <w:t>File No. 400-01-056545-098</w:t>
            </w:r>
          </w:p>
          <w:p w:rsidR="00EC3EE4" w:rsidRPr="00EC3EE4" w:rsidRDefault="00EC3EE4" w:rsidP="00EC3EE4">
            <w:pPr>
              <w:jc w:val="both"/>
              <w:rPr>
                <w:rFonts w:eastAsiaTheme="minorHAnsi"/>
                <w:sz w:val="20"/>
                <w:lang w:val="en-CA"/>
              </w:rPr>
            </w:pPr>
          </w:p>
        </w:tc>
        <w:tc>
          <w:tcPr>
            <w:tcW w:w="243" w:type="pct"/>
          </w:tcPr>
          <w:p w:rsidR="00EC3EE4" w:rsidRPr="00EC3EE4" w:rsidRDefault="00EC3EE4" w:rsidP="00EC3EE4">
            <w:pPr>
              <w:jc w:val="both"/>
              <w:rPr>
                <w:rFonts w:eastAsiaTheme="minorHAnsi"/>
                <w:sz w:val="20"/>
                <w:lang w:val="en-CA"/>
              </w:rPr>
            </w:pPr>
          </w:p>
        </w:tc>
        <w:tc>
          <w:tcPr>
            <w:tcW w:w="2330" w:type="pct"/>
          </w:tcPr>
          <w:p w:rsidR="00EC3EE4" w:rsidRPr="00EC3EE4" w:rsidRDefault="00EC3EE4" w:rsidP="00EC3EE4">
            <w:pPr>
              <w:jc w:val="both"/>
              <w:rPr>
                <w:rFonts w:eastAsiaTheme="minorHAnsi"/>
                <w:sz w:val="20"/>
                <w:lang w:val="en-CA"/>
              </w:rPr>
            </w:pPr>
            <w:r w:rsidRPr="00EC3EE4">
              <w:rPr>
                <w:rFonts w:eastAsiaTheme="minorHAnsi"/>
                <w:sz w:val="20"/>
                <w:lang w:val="en-CA"/>
              </w:rPr>
              <w:t>Applicant convicted by jury of second degree murder</w:t>
            </w:r>
          </w:p>
        </w:tc>
      </w:tr>
      <w:tr w:rsidR="00EC3EE4" w:rsidRPr="00EC3EE4" w:rsidTr="00E52530">
        <w:tc>
          <w:tcPr>
            <w:tcW w:w="2427" w:type="pct"/>
            <w:gridSpan w:val="2"/>
          </w:tcPr>
          <w:p w:rsidR="00EC3EE4" w:rsidRPr="00EC3EE4" w:rsidRDefault="00EC3EE4" w:rsidP="00EC3EE4">
            <w:pPr>
              <w:jc w:val="both"/>
              <w:rPr>
                <w:rFonts w:eastAsiaTheme="minorHAnsi"/>
                <w:sz w:val="20"/>
                <w:lang w:val="en-CA"/>
              </w:rPr>
            </w:pPr>
            <w:r w:rsidRPr="00EC3EE4">
              <w:rPr>
                <w:rFonts w:eastAsiaTheme="minorHAnsi"/>
                <w:sz w:val="20"/>
                <w:lang w:val="en-CA"/>
              </w:rPr>
              <w:t>June 6, 2014</w:t>
            </w:r>
          </w:p>
          <w:p w:rsidR="00EC3EE4" w:rsidRPr="00EC3EE4" w:rsidRDefault="00EC3EE4" w:rsidP="00EC3EE4">
            <w:pPr>
              <w:jc w:val="both"/>
              <w:rPr>
                <w:rFonts w:eastAsiaTheme="minorHAnsi"/>
                <w:sz w:val="20"/>
                <w:lang w:val="en-CA"/>
              </w:rPr>
            </w:pPr>
            <w:r w:rsidRPr="00EC3EE4">
              <w:rPr>
                <w:rFonts w:eastAsiaTheme="minorHAnsi"/>
                <w:sz w:val="20"/>
                <w:lang w:val="en-CA"/>
              </w:rPr>
              <w:t>Quebec Court of Appeal (Québec)</w:t>
            </w:r>
          </w:p>
          <w:p w:rsidR="00EC3EE4" w:rsidRPr="00EC3EE4" w:rsidRDefault="00EC3EE4" w:rsidP="00EC3EE4">
            <w:pPr>
              <w:jc w:val="both"/>
              <w:rPr>
                <w:rFonts w:eastAsiaTheme="minorHAnsi"/>
                <w:sz w:val="20"/>
                <w:lang w:val="en-CA"/>
              </w:rPr>
            </w:pPr>
            <w:r w:rsidRPr="00EC3EE4">
              <w:rPr>
                <w:rFonts w:eastAsiaTheme="minorHAnsi"/>
                <w:sz w:val="20"/>
                <w:lang w:val="en-CA"/>
              </w:rPr>
              <w:t>(Morin, Gagnon and Gagnon JJ.A.)</w:t>
            </w:r>
          </w:p>
          <w:p w:rsidR="00EC3EE4" w:rsidRPr="00EC3EE4" w:rsidRDefault="001155B4" w:rsidP="00EC3EE4">
            <w:pPr>
              <w:jc w:val="both"/>
              <w:rPr>
                <w:rFonts w:eastAsiaTheme="minorHAnsi"/>
                <w:sz w:val="20"/>
                <w:lang w:val="en-CA"/>
              </w:rPr>
            </w:pPr>
            <w:hyperlink r:id="rId17" w:history="1">
              <w:r w:rsidR="00EC3EE4" w:rsidRPr="00E52530">
                <w:rPr>
                  <w:rFonts w:eastAsiaTheme="minorHAnsi"/>
                  <w:color w:val="0000FF" w:themeColor="hyperlink"/>
                  <w:sz w:val="20"/>
                  <w:u w:val="single"/>
                  <w:lang w:val="en-CA"/>
                </w:rPr>
                <w:t>2014 QCCA 1159</w:t>
              </w:r>
            </w:hyperlink>
          </w:p>
          <w:p w:rsidR="00EC3EE4" w:rsidRPr="00EC3EE4" w:rsidRDefault="00EC3EE4" w:rsidP="00EC3EE4">
            <w:pPr>
              <w:jc w:val="both"/>
              <w:rPr>
                <w:rFonts w:eastAsiaTheme="minorHAnsi"/>
                <w:sz w:val="20"/>
                <w:lang w:val="en-CA"/>
              </w:rPr>
            </w:pPr>
            <w:r w:rsidRPr="00EC3EE4">
              <w:rPr>
                <w:rFonts w:eastAsiaTheme="minorHAnsi"/>
                <w:sz w:val="20"/>
                <w:lang w:val="en-CA"/>
              </w:rPr>
              <w:lastRenderedPageBreak/>
              <w:t>File No. 200-10-002899-123</w:t>
            </w:r>
          </w:p>
          <w:p w:rsidR="00EC3EE4" w:rsidRPr="00EC3EE4" w:rsidRDefault="00EC3EE4" w:rsidP="00EC3EE4">
            <w:pPr>
              <w:jc w:val="both"/>
              <w:rPr>
                <w:rFonts w:eastAsiaTheme="minorHAnsi"/>
                <w:sz w:val="20"/>
                <w:lang w:val="en-CA"/>
              </w:rPr>
            </w:pPr>
          </w:p>
        </w:tc>
        <w:tc>
          <w:tcPr>
            <w:tcW w:w="243" w:type="pct"/>
          </w:tcPr>
          <w:p w:rsidR="00EC3EE4" w:rsidRPr="00EC3EE4" w:rsidRDefault="00EC3EE4" w:rsidP="00EC3EE4">
            <w:pPr>
              <w:jc w:val="both"/>
              <w:rPr>
                <w:rFonts w:eastAsiaTheme="minorHAnsi"/>
                <w:sz w:val="20"/>
                <w:lang w:val="en-CA"/>
              </w:rPr>
            </w:pPr>
          </w:p>
        </w:tc>
        <w:tc>
          <w:tcPr>
            <w:tcW w:w="2330" w:type="pct"/>
          </w:tcPr>
          <w:p w:rsidR="00EC3EE4" w:rsidRPr="00EC3EE4" w:rsidRDefault="00EC3EE4" w:rsidP="00EC3EE4">
            <w:pPr>
              <w:jc w:val="both"/>
              <w:rPr>
                <w:rFonts w:eastAsiaTheme="minorHAnsi"/>
                <w:sz w:val="20"/>
                <w:lang w:val="en-CA"/>
              </w:rPr>
            </w:pPr>
            <w:r w:rsidRPr="00EC3EE4">
              <w:rPr>
                <w:rFonts w:eastAsiaTheme="minorHAnsi"/>
                <w:sz w:val="20"/>
                <w:lang w:val="en-CA"/>
              </w:rPr>
              <w:t>Appeal from conviction dismissed</w:t>
            </w:r>
          </w:p>
          <w:p w:rsidR="00EC3EE4" w:rsidRPr="00EC3EE4" w:rsidRDefault="00EC3EE4" w:rsidP="00EC3EE4">
            <w:pPr>
              <w:jc w:val="both"/>
              <w:rPr>
                <w:rFonts w:eastAsiaTheme="minorHAnsi"/>
                <w:sz w:val="20"/>
                <w:lang w:val="en-CA"/>
              </w:rPr>
            </w:pPr>
          </w:p>
        </w:tc>
      </w:tr>
      <w:tr w:rsidR="00EC3EE4" w:rsidRPr="00EC3EE4" w:rsidTr="00E52530">
        <w:tc>
          <w:tcPr>
            <w:tcW w:w="2427" w:type="pct"/>
            <w:gridSpan w:val="2"/>
          </w:tcPr>
          <w:p w:rsidR="00EC3EE4" w:rsidRPr="00EC3EE4" w:rsidRDefault="00EC3EE4" w:rsidP="00EC3EE4">
            <w:pPr>
              <w:jc w:val="both"/>
              <w:rPr>
                <w:rFonts w:eastAsiaTheme="minorHAnsi"/>
                <w:sz w:val="20"/>
                <w:lang w:val="en-CA"/>
              </w:rPr>
            </w:pPr>
            <w:r w:rsidRPr="00EC3EE4">
              <w:rPr>
                <w:rFonts w:eastAsiaTheme="minorHAnsi"/>
                <w:sz w:val="20"/>
                <w:lang w:val="en-CA"/>
              </w:rPr>
              <w:lastRenderedPageBreak/>
              <w:t>March 17, 2015</w:t>
            </w:r>
          </w:p>
          <w:p w:rsidR="00EC3EE4" w:rsidRPr="00EC3EE4" w:rsidRDefault="00EC3EE4" w:rsidP="00EC3EE4">
            <w:pPr>
              <w:jc w:val="both"/>
              <w:rPr>
                <w:rFonts w:eastAsiaTheme="minorHAnsi"/>
                <w:sz w:val="20"/>
                <w:lang w:val="en-CA"/>
              </w:rPr>
            </w:pPr>
            <w:r w:rsidRPr="00EC3EE4">
              <w:rPr>
                <w:rFonts w:eastAsiaTheme="minorHAnsi"/>
                <w:sz w:val="20"/>
                <w:lang w:val="en-CA"/>
              </w:rPr>
              <w:t>Supreme Court of Canada</w:t>
            </w:r>
          </w:p>
          <w:p w:rsidR="00EC3EE4" w:rsidRDefault="00EC3EE4" w:rsidP="00EC3EE4">
            <w:pPr>
              <w:jc w:val="both"/>
              <w:rPr>
                <w:rFonts w:eastAsiaTheme="minorHAnsi"/>
                <w:sz w:val="20"/>
                <w:lang w:val="en-CA"/>
              </w:rPr>
            </w:pPr>
          </w:p>
          <w:p w:rsidR="00E52530" w:rsidRPr="00EC3EE4" w:rsidRDefault="00E52530" w:rsidP="00EC3EE4">
            <w:pPr>
              <w:jc w:val="both"/>
              <w:rPr>
                <w:rFonts w:eastAsiaTheme="minorHAnsi"/>
                <w:sz w:val="20"/>
                <w:lang w:val="en-CA"/>
              </w:rPr>
            </w:pPr>
          </w:p>
        </w:tc>
        <w:tc>
          <w:tcPr>
            <w:tcW w:w="243" w:type="pct"/>
          </w:tcPr>
          <w:p w:rsidR="00EC3EE4" w:rsidRPr="00EC3EE4" w:rsidRDefault="00EC3EE4" w:rsidP="00EC3EE4">
            <w:pPr>
              <w:jc w:val="both"/>
              <w:rPr>
                <w:rFonts w:eastAsiaTheme="minorHAnsi"/>
                <w:sz w:val="20"/>
                <w:lang w:val="en-CA"/>
              </w:rPr>
            </w:pPr>
          </w:p>
        </w:tc>
        <w:tc>
          <w:tcPr>
            <w:tcW w:w="2330" w:type="pct"/>
          </w:tcPr>
          <w:p w:rsidR="00EC3EE4" w:rsidRPr="00EC3EE4" w:rsidRDefault="00EC3EE4" w:rsidP="00EC3EE4">
            <w:pPr>
              <w:jc w:val="both"/>
              <w:rPr>
                <w:rFonts w:eastAsiaTheme="minorHAnsi"/>
                <w:sz w:val="20"/>
                <w:lang w:val="en-CA"/>
              </w:rPr>
            </w:pPr>
            <w:r w:rsidRPr="00EC3EE4">
              <w:rPr>
                <w:rFonts w:eastAsiaTheme="minorHAnsi"/>
                <w:sz w:val="20"/>
                <w:lang w:val="en-CA"/>
              </w:rPr>
              <w:t xml:space="preserve">Motion to extend time to serve and file application for leave to appeal and application for leave to appeal filed </w:t>
            </w:r>
          </w:p>
        </w:tc>
      </w:tr>
    </w:tbl>
    <w:p w:rsidR="00EC3EE4" w:rsidRPr="00EC3EE4" w:rsidRDefault="00EC3EE4" w:rsidP="00EC3EE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3EE4" w:rsidRPr="00EC3EE4" w:rsidTr="00E52530">
        <w:tc>
          <w:tcPr>
            <w:tcW w:w="543" w:type="pct"/>
          </w:tcPr>
          <w:p w:rsidR="00EC3EE4" w:rsidRPr="00EC3EE4" w:rsidRDefault="00EC3EE4" w:rsidP="00EC3EE4">
            <w:pPr>
              <w:jc w:val="both"/>
              <w:rPr>
                <w:rFonts w:eastAsiaTheme="minorHAnsi"/>
                <w:sz w:val="20"/>
                <w:lang w:val="fr-CA"/>
              </w:rPr>
            </w:pPr>
            <w:r w:rsidRPr="00E52530">
              <w:rPr>
                <w:rFonts w:eastAsiaTheme="minorHAnsi"/>
                <w:b/>
                <w:sz w:val="20"/>
                <w:lang w:val="fr-CA"/>
              </w:rPr>
              <w:t>36345</w:t>
            </w:r>
          </w:p>
        </w:tc>
        <w:tc>
          <w:tcPr>
            <w:tcW w:w="4457" w:type="pct"/>
            <w:gridSpan w:val="3"/>
          </w:tcPr>
          <w:p w:rsidR="00EC3EE4" w:rsidRPr="00EC3EE4" w:rsidRDefault="00EC3EE4" w:rsidP="00EC3EE4">
            <w:pPr>
              <w:jc w:val="both"/>
              <w:rPr>
                <w:rFonts w:eastAsiaTheme="minorHAnsi"/>
                <w:b/>
                <w:sz w:val="20"/>
                <w:lang w:val="fr-CA"/>
              </w:rPr>
            </w:pPr>
            <w:r w:rsidRPr="00EC3EE4">
              <w:rPr>
                <w:rFonts w:eastAsiaTheme="minorHAnsi"/>
                <w:b/>
                <w:sz w:val="20"/>
                <w:lang w:val="fr-CA"/>
              </w:rPr>
              <w:t xml:space="preserve">Jacques </w:t>
            </w:r>
            <w:proofErr w:type="spellStart"/>
            <w:r w:rsidRPr="00EC3EE4">
              <w:rPr>
                <w:rFonts w:eastAsiaTheme="minorHAnsi"/>
                <w:b/>
                <w:sz w:val="20"/>
                <w:lang w:val="fr-CA"/>
              </w:rPr>
              <w:t>Laperrière</w:t>
            </w:r>
            <w:proofErr w:type="spellEnd"/>
            <w:r w:rsidRPr="00EC3EE4">
              <w:rPr>
                <w:rFonts w:eastAsiaTheme="minorHAnsi"/>
                <w:b/>
                <w:sz w:val="20"/>
                <w:lang w:val="fr-CA"/>
              </w:rPr>
              <w:t xml:space="preserve"> c. Sa Majesté la Reine</w:t>
            </w:r>
          </w:p>
          <w:p w:rsidR="00EC3EE4" w:rsidRPr="00EC3EE4" w:rsidRDefault="00EC3EE4" w:rsidP="00EC3EE4">
            <w:pPr>
              <w:jc w:val="both"/>
              <w:rPr>
                <w:rFonts w:eastAsiaTheme="minorHAnsi"/>
                <w:sz w:val="20"/>
                <w:lang w:val="fr-CA"/>
              </w:rPr>
            </w:pPr>
            <w:r w:rsidRPr="00EC3EE4">
              <w:rPr>
                <w:rFonts w:eastAsiaTheme="minorHAnsi"/>
                <w:sz w:val="20"/>
                <w:lang w:val="fr-CA"/>
              </w:rPr>
              <w:t>(</w:t>
            </w:r>
            <w:proofErr w:type="spellStart"/>
            <w:r w:rsidRPr="00EC3EE4">
              <w:rPr>
                <w:rFonts w:eastAsiaTheme="minorHAnsi"/>
                <w:sz w:val="20"/>
                <w:lang w:val="fr-CA"/>
              </w:rPr>
              <w:t>Qc</w:t>
            </w:r>
            <w:proofErr w:type="spellEnd"/>
            <w:r w:rsidRPr="00EC3EE4">
              <w:rPr>
                <w:rFonts w:eastAsiaTheme="minorHAnsi"/>
                <w:sz w:val="20"/>
                <w:lang w:val="fr-CA"/>
              </w:rPr>
              <w:t>) (Criminelle) (Autorisation)</w:t>
            </w:r>
          </w:p>
        </w:tc>
      </w:tr>
      <w:tr w:rsidR="00EC3EE4" w:rsidRPr="001155B4" w:rsidTr="00E52530">
        <w:tc>
          <w:tcPr>
            <w:tcW w:w="5000" w:type="pct"/>
            <w:gridSpan w:val="4"/>
          </w:tcPr>
          <w:p w:rsidR="00EC3EE4" w:rsidRPr="00EC3EE4" w:rsidRDefault="00EC3EE4" w:rsidP="00EC3EE4">
            <w:pPr>
              <w:jc w:val="both"/>
              <w:rPr>
                <w:rFonts w:eastAsiaTheme="minorHAnsi"/>
                <w:sz w:val="20"/>
                <w:lang w:val="fr-CA"/>
              </w:rPr>
            </w:pPr>
            <w:r w:rsidRPr="00EC3EE4">
              <w:rPr>
                <w:rFonts w:eastAsiaTheme="minorHAnsi"/>
                <w:sz w:val="20"/>
                <w:lang w:val="fr-CA"/>
              </w:rPr>
              <w:t>Droit criminel — Exposé au jury — Cour d’appel a-t-elle erré en droit concluant que juge de procès n’avait pas commis d’erreur dans son exposé du jury?</w:t>
            </w:r>
          </w:p>
        </w:tc>
      </w:tr>
      <w:tr w:rsidR="00EC3EE4" w:rsidRPr="001155B4" w:rsidTr="00E52530">
        <w:tc>
          <w:tcPr>
            <w:tcW w:w="5000" w:type="pct"/>
            <w:gridSpan w:val="4"/>
          </w:tcPr>
          <w:p w:rsidR="00EC3EE4" w:rsidRPr="00EC3EE4" w:rsidRDefault="00EC3EE4" w:rsidP="00EC3EE4">
            <w:pPr>
              <w:jc w:val="both"/>
              <w:rPr>
                <w:rFonts w:eastAsiaTheme="minorHAnsi"/>
                <w:sz w:val="20"/>
                <w:lang w:val="fr-CA"/>
              </w:rPr>
            </w:pPr>
          </w:p>
        </w:tc>
      </w:tr>
      <w:tr w:rsidR="00EC3EE4" w:rsidRPr="001155B4" w:rsidTr="00E52530">
        <w:tc>
          <w:tcPr>
            <w:tcW w:w="5000" w:type="pct"/>
            <w:gridSpan w:val="4"/>
          </w:tcPr>
          <w:p w:rsidR="00EC3EE4" w:rsidRPr="00EC3EE4" w:rsidRDefault="00EC3EE4" w:rsidP="00EC3EE4">
            <w:pPr>
              <w:jc w:val="both"/>
              <w:rPr>
                <w:rFonts w:eastAsiaTheme="minorHAnsi"/>
                <w:sz w:val="20"/>
                <w:lang w:val="fr-CA"/>
              </w:rPr>
            </w:pPr>
            <w:r w:rsidRPr="00EC3EE4">
              <w:rPr>
                <w:rFonts w:eastAsiaTheme="minorHAnsi"/>
                <w:sz w:val="20"/>
                <w:lang w:val="fr-CA"/>
              </w:rPr>
              <w:t xml:space="preserve">Le demandeur, qui souffre de schizophrénie paranoïde, a été reconnu coupable de meurtre non prémédité dans le cadre d’un procès devant jury. Il a porté sa condamnation en appel alléguant que le juge avait, entre autres, commis une erreur dans ses directives aux jurés en définissant « troubles mentaux » relativement à la notion de la non-responsabilité criminelle et en refusant de soumettre au jury le moyen de défense de la provocation. </w:t>
            </w:r>
          </w:p>
          <w:p w:rsidR="00EC3EE4" w:rsidRPr="00EC3EE4" w:rsidRDefault="00EC3EE4" w:rsidP="00EC3EE4">
            <w:pPr>
              <w:jc w:val="both"/>
              <w:rPr>
                <w:rFonts w:eastAsiaTheme="minorHAnsi"/>
                <w:sz w:val="20"/>
                <w:lang w:val="fr-CA"/>
              </w:rPr>
            </w:pPr>
          </w:p>
        </w:tc>
      </w:tr>
      <w:tr w:rsidR="00EC3EE4" w:rsidRPr="001155B4" w:rsidTr="00E52530">
        <w:tc>
          <w:tcPr>
            <w:tcW w:w="2427" w:type="pct"/>
            <w:gridSpan w:val="2"/>
          </w:tcPr>
          <w:p w:rsidR="00EC3EE4" w:rsidRPr="00EC3EE4" w:rsidRDefault="00EC3EE4" w:rsidP="00EC3EE4">
            <w:pPr>
              <w:jc w:val="both"/>
              <w:rPr>
                <w:rFonts w:eastAsiaTheme="minorHAnsi"/>
                <w:sz w:val="20"/>
                <w:lang w:val="fr-CA"/>
              </w:rPr>
            </w:pPr>
            <w:r w:rsidRPr="00EC3EE4">
              <w:rPr>
                <w:rFonts w:eastAsiaTheme="minorHAnsi"/>
                <w:sz w:val="20"/>
                <w:lang w:val="fr-CA"/>
              </w:rPr>
              <w:t>Le 23 novembre 2012</w:t>
            </w:r>
          </w:p>
          <w:p w:rsidR="00EC3EE4" w:rsidRPr="00EC3EE4" w:rsidRDefault="00EC3EE4" w:rsidP="00EC3EE4">
            <w:pPr>
              <w:jc w:val="both"/>
              <w:rPr>
                <w:rFonts w:eastAsiaTheme="minorHAnsi"/>
                <w:sz w:val="20"/>
                <w:lang w:val="fr-CA"/>
              </w:rPr>
            </w:pPr>
            <w:r w:rsidRPr="00EC3EE4">
              <w:rPr>
                <w:rFonts w:eastAsiaTheme="minorHAnsi"/>
                <w:sz w:val="20"/>
                <w:lang w:val="fr-CA"/>
              </w:rPr>
              <w:t>Cour supérieure du Québec</w:t>
            </w:r>
          </w:p>
          <w:p w:rsidR="00EC3EE4" w:rsidRPr="00EC3EE4" w:rsidRDefault="00EC3EE4" w:rsidP="00EC3EE4">
            <w:pPr>
              <w:jc w:val="both"/>
              <w:rPr>
                <w:rFonts w:eastAsiaTheme="minorHAnsi"/>
                <w:sz w:val="20"/>
                <w:lang w:val="fr-CA"/>
              </w:rPr>
            </w:pPr>
            <w:r w:rsidRPr="00EC3EE4">
              <w:rPr>
                <w:rFonts w:eastAsiaTheme="minorHAnsi"/>
                <w:sz w:val="20"/>
                <w:lang w:val="fr-CA"/>
              </w:rPr>
              <w:t>(Le juge Levesque)</w:t>
            </w:r>
          </w:p>
          <w:p w:rsidR="00EC3EE4" w:rsidRPr="00EC3EE4" w:rsidRDefault="00EC3EE4" w:rsidP="00EC3EE4">
            <w:pPr>
              <w:jc w:val="both"/>
              <w:rPr>
                <w:rFonts w:eastAsiaTheme="minorHAnsi"/>
                <w:sz w:val="20"/>
                <w:lang w:val="fr-CA"/>
              </w:rPr>
            </w:pPr>
            <w:r w:rsidRPr="00EC3EE4">
              <w:rPr>
                <w:rFonts w:eastAsiaTheme="minorHAnsi"/>
                <w:sz w:val="20"/>
                <w:lang w:val="fr-CA"/>
              </w:rPr>
              <w:t>No. de dossier 400-01-056545-098</w:t>
            </w:r>
          </w:p>
          <w:p w:rsidR="00EC3EE4" w:rsidRPr="00EC3EE4" w:rsidRDefault="00EC3EE4" w:rsidP="00EC3EE4">
            <w:pPr>
              <w:jc w:val="both"/>
              <w:rPr>
                <w:rFonts w:eastAsiaTheme="minorHAnsi"/>
                <w:sz w:val="20"/>
                <w:lang w:val="fr-CA"/>
              </w:rPr>
            </w:pPr>
          </w:p>
        </w:tc>
        <w:tc>
          <w:tcPr>
            <w:tcW w:w="243" w:type="pct"/>
          </w:tcPr>
          <w:p w:rsidR="00EC3EE4" w:rsidRPr="00EC3EE4" w:rsidRDefault="00EC3EE4" w:rsidP="00EC3EE4">
            <w:pPr>
              <w:jc w:val="both"/>
              <w:rPr>
                <w:rFonts w:eastAsiaTheme="minorHAnsi"/>
                <w:sz w:val="20"/>
                <w:lang w:val="fr-CA"/>
              </w:rPr>
            </w:pPr>
          </w:p>
        </w:tc>
        <w:tc>
          <w:tcPr>
            <w:tcW w:w="2330" w:type="pct"/>
          </w:tcPr>
          <w:p w:rsidR="00EC3EE4" w:rsidRPr="00EC3EE4" w:rsidRDefault="00EC3EE4" w:rsidP="00EC3EE4">
            <w:pPr>
              <w:jc w:val="both"/>
              <w:rPr>
                <w:rFonts w:eastAsiaTheme="minorHAnsi"/>
                <w:sz w:val="20"/>
                <w:lang w:val="fr-CA"/>
              </w:rPr>
            </w:pPr>
            <w:r w:rsidRPr="00EC3EE4">
              <w:rPr>
                <w:rFonts w:eastAsiaTheme="minorHAnsi"/>
                <w:sz w:val="20"/>
                <w:lang w:val="fr-CA"/>
              </w:rPr>
              <w:t>Demandeur reconnu coupable de meurtre non prémédité, par jury</w:t>
            </w:r>
          </w:p>
        </w:tc>
      </w:tr>
      <w:tr w:rsidR="00EC3EE4" w:rsidRPr="00EC3EE4" w:rsidTr="00E52530">
        <w:tc>
          <w:tcPr>
            <w:tcW w:w="2427" w:type="pct"/>
            <w:gridSpan w:val="2"/>
          </w:tcPr>
          <w:p w:rsidR="00EC3EE4" w:rsidRPr="00EC3EE4" w:rsidRDefault="00EC3EE4" w:rsidP="00EC3EE4">
            <w:pPr>
              <w:jc w:val="both"/>
              <w:rPr>
                <w:rFonts w:eastAsiaTheme="minorHAnsi"/>
                <w:sz w:val="20"/>
                <w:lang w:val="fr-CA"/>
              </w:rPr>
            </w:pPr>
            <w:r w:rsidRPr="00EC3EE4">
              <w:rPr>
                <w:rFonts w:eastAsiaTheme="minorHAnsi"/>
                <w:sz w:val="20"/>
                <w:lang w:val="fr-CA"/>
              </w:rPr>
              <w:t>Le 6 juin 2014</w:t>
            </w:r>
          </w:p>
          <w:p w:rsidR="00EC3EE4" w:rsidRPr="00EC3EE4" w:rsidRDefault="00EC3EE4" w:rsidP="00EC3EE4">
            <w:pPr>
              <w:jc w:val="both"/>
              <w:rPr>
                <w:rFonts w:eastAsiaTheme="minorHAnsi"/>
                <w:sz w:val="20"/>
                <w:lang w:val="fr-CA"/>
              </w:rPr>
            </w:pPr>
            <w:r w:rsidRPr="00EC3EE4">
              <w:rPr>
                <w:rFonts w:eastAsiaTheme="minorHAnsi"/>
                <w:sz w:val="20"/>
                <w:lang w:val="fr-CA"/>
              </w:rPr>
              <w:t>Cour d’appel du Québec (Québec)</w:t>
            </w:r>
          </w:p>
          <w:p w:rsidR="00EC3EE4" w:rsidRPr="00EC3EE4" w:rsidRDefault="00EC3EE4" w:rsidP="00EC3EE4">
            <w:pPr>
              <w:jc w:val="both"/>
              <w:rPr>
                <w:rFonts w:eastAsiaTheme="minorHAnsi"/>
                <w:sz w:val="20"/>
                <w:lang w:val="fr-CA"/>
              </w:rPr>
            </w:pPr>
            <w:r w:rsidRPr="00EC3EE4">
              <w:rPr>
                <w:rFonts w:eastAsiaTheme="minorHAnsi"/>
                <w:sz w:val="20"/>
                <w:lang w:val="fr-CA"/>
              </w:rPr>
              <w:t>(Les juges Morin, Gagnon et Gagnon)</w:t>
            </w:r>
          </w:p>
          <w:p w:rsidR="00EC3EE4" w:rsidRPr="00EC3EE4" w:rsidRDefault="001155B4" w:rsidP="00EC3EE4">
            <w:pPr>
              <w:jc w:val="both"/>
              <w:rPr>
                <w:rFonts w:eastAsiaTheme="minorHAnsi"/>
                <w:sz w:val="20"/>
                <w:lang w:val="fr-CA"/>
              </w:rPr>
            </w:pPr>
            <w:hyperlink r:id="rId18" w:history="1">
              <w:r w:rsidR="00EC3EE4" w:rsidRPr="00E52530">
                <w:rPr>
                  <w:rFonts w:eastAsiaTheme="minorHAnsi"/>
                  <w:color w:val="0000FF" w:themeColor="hyperlink"/>
                  <w:sz w:val="20"/>
                  <w:u w:val="single"/>
                  <w:lang w:val="fr-CA"/>
                </w:rPr>
                <w:t>2014 QCCA 1159</w:t>
              </w:r>
            </w:hyperlink>
          </w:p>
          <w:p w:rsidR="00EC3EE4" w:rsidRPr="00EC3EE4" w:rsidRDefault="00EC3EE4" w:rsidP="00EC3EE4">
            <w:pPr>
              <w:jc w:val="both"/>
              <w:rPr>
                <w:rFonts w:eastAsiaTheme="minorHAnsi"/>
                <w:sz w:val="20"/>
                <w:lang w:val="fr-CA"/>
              </w:rPr>
            </w:pPr>
            <w:r w:rsidRPr="00EC3EE4">
              <w:rPr>
                <w:rFonts w:eastAsiaTheme="minorHAnsi"/>
                <w:sz w:val="20"/>
                <w:lang w:val="fr-CA"/>
              </w:rPr>
              <w:t>No. de dossier 200-10-002899-123</w:t>
            </w:r>
          </w:p>
          <w:p w:rsidR="00EC3EE4" w:rsidRPr="00EC3EE4" w:rsidRDefault="00EC3EE4" w:rsidP="00EC3EE4">
            <w:pPr>
              <w:jc w:val="both"/>
              <w:rPr>
                <w:rFonts w:eastAsiaTheme="minorHAnsi"/>
                <w:sz w:val="20"/>
              </w:rPr>
            </w:pPr>
          </w:p>
        </w:tc>
        <w:tc>
          <w:tcPr>
            <w:tcW w:w="243" w:type="pct"/>
          </w:tcPr>
          <w:p w:rsidR="00EC3EE4" w:rsidRPr="00EC3EE4" w:rsidRDefault="00EC3EE4" w:rsidP="00EC3EE4">
            <w:pPr>
              <w:jc w:val="both"/>
              <w:rPr>
                <w:rFonts w:eastAsiaTheme="minorHAnsi"/>
                <w:sz w:val="20"/>
              </w:rPr>
            </w:pPr>
          </w:p>
        </w:tc>
        <w:tc>
          <w:tcPr>
            <w:tcW w:w="2330" w:type="pct"/>
          </w:tcPr>
          <w:p w:rsidR="00EC3EE4" w:rsidRPr="00EC3EE4" w:rsidRDefault="00EC3EE4" w:rsidP="00EC3EE4">
            <w:pPr>
              <w:jc w:val="both"/>
              <w:rPr>
                <w:rFonts w:eastAsiaTheme="minorHAnsi"/>
                <w:sz w:val="20"/>
                <w:lang w:val="fr-CA"/>
              </w:rPr>
            </w:pPr>
            <w:r w:rsidRPr="00EC3EE4">
              <w:rPr>
                <w:rFonts w:eastAsiaTheme="minorHAnsi"/>
                <w:sz w:val="20"/>
                <w:lang w:val="fr-CA"/>
              </w:rPr>
              <w:t>Appel de condamnation rejeté</w:t>
            </w:r>
          </w:p>
          <w:p w:rsidR="00EC3EE4" w:rsidRPr="00EC3EE4" w:rsidRDefault="00EC3EE4" w:rsidP="00EC3EE4">
            <w:pPr>
              <w:jc w:val="both"/>
              <w:rPr>
                <w:rFonts w:eastAsiaTheme="minorHAnsi"/>
                <w:sz w:val="20"/>
                <w:lang w:val="fr-CA"/>
              </w:rPr>
            </w:pPr>
          </w:p>
        </w:tc>
      </w:tr>
      <w:tr w:rsidR="00EC3EE4" w:rsidRPr="001155B4" w:rsidTr="00E52530">
        <w:tc>
          <w:tcPr>
            <w:tcW w:w="2427" w:type="pct"/>
            <w:gridSpan w:val="2"/>
          </w:tcPr>
          <w:p w:rsidR="00EC3EE4" w:rsidRPr="00EC3EE4" w:rsidRDefault="00EC3EE4" w:rsidP="00EC3EE4">
            <w:pPr>
              <w:jc w:val="both"/>
              <w:rPr>
                <w:rFonts w:eastAsiaTheme="minorHAnsi"/>
                <w:sz w:val="20"/>
                <w:lang w:val="fr-CA"/>
              </w:rPr>
            </w:pPr>
            <w:r w:rsidRPr="00EC3EE4">
              <w:rPr>
                <w:rFonts w:eastAsiaTheme="minorHAnsi"/>
                <w:sz w:val="20"/>
                <w:lang w:val="fr-CA"/>
              </w:rPr>
              <w:t>Le 17 mars 2015</w:t>
            </w:r>
          </w:p>
          <w:p w:rsidR="00EC3EE4" w:rsidRPr="00EC3EE4" w:rsidRDefault="00EC3EE4" w:rsidP="00EC3EE4">
            <w:pPr>
              <w:jc w:val="both"/>
              <w:rPr>
                <w:rFonts w:eastAsiaTheme="minorHAnsi"/>
                <w:sz w:val="20"/>
                <w:lang w:val="fr-CA"/>
              </w:rPr>
            </w:pPr>
            <w:r w:rsidRPr="00EC3EE4">
              <w:rPr>
                <w:rFonts w:eastAsiaTheme="minorHAnsi"/>
                <w:sz w:val="20"/>
                <w:lang w:val="fr-CA"/>
              </w:rPr>
              <w:t>Cour suprême du Canada</w:t>
            </w:r>
          </w:p>
          <w:p w:rsidR="00EC3EE4" w:rsidRPr="00EC3EE4" w:rsidRDefault="00EC3EE4" w:rsidP="00EC3EE4">
            <w:pPr>
              <w:jc w:val="both"/>
              <w:rPr>
                <w:rFonts w:eastAsiaTheme="minorHAnsi"/>
                <w:sz w:val="20"/>
                <w:lang w:val="fr-CA"/>
              </w:rPr>
            </w:pPr>
          </w:p>
          <w:p w:rsidR="00EC3EE4" w:rsidRPr="00EC3EE4" w:rsidRDefault="00EC3EE4" w:rsidP="00EC3EE4">
            <w:pPr>
              <w:jc w:val="both"/>
              <w:rPr>
                <w:rFonts w:eastAsiaTheme="minorHAnsi"/>
                <w:sz w:val="20"/>
                <w:lang w:val="fr-CA"/>
              </w:rPr>
            </w:pPr>
          </w:p>
        </w:tc>
        <w:tc>
          <w:tcPr>
            <w:tcW w:w="243" w:type="pct"/>
          </w:tcPr>
          <w:p w:rsidR="00EC3EE4" w:rsidRPr="00EC3EE4" w:rsidRDefault="00EC3EE4" w:rsidP="00EC3EE4">
            <w:pPr>
              <w:jc w:val="both"/>
              <w:rPr>
                <w:rFonts w:eastAsiaTheme="minorHAnsi"/>
                <w:sz w:val="20"/>
                <w:lang w:val="fr-CA"/>
              </w:rPr>
            </w:pPr>
          </w:p>
        </w:tc>
        <w:tc>
          <w:tcPr>
            <w:tcW w:w="2330" w:type="pct"/>
          </w:tcPr>
          <w:p w:rsidR="00EC3EE4" w:rsidRPr="00EC3EE4" w:rsidRDefault="00EC3EE4" w:rsidP="00EC3EE4">
            <w:pPr>
              <w:jc w:val="both"/>
              <w:rPr>
                <w:rFonts w:eastAsiaTheme="minorHAnsi"/>
                <w:sz w:val="20"/>
                <w:lang w:val="fr-CA"/>
              </w:rPr>
            </w:pPr>
            <w:r w:rsidRPr="00EC3EE4">
              <w:rPr>
                <w:rFonts w:eastAsiaTheme="minorHAnsi"/>
                <w:sz w:val="20"/>
                <w:lang w:val="fr-CA"/>
              </w:rPr>
              <w:t xml:space="preserve">Requête en prorogation du délai pour signifier et déposer une demande d’autorisation d’appel et demande d'autorisation d'appel, déposées </w:t>
            </w:r>
          </w:p>
        </w:tc>
      </w:tr>
    </w:tbl>
    <w:p w:rsidR="00EC3EE4" w:rsidRPr="00EC3EE4" w:rsidRDefault="00EC3EE4" w:rsidP="00EC3EE4">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3EE4" w:rsidRPr="00EC3EE4" w:rsidTr="00E52530">
        <w:tc>
          <w:tcPr>
            <w:tcW w:w="543" w:type="pct"/>
          </w:tcPr>
          <w:p w:rsidR="00EC3EE4" w:rsidRPr="00EC3EE4" w:rsidRDefault="00EC3EE4" w:rsidP="00EC3EE4">
            <w:pPr>
              <w:jc w:val="both"/>
              <w:rPr>
                <w:rFonts w:eastAsiaTheme="minorHAnsi"/>
                <w:sz w:val="20"/>
                <w:lang w:val="en-CA"/>
              </w:rPr>
            </w:pPr>
            <w:r w:rsidRPr="00E52530">
              <w:rPr>
                <w:rFonts w:eastAsiaTheme="minorHAnsi"/>
                <w:b/>
                <w:sz w:val="20"/>
                <w:lang w:val="fr-CA"/>
              </w:rPr>
              <w:t>36290</w:t>
            </w:r>
          </w:p>
        </w:tc>
        <w:tc>
          <w:tcPr>
            <w:tcW w:w="4457" w:type="pct"/>
            <w:gridSpan w:val="3"/>
          </w:tcPr>
          <w:p w:rsidR="00EC3EE4" w:rsidRPr="00EC3EE4" w:rsidRDefault="00EC3EE4" w:rsidP="00EC3EE4">
            <w:pPr>
              <w:jc w:val="both"/>
              <w:rPr>
                <w:rFonts w:eastAsiaTheme="minorHAnsi"/>
                <w:b/>
                <w:sz w:val="20"/>
                <w:lang w:val="en-CA"/>
              </w:rPr>
            </w:pPr>
            <w:r w:rsidRPr="00EC3EE4">
              <w:rPr>
                <w:rFonts w:eastAsiaTheme="minorHAnsi"/>
                <w:b/>
                <w:sz w:val="20"/>
                <w:lang w:val="en-CA"/>
              </w:rPr>
              <w:t xml:space="preserve">Attorney General of Canada v. </w:t>
            </w:r>
            <w:proofErr w:type="spellStart"/>
            <w:r w:rsidRPr="00EC3EE4">
              <w:rPr>
                <w:rFonts w:eastAsiaTheme="minorHAnsi"/>
                <w:b/>
                <w:sz w:val="20"/>
                <w:lang w:val="en-CA"/>
              </w:rPr>
              <w:t>Barreau</w:t>
            </w:r>
            <w:proofErr w:type="spellEnd"/>
            <w:r w:rsidRPr="00EC3EE4">
              <w:rPr>
                <w:rFonts w:eastAsiaTheme="minorHAnsi"/>
                <w:b/>
                <w:sz w:val="20"/>
                <w:lang w:val="en-CA"/>
              </w:rPr>
              <w:t xml:space="preserve"> du Québec</w:t>
            </w:r>
          </w:p>
          <w:p w:rsidR="00EC3EE4" w:rsidRPr="00EC3EE4" w:rsidRDefault="00EC3EE4" w:rsidP="00EC3EE4">
            <w:pPr>
              <w:jc w:val="both"/>
              <w:rPr>
                <w:rFonts w:eastAsiaTheme="minorHAnsi"/>
                <w:b/>
                <w:sz w:val="20"/>
                <w:lang w:val="en-CA"/>
              </w:rPr>
            </w:pPr>
            <w:r w:rsidRPr="00EC3EE4">
              <w:rPr>
                <w:rFonts w:eastAsiaTheme="minorHAnsi"/>
                <w:b/>
                <w:sz w:val="20"/>
                <w:lang w:val="en-CA"/>
              </w:rPr>
              <w:t>- and -</w:t>
            </w:r>
          </w:p>
          <w:p w:rsidR="00EC3EE4" w:rsidRPr="00EC3EE4" w:rsidRDefault="00EC3EE4" w:rsidP="00EC3EE4">
            <w:pPr>
              <w:jc w:val="both"/>
              <w:rPr>
                <w:rFonts w:eastAsiaTheme="minorHAnsi"/>
                <w:b/>
                <w:sz w:val="20"/>
                <w:lang w:val="en-CA"/>
              </w:rPr>
            </w:pPr>
            <w:r w:rsidRPr="00EC3EE4">
              <w:rPr>
                <w:rFonts w:eastAsiaTheme="minorHAnsi"/>
                <w:b/>
                <w:sz w:val="20"/>
                <w:lang w:val="en-CA"/>
              </w:rPr>
              <w:t>Attorney General of Quebec</w:t>
            </w:r>
          </w:p>
          <w:p w:rsidR="00EC3EE4" w:rsidRPr="00EC3EE4" w:rsidRDefault="00EC3EE4" w:rsidP="00EC3EE4">
            <w:pPr>
              <w:jc w:val="both"/>
              <w:rPr>
                <w:rFonts w:eastAsiaTheme="minorHAnsi"/>
                <w:sz w:val="20"/>
                <w:lang w:val="en-CA"/>
              </w:rPr>
            </w:pPr>
            <w:r w:rsidRPr="00EC3EE4">
              <w:rPr>
                <w:rFonts w:eastAsiaTheme="minorHAnsi"/>
                <w:sz w:val="20"/>
                <w:lang w:val="en-CA"/>
              </w:rPr>
              <w:t>(Que.) (Civil) (By Leave)</w:t>
            </w:r>
          </w:p>
        </w:tc>
      </w:tr>
      <w:tr w:rsidR="00EC3EE4" w:rsidRPr="00EC3EE4" w:rsidTr="00E52530">
        <w:tc>
          <w:tcPr>
            <w:tcW w:w="5000" w:type="pct"/>
            <w:gridSpan w:val="4"/>
          </w:tcPr>
          <w:p w:rsidR="00EC3EE4" w:rsidRPr="00EC3EE4" w:rsidRDefault="00EC3EE4" w:rsidP="00EC3EE4">
            <w:pPr>
              <w:jc w:val="both"/>
              <w:rPr>
                <w:rFonts w:eastAsiaTheme="minorHAnsi"/>
                <w:sz w:val="20"/>
                <w:lang w:val="en-CA"/>
              </w:rPr>
            </w:pPr>
            <w:r w:rsidRPr="00EC3EE4">
              <w:rPr>
                <w:rFonts w:eastAsiaTheme="minorHAnsi"/>
                <w:sz w:val="20"/>
                <w:lang w:val="en-CA"/>
              </w:rPr>
              <w:t>Civil procedure – Parties – Standing – Public interest standing – Whether leave to appeal should be granted because of public importance of case itself, significant impact it may have on other cases and important issues it raises with respect to law on public interest standing.</w:t>
            </w:r>
          </w:p>
        </w:tc>
      </w:tr>
      <w:tr w:rsidR="00EC3EE4" w:rsidRPr="00EC3EE4" w:rsidTr="00E52530">
        <w:tc>
          <w:tcPr>
            <w:tcW w:w="5000" w:type="pct"/>
            <w:gridSpan w:val="4"/>
          </w:tcPr>
          <w:p w:rsidR="00EC3EE4" w:rsidRPr="00EC3EE4" w:rsidRDefault="00EC3EE4" w:rsidP="00EC3EE4">
            <w:pPr>
              <w:jc w:val="both"/>
              <w:rPr>
                <w:rFonts w:eastAsiaTheme="minorHAnsi"/>
                <w:sz w:val="20"/>
                <w:lang w:val="en-CA"/>
              </w:rPr>
            </w:pPr>
          </w:p>
        </w:tc>
      </w:tr>
      <w:tr w:rsidR="00EC3EE4" w:rsidRPr="00EC3EE4" w:rsidTr="00E52530">
        <w:tc>
          <w:tcPr>
            <w:tcW w:w="5000" w:type="pct"/>
            <w:gridSpan w:val="4"/>
          </w:tcPr>
          <w:p w:rsidR="00EC3EE4" w:rsidRPr="00EC3EE4" w:rsidRDefault="00EC3EE4" w:rsidP="00EC3EE4">
            <w:pPr>
              <w:jc w:val="both"/>
              <w:rPr>
                <w:rFonts w:eastAsiaTheme="minorHAnsi"/>
                <w:sz w:val="20"/>
                <w:lang w:val="en-CA"/>
              </w:rPr>
            </w:pPr>
            <w:r w:rsidRPr="00EC3EE4">
              <w:rPr>
                <w:rFonts w:eastAsiaTheme="minorHAnsi"/>
                <w:sz w:val="20"/>
                <w:lang w:val="en-CA"/>
              </w:rPr>
              <w:t xml:space="preserve">On November 23, 2012, through a motion for a declaratory judgment, the </w:t>
            </w:r>
            <w:proofErr w:type="spellStart"/>
            <w:r w:rsidRPr="00EC3EE4">
              <w:rPr>
                <w:rFonts w:eastAsiaTheme="minorHAnsi"/>
                <w:sz w:val="20"/>
                <w:lang w:val="en-CA"/>
              </w:rPr>
              <w:t>Barreau</w:t>
            </w:r>
            <w:proofErr w:type="spellEnd"/>
            <w:r w:rsidRPr="00EC3EE4">
              <w:rPr>
                <w:rFonts w:eastAsiaTheme="minorHAnsi"/>
                <w:sz w:val="20"/>
                <w:lang w:val="en-CA"/>
              </w:rPr>
              <w:t xml:space="preserve"> du Québec (the </w:t>
            </w:r>
            <w:proofErr w:type="spellStart"/>
            <w:r w:rsidRPr="00EC3EE4">
              <w:rPr>
                <w:rFonts w:eastAsiaTheme="minorHAnsi"/>
                <w:sz w:val="20"/>
                <w:lang w:val="en-CA"/>
              </w:rPr>
              <w:t>Barreau</w:t>
            </w:r>
            <w:proofErr w:type="spellEnd"/>
            <w:r w:rsidRPr="00EC3EE4">
              <w:rPr>
                <w:rFonts w:eastAsiaTheme="minorHAnsi"/>
                <w:sz w:val="20"/>
                <w:lang w:val="en-CA"/>
              </w:rPr>
              <w:t xml:space="preserve">) asked the Superior Court to determine the constitutionality of several provisions of the </w:t>
            </w:r>
            <w:r w:rsidRPr="00EC3EE4">
              <w:rPr>
                <w:rFonts w:eastAsiaTheme="minorHAnsi"/>
                <w:i/>
                <w:sz w:val="20"/>
                <w:lang w:val="en-CA"/>
              </w:rPr>
              <w:t>Safe Streets and Communities Act</w:t>
            </w:r>
            <w:r w:rsidRPr="00EC3EE4">
              <w:rPr>
                <w:rFonts w:eastAsiaTheme="minorHAnsi"/>
                <w:sz w:val="20"/>
                <w:lang w:val="en-CA"/>
              </w:rPr>
              <w:t xml:space="preserve">, S.C. 2012, c. 1, imposing minimum punishments of imprisonment in criminal cases.  The applicant, the Attorney General of Canada, moved to dismiss the </w:t>
            </w:r>
            <w:proofErr w:type="spellStart"/>
            <w:r w:rsidRPr="00EC3EE4">
              <w:rPr>
                <w:rFonts w:eastAsiaTheme="minorHAnsi"/>
                <w:sz w:val="20"/>
                <w:lang w:val="en-CA"/>
              </w:rPr>
              <w:t>Barreau’s</w:t>
            </w:r>
            <w:proofErr w:type="spellEnd"/>
            <w:r w:rsidRPr="00EC3EE4">
              <w:rPr>
                <w:rFonts w:eastAsiaTheme="minorHAnsi"/>
                <w:sz w:val="20"/>
                <w:lang w:val="en-CA"/>
              </w:rPr>
              <w:t xml:space="preserve"> motion on the ground that it did not have sufficient interest to bring those proceedings.</w:t>
            </w:r>
          </w:p>
          <w:p w:rsidR="00EC3EE4" w:rsidRPr="00EC3EE4" w:rsidRDefault="00EC3EE4" w:rsidP="00EC3EE4">
            <w:pPr>
              <w:jc w:val="both"/>
              <w:rPr>
                <w:rFonts w:eastAsiaTheme="minorHAnsi"/>
                <w:sz w:val="20"/>
                <w:lang w:val="en-CA"/>
              </w:rPr>
            </w:pPr>
          </w:p>
        </w:tc>
      </w:tr>
      <w:tr w:rsidR="00EC3EE4" w:rsidRPr="00EC3EE4" w:rsidTr="00E52530">
        <w:tc>
          <w:tcPr>
            <w:tcW w:w="2427" w:type="pct"/>
            <w:gridSpan w:val="2"/>
          </w:tcPr>
          <w:p w:rsidR="00EC3EE4" w:rsidRPr="00EC3EE4" w:rsidRDefault="00EC3EE4" w:rsidP="00EC3EE4">
            <w:pPr>
              <w:jc w:val="both"/>
              <w:rPr>
                <w:rFonts w:eastAsiaTheme="minorHAnsi"/>
                <w:sz w:val="20"/>
                <w:lang w:val="en-CA"/>
              </w:rPr>
            </w:pPr>
            <w:r w:rsidRPr="00EC3EE4">
              <w:rPr>
                <w:rFonts w:eastAsiaTheme="minorHAnsi"/>
                <w:sz w:val="20"/>
                <w:lang w:val="en-CA"/>
              </w:rPr>
              <w:lastRenderedPageBreak/>
              <w:t>May 1, 2014</w:t>
            </w:r>
          </w:p>
          <w:p w:rsidR="00EC3EE4" w:rsidRPr="00EC3EE4" w:rsidRDefault="00EC3EE4" w:rsidP="00EC3EE4">
            <w:pPr>
              <w:jc w:val="both"/>
              <w:rPr>
                <w:rFonts w:eastAsiaTheme="minorHAnsi"/>
                <w:sz w:val="20"/>
                <w:lang w:val="en-CA"/>
              </w:rPr>
            </w:pPr>
            <w:r w:rsidRPr="00EC3EE4">
              <w:rPr>
                <w:rFonts w:eastAsiaTheme="minorHAnsi"/>
                <w:sz w:val="20"/>
                <w:lang w:val="en-CA"/>
              </w:rPr>
              <w:t>Quebec Superior Court</w:t>
            </w:r>
          </w:p>
          <w:p w:rsidR="00EC3EE4" w:rsidRPr="00EC3EE4" w:rsidRDefault="00EC3EE4" w:rsidP="00EC3EE4">
            <w:pPr>
              <w:jc w:val="both"/>
              <w:rPr>
                <w:rFonts w:eastAsiaTheme="minorHAnsi"/>
                <w:sz w:val="20"/>
                <w:lang w:val="en-CA"/>
              </w:rPr>
            </w:pPr>
            <w:r w:rsidRPr="00EC3EE4">
              <w:rPr>
                <w:rFonts w:eastAsiaTheme="minorHAnsi"/>
                <w:sz w:val="20"/>
                <w:lang w:val="en-CA"/>
              </w:rPr>
              <w:t>(Roy J.)</w:t>
            </w:r>
          </w:p>
          <w:p w:rsidR="00EC3EE4" w:rsidRPr="00EC3EE4" w:rsidRDefault="00EC3EE4" w:rsidP="00EC3EE4">
            <w:pPr>
              <w:jc w:val="both"/>
              <w:rPr>
                <w:rFonts w:eastAsiaTheme="minorHAnsi"/>
                <w:sz w:val="20"/>
                <w:lang w:val="en-CA"/>
              </w:rPr>
            </w:pPr>
            <w:r w:rsidRPr="00EC3EE4">
              <w:rPr>
                <w:rFonts w:eastAsiaTheme="minorHAnsi"/>
                <w:sz w:val="20"/>
                <w:lang w:val="en-CA"/>
              </w:rPr>
              <w:t>No. 500-17-074826-127</w:t>
            </w:r>
          </w:p>
          <w:p w:rsidR="00EC3EE4" w:rsidRPr="00EC3EE4" w:rsidRDefault="001155B4" w:rsidP="00EC3EE4">
            <w:pPr>
              <w:jc w:val="both"/>
              <w:rPr>
                <w:rFonts w:eastAsiaTheme="minorHAnsi"/>
                <w:sz w:val="20"/>
                <w:lang w:val="en-CA"/>
              </w:rPr>
            </w:pPr>
            <w:hyperlink r:id="rId19" w:history="1">
              <w:r w:rsidR="00EC3EE4" w:rsidRPr="00E52530">
                <w:rPr>
                  <w:rFonts w:eastAsiaTheme="minorHAnsi"/>
                  <w:color w:val="0000FF" w:themeColor="hyperlink"/>
                  <w:sz w:val="20"/>
                  <w:u w:val="single"/>
                  <w:lang w:val="en-CA"/>
                </w:rPr>
                <w:t>2014 QCCS 1863</w:t>
              </w:r>
            </w:hyperlink>
          </w:p>
          <w:p w:rsidR="00EC3EE4" w:rsidRPr="00EC3EE4" w:rsidRDefault="00EC3EE4" w:rsidP="00EC3EE4">
            <w:pPr>
              <w:jc w:val="both"/>
              <w:rPr>
                <w:rFonts w:eastAsiaTheme="minorHAnsi"/>
                <w:sz w:val="20"/>
                <w:lang w:val="en-CA"/>
              </w:rPr>
            </w:pPr>
          </w:p>
        </w:tc>
        <w:tc>
          <w:tcPr>
            <w:tcW w:w="243" w:type="pct"/>
          </w:tcPr>
          <w:p w:rsidR="00EC3EE4" w:rsidRPr="00EC3EE4" w:rsidRDefault="00EC3EE4" w:rsidP="00EC3EE4">
            <w:pPr>
              <w:jc w:val="both"/>
              <w:rPr>
                <w:rFonts w:eastAsiaTheme="minorHAnsi"/>
                <w:sz w:val="20"/>
                <w:lang w:val="en-CA"/>
              </w:rPr>
            </w:pPr>
          </w:p>
        </w:tc>
        <w:tc>
          <w:tcPr>
            <w:tcW w:w="2330" w:type="pct"/>
          </w:tcPr>
          <w:p w:rsidR="00EC3EE4" w:rsidRPr="00EC3EE4" w:rsidRDefault="00EC3EE4" w:rsidP="00EC3EE4">
            <w:pPr>
              <w:jc w:val="both"/>
              <w:rPr>
                <w:rFonts w:eastAsiaTheme="minorHAnsi"/>
                <w:sz w:val="20"/>
                <w:lang w:val="en-CA"/>
              </w:rPr>
            </w:pPr>
            <w:r w:rsidRPr="00EC3EE4">
              <w:rPr>
                <w:rFonts w:eastAsiaTheme="minorHAnsi"/>
                <w:sz w:val="20"/>
                <w:lang w:val="en-CA"/>
              </w:rPr>
              <w:t>Applicant’s motion to dismiss dismissed</w:t>
            </w:r>
          </w:p>
          <w:p w:rsidR="00EC3EE4" w:rsidRPr="00EC3EE4" w:rsidRDefault="00EC3EE4" w:rsidP="00EC3EE4">
            <w:pPr>
              <w:jc w:val="both"/>
              <w:rPr>
                <w:rFonts w:eastAsiaTheme="minorHAnsi"/>
                <w:sz w:val="20"/>
                <w:lang w:val="en-CA"/>
              </w:rPr>
            </w:pPr>
          </w:p>
        </w:tc>
      </w:tr>
      <w:tr w:rsidR="00EC3EE4" w:rsidRPr="00EC3EE4" w:rsidTr="00E52530">
        <w:tc>
          <w:tcPr>
            <w:tcW w:w="2427" w:type="pct"/>
            <w:gridSpan w:val="2"/>
          </w:tcPr>
          <w:p w:rsidR="00EC3EE4" w:rsidRPr="00EC3EE4" w:rsidRDefault="00EC3EE4" w:rsidP="00EC3EE4">
            <w:pPr>
              <w:jc w:val="both"/>
              <w:rPr>
                <w:rFonts w:eastAsiaTheme="minorHAnsi"/>
                <w:sz w:val="20"/>
                <w:lang w:val="en-CA"/>
              </w:rPr>
            </w:pPr>
            <w:r w:rsidRPr="00EC3EE4">
              <w:rPr>
                <w:rFonts w:eastAsiaTheme="minorHAnsi"/>
                <w:sz w:val="20"/>
                <w:lang w:val="en-CA"/>
              </w:rPr>
              <w:t>December 4, 2014</w:t>
            </w:r>
          </w:p>
          <w:p w:rsidR="00EC3EE4" w:rsidRPr="00EC3EE4" w:rsidRDefault="00EC3EE4" w:rsidP="00EC3EE4">
            <w:pPr>
              <w:jc w:val="both"/>
              <w:rPr>
                <w:rFonts w:eastAsiaTheme="minorHAnsi"/>
                <w:sz w:val="20"/>
                <w:lang w:val="en-CA"/>
              </w:rPr>
            </w:pPr>
            <w:r w:rsidRPr="00EC3EE4">
              <w:rPr>
                <w:rFonts w:eastAsiaTheme="minorHAnsi"/>
                <w:sz w:val="20"/>
                <w:lang w:val="en-CA"/>
              </w:rPr>
              <w:t>Quebec Court of Appeal (Montréal)</w:t>
            </w:r>
          </w:p>
          <w:p w:rsidR="00EC3EE4" w:rsidRPr="00EC3EE4" w:rsidRDefault="00EC3EE4" w:rsidP="00EC3EE4">
            <w:pPr>
              <w:jc w:val="both"/>
              <w:rPr>
                <w:rFonts w:eastAsiaTheme="minorHAnsi"/>
                <w:sz w:val="20"/>
                <w:lang w:val="en-CA"/>
              </w:rPr>
            </w:pPr>
            <w:r w:rsidRPr="00EC3EE4">
              <w:rPr>
                <w:rFonts w:eastAsiaTheme="minorHAnsi"/>
                <w:sz w:val="20"/>
                <w:lang w:val="en-CA"/>
              </w:rPr>
              <w:t>(</w:t>
            </w:r>
            <w:proofErr w:type="spellStart"/>
            <w:r w:rsidRPr="00EC3EE4">
              <w:rPr>
                <w:rFonts w:eastAsiaTheme="minorHAnsi"/>
                <w:sz w:val="20"/>
                <w:lang w:val="en-CA"/>
              </w:rPr>
              <w:t>Vézina</w:t>
            </w:r>
            <w:proofErr w:type="spellEnd"/>
            <w:r w:rsidRPr="00EC3EE4">
              <w:rPr>
                <w:rFonts w:eastAsiaTheme="minorHAnsi"/>
                <w:sz w:val="20"/>
                <w:lang w:val="en-CA"/>
              </w:rPr>
              <w:t xml:space="preserve">, Savard and </w:t>
            </w:r>
            <w:proofErr w:type="spellStart"/>
            <w:r w:rsidRPr="00EC3EE4">
              <w:rPr>
                <w:rFonts w:eastAsiaTheme="minorHAnsi"/>
                <w:sz w:val="20"/>
                <w:lang w:val="en-CA"/>
              </w:rPr>
              <w:t>Vauclair</w:t>
            </w:r>
            <w:proofErr w:type="spellEnd"/>
            <w:r w:rsidRPr="00EC3EE4">
              <w:rPr>
                <w:rFonts w:eastAsiaTheme="minorHAnsi"/>
                <w:sz w:val="20"/>
                <w:lang w:val="en-CA"/>
              </w:rPr>
              <w:t xml:space="preserve"> JJ.A.)</w:t>
            </w:r>
          </w:p>
          <w:p w:rsidR="00EC3EE4" w:rsidRPr="00EC3EE4" w:rsidRDefault="00EC3EE4" w:rsidP="00EC3EE4">
            <w:pPr>
              <w:jc w:val="both"/>
              <w:rPr>
                <w:rFonts w:eastAsiaTheme="minorHAnsi"/>
                <w:sz w:val="20"/>
                <w:lang w:val="en-CA"/>
              </w:rPr>
            </w:pPr>
            <w:r w:rsidRPr="00EC3EE4">
              <w:rPr>
                <w:rFonts w:eastAsiaTheme="minorHAnsi"/>
                <w:sz w:val="20"/>
                <w:lang w:val="en-CA"/>
              </w:rPr>
              <w:t>No. 500-09-024462-145</w:t>
            </w:r>
          </w:p>
          <w:p w:rsidR="00EC3EE4" w:rsidRPr="00EC3EE4" w:rsidRDefault="001155B4" w:rsidP="00EC3EE4">
            <w:pPr>
              <w:jc w:val="both"/>
              <w:rPr>
                <w:rFonts w:eastAsiaTheme="minorHAnsi"/>
                <w:sz w:val="20"/>
                <w:lang w:val="en-CA"/>
              </w:rPr>
            </w:pPr>
            <w:hyperlink r:id="rId20" w:history="1">
              <w:r w:rsidR="00EC3EE4" w:rsidRPr="00E52530">
                <w:rPr>
                  <w:rFonts w:eastAsiaTheme="minorHAnsi"/>
                  <w:color w:val="0000FF" w:themeColor="hyperlink"/>
                  <w:sz w:val="20"/>
                  <w:u w:val="single"/>
                  <w:lang w:val="en-CA"/>
                </w:rPr>
                <w:t>2014 QCCA 2234</w:t>
              </w:r>
            </w:hyperlink>
          </w:p>
          <w:p w:rsidR="00EC3EE4" w:rsidRPr="00EC3EE4" w:rsidRDefault="00EC3EE4" w:rsidP="00EC3EE4">
            <w:pPr>
              <w:jc w:val="both"/>
              <w:rPr>
                <w:rFonts w:eastAsiaTheme="minorHAnsi"/>
                <w:sz w:val="20"/>
                <w:lang w:val="en-CA"/>
              </w:rPr>
            </w:pPr>
          </w:p>
        </w:tc>
        <w:tc>
          <w:tcPr>
            <w:tcW w:w="243" w:type="pct"/>
          </w:tcPr>
          <w:p w:rsidR="00EC3EE4" w:rsidRPr="00EC3EE4" w:rsidRDefault="00EC3EE4" w:rsidP="00EC3EE4">
            <w:pPr>
              <w:jc w:val="both"/>
              <w:rPr>
                <w:rFonts w:eastAsiaTheme="minorHAnsi"/>
                <w:sz w:val="20"/>
                <w:lang w:val="en-CA"/>
              </w:rPr>
            </w:pPr>
          </w:p>
        </w:tc>
        <w:tc>
          <w:tcPr>
            <w:tcW w:w="2330" w:type="pct"/>
          </w:tcPr>
          <w:p w:rsidR="00EC3EE4" w:rsidRPr="00EC3EE4" w:rsidRDefault="00EC3EE4" w:rsidP="00EC3EE4">
            <w:pPr>
              <w:jc w:val="both"/>
              <w:rPr>
                <w:rFonts w:eastAsiaTheme="minorHAnsi"/>
                <w:sz w:val="20"/>
                <w:lang w:val="en-CA"/>
              </w:rPr>
            </w:pPr>
            <w:r w:rsidRPr="00EC3EE4">
              <w:rPr>
                <w:rFonts w:eastAsiaTheme="minorHAnsi"/>
                <w:sz w:val="20"/>
                <w:lang w:val="en-CA"/>
              </w:rPr>
              <w:t>Appeal dismissed</w:t>
            </w:r>
          </w:p>
          <w:p w:rsidR="00EC3EE4" w:rsidRPr="00EC3EE4" w:rsidRDefault="00EC3EE4" w:rsidP="00EC3EE4">
            <w:pPr>
              <w:jc w:val="both"/>
              <w:rPr>
                <w:rFonts w:eastAsiaTheme="minorHAnsi"/>
                <w:sz w:val="20"/>
                <w:lang w:val="en-CA"/>
              </w:rPr>
            </w:pPr>
          </w:p>
        </w:tc>
      </w:tr>
      <w:tr w:rsidR="00EC3EE4" w:rsidRPr="00EC3EE4" w:rsidTr="00E52530">
        <w:tc>
          <w:tcPr>
            <w:tcW w:w="2427" w:type="pct"/>
            <w:gridSpan w:val="2"/>
          </w:tcPr>
          <w:p w:rsidR="00EC3EE4" w:rsidRPr="00EC3EE4" w:rsidRDefault="00EC3EE4" w:rsidP="00EC3EE4">
            <w:pPr>
              <w:jc w:val="both"/>
              <w:rPr>
                <w:rFonts w:eastAsiaTheme="minorHAnsi"/>
                <w:sz w:val="20"/>
                <w:lang w:val="en-CA"/>
              </w:rPr>
            </w:pPr>
            <w:r w:rsidRPr="00EC3EE4">
              <w:rPr>
                <w:rFonts w:eastAsiaTheme="minorHAnsi"/>
                <w:sz w:val="20"/>
                <w:lang w:val="en-CA"/>
              </w:rPr>
              <w:t>February 2, 2015</w:t>
            </w:r>
          </w:p>
          <w:p w:rsidR="00EC3EE4" w:rsidRPr="00EC3EE4" w:rsidRDefault="00EC3EE4" w:rsidP="00EC3EE4">
            <w:pPr>
              <w:jc w:val="both"/>
              <w:rPr>
                <w:rFonts w:eastAsiaTheme="minorHAnsi"/>
                <w:sz w:val="20"/>
                <w:lang w:val="en-CA"/>
              </w:rPr>
            </w:pPr>
            <w:r w:rsidRPr="00EC3EE4">
              <w:rPr>
                <w:rFonts w:eastAsiaTheme="minorHAnsi"/>
                <w:sz w:val="20"/>
                <w:lang w:val="en-CA"/>
              </w:rPr>
              <w:t>Supreme Court of Canada</w:t>
            </w:r>
          </w:p>
          <w:p w:rsidR="00EC3EE4" w:rsidRPr="00EC3EE4" w:rsidRDefault="00EC3EE4" w:rsidP="00EC3EE4">
            <w:pPr>
              <w:jc w:val="both"/>
              <w:rPr>
                <w:rFonts w:eastAsiaTheme="minorHAnsi"/>
                <w:sz w:val="20"/>
                <w:lang w:val="en-CA"/>
              </w:rPr>
            </w:pPr>
          </w:p>
        </w:tc>
        <w:tc>
          <w:tcPr>
            <w:tcW w:w="243" w:type="pct"/>
          </w:tcPr>
          <w:p w:rsidR="00EC3EE4" w:rsidRPr="00EC3EE4" w:rsidRDefault="00EC3EE4" w:rsidP="00EC3EE4">
            <w:pPr>
              <w:jc w:val="both"/>
              <w:rPr>
                <w:rFonts w:eastAsiaTheme="minorHAnsi"/>
                <w:sz w:val="20"/>
                <w:lang w:val="en-CA"/>
              </w:rPr>
            </w:pPr>
          </w:p>
        </w:tc>
        <w:tc>
          <w:tcPr>
            <w:tcW w:w="2330" w:type="pct"/>
          </w:tcPr>
          <w:p w:rsidR="00EC3EE4" w:rsidRPr="00EC3EE4" w:rsidRDefault="00EC3EE4" w:rsidP="00EC3EE4">
            <w:pPr>
              <w:jc w:val="both"/>
              <w:rPr>
                <w:rFonts w:eastAsiaTheme="minorHAnsi"/>
                <w:sz w:val="20"/>
                <w:lang w:val="en-CA"/>
              </w:rPr>
            </w:pPr>
            <w:r w:rsidRPr="00EC3EE4">
              <w:rPr>
                <w:rFonts w:eastAsiaTheme="minorHAnsi"/>
                <w:sz w:val="20"/>
                <w:lang w:val="en-CA"/>
              </w:rPr>
              <w:t>Application for leave to appeal filed</w:t>
            </w:r>
          </w:p>
        </w:tc>
      </w:tr>
    </w:tbl>
    <w:p w:rsidR="00EC3EE4" w:rsidRPr="00EC3EE4" w:rsidRDefault="00EC3EE4" w:rsidP="00EC3EE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3EE4" w:rsidRPr="001155B4" w:rsidTr="00E52530">
        <w:tc>
          <w:tcPr>
            <w:tcW w:w="543" w:type="pct"/>
          </w:tcPr>
          <w:p w:rsidR="00EC3EE4" w:rsidRPr="00EC3EE4" w:rsidRDefault="00EC3EE4" w:rsidP="00EC3EE4">
            <w:pPr>
              <w:jc w:val="both"/>
              <w:rPr>
                <w:rFonts w:eastAsiaTheme="minorHAnsi"/>
                <w:sz w:val="20"/>
                <w:lang w:val="fr-CA"/>
              </w:rPr>
            </w:pPr>
            <w:r w:rsidRPr="00E52530">
              <w:rPr>
                <w:rFonts w:eastAsiaTheme="minorHAnsi"/>
                <w:b/>
                <w:sz w:val="20"/>
                <w:lang w:val="fr-CA"/>
              </w:rPr>
              <w:t>36290</w:t>
            </w:r>
          </w:p>
        </w:tc>
        <w:tc>
          <w:tcPr>
            <w:tcW w:w="4457" w:type="pct"/>
            <w:gridSpan w:val="3"/>
          </w:tcPr>
          <w:p w:rsidR="00EC3EE4" w:rsidRPr="00EC3EE4" w:rsidRDefault="00EC3EE4" w:rsidP="00EC3EE4">
            <w:pPr>
              <w:jc w:val="both"/>
              <w:rPr>
                <w:rFonts w:eastAsiaTheme="minorHAnsi"/>
                <w:b/>
                <w:sz w:val="20"/>
                <w:lang w:val="fr-CA"/>
              </w:rPr>
            </w:pPr>
            <w:r w:rsidRPr="00EC3EE4">
              <w:rPr>
                <w:rFonts w:eastAsiaTheme="minorHAnsi"/>
                <w:b/>
                <w:sz w:val="20"/>
                <w:lang w:val="fr-CA"/>
              </w:rPr>
              <w:t>Procureur général du Canada c. Barreau du Québec</w:t>
            </w:r>
          </w:p>
          <w:p w:rsidR="00EC3EE4" w:rsidRPr="00EC3EE4" w:rsidRDefault="00EC3EE4" w:rsidP="00EC3EE4">
            <w:pPr>
              <w:jc w:val="both"/>
              <w:rPr>
                <w:rFonts w:eastAsiaTheme="minorHAnsi"/>
                <w:b/>
                <w:sz w:val="20"/>
                <w:lang w:val="fr-CA"/>
              </w:rPr>
            </w:pPr>
            <w:r w:rsidRPr="00EC3EE4">
              <w:rPr>
                <w:rFonts w:eastAsiaTheme="minorHAnsi"/>
                <w:b/>
                <w:sz w:val="20"/>
                <w:lang w:val="fr-CA"/>
              </w:rPr>
              <w:t>- et -</w:t>
            </w:r>
          </w:p>
          <w:p w:rsidR="00EC3EE4" w:rsidRPr="00EC3EE4" w:rsidRDefault="00EC3EE4" w:rsidP="00EC3EE4">
            <w:pPr>
              <w:jc w:val="both"/>
              <w:rPr>
                <w:rFonts w:eastAsiaTheme="minorHAnsi"/>
                <w:b/>
                <w:sz w:val="20"/>
                <w:lang w:val="fr-CA"/>
              </w:rPr>
            </w:pPr>
            <w:r w:rsidRPr="00EC3EE4">
              <w:rPr>
                <w:rFonts w:eastAsiaTheme="minorHAnsi"/>
                <w:b/>
                <w:sz w:val="20"/>
                <w:lang w:val="fr-CA"/>
              </w:rPr>
              <w:t>Procureure générale du Québec</w:t>
            </w:r>
          </w:p>
          <w:p w:rsidR="00EC3EE4" w:rsidRPr="00EC3EE4" w:rsidRDefault="00EC3EE4" w:rsidP="00EC3EE4">
            <w:pPr>
              <w:jc w:val="both"/>
              <w:rPr>
                <w:rFonts w:eastAsiaTheme="minorHAnsi"/>
                <w:sz w:val="20"/>
                <w:lang w:val="fr-CA"/>
              </w:rPr>
            </w:pPr>
            <w:r w:rsidRPr="00EC3EE4">
              <w:rPr>
                <w:rFonts w:eastAsiaTheme="minorHAnsi"/>
                <w:sz w:val="20"/>
                <w:lang w:val="fr-CA"/>
              </w:rPr>
              <w:t>(</w:t>
            </w:r>
            <w:proofErr w:type="spellStart"/>
            <w:r w:rsidRPr="00EC3EE4">
              <w:rPr>
                <w:rFonts w:eastAsiaTheme="minorHAnsi"/>
                <w:sz w:val="20"/>
                <w:lang w:val="fr-CA"/>
              </w:rPr>
              <w:t>Qc</w:t>
            </w:r>
            <w:proofErr w:type="spellEnd"/>
            <w:r w:rsidRPr="00EC3EE4">
              <w:rPr>
                <w:rFonts w:eastAsiaTheme="minorHAnsi"/>
                <w:sz w:val="20"/>
                <w:lang w:val="fr-CA"/>
              </w:rPr>
              <w:t>) (Civile) (Autorisation)</w:t>
            </w:r>
          </w:p>
        </w:tc>
      </w:tr>
      <w:tr w:rsidR="00EC3EE4" w:rsidRPr="001155B4" w:rsidTr="00E52530">
        <w:tc>
          <w:tcPr>
            <w:tcW w:w="5000" w:type="pct"/>
            <w:gridSpan w:val="4"/>
          </w:tcPr>
          <w:p w:rsidR="00EC3EE4" w:rsidRPr="00EC3EE4" w:rsidRDefault="00EC3EE4" w:rsidP="00EC3EE4">
            <w:pPr>
              <w:jc w:val="both"/>
              <w:rPr>
                <w:rFonts w:eastAsiaTheme="minorHAnsi"/>
                <w:sz w:val="20"/>
                <w:lang w:val="fr-CA"/>
              </w:rPr>
            </w:pPr>
            <w:r w:rsidRPr="00EC3EE4">
              <w:rPr>
                <w:rFonts w:eastAsiaTheme="minorHAnsi"/>
                <w:sz w:val="20"/>
                <w:lang w:val="fr-CA"/>
              </w:rPr>
              <w:t>Procédure civile – Parties – Qualité pour agir – Qualité pour agir dans l’intérêt public – Y a-t-il lieu d’accorder l’autorisation d’appel en raison de l’importance de l’affaire elle-même pour le public, des importants effets qu'elle peut avoir dans d'autres litiges, et des importantes questions qu’elle soulève concernant le droit relatif à la qualité pour agir dans l'intérêt public?</w:t>
            </w:r>
          </w:p>
        </w:tc>
      </w:tr>
      <w:tr w:rsidR="00EC3EE4" w:rsidRPr="001155B4" w:rsidTr="00E52530">
        <w:tc>
          <w:tcPr>
            <w:tcW w:w="5000" w:type="pct"/>
            <w:gridSpan w:val="4"/>
          </w:tcPr>
          <w:p w:rsidR="00EC3EE4" w:rsidRPr="00EC3EE4" w:rsidRDefault="00EC3EE4" w:rsidP="00EC3EE4">
            <w:pPr>
              <w:jc w:val="both"/>
              <w:rPr>
                <w:rFonts w:eastAsiaTheme="minorHAnsi"/>
                <w:sz w:val="20"/>
                <w:lang w:val="fr-CA"/>
              </w:rPr>
            </w:pPr>
          </w:p>
        </w:tc>
      </w:tr>
      <w:tr w:rsidR="00EC3EE4" w:rsidRPr="001155B4" w:rsidTr="00E52530">
        <w:tc>
          <w:tcPr>
            <w:tcW w:w="5000" w:type="pct"/>
            <w:gridSpan w:val="4"/>
          </w:tcPr>
          <w:p w:rsidR="00EC3EE4" w:rsidRPr="00EC3EE4" w:rsidRDefault="00EC3EE4" w:rsidP="00EC3EE4">
            <w:pPr>
              <w:jc w:val="both"/>
              <w:rPr>
                <w:rFonts w:eastAsiaTheme="minorHAnsi"/>
                <w:sz w:val="20"/>
                <w:lang w:val="fr-CA"/>
              </w:rPr>
            </w:pPr>
            <w:r w:rsidRPr="00EC3EE4">
              <w:rPr>
                <w:rFonts w:eastAsiaTheme="minorHAnsi"/>
                <w:sz w:val="20"/>
                <w:lang w:val="fr-CA"/>
              </w:rPr>
              <w:t xml:space="preserve">Le 23 novembre 2012, par le biais d’une requête pour jugement déclaratoire, le Barreau du Québec (le Barreau) a demandé à la Cour supérieure de statuer sur la constitutionnalité de plusieurs dispositions de la </w:t>
            </w:r>
            <w:r w:rsidRPr="00EC3EE4">
              <w:rPr>
                <w:rFonts w:eastAsiaTheme="minorHAnsi"/>
                <w:i/>
                <w:sz w:val="20"/>
                <w:lang w:val="fr-CA"/>
              </w:rPr>
              <w:t>Loi sur la sécurité des rues et des communautés</w:t>
            </w:r>
            <w:r w:rsidRPr="00EC3EE4">
              <w:rPr>
                <w:rFonts w:eastAsiaTheme="minorHAnsi"/>
                <w:sz w:val="20"/>
                <w:lang w:val="fr-CA"/>
              </w:rPr>
              <w:t>, L.C. 2012, c. 1, lesquelles imposent des peines minimales d’emprisonnement en matière criminelle.  Le demandeur, à savoir le Procureur général du Canada, conteste la recevabilité de la requête du Barreau au motif que ce dernier n’a pas l’intérêt suffisant pour entreprendre ce recours.</w:t>
            </w:r>
          </w:p>
          <w:p w:rsidR="00EC3EE4" w:rsidRPr="00EC3EE4" w:rsidRDefault="00EC3EE4" w:rsidP="00EC3EE4">
            <w:pPr>
              <w:jc w:val="both"/>
              <w:rPr>
                <w:rFonts w:eastAsiaTheme="minorHAnsi"/>
                <w:sz w:val="20"/>
                <w:lang w:val="fr-CA"/>
              </w:rPr>
            </w:pPr>
          </w:p>
        </w:tc>
      </w:tr>
      <w:tr w:rsidR="00EC3EE4" w:rsidRPr="001155B4" w:rsidTr="00E52530">
        <w:tc>
          <w:tcPr>
            <w:tcW w:w="2427" w:type="pct"/>
            <w:gridSpan w:val="2"/>
          </w:tcPr>
          <w:p w:rsidR="00EC3EE4" w:rsidRPr="00EC3EE4" w:rsidRDefault="00EC3EE4" w:rsidP="00EC3EE4">
            <w:pPr>
              <w:jc w:val="both"/>
              <w:rPr>
                <w:rFonts w:eastAsiaTheme="minorHAnsi"/>
                <w:sz w:val="20"/>
                <w:lang w:val="fr-CA"/>
              </w:rPr>
            </w:pPr>
            <w:r w:rsidRPr="00EC3EE4">
              <w:rPr>
                <w:rFonts w:eastAsiaTheme="minorHAnsi"/>
                <w:sz w:val="20"/>
                <w:lang w:val="fr-CA"/>
              </w:rPr>
              <w:t>Le 1 mai 2014</w:t>
            </w:r>
          </w:p>
          <w:p w:rsidR="00EC3EE4" w:rsidRPr="00EC3EE4" w:rsidRDefault="00EC3EE4" w:rsidP="00EC3EE4">
            <w:pPr>
              <w:jc w:val="both"/>
              <w:rPr>
                <w:rFonts w:eastAsiaTheme="minorHAnsi"/>
                <w:sz w:val="20"/>
                <w:lang w:val="fr-CA"/>
              </w:rPr>
            </w:pPr>
            <w:r w:rsidRPr="00EC3EE4">
              <w:rPr>
                <w:rFonts w:eastAsiaTheme="minorHAnsi"/>
                <w:sz w:val="20"/>
                <w:lang w:val="fr-CA"/>
              </w:rPr>
              <w:t>Cour supérieure du Québec</w:t>
            </w:r>
          </w:p>
          <w:p w:rsidR="00EC3EE4" w:rsidRPr="00EC3EE4" w:rsidRDefault="00EC3EE4" w:rsidP="00EC3EE4">
            <w:pPr>
              <w:jc w:val="both"/>
              <w:rPr>
                <w:rFonts w:eastAsiaTheme="minorHAnsi"/>
                <w:sz w:val="20"/>
                <w:lang w:val="fr-CA"/>
              </w:rPr>
            </w:pPr>
            <w:r w:rsidRPr="00EC3EE4">
              <w:rPr>
                <w:rFonts w:eastAsiaTheme="minorHAnsi"/>
                <w:sz w:val="20"/>
                <w:lang w:val="fr-CA"/>
              </w:rPr>
              <w:t>(Le juge Roy)</w:t>
            </w:r>
          </w:p>
          <w:p w:rsidR="00EC3EE4" w:rsidRPr="00EC3EE4" w:rsidRDefault="00EC3EE4" w:rsidP="00EC3EE4">
            <w:pPr>
              <w:jc w:val="both"/>
              <w:rPr>
                <w:rFonts w:eastAsiaTheme="minorHAnsi"/>
                <w:sz w:val="20"/>
                <w:lang w:val="fr-CA"/>
              </w:rPr>
            </w:pPr>
            <w:r w:rsidRPr="00EC3EE4">
              <w:rPr>
                <w:rFonts w:eastAsiaTheme="minorHAnsi"/>
                <w:sz w:val="20"/>
                <w:lang w:val="fr-CA"/>
              </w:rPr>
              <w:t>No. 500-17-074826-127</w:t>
            </w:r>
          </w:p>
          <w:p w:rsidR="00EC3EE4" w:rsidRPr="00EC3EE4" w:rsidRDefault="001155B4" w:rsidP="00EC3EE4">
            <w:pPr>
              <w:jc w:val="both"/>
              <w:rPr>
                <w:rFonts w:eastAsiaTheme="minorHAnsi"/>
                <w:sz w:val="20"/>
                <w:lang w:val="fr-CA"/>
              </w:rPr>
            </w:pPr>
            <w:hyperlink r:id="rId21" w:history="1">
              <w:r w:rsidR="00EC3EE4" w:rsidRPr="00E52530">
                <w:rPr>
                  <w:rFonts w:eastAsiaTheme="minorHAnsi"/>
                  <w:color w:val="0000FF" w:themeColor="hyperlink"/>
                  <w:sz w:val="20"/>
                  <w:u w:val="single"/>
                  <w:lang w:val="fr-CA"/>
                </w:rPr>
                <w:t>2014 QCCS 1863</w:t>
              </w:r>
            </w:hyperlink>
          </w:p>
          <w:p w:rsidR="00EC3EE4" w:rsidRPr="00EC3EE4" w:rsidRDefault="00EC3EE4" w:rsidP="00EC3EE4">
            <w:pPr>
              <w:jc w:val="both"/>
              <w:rPr>
                <w:rFonts w:eastAsiaTheme="minorHAnsi"/>
                <w:sz w:val="20"/>
                <w:lang w:val="fr-CA"/>
              </w:rPr>
            </w:pPr>
          </w:p>
        </w:tc>
        <w:tc>
          <w:tcPr>
            <w:tcW w:w="243" w:type="pct"/>
          </w:tcPr>
          <w:p w:rsidR="00EC3EE4" w:rsidRPr="00EC3EE4" w:rsidRDefault="00EC3EE4" w:rsidP="00EC3EE4">
            <w:pPr>
              <w:jc w:val="both"/>
              <w:rPr>
                <w:rFonts w:eastAsiaTheme="minorHAnsi"/>
                <w:sz w:val="20"/>
                <w:lang w:val="fr-CA"/>
              </w:rPr>
            </w:pPr>
          </w:p>
        </w:tc>
        <w:tc>
          <w:tcPr>
            <w:tcW w:w="2330" w:type="pct"/>
          </w:tcPr>
          <w:p w:rsidR="00EC3EE4" w:rsidRPr="00EC3EE4" w:rsidRDefault="00EC3EE4" w:rsidP="00EC3EE4">
            <w:pPr>
              <w:jc w:val="both"/>
              <w:rPr>
                <w:rFonts w:eastAsiaTheme="minorHAnsi"/>
                <w:sz w:val="20"/>
                <w:lang w:val="fr-CA"/>
              </w:rPr>
            </w:pPr>
            <w:r w:rsidRPr="00EC3EE4">
              <w:rPr>
                <w:rFonts w:eastAsiaTheme="minorHAnsi"/>
                <w:sz w:val="20"/>
                <w:lang w:val="fr-CA"/>
              </w:rPr>
              <w:t>Requête en irrecevabilité du demandeur rejetée.</w:t>
            </w:r>
          </w:p>
          <w:p w:rsidR="00EC3EE4" w:rsidRPr="00EC3EE4" w:rsidRDefault="00EC3EE4" w:rsidP="00EC3EE4">
            <w:pPr>
              <w:jc w:val="both"/>
              <w:rPr>
                <w:rFonts w:eastAsiaTheme="minorHAnsi"/>
                <w:sz w:val="20"/>
                <w:lang w:val="fr-CA"/>
              </w:rPr>
            </w:pPr>
          </w:p>
        </w:tc>
      </w:tr>
      <w:tr w:rsidR="00EC3EE4" w:rsidRPr="00EC3EE4" w:rsidTr="00E52530">
        <w:tc>
          <w:tcPr>
            <w:tcW w:w="2427" w:type="pct"/>
            <w:gridSpan w:val="2"/>
          </w:tcPr>
          <w:p w:rsidR="00EC3EE4" w:rsidRPr="00EC3EE4" w:rsidRDefault="00EC3EE4" w:rsidP="00EC3EE4">
            <w:pPr>
              <w:jc w:val="both"/>
              <w:rPr>
                <w:rFonts w:eastAsiaTheme="minorHAnsi"/>
                <w:sz w:val="20"/>
                <w:lang w:val="fr-CA"/>
              </w:rPr>
            </w:pPr>
            <w:r w:rsidRPr="00EC3EE4">
              <w:rPr>
                <w:rFonts w:eastAsiaTheme="minorHAnsi"/>
                <w:sz w:val="20"/>
                <w:lang w:val="fr-CA"/>
              </w:rPr>
              <w:t>Le 4 décembre 2014</w:t>
            </w:r>
          </w:p>
          <w:p w:rsidR="00EC3EE4" w:rsidRPr="00EC3EE4" w:rsidRDefault="00EC3EE4" w:rsidP="00EC3EE4">
            <w:pPr>
              <w:jc w:val="both"/>
              <w:rPr>
                <w:rFonts w:eastAsiaTheme="minorHAnsi"/>
                <w:sz w:val="20"/>
                <w:lang w:val="fr-CA"/>
              </w:rPr>
            </w:pPr>
            <w:r w:rsidRPr="00EC3EE4">
              <w:rPr>
                <w:rFonts w:eastAsiaTheme="minorHAnsi"/>
                <w:sz w:val="20"/>
                <w:lang w:val="fr-CA"/>
              </w:rPr>
              <w:lastRenderedPageBreak/>
              <w:t>Cour d’appel du Québec (Montréal)</w:t>
            </w:r>
          </w:p>
          <w:p w:rsidR="00EC3EE4" w:rsidRPr="00EC3EE4" w:rsidRDefault="00EC3EE4" w:rsidP="00EC3EE4">
            <w:pPr>
              <w:jc w:val="both"/>
              <w:rPr>
                <w:rFonts w:eastAsiaTheme="minorHAnsi"/>
                <w:sz w:val="20"/>
                <w:lang w:val="fr-CA"/>
              </w:rPr>
            </w:pPr>
            <w:r w:rsidRPr="00EC3EE4">
              <w:rPr>
                <w:rFonts w:eastAsiaTheme="minorHAnsi"/>
                <w:sz w:val="20"/>
                <w:lang w:val="fr-CA"/>
              </w:rPr>
              <w:t xml:space="preserve">(Les juges Vézina, Savard et </w:t>
            </w:r>
            <w:proofErr w:type="spellStart"/>
            <w:r w:rsidRPr="00EC3EE4">
              <w:rPr>
                <w:rFonts w:eastAsiaTheme="minorHAnsi"/>
                <w:sz w:val="20"/>
                <w:lang w:val="fr-CA"/>
              </w:rPr>
              <w:t>Vauclair</w:t>
            </w:r>
            <w:proofErr w:type="spellEnd"/>
            <w:r w:rsidRPr="00EC3EE4">
              <w:rPr>
                <w:rFonts w:eastAsiaTheme="minorHAnsi"/>
                <w:sz w:val="20"/>
                <w:lang w:val="fr-CA"/>
              </w:rPr>
              <w:t>)</w:t>
            </w:r>
          </w:p>
          <w:p w:rsidR="00EC3EE4" w:rsidRPr="00EC3EE4" w:rsidRDefault="00EC3EE4" w:rsidP="00EC3EE4">
            <w:pPr>
              <w:jc w:val="both"/>
              <w:rPr>
                <w:rFonts w:eastAsiaTheme="minorHAnsi"/>
                <w:sz w:val="20"/>
                <w:lang w:val="fr-CA"/>
              </w:rPr>
            </w:pPr>
            <w:r w:rsidRPr="00EC3EE4">
              <w:rPr>
                <w:rFonts w:eastAsiaTheme="minorHAnsi"/>
                <w:sz w:val="20"/>
                <w:lang w:val="fr-CA"/>
              </w:rPr>
              <w:t>No. 500-09-024462-145</w:t>
            </w:r>
          </w:p>
          <w:p w:rsidR="00EC3EE4" w:rsidRPr="00EC3EE4" w:rsidRDefault="001155B4" w:rsidP="00EC3EE4">
            <w:pPr>
              <w:jc w:val="both"/>
              <w:rPr>
                <w:rFonts w:eastAsiaTheme="minorHAnsi"/>
                <w:sz w:val="20"/>
                <w:lang w:val="fr-CA"/>
              </w:rPr>
            </w:pPr>
            <w:hyperlink r:id="rId22" w:history="1">
              <w:r w:rsidR="00EC3EE4" w:rsidRPr="00E52530">
                <w:rPr>
                  <w:rFonts w:eastAsiaTheme="minorHAnsi"/>
                  <w:color w:val="0000FF" w:themeColor="hyperlink"/>
                  <w:sz w:val="20"/>
                  <w:u w:val="single"/>
                  <w:lang w:val="fr-CA"/>
                </w:rPr>
                <w:t>2014 QCCA 2234</w:t>
              </w:r>
            </w:hyperlink>
          </w:p>
          <w:p w:rsidR="00EC3EE4" w:rsidRPr="00EC3EE4" w:rsidRDefault="00EC3EE4" w:rsidP="00EC3EE4">
            <w:pPr>
              <w:jc w:val="both"/>
              <w:rPr>
                <w:rFonts w:eastAsiaTheme="minorHAnsi"/>
                <w:sz w:val="20"/>
                <w:lang w:val="fr-CA"/>
              </w:rPr>
            </w:pPr>
          </w:p>
        </w:tc>
        <w:tc>
          <w:tcPr>
            <w:tcW w:w="243" w:type="pct"/>
          </w:tcPr>
          <w:p w:rsidR="00EC3EE4" w:rsidRPr="00EC3EE4" w:rsidRDefault="00EC3EE4" w:rsidP="00EC3EE4">
            <w:pPr>
              <w:jc w:val="both"/>
              <w:rPr>
                <w:rFonts w:eastAsiaTheme="minorHAnsi"/>
                <w:sz w:val="20"/>
                <w:lang w:val="fr-CA"/>
              </w:rPr>
            </w:pPr>
          </w:p>
        </w:tc>
        <w:tc>
          <w:tcPr>
            <w:tcW w:w="2330" w:type="pct"/>
          </w:tcPr>
          <w:p w:rsidR="00EC3EE4" w:rsidRPr="00EC3EE4" w:rsidRDefault="00EC3EE4" w:rsidP="00EC3EE4">
            <w:pPr>
              <w:jc w:val="both"/>
              <w:rPr>
                <w:rFonts w:eastAsiaTheme="minorHAnsi"/>
                <w:sz w:val="20"/>
                <w:lang w:val="fr-CA"/>
              </w:rPr>
            </w:pPr>
            <w:r w:rsidRPr="00EC3EE4">
              <w:rPr>
                <w:rFonts w:eastAsiaTheme="minorHAnsi"/>
                <w:sz w:val="20"/>
                <w:lang w:val="fr-CA"/>
              </w:rPr>
              <w:t>Appel rejeté.</w:t>
            </w:r>
          </w:p>
          <w:p w:rsidR="00EC3EE4" w:rsidRPr="00EC3EE4" w:rsidRDefault="00EC3EE4" w:rsidP="00EC3EE4">
            <w:pPr>
              <w:jc w:val="both"/>
              <w:rPr>
                <w:rFonts w:eastAsiaTheme="minorHAnsi"/>
                <w:sz w:val="20"/>
                <w:lang w:val="fr-CA"/>
              </w:rPr>
            </w:pPr>
          </w:p>
        </w:tc>
      </w:tr>
      <w:tr w:rsidR="00EC3EE4" w:rsidRPr="00EC3EE4" w:rsidTr="00E52530">
        <w:tc>
          <w:tcPr>
            <w:tcW w:w="2427" w:type="pct"/>
            <w:gridSpan w:val="2"/>
          </w:tcPr>
          <w:p w:rsidR="00EC3EE4" w:rsidRPr="00EC3EE4" w:rsidRDefault="00EC3EE4" w:rsidP="00EC3EE4">
            <w:pPr>
              <w:jc w:val="both"/>
              <w:rPr>
                <w:rFonts w:eastAsiaTheme="minorHAnsi"/>
                <w:sz w:val="20"/>
                <w:lang w:val="fr-CA"/>
              </w:rPr>
            </w:pPr>
            <w:r w:rsidRPr="00EC3EE4">
              <w:rPr>
                <w:rFonts w:eastAsiaTheme="minorHAnsi"/>
                <w:sz w:val="20"/>
                <w:lang w:val="fr-CA"/>
              </w:rPr>
              <w:lastRenderedPageBreak/>
              <w:t>Le 2 février 2015</w:t>
            </w:r>
          </w:p>
          <w:p w:rsidR="00EC3EE4" w:rsidRPr="00EC3EE4" w:rsidRDefault="00EC3EE4" w:rsidP="00EC3EE4">
            <w:pPr>
              <w:jc w:val="both"/>
              <w:rPr>
                <w:rFonts w:eastAsiaTheme="minorHAnsi"/>
                <w:sz w:val="20"/>
                <w:lang w:val="fr-CA"/>
              </w:rPr>
            </w:pPr>
            <w:r w:rsidRPr="00EC3EE4">
              <w:rPr>
                <w:rFonts w:eastAsiaTheme="minorHAnsi"/>
                <w:sz w:val="20"/>
                <w:lang w:val="fr-CA"/>
              </w:rPr>
              <w:t>Cour suprême du Canada</w:t>
            </w:r>
          </w:p>
          <w:p w:rsidR="00EC3EE4" w:rsidRPr="00EC3EE4" w:rsidRDefault="00EC3EE4" w:rsidP="00EC3EE4">
            <w:pPr>
              <w:jc w:val="both"/>
              <w:rPr>
                <w:rFonts w:eastAsiaTheme="minorHAnsi"/>
                <w:sz w:val="20"/>
                <w:lang w:val="fr-CA"/>
              </w:rPr>
            </w:pPr>
          </w:p>
        </w:tc>
        <w:tc>
          <w:tcPr>
            <w:tcW w:w="243" w:type="pct"/>
          </w:tcPr>
          <w:p w:rsidR="00EC3EE4" w:rsidRPr="00EC3EE4" w:rsidRDefault="00EC3EE4" w:rsidP="00EC3EE4">
            <w:pPr>
              <w:jc w:val="both"/>
              <w:rPr>
                <w:rFonts w:eastAsiaTheme="minorHAnsi"/>
                <w:sz w:val="20"/>
                <w:lang w:val="fr-CA"/>
              </w:rPr>
            </w:pPr>
          </w:p>
        </w:tc>
        <w:tc>
          <w:tcPr>
            <w:tcW w:w="2330" w:type="pct"/>
          </w:tcPr>
          <w:p w:rsidR="00EC3EE4" w:rsidRPr="00EC3EE4" w:rsidRDefault="00EC3EE4" w:rsidP="00EC3EE4">
            <w:pPr>
              <w:jc w:val="both"/>
              <w:rPr>
                <w:rFonts w:eastAsiaTheme="minorHAnsi"/>
                <w:sz w:val="20"/>
                <w:lang w:val="fr-CA"/>
              </w:rPr>
            </w:pPr>
            <w:r w:rsidRPr="00EC3EE4">
              <w:rPr>
                <w:rFonts w:eastAsiaTheme="minorHAnsi"/>
                <w:sz w:val="20"/>
                <w:lang w:val="fr-CA"/>
              </w:rPr>
              <w:t>Demande d’autorisation d’appel déposée.</w:t>
            </w:r>
          </w:p>
        </w:tc>
      </w:tr>
    </w:tbl>
    <w:p w:rsidR="00EC3EE4" w:rsidRPr="00EC3EE4" w:rsidRDefault="00EC3EE4" w:rsidP="00EC3EE4">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3EE4" w:rsidRPr="00EC3EE4" w:rsidTr="00E52530">
        <w:tc>
          <w:tcPr>
            <w:tcW w:w="543" w:type="pct"/>
          </w:tcPr>
          <w:p w:rsidR="00EC3EE4" w:rsidRPr="00EC3EE4" w:rsidRDefault="00EC3EE4" w:rsidP="00EC3EE4">
            <w:pPr>
              <w:jc w:val="both"/>
              <w:rPr>
                <w:rFonts w:eastAsiaTheme="minorHAnsi"/>
                <w:sz w:val="20"/>
                <w:lang w:val="en-CA"/>
              </w:rPr>
            </w:pPr>
            <w:r w:rsidRPr="00E52530">
              <w:rPr>
                <w:rFonts w:eastAsiaTheme="minorHAnsi"/>
                <w:b/>
                <w:sz w:val="20"/>
                <w:lang w:val="en-CA"/>
              </w:rPr>
              <w:t>36279</w:t>
            </w:r>
          </w:p>
        </w:tc>
        <w:tc>
          <w:tcPr>
            <w:tcW w:w="4457" w:type="pct"/>
            <w:gridSpan w:val="3"/>
          </w:tcPr>
          <w:p w:rsidR="00EC3EE4" w:rsidRPr="00EC3EE4" w:rsidRDefault="00EC3EE4" w:rsidP="00EC3EE4">
            <w:pPr>
              <w:jc w:val="both"/>
              <w:rPr>
                <w:rFonts w:eastAsiaTheme="minorHAnsi"/>
                <w:b/>
                <w:sz w:val="20"/>
                <w:lang w:val="en-CA"/>
              </w:rPr>
            </w:pPr>
            <w:r w:rsidRPr="00EC3EE4">
              <w:rPr>
                <w:rFonts w:eastAsiaTheme="minorHAnsi"/>
                <w:b/>
                <w:sz w:val="20"/>
                <w:lang w:val="fr-CA"/>
              </w:rPr>
              <w:t xml:space="preserve">9080-9211 Québec Inc. (Les Propriétés Victoria) v. </w:t>
            </w:r>
            <w:proofErr w:type="spellStart"/>
            <w:r w:rsidRPr="00EC3EE4">
              <w:rPr>
                <w:rFonts w:eastAsiaTheme="minorHAnsi"/>
                <w:b/>
                <w:sz w:val="20"/>
                <w:lang w:val="fr-CA"/>
              </w:rPr>
              <w:t>Athena</w:t>
            </w:r>
            <w:proofErr w:type="spellEnd"/>
            <w:r w:rsidRPr="00EC3EE4">
              <w:rPr>
                <w:rFonts w:eastAsiaTheme="minorHAnsi"/>
                <w:b/>
                <w:sz w:val="20"/>
                <w:lang w:val="fr-CA"/>
              </w:rPr>
              <w:t xml:space="preserve"> </w:t>
            </w:r>
            <w:proofErr w:type="spellStart"/>
            <w:r w:rsidRPr="00EC3EE4">
              <w:rPr>
                <w:rFonts w:eastAsiaTheme="minorHAnsi"/>
                <w:b/>
                <w:sz w:val="20"/>
                <w:lang w:val="fr-CA"/>
              </w:rPr>
              <w:t>Energy</w:t>
            </w:r>
            <w:proofErr w:type="spellEnd"/>
            <w:r w:rsidRPr="00EC3EE4">
              <w:rPr>
                <w:rFonts w:eastAsiaTheme="minorHAnsi"/>
                <w:b/>
                <w:sz w:val="20"/>
                <w:lang w:val="fr-CA"/>
              </w:rPr>
              <w:t xml:space="preserve"> Marketing Inc. </w:t>
            </w:r>
            <w:r w:rsidRPr="00EC3EE4">
              <w:rPr>
                <w:rFonts w:eastAsiaTheme="minorHAnsi"/>
                <w:b/>
                <w:sz w:val="20"/>
                <w:lang w:val="en-CA"/>
              </w:rPr>
              <w:t xml:space="preserve">(doing business under the trade name RBC Natural Gas Services Inc.), </w:t>
            </w:r>
            <w:proofErr w:type="spellStart"/>
            <w:r w:rsidRPr="00EC3EE4">
              <w:rPr>
                <w:rFonts w:eastAsiaTheme="minorHAnsi"/>
                <w:b/>
                <w:sz w:val="20"/>
                <w:lang w:val="en-CA"/>
              </w:rPr>
              <w:t>Regroupement</w:t>
            </w:r>
            <w:proofErr w:type="spellEnd"/>
            <w:r w:rsidRPr="00EC3EE4">
              <w:rPr>
                <w:rFonts w:eastAsiaTheme="minorHAnsi"/>
                <w:b/>
                <w:sz w:val="20"/>
                <w:lang w:val="en-CA"/>
              </w:rPr>
              <w:t xml:space="preserve"> </w:t>
            </w:r>
            <w:proofErr w:type="spellStart"/>
            <w:r w:rsidRPr="00EC3EE4">
              <w:rPr>
                <w:rFonts w:eastAsiaTheme="minorHAnsi"/>
                <w:b/>
                <w:sz w:val="20"/>
                <w:lang w:val="en-CA"/>
              </w:rPr>
              <w:t>Lafar</w:t>
            </w:r>
            <w:proofErr w:type="spellEnd"/>
            <w:r w:rsidRPr="00EC3EE4">
              <w:rPr>
                <w:rFonts w:eastAsiaTheme="minorHAnsi"/>
                <w:b/>
                <w:sz w:val="20"/>
                <w:lang w:val="en-CA"/>
              </w:rPr>
              <w:t xml:space="preserve"> Inc.</w:t>
            </w:r>
          </w:p>
          <w:p w:rsidR="00EC3EE4" w:rsidRPr="00EC3EE4" w:rsidRDefault="00EC3EE4" w:rsidP="00EC3EE4">
            <w:pPr>
              <w:jc w:val="both"/>
              <w:rPr>
                <w:rFonts w:eastAsiaTheme="minorHAnsi"/>
                <w:sz w:val="20"/>
                <w:lang w:val="en-CA"/>
              </w:rPr>
            </w:pPr>
            <w:r w:rsidRPr="00EC3EE4">
              <w:rPr>
                <w:rFonts w:eastAsiaTheme="minorHAnsi"/>
                <w:sz w:val="20"/>
                <w:lang w:val="en-CA"/>
              </w:rPr>
              <w:t>(Que.) (Civil) (By Leave)</w:t>
            </w:r>
          </w:p>
        </w:tc>
      </w:tr>
      <w:tr w:rsidR="00EC3EE4" w:rsidRPr="00EC3EE4" w:rsidTr="00E52530">
        <w:tc>
          <w:tcPr>
            <w:tcW w:w="5000" w:type="pct"/>
            <w:gridSpan w:val="4"/>
          </w:tcPr>
          <w:p w:rsidR="00EC3EE4" w:rsidRPr="00EC3EE4" w:rsidRDefault="00EC3EE4" w:rsidP="00EC3EE4">
            <w:pPr>
              <w:jc w:val="both"/>
              <w:rPr>
                <w:rFonts w:eastAsiaTheme="minorHAnsi"/>
                <w:sz w:val="20"/>
                <w:lang w:val="en-CA"/>
              </w:rPr>
            </w:pPr>
            <w:r w:rsidRPr="00EC3EE4">
              <w:rPr>
                <w:rFonts w:eastAsiaTheme="minorHAnsi"/>
                <w:sz w:val="20"/>
                <w:lang w:val="en-CA"/>
              </w:rPr>
              <w:t xml:space="preserve">Contracts – Contracts of sale – Damages – Obligation to mitigate damages – Whether Superior Court erred in failing to apply requirements of art. 1479 of </w:t>
            </w:r>
            <w:r w:rsidRPr="00EC3EE4">
              <w:rPr>
                <w:rFonts w:eastAsiaTheme="minorHAnsi"/>
                <w:i/>
                <w:sz w:val="20"/>
                <w:lang w:val="en-CA"/>
              </w:rPr>
              <w:t>Civil Code of Québec</w:t>
            </w:r>
            <w:r w:rsidRPr="00EC3EE4">
              <w:rPr>
                <w:rFonts w:eastAsiaTheme="minorHAnsi"/>
                <w:sz w:val="20"/>
                <w:lang w:val="en-CA"/>
              </w:rPr>
              <w:t>, CQLR c. C</w:t>
            </w:r>
            <w:r w:rsidRPr="00EC3EE4">
              <w:rPr>
                <w:rFonts w:eastAsiaTheme="minorHAnsi"/>
                <w:sz w:val="20"/>
                <w:lang w:val="en-CA"/>
              </w:rPr>
              <w:noBreakHyphen/>
              <w:t>1991 – Whether Court of Appeal erred in dismissing appeal.</w:t>
            </w:r>
          </w:p>
        </w:tc>
      </w:tr>
      <w:tr w:rsidR="00EC3EE4" w:rsidRPr="00EC3EE4" w:rsidTr="00E52530">
        <w:tc>
          <w:tcPr>
            <w:tcW w:w="5000" w:type="pct"/>
            <w:gridSpan w:val="4"/>
          </w:tcPr>
          <w:p w:rsidR="00EC3EE4" w:rsidRPr="00EC3EE4" w:rsidRDefault="00EC3EE4" w:rsidP="00EC3EE4">
            <w:pPr>
              <w:jc w:val="both"/>
              <w:rPr>
                <w:rFonts w:eastAsiaTheme="minorHAnsi"/>
                <w:sz w:val="20"/>
                <w:lang w:val="en-CA"/>
              </w:rPr>
            </w:pPr>
          </w:p>
        </w:tc>
      </w:tr>
      <w:tr w:rsidR="00EC3EE4" w:rsidRPr="00EC3EE4" w:rsidTr="00E52530">
        <w:tc>
          <w:tcPr>
            <w:tcW w:w="5000" w:type="pct"/>
            <w:gridSpan w:val="4"/>
          </w:tcPr>
          <w:p w:rsidR="00EC3EE4" w:rsidRPr="00EC3EE4" w:rsidRDefault="00EC3EE4" w:rsidP="00EC3EE4">
            <w:pPr>
              <w:jc w:val="both"/>
              <w:rPr>
                <w:rFonts w:eastAsiaTheme="minorHAnsi"/>
                <w:sz w:val="20"/>
                <w:lang w:val="en-CA"/>
              </w:rPr>
            </w:pPr>
            <w:r w:rsidRPr="00EC3EE4">
              <w:rPr>
                <w:rFonts w:eastAsiaTheme="minorHAnsi"/>
                <w:sz w:val="20"/>
                <w:lang w:val="en-CA"/>
              </w:rPr>
              <w:t>In 2005, the applicant 9080</w:t>
            </w:r>
            <w:r w:rsidRPr="00EC3EE4">
              <w:rPr>
                <w:rFonts w:eastAsiaTheme="minorHAnsi"/>
                <w:sz w:val="20"/>
                <w:lang w:val="en-CA"/>
              </w:rPr>
              <w:noBreakHyphen/>
              <w:t>9211 Québec Inc. (“Victoria”) entered into a natural gas supply contract with the respondent Athena Energy Marketing Inc. (“Athena”) for its four income properties in Montréal.  Under the contract, Victoria undertook to use and pay for a fixed quantity of natural gas for five years.  In 2006, Victoria sold two of the four properties and its natural gas consumption fell as a result.  In 2009, it sold its last two properties and its consumption fell to zero.  When Victoria stopped paying the bills, Athena brought an action on account to recover the loss it had incurred.  The Superior Court allowed the action.  The Court of Appeal dismissed the appeal.</w:t>
            </w:r>
          </w:p>
          <w:p w:rsidR="00EC3EE4" w:rsidRPr="00EC3EE4" w:rsidRDefault="00EC3EE4" w:rsidP="00EC3EE4">
            <w:pPr>
              <w:jc w:val="both"/>
              <w:rPr>
                <w:rFonts w:eastAsiaTheme="minorHAnsi"/>
                <w:sz w:val="20"/>
                <w:lang w:val="en-CA"/>
              </w:rPr>
            </w:pPr>
          </w:p>
        </w:tc>
      </w:tr>
      <w:tr w:rsidR="00EC3EE4" w:rsidRPr="00EC3EE4" w:rsidTr="00E52530">
        <w:tc>
          <w:tcPr>
            <w:tcW w:w="2427" w:type="pct"/>
            <w:gridSpan w:val="2"/>
          </w:tcPr>
          <w:p w:rsidR="00EC3EE4" w:rsidRPr="00EC3EE4" w:rsidRDefault="00EC3EE4" w:rsidP="00EC3EE4">
            <w:pPr>
              <w:jc w:val="both"/>
              <w:rPr>
                <w:rFonts w:eastAsiaTheme="minorHAnsi"/>
                <w:sz w:val="20"/>
                <w:lang w:val="en-CA"/>
              </w:rPr>
            </w:pPr>
            <w:r w:rsidRPr="00EC3EE4">
              <w:rPr>
                <w:rFonts w:eastAsiaTheme="minorHAnsi"/>
                <w:sz w:val="20"/>
                <w:lang w:val="en-CA"/>
              </w:rPr>
              <w:t>June 19, 2013</w:t>
            </w:r>
          </w:p>
          <w:p w:rsidR="00EC3EE4" w:rsidRPr="00EC3EE4" w:rsidRDefault="00EC3EE4" w:rsidP="00EC3EE4">
            <w:pPr>
              <w:jc w:val="both"/>
              <w:rPr>
                <w:rFonts w:eastAsiaTheme="minorHAnsi"/>
                <w:sz w:val="20"/>
                <w:lang w:val="en-CA"/>
              </w:rPr>
            </w:pPr>
            <w:r w:rsidRPr="00EC3EE4">
              <w:rPr>
                <w:rFonts w:eastAsiaTheme="minorHAnsi"/>
                <w:sz w:val="20"/>
                <w:lang w:val="en-CA"/>
              </w:rPr>
              <w:t>Quebec Superior Court</w:t>
            </w:r>
          </w:p>
          <w:p w:rsidR="00EC3EE4" w:rsidRPr="00EC3EE4" w:rsidRDefault="00EC3EE4" w:rsidP="00EC3EE4">
            <w:pPr>
              <w:jc w:val="both"/>
              <w:rPr>
                <w:rFonts w:eastAsiaTheme="minorHAnsi"/>
                <w:sz w:val="20"/>
                <w:lang w:val="en-CA"/>
              </w:rPr>
            </w:pPr>
            <w:r w:rsidRPr="00EC3EE4">
              <w:rPr>
                <w:rFonts w:eastAsiaTheme="minorHAnsi"/>
                <w:sz w:val="20"/>
                <w:lang w:val="en-CA"/>
              </w:rPr>
              <w:t>(Emery J.)</w:t>
            </w:r>
          </w:p>
          <w:p w:rsidR="00EC3EE4" w:rsidRPr="00EC3EE4" w:rsidRDefault="001155B4" w:rsidP="00EC3EE4">
            <w:pPr>
              <w:jc w:val="both"/>
              <w:rPr>
                <w:rFonts w:eastAsiaTheme="minorHAnsi"/>
                <w:sz w:val="20"/>
                <w:lang w:val="en-CA"/>
              </w:rPr>
            </w:pPr>
            <w:hyperlink r:id="rId23" w:history="1">
              <w:r w:rsidR="00EC3EE4" w:rsidRPr="00E52530">
                <w:rPr>
                  <w:rFonts w:eastAsiaTheme="minorHAnsi"/>
                  <w:color w:val="0000FF" w:themeColor="hyperlink"/>
                  <w:sz w:val="20"/>
                  <w:u w:val="single"/>
                  <w:lang w:val="en-CA"/>
                </w:rPr>
                <w:t>2013 QCCS 2715</w:t>
              </w:r>
            </w:hyperlink>
          </w:p>
          <w:p w:rsidR="00EC3EE4" w:rsidRPr="00EC3EE4" w:rsidRDefault="00EC3EE4" w:rsidP="00EC3EE4">
            <w:pPr>
              <w:jc w:val="both"/>
              <w:rPr>
                <w:rFonts w:eastAsiaTheme="minorHAnsi"/>
                <w:sz w:val="20"/>
                <w:lang w:val="en-CA"/>
              </w:rPr>
            </w:pPr>
          </w:p>
        </w:tc>
        <w:tc>
          <w:tcPr>
            <w:tcW w:w="243" w:type="pct"/>
          </w:tcPr>
          <w:p w:rsidR="00EC3EE4" w:rsidRPr="00EC3EE4" w:rsidRDefault="00EC3EE4" w:rsidP="00EC3EE4">
            <w:pPr>
              <w:jc w:val="both"/>
              <w:rPr>
                <w:rFonts w:eastAsiaTheme="minorHAnsi"/>
                <w:sz w:val="20"/>
                <w:lang w:val="en-CA"/>
              </w:rPr>
            </w:pPr>
          </w:p>
        </w:tc>
        <w:tc>
          <w:tcPr>
            <w:tcW w:w="2330" w:type="pct"/>
          </w:tcPr>
          <w:p w:rsidR="00EC3EE4" w:rsidRPr="00EC3EE4" w:rsidRDefault="00EC3EE4" w:rsidP="00EC3EE4">
            <w:pPr>
              <w:jc w:val="both"/>
              <w:rPr>
                <w:rFonts w:eastAsiaTheme="minorHAnsi"/>
                <w:sz w:val="20"/>
                <w:lang w:val="en-CA"/>
              </w:rPr>
            </w:pPr>
            <w:r w:rsidRPr="00EC3EE4">
              <w:rPr>
                <w:rFonts w:eastAsiaTheme="minorHAnsi"/>
                <w:sz w:val="20"/>
                <w:lang w:val="en-CA"/>
              </w:rPr>
              <w:t>Respondent Athena’s action allowed; applicant ordered to pay Athena $234,000</w:t>
            </w:r>
          </w:p>
          <w:p w:rsidR="00EC3EE4" w:rsidRPr="00EC3EE4" w:rsidRDefault="00EC3EE4" w:rsidP="00EC3EE4">
            <w:pPr>
              <w:jc w:val="both"/>
              <w:rPr>
                <w:rFonts w:eastAsiaTheme="minorHAnsi"/>
                <w:sz w:val="20"/>
                <w:lang w:val="en-CA"/>
              </w:rPr>
            </w:pPr>
          </w:p>
        </w:tc>
      </w:tr>
      <w:tr w:rsidR="00EC3EE4" w:rsidRPr="00EC3EE4" w:rsidTr="00E52530">
        <w:tc>
          <w:tcPr>
            <w:tcW w:w="2427" w:type="pct"/>
            <w:gridSpan w:val="2"/>
          </w:tcPr>
          <w:p w:rsidR="00EC3EE4" w:rsidRPr="00EC3EE4" w:rsidRDefault="00EC3EE4" w:rsidP="00EC3EE4">
            <w:pPr>
              <w:jc w:val="both"/>
              <w:rPr>
                <w:rFonts w:eastAsiaTheme="minorHAnsi"/>
                <w:sz w:val="20"/>
                <w:lang w:val="en-CA"/>
              </w:rPr>
            </w:pPr>
            <w:r w:rsidRPr="00EC3EE4">
              <w:rPr>
                <w:rFonts w:eastAsiaTheme="minorHAnsi"/>
                <w:sz w:val="20"/>
                <w:lang w:val="en-CA"/>
              </w:rPr>
              <w:t>December 2, 2014</w:t>
            </w:r>
          </w:p>
          <w:p w:rsidR="00EC3EE4" w:rsidRPr="00EC3EE4" w:rsidRDefault="00EC3EE4" w:rsidP="00EC3EE4">
            <w:pPr>
              <w:jc w:val="both"/>
              <w:rPr>
                <w:rFonts w:eastAsiaTheme="minorHAnsi"/>
                <w:sz w:val="20"/>
                <w:lang w:val="en-CA"/>
              </w:rPr>
            </w:pPr>
            <w:r w:rsidRPr="00EC3EE4">
              <w:rPr>
                <w:rFonts w:eastAsiaTheme="minorHAnsi"/>
                <w:sz w:val="20"/>
                <w:lang w:val="en-CA"/>
              </w:rPr>
              <w:t>Quebec Court of Appeal (Montréal)</w:t>
            </w:r>
          </w:p>
          <w:p w:rsidR="00EC3EE4" w:rsidRPr="00EC3EE4" w:rsidRDefault="00EC3EE4" w:rsidP="00EC3EE4">
            <w:pPr>
              <w:jc w:val="both"/>
              <w:rPr>
                <w:rFonts w:eastAsiaTheme="minorHAnsi"/>
                <w:sz w:val="20"/>
                <w:lang w:val="en-CA"/>
              </w:rPr>
            </w:pPr>
            <w:r w:rsidRPr="00EC3EE4">
              <w:rPr>
                <w:rFonts w:eastAsiaTheme="minorHAnsi"/>
                <w:sz w:val="20"/>
                <w:lang w:val="en-CA"/>
              </w:rPr>
              <w:t xml:space="preserve">(Duval </w:t>
            </w:r>
            <w:proofErr w:type="spellStart"/>
            <w:r w:rsidRPr="00EC3EE4">
              <w:rPr>
                <w:rFonts w:eastAsiaTheme="minorHAnsi"/>
                <w:sz w:val="20"/>
                <w:lang w:val="en-CA"/>
              </w:rPr>
              <w:t>Hesler</w:t>
            </w:r>
            <w:proofErr w:type="spellEnd"/>
            <w:r w:rsidRPr="00EC3EE4">
              <w:rPr>
                <w:rFonts w:eastAsiaTheme="minorHAnsi"/>
                <w:sz w:val="20"/>
                <w:lang w:val="en-CA"/>
              </w:rPr>
              <w:t xml:space="preserve"> C.J. and </w:t>
            </w:r>
            <w:proofErr w:type="spellStart"/>
            <w:r w:rsidRPr="00EC3EE4">
              <w:rPr>
                <w:rFonts w:eastAsiaTheme="minorHAnsi"/>
                <w:sz w:val="20"/>
                <w:lang w:val="en-CA"/>
              </w:rPr>
              <w:t>Vézina</w:t>
            </w:r>
            <w:proofErr w:type="spellEnd"/>
            <w:r w:rsidRPr="00EC3EE4">
              <w:rPr>
                <w:rFonts w:eastAsiaTheme="minorHAnsi"/>
                <w:sz w:val="20"/>
                <w:lang w:val="en-CA"/>
              </w:rPr>
              <w:t xml:space="preserve"> and </w:t>
            </w:r>
            <w:proofErr w:type="spellStart"/>
            <w:r w:rsidRPr="00EC3EE4">
              <w:rPr>
                <w:rFonts w:eastAsiaTheme="minorHAnsi"/>
                <w:sz w:val="20"/>
                <w:lang w:val="en-CA"/>
              </w:rPr>
              <w:t>Vauclair</w:t>
            </w:r>
            <w:proofErr w:type="spellEnd"/>
            <w:r w:rsidRPr="00EC3EE4">
              <w:rPr>
                <w:rFonts w:eastAsiaTheme="minorHAnsi"/>
                <w:sz w:val="20"/>
                <w:lang w:val="en-CA"/>
              </w:rPr>
              <w:t xml:space="preserve"> JJ.A.)</w:t>
            </w:r>
          </w:p>
          <w:p w:rsidR="00EC3EE4" w:rsidRPr="00EC3EE4" w:rsidRDefault="001155B4" w:rsidP="00EC3EE4">
            <w:pPr>
              <w:jc w:val="both"/>
              <w:rPr>
                <w:rFonts w:eastAsiaTheme="minorHAnsi"/>
                <w:sz w:val="20"/>
                <w:lang w:val="en-CA"/>
              </w:rPr>
            </w:pPr>
            <w:hyperlink r:id="rId24" w:history="1">
              <w:r w:rsidR="00EC3EE4" w:rsidRPr="00E52530">
                <w:rPr>
                  <w:rFonts w:eastAsiaTheme="minorHAnsi"/>
                  <w:color w:val="0000FF" w:themeColor="hyperlink"/>
                  <w:sz w:val="20"/>
                  <w:u w:val="single"/>
                  <w:lang w:val="en-CA"/>
                </w:rPr>
                <w:t>2014 QCCA 2255</w:t>
              </w:r>
            </w:hyperlink>
          </w:p>
          <w:p w:rsidR="00EC3EE4" w:rsidRPr="00EC3EE4" w:rsidRDefault="00EC3EE4" w:rsidP="00EC3EE4">
            <w:pPr>
              <w:jc w:val="both"/>
              <w:rPr>
                <w:rFonts w:eastAsiaTheme="minorHAnsi"/>
                <w:sz w:val="20"/>
                <w:lang w:val="en-CA"/>
              </w:rPr>
            </w:pPr>
          </w:p>
        </w:tc>
        <w:tc>
          <w:tcPr>
            <w:tcW w:w="243" w:type="pct"/>
          </w:tcPr>
          <w:p w:rsidR="00EC3EE4" w:rsidRPr="00EC3EE4" w:rsidRDefault="00EC3EE4" w:rsidP="00EC3EE4">
            <w:pPr>
              <w:jc w:val="both"/>
              <w:rPr>
                <w:rFonts w:eastAsiaTheme="minorHAnsi"/>
                <w:sz w:val="20"/>
                <w:lang w:val="en-CA"/>
              </w:rPr>
            </w:pPr>
          </w:p>
        </w:tc>
        <w:tc>
          <w:tcPr>
            <w:tcW w:w="2330" w:type="pct"/>
          </w:tcPr>
          <w:p w:rsidR="00EC3EE4" w:rsidRPr="00EC3EE4" w:rsidRDefault="00EC3EE4" w:rsidP="00EC3EE4">
            <w:pPr>
              <w:jc w:val="both"/>
              <w:rPr>
                <w:rFonts w:eastAsiaTheme="minorHAnsi"/>
                <w:sz w:val="20"/>
                <w:lang w:val="en-CA"/>
              </w:rPr>
            </w:pPr>
            <w:r w:rsidRPr="00EC3EE4">
              <w:rPr>
                <w:rFonts w:eastAsiaTheme="minorHAnsi"/>
                <w:sz w:val="20"/>
                <w:lang w:val="en-CA"/>
              </w:rPr>
              <w:t>Appeal dismissed</w:t>
            </w:r>
          </w:p>
          <w:p w:rsidR="00EC3EE4" w:rsidRPr="00EC3EE4" w:rsidRDefault="00EC3EE4" w:rsidP="00EC3EE4">
            <w:pPr>
              <w:jc w:val="both"/>
              <w:rPr>
                <w:rFonts w:eastAsiaTheme="minorHAnsi"/>
                <w:sz w:val="20"/>
                <w:lang w:val="en-CA"/>
              </w:rPr>
            </w:pPr>
          </w:p>
        </w:tc>
      </w:tr>
      <w:tr w:rsidR="00EC3EE4" w:rsidRPr="00EC3EE4" w:rsidTr="00E52530">
        <w:tc>
          <w:tcPr>
            <w:tcW w:w="2427" w:type="pct"/>
            <w:gridSpan w:val="2"/>
          </w:tcPr>
          <w:p w:rsidR="00EC3EE4" w:rsidRPr="00EC3EE4" w:rsidRDefault="00EC3EE4" w:rsidP="00EC3EE4">
            <w:pPr>
              <w:jc w:val="both"/>
              <w:rPr>
                <w:rFonts w:eastAsiaTheme="minorHAnsi"/>
                <w:sz w:val="20"/>
                <w:lang w:val="en-CA"/>
              </w:rPr>
            </w:pPr>
            <w:r w:rsidRPr="00EC3EE4">
              <w:rPr>
                <w:rFonts w:eastAsiaTheme="minorHAnsi"/>
                <w:sz w:val="20"/>
                <w:lang w:val="en-CA"/>
              </w:rPr>
              <w:t>January 26, 2015</w:t>
            </w:r>
          </w:p>
          <w:p w:rsidR="00EC3EE4" w:rsidRPr="00EC3EE4" w:rsidRDefault="00EC3EE4" w:rsidP="00EC3EE4">
            <w:pPr>
              <w:jc w:val="both"/>
              <w:rPr>
                <w:rFonts w:eastAsiaTheme="minorHAnsi"/>
                <w:sz w:val="20"/>
                <w:lang w:val="en-CA"/>
              </w:rPr>
            </w:pPr>
            <w:r w:rsidRPr="00EC3EE4">
              <w:rPr>
                <w:rFonts w:eastAsiaTheme="minorHAnsi"/>
                <w:sz w:val="20"/>
                <w:lang w:val="en-CA"/>
              </w:rPr>
              <w:t>Supreme Court of Canada</w:t>
            </w:r>
          </w:p>
        </w:tc>
        <w:tc>
          <w:tcPr>
            <w:tcW w:w="243" w:type="pct"/>
          </w:tcPr>
          <w:p w:rsidR="00EC3EE4" w:rsidRPr="00EC3EE4" w:rsidRDefault="00EC3EE4" w:rsidP="00EC3EE4">
            <w:pPr>
              <w:jc w:val="both"/>
              <w:rPr>
                <w:rFonts w:eastAsiaTheme="minorHAnsi"/>
                <w:sz w:val="20"/>
                <w:lang w:val="en-CA"/>
              </w:rPr>
            </w:pPr>
          </w:p>
        </w:tc>
        <w:tc>
          <w:tcPr>
            <w:tcW w:w="2330" w:type="pct"/>
          </w:tcPr>
          <w:p w:rsidR="00EC3EE4" w:rsidRPr="00EC3EE4" w:rsidRDefault="00EC3EE4" w:rsidP="00EC3EE4">
            <w:pPr>
              <w:jc w:val="both"/>
              <w:rPr>
                <w:rFonts w:eastAsiaTheme="minorHAnsi"/>
                <w:sz w:val="20"/>
                <w:lang w:val="en-CA"/>
              </w:rPr>
            </w:pPr>
            <w:r w:rsidRPr="00EC3EE4">
              <w:rPr>
                <w:rFonts w:eastAsiaTheme="minorHAnsi"/>
                <w:sz w:val="20"/>
                <w:lang w:val="en-CA"/>
              </w:rPr>
              <w:t>Application for leave to appeal filed</w:t>
            </w:r>
          </w:p>
        </w:tc>
      </w:tr>
    </w:tbl>
    <w:p w:rsidR="00EC3EE4" w:rsidRDefault="00EC3EE4" w:rsidP="00EC3EE4">
      <w:pPr>
        <w:jc w:val="both"/>
        <w:rPr>
          <w:rFonts w:eastAsiaTheme="minorHAnsi"/>
          <w:sz w:val="20"/>
          <w:lang w:val="en-CA"/>
        </w:rPr>
      </w:pPr>
    </w:p>
    <w:p w:rsidR="00E52530" w:rsidRPr="00EC3EE4" w:rsidRDefault="00E52530" w:rsidP="00EC3EE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3EE4" w:rsidRPr="00EC3EE4" w:rsidTr="00E52530">
        <w:tc>
          <w:tcPr>
            <w:tcW w:w="543" w:type="pct"/>
          </w:tcPr>
          <w:p w:rsidR="00EC3EE4" w:rsidRPr="00EC3EE4" w:rsidRDefault="00EC3EE4" w:rsidP="00EC3EE4">
            <w:pPr>
              <w:jc w:val="both"/>
              <w:rPr>
                <w:rFonts w:eastAsiaTheme="minorHAnsi"/>
                <w:sz w:val="20"/>
                <w:lang w:val="en-CA"/>
              </w:rPr>
            </w:pPr>
            <w:r w:rsidRPr="00E52530">
              <w:rPr>
                <w:rFonts w:eastAsiaTheme="minorHAnsi"/>
                <w:b/>
                <w:sz w:val="20"/>
                <w:lang w:val="en-CA"/>
              </w:rPr>
              <w:t>36279</w:t>
            </w:r>
          </w:p>
        </w:tc>
        <w:tc>
          <w:tcPr>
            <w:tcW w:w="4457" w:type="pct"/>
            <w:gridSpan w:val="3"/>
          </w:tcPr>
          <w:p w:rsidR="00EC3EE4" w:rsidRPr="00EC3EE4" w:rsidRDefault="00EC3EE4" w:rsidP="00EC3EE4">
            <w:pPr>
              <w:jc w:val="both"/>
              <w:rPr>
                <w:rFonts w:eastAsiaTheme="minorHAnsi"/>
                <w:b/>
                <w:sz w:val="20"/>
                <w:lang w:val="en-CA"/>
              </w:rPr>
            </w:pPr>
            <w:r w:rsidRPr="00EC3EE4">
              <w:rPr>
                <w:rFonts w:eastAsiaTheme="minorHAnsi"/>
                <w:b/>
                <w:sz w:val="20"/>
                <w:lang w:val="fr-CA"/>
              </w:rPr>
              <w:t xml:space="preserve">9080-9211 Québec Inc. (Les Propriétés Victoria) c. </w:t>
            </w:r>
            <w:proofErr w:type="spellStart"/>
            <w:r w:rsidRPr="00EC3EE4">
              <w:rPr>
                <w:rFonts w:eastAsiaTheme="minorHAnsi"/>
                <w:b/>
                <w:sz w:val="20"/>
                <w:lang w:val="fr-CA"/>
              </w:rPr>
              <w:t>Athena</w:t>
            </w:r>
            <w:proofErr w:type="spellEnd"/>
            <w:r w:rsidRPr="00EC3EE4">
              <w:rPr>
                <w:rFonts w:eastAsiaTheme="minorHAnsi"/>
                <w:b/>
                <w:sz w:val="20"/>
                <w:lang w:val="fr-CA"/>
              </w:rPr>
              <w:t xml:space="preserve"> </w:t>
            </w:r>
            <w:proofErr w:type="spellStart"/>
            <w:r w:rsidRPr="00EC3EE4">
              <w:rPr>
                <w:rFonts w:eastAsiaTheme="minorHAnsi"/>
                <w:b/>
                <w:sz w:val="20"/>
                <w:lang w:val="fr-CA"/>
              </w:rPr>
              <w:t>Energy</w:t>
            </w:r>
            <w:proofErr w:type="spellEnd"/>
            <w:r w:rsidRPr="00EC3EE4">
              <w:rPr>
                <w:rFonts w:eastAsiaTheme="minorHAnsi"/>
                <w:b/>
                <w:sz w:val="20"/>
                <w:lang w:val="fr-CA"/>
              </w:rPr>
              <w:t xml:space="preserve"> Marketing Inc. </w:t>
            </w:r>
            <w:r w:rsidRPr="00EC3EE4">
              <w:rPr>
                <w:rFonts w:eastAsiaTheme="minorHAnsi"/>
                <w:b/>
                <w:sz w:val="20"/>
                <w:lang w:val="en-CA"/>
              </w:rPr>
              <w:t xml:space="preserve">(doing business under the trade name Services de </w:t>
            </w:r>
            <w:proofErr w:type="spellStart"/>
            <w:r w:rsidRPr="00EC3EE4">
              <w:rPr>
                <w:rFonts w:eastAsiaTheme="minorHAnsi"/>
                <w:b/>
                <w:sz w:val="20"/>
                <w:lang w:val="en-CA"/>
              </w:rPr>
              <w:t>Gaz</w:t>
            </w:r>
            <w:proofErr w:type="spellEnd"/>
            <w:r w:rsidRPr="00EC3EE4">
              <w:rPr>
                <w:rFonts w:eastAsiaTheme="minorHAnsi"/>
                <w:b/>
                <w:sz w:val="20"/>
                <w:lang w:val="en-CA"/>
              </w:rPr>
              <w:t xml:space="preserve"> Naturel RBC Inc.), </w:t>
            </w:r>
            <w:proofErr w:type="spellStart"/>
            <w:r w:rsidRPr="00EC3EE4">
              <w:rPr>
                <w:rFonts w:eastAsiaTheme="minorHAnsi"/>
                <w:b/>
                <w:sz w:val="20"/>
                <w:lang w:val="en-CA"/>
              </w:rPr>
              <w:t>Regroupement</w:t>
            </w:r>
            <w:proofErr w:type="spellEnd"/>
            <w:r w:rsidRPr="00EC3EE4">
              <w:rPr>
                <w:rFonts w:eastAsiaTheme="minorHAnsi"/>
                <w:b/>
                <w:sz w:val="20"/>
                <w:lang w:val="en-CA"/>
              </w:rPr>
              <w:t xml:space="preserve"> </w:t>
            </w:r>
            <w:proofErr w:type="spellStart"/>
            <w:r w:rsidRPr="00EC3EE4">
              <w:rPr>
                <w:rFonts w:eastAsiaTheme="minorHAnsi"/>
                <w:b/>
                <w:sz w:val="20"/>
                <w:lang w:val="en-CA"/>
              </w:rPr>
              <w:t>Lafar</w:t>
            </w:r>
            <w:proofErr w:type="spellEnd"/>
            <w:r w:rsidRPr="00EC3EE4">
              <w:rPr>
                <w:rFonts w:eastAsiaTheme="minorHAnsi"/>
                <w:b/>
                <w:sz w:val="20"/>
                <w:lang w:val="en-CA"/>
              </w:rPr>
              <w:t xml:space="preserve"> Inc.</w:t>
            </w:r>
          </w:p>
          <w:p w:rsidR="00EC3EE4" w:rsidRPr="00EC3EE4" w:rsidRDefault="00EC3EE4" w:rsidP="00EC3EE4">
            <w:pPr>
              <w:jc w:val="both"/>
              <w:rPr>
                <w:rFonts w:eastAsiaTheme="minorHAnsi"/>
                <w:sz w:val="20"/>
                <w:lang w:val="en-CA"/>
              </w:rPr>
            </w:pPr>
            <w:r w:rsidRPr="00EC3EE4">
              <w:rPr>
                <w:rFonts w:eastAsiaTheme="minorHAnsi"/>
                <w:sz w:val="20"/>
                <w:lang w:val="en-CA"/>
              </w:rPr>
              <w:t>(Qc) (</w:t>
            </w:r>
            <w:proofErr w:type="spellStart"/>
            <w:r w:rsidRPr="00EC3EE4">
              <w:rPr>
                <w:rFonts w:eastAsiaTheme="minorHAnsi"/>
                <w:sz w:val="20"/>
                <w:lang w:val="en-CA"/>
              </w:rPr>
              <w:t>Civile</w:t>
            </w:r>
            <w:proofErr w:type="spellEnd"/>
            <w:r w:rsidRPr="00EC3EE4">
              <w:rPr>
                <w:rFonts w:eastAsiaTheme="minorHAnsi"/>
                <w:sz w:val="20"/>
                <w:lang w:val="en-CA"/>
              </w:rPr>
              <w:t>) (</w:t>
            </w:r>
            <w:proofErr w:type="spellStart"/>
            <w:r w:rsidRPr="00EC3EE4">
              <w:rPr>
                <w:rFonts w:eastAsiaTheme="minorHAnsi"/>
                <w:sz w:val="20"/>
                <w:lang w:val="en-CA"/>
              </w:rPr>
              <w:t>Autorisation</w:t>
            </w:r>
            <w:proofErr w:type="spellEnd"/>
            <w:r w:rsidRPr="00EC3EE4">
              <w:rPr>
                <w:rFonts w:eastAsiaTheme="minorHAnsi"/>
                <w:sz w:val="20"/>
                <w:lang w:val="en-CA"/>
              </w:rPr>
              <w:t>)</w:t>
            </w:r>
          </w:p>
        </w:tc>
      </w:tr>
      <w:tr w:rsidR="00EC3EE4" w:rsidRPr="001155B4" w:rsidTr="00E52530">
        <w:tc>
          <w:tcPr>
            <w:tcW w:w="5000" w:type="pct"/>
            <w:gridSpan w:val="4"/>
          </w:tcPr>
          <w:p w:rsidR="00EC3EE4" w:rsidRPr="00EC3EE4" w:rsidRDefault="00EC3EE4" w:rsidP="00EC3EE4">
            <w:pPr>
              <w:jc w:val="both"/>
              <w:rPr>
                <w:rFonts w:eastAsiaTheme="minorHAnsi"/>
                <w:sz w:val="20"/>
                <w:lang w:val="fr-CA"/>
              </w:rPr>
            </w:pPr>
            <w:r w:rsidRPr="00EC3EE4">
              <w:rPr>
                <w:rFonts w:eastAsiaTheme="minorHAnsi"/>
                <w:sz w:val="20"/>
                <w:lang w:val="fr-CA"/>
              </w:rPr>
              <w:lastRenderedPageBreak/>
              <w:t xml:space="preserve">Contrats – Contrats de vente – Dommages – Obligation de mitiger ses dommages – La Cour supérieure a-t-elle fait erreur en omettant d’appliquer les exigences de l’art. 1479 du </w:t>
            </w:r>
            <w:r w:rsidRPr="00EC3EE4">
              <w:rPr>
                <w:rFonts w:eastAsiaTheme="minorHAnsi"/>
                <w:i/>
                <w:sz w:val="20"/>
                <w:lang w:val="fr-CA"/>
              </w:rPr>
              <w:t>Code civil du Québec</w:t>
            </w:r>
            <w:r w:rsidRPr="00EC3EE4">
              <w:rPr>
                <w:rFonts w:eastAsiaTheme="minorHAnsi"/>
                <w:sz w:val="20"/>
                <w:lang w:val="fr-CA"/>
              </w:rPr>
              <w:t>, RLRQ c C-1991? – La Cour d’appel a-t-elle fait erreur en rejetant l’appel?</w:t>
            </w:r>
          </w:p>
        </w:tc>
      </w:tr>
      <w:tr w:rsidR="00EC3EE4" w:rsidRPr="001155B4" w:rsidTr="00E52530">
        <w:tc>
          <w:tcPr>
            <w:tcW w:w="5000" w:type="pct"/>
            <w:gridSpan w:val="4"/>
          </w:tcPr>
          <w:p w:rsidR="00EC3EE4" w:rsidRPr="00EC3EE4" w:rsidRDefault="00EC3EE4" w:rsidP="00EC3EE4">
            <w:pPr>
              <w:jc w:val="both"/>
              <w:rPr>
                <w:rFonts w:eastAsiaTheme="minorHAnsi"/>
                <w:sz w:val="20"/>
                <w:lang w:val="fr-CA"/>
              </w:rPr>
            </w:pPr>
          </w:p>
        </w:tc>
      </w:tr>
      <w:tr w:rsidR="00EC3EE4" w:rsidRPr="001155B4" w:rsidTr="00E52530">
        <w:tc>
          <w:tcPr>
            <w:tcW w:w="5000" w:type="pct"/>
            <w:gridSpan w:val="4"/>
          </w:tcPr>
          <w:p w:rsidR="00EC3EE4" w:rsidRPr="00EC3EE4" w:rsidRDefault="00EC3EE4" w:rsidP="00EC3EE4">
            <w:pPr>
              <w:jc w:val="both"/>
              <w:rPr>
                <w:rFonts w:eastAsiaTheme="minorHAnsi"/>
                <w:sz w:val="20"/>
                <w:lang w:val="fr-CA"/>
              </w:rPr>
            </w:pPr>
            <w:r w:rsidRPr="00EC3EE4">
              <w:rPr>
                <w:rFonts w:eastAsiaTheme="minorHAnsi"/>
                <w:sz w:val="20"/>
                <w:lang w:val="fr-CA"/>
              </w:rPr>
              <w:t xml:space="preserve">En 2005, 9080-9211 Québec Inc. (« Victoria »), demanderesse, a conclu un contrat d’approvisionnement en gaz naturel avec l’intimée </w:t>
            </w:r>
            <w:proofErr w:type="spellStart"/>
            <w:r w:rsidRPr="00EC3EE4">
              <w:rPr>
                <w:rFonts w:eastAsiaTheme="minorHAnsi"/>
                <w:sz w:val="20"/>
                <w:lang w:val="fr-CA"/>
              </w:rPr>
              <w:t>Athena</w:t>
            </w:r>
            <w:proofErr w:type="spellEnd"/>
            <w:r w:rsidRPr="00EC3EE4">
              <w:rPr>
                <w:rFonts w:eastAsiaTheme="minorHAnsi"/>
                <w:sz w:val="20"/>
                <w:lang w:val="fr-CA"/>
              </w:rPr>
              <w:t xml:space="preserve"> </w:t>
            </w:r>
            <w:proofErr w:type="spellStart"/>
            <w:r w:rsidRPr="00EC3EE4">
              <w:rPr>
                <w:rFonts w:eastAsiaTheme="minorHAnsi"/>
                <w:sz w:val="20"/>
                <w:lang w:val="fr-CA"/>
              </w:rPr>
              <w:t>Energy</w:t>
            </w:r>
            <w:proofErr w:type="spellEnd"/>
            <w:r w:rsidRPr="00EC3EE4">
              <w:rPr>
                <w:rFonts w:eastAsiaTheme="minorHAnsi"/>
                <w:sz w:val="20"/>
                <w:lang w:val="fr-CA"/>
              </w:rPr>
              <w:t xml:space="preserve"> Marketing Inc. (« </w:t>
            </w:r>
            <w:proofErr w:type="spellStart"/>
            <w:r w:rsidRPr="00EC3EE4">
              <w:rPr>
                <w:rFonts w:eastAsiaTheme="minorHAnsi"/>
                <w:sz w:val="20"/>
                <w:lang w:val="fr-CA"/>
              </w:rPr>
              <w:t>Athena</w:t>
            </w:r>
            <w:proofErr w:type="spellEnd"/>
            <w:r w:rsidRPr="00EC3EE4">
              <w:rPr>
                <w:rFonts w:eastAsiaTheme="minorHAnsi"/>
                <w:sz w:val="20"/>
                <w:lang w:val="fr-CA"/>
              </w:rPr>
              <w:t xml:space="preserve"> ») pour les besoins de ses quatre immeubles à revenus situés à Montréal.  Aux termes du contrat, Victoria s’est engagée à consommer et à payer une quantité fixe de gaz naturel pendant cinq ans.  En 2006, Victoria a vendu deux des quatre immeubles et sa consommation de gaz naturel a alors diminué.  En 2009, elle a vendu ses deux derniers immeubles et sa consommation est tombée à zéro.  Lorsque Victoria a cessé de payer les factures, </w:t>
            </w:r>
            <w:proofErr w:type="spellStart"/>
            <w:r w:rsidRPr="00EC3EE4">
              <w:rPr>
                <w:rFonts w:eastAsiaTheme="minorHAnsi"/>
                <w:sz w:val="20"/>
                <w:lang w:val="fr-CA"/>
              </w:rPr>
              <w:t>Athena</w:t>
            </w:r>
            <w:proofErr w:type="spellEnd"/>
            <w:r w:rsidRPr="00EC3EE4">
              <w:rPr>
                <w:rFonts w:eastAsiaTheme="minorHAnsi"/>
                <w:sz w:val="20"/>
                <w:lang w:val="fr-CA"/>
              </w:rPr>
              <w:t xml:space="preserve"> a intenté une action sur compte afin de recouvrir la perte qu’elle avait subie. La Cour supérieure a accueilli l’action.  La Cour d’appel a rejeté l’appel.</w:t>
            </w:r>
          </w:p>
          <w:p w:rsidR="00EC3EE4" w:rsidRPr="00EC3EE4" w:rsidRDefault="00EC3EE4" w:rsidP="00EC3EE4">
            <w:pPr>
              <w:jc w:val="both"/>
              <w:rPr>
                <w:rFonts w:eastAsiaTheme="minorHAnsi"/>
                <w:sz w:val="20"/>
                <w:lang w:val="fr-CA"/>
              </w:rPr>
            </w:pPr>
          </w:p>
        </w:tc>
      </w:tr>
      <w:tr w:rsidR="00EC3EE4" w:rsidRPr="001155B4" w:rsidTr="00E52530">
        <w:tc>
          <w:tcPr>
            <w:tcW w:w="2427" w:type="pct"/>
            <w:gridSpan w:val="2"/>
          </w:tcPr>
          <w:p w:rsidR="00EC3EE4" w:rsidRPr="00EC3EE4" w:rsidRDefault="00EC3EE4" w:rsidP="00EC3EE4">
            <w:pPr>
              <w:jc w:val="both"/>
              <w:rPr>
                <w:rFonts w:eastAsiaTheme="minorHAnsi"/>
                <w:sz w:val="20"/>
                <w:lang w:val="fr-CA"/>
              </w:rPr>
            </w:pPr>
            <w:r w:rsidRPr="00EC3EE4">
              <w:rPr>
                <w:rFonts w:eastAsiaTheme="minorHAnsi"/>
                <w:sz w:val="20"/>
                <w:lang w:val="fr-CA"/>
              </w:rPr>
              <w:t>Le 19 juin 2013</w:t>
            </w:r>
          </w:p>
          <w:p w:rsidR="00EC3EE4" w:rsidRPr="00EC3EE4" w:rsidRDefault="00EC3EE4" w:rsidP="00EC3EE4">
            <w:pPr>
              <w:jc w:val="both"/>
              <w:rPr>
                <w:rFonts w:eastAsiaTheme="minorHAnsi"/>
                <w:sz w:val="20"/>
                <w:lang w:val="fr-CA"/>
              </w:rPr>
            </w:pPr>
            <w:r w:rsidRPr="00EC3EE4">
              <w:rPr>
                <w:rFonts w:eastAsiaTheme="minorHAnsi"/>
                <w:sz w:val="20"/>
                <w:lang w:val="fr-CA"/>
              </w:rPr>
              <w:t>Cour supérieure du Québec</w:t>
            </w:r>
          </w:p>
          <w:p w:rsidR="00EC3EE4" w:rsidRPr="00EC3EE4" w:rsidRDefault="00EC3EE4" w:rsidP="00EC3EE4">
            <w:pPr>
              <w:jc w:val="both"/>
              <w:rPr>
                <w:rFonts w:eastAsiaTheme="minorHAnsi"/>
                <w:sz w:val="20"/>
                <w:lang w:val="en-CA"/>
              </w:rPr>
            </w:pPr>
            <w:r w:rsidRPr="00EC3EE4">
              <w:rPr>
                <w:rFonts w:eastAsiaTheme="minorHAnsi"/>
                <w:sz w:val="20"/>
                <w:lang w:val="en-CA"/>
              </w:rPr>
              <w:t xml:space="preserve">(Le </w:t>
            </w:r>
            <w:proofErr w:type="spellStart"/>
            <w:r w:rsidRPr="00EC3EE4">
              <w:rPr>
                <w:rFonts w:eastAsiaTheme="minorHAnsi"/>
                <w:sz w:val="20"/>
                <w:lang w:val="en-CA"/>
              </w:rPr>
              <w:t>juge</w:t>
            </w:r>
            <w:proofErr w:type="spellEnd"/>
            <w:r w:rsidRPr="00EC3EE4">
              <w:rPr>
                <w:rFonts w:eastAsiaTheme="minorHAnsi"/>
                <w:sz w:val="20"/>
                <w:lang w:val="en-CA"/>
              </w:rPr>
              <w:t xml:space="preserve"> Emery)</w:t>
            </w:r>
          </w:p>
          <w:p w:rsidR="00EC3EE4" w:rsidRPr="00EC3EE4" w:rsidRDefault="001155B4" w:rsidP="00EC3EE4">
            <w:pPr>
              <w:jc w:val="both"/>
              <w:rPr>
                <w:rFonts w:eastAsiaTheme="minorHAnsi"/>
                <w:sz w:val="20"/>
                <w:lang w:val="en-CA"/>
              </w:rPr>
            </w:pPr>
            <w:hyperlink r:id="rId25" w:history="1">
              <w:r w:rsidR="00EC3EE4" w:rsidRPr="00E52530">
                <w:rPr>
                  <w:rFonts w:eastAsiaTheme="minorHAnsi"/>
                  <w:color w:val="0000FF" w:themeColor="hyperlink"/>
                  <w:sz w:val="20"/>
                  <w:u w:val="single"/>
                  <w:lang w:val="en-CA"/>
                </w:rPr>
                <w:t>2013 QCCS 2715</w:t>
              </w:r>
            </w:hyperlink>
          </w:p>
          <w:p w:rsidR="00EC3EE4" w:rsidRPr="00EC3EE4" w:rsidRDefault="00EC3EE4" w:rsidP="00EC3EE4">
            <w:pPr>
              <w:jc w:val="both"/>
              <w:rPr>
                <w:rFonts w:eastAsiaTheme="minorHAnsi"/>
                <w:sz w:val="20"/>
                <w:lang w:val="en-CA"/>
              </w:rPr>
            </w:pPr>
          </w:p>
        </w:tc>
        <w:tc>
          <w:tcPr>
            <w:tcW w:w="243" w:type="pct"/>
          </w:tcPr>
          <w:p w:rsidR="00EC3EE4" w:rsidRPr="00EC3EE4" w:rsidRDefault="00EC3EE4" w:rsidP="00EC3EE4">
            <w:pPr>
              <w:jc w:val="both"/>
              <w:rPr>
                <w:rFonts w:eastAsiaTheme="minorHAnsi"/>
                <w:sz w:val="20"/>
                <w:lang w:val="en-CA"/>
              </w:rPr>
            </w:pPr>
          </w:p>
        </w:tc>
        <w:tc>
          <w:tcPr>
            <w:tcW w:w="2330" w:type="pct"/>
          </w:tcPr>
          <w:p w:rsidR="00EC3EE4" w:rsidRPr="00EC3EE4" w:rsidRDefault="00EC3EE4" w:rsidP="00EC3EE4">
            <w:pPr>
              <w:jc w:val="both"/>
              <w:rPr>
                <w:rFonts w:eastAsiaTheme="minorHAnsi"/>
                <w:sz w:val="20"/>
                <w:lang w:val="fr-CA"/>
              </w:rPr>
            </w:pPr>
            <w:r w:rsidRPr="00EC3EE4">
              <w:rPr>
                <w:rFonts w:eastAsiaTheme="minorHAnsi"/>
                <w:sz w:val="20"/>
                <w:lang w:val="fr-CA"/>
              </w:rPr>
              <w:t xml:space="preserve">Action de l’intimée </w:t>
            </w:r>
            <w:proofErr w:type="spellStart"/>
            <w:r w:rsidRPr="00EC3EE4">
              <w:rPr>
                <w:rFonts w:eastAsiaTheme="minorHAnsi"/>
                <w:sz w:val="20"/>
                <w:lang w:val="fr-CA"/>
              </w:rPr>
              <w:t>Athena</w:t>
            </w:r>
            <w:proofErr w:type="spellEnd"/>
            <w:r w:rsidRPr="00EC3EE4">
              <w:rPr>
                <w:rFonts w:eastAsiaTheme="minorHAnsi"/>
                <w:sz w:val="20"/>
                <w:lang w:val="fr-CA"/>
              </w:rPr>
              <w:t xml:space="preserve"> accueillie; demanderesse condamnée à payer à </w:t>
            </w:r>
            <w:proofErr w:type="spellStart"/>
            <w:r w:rsidRPr="00EC3EE4">
              <w:rPr>
                <w:rFonts w:eastAsiaTheme="minorHAnsi"/>
                <w:sz w:val="20"/>
                <w:lang w:val="fr-CA"/>
              </w:rPr>
              <w:t>Athena</w:t>
            </w:r>
            <w:proofErr w:type="spellEnd"/>
            <w:r w:rsidRPr="00EC3EE4">
              <w:rPr>
                <w:rFonts w:eastAsiaTheme="minorHAnsi"/>
                <w:sz w:val="20"/>
                <w:lang w:val="fr-CA"/>
              </w:rPr>
              <w:t xml:space="preserve"> 234 000 $</w:t>
            </w:r>
          </w:p>
          <w:p w:rsidR="00EC3EE4" w:rsidRPr="00EC3EE4" w:rsidRDefault="00EC3EE4" w:rsidP="00EC3EE4">
            <w:pPr>
              <w:jc w:val="both"/>
              <w:rPr>
                <w:rFonts w:eastAsiaTheme="minorHAnsi"/>
                <w:sz w:val="20"/>
                <w:lang w:val="fr-CA"/>
              </w:rPr>
            </w:pPr>
          </w:p>
        </w:tc>
      </w:tr>
      <w:tr w:rsidR="00EC3EE4" w:rsidRPr="00EC3EE4" w:rsidTr="00E52530">
        <w:tc>
          <w:tcPr>
            <w:tcW w:w="2427" w:type="pct"/>
            <w:gridSpan w:val="2"/>
          </w:tcPr>
          <w:p w:rsidR="00EC3EE4" w:rsidRPr="00EC3EE4" w:rsidRDefault="00EC3EE4" w:rsidP="00EC3EE4">
            <w:pPr>
              <w:jc w:val="both"/>
              <w:rPr>
                <w:rFonts w:eastAsiaTheme="minorHAnsi"/>
                <w:sz w:val="20"/>
                <w:lang w:val="fr-CA"/>
              </w:rPr>
            </w:pPr>
            <w:r w:rsidRPr="00EC3EE4">
              <w:rPr>
                <w:rFonts w:eastAsiaTheme="minorHAnsi"/>
                <w:sz w:val="20"/>
                <w:lang w:val="fr-CA"/>
              </w:rPr>
              <w:t>Le 2 décembre 2014</w:t>
            </w:r>
          </w:p>
          <w:p w:rsidR="00EC3EE4" w:rsidRPr="00EC3EE4" w:rsidRDefault="00EC3EE4" w:rsidP="00EC3EE4">
            <w:pPr>
              <w:jc w:val="both"/>
              <w:rPr>
                <w:rFonts w:eastAsiaTheme="minorHAnsi"/>
                <w:sz w:val="20"/>
                <w:lang w:val="fr-CA"/>
              </w:rPr>
            </w:pPr>
            <w:r w:rsidRPr="00EC3EE4">
              <w:rPr>
                <w:rFonts w:eastAsiaTheme="minorHAnsi"/>
                <w:sz w:val="20"/>
                <w:lang w:val="fr-CA"/>
              </w:rPr>
              <w:t>Cour d’appel du Québec (Montréal)</w:t>
            </w:r>
          </w:p>
          <w:p w:rsidR="00EC3EE4" w:rsidRPr="00EC3EE4" w:rsidRDefault="00EC3EE4" w:rsidP="00EC3EE4">
            <w:pPr>
              <w:jc w:val="both"/>
              <w:rPr>
                <w:rFonts w:eastAsiaTheme="minorHAnsi"/>
                <w:sz w:val="20"/>
                <w:lang w:val="fr-CA"/>
              </w:rPr>
            </w:pPr>
            <w:r w:rsidRPr="00EC3EE4">
              <w:rPr>
                <w:rFonts w:eastAsiaTheme="minorHAnsi"/>
                <w:sz w:val="20"/>
                <w:lang w:val="fr-CA"/>
              </w:rPr>
              <w:t xml:space="preserve">(La juge en chef Duval </w:t>
            </w:r>
            <w:proofErr w:type="spellStart"/>
            <w:r w:rsidRPr="00EC3EE4">
              <w:rPr>
                <w:rFonts w:eastAsiaTheme="minorHAnsi"/>
                <w:sz w:val="20"/>
                <w:lang w:val="fr-CA"/>
              </w:rPr>
              <w:t>Hesler</w:t>
            </w:r>
            <w:proofErr w:type="spellEnd"/>
            <w:r w:rsidRPr="00EC3EE4">
              <w:rPr>
                <w:rFonts w:eastAsiaTheme="minorHAnsi"/>
                <w:sz w:val="20"/>
                <w:lang w:val="fr-CA"/>
              </w:rPr>
              <w:t xml:space="preserve"> et les juges Vézina et </w:t>
            </w:r>
            <w:proofErr w:type="spellStart"/>
            <w:r w:rsidRPr="00EC3EE4">
              <w:rPr>
                <w:rFonts w:eastAsiaTheme="minorHAnsi"/>
                <w:sz w:val="20"/>
                <w:lang w:val="fr-CA"/>
              </w:rPr>
              <w:t>Vauclair</w:t>
            </w:r>
            <w:proofErr w:type="spellEnd"/>
            <w:r w:rsidRPr="00EC3EE4">
              <w:rPr>
                <w:rFonts w:eastAsiaTheme="minorHAnsi"/>
                <w:sz w:val="20"/>
                <w:lang w:val="fr-CA"/>
              </w:rPr>
              <w:t>)</w:t>
            </w:r>
          </w:p>
          <w:p w:rsidR="00EC3EE4" w:rsidRPr="00EC3EE4" w:rsidRDefault="001155B4" w:rsidP="00EC3EE4">
            <w:pPr>
              <w:jc w:val="both"/>
              <w:rPr>
                <w:rFonts w:eastAsiaTheme="minorHAnsi"/>
                <w:sz w:val="20"/>
                <w:lang w:val="en-CA"/>
              </w:rPr>
            </w:pPr>
            <w:hyperlink r:id="rId26" w:history="1">
              <w:r w:rsidR="00EC3EE4" w:rsidRPr="00E52530">
                <w:rPr>
                  <w:rFonts w:eastAsiaTheme="minorHAnsi"/>
                  <w:color w:val="0000FF" w:themeColor="hyperlink"/>
                  <w:sz w:val="20"/>
                  <w:u w:val="single"/>
                  <w:lang w:val="en-CA"/>
                </w:rPr>
                <w:t>2014 QCCA 2255</w:t>
              </w:r>
            </w:hyperlink>
          </w:p>
          <w:p w:rsidR="00EC3EE4" w:rsidRPr="00EC3EE4" w:rsidRDefault="00EC3EE4" w:rsidP="00EC3EE4">
            <w:pPr>
              <w:jc w:val="both"/>
              <w:rPr>
                <w:rFonts w:eastAsiaTheme="minorHAnsi"/>
                <w:sz w:val="20"/>
                <w:lang w:val="fr-CA"/>
              </w:rPr>
            </w:pPr>
          </w:p>
        </w:tc>
        <w:tc>
          <w:tcPr>
            <w:tcW w:w="243" w:type="pct"/>
          </w:tcPr>
          <w:p w:rsidR="00EC3EE4" w:rsidRPr="00EC3EE4" w:rsidRDefault="00EC3EE4" w:rsidP="00EC3EE4">
            <w:pPr>
              <w:jc w:val="both"/>
              <w:rPr>
                <w:rFonts w:eastAsiaTheme="minorHAnsi"/>
                <w:sz w:val="20"/>
                <w:lang w:val="fr-CA"/>
              </w:rPr>
            </w:pPr>
          </w:p>
        </w:tc>
        <w:tc>
          <w:tcPr>
            <w:tcW w:w="2330" w:type="pct"/>
          </w:tcPr>
          <w:p w:rsidR="00EC3EE4" w:rsidRPr="00EC3EE4" w:rsidRDefault="00EC3EE4" w:rsidP="00EC3EE4">
            <w:pPr>
              <w:jc w:val="both"/>
              <w:rPr>
                <w:rFonts w:eastAsiaTheme="minorHAnsi"/>
                <w:sz w:val="20"/>
                <w:lang w:val="en-CA"/>
              </w:rPr>
            </w:pPr>
            <w:r w:rsidRPr="00EC3EE4">
              <w:rPr>
                <w:rFonts w:eastAsiaTheme="minorHAnsi"/>
                <w:sz w:val="20"/>
                <w:lang w:val="en-CA"/>
              </w:rPr>
              <w:t xml:space="preserve">Appel </w:t>
            </w:r>
            <w:proofErr w:type="spellStart"/>
            <w:r w:rsidRPr="00EC3EE4">
              <w:rPr>
                <w:rFonts w:eastAsiaTheme="minorHAnsi"/>
                <w:sz w:val="20"/>
                <w:lang w:val="en-CA"/>
              </w:rPr>
              <w:t>rejeté</w:t>
            </w:r>
            <w:proofErr w:type="spellEnd"/>
          </w:p>
          <w:p w:rsidR="00EC3EE4" w:rsidRPr="00EC3EE4" w:rsidRDefault="00EC3EE4" w:rsidP="00EC3EE4">
            <w:pPr>
              <w:jc w:val="both"/>
              <w:rPr>
                <w:rFonts w:eastAsiaTheme="minorHAnsi"/>
                <w:sz w:val="20"/>
                <w:lang w:val="en-CA"/>
              </w:rPr>
            </w:pPr>
          </w:p>
        </w:tc>
      </w:tr>
      <w:tr w:rsidR="00EC3EE4" w:rsidRPr="00EC3EE4" w:rsidTr="00E52530">
        <w:tc>
          <w:tcPr>
            <w:tcW w:w="2427" w:type="pct"/>
            <w:gridSpan w:val="2"/>
          </w:tcPr>
          <w:p w:rsidR="00EC3EE4" w:rsidRPr="00EC3EE4" w:rsidRDefault="00EC3EE4" w:rsidP="00EC3EE4">
            <w:pPr>
              <w:jc w:val="both"/>
              <w:rPr>
                <w:rFonts w:eastAsiaTheme="minorHAnsi"/>
                <w:sz w:val="20"/>
                <w:lang w:val="fr-CA"/>
              </w:rPr>
            </w:pPr>
            <w:r w:rsidRPr="00EC3EE4">
              <w:rPr>
                <w:rFonts w:eastAsiaTheme="minorHAnsi"/>
                <w:sz w:val="20"/>
                <w:lang w:val="fr-CA"/>
              </w:rPr>
              <w:t>Le 26 janvier 2015</w:t>
            </w:r>
          </w:p>
          <w:p w:rsidR="00EC3EE4" w:rsidRPr="00EC3EE4" w:rsidRDefault="00EC3EE4" w:rsidP="00EC3EE4">
            <w:pPr>
              <w:jc w:val="both"/>
              <w:rPr>
                <w:rFonts w:eastAsiaTheme="minorHAnsi"/>
                <w:sz w:val="20"/>
                <w:lang w:val="fr-CA"/>
              </w:rPr>
            </w:pPr>
            <w:r w:rsidRPr="00EC3EE4">
              <w:rPr>
                <w:rFonts w:eastAsiaTheme="minorHAnsi"/>
                <w:sz w:val="20"/>
                <w:lang w:val="fr-CA"/>
              </w:rPr>
              <w:t>Cour suprême du Canada</w:t>
            </w:r>
          </w:p>
        </w:tc>
        <w:tc>
          <w:tcPr>
            <w:tcW w:w="243" w:type="pct"/>
          </w:tcPr>
          <w:p w:rsidR="00EC3EE4" w:rsidRPr="00EC3EE4" w:rsidRDefault="00EC3EE4" w:rsidP="00EC3EE4">
            <w:pPr>
              <w:jc w:val="both"/>
              <w:rPr>
                <w:rFonts w:eastAsiaTheme="minorHAnsi"/>
                <w:sz w:val="20"/>
                <w:lang w:val="fr-CA"/>
              </w:rPr>
            </w:pPr>
          </w:p>
        </w:tc>
        <w:tc>
          <w:tcPr>
            <w:tcW w:w="2330" w:type="pct"/>
          </w:tcPr>
          <w:p w:rsidR="00EC3EE4" w:rsidRPr="00EC3EE4" w:rsidRDefault="00EC3EE4" w:rsidP="00EC3EE4">
            <w:pPr>
              <w:jc w:val="both"/>
              <w:rPr>
                <w:rFonts w:eastAsiaTheme="minorHAnsi"/>
                <w:sz w:val="20"/>
                <w:lang w:val="en-CA"/>
              </w:rPr>
            </w:pPr>
            <w:proofErr w:type="spellStart"/>
            <w:r w:rsidRPr="00EC3EE4">
              <w:rPr>
                <w:rFonts w:eastAsiaTheme="minorHAnsi"/>
                <w:sz w:val="20"/>
                <w:lang w:val="en-CA"/>
              </w:rPr>
              <w:t>Demande</w:t>
            </w:r>
            <w:proofErr w:type="spellEnd"/>
            <w:r w:rsidRPr="00EC3EE4">
              <w:rPr>
                <w:rFonts w:eastAsiaTheme="minorHAnsi"/>
                <w:sz w:val="20"/>
                <w:lang w:val="en-CA"/>
              </w:rPr>
              <w:t xml:space="preserve"> </w:t>
            </w:r>
            <w:proofErr w:type="spellStart"/>
            <w:r w:rsidRPr="00EC3EE4">
              <w:rPr>
                <w:rFonts w:eastAsiaTheme="minorHAnsi"/>
                <w:sz w:val="20"/>
                <w:lang w:val="en-CA"/>
              </w:rPr>
              <w:t>d’autorisation</w:t>
            </w:r>
            <w:proofErr w:type="spellEnd"/>
            <w:r w:rsidRPr="00EC3EE4">
              <w:rPr>
                <w:rFonts w:eastAsiaTheme="minorHAnsi"/>
                <w:sz w:val="20"/>
                <w:lang w:val="en-CA"/>
              </w:rPr>
              <w:t xml:space="preserve"> </w:t>
            </w:r>
            <w:proofErr w:type="spellStart"/>
            <w:r w:rsidRPr="00EC3EE4">
              <w:rPr>
                <w:rFonts w:eastAsiaTheme="minorHAnsi"/>
                <w:sz w:val="20"/>
                <w:lang w:val="en-CA"/>
              </w:rPr>
              <w:t>d’appel</w:t>
            </w:r>
            <w:proofErr w:type="spellEnd"/>
            <w:r w:rsidRPr="00EC3EE4">
              <w:rPr>
                <w:rFonts w:eastAsiaTheme="minorHAnsi"/>
                <w:sz w:val="20"/>
                <w:lang w:val="en-CA"/>
              </w:rPr>
              <w:t xml:space="preserve"> </w:t>
            </w:r>
            <w:proofErr w:type="spellStart"/>
            <w:r w:rsidRPr="00EC3EE4">
              <w:rPr>
                <w:rFonts w:eastAsiaTheme="minorHAnsi"/>
                <w:sz w:val="20"/>
                <w:lang w:val="en-CA"/>
              </w:rPr>
              <w:t>déposée</w:t>
            </w:r>
            <w:proofErr w:type="spellEnd"/>
          </w:p>
        </w:tc>
      </w:tr>
    </w:tbl>
    <w:p w:rsidR="00EC3EE4" w:rsidRDefault="00EC3EE4" w:rsidP="00EC3EE4">
      <w:pPr>
        <w:jc w:val="both"/>
        <w:rPr>
          <w:rFonts w:eastAsiaTheme="minorHAnsi"/>
          <w:sz w:val="20"/>
          <w:lang w:val="en-CA"/>
        </w:rPr>
      </w:pPr>
    </w:p>
    <w:p w:rsidR="00E52530" w:rsidRPr="00EC3EE4" w:rsidRDefault="00E52530" w:rsidP="00EC3EE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530" w:rsidRPr="00E52530" w:rsidTr="00E52530">
        <w:tc>
          <w:tcPr>
            <w:tcW w:w="543" w:type="pct"/>
          </w:tcPr>
          <w:p w:rsidR="00E52530" w:rsidRPr="00E52530" w:rsidRDefault="00E52530" w:rsidP="00E52530">
            <w:pPr>
              <w:jc w:val="both"/>
              <w:rPr>
                <w:rFonts w:eastAsiaTheme="minorHAnsi"/>
                <w:sz w:val="20"/>
                <w:lang w:val="en-CA"/>
              </w:rPr>
            </w:pPr>
            <w:r w:rsidRPr="00E52530">
              <w:rPr>
                <w:rFonts w:eastAsiaTheme="minorHAnsi"/>
                <w:b/>
                <w:sz w:val="20"/>
                <w:lang w:val="en-CA"/>
              </w:rPr>
              <w:t>36315</w:t>
            </w:r>
          </w:p>
        </w:tc>
        <w:tc>
          <w:tcPr>
            <w:tcW w:w="4457" w:type="pct"/>
            <w:gridSpan w:val="3"/>
          </w:tcPr>
          <w:p w:rsidR="00E52530" w:rsidRPr="00E52530" w:rsidRDefault="00E52530" w:rsidP="00E52530">
            <w:pPr>
              <w:jc w:val="both"/>
              <w:rPr>
                <w:rFonts w:eastAsiaTheme="minorHAnsi"/>
                <w:b/>
                <w:sz w:val="20"/>
                <w:lang w:val="en-CA"/>
              </w:rPr>
            </w:pPr>
            <w:r w:rsidRPr="00E52530">
              <w:rPr>
                <w:rFonts w:eastAsiaTheme="minorHAnsi"/>
                <w:b/>
                <w:sz w:val="20"/>
                <w:lang w:val="en-CA"/>
              </w:rPr>
              <w:t xml:space="preserve">World Bank Group v. Kevin Wallace, </w:t>
            </w:r>
            <w:proofErr w:type="spellStart"/>
            <w:r w:rsidRPr="00E52530">
              <w:rPr>
                <w:rFonts w:eastAsiaTheme="minorHAnsi"/>
                <w:b/>
                <w:sz w:val="20"/>
                <w:lang w:val="en-CA"/>
              </w:rPr>
              <w:t>Zulfiquar</w:t>
            </w:r>
            <w:proofErr w:type="spellEnd"/>
            <w:r w:rsidRPr="00E52530">
              <w:rPr>
                <w:rFonts w:eastAsiaTheme="minorHAnsi"/>
                <w:b/>
                <w:sz w:val="20"/>
                <w:lang w:val="en-CA"/>
              </w:rPr>
              <w:t xml:space="preserve"> </w:t>
            </w:r>
            <w:proofErr w:type="spellStart"/>
            <w:r w:rsidRPr="00E52530">
              <w:rPr>
                <w:rFonts w:eastAsiaTheme="minorHAnsi"/>
                <w:b/>
                <w:sz w:val="20"/>
                <w:lang w:val="en-CA"/>
              </w:rPr>
              <w:t>Bhuiyan</w:t>
            </w:r>
            <w:proofErr w:type="spellEnd"/>
            <w:r w:rsidRPr="00E52530">
              <w:rPr>
                <w:rFonts w:eastAsiaTheme="minorHAnsi"/>
                <w:b/>
                <w:sz w:val="20"/>
                <w:lang w:val="en-CA"/>
              </w:rPr>
              <w:t>, Ramesh Shah, Mohammad Ismail, Her Majesty the Queen in Right of Canada</w:t>
            </w:r>
          </w:p>
          <w:p w:rsidR="00E52530" w:rsidRPr="00E52530" w:rsidRDefault="00E52530" w:rsidP="00E52530">
            <w:pPr>
              <w:jc w:val="both"/>
              <w:rPr>
                <w:rFonts w:eastAsiaTheme="minorHAnsi"/>
                <w:sz w:val="20"/>
                <w:lang w:val="en-CA"/>
              </w:rPr>
            </w:pPr>
            <w:r w:rsidRPr="00E52530">
              <w:rPr>
                <w:rFonts w:eastAsiaTheme="minorHAnsi"/>
                <w:sz w:val="20"/>
                <w:lang w:val="en-CA"/>
              </w:rPr>
              <w:t>(Ont.) (Criminal) (By leave)</w:t>
            </w:r>
          </w:p>
        </w:tc>
      </w:tr>
      <w:tr w:rsidR="00E52530" w:rsidRPr="00E52530" w:rsidTr="00E52530">
        <w:tc>
          <w:tcPr>
            <w:tcW w:w="5000" w:type="pct"/>
            <w:gridSpan w:val="4"/>
          </w:tcPr>
          <w:p w:rsidR="00E52530" w:rsidRPr="00E52530" w:rsidRDefault="00E52530" w:rsidP="00E52530">
            <w:pPr>
              <w:jc w:val="both"/>
              <w:rPr>
                <w:rFonts w:eastAsiaTheme="minorHAnsi"/>
                <w:sz w:val="20"/>
                <w:lang w:val="en-CA"/>
              </w:rPr>
            </w:pPr>
            <w:r w:rsidRPr="00E52530">
              <w:rPr>
                <w:rFonts w:eastAsiaTheme="minorHAnsi"/>
                <w:sz w:val="20"/>
                <w:lang w:val="en-CA"/>
              </w:rPr>
              <w:t xml:space="preserve">Public international law – Jurisdictional Immunity – </w:t>
            </w:r>
            <w:r w:rsidRPr="00E52530">
              <w:rPr>
                <w:rFonts w:eastAsiaTheme="minorHAnsi"/>
                <w:iCs/>
                <w:spacing w:val="-3"/>
                <w:sz w:val="20"/>
                <w:lang w:val="en-GB"/>
              </w:rPr>
              <w:t xml:space="preserve">Criminal law – Evidence – Accused charged with </w:t>
            </w:r>
            <w:r w:rsidRPr="00E52530">
              <w:rPr>
                <w:rFonts w:eastAsiaTheme="minorHAnsi"/>
                <w:sz w:val="20"/>
                <w:lang w:val="en-CA"/>
              </w:rPr>
              <w:t xml:space="preserve">bribing foreign public officials </w:t>
            </w:r>
            <w:r w:rsidRPr="00E52530">
              <w:rPr>
                <w:rFonts w:eastAsiaTheme="minorHAnsi"/>
                <w:iCs/>
                <w:spacing w:val="-3"/>
                <w:sz w:val="20"/>
                <w:lang w:val="en-GB"/>
              </w:rPr>
              <w:t xml:space="preserve">– Accused demanding production of internal documents of third party international organization – Interlocutory Order for production of records for court review under </w:t>
            </w:r>
            <w:r w:rsidRPr="00E52530">
              <w:rPr>
                <w:rFonts w:eastAsiaTheme="minorHAnsi"/>
                <w:i/>
                <w:iCs/>
                <w:spacing w:val="-3"/>
                <w:sz w:val="20"/>
                <w:lang w:val="en-GB"/>
              </w:rPr>
              <w:t>R. v. O’Connor</w:t>
            </w:r>
            <w:r w:rsidRPr="00E52530">
              <w:rPr>
                <w:rFonts w:eastAsiaTheme="minorHAnsi"/>
                <w:iCs/>
                <w:spacing w:val="-3"/>
                <w:sz w:val="20"/>
                <w:lang w:val="en-GB"/>
              </w:rPr>
              <w:t xml:space="preserve">, [1995] 4 S.C.R. 411 – Third party seeking to appeal interlocutory judgment – </w:t>
            </w:r>
            <w:r w:rsidRPr="00E52530">
              <w:rPr>
                <w:rFonts w:eastAsiaTheme="minorHAnsi"/>
                <w:sz w:val="20"/>
                <w:lang w:val="en-CA"/>
              </w:rPr>
              <w:t xml:space="preserve">Whether there is any principled basis on which a Superior Court should assert jurisdiction to compel production of confidential records of international organizations neither resident in Canada nor </w:t>
            </w:r>
            <w:proofErr w:type="spellStart"/>
            <w:r w:rsidRPr="00E52530">
              <w:rPr>
                <w:rFonts w:eastAsiaTheme="minorHAnsi"/>
                <w:sz w:val="20"/>
                <w:lang w:val="en-CA"/>
              </w:rPr>
              <w:t>attorning</w:t>
            </w:r>
            <w:proofErr w:type="spellEnd"/>
            <w:r w:rsidRPr="00E52530">
              <w:rPr>
                <w:rFonts w:eastAsiaTheme="minorHAnsi"/>
                <w:sz w:val="20"/>
                <w:lang w:val="en-CA"/>
              </w:rPr>
              <w:t xml:space="preserve"> to Canadian jurisdiction – What is the scope and effect of statutory immunity for international organizations, conferred by Canadian law, in the context of criminal proceedings to which such international organizations are not a party – Whether the benefits/burdens doctrine has any application to the statutory immunity conferred on international organizations by Canadian law – Whether the immunity, when expressly reserved, can be waived implicitly by conduct rather than expressly – Whether the immunity is capable of being waived by the applicant’s officials, at what level and by what procedure – Does the onus of establishing “undue interference” fall on the applicant in order to maintain its immunity – Is it legally appropriate to equate the waiver of a private law privilege with circumstances giving rise to the loss of a public law immunity conferred by statute – Because the accused wish to bring a </w:t>
            </w:r>
            <w:proofErr w:type="spellStart"/>
            <w:r w:rsidRPr="00E52530">
              <w:rPr>
                <w:rFonts w:eastAsiaTheme="minorHAnsi"/>
                <w:sz w:val="20"/>
                <w:lang w:val="en-CA"/>
              </w:rPr>
              <w:t>Garofoli</w:t>
            </w:r>
            <w:proofErr w:type="spellEnd"/>
            <w:r w:rsidRPr="00E52530">
              <w:rPr>
                <w:rFonts w:eastAsiaTheme="minorHAnsi"/>
                <w:sz w:val="20"/>
                <w:lang w:val="en-CA"/>
              </w:rPr>
              <w:t xml:space="preserve"> Application to challenge the </w:t>
            </w:r>
            <w:r w:rsidRPr="00E52530">
              <w:rPr>
                <w:rFonts w:eastAsiaTheme="minorHAnsi"/>
                <w:sz w:val="20"/>
                <w:lang w:val="en-CA"/>
              </w:rPr>
              <w:lastRenderedPageBreak/>
              <w:t>Information to Obtain, does that make the applicant’s internal deliberative documents producible.</w:t>
            </w:r>
          </w:p>
        </w:tc>
      </w:tr>
      <w:tr w:rsidR="00E52530" w:rsidRPr="00E52530" w:rsidTr="00E52530">
        <w:tc>
          <w:tcPr>
            <w:tcW w:w="5000" w:type="pct"/>
            <w:gridSpan w:val="4"/>
          </w:tcPr>
          <w:p w:rsidR="00E52530" w:rsidRPr="00E52530" w:rsidRDefault="00E52530" w:rsidP="00E52530">
            <w:pPr>
              <w:jc w:val="both"/>
              <w:rPr>
                <w:rFonts w:eastAsiaTheme="minorHAnsi"/>
                <w:sz w:val="20"/>
                <w:lang w:val="en-CA"/>
              </w:rPr>
            </w:pPr>
          </w:p>
        </w:tc>
      </w:tr>
      <w:tr w:rsidR="00E52530" w:rsidRPr="00E52530" w:rsidTr="00E52530">
        <w:tc>
          <w:tcPr>
            <w:tcW w:w="5000" w:type="pct"/>
            <w:gridSpan w:val="4"/>
          </w:tcPr>
          <w:p w:rsidR="00E52530" w:rsidRPr="00E52530" w:rsidRDefault="00E52530" w:rsidP="00E52530">
            <w:pPr>
              <w:jc w:val="both"/>
              <w:rPr>
                <w:rFonts w:eastAsiaTheme="minorHAnsi"/>
                <w:sz w:val="20"/>
                <w:lang w:val="en-CA"/>
              </w:rPr>
            </w:pPr>
            <w:r w:rsidRPr="00E52530">
              <w:rPr>
                <w:rFonts w:eastAsiaTheme="minorHAnsi"/>
                <w:sz w:val="20"/>
                <w:lang w:val="en-CA"/>
              </w:rPr>
              <w:t xml:space="preserve">The individual respondents (the “accused”) are jointly charged with one count of bribing foreign public officials under the </w:t>
            </w:r>
            <w:r w:rsidRPr="00E52530">
              <w:rPr>
                <w:rFonts w:eastAsiaTheme="minorHAnsi"/>
                <w:i/>
                <w:sz w:val="20"/>
                <w:lang w:val="en-CA"/>
              </w:rPr>
              <w:t>Corruption of Foreign Public Officials Act</w:t>
            </w:r>
            <w:r w:rsidRPr="00E52530">
              <w:rPr>
                <w:rFonts w:eastAsiaTheme="minorHAnsi"/>
                <w:sz w:val="20"/>
                <w:lang w:val="en-CA"/>
              </w:rPr>
              <w:t xml:space="preserve">, S.C. 1998, c. 34, in relation to SNC-Lavalin’s bid for a construction supervision contract for the Padma Bridge in Bangladesh. In the course of their criminal proceeding, the accused brought an application for an order requiring the applicant third party to produce certain documents. The applicant had received information from tipsters about possible corruption involving SNC-Lavalin, and had had approached the RCMP, providing it with information concerning the allegations. Two of the applicant’s employees subpoenaed by the defence did not appear before the court and the applicant took the position that it was not required to attend given its immunity from court process as an international organization. The defence’s application for an order requiring the production of documents by the applicant was granted in part by the Superior Court of Justice on the basis that the applicant had waived its immunity. The applicant was ordered </w:t>
            </w:r>
            <w:r w:rsidRPr="00E52530">
              <w:rPr>
                <w:rFonts w:eastAsiaTheme="minorHAnsi"/>
                <w:iCs/>
                <w:spacing w:val="-3"/>
                <w:sz w:val="20"/>
                <w:lang w:val="en-GB"/>
              </w:rPr>
              <w:t xml:space="preserve">to produce certain records for court review in accordance with </w:t>
            </w:r>
            <w:r w:rsidRPr="00E52530">
              <w:rPr>
                <w:rFonts w:eastAsiaTheme="minorHAnsi"/>
                <w:i/>
                <w:iCs/>
                <w:spacing w:val="-3"/>
                <w:sz w:val="20"/>
                <w:lang w:val="en-GB"/>
              </w:rPr>
              <w:t>R. v. O’Connor</w:t>
            </w:r>
            <w:r w:rsidRPr="00E52530">
              <w:rPr>
                <w:rFonts w:eastAsiaTheme="minorHAnsi"/>
                <w:iCs/>
                <w:spacing w:val="-3"/>
                <w:sz w:val="20"/>
                <w:lang w:val="en-GB"/>
              </w:rPr>
              <w:t>, [1995] 4 S.C.R. 411.</w:t>
            </w:r>
          </w:p>
          <w:p w:rsidR="00E52530" w:rsidRPr="00E52530" w:rsidRDefault="00E52530" w:rsidP="00E52530">
            <w:pPr>
              <w:jc w:val="both"/>
              <w:rPr>
                <w:rFonts w:eastAsiaTheme="minorHAnsi"/>
                <w:sz w:val="20"/>
                <w:lang w:val="en-CA"/>
              </w:rPr>
            </w:pPr>
          </w:p>
        </w:tc>
      </w:tr>
      <w:tr w:rsidR="00E52530" w:rsidRPr="00E52530" w:rsidTr="00E52530">
        <w:tc>
          <w:tcPr>
            <w:tcW w:w="2427" w:type="pct"/>
            <w:gridSpan w:val="2"/>
          </w:tcPr>
          <w:p w:rsidR="00E52530" w:rsidRPr="00E52530" w:rsidRDefault="00E52530" w:rsidP="00E52530">
            <w:pPr>
              <w:jc w:val="both"/>
              <w:rPr>
                <w:rFonts w:eastAsiaTheme="minorHAnsi"/>
                <w:sz w:val="20"/>
                <w:lang w:val="en-CA"/>
              </w:rPr>
            </w:pPr>
            <w:r w:rsidRPr="00E52530">
              <w:rPr>
                <w:rFonts w:eastAsiaTheme="minorHAnsi"/>
                <w:sz w:val="20"/>
                <w:lang w:val="en-CA"/>
              </w:rPr>
              <w:t>December 23, 2014</w:t>
            </w:r>
          </w:p>
          <w:p w:rsidR="00E52530" w:rsidRPr="00E52530" w:rsidRDefault="00E52530" w:rsidP="00E52530">
            <w:pPr>
              <w:jc w:val="both"/>
              <w:rPr>
                <w:rFonts w:eastAsiaTheme="minorHAnsi"/>
                <w:sz w:val="20"/>
                <w:lang w:val="en-CA"/>
              </w:rPr>
            </w:pPr>
            <w:r w:rsidRPr="00E52530">
              <w:rPr>
                <w:rFonts w:eastAsiaTheme="minorHAnsi"/>
                <w:sz w:val="20"/>
                <w:lang w:val="en-CA"/>
              </w:rPr>
              <w:t>Superior Court of Justice</w:t>
            </w:r>
          </w:p>
          <w:p w:rsidR="00E52530" w:rsidRPr="00E52530" w:rsidRDefault="00E52530" w:rsidP="00E52530">
            <w:pPr>
              <w:jc w:val="both"/>
              <w:rPr>
                <w:rFonts w:eastAsiaTheme="minorHAnsi"/>
                <w:sz w:val="20"/>
                <w:lang w:val="en-CA"/>
              </w:rPr>
            </w:pPr>
            <w:proofErr w:type="spellStart"/>
            <w:r w:rsidRPr="00E52530">
              <w:rPr>
                <w:rFonts w:eastAsiaTheme="minorHAnsi"/>
                <w:sz w:val="20"/>
                <w:lang w:val="en-CA"/>
              </w:rPr>
              <w:t>Nordheimer</w:t>
            </w:r>
            <w:proofErr w:type="spellEnd"/>
            <w:r w:rsidRPr="00E52530">
              <w:rPr>
                <w:rFonts w:eastAsiaTheme="minorHAnsi"/>
                <w:sz w:val="20"/>
                <w:lang w:val="en-CA"/>
              </w:rPr>
              <w:t xml:space="preserve"> J.</w:t>
            </w:r>
          </w:p>
          <w:p w:rsidR="00E52530" w:rsidRPr="00E52530" w:rsidRDefault="00E52530" w:rsidP="00E52530">
            <w:pPr>
              <w:jc w:val="both"/>
              <w:rPr>
                <w:rFonts w:eastAsiaTheme="minorHAnsi"/>
                <w:sz w:val="20"/>
                <w:lang w:val="en-CA"/>
              </w:rPr>
            </w:pPr>
            <w:r w:rsidRPr="00E52530">
              <w:rPr>
                <w:rFonts w:eastAsiaTheme="minorHAnsi"/>
                <w:sz w:val="20"/>
                <w:lang w:val="en-CA"/>
              </w:rPr>
              <w:t>2014 ONSC 7449</w:t>
            </w:r>
          </w:p>
          <w:p w:rsidR="00E52530" w:rsidRPr="00E52530" w:rsidRDefault="00E52530" w:rsidP="00E52530">
            <w:pPr>
              <w:jc w:val="both"/>
              <w:rPr>
                <w:rFonts w:eastAsiaTheme="minorHAnsi"/>
                <w:sz w:val="20"/>
                <w:lang w:val="en-CA"/>
              </w:rPr>
            </w:pP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en-CA"/>
              </w:rPr>
            </w:pPr>
            <w:r w:rsidRPr="00E52530">
              <w:rPr>
                <w:rFonts w:eastAsiaTheme="minorHAnsi"/>
                <w:sz w:val="20"/>
                <w:lang w:val="en-CA"/>
              </w:rPr>
              <w:t>Application by individual respondents for an order requiring the production of documents by the applicant third party, granted in part</w:t>
            </w:r>
          </w:p>
        </w:tc>
      </w:tr>
      <w:tr w:rsidR="00E52530" w:rsidRPr="00E52530" w:rsidTr="00E52530">
        <w:tc>
          <w:tcPr>
            <w:tcW w:w="2427" w:type="pct"/>
            <w:gridSpan w:val="2"/>
          </w:tcPr>
          <w:p w:rsidR="00E52530" w:rsidRPr="00E52530" w:rsidRDefault="00E52530" w:rsidP="00E52530">
            <w:pPr>
              <w:jc w:val="both"/>
              <w:rPr>
                <w:rFonts w:eastAsiaTheme="minorHAnsi"/>
                <w:sz w:val="20"/>
                <w:lang w:val="en-CA"/>
              </w:rPr>
            </w:pPr>
            <w:r w:rsidRPr="00E52530">
              <w:rPr>
                <w:rFonts w:eastAsiaTheme="minorHAnsi"/>
                <w:sz w:val="20"/>
                <w:lang w:val="en-CA"/>
              </w:rPr>
              <w:t>February 26, 2015</w:t>
            </w:r>
          </w:p>
          <w:p w:rsidR="00E52530" w:rsidRPr="00E52530" w:rsidRDefault="00E52530" w:rsidP="00E52530">
            <w:pPr>
              <w:jc w:val="both"/>
              <w:rPr>
                <w:rFonts w:eastAsiaTheme="minorHAnsi"/>
                <w:sz w:val="20"/>
                <w:lang w:val="en-CA"/>
              </w:rPr>
            </w:pPr>
            <w:r w:rsidRPr="00E52530">
              <w:rPr>
                <w:rFonts w:eastAsiaTheme="minorHAnsi"/>
                <w:sz w:val="20"/>
                <w:lang w:val="en-CA"/>
              </w:rPr>
              <w:t>Supreme Court of Canada</w:t>
            </w: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en-CA"/>
              </w:rPr>
            </w:pPr>
            <w:r w:rsidRPr="00E52530">
              <w:rPr>
                <w:rFonts w:eastAsiaTheme="minorHAnsi"/>
                <w:sz w:val="20"/>
                <w:lang w:val="en-CA"/>
              </w:rPr>
              <w:t>Application for leave to appeal filed</w:t>
            </w:r>
          </w:p>
        </w:tc>
      </w:tr>
    </w:tbl>
    <w:p w:rsidR="00E52530" w:rsidRPr="00E52530" w:rsidRDefault="00E52530" w:rsidP="00E52530">
      <w:pPr>
        <w:jc w:val="both"/>
        <w:rPr>
          <w:rFonts w:eastAsiaTheme="minorHAnsi"/>
          <w:sz w:val="20"/>
          <w:lang w:val="en-CA"/>
        </w:rPr>
      </w:pPr>
    </w:p>
    <w:p w:rsidR="00EC3EE4" w:rsidRPr="00E52530" w:rsidRDefault="00EC3EE4" w:rsidP="003B3019">
      <w:pPr>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530" w:rsidRPr="00E52530" w:rsidTr="00E52530">
        <w:tc>
          <w:tcPr>
            <w:tcW w:w="543" w:type="pct"/>
          </w:tcPr>
          <w:p w:rsidR="00E52530" w:rsidRPr="00E52530" w:rsidRDefault="00E52530" w:rsidP="00E52530">
            <w:pPr>
              <w:jc w:val="both"/>
              <w:rPr>
                <w:rFonts w:eastAsiaTheme="minorHAnsi"/>
                <w:sz w:val="20"/>
                <w:lang w:val="en-CA"/>
              </w:rPr>
            </w:pPr>
            <w:r w:rsidRPr="00E52530">
              <w:rPr>
                <w:rFonts w:eastAsiaTheme="minorHAnsi"/>
                <w:b/>
                <w:sz w:val="20"/>
                <w:lang w:val="en-CA"/>
              </w:rPr>
              <w:t>36315</w:t>
            </w:r>
          </w:p>
        </w:tc>
        <w:tc>
          <w:tcPr>
            <w:tcW w:w="4457" w:type="pct"/>
            <w:gridSpan w:val="3"/>
          </w:tcPr>
          <w:p w:rsidR="00E52530" w:rsidRPr="00E52530" w:rsidRDefault="00E52530" w:rsidP="00E52530">
            <w:pPr>
              <w:jc w:val="both"/>
              <w:rPr>
                <w:rFonts w:eastAsiaTheme="minorHAnsi"/>
                <w:b/>
                <w:sz w:val="20"/>
                <w:lang w:val="fr-CA"/>
              </w:rPr>
            </w:pPr>
            <w:r w:rsidRPr="00E52530">
              <w:rPr>
                <w:rFonts w:eastAsiaTheme="minorHAnsi"/>
                <w:b/>
                <w:sz w:val="20"/>
                <w:lang w:val="fr-CA"/>
              </w:rPr>
              <w:t xml:space="preserve">Groupe de la Banque mondiale c. Kevin Wallace, </w:t>
            </w:r>
            <w:proofErr w:type="spellStart"/>
            <w:r w:rsidRPr="00E52530">
              <w:rPr>
                <w:rFonts w:eastAsiaTheme="minorHAnsi"/>
                <w:b/>
                <w:sz w:val="20"/>
                <w:lang w:val="fr-CA"/>
              </w:rPr>
              <w:t>Zulfiquar</w:t>
            </w:r>
            <w:proofErr w:type="spellEnd"/>
            <w:r w:rsidRPr="00E52530">
              <w:rPr>
                <w:rFonts w:eastAsiaTheme="minorHAnsi"/>
                <w:b/>
                <w:sz w:val="20"/>
                <w:lang w:val="fr-CA"/>
              </w:rPr>
              <w:t xml:space="preserve"> </w:t>
            </w:r>
            <w:proofErr w:type="spellStart"/>
            <w:r w:rsidRPr="00E52530">
              <w:rPr>
                <w:rFonts w:eastAsiaTheme="minorHAnsi"/>
                <w:b/>
                <w:sz w:val="20"/>
                <w:lang w:val="fr-CA"/>
              </w:rPr>
              <w:t>Bhuiyan</w:t>
            </w:r>
            <w:proofErr w:type="spellEnd"/>
            <w:r w:rsidRPr="00E52530">
              <w:rPr>
                <w:rFonts w:eastAsiaTheme="minorHAnsi"/>
                <w:b/>
                <w:sz w:val="20"/>
                <w:lang w:val="fr-CA"/>
              </w:rPr>
              <w:t xml:space="preserve">, </w:t>
            </w:r>
          </w:p>
          <w:p w:rsidR="00E52530" w:rsidRPr="00E52530" w:rsidRDefault="00E52530" w:rsidP="00E52530">
            <w:pPr>
              <w:jc w:val="both"/>
              <w:rPr>
                <w:rFonts w:eastAsiaTheme="minorHAnsi"/>
                <w:b/>
                <w:sz w:val="20"/>
                <w:lang w:val="fr-CA"/>
              </w:rPr>
            </w:pPr>
            <w:proofErr w:type="spellStart"/>
            <w:r w:rsidRPr="00E52530">
              <w:rPr>
                <w:rFonts w:eastAsiaTheme="minorHAnsi"/>
                <w:b/>
                <w:sz w:val="20"/>
                <w:lang w:val="fr-CA"/>
              </w:rPr>
              <w:t>Ramesh</w:t>
            </w:r>
            <w:proofErr w:type="spellEnd"/>
            <w:r w:rsidRPr="00E52530">
              <w:rPr>
                <w:rFonts w:eastAsiaTheme="minorHAnsi"/>
                <w:b/>
                <w:sz w:val="20"/>
                <w:lang w:val="fr-CA"/>
              </w:rPr>
              <w:t xml:space="preserve"> Shah, Mohammad Ismail, Sa Majesté la Reine du chef du Canada</w:t>
            </w:r>
          </w:p>
          <w:p w:rsidR="00E52530" w:rsidRPr="00E52530" w:rsidRDefault="00E52530" w:rsidP="00E52530">
            <w:pPr>
              <w:jc w:val="both"/>
              <w:rPr>
                <w:rFonts w:eastAsiaTheme="minorHAnsi"/>
                <w:sz w:val="20"/>
                <w:lang w:val="en-CA"/>
              </w:rPr>
            </w:pPr>
            <w:r w:rsidRPr="00E52530">
              <w:rPr>
                <w:rFonts w:eastAsiaTheme="minorHAnsi"/>
                <w:sz w:val="20"/>
                <w:lang w:val="en-CA"/>
              </w:rPr>
              <w:t>(Ont.) (</w:t>
            </w:r>
            <w:proofErr w:type="spellStart"/>
            <w:r w:rsidRPr="00E52530">
              <w:rPr>
                <w:rFonts w:eastAsiaTheme="minorHAnsi"/>
                <w:sz w:val="20"/>
                <w:lang w:val="en-CA"/>
              </w:rPr>
              <w:t>Criminelle</w:t>
            </w:r>
            <w:proofErr w:type="spellEnd"/>
            <w:r w:rsidRPr="00E52530">
              <w:rPr>
                <w:rFonts w:eastAsiaTheme="minorHAnsi"/>
                <w:sz w:val="20"/>
                <w:lang w:val="en-CA"/>
              </w:rPr>
              <w:t xml:space="preserve">) (Sur </w:t>
            </w:r>
            <w:proofErr w:type="spellStart"/>
            <w:r w:rsidRPr="00E52530">
              <w:rPr>
                <w:rFonts w:eastAsiaTheme="minorHAnsi"/>
                <w:sz w:val="20"/>
                <w:lang w:val="en-CA"/>
              </w:rPr>
              <w:t>autorisation</w:t>
            </w:r>
            <w:proofErr w:type="spellEnd"/>
            <w:r w:rsidRPr="00E52530">
              <w:rPr>
                <w:rFonts w:eastAsiaTheme="minorHAnsi"/>
                <w:sz w:val="20"/>
                <w:lang w:val="en-CA"/>
              </w:rPr>
              <w:t>)</w:t>
            </w:r>
          </w:p>
        </w:tc>
      </w:tr>
      <w:tr w:rsidR="00E52530" w:rsidRPr="00E52530" w:rsidTr="00E52530">
        <w:tc>
          <w:tcPr>
            <w:tcW w:w="5000" w:type="pct"/>
            <w:gridSpan w:val="4"/>
          </w:tcPr>
          <w:p w:rsidR="00E52530" w:rsidRPr="00E52530" w:rsidRDefault="00E52530" w:rsidP="00E52530">
            <w:pPr>
              <w:jc w:val="both"/>
              <w:rPr>
                <w:rFonts w:eastAsiaTheme="minorHAnsi"/>
                <w:sz w:val="20"/>
                <w:lang w:val="fr-CA"/>
              </w:rPr>
            </w:pPr>
            <w:r w:rsidRPr="00E52530">
              <w:rPr>
                <w:rFonts w:eastAsiaTheme="minorHAnsi"/>
                <w:sz w:val="20"/>
                <w:lang w:val="fr-CA"/>
              </w:rPr>
              <w:t>Droit international public – Immunité de juridiction – Droit criminel</w:t>
            </w:r>
            <w:r w:rsidRPr="00E52530">
              <w:rPr>
                <w:rFonts w:eastAsiaTheme="minorHAnsi"/>
                <w:iCs/>
                <w:spacing w:val="-3"/>
                <w:sz w:val="20"/>
                <w:lang w:val="fr-CA"/>
              </w:rPr>
              <w:t xml:space="preserve"> – Preuve – Accusés inculpés d’avoir donné des pots-de-vin à des agents publics étrangers – Accusés exigeant la production de documents internes d’une organisation internationale tierce – Ordonnance interlocutoire de production de documents pour examen judiciaire suivant l’arrêt </w:t>
            </w:r>
            <w:r w:rsidRPr="00E52530">
              <w:rPr>
                <w:rFonts w:eastAsiaTheme="minorHAnsi"/>
                <w:i/>
                <w:iCs/>
                <w:spacing w:val="-3"/>
                <w:sz w:val="20"/>
                <w:lang w:val="fr-CA"/>
              </w:rPr>
              <w:t xml:space="preserve">R. c. </w:t>
            </w:r>
            <w:proofErr w:type="spellStart"/>
            <w:r w:rsidRPr="00E52530">
              <w:rPr>
                <w:rFonts w:eastAsiaTheme="minorHAnsi"/>
                <w:i/>
                <w:iCs/>
                <w:spacing w:val="-3"/>
                <w:sz w:val="20"/>
                <w:lang w:val="fr-CA"/>
              </w:rPr>
              <w:t>O’Connor</w:t>
            </w:r>
            <w:proofErr w:type="spellEnd"/>
            <w:r w:rsidRPr="00E52530">
              <w:rPr>
                <w:rFonts w:eastAsiaTheme="minorHAnsi"/>
                <w:iCs/>
                <w:spacing w:val="-3"/>
                <w:sz w:val="20"/>
                <w:lang w:val="fr-CA"/>
              </w:rPr>
              <w:t xml:space="preserve">, [1995] 4 R.C.S. 411 – Tierce partie cherchant à interjeter appel du jugement interlocutoire – Existe-t-il une raison de principe pour laquelle une cour supérieure devrait se déclarer compétente pour </w:t>
            </w:r>
            <w:r w:rsidRPr="00E52530">
              <w:rPr>
                <w:rFonts w:eastAsiaTheme="minorHAnsi"/>
                <w:sz w:val="20"/>
                <w:lang w:val="fr-CA"/>
              </w:rPr>
              <w:t xml:space="preserve">exiger la production de documents confidentiels appartenant à des organisations internationales qui ne sont pas établies au Canada et n’ont pas non plus acquiescé à la compétence des tribunaux canadiens? – Quels sont l’étendue et l’effet de l’immunité légale accordée en droit canadien aux organisations internationales dans le contexte d’une instance criminelle à laquelle ces organisations ne sont pas parties? – La théorie des avantages et des inconvénients s’applique-t-elle à cette immunité? – Peut-on renoncer implicitement par sa conduite, plutôt qu’expressément, à une immunité accordée en termes exprès? – L’immunité est-elle susceptible de renonciation par les représentants du demandeur et, dans l’affirmative, quelle fonction doivent-ils occuper et quelle est la marche à suivre? – Incombe-t-il au demandeur d’établir une « ingérence injustifiée » pour conserver son immunité? – Convient-il, sur le plan juridique, d’assimiler la renonciation à un privilège de droit privé aux faits à l’origine de la perte d’une immunité de droit public accordée par la loi? – Comme les accusés souhaitent présenter une demande de type </w:t>
            </w:r>
            <w:proofErr w:type="spellStart"/>
            <w:r w:rsidRPr="00E52530">
              <w:rPr>
                <w:rFonts w:eastAsiaTheme="minorHAnsi"/>
                <w:sz w:val="20"/>
                <w:lang w:val="fr-CA"/>
              </w:rPr>
              <w:t>Garofoli</w:t>
            </w:r>
            <w:proofErr w:type="spellEnd"/>
            <w:r w:rsidRPr="00E52530">
              <w:rPr>
                <w:rFonts w:eastAsiaTheme="minorHAnsi"/>
                <w:sz w:val="20"/>
                <w:lang w:val="fr-CA"/>
              </w:rPr>
              <w:t xml:space="preserve"> pour contester la dénonciation, les procès-verbaux internes du demandeur peuvent-ils être produits? </w:t>
            </w:r>
          </w:p>
        </w:tc>
      </w:tr>
      <w:tr w:rsidR="00E52530" w:rsidRPr="00E52530" w:rsidTr="00E52530">
        <w:tc>
          <w:tcPr>
            <w:tcW w:w="5000" w:type="pct"/>
            <w:gridSpan w:val="4"/>
          </w:tcPr>
          <w:p w:rsidR="00E52530" w:rsidRPr="00E52530" w:rsidRDefault="00E52530" w:rsidP="00E52530">
            <w:pPr>
              <w:jc w:val="both"/>
              <w:rPr>
                <w:rFonts w:eastAsiaTheme="minorHAnsi"/>
                <w:sz w:val="20"/>
                <w:lang w:val="fr-CA"/>
              </w:rPr>
            </w:pPr>
          </w:p>
        </w:tc>
      </w:tr>
      <w:tr w:rsidR="00E52530" w:rsidRPr="00E52530" w:rsidTr="00E52530">
        <w:tc>
          <w:tcPr>
            <w:tcW w:w="5000" w:type="pct"/>
            <w:gridSpan w:val="4"/>
          </w:tcPr>
          <w:p w:rsidR="00E52530" w:rsidRPr="00E52530" w:rsidRDefault="00E52530" w:rsidP="00E52530">
            <w:pPr>
              <w:jc w:val="both"/>
              <w:rPr>
                <w:rFonts w:eastAsiaTheme="minorHAnsi"/>
                <w:sz w:val="20"/>
                <w:lang w:val="fr-CA"/>
              </w:rPr>
            </w:pPr>
            <w:r w:rsidRPr="00E52530">
              <w:rPr>
                <w:rFonts w:eastAsiaTheme="minorHAnsi"/>
                <w:sz w:val="20"/>
                <w:lang w:val="fr-CA"/>
              </w:rPr>
              <w:t xml:space="preserve">Les particuliers intimés (les « accusés ») sont inculpés conjointement d’un chef de corruption d’agents publics étrangers en vertu de la </w:t>
            </w:r>
            <w:r w:rsidRPr="00E52530">
              <w:rPr>
                <w:rFonts w:eastAsiaTheme="minorHAnsi"/>
                <w:i/>
                <w:sz w:val="20"/>
                <w:lang w:val="fr-CA"/>
              </w:rPr>
              <w:t>Loi sur les agents publics étrangers</w:t>
            </w:r>
            <w:r w:rsidRPr="00E52530">
              <w:rPr>
                <w:rFonts w:eastAsiaTheme="minorHAnsi"/>
                <w:sz w:val="20"/>
                <w:lang w:val="fr-CA"/>
              </w:rPr>
              <w:t>, L.C. 1998, c. 34, relativement à la soumission de SNC-</w:t>
            </w:r>
            <w:proofErr w:type="spellStart"/>
            <w:r w:rsidRPr="00E52530">
              <w:rPr>
                <w:rFonts w:eastAsiaTheme="minorHAnsi"/>
                <w:sz w:val="20"/>
                <w:lang w:val="fr-CA"/>
              </w:rPr>
              <w:t>Lavalin</w:t>
            </w:r>
            <w:proofErr w:type="spellEnd"/>
            <w:r w:rsidRPr="00E52530">
              <w:rPr>
                <w:rFonts w:eastAsiaTheme="minorHAnsi"/>
                <w:sz w:val="20"/>
                <w:lang w:val="fr-CA"/>
              </w:rPr>
              <w:t xml:space="preserve"> en vue d’obtenir un contrat pour superviser la construction du pont Padma au Bangladesh. Durant leur procès criminel, les accusés ont demandé une ordonnance enjoignant au tiers demandeur de produire certains documents. Le demandeur avait reçu d’indicateurs des renseignements à propos d’une corruption potentielle impliquant SNC-</w:t>
            </w:r>
            <w:proofErr w:type="spellStart"/>
            <w:r w:rsidRPr="00E52530">
              <w:rPr>
                <w:rFonts w:eastAsiaTheme="minorHAnsi"/>
                <w:sz w:val="20"/>
                <w:lang w:val="fr-CA"/>
              </w:rPr>
              <w:t>Lavalin</w:t>
            </w:r>
            <w:proofErr w:type="spellEnd"/>
            <w:r w:rsidRPr="00E52530">
              <w:rPr>
                <w:rFonts w:eastAsiaTheme="minorHAnsi"/>
                <w:sz w:val="20"/>
                <w:lang w:val="fr-CA"/>
              </w:rPr>
              <w:t xml:space="preserve"> et s’était adressé à la GRC pour lui fournir de l’information au sujet des allégations. Deux des employés du demandeur assignés à témoigner par la défense n’ont pas comparu devant le tribunal et le demandeur a affirmé que ces derniers n’étaient pas tenus de se présenter compte tenu de l’immunité contre les procédures judiciaires dont il jouissait en tant qu’organisation internationale. La demande de la défense visant à </w:t>
            </w:r>
            <w:r w:rsidRPr="00E52530">
              <w:rPr>
                <w:rFonts w:eastAsiaTheme="minorHAnsi"/>
                <w:sz w:val="20"/>
                <w:lang w:val="fr-CA"/>
              </w:rPr>
              <w:lastRenderedPageBreak/>
              <w:t xml:space="preserve">obtenir une ordonnance enjoignant au demandeur de produire des documents a été accueillie en partie par la Cour supérieure de justice au motif que le demandeur avait renoncé à son immunité. La Cour supérieure de justice a ordonné au demandeur de produire certains documents pour examen judiciaire conformément à </w:t>
            </w:r>
            <w:r w:rsidRPr="00E52530">
              <w:rPr>
                <w:rFonts w:eastAsiaTheme="minorHAnsi"/>
                <w:i/>
                <w:iCs/>
                <w:spacing w:val="-3"/>
                <w:sz w:val="20"/>
                <w:lang w:val="fr-CA"/>
              </w:rPr>
              <w:t xml:space="preserve">R. c. </w:t>
            </w:r>
            <w:proofErr w:type="spellStart"/>
            <w:r w:rsidRPr="00E52530">
              <w:rPr>
                <w:rFonts w:eastAsiaTheme="minorHAnsi"/>
                <w:i/>
                <w:iCs/>
                <w:spacing w:val="-3"/>
                <w:sz w:val="20"/>
                <w:lang w:val="fr-CA"/>
              </w:rPr>
              <w:t>O’Connor</w:t>
            </w:r>
            <w:proofErr w:type="spellEnd"/>
            <w:r w:rsidRPr="00E52530">
              <w:rPr>
                <w:rFonts w:eastAsiaTheme="minorHAnsi"/>
                <w:iCs/>
                <w:spacing w:val="-3"/>
                <w:sz w:val="20"/>
                <w:lang w:val="fr-CA"/>
              </w:rPr>
              <w:t>, [1995] 4 R.C.S. 411.</w:t>
            </w:r>
          </w:p>
          <w:p w:rsidR="00E52530" w:rsidRPr="00E52530" w:rsidRDefault="00E52530" w:rsidP="00E52530">
            <w:pPr>
              <w:jc w:val="both"/>
              <w:rPr>
                <w:rFonts w:eastAsiaTheme="minorHAnsi"/>
                <w:sz w:val="20"/>
                <w:lang w:val="fr-CA"/>
              </w:rPr>
            </w:pPr>
          </w:p>
        </w:tc>
      </w:tr>
      <w:tr w:rsidR="00E52530" w:rsidRPr="00E52530" w:rsidTr="00E52530">
        <w:tc>
          <w:tcPr>
            <w:tcW w:w="2427" w:type="pct"/>
            <w:gridSpan w:val="2"/>
          </w:tcPr>
          <w:p w:rsidR="00E52530" w:rsidRPr="00E52530" w:rsidRDefault="00E52530" w:rsidP="00E52530">
            <w:pPr>
              <w:jc w:val="both"/>
              <w:rPr>
                <w:rFonts w:eastAsiaTheme="minorHAnsi"/>
                <w:sz w:val="20"/>
                <w:lang w:val="fr-CA"/>
              </w:rPr>
            </w:pPr>
            <w:r w:rsidRPr="00E52530">
              <w:rPr>
                <w:rFonts w:eastAsiaTheme="minorHAnsi"/>
                <w:sz w:val="20"/>
                <w:lang w:val="fr-CA"/>
              </w:rPr>
              <w:lastRenderedPageBreak/>
              <w:t>23 décembre 2014</w:t>
            </w:r>
          </w:p>
          <w:p w:rsidR="00E52530" w:rsidRPr="00E52530" w:rsidRDefault="00E52530" w:rsidP="00E52530">
            <w:pPr>
              <w:jc w:val="both"/>
              <w:rPr>
                <w:rFonts w:eastAsiaTheme="minorHAnsi"/>
                <w:sz w:val="20"/>
                <w:lang w:val="fr-CA"/>
              </w:rPr>
            </w:pPr>
            <w:r w:rsidRPr="00E52530">
              <w:rPr>
                <w:rFonts w:eastAsiaTheme="minorHAnsi"/>
                <w:sz w:val="20"/>
                <w:lang w:val="fr-CA"/>
              </w:rPr>
              <w:t>Cour supérieure de justice</w:t>
            </w:r>
          </w:p>
          <w:p w:rsidR="00E52530" w:rsidRPr="00E52530" w:rsidRDefault="00E52530" w:rsidP="00E52530">
            <w:pPr>
              <w:jc w:val="both"/>
              <w:rPr>
                <w:rFonts w:eastAsiaTheme="minorHAnsi"/>
                <w:sz w:val="20"/>
                <w:lang w:val="fr-CA"/>
              </w:rPr>
            </w:pPr>
            <w:r w:rsidRPr="00E52530">
              <w:rPr>
                <w:rFonts w:eastAsiaTheme="minorHAnsi"/>
                <w:sz w:val="20"/>
                <w:lang w:val="fr-CA"/>
              </w:rPr>
              <w:t xml:space="preserve">Juge </w:t>
            </w:r>
            <w:proofErr w:type="spellStart"/>
            <w:r w:rsidRPr="00E52530">
              <w:rPr>
                <w:rFonts w:eastAsiaTheme="minorHAnsi"/>
                <w:sz w:val="20"/>
                <w:lang w:val="fr-CA"/>
              </w:rPr>
              <w:t>Nordheimer</w:t>
            </w:r>
            <w:proofErr w:type="spellEnd"/>
            <w:r w:rsidRPr="00E52530">
              <w:rPr>
                <w:rFonts w:eastAsiaTheme="minorHAnsi"/>
                <w:sz w:val="20"/>
                <w:lang w:val="fr-CA"/>
              </w:rPr>
              <w:t xml:space="preserve"> </w:t>
            </w:r>
          </w:p>
          <w:p w:rsidR="00E52530" w:rsidRPr="00E52530" w:rsidRDefault="00E52530" w:rsidP="00E52530">
            <w:pPr>
              <w:jc w:val="both"/>
              <w:rPr>
                <w:rFonts w:eastAsiaTheme="minorHAnsi"/>
                <w:sz w:val="20"/>
                <w:lang w:val="en-CA"/>
              </w:rPr>
            </w:pPr>
            <w:r w:rsidRPr="00E52530">
              <w:rPr>
                <w:rFonts w:eastAsiaTheme="minorHAnsi"/>
                <w:sz w:val="20"/>
                <w:lang w:val="en-CA"/>
              </w:rPr>
              <w:t>2014 ONSC 7449</w:t>
            </w:r>
          </w:p>
          <w:p w:rsidR="00E52530" w:rsidRPr="00E52530" w:rsidRDefault="00E52530" w:rsidP="00E52530">
            <w:pPr>
              <w:jc w:val="both"/>
              <w:rPr>
                <w:rFonts w:eastAsiaTheme="minorHAnsi"/>
                <w:sz w:val="20"/>
                <w:lang w:val="en-CA"/>
              </w:rPr>
            </w:pP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fr-CA"/>
              </w:rPr>
            </w:pPr>
            <w:r w:rsidRPr="00E52530">
              <w:rPr>
                <w:rFonts w:eastAsiaTheme="minorHAnsi"/>
                <w:sz w:val="20"/>
                <w:lang w:val="fr-CA"/>
              </w:rPr>
              <w:t xml:space="preserve">Demande des particuliers intimés en vue d’obtenir une ordonnance enjoignant au tiers demandeur de produire des documents, accueillie en partie </w:t>
            </w:r>
          </w:p>
        </w:tc>
      </w:tr>
      <w:tr w:rsidR="00E52530" w:rsidRPr="00E52530" w:rsidTr="00E52530">
        <w:tc>
          <w:tcPr>
            <w:tcW w:w="2427" w:type="pct"/>
            <w:gridSpan w:val="2"/>
          </w:tcPr>
          <w:p w:rsidR="00E52530" w:rsidRPr="00E52530" w:rsidRDefault="00E52530" w:rsidP="00E52530">
            <w:pPr>
              <w:jc w:val="both"/>
              <w:rPr>
                <w:rFonts w:eastAsiaTheme="minorHAnsi"/>
                <w:sz w:val="20"/>
                <w:lang w:val="fr-CA"/>
              </w:rPr>
            </w:pPr>
            <w:r w:rsidRPr="00E52530">
              <w:rPr>
                <w:rFonts w:eastAsiaTheme="minorHAnsi"/>
                <w:sz w:val="20"/>
                <w:lang w:val="fr-CA"/>
              </w:rPr>
              <w:t>26 février 2015</w:t>
            </w:r>
          </w:p>
          <w:p w:rsidR="00E52530" w:rsidRPr="00E52530" w:rsidRDefault="00E52530" w:rsidP="00E52530">
            <w:pPr>
              <w:jc w:val="both"/>
              <w:rPr>
                <w:rFonts w:eastAsiaTheme="minorHAnsi"/>
                <w:sz w:val="20"/>
                <w:lang w:val="fr-CA"/>
              </w:rPr>
            </w:pPr>
            <w:r w:rsidRPr="00E52530">
              <w:rPr>
                <w:rFonts w:eastAsiaTheme="minorHAnsi"/>
                <w:sz w:val="20"/>
                <w:lang w:val="fr-CA"/>
              </w:rPr>
              <w:t>Cour suprême du Canada</w:t>
            </w:r>
          </w:p>
        </w:tc>
        <w:tc>
          <w:tcPr>
            <w:tcW w:w="243" w:type="pct"/>
          </w:tcPr>
          <w:p w:rsidR="00E52530" w:rsidRPr="00E52530" w:rsidRDefault="00E52530" w:rsidP="00E52530">
            <w:pPr>
              <w:jc w:val="both"/>
              <w:rPr>
                <w:rFonts w:eastAsiaTheme="minorHAnsi"/>
                <w:sz w:val="20"/>
                <w:lang w:val="fr-CA"/>
              </w:rPr>
            </w:pPr>
          </w:p>
        </w:tc>
        <w:tc>
          <w:tcPr>
            <w:tcW w:w="2330" w:type="pct"/>
          </w:tcPr>
          <w:p w:rsidR="00E52530" w:rsidRPr="00E52530" w:rsidRDefault="00E52530" w:rsidP="00E52530">
            <w:pPr>
              <w:jc w:val="both"/>
              <w:rPr>
                <w:rFonts w:eastAsiaTheme="minorHAnsi"/>
                <w:sz w:val="20"/>
                <w:lang w:val="fr-CA"/>
              </w:rPr>
            </w:pPr>
            <w:r w:rsidRPr="00E52530">
              <w:rPr>
                <w:rFonts w:eastAsiaTheme="minorHAnsi"/>
                <w:sz w:val="20"/>
                <w:lang w:val="fr-CA"/>
              </w:rPr>
              <w:t xml:space="preserve">Dépôt de la demande d’autorisation d’appel </w:t>
            </w:r>
          </w:p>
        </w:tc>
      </w:tr>
    </w:tbl>
    <w:p w:rsidR="00E52530" w:rsidRDefault="00E52530" w:rsidP="00E52530">
      <w:pPr>
        <w:jc w:val="both"/>
        <w:rPr>
          <w:rFonts w:eastAsiaTheme="minorHAnsi"/>
          <w:sz w:val="20"/>
          <w:lang w:val="fr-CA"/>
        </w:rPr>
      </w:pPr>
    </w:p>
    <w:p w:rsidR="00E52530" w:rsidRPr="00E52530" w:rsidRDefault="00E52530" w:rsidP="00E52530">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530" w:rsidRPr="00E52530" w:rsidTr="00E52530">
        <w:tc>
          <w:tcPr>
            <w:tcW w:w="543" w:type="pct"/>
          </w:tcPr>
          <w:p w:rsidR="00E52530" w:rsidRPr="00E52530" w:rsidRDefault="00E52530" w:rsidP="00E52530">
            <w:pPr>
              <w:jc w:val="both"/>
              <w:rPr>
                <w:rFonts w:eastAsiaTheme="minorHAnsi"/>
                <w:sz w:val="20"/>
                <w:lang w:val="en-CA"/>
              </w:rPr>
            </w:pPr>
            <w:r w:rsidRPr="00E52530">
              <w:rPr>
                <w:rFonts w:eastAsiaTheme="minorHAnsi"/>
                <w:b/>
                <w:sz w:val="20"/>
                <w:lang w:val="en-CA"/>
              </w:rPr>
              <w:t>36344</w:t>
            </w:r>
          </w:p>
        </w:tc>
        <w:tc>
          <w:tcPr>
            <w:tcW w:w="4457" w:type="pct"/>
            <w:gridSpan w:val="3"/>
          </w:tcPr>
          <w:p w:rsidR="00E52530" w:rsidRPr="00E52530" w:rsidRDefault="00E52530" w:rsidP="00E52530">
            <w:pPr>
              <w:jc w:val="both"/>
              <w:rPr>
                <w:rFonts w:eastAsiaTheme="minorHAnsi"/>
                <w:b/>
                <w:sz w:val="20"/>
                <w:lang w:val="en-CA"/>
              </w:rPr>
            </w:pPr>
            <w:r w:rsidRPr="00E52530">
              <w:rPr>
                <w:rFonts w:eastAsiaTheme="minorHAnsi"/>
                <w:b/>
                <w:sz w:val="20"/>
                <w:lang w:val="en-CA"/>
              </w:rPr>
              <w:t xml:space="preserve">Michael </w:t>
            </w:r>
            <w:proofErr w:type="spellStart"/>
            <w:r w:rsidRPr="00E52530">
              <w:rPr>
                <w:rFonts w:eastAsiaTheme="minorHAnsi"/>
                <w:b/>
                <w:sz w:val="20"/>
                <w:lang w:val="en-CA"/>
              </w:rPr>
              <w:t>Panula</w:t>
            </w:r>
            <w:proofErr w:type="spellEnd"/>
            <w:r w:rsidRPr="00E52530">
              <w:rPr>
                <w:rFonts w:eastAsiaTheme="minorHAnsi"/>
                <w:b/>
                <w:sz w:val="20"/>
                <w:lang w:val="en-CA"/>
              </w:rPr>
              <w:t xml:space="preserve"> v. Attorney General of Canada</w:t>
            </w:r>
          </w:p>
          <w:p w:rsidR="00E52530" w:rsidRPr="00E52530" w:rsidRDefault="00E52530" w:rsidP="00E52530">
            <w:pPr>
              <w:jc w:val="both"/>
              <w:rPr>
                <w:rFonts w:eastAsiaTheme="minorHAnsi"/>
                <w:sz w:val="20"/>
                <w:lang w:val="en-CA"/>
              </w:rPr>
            </w:pPr>
            <w:r w:rsidRPr="00E52530">
              <w:rPr>
                <w:rFonts w:eastAsiaTheme="minorHAnsi"/>
                <w:sz w:val="20"/>
                <w:lang w:val="en-CA"/>
              </w:rPr>
              <w:t>(FC) (Civil) (By Leave)</w:t>
            </w:r>
          </w:p>
        </w:tc>
      </w:tr>
      <w:tr w:rsidR="00E52530" w:rsidRPr="00E52530" w:rsidTr="00E52530">
        <w:tc>
          <w:tcPr>
            <w:tcW w:w="5000" w:type="pct"/>
            <w:gridSpan w:val="4"/>
          </w:tcPr>
          <w:p w:rsidR="00E52530" w:rsidRPr="00E52530" w:rsidRDefault="00E52530" w:rsidP="00E52530">
            <w:pPr>
              <w:jc w:val="both"/>
              <w:rPr>
                <w:rFonts w:eastAsiaTheme="minorHAnsi"/>
                <w:sz w:val="20"/>
                <w:lang w:val="en-CA"/>
              </w:rPr>
            </w:pPr>
            <w:r w:rsidRPr="00E52530">
              <w:rPr>
                <w:rFonts w:eastAsiaTheme="minorHAnsi"/>
                <w:sz w:val="20"/>
                <w:lang w:val="en-CA"/>
              </w:rPr>
              <w:t>Administrative law — Judicial review — Application for judicial review dismissed — Appeal and motion for reconsideration dismissed — Whether the lower courts erred in their reasoning and decisions in dismissing applicant’s judicial review and subsequent appeal from Canadian Human Rights Commission’s decision to not deal with his complaint.</w:t>
            </w:r>
          </w:p>
        </w:tc>
      </w:tr>
      <w:tr w:rsidR="00E52530" w:rsidRPr="00E52530" w:rsidTr="00E52530">
        <w:tc>
          <w:tcPr>
            <w:tcW w:w="5000" w:type="pct"/>
            <w:gridSpan w:val="4"/>
          </w:tcPr>
          <w:p w:rsidR="00E52530" w:rsidRPr="00E52530" w:rsidRDefault="00E52530" w:rsidP="00E52530">
            <w:pPr>
              <w:jc w:val="both"/>
              <w:rPr>
                <w:rFonts w:eastAsiaTheme="minorHAnsi"/>
                <w:sz w:val="20"/>
                <w:lang w:val="en-CA"/>
              </w:rPr>
            </w:pPr>
          </w:p>
        </w:tc>
      </w:tr>
      <w:tr w:rsidR="00E52530" w:rsidRPr="00E52530" w:rsidTr="00E52530">
        <w:tc>
          <w:tcPr>
            <w:tcW w:w="5000" w:type="pct"/>
            <w:gridSpan w:val="4"/>
          </w:tcPr>
          <w:p w:rsidR="00E52530" w:rsidRPr="00E52530" w:rsidRDefault="00E52530" w:rsidP="00E52530">
            <w:pPr>
              <w:jc w:val="both"/>
              <w:rPr>
                <w:rFonts w:eastAsiaTheme="minorHAnsi"/>
                <w:sz w:val="20"/>
                <w:lang w:val="en-CA"/>
              </w:rPr>
            </w:pPr>
            <w:r w:rsidRPr="00E52530">
              <w:rPr>
                <w:rFonts w:eastAsiaTheme="minorHAnsi"/>
                <w:sz w:val="20"/>
                <w:lang w:val="en-CA"/>
              </w:rPr>
              <w:t xml:space="preserve">The applicant brought a complaint to the Canadian Human Rights Commission alleging discrimination against his former employer. The Commission decided not to deal with the applicant’s complaint. The applicant brought an application for judicial review to the Federal Court which was dismissed. The applicant appealed that decision to the Federal Court of Appeal. The appeal and subsequent motion for reconsideration were both dismissed. </w:t>
            </w:r>
          </w:p>
          <w:p w:rsidR="00E52530" w:rsidRPr="00E52530" w:rsidRDefault="00E52530" w:rsidP="00E52530">
            <w:pPr>
              <w:jc w:val="both"/>
              <w:rPr>
                <w:rFonts w:eastAsiaTheme="minorHAnsi"/>
                <w:sz w:val="20"/>
                <w:lang w:val="en-CA"/>
              </w:rPr>
            </w:pPr>
          </w:p>
        </w:tc>
      </w:tr>
      <w:tr w:rsidR="00E52530" w:rsidRPr="00E52530" w:rsidTr="00E52530">
        <w:tc>
          <w:tcPr>
            <w:tcW w:w="2427" w:type="pct"/>
            <w:gridSpan w:val="2"/>
          </w:tcPr>
          <w:p w:rsidR="00E52530" w:rsidRPr="00E52530" w:rsidRDefault="00E52530" w:rsidP="00E52530">
            <w:pPr>
              <w:jc w:val="both"/>
              <w:rPr>
                <w:rFonts w:eastAsiaTheme="minorHAnsi"/>
                <w:sz w:val="20"/>
                <w:lang w:val="en-CA"/>
              </w:rPr>
            </w:pPr>
            <w:r w:rsidRPr="00E52530">
              <w:rPr>
                <w:rFonts w:eastAsiaTheme="minorHAnsi"/>
                <w:sz w:val="20"/>
                <w:lang w:val="en-CA"/>
              </w:rPr>
              <w:t>February 24, 2014</w:t>
            </w:r>
          </w:p>
          <w:p w:rsidR="00E52530" w:rsidRPr="00E52530" w:rsidRDefault="00E52530" w:rsidP="00E52530">
            <w:pPr>
              <w:jc w:val="both"/>
              <w:rPr>
                <w:rFonts w:eastAsiaTheme="minorHAnsi"/>
                <w:sz w:val="20"/>
                <w:lang w:val="en-CA"/>
              </w:rPr>
            </w:pPr>
            <w:r w:rsidRPr="00E52530">
              <w:rPr>
                <w:rFonts w:eastAsiaTheme="minorHAnsi"/>
                <w:sz w:val="20"/>
                <w:lang w:val="en-CA"/>
              </w:rPr>
              <w:t>Federal Court</w:t>
            </w:r>
          </w:p>
          <w:p w:rsidR="00E52530" w:rsidRPr="00E52530" w:rsidRDefault="00E52530" w:rsidP="00E52530">
            <w:pPr>
              <w:jc w:val="both"/>
              <w:rPr>
                <w:rFonts w:eastAsiaTheme="minorHAnsi"/>
                <w:sz w:val="20"/>
                <w:lang w:val="en-CA"/>
              </w:rPr>
            </w:pPr>
            <w:r w:rsidRPr="00E52530">
              <w:rPr>
                <w:rFonts w:eastAsiaTheme="minorHAnsi"/>
                <w:sz w:val="20"/>
                <w:lang w:val="en-CA"/>
              </w:rPr>
              <w:t>(McVeigh J.)</w:t>
            </w:r>
          </w:p>
          <w:p w:rsidR="00E52530" w:rsidRPr="00E52530" w:rsidRDefault="00E52530" w:rsidP="00E52530">
            <w:pPr>
              <w:jc w:val="both"/>
              <w:rPr>
                <w:rFonts w:eastAsiaTheme="minorHAnsi"/>
                <w:sz w:val="20"/>
                <w:lang w:val="en-CA"/>
              </w:rPr>
            </w:pP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en-CA"/>
              </w:rPr>
            </w:pPr>
            <w:r w:rsidRPr="00E52530">
              <w:rPr>
                <w:rFonts w:eastAsiaTheme="minorHAnsi"/>
                <w:sz w:val="20"/>
                <w:lang w:val="en-CA"/>
              </w:rPr>
              <w:t xml:space="preserve">Application for judicial review of Canadian Human Rights Commission decision not to deal with complaint, dismissed. </w:t>
            </w:r>
          </w:p>
          <w:p w:rsidR="00E52530" w:rsidRPr="00E52530" w:rsidRDefault="00E52530" w:rsidP="00E52530">
            <w:pPr>
              <w:jc w:val="both"/>
              <w:rPr>
                <w:rFonts w:eastAsiaTheme="minorHAnsi"/>
                <w:sz w:val="20"/>
                <w:lang w:val="en-CA"/>
              </w:rPr>
            </w:pPr>
          </w:p>
        </w:tc>
      </w:tr>
      <w:tr w:rsidR="00E52530" w:rsidRPr="00E52530" w:rsidTr="00E52530">
        <w:tc>
          <w:tcPr>
            <w:tcW w:w="2427" w:type="pct"/>
            <w:gridSpan w:val="2"/>
          </w:tcPr>
          <w:p w:rsidR="00E52530" w:rsidRPr="00E52530" w:rsidRDefault="00E52530" w:rsidP="00E52530">
            <w:pPr>
              <w:jc w:val="both"/>
              <w:rPr>
                <w:rFonts w:eastAsiaTheme="minorHAnsi"/>
                <w:sz w:val="20"/>
                <w:lang w:val="en-CA"/>
              </w:rPr>
            </w:pPr>
            <w:r w:rsidRPr="00E52530">
              <w:rPr>
                <w:rFonts w:eastAsiaTheme="minorHAnsi"/>
                <w:sz w:val="20"/>
                <w:lang w:val="en-CA"/>
              </w:rPr>
              <w:t>January 14, 2015</w:t>
            </w:r>
          </w:p>
          <w:p w:rsidR="00E52530" w:rsidRPr="00E52530" w:rsidRDefault="00E52530" w:rsidP="00E52530">
            <w:pPr>
              <w:jc w:val="both"/>
              <w:rPr>
                <w:rFonts w:eastAsiaTheme="minorHAnsi"/>
                <w:sz w:val="20"/>
                <w:lang w:val="en-CA"/>
              </w:rPr>
            </w:pPr>
            <w:r w:rsidRPr="00E52530">
              <w:rPr>
                <w:rFonts w:eastAsiaTheme="minorHAnsi"/>
                <w:sz w:val="20"/>
                <w:lang w:val="en-CA"/>
              </w:rPr>
              <w:t>Federal Court of Appeal</w:t>
            </w:r>
          </w:p>
          <w:p w:rsidR="00E52530" w:rsidRPr="00E52530" w:rsidRDefault="00E52530" w:rsidP="00E52530">
            <w:pPr>
              <w:jc w:val="both"/>
              <w:rPr>
                <w:rFonts w:eastAsiaTheme="minorHAnsi"/>
                <w:sz w:val="20"/>
                <w:lang w:val="en-CA"/>
              </w:rPr>
            </w:pPr>
            <w:r w:rsidRPr="00E52530">
              <w:rPr>
                <w:rFonts w:eastAsiaTheme="minorHAnsi"/>
                <w:sz w:val="20"/>
                <w:lang w:val="en-CA"/>
              </w:rPr>
              <w:t xml:space="preserve">(Dawson, </w:t>
            </w:r>
            <w:proofErr w:type="spellStart"/>
            <w:r w:rsidRPr="00E52530">
              <w:rPr>
                <w:rFonts w:eastAsiaTheme="minorHAnsi"/>
                <w:sz w:val="20"/>
                <w:lang w:val="en-CA"/>
              </w:rPr>
              <w:t>Stratas</w:t>
            </w:r>
            <w:proofErr w:type="spellEnd"/>
            <w:r w:rsidRPr="00E52530">
              <w:rPr>
                <w:rFonts w:eastAsiaTheme="minorHAnsi"/>
                <w:sz w:val="20"/>
                <w:lang w:val="en-CA"/>
              </w:rPr>
              <w:t xml:space="preserve"> and </w:t>
            </w:r>
            <w:proofErr w:type="spellStart"/>
            <w:r w:rsidRPr="00E52530">
              <w:rPr>
                <w:rFonts w:eastAsiaTheme="minorHAnsi"/>
                <w:sz w:val="20"/>
                <w:lang w:val="en-CA"/>
              </w:rPr>
              <w:t>Boivin</w:t>
            </w:r>
            <w:proofErr w:type="spellEnd"/>
            <w:r w:rsidRPr="00E52530">
              <w:rPr>
                <w:rFonts w:eastAsiaTheme="minorHAnsi"/>
                <w:sz w:val="20"/>
                <w:lang w:val="en-CA"/>
              </w:rPr>
              <w:t xml:space="preserve"> JJ.A.)</w:t>
            </w:r>
          </w:p>
          <w:p w:rsidR="00E52530" w:rsidRPr="00E52530" w:rsidRDefault="001155B4" w:rsidP="00E52530">
            <w:pPr>
              <w:jc w:val="both"/>
              <w:rPr>
                <w:rFonts w:eastAsiaTheme="minorHAnsi"/>
                <w:sz w:val="20"/>
                <w:lang w:val="en-CA"/>
              </w:rPr>
            </w:pPr>
            <w:hyperlink r:id="rId27" w:history="1">
              <w:r w:rsidR="00E52530" w:rsidRPr="00E52530">
                <w:rPr>
                  <w:rFonts w:eastAsiaTheme="minorHAnsi"/>
                  <w:color w:val="0000FF" w:themeColor="hyperlink"/>
                  <w:sz w:val="20"/>
                  <w:u w:val="single"/>
                  <w:lang w:val="en-CA"/>
                </w:rPr>
                <w:t>2015 FCA 7</w:t>
              </w:r>
            </w:hyperlink>
          </w:p>
          <w:p w:rsidR="00E52530" w:rsidRPr="00E52530" w:rsidRDefault="00E52530" w:rsidP="00E52530">
            <w:pPr>
              <w:jc w:val="both"/>
              <w:rPr>
                <w:rFonts w:eastAsiaTheme="minorHAnsi"/>
                <w:sz w:val="20"/>
                <w:lang w:val="en-CA"/>
              </w:rPr>
            </w:pP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en-CA"/>
              </w:rPr>
            </w:pPr>
            <w:r w:rsidRPr="00E52530">
              <w:rPr>
                <w:rFonts w:eastAsiaTheme="minorHAnsi"/>
                <w:sz w:val="20"/>
                <w:lang w:val="en-CA"/>
              </w:rPr>
              <w:t>Appeal dismissed.</w:t>
            </w:r>
          </w:p>
          <w:p w:rsidR="00E52530" w:rsidRPr="00E52530" w:rsidRDefault="00E52530" w:rsidP="00E52530">
            <w:pPr>
              <w:jc w:val="both"/>
              <w:rPr>
                <w:rFonts w:eastAsiaTheme="minorHAnsi"/>
                <w:sz w:val="20"/>
                <w:lang w:val="en-CA"/>
              </w:rPr>
            </w:pPr>
          </w:p>
        </w:tc>
      </w:tr>
      <w:tr w:rsidR="00E52530" w:rsidRPr="00E52530" w:rsidTr="00E52530">
        <w:tc>
          <w:tcPr>
            <w:tcW w:w="2427" w:type="pct"/>
            <w:gridSpan w:val="2"/>
          </w:tcPr>
          <w:p w:rsidR="00E52530" w:rsidRPr="00E52530" w:rsidRDefault="00E52530" w:rsidP="00E52530">
            <w:pPr>
              <w:jc w:val="both"/>
              <w:rPr>
                <w:rFonts w:eastAsiaTheme="minorHAnsi"/>
                <w:sz w:val="20"/>
                <w:lang w:val="en-CA"/>
              </w:rPr>
            </w:pPr>
            <w:r w:rsidRPr="00E52530">
              <w:rPr>
                <w:rFonts w:eastAsiaTheme="minorHAnsi"/>
                <w:sz w:val="20"/>
                <w:lang w:val="en-CA"/>
              </w:rPr>
              <w:t>February 26, 2015</w:t>
            </w:r>
          </w:p>
          <w:p w:rsidR="00E52530" w:rsidRPr="00E52530" w:rsidRDefault="00E52530" w:rsidP="00E52530">
            <w:pPr>
              <w:jc w:val="both"/>
              <w:rPr>
                <w:rFonts w:eastAsiaTheme="minorHAnsi"/>
                <w:sz w:val="20"/>
                <w:lang w:val="en-CA"/>
              </w:rPr>
            </w:pPr>
            <w:r w:rsidRPr="00E52530">
              <w:rPr>
                <w:rFonts w:eastAsiaTheme="minorHAnsi"/>
                <w:sz w:val="20"/>
                <w:lang w:val="en-CA"/>
              </w:rPr>
              <w:t>Federal Court of Appeal</w:t>
            </w:r>
          </w:p>
          <w:p w:rsidR="00E52530" w:rsidRPr="00E52530" w:rsidRDefault="00E52530" w:rsidP="00E52530">
            <w:pPr>
              <w:jc w:val="both"/>
              <w:rPr>
                <w:rFonts w:eastAsiaTheme="minorHAnsi"/>
                <w:sz w:val="20"/>
                <w:lang w:val="en-CA"/>
              </w:rPr>
            </w:pPr>
            <w:r w:rsidRPr="00E52530">
              <w:rPr>
                <w:rFonts w:eastAsiaTheme="minorHAnsi"/>
                <w:sz w:val="20"/>
                <w:lang w:val="en-CA"/>
              </w:rPr>
              <w:t xml:space="preserve">(Dawson, </w:t>
            </w:r>
            <w:proofErr w:type="spellStart"/>
            <w:r w:rsidRPr="00E52530">
              <w:rPr>
                <w:rFonts w:eastAsiaTheme="minorHAnsi"/>
                <w:sz w:val="20"/>
                <w:lang w:val="en-CA"/>
              </w:rPr>
              <w:t>Stratas</w:t>
            </w:r>
            <w:proofErr w:type="spellEnd"/>
            <w:r w:rsidRPr="00E52530">
              <w:rPr>
                <w:rFonts w:eastAsiaTheme="minorHAnsi"/>
                <w:sz w:val="20"/>
                <w:lang w:val="en-CA"/>
              </w:rPr>
              <w:t xml:space="preserve"> and </w:t>
            </w:r>
            <w:proofErr w:type="spellStart"/>
            <w:r w:rsidRPr="00E52530">
              <w:rPr>
                <w:rFonts w:eastAsiaTheme="minorHAnsi"/>
                <w:sz w:val="20"/>
                <w:lang w:val="en-CA"/>
              </w:rPr>
              <w:t>Boivin</w:t>
            </w:r>
            <w:proofErr w:type="spellEnd"/>
            <w:r w:rsidRPr="00E52530">
              <w:rPr>
                <w:rFonts w:eastAsiaTheme="minorHAnsi"/>
                <w:sz w:val="20"/>
                <w:lang w:val="en-CA"/>
              </w:rPr>
              <w:t xml:space="preserve"> JJ.A.)</w:t>
            </w:r>
          </w:p>
          <w:p w:rsidR="00E52530" w:rsidRPr="00E52530" w:rsidRDefault="00E52530" w:rsidP="00E52530">
            <w:pPr>
              <w:jc w:val="both"/>
              <w:rPr>
                <w:rFonts w:eastAsiaTheme="minorHAnsi"/>
                <w:sz w:val="20"/>
                <w:lang w:val="en-CA"/>
              </w:rPr>
            </w:pPr>
            <w:r w:rsidRPr="00E52530">
              <w:rPr>
                <w:rFonts w:eastAsiaTheme="minorHAnsi"/>
                <w:sz w:val="20"/>
                <w:lang w:val="en-CA"/>
              </w:rPr>
              <w:t>File No.: A-162-14</w:t>
            </w:r>
          </w:p>
          <w:p w:rsidR="00E52530" w:rsidRPr="00E52530" w:rsidRDefault="00E52530" w:rsidP="00E52530">
            <w:pPr>
              <w:jc w:val="both"/>
              <w:rPr>
                <w:rFonts w:eastAsiaTheme="minorHAnsi"/>
                <w:sz w:val="20"/>
                <w:lang w:val="en-CA"/>
              </w:rPr>
            </w:pP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en-CA"/>
              </w:rPr>
            </w:pPr>
            <w:r w:rsidRPr="00E52530">
              <w:rPr>
                <w:rFonts w:eastAsiaTheme="minorHAnsi"/>
                <w:sz w:val="20"/>
                <w:lang w:val="en-CA"/>
              </w:rPr>
              <w:t>Motion for reconsideration dismissed.</w:t>
            </w:r>
          </w:p>
        </w:tc>
      </w:tr>
      <w:tr w:rsidR="00E52530" w:rsidRPr="00E52530" w:rsidTr="00E52530">
        <w:tc>
          <w:tcPr>
            <w:tcW w:w="2427" w:type="pct"/>
            <w:gridSpan w:val="2"/>
          </w:tcPr>
          <w:p w:rsidR="00E52530" w:rsidRPr="00E52530" w:rsidRDefault="00E52530" w:rsidP="00E52530">
            <w:pPr>
              <w:jc w:val="both"/>
              <w:rPr>
                <w:rFonts w:eastAsiaTheme="minorHAnsi"/>
                <w:sz w:val="20"/>
                <w:lang w:val="en-CA"/>
              </w:rPr>
            </w:pPr>
            <w:r w:rsidRPr="00E52530">
              <w:rPr>
                <w:rFonts w:eastAsiaTheme="minorHAnsi"/>
                <w:sz w:val="20"/>
                <w:lang w:val="en-CA"/>
              </w:rPr>
              <w:t>March 16, 2015</w:t>
            </w:r>
          </w:p>
          <w:p w:rsidR="00E52530" w:rsidRPr="00E52530" w:rsidRDefault="00E52530" w:rsidP="00E52530">
            <w:pPr>
              <w:jc w:val="both"/>
              <w:rPr>
                <w:rFonts w:eastAsiaTheme="minorHAnsi"/>
                <w:sz w:val="20"/>
                <w:lang w:val="en-CA"/>
              </w:rPr>
            </w:pPr>
            <w:r w:rsidRPr="00E52530">
              <w:rPr>
                <w:rFonts w:eastAsiaTheme="minorHAnsi"/>
                <w:sz w:val="20"/>
                <w:lang w:val="en-CA"/>
              </w:rPr>
              <w:t>Supreme Court of Canada</w:t>
            </w: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en-CA"/>
              </w:rPr>
            </w:pPr>
            <w:r w:rsidRPr="00E52530">
              <w:rPr>
                <w:rFonts w:eastAsiaTheme="minorHAnsi"/>
                <w:sz w:val="20"/>
                <w:lang w:val="en-CA"/>
              </w:rPr>
              <w:t>Application for leave to appeal filed.</w:t>
            </w:r>
          </w:p>
        </w:tc>
      </w:tr>
    </w:tbl>
    <w:p w:rsidR="00E52530" w:rsidRDefault="00E52530" w:rsidP="00E52530">
      <w:pPr>
        <w:jc w:val="both"/>
        <w:rPr>
          <w:rFonts w:eastAsiaTheme="minorHAnsi"/>
          <w:sz w:val="20"/>
          <w:lang w:val="en-CA"/>
        </w:rPr>
      </w:pPr>
    </w:p>
    <w:p w:rsidR="00E52530" w:rsidRPr="00E52530" w:rsidRDefault="00E52530" w:rsidP="00E52530">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530" w:rsidRPr="00E52530" w:rsidTr="00E52530">
        <w:tc>
          <w:tcPr>
            <w:tcW w:w="543" w:type="pct"/>
          </w:tcPr>
          <w:p w:rsidR="00E52530" w:rsidRPr="00E52530" w:rsidRDefault="00E52530" w:rsidP="00E52530">
            <w:pPr>
              <w:jc w:val="both"/>
              <w:rPr>
                <w:rFonts w:eastAsiaTheme="minorHAnsi"/>
                <w:sz w:val="20"/>
                <w:lang w:val="fr-CA"/>
              </w:rPr>
            </w:pPr>
            <w:r w:rsidRPr="00E52530">
              <w:rPr>
                <w:rFonts w:eastAsiaTheme="minorHAnsi"/>
                <w:b/>
                <w:sz w:val="20"/>
                <w:lang w:val="fr-CA"/>
              </w:rPr>
              <w:t>36344</w:t>
            </w:r>
          </w:p>
        </w:tc>
        <w:tc>
          <w:tcPr>
            <w:tcW w:w="4457" w:type="pct"/>
            <w:gridSpan w:val="3"/>
          </w:tcPr>
          <w:p w:rsidR="00E52530" w:rsidRPr="00E52530" w:rsidRDefault="00E52530" w:rsidP="00E52530">
            <w:pPr>
              <w:jc w:val="both"/>
              <w:rPr>
                <w:rFonts w:eastAsiaTheme="minorHAnsi"/>
                <w:b/>
                <w:sz w:val="20"/>
                <w:lang w:val="fr-CA"/>
              </w:rPr>
            </w:pPr>
            <w:r w:rsidRPr="00E52530">
              <w:rPr>
                <w:rFonts w:eastAsiaTheme="minorHAnsi"/>
                <w:b/>
                <w:sz w:val="20"/>
                <w:lang w:val="fr-CA"/>
              </w:rPr>
              <w:t xml:space="preserve">Michael </w:t>
            </w:r>
            <w:proofErr w:type="spellStart"/>
            <w:r w:rsidRPr="00E52530">
              <w:rPr>
                <w:rFonts w:eastAsiaTheme="minorHAnsi"/>
                <w:b/>
                <w:sz w:val="20"/>
                <w:lang w:val="fr-CA"/>
              </w:rPr>
              <w:t>Panula</w:t>
            </w:r>
            <w:proofErr w:type="spellEnd"/>
            <w:r w:rsidRPr="00E52530">
              <w:rPr>
                <w:rFonts w:eastAsiaTheme="minorHAnsi"/>
                <w:b/>
                <w:sz w:val="20"/>
                <w:lang w:val="fr-CA"/>
              </w:rPr>
              <w:t xml:space="preserve"> c. Procureur général du Canada</w:t>
            </w:r>
          </w:p>
          <w:p w:rsidR="00E52530" w:rsidRPr="00E52530" w:rsidRDefault="00E52530" w:rsidP="006936BC">
            <w:pPr>
              <w:jc w:val="both"/>
              <w:rPr>
                <w:rFonts w:eastAsiaTheme="minorHAnsi"/>
                <w:sz w:val="20"/>
                <w:lang w:val="fr-CA"/>
              </w:rPr>
            </w:pPr>
            <w:r w:rsidRPr="00E52530">
              <w:rPr>
                <w:rFonts w:eastAsiaTheme="minorHAnsi"/>
                <w:sz w:val="20"/>
                <w:lang w:val="fr-CA"/>
              </w:rPr>
              <w:t>(CF) (Civile) (Sur autorisation)</w:t>
            </w:r>
          </w:p>
        </w:tc>
      </w:tr>
      <w:tr w:rsidR="00E52530" w:rsidRPr="00E52530" w:rsidTr="00E52530">
        <w:tc>
          <w:tcPr>
            <w:tcW w:w="5000" w:type="pct"/>
            <w:gridSpan w:val="4"/>
          </w:tcPr>
          <w:p w:rsidR="00E52530" w:rsidRPr="00E52530" w:rsidRDefault="00E52530" w:rsidP="00E52530">
            <w:pPr>
              <w:jc w:val="both"/>
              <w:rPr>
                <w:rFonts w:eastAsiaTheme="minorHAnsi"/>
                <w:sz w:val="20"/>
                <w:lang w:val="fr-CA"/>
              </w:rPr>
            </w:pPr>
            <w:r w:rsidRPr="00E52530">
              <w:rPr>
                <w:rFonts w:eastAsiaTheme="minorHAnsi"/>
                <w:sz w:val="20"/>
                <w:lang w:val="fr-CA"/>
              </w:rPr>
              <w:lastRenderedPageBreak/>
              <w:t>Droit administratif — Contrôle judiciaire — Demande de contrôle judiciaire rejetée — Appel et requête en réexamen rejetés — Les juridictions inférieures ont-elles commis une erreur dans leur raisonnement et dans leur décision en rejetant la demande de contrôle judiciaire et l’appel subséquent de la décision de la Commission canadienne des droits de la personne de ne pas statuer sur la plainte du demandeur?</w:t>
            </w:r>
          </w:p>
        </w:tc>
      </w:tr>
      <w:tr w:rsidR="00E52530" w:rsidRPr="00E52530" w:rsidTr="00E52530">
        <w:tc>
          <w:tcPr>
            <w:tcW w:w="5000" w:type="pct"/>
            <w:gridSpan w:val="4"/>
          </w:tcPr>
          <w:p w:rsidR="00E52530" w:rsidRPr="00E52530" w:rsidRDefault="00E52530" w:rsidP="00E52530">
            <w:pPr>
              <w:jc w:val="both"/>
              <w:rPr>
                <w:rFonts w:eastAsiaTheme="minorHAnsi"/>
                <w:sz w:val="20"/>
                <w:lang w:val="fr-CA"/>
              </w:rPr>
            </w:pPr>
          </w:p>
        </w:tc>
      </w:tr>
      <w:tr w:rsidR="00E52530" w:rsidRPr="00E52530" w:rsidTr="00E52530">
        <w:tc>
          <w:tcPr>
            <w:tcW w:w="5000" w:type="pct"/>
            <w:gridSpan w:val="4"/>
          </w:tcPr>
          <w:p w:rsidR="00E52530" w:rsidRPr="00E52530" w:rsidRDefault="00E52530" w:rsidP="00E52530">
            <w:pPr>
              <w:jc w:val="both"/>
              <w:rPr>
                <w:rFonts w:eastAsiaTheme="minorHAnsi"/>
                <w:sz w:val="20"/>
                <w:lang w:val="fr-CA"/>
              </w:rPr>
            </w:pPr>
            <w:r w:rsidRPr="00E52530">
              <w:rPr>
                <w:rFonts w:eastAsiaTheme="minorHAnsi"/>
                <w:sz w:val="20"/>
                <w:lang w:val="fr-CA"/>
              </w:rPr>
              <w:t xml:space="preserve">Le demandeur a déposé une plainte auprès de la Commission canadienne des droits de la personne, alléguant avoir fait l’objet de discrimination par son ancien employeur. La Commission a décidé de ne pas statuer sur sa plainte. Le demandeur a présenté une demande de contrôle judiciaire à la Cour fédérale, demande qui a été rejetée. Il a ensuite interjeté appel de cette décision à la Cour d’appel fédérale. L’appel et la requête subséquente en réexamen ont tous les deux été rejetés. </w:t>
            </w:r>
          </w:p>
          <w:p w:rsidR="00E52530" w:rsidRPr="00E52530" w:rsidRDefault="00E52530" w:rsidP="00E52530">
            <w:pPr>
              <w:jc w:val="both"/>
              <w:rPr>
                <w:rFonts w:eastAsiaTheme="minorHAnsi"/>
                <w:sz w:val="20"/>
                <w:lang w:val="fr-CA"/>
              </w:rPr>
            </w:pPr>
          </w:p>
        </w:tc>
      </w:tr>
      <w:tr w:rsidR="00E52530" w:rsidRPr="00E52530" w:rsidTr="00E52530">
        <w:tc>
          <w:tcPr>
            <w:tcW w:w="2427" w:type="pct"/>
            <w:gridSpan w:val="2"/>
          </w:tcPr>
          <w:p w:rsidR="00E52530" w:rsidRPr="00E52530" w:rsidRDefault="00E52530" w:rsidP="00E52530">
            <w:pPr>
              <w:jc w:val="both"/>
              <w:rPr>
                <w:rFonts w:eastAsiaTheme="minorHAnsi"/>
                <w:sz w:val="20"/>
                <w:lang w:val="fr-CA"/>
              </w:rPr>
            </w:pPr>
            <w:r w:rsidRPr="00E52530">
              <w:rPr>
                <w:rFonts w:eastAsiaTheme="minorHAnsi"/>
                <w:sz w:val="20"/>
                <w:lang w:val="fr-CA"/>
              </w:rPr>
              <w:t>24 février 2014</w:t>
            </w:r>
          </w:p>
          <w:p w:rsidR="00E52530" w:rsidRPr="00E52530" w:rsidRDefault="00E52530" w:rsidP="00E52530">
            <w:pPr>
              <w:jc w:val="both"/>
              <w:rPr>
                <w:rFonts w:eastAsiaTheme="minorHAnsi"/>
                <w:sz w:val="20"/>
                <w:lang w:val="fr-CA"/>
              </w:rPr>
            </w:pPr>
            <w:r w:rsidRPr="00E52530">
              <w:rPr>
                <w:rFonts w:eastAsiaTheme="minorHAnsi"/>
                <w:sz w:val="20"/>
                <w:lang w:val="fr-CA"/>
              </w:rPr>
              <w:t>Cour fédérale</w:t>
            </w:r>
          </w:p>
          <w:p w:rsidR="00E52530" w:rsidRPr="00E52530" w:rsidRDefault="00E52530" w:rsidP="00E52530">
            <w:pPr>
              <w:jc w:val="both"/>
              <w:rPr>
                <w:rFonts w:eastAsiaTheme="minorHAnsi"/>
                <w:sz w:val="20"/>
                <w:lang w:val="fr-CA"/>
              </w:rPr>
            </w:pPr>
            <w:r w:rsidRPr="00E52530">
              <w:rPr>
                <w:rFonts w:eastAsiaTheme="minorHAnsi"/>
                <w:sz w:val="20"/>
                <w:lang w:val="fr-CA"/>
              </w:rPr>
              <w:t xml:space="preserve">(Juge </w:t>
            </w:r>
            <w:proofErr w:type="spellStart"/>
            <w:r w:rsidRPr="00E52530">
              <w:rPr>
                <w:rFonts w:eastAsiaTheme="minorHAnsi"/>
                <w:sz w:val="20"/>
                <w:lang w:val="fr-CA"/>
              </w:rPr>
              <w:t>McVeigh</w:t>
            </w:r>
            <w:proofErr w:type="spellEnd"/>
            <w:r w:rsidRPr="00E52530">
              <w:rPr>
                <w:rFonts w:eastAsiaTheme="minorHAnsi"/>
                <w:sz w:val="20"/>
                <w:lang w:val="fr-CA"/>
              </w:rPr>
              <w:t>)</w:t>
            </w:r>
          </w:p>
          <w:p w:rsidR="00E52530" w:rsidRPr="00E52530" w:rsidRDefault="00E52530" w:rsidP="00E52530">
            <w:pPr>
              <w:jc w:val="both"/>
              <w:rPr>
                <w:rFonts w:eastAsiaTheme="minorHAnsi"/>
                <w:sz w:val="20"/>
                <w:lang w:val="fr-CA"/>
              </w:rPr>
            </w:pPr>
          </w:p>
        </w:tc>
        <w:tc>
          <w:tcPr>
            <w:tcW w:w="243" w:type="pct"/>
          </w:tcPr>
          <w:p w:rsidR="00E52530" w:rsidRPr="00E52530" w:rsidRDefault="00E52530" w:rsidP="00E52530">
            <w:pPr>
              <w:jc w:val="both"/>
              <w:rPr>
                <w:rFonts w:eastAsiaTheme="minorHAnsi"/>
                <w:sz w:val="20"/>
                <w:lang w:val="fr-CA"/>
              </w:rPr>
            </w:pPr>
          </w:p>
        </w:tc>
        <w:tc>
          <w:tcPr>
            <w:tcW w:w="2330" w:type="pct"/>
          </w:tcPr>
          <w:p w:rsidR="00E52530" w:rsidRPr="00E52530" w:rsidRDefault="00E52530" w:rsidP="00E52530">
            <w:pPr>
              <w:jc w:val="both"/>
              <w:rPr>
                <w:rFonts w:eastAsiaTheme="minorHAnsi"/>
                <w:sz w:val="20"/>
                <w:lang w:val="fr-CA"/>
              </w:rPr>
            </w:pPr>
            <w:r w:rsidRPr="00E52530">
              <w:rPr>
                <w:rFonts w:eastAsiaTheme="minorHAnsi"/>
                <w:sz w:val="20"/>
                <w:lang w:val="fr-CA"/>
              </w:rPr>
              <w:t>Rejet de la demande de contrôle judiciaire  de la décision de la Commission canadienne des droits de la personne de ne pas statuer sur la plainte.</w:t>
            </w:r>
          </w:p>
          <w:p w:rsidR="00E52530" w:rsidRPr="00E52530" w:rsidRDefault="00E52530" w:rsidP="00E52530">
            <w:pPr>
              <w:jc w:val="both"/>
              <w:rPr>
                <w:rFonts w:eastAsiaTheme="minorHAnsi"/>
                <w:sz w:val="20"/>
                <w:lang w:val="fr-CA"/>
              </w:rPr>
            </w:pPr>
          </w:p>
        </w:tc>
      </w:tr>
      <w:tr w:rsidR="00E52530" w:rsidRPr="00E52530" w:rsidTr="00E52530">
        <w:tc>
          <w:tcPr>
            <w:tcW w:w="2427" w:type="pct"/>
            <w:gridSpan w:val="2"/>
          </w:tcPr>
          <w:p w:rsidR="00E52530" w:rsidRPr="00E52530" w:rsidRDefault="00E52530" w:rsidP="00E52530">
            <w:pPr>
              <w:jc w:val="both"/>
              <w:rPr>
                <w:rFonts w:eastAsiaTheme="minorHAnsi"/>
                <w:sz w:val="20"/>
                <w:lang w:val="fr-CA"/>
              </w:rPr>
            </w:pPr>
            <w:r w:rsidRPr="00E52530">
              <w:rPr>
                <w:rFonts w:eastAsiaTheme="minorHAnsi"/>
                <w:sz w:val="20"/>
                <w:lang w:val="fr-CA"/>
              </w:rPr>
              <w:t>14 janvier 2015</w:t>
            </w:r>
          </w:p>
          <w:p w:rsidR="00E52530" w:rsidRPr="00E52530" w:rsidRDefault="00E52530" w:rsidP="00E52530">
            <w:pPr>
              <w:jc w:val="both"/>
              <w:rPr>
                <w:rFonts w:eastAsiaTheme="minorHAnsi"/>
                <w:sz w:val="20"/>
                <w:lang w:val="fr-CA"/>
              </w:rPr>
            </w:pPr>
            <w:r w:rsidRPr="00E52530">
              <w:rPr>
                <w:rFonts w:eastAsiaTheme="minorHAnsi"/>
                <w:sz w:val="20"/>
                <w:lang w:val="fr-CA"/>
              </w:rPr>
              <w:t>Cour d’appel fédérale</w:t>
            </w:r>
          </w:p>
          <w:p w:rsidR="00E52530" w:rsidRPr="00E52530" w:rsidRDefault="00E52530" w:rsidP="00E52530">
            <w:pPr>
              <w:jc w:val="both"/>
              <w:rPr>
                <w:rFonts w:eastAsiaTheme="minorHAnsi"/>
                <w:sz w:val="20"/>
                <w:lang w:val="fr-CA"/>
              </w:rPr>
            </w:pPr>
            <w:r w:rsidRPr="00E52530">
              <w:rPr>
                <w:rFonts w:eastAsiaTheme="minorHAnsi"/>
                <w:sz w:val="20"/>
                <w:lang w:val="fr-CA"/>
              </w:rPr>
              <w:t xml:space="preserve">(Juges Dawson, </w:t>
            </w:r>
            <w:proofErr w:type="spellStart"/>
            <w:r w:rsidRPr="00E52530">
              <w:rPr>
                <w:rFonts w:eastAsiaTheme="minorHAnsi"/>
                <w:sz w:val="20"/>
                <w:lang w:val="fr-CA"/>
              </w:rPr>
              <w:t>Stratas</w:t>
            </w:r>
            <w:proofErr w:type="spellEnd"/>
            <w:r w:rsidRPr="00E52530">
              <w:rPr>
                <w:rFonts w:eastAsiaTheme="minorHAnsi"/>
                <w:sz w:val="20"/>
                <w:lang w:val="fr-CA"/>
              </w:rPr>
              <w:t xml:space="preserve"> et Boivin)</w:t>
            </w:r>
          </w:p>
          <w:p w:rsidR="00E52530" w:rsidRPr="00E52530" w:rsidRDefault="001155B4" w:rsidP="00E52530">
            <w:pPr>
              <w:jc w:val="both"/>
              <w:rPr>
                <w:rFonts w:eastAsiaTheme="minorHAnsi"/>
                <w:sz w:val="20"/>
                <w:lang w:val="fr-CA"/>
              </w:rPr>
            </w:pPr>
            <w:hyperlink r:id="rId28" w:history="1">
              <w:r w:rsidR="00E52530" w:rsidRPr="00E52530">
                <w:rPr>
                  <w:rFonts w:eastAsiaTheme="minorHAnsi"/>
                  <w:color w:val="0000FF" w:themeColor="hyperlink"/>
                  <w:sz w:val="20"/>
                  <w:u w:val="single"/>
                  <w:lang w:val="fr-CA"/>
                </w:rPr>
                <w:t>2015 CAF 7</w:t>
              </w:r>
            </w:hyperlink>
          </w:p>
          <w:p w:rsidR="00E52530" w:rsidRPr="00E52530" w:rsidRDefault="00E52530" w:rsidP="00E52530">
            <w:pPr>
              <w:jc w:val="both"/>
              <w:rPr>
                <w:rFonts w:eastAsiaTheme="minorHAnsi"/>
                <w:sz w:val="20"/>
                <w:lang w:val="fr-CA"/>
              </w:rPr>
            </w:pPr>
          </w:p>
        </w:tc>
        <w:tc>
          <w:tcPr>
            <w:tcW w:w="243" w:type="pct"/>
          </w:tcPr>
          <w:p w:rsidR="00E52530" w:rsidRPr="00E52530" w:rsidRDefault="00E52530" w:rsidP="00E52530">
            <w:pPr>
              <w:jc w:val="both"/>
              <w:rPr>
                <w:rFonts w:eastAsiaTheme="minorHAnsi"/>
                <w:sz w:val="20"/>
                <w:lang w:val="fr-CA"/>
              </w:rPr>
            </w:pPr>
          </w:p>
        </w:tc>
        <w:tc>
          <w:tcPr>
            <w:tcW w:w="2330" w:type="pct"/>
          </w:tcPr>
          <w:p w:rsidR="00E52530" w:rsidRPr="00E52530" w:rsidRDefault="00E52530" w:rsidP="00E52530">
            <w:pPr>
              <w:jc w:val="both"/>
              <w:rPr>
                <w:rFonts w:eastAsiaTheme="minorHAnsi"/>
                <w:sz w:val="20"/>
                <w:lang w:val="fr-CA"/>
              </w:rPr>
            </w:pPr>
            <w:r w:rsidRPr="00E52530">
              <w:rPr>
                <w:rFonts w:eastAsiaTheme="minorHAnsi"/>
                <w:sz w:val="20"/>
                <w:lang w:val="fr-CA"/>
              </w:rPr>
              <w:t>Rejet de l’appel.</w:t>
            </w:r>
          </w:p>
          <w:p w:rsidR="00E52530" w:rsidRPr="00E52530" w:rsidRDefault="00E52530" w:rsidP="00E52530">
            <w:pPr>
              <w:jc w:val="both"/>
              <w:rPr>
                <w:rFonts w:eastAsiaTheme="minorHAnsi"/>
                <w:sz w:val="20"/>
                <w:lang w:val="fr-CA"/>
              </w:rPr>
            </w:pPr>
          </w:p>
        </w:tc>
      </w:tr>
      <w:tr w:rsidR="00E52530" w:rsidRPr="00E52530" w:rsidTr="00E52530">
        <w:tc>
          <w:tcPr>
            <w:tcW w:w="2427" w:type="pct"/>
            <w:gridSpan w:val="2"/>
          </w:tcPr>
          <w:p w:rsidR="00E52530" w:rsidRPr="00E52530" w:rsidRDefault="00E52530" w:rsidP="00E52530">
            <w:pPr>
              <w:jc w:val="both"/>
              <w:rPr>
                <w:rFonts w:eastAsiaTheme="minorHAnsi"/>
                <w:sz w:val="20"/>
                <w:lang w:val="fr-CA"/>
              </w:rPr>
            </w:pPr>
            <w:r w:rsidRPr="00E52530">
              <w:rPr>
                <w:rFonts w:eastAsiaTheme="minorHAnsi"/>
                <w:sz w:val="20"/>
                <w:lang w:val="fr-CA"/>
              </w:rPr>
              <w:t>26 février 2015</w:t>
            </w:r>
          </w:p>
          <w:p w:rsidR="00E52530" w:rsidRPr="00E52530" w:rsidRDefault="00E52530" w:rsidP="00E52530">
            <w:pPr>
              <w:jc w:val="both"/>
              <w:rPr>
                <w:rFonts w:eastAsiaTheme="minorHAnsi"/>
                <w:sz w:val="20"/>
                <w:lang w:val="fr-CA"/>
              </w:rPr>
            </w:pPr>
            <w:r w:rsidRPr="00E52530">
              <w:rPr>
                <w:rFonts w:eastAsiaTheme="minorHAnsi"/>
                <w:sz w:val="20"/>
                <w:lang w:val="fr-CA"/>
              </w:rPr>
              <w:t>Cour d’appel fédérale</w:t>
            </w:r>
          </w:p>
          <w:p w:rsidR="00E52530" w:rsidRPr="00E52530" w:rsidRDefault="00E52530" w:rsidP="00E52530">
            <w:pPr>
              <w:jc w:val="both"/>
              <w:rPr>
                <w:rFonts w:eastAsiaTheme="minorHAnsi"/>
                <w:sz w:val="20"/>
                <w:lang w:val="fr-CA"/>
              </w:rPr>
            </w:pPr>
            <w:r w:rsidRPr="00E52530">
              <w:rPr>
                <w:rFonts w:eastAsiaTheme="minorHAnsi"/>
                <w:sz w:val="20"/>
                <w:lang w:val="fr-CA"/>
              </w:rPr>
              <w:t xml:space="preserve">(Juges Dawson, </w:t>
            </w:r>
            <w:proofErr w:type="spellStart"/>
            <w:r w:rsidRPr="00E52530">
              <w:rPr>
                <w:rFonts w:eastAsiaTheme="minorHAnsi"/>
                <w:sz w:val="20"/>
                <w:lang w:val="fr-CA"/>
              </w:rPr>
              <w:t>Stratas</w:t>
            </w:r>
            <w:proofErr w:type="spellEnd"/>
            <w:r w:rsidRPr="00E52530">
              <w:rPr>
                <w:rFonts w:eastAsiaTheme="minorHAnsi"/>
                <w:sz w:val="20"/>
                <w:lang w:val="fr-CA"/>
              </w:rPr>
              <w:t xml:space="preserve"> et Boivin)</w:t>
            </w:r>
          </w:p>
          <w:p w:rsidR="00E52530" w:rsidRPr="00E52530" w:rsidRDefault="00E52530" w:rsidP="00E52530">
            <w:pPr>
              <w:jc w:val="both"/>
              <w:rPr>
                <w:rFonts w:eastAsiaTheme="minorHAnsi"/>
                <w:sz w:val="20"/>
                <w:lang w:val="fr-CA"/>
              </w:rPr>
            </w:pPr>
            <w:r w:rsidRPr="00E52530">
              <w:rPr>
                <w:rFonts w:eastAsiaTheme="minorHAnsi"/>
                <w:sz w:val="20"/>
                <w:lang w:val="fr-CA"/>
              </w:rPr>
              <w:t>N</w:t>
            </w:r>
            <w:r w:rsidRPr="00E52530">
              <w:rPr>
                <w:rFonts w:eastAsiaTheme="minorHAnsi"/>
                <w:sz w:val="20"/>
                <w:vertAlign w:val="superscript"/>
                <w:lang w:val="fr-CA"/>
              </w:rPr>
              <w:t>o</w:t>
            </w:r>
            <w:r w:rsidRPr="00E52530">
              <w:rPr>
                <w:rFonts w:eastAsiaTheme="minorHAnsi"/>
                <w:sz w:val="20"/>
                <w:lang w:val="fr-CA"/>
              </w:rPr>
              <w:t xml:space="preserve"> du greffe : A-162-14</w:t>
            </w:r>
          </w:p>
          <w:p w:rsidR="00E52530" w:rsidRPr="00E52530" w:rsidRDefault="00E52530" w:rsidP="00E52530">
            <w:pPr>
              <w:jc w:val="both"/>
              <w:rPr>
                <w:rFonts w:eastAsiaTheme="minorHAnsi"/>
                <w:sz w:val="20"/>
                <w:lang w:val="fr-CA"/>
              </w:rPr>
            </w:pPr>
          </w:p>
        </w:tc>
        <w:tc>
          <w:tcPr>
            <w:tcW w:w="243" w:type="pct"/>
          </w:tcPr>
          <w:p w:rsidR="00E52530" w:rsidRPr="00E52530" w:rsidRDefault="00E52530" w:rsidP="00E52530">
            <w:pPr>
              <w:jc w:val="both"/>
              <w:rPr>
                <w:rFonts w:eastAsiaTheme="minorHAnsi"/>
                <w:sz w:val="20"/>
                <w:lang w:val="fr-CA"/>
              </w:rPr>
            </w:pPr>
          </w:p>
        </w:tc>
        <w:tc>
          <w:tcPr>
            <w:tcW w:w="2330" w:type="pct"/>
          </w:tcPr>
          <w:p w:rsidR="00E52530" w:rsidRPr="00E52530" w:rsidRDefault="00E52530" w:rsidP="00E52530">
            <w:pPr>
              <w:jc w:val="both"/>
              <w:rPr>
                <w:rFonts w:eastAsiaTheme="minorHAnsi"/>
                <w:sz w:val="20"/>
                <w:lang w:val="fr-CA"/>
              </w:rPr>
            </w:pPr>
            <w:r w:rsidRPr="00E52530">
              <w:rPr>
                <w:rFonts w:eastAsiaTheme="minorHAnsi"/>
                <w:sz w:val="20"/>
                <w:lang w:val="fr-CA"/>
              </w:rPr>
              <w:t>Rejet de la requête en réexamen.</w:t>
            </w:r>
          </w:p>
        </w:tc>
      </w:tr>
      <w:tr w:rsidR="00E52530" w:rsidRPr="00E52530" w:rsidTr="00E52530">
        <w:tc>
          <w:tcPr>
            <w:tcW w:w="2427" w:type="pct"/>
            <w:gridSpan w:val="2"/>
          </w:tcPr>
          <w:p w:rsidR="00E52530" w:rsidRPr="00E52530" w:rsidRDefault="00E52530" w:rsidP="00E52530">
            <w:pPr>
              <w:jc w:val="both"/>
              <w:rPr>
                <w:rFonts w:eastAsiaTheme="minorHAnsi"/>
                <w:sz w:val="20"/>
                <w:lang w:val="fr-CA"/>
              </w:rPr>
            </w:pPr>
            <w:r w:rsidRPr="00E52530">
              <w:rPr>
                <w:rFonts w:eastAsiaTheme="minorHAnsi"/>
                <w:sz w:val="20"/>
                <w:lang w:val="fr-CA"/>
              </w:rPr>
              <w:t>16 mars 2015</w:t>
            </w:r>
          </w:p>
          <w:p w:rsidR="00E52530" w:rsidRPr="00E52530" w:rsidRDefault="00E52530" w:rsidP="00E52530">
            <w:pPr>
              <w:jc w:val="both"/>
              <w:rPr>
                <w:rFonts w:eastAsiaTheme="minorHAnsi"/>
                <w:sz w:val="20"/>
                <w:lang w:val="fr-CA"/>
              </w:rPr>
            </w:pPr>
            <w:r w:rsidRPr="00E52530">
              <w:rPr>
                <w:rFonts w:eastAsiaTheme="minorHAnsi"/>
                <w:sz w:val="20"/>
                <w:lang w:val="fr-CA"/>
              </w:rPr>
              <w:t>Cour suprême du Canada</w:t>
            </w:r>
          </w:p>
        </w:tc>
        <w:tc>
          <w:tcPr>
            <w:tcW w:w="243" w:type="pct"/>
          </w:tcPr>
          <w:p w:rsidR="00E52530" w:rsidRPr="00E52530" w:rsidRDefault="00E52530" w:rsidP="00E52530">
            <w:pPr>
              <w:jc w:val="both"/>
              <w:rPr>
                <w:rFonts w:eastAsiaTheme="minorHAnsi"/>
                <w:sz w:val="20"/>
                <w:lang w:val="fr-CA"/>
              </w:rPr>
            </w:pPr>
          </w:p>
        </w:tc>
        <w:tc>
          <w:tcPr>
            <w:tcW w:w="2330" w:type="pct"/>
          </w:tcPr>
          <w:p w:rsidR="00E52530" w:rsidRPr="00E52530" w:rsidRDefault="00E52530" w:rsidP="00E52530">
            <w:pPr>
              <w:jc w:val="both"/>
              <w:rPr>
                <w:rFonts w:eastAsiaTheme="minorHAnsi"/>
                <w:sz w:val="20"/>
                <w:lang w:val="fr-CA"/>
              </w:rPr>
            </w:pPr>
            <w:r w:rsidRPr="00E52530">
              <w:rPr>
                <w:rFonts w:eastAsiaTheme="minorHAnsi"/>
                <w:sz w:val="20"/>
                <w:lang w:val="fr-CA"/>
              </w:rPr>
              <w:t>Dépôt de la demande d’autorisation d’appel.</w:t>
            </w:r>
          </w:p>
        </w:tc>
      </w:tr>
    </w:tbl>
    <w:p w:rsidR="00E52530" w:rsidRDefault="00E52530" w:rsidP="00E52530">
      <w:pPr>
        <w:jc w:val="both"/>
        <w:rPr>
          <w:rFonts w:eastAsiaTheme="minorHAnsi"/>
          <w:sz w:val="20"/>
          <w:lang w:val="fr-CA"/>
        </w:rPr>
      </w:pPr>
    </w:p>
    <w:p w:rsidR="00E52530" w:rsidRPr="00E52530" w:rsidRDefault="00E52530" w:rsidP="00E52530">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530" w:rsidRPr="00E52530" w:rsidTr="00E52530">
        <w:tc>
          <w:tcPr>
            <w:tcW w:w="543" w:type="pct"/>
          </w:tcPr>
          <w:p w:rsidR="00E52530" w:rsidRPr="00E52530" w:rsidRDefault="00E52530" w:rsidP="00E52530">
            <w:pPr>
              <w:jc w:val="both"/>
              <w:rPr>
                <w:rFonts w:eastAsiaTheme="minorHAnsi"/>
                <w:sz w:val="20"/>
                <w:lang w:val="en-CA"/>
              </w:rPr>
            </w:pPr>
            <w:r w:rsidRPr="00E52530">
              <w:rPr>
                <w:rFonts w:eastAsiaTheme="minorHAnsi"/>
                <w:b/>
                <w:sz w:val="20"/>
                <w:lang w:val="en-CA"/>
              </w:rPr>
              <w:t>36289</w:t>
            </w:r>
          </w:p>
        </w:tc>
        <w:tc>
          <w:tcPr>
            <w:tcW w:w="4457" w:type="pct"/>
            <w:gridSpan w:val="3"/>
          </w:tcPr>
          <w:p w:rsidR="00E52530" w:rsidRPr="00E52530" w:rsidRDefault="00E52530" w:rsidP="00E52530">
            <w:pPr>
              <w:jc w:val="both"/>
              <w:rPr>
                <w:rFonts w:eastAsiaTheme="minorHAnsi"/>
                <w:b/>
                <w:sz w:val="20"/>
                <w:lang w:val="en-CA"/>
              </w:rPr>
            </w:pPr>
            <w:r w:rsidRPr="00E52530">
              <w:rPr>
                <w:rFonts w:eastAsiaTheme="minorHAnsi"/>
                <w:b/>
                <w:sz w:val="20"/>
                <w:lang w:val="en-CA"/>
              </w:rPr>
              <w:t>Shin Han F &amp; P Inc. v. Canada-Nova Scotia Offshore Petroleum Board</w:t>
            </w:r>
          </w:p>
          <w:p w:rsidR="00E52530" w:rsidRPr="00E52530" w:rsidRDefault="00E52530" w:rsidP="00E52530">
            <w:pPr>
              <w:jc w:val="both"/>
              <w:rPr>
                <w:rFonts w:eastAsiaTheme="minorHAnsi"/>
                <w:sz w:val="20"/>
                <w:lang w:val="en-CA"/>
              </w:rPr>
            </w:pPr>
            <w:r w:rsidRPr="00E52530">
              <w:rPr>
                <w:rFonts w:eastAsiaTheme="minorHAnsi"/>
                <w:sz w:val="20"/>
                <w:lang w:val="en-CA"/>
              </w:rPr>
              <w:t>(N.S.) (Civil) (By Leave)</w:t>
            </w:r>
          </w:p>
        </w:tc>
      </w:tr>
      <w:tr w:rsidR="00E52530" w:rsidRPr="00E52530" w:rsidTr="00E52530">
        <w:tc>
          <w:tcPr>
            <w:tcW w:w="5000" w:type="pct"/>
            <w:gridSpan w:val="4"/>
          </w:tcPr>
          <w:p w:rsidR="00E52530" w:rsidRPr="00E52530" w:rsidRDefault="00E52530" w:rsidP="00E52530">
            <w:pPr>
              <w:jc w:val="both"/>
              <w:rPr>
                <w:rFonts w:eastAsiaTheme="minorHAnsi"/>
                <w:sz w:val="20"/>
                <w:lang w:val="en-CA"/>
              </w:rPr>
            </w:pPr>
            <w:r w:rsidRPr="00E52530">
              <w:rPr>
                <w:rFonts w:eastAsiaTheme="minorHAnsi"/>
                <w:sz w:val="20"/>
                <w:lang w:val="en-CA"/>
              </w:rPr>
              <w:t xml:space="preserve">Administrative law </w:t>
            </w:r>
            <w:r w:rsidRPr="00E52530">
              <w:rPr>
                <w:rFonts w:eastAsiaTheme="minorHAnsi"/>
                <w:sz w:val="20"/>
              </w:rPr>
              <w:t xml:space="preserve">— </w:t>
            </w:r>
            <w:r w:rsidRPr="00E52530">
              <w:rPr>
                <w:rFonts w:eastAsiaTheme="minorHAnsi"/>
                <w:sz w:val="20"/>
                <w:lang w:val="en-CA"/>
              </w:rPr>
              <w:t xml:space="preserve">Boards and tribunals </w:t>
            </w:r>
            <w:r w:rsidRPr="00E52530">
              <w:rPr>
                <w:rFonts w:eastAsiaTheme="minorHAnsi"/>
                <w:sz w:val="20"/>
              </w:rPr>
              <w:t xml:space="preserve">— </w:t>
            </w:r>
            <w:r w:rsidRPr="00E52530">
              <w:rPr>
                <w:rFonts w:eastAsiaTheme="minorHAnsi"/>
                <w:sz w:val="20"/>
                <w:lang w:val="en-CA"/>
              </w:rPr>
              <w:t xml:space="preserve">Canada-Nova Scotia Offshore Petroleum Board </w:t>
            </w:r>
            <w:r w:rsidRPr="00E52530">
              <w:rPr>
                <w:rFonts w:eastAsiaTheme="minorHAnsi"/>
                <w:sz w:val="20"/>
              </w:rPr>
              <w:t xml:space="preserve">— </w:t>
            </w:r>
            <w:r w:rsidRPr="00E52530">
              <w:rPr>
                <w:rFonts w:eastAsiaTheme="minorHAnsi"/>
                <w:sz w:val="20"/>
                <w:lang w:val="en-CA"/>
              </w:rPr>
              <w:t xml:space="preserve">Judicial review </w:t>
            </w:r>
            <w:r w:rsidRPr="00E52530">
              <w:rPr>
                <w:rFonts w:eastAsiaTheme="minorHAnsi"/>
                <w:sz w:val="20"/>
              </w:rPr>
              <w:t xml:space="preserve">— </w:t>
            </w:r>
            <w:r w:rsidRPr="00E52530">
              <w:rPr>
                <w:rFonts w:eastAsiaTheme="minorHAnsi"/>
                <w:sz w:val="20"/>
                <w:lang w:val="en-CA"/>
              </w:rPr>
              <w:t xml:space="preserve">Applicant seeking judicial review of decision made by Board to cancel an exploratory licence issued to the applicant </w:t>
            </w:r>
            <w:r w:rsidRPr="00E52530">
              <w:rPr>
                <w:rFonts w:eastAsiaTheme="minorHAnsi"/>
                <w:sz w:val="20"/>
              </w:rPr>
              <w:t xml:space="preserve">— </w:t>
            </w:r>
            <w:r w:rsidRPr="00E52530">
              <w:rPr>
                <w:rFonts w:eastAsiaTheme="minorHAnsi"/>
                <w:sz w:val="20"/>
                <w:lang w:val="en-CA"/>
              </w:rPr>
              <w:t>Whether the Nova Scotia Court of Appeal applied the wrong legal test when determining whether the Applicant’s allegation of reasonable apprehension of institutional bias could be considered and in the manner in which it applied the test for considering a new issue in relation to the Applicant’s allegation of a institutional bias</w:t>
            </w:r>
          </w:p>
        </w:tc>
      </w:tr>
      <w:tr w:rsidR="00E52530" w:rsidRPr="00E52530" w:rsidTr="00E52530">
        <w:tc>
          <w:tcPr>
            <w:tcW w:w="5000" w:type="pct"/>
            <w:gridSpan w:val="4"/>
          </w:tcPr>
          <w:p w:rsidR="00E52530" w:rsidRPr="00E52530" w:rsidRDefault="00E52530" w:rsidP="00E52530">
            <w:pPr>
              <w:jc w:val="both"/>
              <w:rPr>
                <w:rFonts w:eastAsiaTheme="minorHAnsi"/>
                <w:sz w:val="20"/>
                <w:lang w:val="en-CA"/>
              </w:rPr>
            </w:pPr>
          </w:p>
        </w:tc>
      </w:tr>
      <w:tr w:rsidR="00E52530" w:rsidRPr="00E52530" w:rsidTr="00E52530">
        <w:tc>
          <w:tcPr>
            <w:tcW w:w="5000" w:type="pct"/>
            <w:gridSpan w:val="4"/>
          </w:tcPr>
          <w:p w:rsidR="00E52530" w:rsidRPr="00E52530" w:rsidRDefault="00E52530" w:rsidP="00E52530">
            <w:pPr>
              <w:jc w:val="both"/>
              <w:rPr>
                <w:rFonts w:eastAsiaTheme="minorHAnsi"/>
                <w:sz w:val="20"/>
                <w:lang w:val="en-CA"/>
              </w:rPr>
            </w:pPr>
            <w:r w:rsidRPr="00E52530">
              <w:rPr>
                <w:rFonts w:eastAsiaTheme="minorHAnsi"/>
                <w:sz w:val="20"/>
                <w:lang w:val="en-CA"/>
              </w:rPr>
              <w:t xml:space="preserve">The Canada-Nova Scotia Offshore Petroleum Board (“Board”) regulates the development of petroleum resources in the Nova Scotia offshore area. It granted the applicant an exploration license for a parcel of offshore lands based on the amount of expenditure proposed for exploration. Pursuant to the terms of the license, the applicant was required to deposit 25% of the proposed exploration expenditure as security. Failure to do so would result in the cancellation of the license. The applicant failed to make the deposit within the allotted time frame. The Board gave notice of its proposed decision to cancel the exploration license. The legislation provided a mechanism for the person affected to request a hearing before the Oil and Gas Committee (“Committee”). After considering the recommendation of the Committee, in accordance the governing legislation, the Board concluded that the applicant failed to comply with the exploration license and ordered the cancellation of the license and forfeiture of the deposit. The applicant sought judicial review of the Board decision.  </w:t>
            </w:r>
          </w:p>
          <w:p w:rsidR="00E52530" w:rsidRPr="00E52530" w:rsidRDefault="00E52530" w:rsidP="00E52530">
            <w:pPr>
              <w:jc w:val="both"/>
              <w:rPr>
                <w:rFonts w:eastAsiaTheme="minorHAnsi"/>
                <w:sz w:val="20"/>
                <w:lang w:val="en-CA"/>
              </w:rPr>
            </w:pPr>
          </w:p>
        </w:tc>
      </w:tr>
      <w:tr w:rsidR="00E52530" w:rsidRPr="00E52530" w:rsidTr="00E52530">
        <w:tc>
          <w:tcPr>
            <w:tcW w:w="2427" w:type="pct"/>
            <w:gridSpan w:val="2"/>
          </w:tcPr>
          <w:p w:rsidR="00E52530" w:rsidRPr="00E52530" w:rsidRDefault="00E52530" w:rsidP="00E52530">
            <w:pPr>
              <w:jc w:val="both"/>
              <w:rPr>
                <w:rFonts w:eastAsiaTheme="minorHAnsi"/>
                <w:sz w:val="20"/>
                <w:lang w:val="en-CA"/>
              </w:rPr>
            </w:pPr>
            <w:r w:rsidRPr="00E52530">
              <w:rPr>
                <w:rFonts w:eastAsiaTheme="minorHAnsi"/>
                <w:sz w:val="20"/>
                <w:lang w:val="en-CA"/>
              </w:rPr>
              <w:lastRenderedPageBreak/>
              <w:t>October 10, 2013</w:t>
            </w:r>
          </w:p>
          <w:p w:rsidR="00E52530" w:rsidRPr="00E52530" w:rsidRDefault="00E52530" w:rsidP="00E52530">
            <w:pPr>
              <w:jc w:val="both"/>
              <w:rPr>
                <w:rFonts w:eastAsiaTheme="minorHAnsi"/>
                <w:sz w:val="20"/>
                <w:lang w:val="en-CA"/>
              </w:rPr>
            </w:pPr>
            <w:r w:rsidRPr="00E52530">
              <w:rPr>
                <w:rFonts w:eastAsiaTheme="minorHAnsi"/>
                <w:sz w:val="20"/>
                <w:lang w:val="en-CA"/>
              </w:rPr>
              <w:t>Supreme Court of Nova Scotia, Trial Division</w:t>
            </w:r>
          </w:p>
          <w:p w:rsidR="00E52530" w:rsidRPr="00E52530" w:rsidRDefault="00E52530" w:rsidP="00E52530">
            <w:pPr>
              <w:jc w:val="both"/>
              <w:rPr>
                <w:rFonts w:eastAsiaTheme="minorHAnsi"/>
                <w:sz w:val="20"/>
                <w:lang w:val="en-CA"/>
              </w:rPr>
            </w:pPr>
            <w:r w:rsidRPr="00E52530">
              <w:rPr>
                <w:rFonts w:eastAsiaTheme="minorHAnsi"/>
                <w:sz w:val="20"/>
                <w:lang w:val="en-CA"/>
              </w:rPr>
              <w:t>(Warner J.)</w:t>
            </w:r>
          </w:p>
          <w:p w:rsidR="00E52530" w:rsidRPr="00E52530" w:rsidRDefault="001155B4" w:rsidP="00E52530">
            <w:pPr>
              <w:jc w:val="both"/>
              <w:rPr>
                <w:rFonts w:eastAsiaTheme="minorHAnsi"/>
                <w:sz w:val="20"/>
                <w:lang w:val="en-CA"/>
              </w:rPr>
            </w:pPr>
            <w:hyperlink r:id="rId29" w:history="1">
              <w:r w:rsidR="00E52530" w:rsidRPr="00E52530">
                <w:rPr>
                  <w:rFonts w:eastAsiaTheme="minorHAnsi"/>
                  <w:color w:val="0000FF" w:themeColor="hyperlink"/>
                  <w:sz w:val="20"/>
                  <w:u w:val="single"/>
                  <w:lang w:val="en-CA"/>
                </w:rPr>
                <w:t>2013 NSSC 341</w:t>
              </w:r>
            </w:hyperlink>
          </w:p>
          <w:p w:rsidR="00E52530" w:rsidRPr="00E52530" w:rsidRDefault="00E52530" w:rsidP="00E52530">
            <w:pPr>
              <w:jc w:val="both"/>
              <w:rPr>
                <w:rFonts w:eastAsiaTheme="minorHAnsi"/>
                <w:sz w:val="20"/>
                <w:lang w:val="en-CA"/>
              </w:rPr>
            </w:pP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en-CA"/>
              </w:rPr>
            </w:pPr>
          </w:p>
          <w:p w:rsidR="00E52530" w:rsidRPr="00E52530" w:rsidRDefault="00E52530" w:rsidP="00E52530">
            <w:pPr>
              <w:jc w:val="both"/>
              <w:rPr>
                <w:rFonts w:eastAsiaTheme="minorHAnsi"/>
                <w:sz w:val="20"/>
                <w:lang w:val="en-CA"/>
              </w:rPr>
            </w:pPr>
            <w:r w:rsidRPr="00E52530">
              <w:rPr>
                <w:rFonts w:eastAsiaTheme="minorHAnsi"/>
                <w:sz w:val="20"/>
                <w:lang w:val="en-CA"/>
              </w:rPr>
              <w:t>Applicant’s application for judicial review dismissed</w:t>
            </w:r>
          </w:p>
        </w:tc>
      </w:tr>
      <w:tr w:rsidR="00E52530" w:rsidRPr="00E52530" w:rsidTr="00E52530">
        <w:tc>
          <w:tcPr>
            <w:tcW w:w="2427" w:type="pct"/>
            <w:gridSpan w:val="2"/>
          </w:tcPr>
          <w:p w:rsidR="00E52530" w:rsidRPr="00E52530" w:rsidRDefault="00E52530" w:rsidP="00E52530">
            <w:pPr>
              <w:jc w:val="both"/>
              <w:rPr>
                <w:rFonts w:eastAsiaTheme="minorHAnsi"/>
                <w:sz w:val="20"/>
                <w:lang w:val="en-CA"/>
              </w:rPr>
            </w:pPr>
            <w:r w:rsidRPr="00E52530">
              <w:rPr>
                <w:rFonts w:eastAsiaTheme="minorHAnsi"/>
                <w:sz w:val="20"/>
                <w:lang w:val="en-CA"/>
              </w:rPr>
              <w:t>December 5, 2014</w:t>
            </w:r>
          </w:p>
          <w:p w:rsidR="00E52530" w:rsidRPr="00E52530" w:rsidRDefault="00E52530" w:rsidP="00E52530">
            <w:pPr>
              <w:jc w:val="both"/>
              <w:rPr>
                <w:rFonts w:eastAsiaTheme="minorHAnsi"/>
                <w:sz w:val="20"/>
                <w:lang w:val="en-CA"/>
              </w:rPr>
            </w:pPr>
            <w:r w:rsidRPr="00E52530">
              <w:rPr>
                <w:rFonts w:eastAsiaTheme="minorHAnsi"/>
                <w:sz w:val="20"/>
                <w:lang w:val="en-CA"/>
              </w:rPr>
              <w:t>Nova Scotia Court of Appeal</w:t>
            </w:r>
          </w:p>
          <w:p w:rsidR="00E52530" w:rsidRPr="00E52530" w:rsidRDefault="00E52530" w:rsidP="00E52530">
            <w:pPr>
              <w:jc w:val="both"/>
              <w:rPr>
                <w:rFonts w:eastAsiaTheme="minorHAnsi"/>
                <w:sz w:val="20"/>
                <w:lang w:val="en-CA"/>
              </w:rPr>
            </w:pPr>
            <w:r w:rsidRPr="00E52530">
              <w:rPr>
                <w:rFonts w:eastAsiaTheme="minorHAnsi"/>
                <w:sz w:val="20"/>
                <w:lang w:val="en-CA"/>
              </w:rPr>
              <w:t xml:space="preserve">(Farrar, </w:t>
            </w:r>
            <w:proofErr w:type="spellStart"/>
            <w:r w:rsidRPr="00E52530">
              <w:rPr>
                <w:rFonts w:eastAsiaTheme="minorHAnsi"/>
                <w:sz w:val="20"/>
                <w:lang w:val="en-CA"/>
              </w:rPr>
              <w:t>Scanlan</w:t>
            </w:r>
            <w:proofErr w:type="spellEnd"/>
            <w:r w:rsidRPr="00E52530">
              <w:rPr>
                <w:rFonts w:eastAsiaTheme="minorHAnsi"/>
                <w:sz w:val="20"/>
                <w:lang w:val="en-CA"/>
              </w:rPr>
              <w:t xml:space="preserve"> and Bourgeois JJ.A.)</w:t>
            </w:r>
          </w:p>
          <w:p w:rsidR="00E52530" w:rsidRPr="00E52530" w:rsidRDefault="001155B4" w:rsidP="00E52530">
            <w:pPr>
              <w:jc w:val="both"/>
              <w:rPr>
                <w:rFonts w:eastAsiaTheme="minorHAnsi"/>
                <w:sz w:val="20"/>
                <w:lang w:val="en-CA"/>
              </w:rPr>
            </w:pPr>
            <w:hyperlink r:id="rId30" w:history="1">
              <w:r w:rsidR="00E52530" w:rsidRPr="00E52530">
                <w:rPr>
                  <w:rFonts w:eastAsiaTheme="minorHAnsi"/>
                  <w:color w:val="0000FF" w:themeColor="hyperlink"/>
                  <w:sz w:val="20"/>
                  <w:u w:val="single"/>
                  <w:lang w:val="en-CA"/>
                </w:rPr>
                <w:t>2014 NSCA 108</w:t>
              </w:r>
            </w:hyperlink>
            <w:r w:rsidR="00E52530" w:rsidRPr="00E52530">
              <w:rPr>
                <w:rFonts w:eastAsiaTheme="minorHAnsi"/>
                <w:sz w:val="20"/>
                <w:lang w:val="en-CA"/>
              </w:rPr>
              <w:t xml:space="preserve"> </w:t>
            </w:r>
          </w:p>
          <w:p w:rsidR="00E52530" w:rsidRPr="00E52530" w:rsidRDefault="00E52530" w:rsidP="00E52530">
            <w:pPr>
              <w:jc w:val="both"/>
              <w:rPr>
                <w:rFonts w:eastAsiaTheme="minorHAnsi"/>
                <w:sz w:val="20"/>
                <w:lang w:val="en-CA"/>
              </w:rPr>
            </w:pP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en-CA"/>
              </w:rPr>
            </w:pPr>
            <w:r w:rsidRPr="00E52530">
              <w:rPr>
                <w:rFonts w:eastAsiaTheme="minorHAnsi"/>
                <w:sz w:val="20"/>
                <w:lang w:val="en-CA"/>
              </w:rPr>
              <w:t>Applicant’s appeal dismissed</w:t>
            </w:r>
          </w:p>
          <w:p w:rsidR="00E52530" w:rsidRPr="00E52530" w:rsidRDefault="00E52530" w:rsidP="00E52530">
            <w:pPr>
              <w:jc w:val="both"/>
              <w:rPr>
                <w:rFonts w:eastAsiaTheme="minorHAnsi"/>
                <w:sz w:val="20"/>
                <w:lang w:val="en-CA"/>
              </w:rPr>
            </w:pPr>
          </w:p>
        </w:tc>
      </w:tr>
      <w:tr w:rsidR="00E52530" w:rsidRPr="00E52530" w:rsidTr="00E52530">
        <w:tc>
          <w:tcPr>
            <w:tcW w:w="2427" w:type="pct"/>
            <w:gridSpan w:val="2"/>
          </w:tcPr>
          <w:p w:rsidR="00E52530" w:rsidRPr="00E52530" w:rsidRDefault="00E52530" w:rsidP="00E52530">
            <w:pPr>
              <w:jc w:val="both"/>
              <w:rPr>
                <w:rFonts w:eastAsiaTheme="minorHAnsi"/>
                <w:sz w:val="20"/>
                <w:lang w:val="en-CA"/>
              </w:rPr>
            </w:pPr>
            <w:r w:rsidRPr="00E52530">
              <w:rPr>
                <w:rFonts w:eastAsiaTheme="minorHAnsi"/>
                <w:sz w:val="20"/>
                <w:lang w:val="en-CA"/>
              </w:rPr>
              <w:t>February 3, 2015</w:t>
            </w:r>
          </w:p>
          <w:p w:rsidR="00E52530" w:rsidRPr="00E52530" w:rsidRDefault="00E52530" w:rsidP="00E52530">
            <w:pPr>
              <w:jc w:val="both"/>
              <w:rPr>
                <w:rFonts w:eastAsiaTheme="minorHAnsi"/>
                <w:sz w:val="20"/>
                <w:lang w:val="en-CA"/>
              </w:rPr>
            </w:pPr>
            <w:r w:rsidRPr="00E52530">
              <w:rPr>
                <w:rFonts w:eastAsiaTheme="minorHAnsi"/>
                <w:sz w:val="20"/>
                <w:lang w:val="en-CA"/>
              </w:rPr>
              <w:t>Supreme Court of Canada</w:t>
            </w:r>
          </w:p>
          <w:p w:rsidR="00E52530" w:rsidRPr="00E52530" w:rsidRDefault="00E52530" w:rsidP="00E52530">
            <w:pPr>
              <w:jc w:val="both"/>
              <w:rPr>
                <w:rFonts w:eastAsiaTheme="minorHAnsi"/>
                <w:sz w:val="20"/>
                <w:lang w:val="en-CA"/>
              </w:rPr>
            </w:pP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en-CA"/>
              </w:rPr>
            </w:pPr>
            <w:r w:rsidRPr="00E52530">
              <w:rPr>
                <w:rFonts w:eastAsiaTheme="minorHAnsi"/>
                <w:sz w:val="20"/>
                <w:lang w:val="en-CA"/>
              </w:rPr>
              <w:t>Application for leave to appeal filed</w:t>
            </w:r>
          </w:p>
          <w:p w:rsidR="00E52530" w:rsidRPr="00E52530" w:rsidRDefault="00E52530" w:rsidP="00E52530">
            <w:pPr>
              <w:jc w:val="both"/>
              <w:rPr>
                <w:rFonts w:eastAsiaTheme="minorHAnsi"/>
                <w:sz w:val="20"/>
                <w:lang w:val="en-CA"/>
              </w:rPr>
            </w:pPr>
          </w:p>
        </w:tc>
      </w:tr>
    </w:tbl>
    <w:p w:rsidR="00E52530" w:rsidRPr="00E52530" w:rsidRDefault="00E52530" w:rsidP="00E52530">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530" w:rsidRPr="00E52530" w:rsidTr="00E52530">
        <w:tc>
          <w:tcPr>
            <w:tcW w:w="543" w:type="pct"/>
          </w:tcPr>
          <w:p w:rsidR="00E52530" w:rsidRPr="00E52530" w:rsidRDefault="00E52530" w:rsidP="00E52530">
            <w:pPr>
              <w:jc w:val="both"/>
              <w:rPr>
                <w:rFonts w:eastAsiaTheme="minorHAnsi"/>
                <w:sz w:val="20"/>
                <w:lang w:val="fr-CA"/>
              </w:rPr>
            </w:pPr>
            <w:r w:rsidRPr="00E52530">
              <w:rPr>
                <w:rFonts w:eastAsiaTheme="minorHAnsi"/>
                <w:b/>
                <w:sz w:val="20"/>
                <w:lang w:val="fr-CA"/>
              </w:rPr>
              <w:t>36289</w:t>
            </w:r>
          </w:p>
        </w:tc>
        <w:tc>
          <w:tcPr>
            <w:tcW w:w="4457" w:type="pct"/>
            <w:gridSpan w:val="3"/>
          </w:tcPr>
          <w:p w:rsidR="00E52530" w:rsidRPr="00E52530" w:rsidRDefault="00E52530" w:rsidP="00E52530">
            <w:pPr>
              <w:jc w:val="both"/>
              <w:rPr>
                <w:rFonts w:eastAsiaTheme="minorHAnsi"/>
                <w:b/>
                <w:sz w:val="20"/>
                <w:lang w:val="fr-CA"/>
              </w:rPr>
            </w:pPr>
            <w:r w:rsidRPr="00E52530">
              <w:rPr>
                <w:rFonts w:eastAsiaTheme="minorHAnsi"/>
                <w:b/>
                <w:sz w:val="20"/>
                <w:lang w:val="fr-CA"/>
              </w:rPr>
              <w:t>Shin Han F &amp; P Inc. c. Office Canada-Nouvelle-Écosse des hydrocarbures extracôtiers</w:t>
            </w:r>
          </w:p>
          <w:p w:rsidR="00E52530" w:rsidRPr="00E52530" w:rsidRDefault="00E52530" w:rsidP="00E52530">
            <w:pPr>
              <w:jc w:val="both"/>
              <w:rPr>
                <w:rFonts w:eastAsiaTheme="minorHAnsi"/>
                <w:sz w:val="20"/>
                <w:lang w:val="fr-CA"/>
              </w:rPr>
            </w:pPr>
            <w:r w:rsidRPr="00E52530">
              <w:rPr>
                <w:rFonts w:eastAsiaTheme="minorHAnsi"/>
                <w:sz w:val="20"/>
                <w:lang w:val="fr-CA"/>
              </w:rPr>
              <w:t>(N.</w:t>
            </w:r>
            <w:r w:rsidRPr="00E52530">
              <w:rPr>
                <w:rFonts w:eastAsiaTheme="minorHAnsi"/>
                <w:sz w:val="20"/>
                <w:lang w:val="fr-CA"/>
              </w:rPr>
              <w:noBreakHyphen/>
              <w:t>É.) (Civile) (Sur autorisation)</w:t>
            </w:r>
          </w:p>
        </w:tc>
      </w:tr>
      <w:tr w:rsidR="00E52530" w:rsidRPr="00E52530" w:rsidTr="00E52530">
        <w:tc>
          <w:tcPr>
            <w:tcW w:w="5000" w:type="pct"/>
            <w:gridSpan w:val="4"/>
          </w:tcPr>
          <w:p w:rsidR="00E52530" w:rsidRPr="00E52530" w:rsidRDefault="00E52530" w:rsidP="00E52530">
            <w:pPr>
              <w:jc w:val="both"/>
              <w:rPr>
                <w:rFonts w:eastAsiaTheme="minorHAnsi"/>
                <w:sz w:val="20"/>
                <w:lang w:val="fr-CA"/>
              </w:rPr>
            </w:pPr>
            <w:r w:rsidRPr="00E52530">
              <w:rPr>
                <w:rFonts w:eastAsiaTheme="minorHAnsi"/>
                <w:sz w:val="20"/>
                <w:lang w:val="fr-CA"/>
              </w:rPr>
              <w:t>Droit administratif — Organismes et tribunaux administratifs — Office Canada-Nouvelle-Écosse des hydrocarbures extracôtiers — Contrôle judiciaire — Demanderesse sollicitant le contrôle judiciaire d’une décision de l’Office d’annuler un permis de prospection qui lui a été accordé — La Cour d’appel de la Nouvelle-Écosse a-telle appliqué le mauvais critère juridique pour déterminer si l’on pouvait examiner l’allégation de la demanderesse selon laquelle il existait une crainte raisonnable de partialité institutionnelle, et a-t-elle commis une erreur dans la manière dont elle a appliqué le critère relatif à l’examen d’une nouvelle question en ce qui a trait à l’allégation de partialité institutionnelle?</w:t>
            </w:r>
          </w:p>
        </w:tc>
      </w:tr>
      <w:tr w:rsidR="00E52530" w:rsidRPr="00E52530" w:rsidTr="00E52530">
        <w:tc>
          <w:tcPr>
            <w:tcW w:w="5000" w:type="pct"/>
            <w:gridSpan w:val="4"/>
          </w:tcPr>
          <w:p w:rsidR="00E52530" w:rsidRPr="00E52530" w:rsidRDefault="00E52530" w:rsidP="00E52530">
            <w:pPr>
              <w:jc w:val="both"/>
              <w:rPr>
                <w:rFonts w:eastAsiaTheme="minorHAnsi"/>
                <w:sz w:val="20"/>
                <w:lang w:val="fr-CA"/>
              </w:rPr>
            </w:pPr>
          </w:p>
        </w:tc>
      </w:tr>
      <w:tr w:rsidR="00E52530" w:rsidRPr="00E52530" w:rsidTr="00E52530">
        <w:tc>
          <w:tcPr>
            <w:tcW w:w="5000" w:type="pct"/>
            <w:gridSpan w:val="4"/>
          </w:tcPr>
          <w:p w:rsidR="00E52530" w:rsidRPr="00E52530" w:rsidRDefault="00E52530" w:rsidP="00E52530">
            <w:pPr>
              <w:jc w:val="both"/>
              <w:rPr>
                <w:rFonts w:eastAsiaTheme="minorHAnsi"/>
                <w:sz w:val="20"/>
                <w:lang w:val="fr-CA"/>
              </w:rPr>
            </w:pPr>
            <w:r w:rsidRPr="00E52530">
              <w:rPr>
                <w:rFonts w:eastAsiaTheme="minorHAnsi"/>
                <w:sz w:val="20"/>
                <w:lang w:val="fr-CA"/>
              </w:rPr>
              <w:t>L’Office Canada-Nouvelle-Écosse des hydrocarbures extracôtiers (l’ « Office ») régit le développement des ressources pétrolières dans la zone extracôtière de la Nouvelle-Écosse. Il a accordé à la demanderesse un permis de prospection à l’égard d’une parcelle de terrains extracôtiers en se fondant sur les dépenses d’exploration proposées. Selon les conditions du permis, la demanderesse devait déposer en garantie 25 % des dépenses d’exploration proposées. L’omission de le faire entraînerait l’annulation du permis. La demanderesse n’a pas effectué le dépôt dans le délai imparti. L’Office a donné avis de sa décision envisagée d’annuler le permis de prospection. La loi prévoyait un mécanisme permettant à la personne touchée de solliciter une audience devant le Comité des hydrocarbures (le « Comité »). Après avoir examiné la recommandation du Comité conformément aux dispositions législatives applicables, l’Office a conclu que la demanderesse n’avait pas respecté les conditions du permis et a ordonné l’annulation de celui-ci et la confiscation du dépôt. La demanderesse a sollicité le contrôle judiciaire de cette décision.</w:t>
            </w:r>
          </w:p>
          <w:p w:rsidR="00E52530" w:rsidRPr="00E52530" w:rsidRDefault="00E52530" w:rsidP="00E52530">
            <w:pPr>
              <w:jc w:val="both"/>
              <w:rPr>
                <w:rFonts w:eastAsiaTheme="minorHAnsi"/>
                <w:sz w:val="20"/>
                <w:lang w:val="fr-CA"/>
              </w:rPr>
            </w:pPr>
          </w:p>
        </w:tc>
      </w:tr>
      <w:tr w:rsidR="00E52530" w:rsidRPr="00E52530" w:rsidTr="00E52530">
        <w:tc>
          <w:tcPr>
            <w:tcW w:w="2427" w:type="pct"/>
            <w:gridSpan w:val="2"/>
          </w:tcPr>
          <w:p w:rsidR="00E52530" w:rsidRPr="00E52530" w:rsidRDefault="00E52530" w:rsidP="00E52530">
            <w:pPr>
              <w:jc w:val="both"/>
              <w:rPr>
                <w:rFonts w:eastAsiaTheme="minorHAnsi"/>
                <w:sz w:val="20"/>
                <w:lang w:val="fr-CA"/>
              </w:rPr>
            </w:pPr>
            <w:r w:rsidRPr="00E52530">
              <w:rPr>
                <w:rFonts w:eastAsiaTheme="minorHAnsi"/>
                <w:sz w:val="20"/>
                <w:lang w:val="fr-CA"/>
              </w:rPr>
              <w:t>10 octobre 2013</w:t>
            </w:r>
          </w:p>
          <w:p w:rsidR="00E52530" w:rsidRPr="00E52530" w:rsidRDefault="00E52530" w:rsidP="00E52530">
            <w:pPr>
              <w:jc w:val="both"/>
              <w:rPr>
                <w:rFonts w:eastAsiaTheme="minorHAnsi"/>
                <w:sz w:val="20"/>
                <w:lang w:val="fr-CA"/>
              </w:rPr>
            </w:pPr>
            <w:r w:rsidRPr="00E52530">
              <w:rPr>
                <w:rFonts w:eastAsiaTheme="minorHAnsi"/>
                <w:sz w:val="20"/>
                <w:lang w:val="fr-CA"/>
              </w:rPr>
              <w:t>Cour suprême de la Nouvelle-Écosse, Section de première instance</w:t>
            </w:r>
          </w:p>
          <w:p w:rsidR="00E52530" w:rsidRPr="00E52530" w:rsidRDefault="00E52530" w:rsidP="00E52530">
            <w:pPr>
              <w:jc w:val="both"/>
              <w:rPr>
                <w:rFonts w:eastAsiaTheme="minorHAnsi"/>
                <w:sz w:val="20"/>
                <w:lang w:val="fr-CA"/>
              </w:rPr>
            </w:pPr>
            <w:r w:rsidRPr="00E52530">
              <w:rPr>
                <w:rFonts w:eastAsiaTheme="minorHAnsi"/>
                <w:sz w:val="20"/>
                <w:lang w:val="fr-CA"/>
              </w:rPr>
              <w:t>(Juge Warner)</w:t>
            </w:r>
          </w:p>
          <w:p w:rsidR="00E52530" w:rsidRPr="00E52530" w:rsidRDefault="001155B4" w:rsidP="00E52530">
            <w:pPr>
              <w:jc w:val="both"/>
              <w:rPr>
                <w:rFonts w:eastAsiaTheme="minorHAnsi"/>
                <w:sz w:val="20"/>
                <w:lang w:val="fr-CA"/>
              </w:rPr>
            </w:pPr>
            <w:hyperlink r:id="rId31" w:history="1">
              <w:r w:rsidR="00E52530" w:rsidRPr="00E52530">
                <w:rPr>
                  <w:rFonts w:eastAsiaTheme="minorHAnsi"/>
                  <w:color w:val="0000FF" w:themeColor="hyperlink"/>
                  <w:sz w:val="20"/>
                  <w:u w:val="single"/>
                  <w:lang w:val="fr-CA"/>
                </w:rPr>
                <w:t>2013 NSSC 341</w:t>
              </w:r>
            </w:hyperlink>
          </w:p>
          <w:p w:rsidR="00E52530" w:rsidRPr="00E52530" w:rsidRDefault="00E52530" w:rsidP="00E52530">
            <w:pPr>
              <w:jc w:val="both"/>
              <w:rPr>
                <w:rFonts w:eastAsiaTheme="minorHAnsi"/>
                <w:sz w:val="20"/>
                <w:lang w:val="fr-CA"/>
              </w:rPr>
            </w:pPr>
          </w:p>
        </w:tc>
        <w:tc>
          <w:tcPr>
            <w:tcW w:w="243" w:type="pct"/>
          </w:tcPr>
          <w:p w:rsidR="00E52530" w:rsidRPr="00E52530" w:rsidRDefault="00E52530" w:rsidP="00E52530">
            <w:pPr>
              <w:jc w:val="both"/>
              <w:rPr>
                <w:rFonts w:eastAsiaTheme="minorHAnsi"/>
                <w:sz w:val="20"/>
                <w:lang w:val="fr-CA"/>
              </w:rPr>
            </w:pPr>
          </w:p>
        </w:tc>
        <w:tc>
          <w:tcPr>
            <w:tcW w:w="2330" w:type="pct"/>
          </w:tcPr>
          <w:p w:rsidR="00E52530" w:rsidRPr="00E52530" w:rsidRDefault="00E52530" w:rsidP="00E52530">
            <w:pPr>
              <w:jc w:val="both"/>
              <w:rPr>
                <w:rFonts w:eastAsiaTheme="minorHAnsi"/>
                <w:sz w:val="20"/>
                <w:lang w:val="fr-CA"/>
              </w:rPr>
            </w:pPr>
          </w:p>
          <w:p w:rsidR="00E52530" w:rsidRPr="00E52530" w:rsidRDefault="00E52530" w:rsidP="00E52530">
            <w:pPr>
              <w:jc w:val="both"/>
              <w:rPr>
                <w:rFonts w:eastAsiaTheme="minorHAnsi"/>
                <w:sz w:val="20"/>
                <w:lang w:val="fr-CA"/>
              </w:rPr>
            </w:pPr>
            <w:r w:rsidRPr="00E52530">
              <w:rPr>
                <w:rFonts w:eastAsiaTheme="minorHAnsi"/>
                <w:sz w:val="20"/>
                <w:lang w:val="fr-CA"/>
              </w:rPr>
              <w:t>Rejet de la demande de contrôle judiciaire de la demanderesse</w:t>
            </w:r>
          </w:p>
        </w:tc>
      </w:tr>
      <w:tr w:rsidR="00E52530" w:rsidRPr="00E52530" w:rsidTr="00E52530">
        <w:tc>
          <w:tcPr>
            <w:tcW w:w="2427" w:type="pct"/>
            <w:gridSpan w:val="2"/>
          </w:tcPr>
          <w:p w:rsidR="00E52530" w:rsidRPr="00E52530" w:rsidRDefault="00E52530" w:rsidP="00E52530">
            <w:pPr>
              <w:jc w:val="both"/>
              <w:rPr>
                <w:rFonts w:eastAsiaTheme="minorHAnsi"/>
                <w:sz w:val="20"/>
                <w:lang w:val="fr-CA"/>
              </w:rPr>
            </w:pPr>
            <w:r w:rsidRPr="00E52530">
              <w:rPr>
                <w:rFonts w:eastAsiaTheme="minorHAnsi"/>
                <w:sz w:val="20"/>
                <w:lang w:val="fr-CA"/>
              </w:rPr>
              <w:t>5 décembre 2014</w:t>
            </w:r>
          </w:p>
          <w:p w:rsidR="00E52530" w:rsidRPr="00E52530" w:rsidRDefault="00E52530" w:rsidP="00E52530">
            <w:pPr>
              <w:jc w:val="both"/>
              <w:rPr>
                <w:rFonts w:eastAsiaTheme="minorHAnsi"/>
                <w:sz w:val="20"/>
                <w:lang w:val="fr-CA"/>
              </w:rPr>
            </w:pPr>
            <w:r w:rsidRPr="00E52530">
              <w:rPr>
                <w:rFonts w:eastAsiaTheme="minorHAnsi"/>
                <w:sz w:val="20"/>
                <w:lang w:val="fr-CA"/>
              </w:rPr>
              <w:t>Cour d’appel de la Nouvelle-Écosse</w:t>
            </w:r>
          </w:p>
          <w:p w:rsidR="00E52530" w:rsidRPr="00E52530" w:rsidRDefault="00E52530" w:rsidP="00E52530">
            <w:pPr>
              <w:jc w:val="both"/>
              <w:rPr>
                <w:rFonts w:eastAsiaTheme="minorHAnsi"/>
                <w:sz w:val="20"/>
                <w:lang w:val="fr-CA"/>
              </w:rPr>
            </w:pPr>
            <w:r w:rsidRPr="00E52530">
              <w:rPr>
                <w:rFonts w:eastAsiaTheme="minorHAnsi"/>
                <w:sz w:val="20"/>
                <w:lang w:val="fr-CA"/>
              </w:rPr>
              <w:t xml:space="preserve">(Juges </w:t>
            </w:r>
            <w:proofErr w:type="spellStart"/>
            <w:r w:rsidRPr="00E52530">
              <w:rPr>
                <w:rFonts w:eastAsiaTheme="minorHAnsi"/>
                <w:sz w:val="20"/>
                <w:lang w:val="fr-CA"/>
              </w:rPr>
              <w:t>Farrar</w:t>
            </w:r>
            <w:proofErr w:type="spellEnd"/>
            <w:r w:rsidRPr="00E52530">
              <w:rPr>
                <w:rFonts w:eastAsiaTheme="minorHAnsi"/>
                <w:sz w:val="20"/>
                <w:lang w:val="fr-CA"/>
              </w:rPr>
              <w:t xml:space="preserve">, </w:t>
            </w:r>
            <w:proofErr w:type="spellStart"/>
            <w:r w:rsidRPr="00E52530">
              <w:rPr>
                <w:rFonts w:eastAsiaTheme="minorHAnsi"/>
                <w:sz w:val="20"/>
                <w:lang w:val="fr-CA"/>
              </w:rPr>
              <w:t>Scanlan</w:t>
            </w:r>
            <w:proofErr w:type="spellEnd"/>
            <w:r w:rsidRPr="00E52530">
              <w:rPr>
                <w:rFonts w:eastAsiaTheme="minorHAnsi"/>
                <w:sz w:val="20"/>
                <w:lang w:val="fr-CA"/>
              </w:rPr>
              <w:t xml:space="preserve"> et Bourgeois)</w:t>
            </w:r>
          </w:p>
          <w:p w:rsidR="00E52530" w:rsidRPr="00E52530" w:rsidRDefault="001155B4" w:rsidP="00E52530">
            <w:pPr>
              <w:jc w:val="both"/>
              <w:rPr>
                <w:rFonts w:eastAsiaTheme="minorHAnsi"/>
                <w:sz w:val="20"/>
                <w:lang w:val="fr-CA"/>
              </w:rPr>
            </w:pPr>
            <w:hyperlink r:id="rId32" w:history="1">
              <w:r w:rsidR="00E52530" w:rsidRPr="00E52530">
                <w:rPr>
                  <w:rFonts w:eastAsiaTheme="minorHAnsi"/>
                  <w:color w:val="0000FF" w:themeColor="hyperlink"/>
                  <w:sz w:val="20"/>
                  <w:u w:val="single"/>
                  <w:lang w:val="fr-CA"/>
                </w:rPr>
                <w:t>2014 NSCA 108</w:t>
              </w:r>
            </w:hyperlink>
            <w:r w:rsidR="00E52530" w:rsidRPr="00E52530">
              <w:rPr>
                <w:rFonts w:eastAsiaTheme="minorHAnsi"/>
                <w:sz w:val="20"/>
                <w:lang w:val="fr-CA"/>
              </w:rPr>
              <w:t xml:space="preserve"> </w:t>
            </w:r>
          </w:p>
          <w:p w:rsidR="00E52530" w:rsidRPr="00E52530" w:rsidRDefault="00E52530" w:rsidP="00E52530">
            <w:pPr>
              <w:jc w:val="both"/>
              <w:rPr>
                <w:rFonts w:eastAsiaTheme="minorHAnsi"/>
                <w:sz w:val="20"/>
                <w:lang w:val="fr-CA"/>
              </w:rPr>
            </w:pPr>
          </w:p>
        </w:tc>
        <w:tc>
          <w:tcPr>
            <w:tcW w:w="243" w:type="pct"/>
          </w:tcPr>
          <w:p w:rsidR="00E52530" w:rsidRPr="00E52530" w:rsidRDefault="00E52530" w:rsidP="00E52530">
            <w:pPr>
              <w:jc w:val="both"/>
              <w:rPr>
                <w:rFonts w:eastAsiaTheme="minorHAnsi"/>
                <w:sz w:val="20"/>
                <w:lang w:val="fr-CA"/>
              </w:rPr>
            </w:pPr>
          </w:p>
        </w:tc>
        <w:tc>
          <w:tcPr>
            <w:tcW w:w="2330" w:type="pct"/>
          </w:tcPr>
          <w:p w:rsidR="00E52530" w:rsidRPr="00E52530" w:rsidRDefault="00E52530" w:rsidP="00E52530">
            <w:pPr>
              <w:jc w:val="both"/>
              <w:rPr>
                <w:rFonts w:eastAsiaTheme="minorHAnsi"/>
                <w:sz w:val="20"/>
                <w:lang w:val="fr-CA"/>
              </w:rPr>
            </w:pPr>
            <w:r w:rsidRPr="00E52530">
              <w:rPr>
                <w:rFonts w:eastAsiaTheme="minorHAnsi"/>
                <w:sz w:val="20"/>
                <w:lang w:val="fr-CA"/>
              </w:rPr>
              <w:t>Rejet de l’appel de la demanderesse</w:t>
            </w:r>
          </w:p>
          <w:p w:rsidR="00E52530" w:rsidRPr="00E52530" w:rsidRDefault="00E52530" w:rsidP="00E52530">
            <w:pPr>
              <w:jc w:val="both"/>
              <w:rPr>
                <w:rFonts w:eastAsiaTheme="minorHAnsi"/>
                <w:sz w:val="20"/>
                <w:lang w:val="fr-CA"/>
              </w:rPr>
            </w:pPr>
          </w:p>
        </w:tc>
      </w:tr>
      <w:tr w:rsidR="00E52530" w:rsidRPr="00E52530" w:rsidTr="00E52530">
        <w:tc>
          <w:tcPr>
            <w:tcW w:w="2427" w:type="pct"/>
            <w:gridSpan w:val="2"/>
          </w:tcPr>
          <w:p w:rsidR="00E52530" w:rsidRPr="00E52530" w:rsidRDefault="00E52530" w:rsidP="00E52530">
            <w:pPr>
              <w:jc w:val="both"/>
              <w:rPr>
                <w:rFonts w:eastAsiaTheme="minorHAnsi"/>
                <w:sz w:val="20"/>
                <w:lang w:val="fr-CA"/>
              </w:rPr>
            </w:pPr>
            <w:r w:rsidRPr="00E52530">
              <w:rPr>
                <w:rFonts w:eastAsiaTheme="minorHAnsi"/>
                <w:sz w:val="20"/>
                <w:lang w:val="fr-CA"/>
              </w:rPr>
              <w:t>3 février 2015</w:t>
            </w:r>
          </w:p>
          <w:p w:rsidR="00E52530" w:rsidRPr="00E52530" w:rsidRDefault="00E52530" w:rsidP="00E52530">
            <w:pPr>
              <w:jc w:val="both"/>
              <w:rPr>
                <w:rFonts w:eastAsiaTheme="minorHAnsi"/>
                <w:sz w:val="20"/>
                <w:lang w:val="fr-CA"/>
              </w:rPr>
            </w:pPr>
            <w:r w:rsidRPr="00E52530">
              <w:rPr>
                <w:rFonts w:eastAsiaTheme="minorHAnsi"/>
                <w:sz w:val="20"/>
                <w:lang w:val="fr-CA"/>
              </w:rPr>
              <w:t>Cour suprême du Canada</w:t>
            </w:r>
          </w:p>
          <w:p w:rsidR="00E52530" w:rsidRPr="00E52530" w:rsidRDefault="00E52530" w:rsidP="00E52530">
            <w:pPr>
              <w:jc w:val="both"/>
              <w:rPr>
                <w:rFonts w:eastAsiaTheme="minorHAnsi"/>
                <w:sz w:val="20"/>
                <w:lang w:val="fr-CA"/>
              </w:rPr>
            </w:pPr>
          </w:p>
        </w:tc>
        <w:tc>
          <w:tcPr>
            <w:tcW w:w="243" w:type="pct"/>
          </w:tcPr>
          <w:p w:rsidR="00E52530" w:rsidRPr="00E52530" w:rsidRDefault="00E52530" w:rsidP="00E52530">
            <w:pPr>
              <w:jc w:val="both"/>
              <w:rPr>
                <w:rFonts w:eastAsiaTheme="minorHAnsi"/>
                <w:sz w:val="20"/>
                <w:lang w:val="fr-CA"/>
              </w:rPr>
            </w:pPr>
          </w:p>
        </w:tc>
        <w:tc>
          <w:tcPr>
            <w:tcW w:w="2330" w:type="pct"/>
          </w:tcPr>
          <w:p w:rsidR="00E52530" w:rsidRPr="00E52530" w:rsidRDefault="00E52530" w:rsidP="00E52530">
            <w:pPr>
              <w:jc w:val="both"/>
              <w:rPr>
                <w:rFonts w:eastAsiaTheme="minorHAnsi"/>
                <w:sz w:val="20"/>
                <w:lang w:val="fr-CA"/>
              </w:rPr>
            </w:pPr>
            <w:r w:rsidRPr="00E52530">
              <w:rPr>
                <w:rFonts w:eastAsiaTheme="minorHAnsi"/>
                <w:sz w:val="20"/>
                <w:lang w:val="fr-CA"/>
              </w:rPr>
              <w:t>Dépôt de la demande d’autorisation d’appel</w:t>
            </w:r>
          </w:p>
          <w:p w:rsidR="00E52530" w:rsidRPr="00E52530" w:rsidRDefault="00E52530" w:rsidP="00E52530">
            <w:pPr>
              <w:jc w:val="both"/>
              <w:rPr>
                <w:rFonts w:eastAsiaTheme="minorHAnsi"/>
                <w:sz w:val="20"/>
                <w:lang w:val="fr-CA"/>
              </w:rPr>
            </w:pPr>
          </w:p>
        </w:tc>
      </w:tr>
    </w:tbl>
    <w:p w:rsidR="00EC3EE4" w:rsidRPr="00E52530" w:rsidRDefault="00EC3EE4" w:rsidP="003B3019">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530" w:rsidRPr="00E52530" w:rsidTr="00E52530">
        <w:tc>
          <w:tcPr>
            <w:tcW w:w="543" w:type="pct"/>
          </w:tcPr>
          <w:p w:rsidR="00E52530" w:rsidRPr="00E52530" w:rsidRDefault="00E52530" w:rsidP="00E52530">
            <w:pPr>
              <w:jc w:val="both"/>
              <w:rPr>
                <w:rFonts w:eastAsiaTheme="minorHAnsi"/>
                <w:sz w:val="20"/>
                <w:lang w:val="en-CA"/>
              </w:rPr>
            </w:pPr>
            <w:r w:rsidRPr="00E52530">
              <w:rPr>
                <w:rFonts w:eastAsiaTheme="minorHAnsi"/>
                <w:b/>
                <w:sz w:val="20"/>
                <w:lang w:val="en-CA"/>
              </w:rPr>
              <w:t>36406</w:t>
            </w:r>
          </w:p>
        </w:tc>
        <w:tc>
          <w:tcPr>
            <w:tcW w:w="4457" w:type="pct"/>
            <w:gridSpan w:val="3"/>
          </w:tcPr>
          <w:p w:rsidR="00E52530" w:rsidRPr="00E52530" w:rsidRDefault="00E52530" w:rsidP="00E52530">
            <w:pPr>
              <w:jc w:val="both"/>
              <w:rPr>
                <w:rFonts w:eastAsiaTheme="minorHAnsi"/>
                <w:b/>
                <w:sz w:val="20"/>
                <w:lang w:val="en-CA"/>
              </w:rPr>
            </w:pPr>
            <w:r w:rsidRPr="00E52530">
              <w:rPr>
                <w:rFonts w:eastAsiaTheme="minorHAnsi"/>
                <w:b/>
                <w:sz w:val="20"/>
                <w:lang w:val="en-CA"/>
              </w:rPr>
              <w:t xml:space="preserve">Larry Peter </w:t>
            </w:r>
            <w:proofErr w:type="spellStart"/>
            <w:r w:rsidRPr="00E52530">
              <w:rPr>
                <w:rFonts w:eastAsiaTheme="minorHAnsi"/>
                <w:b/>
                <w:sz w:val="20"/>
                <w:lang w:val="en-CA"/>
              </w:rPr>
              <w:t>Klippenstein</w:t>
            </w:r>
            <w:proofErr w:type="spellEnd"/>
            <w:r w:rsidRPr="00E52530">
              <w:rPr>
                <w:rFonts w:eastAsiaTheme="minorHAnsi"/>
                <w:b/>
                <w:sz w:val="20"/>
                <w:lang w:val="en-CA"/>
              </w:rPr>
              <w:t xml:space="preserve"> v. Attorney General of Canada</w:t>
            </w:r>
          </w:p>
          <w:p w:rsidR="00E52530" w:rsidRPr="00E52530" w:rsidRDefault="00E52530" w:rsidP="00E52530">
            <w:pPr>
              <w:jc w:val="both"/>
              <w:rPr>
                <w:rFonts w:eastAsiaTheme="minorHAnsi"/>
                <w:sz w:val="20"/>
                <w:lang w:val="en-CA"/>
              </w:rPr>
            </w:pPr>
            <w:r w:rsidRPr="00E52530">
              <w:rPr>
                <w:rFonts w:eastAsiaTheme="minorHAnsi"/>
                <w:sz w:val="20"/>
                <w:lang w:val="en-CA"/>
              </w:rPr>
              <w:t>(FC) (Civil) (By leave)</w:t>
            </w:r>
          </w:p>
        </w:tc>
      </w:tr>
      <w:tr w:rsidR="00E52530" w:rsidRPr="00E52530" w:rsidTr="00E52530">
        <w:tc>
          <w:tcPr>
            <w:tcW w:w="5000" w:type="pct"/>
            <w:gridSpan w:val="4"/>
          </w:tcPr>
          <w:p w:rsidR="00E52530" w:rsidRPr="00E52530" w:rsidRDefault="00E52530" w:rsidP="00E52530">
            <w:pPr>
              <w:jc w:val="both"/>
              <w:rPr>
                <w:rFonts w:eastAsiaTheme="minorHAnsi"/>
                <w:sz w:val="20"/>
                <w:lang w:val="en-CA"/>
              </w:rPr>
            </w:pPr>
            <w:r w:rsidRPr="00E52530">
              <w:rPr>
                <w:rFonts w:eastAsiaTheme="minorHAnsi"/>
                <w:i/>
                <w:sz w:val="20"/>
                <w:lang w:val="en-CA"/>
              </w:rPr>
              <w:t xml:space="preserve">Charter of Rights </w:t>
            </w:r>
            <w:r w:rsidRPr="00E52530">
              <w:rPr>
                <w:rFonts w:eastAsiaTheme="minorHAnsi"/>
                <w:sz w:val="20"/>
              </w:rPr>
              <w:t xml:space="preserve">— </w:t>
            </w:r>
            <w:r w:rsidRPr="00E52530">
              <w:rPr>
                <w:rFonts w:eastAsiaTheme="minorHAnsi"/>
                <w:sz w:val="20"/>
                <w:lang w:val="en-CA"/>
              </w:rPr>
              <w:t xml:space="preserve">Freedom of religion </w:t>
            </w:r>
            <w:r w:rsidRPr="00E52530">
              <w:rPr>
                <w:rFonts w:eastAsiaTheme="minorHAnsi"/>
                <w:sz w:val="20"/>
              </w:rPr>
              <w:t xml:space="preserve">— </w:t>
            </w:r>
            <w:r w:rsidRPr="00E52530">
              <w:rPr>
                <w:rFonts w:eastAsiaTheme="minorHAnsi"/>
                <w:sz w:val="20"/>
                <w:lang w:val="en-CA"/>
              </w:rPr>
              <w:t xml:space="preserve">Civil procedure </w:t>
            </w:r>
            <w:r w:rsidRPr="00E52530">
              <w:rPr>
                <w:rFonts w:eastAsiaTheme="minorHAnsi"/>
                <w:sz w:val="20"/>
              </w:rPr>
              <w:t xml:space="preserve">— </w:t>
            </w:r>
            <w:r w:rsidRPr="00E52530">
              <w:rPr>
                <w:rFonts w:eastAsiaTheme="minorHAnsi"/>
                <w:sz w:val="20"/>
                <w:lang w:val="en-CA"/>
              </w:rPr>
              <w:t xml:space="preserve">Appeals </w:t>
            </w:r>
            <w:r w:rsidRPr="00E52530">
              <w:rPr>
                <w:rFonts w:eastAsiaTheme="minorHAnsi"/>
                <w:sz w:val="20"/>
              </w:rPr>
              <w:t xml:space="preserve">— </w:t>
            </w:r>
            <w:r w:rsidRPr="00E52530">
              <w:rPr>
                <w:rFonts w:eastAsiaTheme="minorHAnsi"/>
                <w:sz w:val="20"/>
                <w:lang w:val="en-CA"/>
              </w:rPr>
              <w:t xml:space="preserve">– Applicant’s action dismissed </w:t>
            </w:r>
            <w:r w:rsidRPr="00E52530">
              <w:rPr>
                <w:rFonts w:eastAsiaTheme="minorHAnsi"/>
                <w:sz w:val="20"/>
              </w:rPr>
              <w:t xml:space="preserve">— </w:t>
            </w:r>
            <w:r w:rsidRPr="00E52530">
              <w:rPr>
                <w:rFonts w:eastAsiaTheme="minorHAnsi"/>
                <w:sz w:val="20"/>
                <w:lang w:val="en-CA"/>
              </w:rPr>
              <w:t xml:space="preserve">Whether Federal Court of Appeal refused a statutory right of appeal from a decision that decided a point of law without a trial, decided a claim by a person under disability when that person was not properly represented as required by the </w:t>
            </w:r>
            <w:r w:rsidRPr="00E52530">
              <w:rPr>
                <w:rFonts w:eastAsiaTheme="minorHAnsi"/>
                <w:i/>
                <w:sz w:val="20"/>
                <w:lang w:val="en-CA"/>
              </w:rPr>
              <w:t>Rules of Civil Procedure</w:t>
            </w:r>
            <w:r w:rsidRPr="00E52530">
              <w:rPr>
                <w:rFonts w:eastAsiaTheme="minorHAnsi"/>
                <w:sz w:val="20"/>
                <w:lang w:val="en-CA"/>
              </w:rPr>
              <w:t xml:space="preserve"> and decided issues of law in contravention of existing statues and the constitution of Canada and terminated proceedings by means of a direction which exceeds the Federal Court’s jurisdiction.</w:t>
            </w:r>
          </w:p>
        </w:tc>
      </w:tr>
      <w:tr w:rsidR="00E52530" w:rsidRPr="00E52530" w:rsidTr="00E52530">
        <w:tc>
          <w:tcPr>
            <w:tcW w:w="5000" w:type="pct"/>
            <w:gridSpan w:val="4"/>
          </w:tcPr>
          <w:p w:rsidR="00E52530" w:rsidRPr="00E52530" w:rsidRDefault="00E52530" w:rsidP="00E52530">
            <w:pPr>
              <w:jc w:val="both"/>
              <w:rPr>
                <w:rFonts w:eastAsiaTheme="minorHAnsi"/>
                <w:sz w:val="20"/>
                <w:lang w:val="en-CA"/>
              </w:rPr>
            </w:pPr>
          </w:p>
        </w:tc>
      </w:tr>
      <w:tr w:rsidR="00E52530" w:rsidRPr="00E52530" w:rsidTr="00E52530">
        <w:tc>
          <w:tcPr>
            <w:tcW w:w="5000" w:type="pct"/>
            <w:gridSpan w:val="4"/>
          </w:tcPr>
          <w:p w:rsidR="00E52530" w:rsidRPr="00E52530" w:rsidRDefault="00E52530" w:rsidP="00E52530">
            <w:pPr>
              <w:jc w:val="both"/>
              <w:rPr>
                <w:rFonts w:eastAsiaTheme="minorHAnsi"/>
                <w:sz w:val="20"/>
                <w:lang w:val="en-CA"/>
              </w:rPr>
            </w:pPr>
            <w:r w:rsidRPr="00E52530">
              <w:rPr>
                <w:rFonts w:eastAsiaTheme="minorHAnsi"/>
                <w:sz w:val="20"/>
                <w:lang w:val="en-CA"/>
              </w:rPr>
              <w:t>The Federal Court issued a direction on October 5, 2012 that Mr. </w:t>
            </w:r>
            <w:proofErr w:type="spellStart"/>
            <w:r w:rsidRPr="00E52530">
              <w:rPr>
                <w:rFonts w:eastAsiaTheme="minorHAnsi"/>
                <w:sz w:val="20"/>
                <w:lang w:val="en-CA"/>
              </w:rPr>
              <w:t>Klippenstein</w:t>
            </w:r>
            <w:proofErr w:type="spellEnd"/>
            <w:r w:rsidRPr="00E52530">
              <w:rPr>
                <w:rFonts w:eastAsiaTheme="minorHAnsi"/>
                <w:sz w:val="20"/>
                <w:lang w:val="en-CA"/>
              </w:rPr>
              <w:t xml:space="preserve"> wanted converted into an Order.</w:t>
            </w:r>
          </w:p>
          <w:p w:rsidR="00E52530" w:rsidRPr="00E52530" w:rsidRDefault="00E52530" w:rsidP="00E52530">
            <w:pPr>
              <w:jc w:val="both"/>
              <w:rPr>
                <w:rFonts w:eastAsiaTheme="minorHAnsi"/>
                <w:sz w:val="20"/>
                <w:lang w:val="en-CA"/>
              </w:rPr>
            </w:pPr>
          </w:p>
        </w:tc>
      </w:tr>
      <w:tr w:rsidR="00E52530" w:rsidRPr="00E52530" w:rsidTr="00E52530">
        <w:tc>
          <w:tcPr>
            <w:tcW w:w="2427" w:type="pct"/>
            <w:gridSpan w:val="2"/>
          </w:tcPr>
          <w:p w:rsidR="00E52530" w:rsidRPr="00E52530" w:rsidRDefault="00E52530" w:rsidP="00E52530">
            <w:pPr>
              <w:jc w:val="both"/>
              <w:rPr>
                <w:rFonts w:eastAsiaTheme="minorHAnsi"/>
                <w:sz w:val="20"/>
                <w:lang w:val="en-CA"/>
              </w:rPr>
            </w:pPr>
            <w:r w:rsidRPr="00E52530">
              <w:rPr>
                <w:rFonts w:eastAsiaTheme="minorHAnsi"/>
                <w:sz w:val="20"/>
                <w:lang w:val="en-CA"/>
              </w:rPr>
              <w:t>November 4, 2014</w:t>
            </w:r>
          </w:p>
          <w:p w:rsidR="00E52530" w:rsidRPr="00E52530" w:rsidRDefault="00E52530" w:rsidP="00E52530">
            <w:pPr>
              <w:jc w:val="both"/>
              <w:rPr>
                <w:rFonts w:eastAsiaTheme="minorHAnsi"/>
                <w:sz w:val="20"/>
                <w:lang w:val="en-CA"/>
              </w:rPr>
            </w:pPr>
            <w:r w:rsidRPr="00E52530">
              <w:rPr>
                <w:rFonts w:eastAsiaTheme="minorHAnsi"/>
                <w:sz w:val="20"/>
                <w:lang w:val="en-CA"/>
              </w:rPr>
              <w:t>Federal Court</w:t>
            </w:r>
          </w:p>
          <w:p w:rsidR="00E52530" w:rsidRPr="00E52530" w:rsidRDefault="00E52530" w:rsidP="00E52530">
            <w:pPr>
              <w:jc w:val="both"/>
              <w:rPr>
                <w:rFonts w:eastAsiaTheme="minorHAnsi"/>
                <w:sz w:val="20"/>
                <w:lang w:val="en-CA"/>
              </w:rPr>
            </w:pPr>
            <w:r w:rsidRPr="00E52530">
              <w:rPr>
                <w:rFonts w:eastAsiaTheme="minorHAnsi"/>
                <w:sz w:val="20"/>
                <w:lang w:val="en-CA"/>
              </w:rPr>
              <w:t>(Gleason J.)</w:t>
            </w:r>
          </w:p>
          <w:p w:rsidR="00E52530" w:rsidRPr="00E52530" w:rsidRDefault="00E52530" w:rsidP="00E52530">
            <w:pPr>
              <w:jc w:val="both"/>
              <w:rPr>
                <w:rFonts w:eastAsiaTheme="minorHAnsi"/>
                <w:sz w:val="20"/>
                <w:lang w:val="en-CA"/>
              </w:rPr>
            </w:pPr>
            <w:r w:rsidRPr="00E52530">
              <w:rPr>
                <w:rFonts w:eastAsiaTheme="minorHAnsi"/>
                <w:sz w:val="20"/>
                <w:lang w:val="en-CA"/>
              </w:rPr>
              <w:t>Unreported</w:t>
            </w:r>
          </w:p>
          <w:p w:rsidR="00E52530" w:rsidRPr="00E52530" w:rsidRDefault="00E52530" w:rsidP="00E52530">
            <w:pPr>
              <w:jc w:val="both"/>
              <w:rPr>
                <w:rFonts w:eastAsiaTheme="minorHAnsi"/>
                <w:sz w:val="20"/>
                <w:lang w:val="en-CA"/>
              </w:rPr>
            </w:pP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en-CA"/>
              </w:rPr>
            </w:pPr>
            <w:r w:rsidRPr="00E52530">
              <w:rPr>
                <w:rFonts w:eastAsiaTheme="minorHAnsi"/>
                <w:sz w:val="20"/>
                <w:lang w:val="en-CA"/>
              </w:rPr>
              <w:t>Applicant’s motion in letter form to have direction of October 5, 2012 converted into an order dismissed</w:t>
            </w:r>
          </w:p>
          <w:p w:rsidR="00E52530" w:rsidRPr="00E52530" w:rsidRDefault="00E52530" w:rsidP="00E52530">
            <w:pPr>
              <w:jc w:val="both"/>
              <w:rPr>
                <w:rFonts w:eastAsiaTheme="minorHAnsi"/>
                <w:sz w:val="20"/>
                <w:lang w:val="en-CA"/>
              </w:rPr>
            </w:pPr>
          </w:p>
        </w:tc>
      </w:tr>
      <w:tr w:rsidR="00E52530" w:rsidRPr="00E52530" w:rsidTr="00E52530">
        <w:tc>
          <w:tcPr>
            <w:tcW w:w="2427" w:type="pct"/>
            <w:gridSpan w:val="2"/>
          </w:tcPr>
          <w:p w:rsidR="00E52530" w:rsidRPr="00E52530" w:rsidRDefault="00E52530" w:rsidP="00E52530">
            <w:pPr>
              <w:jc w:val="both"/>
              <w:rPr>
                <w:rFonts w:eastAsiaTheme="minorHAnsi"/>
                <w:sz w:val="20"/>
                <w:lang w:val="en-CA"/>
              </w:rPr>
            </w:pPr>
            <w:r w:rsidRPr="00E52530">
              <w:rPr>
                <w:rFonts w:eastAsiaTheme="minorHAnsi"/>
                <w:sz w:val="20"/>
                <w:lang w:val="en-CA"/>
              </w:rPr>
              <w:t>February 27, 2015</w:t>
            </w:r>
          </w:p>
          <w:p w:rsidR="00E52530" w:rsidRPr="00E52530" w:rsidRDefault="00E52530" w:rsidP="00E52530">
            <w:pPr>
              <w:jc w:val="both"/>
              <w:rPr>
                <w:rFonts w:eastAsiaTheme="minorHAnsi"/>
                <w:sz w:val="20"/>
                <w:lang w:val="en-CA"/>
              </w:rPr>
            </w:pPr>
            <w:r w:rsidRPr="00E52530">
              <w:rPr>
                <w:rFonts w:eastAsiaTheme="minorHAnsi"/>
                <w:sz w:val="20"/>
                <w:lang w:val="en-CA"/>
              </w:rPr>
              <w:t>Federal Court of Appeal</w:t>
            </w:r>
          </w:p>
          <w:p w:rsidR="00E52530" w:rsidRPr="00E52530" w:rsidRDefault="00E52530" w:rsidP="00E52530">
            <w:pPr>
              <w:jc w:val="both"/>
              <w:rPr>
                <w:rFonts w:eastAsiaTheme="minorHAnsi"/>
                <w:sz w:val="20"/>
                <w:lang w:val="en-CA"/>
              </w:rPr>
            </w:pPr>
            <w:r w:rsidRPr="00E52530">
              <w:rPr>
                <w:rFonts w:eastAsiaTheme="minorHAnsi"/>
                <w:sz w:val="20"/>
                <w:lang w:val="en-CA"/>
              </w:rPr>
              <w:t>(Dawson, Gauthier and Scott JJ.A.)</w:t>
            </w:r>
          </w:p>
          <w:p w:rsidR="00E52530" w:rsidRPr="00E52530" w:rsidRDefault="00E52530" w:rsidP="00E52530">
            <w:pPr>
              <w:jc w:val="both"/>
              <w:rPr>
                <w:rFonts w:eastAsiaTheme="minorHAnsi"/>
                <w:sz w:val="20"/>
                <w:lang w:val="en-CA"/>
              </w:rPr>
            </w:pP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en-CA"/>
              </w:rPr>
            </w:pPr>
            <w:r w:rsidRPr="00E52530">
              <w:rPr>
                <w:rFonts w:eastAsiaTheme="minorHAnsi"/>
                <w:sz w:val="20"/>
                <w:lang w:val="en-CA"/>
              </w:rPr>
              <w:t>Applicant’s appeal dismissed</w:t>
            </w:r>
          </w:p>
          <w:p w:rsidR="00E52530" w:rsidRPr="00E52530" w:rsidRDefault="00E52530" w:rsidP="00E52530">
            <w:pPr>
              <w:jc w:val="both"/>
              <w:rPr>
                <w:rFonts w:eastAsiaTheme="minorHAnsi"/>
                <w:sz w:val="20"/>
                <w:lang w:val="en-CA"/>
              </w:rPr>
            </w:pPr>
          </w:p>
        </w:tc>
      </w:tr>
      <w:tr w:rsidR="00E52530" w:rsidRPr="00E52530" w:rsidTr="00E52530">
        <w:tc>
          <w:tcPr>
            <w:tcW w:w="2427" w:type="pct"/>
            <w:gridSpan w:val="2"/>
          </w:tcPr>
          <w:p w:rsidR="00E52530" w:rsidRPr="00E52530" w:rsidRDefault="00E52530" w:rsidP="00E52530">
            <w:pPr>
              <w:jc w:val="both"/>
              <w:rPr>
                <w:rFonts w:eastAsiaTheme="minorHAnsi"/>
                <w:sz w:val="20"/>
                <w:lang w:val="en-CA"/>
              </w:rPr>
            </w:pPr>
            <w:r w:rsidRPr="00E52530">
              <w:rPr>
                <w:rFonts w:eastAsiaTheme="minorHAnsi"/>
                <w:sz w:val="20"/>
                <w:lang w:val="en-CA"/>
              </w:rPr>
              <w:t>April 23, 2015</w:t>
            </w:r>
          </w:p>
          <w:p w:rsidR="00E52530" w:rsidRPr="00E52530" w:rsidRDefault="00E52530" w:rsidP="00E52530">
            <w:pPr>
              <w:jc w:val="both"/>
              <w:rPr>
                <w:rFonts w:eastAsiaTheme="minorHAnsi"/>
                <w:sz w:val="20"/>
                <w:lang w:val="en-CA"/>
              </w:rPr>
            </w:pPr>
            <w:r w:rsidRPr="00E52530">
              <w:rPr>
                <w:rFonts w:eastAsiaTheme="minorHAnsi"/>
                <w:sz w:val="20"/>
                <w:lang w:val="en-CA"/>
              </w:rPr>
              <w:t>Supreme Court of Canada</w:t>
            </w: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en-CA"/>
              </w:rPr>
            </w:pPr>
            <w:r w:rsidRPr="00E52530">
              <w:rPr>
                <w:rFonts w:eastAsiaTheme="minorHAnsi"/>
                <w:sz w:val="20"/>
                <w:lang w:val="en-CA"/>
              </w:rPr>
              <w:t>Application for leave to appeal filed</w:t>
            </w:r>
          </w:p>
          <w:p w:rsidR="00E52530" w:rsidRPr="00E52530" w:rsidRDefault="00E52530" w:rsidP="00E52530">
            <w:pPr>
              <w:jc w:val="both"/>
              <w:rPr>
                <w:rFonts w:eastAsiaTheme="minorHAnsi"/>
                <w:sz w:val="20"/>
                <w:lang w:val="en-CA"/>
              </w:rPr>
            </w:pPr>
          </w:p>
        </w:tc>
      </w:tr>
    </w:tbl>
    <w:p w:rsidR="00E52530" w:rsidRDefault="00E52530" w:rsidP="00E52530">
      <w:pPr>
        <w:jc w:val="both"/>
        <w:rPr>
          <w:rFonts w:eastAsiaTheme="minorHAnsi"/>
          <w:sz w:val="20"/>
          <w:lang w:val="en-CA"/>
        </w:rPr>
      </w:pPr>
    </w:p>
    <w:p w:rsidR="00E52530" w:rsidRPr="00E52530" w:rsidRDefault="00E52530" w:rsidP="00E52530">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530" w:rsidRPr="00E52530" w:rsidTr="00E52530">
        <w:tc>
          <w:tcPr>
            <w:tcW w:w="543" w:type="pct"/>
          </w:tcPr>
          <w:p w:rsidR="00E52530" w:rsidRPr="00E52530" w:rsidRDefault="00E52530" w:rsidP="00E52530">
            <w:pPr>
              <w:jc w:val="both"/>
              <w:rPr>
                <w:rFonts w:eastAsiaTheme="minorHAnsi"/>
                <w:sz w:val="20"/>
                <w:lang w:val="fr-CA"/>
              </w:rPr>
            </w:pPr>
            <w:r w:rsidRPr="00E52530">
              <w:rPr>
                <w:rFonts w:eastAsiaTheme="minorHAnsi"/>
                <w:b/>
                <w:sz w:val="20"/>
                <w:lang w:val="fr-CA"/>
              </w:rPr>
              <w:t>36406</w:t>
            </w:r>
          </w:p>
        </w:tc>
        <w:tc>
          <w:tcPr>
            <w:tcW w:w="4457" w:type="pct"/>
            <w:gridSpan w:val="3"/>
          </w:tcPr>
          <w:p w:rsidR="00E52530" w:rsidRPr="00E52530" w:rsidRDefault="00E52530" w:rsidP="00E52530">
            <w:pPr>
              <w:jc w:val="both"/>
              <w:rPr>
                <w:rFonts w:eastAsiaTheme="minorHAnsi"/>
                <w:b/>
                <w:sz w:val="20"/>
                <w:lang w:val="fr-CA"/>
              </w:rPr>
            </w:pPr>
            <w:r w:rsidRPr="00E52530">
              <w:rPr>
                <w:rFonts w:eastAsiaTheme="minorHAnsi"/>
                <w:b/>
                <w:sz w:val="20"/>
                <w:lang w:val="fr-CA"/>
              </w:rPr>
              <w:t xml:space="preserve">Larry Peter </w:t>
            </w:r>
            <w:proofErr w:type="spellStart"/>
            <w:r w:rsidRPr="00E52530">
              <w:rPr>
                <w:rFonts w:eastAsiaTheme="minorHAnsi"/>
                <w:b/>
                <w:sz w:val="20"/>
                <w:lang w:val="fr-CA"/>
              </w:rPr>
              <w:t>Klippenstein</w:t>
            </w:r>
            <w:proofErr w:type="spellEnd"/>
            <w:r w:rsidRPr="00E52530">
              <w:rPr>
                <w:rFonts w:eastAsiaTheme="minorHAnsi"/>
                <w:b/>
                <w:sz w:val="20"/>
                <w:lang w:val="fr-CA"/>
              </w:rPr>
              <w:t xml:space="preserve"> c. Procureur général du Canada</w:t>
            </w:r>
          </w:p>
          <w:p w:rsidR="00E52530" w:rsidRPr="00E52530" w:rsidRDefault="00E52530" w:rsidP="00E52530">
            <w:pPr>
              <w:jc w:val="both"/>
              <w:rPr>
                <w:rFonts w:eastAsiaTheme="minorHAnsi"/>
                <w:sz w:val="20"/>
                <w:lang w:val="fr-CA"/>
              </w:rPr>
            </w:pPr>
            <w:r w:rsidRPr="00E52530">
              <w:rPr>
                <w:rFonts w:eastAsiaTheme="minorHAnsi"/>
                <w:sz w:val="20"/>
                <w:lang w:val="fr-CA"/>
              </w:rPr>
              <w:t>(CF) (Civile) (Sur autorisation)</w:t>
            </w:r>
          </w:p>
        </w:tc>
      </w:tr>
      <w:tr w:rsidR="00E52530" w:rsidRPr="00E52530" w:rsidTr="00E52530">
        <w:tc>
          <w:tcPr>
            <w:tcW w:w="5000" w:type="pct"/>
            <w:gridSpan w:val="4"/>
          </w:tcPr>
          <w:p w:rsidR="00E52530" w:rsidRPr="00E52530" w:rsidRDefault="00E52530" w:rsidP="00E52530">
            <w:pPr>
              <w:jc w:val="both"/>
              <w:rPr>
                <w:rFonts w:eastAsiaTheme="minorHAnsi"/>
                <w:sz w:val="20"/>
                <w:lang w:val="fr-CA"/>
              </w:rPr>
            </w:pPr>
            <w:r w:rsidRPr="00E52530">
              <w:rPr>
                <w:rFonts w:eastAsiaTheme="minorHAnsi"/>
                <w:i/>
                <w:sz w:val="20"/>
                <w:lang w:val="fr-CA"/>
              </w:rPr>
              <w:t xml:space="preserve">Charte des droits </w:t>
            </w:r>
            <w:r w:rsidRPr="00E52530">
              <w:rPr>
                <w:rFonts w:eastAsiaTheme="minorHAnsi"/>
                <w:sz w:val="20"/>
                <w:lang w:val="fr-CA"/>
              </w:rPr>
              <w:t>— Liberté de religion — Procédure civile — Appels — Rejet de l’action du demandeur — La Cour d’appel fédérale a-t-elle refusé d’accorder un droit d’appel prévu par la loi contre une décision dans laquelle on a statué sans procès sur une question de droit, s’est-elle prononcée sur une demande présentée par une personne qui souffrait d’une incapacité et qui n’était pas dûment représentée conformément aux exigences des règles de procédure civile, et la décision visée par l’appel a-t-elle statué sur des questions de droit en contravention des lois existantes et de la Constitution canadienne et mis fin à l’affaire au moyen d’une directive excédant la compétence de la Cour fédérale?</w:t>
            </w:r>
          </w:p>
        </w:tc>
      </w:tr>
      <w:tr w:rsidR="00E52530" w:rsidRPr="00E52530" w:rsidTr="00E52530">
        <w:tc>
          <w:tcPr>
            <w:tcW w:w="5000" w:type="pct"/>
            <w:gridSpan w:val="4"/>
          </w:tcPr>
          <w:p w:rsidR="00E52530" w:rsidRPr="00E52530" w:rsidRDefault="00E52530" w:rsidP="00E52530">
            <w:pPr>
              <w:jc w:val="both"/>
              <w:rPr>
                <w:rFonts w:eastAsiaTheme="minorHAnsi"/>
                <w:sz w:val="20"/>
                <w:lang w:val="fr-CA"/>
              </w:rPr>
            </w:pPr>
          </w:p>
        </w:tc>
      </w:tr>
      <w:tr w:rsidR="00E52530" w:rsidRPr="00E52530" w:rsidTr="00E52530">
        <w:tc>
          <w:tcPr>
            <w:tcW w:w="5000" w:type="pct"/>
            <w:gridSpan w:val="4"/>
          </w:tcPr>
          <w:p w:rsidR="00E52530" w:rsidRPr="00E52530" w:rsidRDefault="00E52530" w:rsidP="00E52530">
            <w:pPr>
              <w:jc w:val="both"/>
              <w:rPr>
                <w:rFonts w:eastAsiaTheme="minorHAnsi"/>
                <w:sz w:val="20"/>
                <w:lang w:val="fr-CA"/>
              </w:rPr>
            </w:pPr>
            <w:r w:rsidRPr="00E52530">
              <w:rPr>
                <w:rFonts w:eastAsiaTheme="minorHAnsi"/>
                <w:sz w:val="20"/>
                <w:lang w:val="fr-CA"/>
              </w:rPr>
              <w:t>Le 5 octobre 2012, la Cour fédérale a formulé une directive que M. </w:t>
            </w:r>
            <w:proofErr w:type="spellStart"/>
            <w:r w:rsidRPr="00E52530">
              <w:rPr>
                <w:rFonts w:eastAsiaTheme="minorHAnsi"/>
                <w:sz w:val="20"/>
                <w:lang w:val="fr-CA"/>
              </w:rPr>
              <w:t>Klippenstein</w:t>
            </w:r>
            <w:proofErr w:type="spellEnd"/>
            <w:r w:rsidRPr="00E52530">
              <w:rPr>
                <w:rFonts w:eastAsiaTheme="minorHAnsi"/>
                <w:sz w:val="20"/>
                <w:lang w:val="fr-CA"/>
              </w:rPr>
              <w:t xml:space="preserve"> a voulu faire convertir en ordonnance.</w:t>
            </w:r>
          </w:p>
          <w:p w:rsidR="00E52530" w:rsidRPr="00E52530" w:rsidRDefault="00E52530" w:rsidP="00E52530">
            <w:pPr>
              <w:jc w:val="both"/>
              <w:rPr>
                <w:rFonts w:eastAsiaTheme="minorHAnsi"/>
                <w:sz w:val="20"/>
                <w:lang w:val="fr-CA"/>
              </w:rPr>
            </w:pPr>
          </w:p>
        </w:tc>
      </w:tr>
      <w:tr w:rsidR="00E52530" w:rsidRPr="00E52530" w:rsidTr="00E52530">
        <w:tc>
          <w:tcPr>
            <w:tcW w:w="2427" w:type="pct"/>
            <w:gridSpan w:val="2"/>
          </w:tcPr>
          <w:p w:rsidR="00E52530" w:rsidRPr="00E52530" w:rsidRDefault="00E52530" w:rsidP="00E52530">
            <w:pPr>
              <w:jc w:val="both"/>
              <w:rPr>
                <w:rFonts w:eastAsiaTheme="minorHAnsi"/>
                <w:sz w:val="20"/>
                <w:lang w:val="fr-CA"/>
              </w:rPr>
            </w:pPr>
            <w:r w:rsidRPr="00E52530">
              <w:rPr>
                <w:rFonts w:eastAsiaTheme="minorHAnsi"/>
                <w:sz w:val="20"/>
                <w:lang w:val="fr-CA"/>
              </w:rPr>
              <w:t>4 novembre 2014</w:t>
            </w:r>
          </w:p>
          <w:p w:rsidR="00E52530" w:rsidRPr="00E52530" w:rsidRDefault="00E52530" w:rsidP="00E52530">
            <w:pPr>
              <w:jc w:val="both"/>
              <w:rPr>
                <w:rFonts w:eastAsiaTheme="minorHAnsi"/>
                <w:sz w:val="20"/>
                <w:lang w:val="fr-CA"/>
              </w:rPr>
            </w:pPr>
            <w:r w:rsidRPr="00E52530">
              <w:rPr>
                <w:rFonts w:eastAsiaTheme="minorHAnsi"/>
                <w:sz w:val="20"/>
                <w:lang w:val="fr-CA"/>
              </w:rPr>
              <w:t>Cour fédérale</w:t>
            </w:r>
          </w:p>
          <w:p w:rsidR="00E52530" w:rsidRPr="00E52530" w:rsidRDefault="00E52530" w:rsidP="00E52530">
            <w:pPr>
              <w:jc w:val="both"/>
              <w:rPr>
                <w:rFonts w:eastAsiaTheme="minorHAnsi"/>
                <w:sz w:val="20"/>
                <w:lang w:val="fr-CA"/>
              </w:rPr>
            </w:pPr>
            <w:r w:rsidRPr="00E52530">
              <w:rPr>
                <w:rFonts w:eastAsiaTheme="minorHAnsi"/>
                <w:sz w:val="20"/>
                <w:lang w:val="fr-CA"/>
              </w:rPr>
              <w:t xml:space="preserve">(Juge </w:t>
            </w:r>
            <w:proofErr w:type="spellStart"/>
            <w:r w:rsidRPr="00E52530">
              <w:rPr>
                <w:rFonts w:eastAsiaTheme="minorHAnsi"/>
                <w:sz w:val="20"/>
                <w:lang w:val="fr-CA"/>
              </w:rPr>
              <w:t>Gleason</w:t>
            </w:r>
            <w:proofErr w:type="spellEnd"/>
            <w:r w:rsidRPr="00E52530">
              <w:rPr>
                <w:rFonts w:eastAsiaTheme="minorHAnsi"/>
                <w:sz w:val="20"/>
                <w:lang w:val="fr-CA"/>
              </w:rPr>
              <w:t>)</w:t>
            </w:r>
          </w:p>
          <w:p w:rsidR="00E52530" w:rsidRPr="00E52530" w:rsidRDefault="00E52530" w:rsidP="00E52530">
            <w:pPr>
              <w:jc w:val="both"/>
              <w:rPr>
                <w:rFonts w:eastAsiaTheme="minorHAnsi"/>
                <w:sz w:val="20"/>
                <w:lang w:val="fr-CA"/>
              </w:rPr>
            </w:pPr>
            <w:r w:rsidRPr="00E52530">
              <w:rPr>
                <w:rFonts w:eastAsiaTheme="minorHAnsi"/>
                <w:sz w:val="20"/>
                <w:lang w:val="fr-CA"/>
              </w:rPr>
              <w:t>Non publié</w:t>
            </w:r>
          </w:p>
          <w:p w:rsidR="00E52530" w:rsidRPr="00E52530" w:rsidRDefault="00E52530" w:rsidP="00E52530">
            <w:pPr>
              <w:jc w:val="both"/>
              <w:rPr>
                <w:rFonts w:eastAsiaTheme="minorHAnsi"/>
                <w:sz w:val="20"/>
                <w:lang w:val="fr-CA"/>
              </w:rPr>
            </w:pPr>
          </w:p>
        </w:tc>
        <w:tc>
          <w:tcPr>
            <w:tcW w:w="243" w:type="pct"/>
          </w:tcPr>
          <w:p w:rsidR="00E52530" w:rsidRPr="00E52530" w:rsidRDefault="00E52530" w:rsidP="00E52530">
            <w:pPr>
              <w:jc w:val="both"/>
              <w:rPr>
                <w:rFonts w:eastAsiaTheme="minorHAnsi"/>
                <w:sz w:val="20"/>
                <w:lang w:val="fr-CA"/>
              </w:rPr>
            </w:pPr>
          </w:p>
        </w:tc>
        <w:tc>
          <w:tcPr>
            <w:tcW w:w="2330" w:type="pct"/>
          </w:tcPr>
          <w:p w:rsidR="00E52530" w:rsidRPr="00E52530" w:rsidRDefault="00E52530" w:rsidP="00E52530">
            <w:pPr>
              <w:jc w:val="both"/>
              <w:rPr>
                <w:rFonts w:eastAsiaTheme="minorHAnsi"/>
                <w:sz w:val="20"/>
                <w:lang w:val="fr-CA"/>
              </w:rPr>
            </w:pPr>
            <w:r w:rsidRPr="00E52530">
              <w:rPr>
                <w:rFonts w:eastAsiaTheme="minorHAnsi"/>
                <w:sz w:val="20"/>
                <w:lang w:val="fr-CA"/>
              </w:rPr>
              <w:t xml:space="preserve">Rejet de la requête présentée par le demandeur sous forme de lettre en vue de faire convertir en ordonnance la directive du 5 octobre 2012 </w:t>
            </w:r>
          </w:p>
          <w:p w:rsidR="00E52530" w:rsidRPr="00E52530" w:rsidRDefault="00E52530" w:rsidP="00E52530">
            <w:pPr>
              <w:jc w:val="both"/>
              <w:rPr>
                <w:rFonts w:eastAsiaTheme="minorHAnsi"/>
                <w:sz w:val="20"/>
                <w:lang w:val="fr-CA"/>
              </w:rPr>
            </w:pPr>
          </w:p>
        </w:tc>
      </w:tr>
      <w:tr w:rsidR="00E52530" w:rsidRPr="00E52530" w:rsidTr="00E52530">
        <w:tc>
          <w:tcPr>
            <w:tcW w:w="2427" w:type="pct"/>
            <w:gridSpan w:val="2"/>
          </w:tcPr>
          <w:p w:rsidR="00E52530" w:rsidRPr="00E52530" w:rsidRDefault="00E52530" w:rsidP="00E52530">
            <w:pPr>
              <w:jc w:val="both"/>
              <w:rPr>
                <w:rFonts w:eastAsiaTheme="minorHAnsi"/>
                <w:sz w:val="20"/>
                <w:lang w:val="fr-CA"/>
              </w:rPr>
            </w:pPr>
            <w:r w:rsidRPr="00E52530">
              <w:rPr>
                <w:rFonts w:eastAsiaTheme="minorHAnsi"/>
                <w:sz w:val="20"/>
                <w:lang w:val="fr-CA"/>
              </w:rPr>
              <w:t>27 février 2015</w:t>
            </w:r>
          </w:p>
          <w:p w:rsidR="00E52530" w:rsidRPr="00E52530" w:rsidRDefault="00E52530" w:rsidP="00E52530">
            <w:pPr>
              <w:jc w:val="both"/>
              <w:rPr>
                <w:rFonts w:eastAsiaTheme="minorHAnsi"/>
                <w:sz w:val="20"/>
                <w:lang w:val="fr-CA"/>
              </w:rPr>
            </w:pPr>
            <w:r w:rsidRPr="00E52530">
              <w:rPr>
                <w:rFonts w:eastAsiaTheme="minorHAnsi"/>
                <w:sz w:val="20"/>
                <w:lang w:val="fr-CA"/>
              </w:rPr>
              <w:t>Cour d’appel fédérale</w:t>
            </w:r>
          </w:p>
          <w:p w:rsidR="00E52530" w:rsidRPr="00E52530" w:rsidRDefault="00E52530" w:rsidP="00E52530">
            <w:pPr>
              <w:jc w:val="both"/>
              <w:rPr>
                <w:rFonts w:eastAsiaTheme="minorHAnsi"/>
                <w:sz w:val="20"/>
                <w:lang w:val="fr-CA"/>
              </w:rPr>
            </w:pPr>
            <w:r w:rsidRPr="00E52530">
              <w:rPr>
                <w:rFonts w:eastAsiaTheme="minorHAnsi"/>
                <w:sz w:val="20"/>
                <w:lang w:val="fr-CA"/>
              </w:rPr>
              <w:t>(Juges Dawson, Gauthier et Scott)</w:t>
            </w:r>
          </w:p>
          <w:p w:rsidR="00E52530" w:rsidRPr="00E52530" w:rsidRDefault="00E52530" w:rsidP="00E52530">
            <w:pPr>
              <w:jc w:val="both"/>
              <w:rPr>
                <w:rFonts w:eastAsiaTheme="minorHAnsi"/>
                <w:sz w:val="20"/>
                <w:lang w:val="fr-CA"/>
              </w:rPr>
            </w:pPr>
          </w:p>
        </w:tc>
        <w:tc>
          <w:tcPr>
            <w:tcW w:w="243" w:type="pct"/>
          </w:tcPr>
          <w:p w:rsidR="00E52530" w:rsidRPr="00E52530" w:rsidRDefault="00E52530" w:rsidP="00E52530">
            <w:pPr>
              <w:jc w:val="both"/>
              <w:rPr>
                <w:rFonts w:eastAsiaTheme="minorHAnsi"/>
                <w:sz w:val="20"/>
                <w:lang w:val="fr-CA"/>
              </w:rPr>
            </w:pPr>
          </w:p>
        </w:tc>
        <w:tc>
          <w:tcPr>
            <w:tcW w:w="2330" w:type="pct"/>
          </w:tcPr>
          <w:p w:rsidR="00E52530" w:rsidRPr="00E52530" w:rsidRDefault="00E52530" w:rsidP="00E52530">
            <w:pPr>
              <w:jc w:val="both"/>
              <w:rPr>
                <w:rFonts w:eastAsiaTheme="minorHAnsi"/>
                <w:sz w:val="20"/>
                <w:lang w:val="fr-CA"/>
              </w:rPr>
            </w:pPr>
            <w:r w:rsidRPr="00E52530">
              <w:rPr>
                <w:rFonts w:eastAsiaTheme="minorHAnsi"/>
                <w:sz w:val="20"/>
                <w:lang w:val="fr-CA"/>
              </w:rPr>
              <w:t>Rejet de l’appel du demandeur</w:t>
            </w:r>
          </w:p>
          <w:p w:rsidR="00E52530" w:rsidRPr="00E52530" w:rsidRDefault="00E52530" w:rsidP="00E52530">
            <w:pPr>
              <w:jc w:val="both"/>
              <w:rPr>
                <w:rFonts w:eastAsiaTheme="minorHAnsi"/>
                <w:sz w:val="20"/>
                <w:lang w:val="fr-CA"/>
              </w:rPr>
            </w:pPr>
          </w:p>
        </w:tc>
      </w:tr>
      <w:tr w:rsidR="00E52530" w:rsidRPr="00E52530" w:rsidTr="00E52530">
        <w:tc>
          <w:tcPr>
            <w:tcW w:w="2427" w:type="pct"/>
            <w:gridSpan w:val="2"/>
          </w:tcPr>
          <w:p w:rsidR="00E52530" w:rsidRPr="00E52530" w:rsidRDefault="00E52530" w:rsidP="00E52530">
            <w:pPr>
              <w:jc w:val="both"/>
              <w:rPr>
                <w:rFonts w:eastAsiaTheme="minorHAnsi"/>
                <w:sz w:val="20"/>
                <w:lang w:val="fr-CA"/>
              </w:rPr>
            </w:pPr>
            <w:r w:rsidRPr="00E52530">
              <w:rPr>
                <w:rFonts w:eastAsiaTheme="minorHAnsi"/>
                <w:sz w:val="20"/>
                <w:lang w:val="fr-CA"/>
              </w:rPr>
              <w:t>23 avril 2015</w:t>
            </w:r>
          </w:p>
          <w:p w:rsidR="00E52530" w:rsidRPr="00E52530" w:rsidRDefault="00E52530" w:rsidP="00E52530">
            <w:pPr>
              <w:jc w:val="both"/>
              <w:rPr>
                <w:rFonts w:eastAsiaTheme="minorHAnsi"/>
                <w:sz w:val="20"/>
                <w:lang w:val="fr-CA"/>
              </w:rPr>
            </w:pPr>
            <w:r w:rsidRPr="00E52530">
              <w:rPr>
                <w:rFonts w:eastAsiaTheme="minorHAnsi"/>
                <w:sz w:val="20"/>
                <w:lang w:val="fr-CA"/>
              </w:rPr>
              <w:lastRenderedPageBreak/>
              <w:t>Cour suprême du Canada</w:t>
            </w:r>
          </w:p>
        </w:tc>
        <w:tc>
          <w:tcPr>
            <w:tcW w:w="243" w:type="pct"/>
          </w:tcPr>
          <w:p w:rsidR="00E52530" w:rsidRPr="00E52530" w:rsidRDefault="00E52530" w:rsidP="00E52530">
            <w:pPr>
              <w:jc w:val="both"/>
              <w:rPr>
                <w:rFonts w:eastAsiaTheme="minorHAnsi"/>
                <w:sz w:val="20"/>
                <w:lang w:val="fr-CA"/>
              </w:rPr>
            </w:pPr>
          </w:p>
        </w:tc>
        <w:tc>
          <w:tcPr>
            <w:tcW w:w="2330" w:type="pct"/>
          </w:tcPr>
          <w:p w:rsidR="00E52530" w:rsidRPr="00E52530" w:rsidRDefault="00E52530" w:rsidP="00E52530">
            <w:pPr>
              <w:jc w:val="both"/>
              <w:rPr>
                <w:rFonts w:eastAsiaTheme="minorHAnsi"/>
                <w:sz w:val="20"/>
                <w:lang w:val="fr-CA"/>
              </w:rPr>
            </w:pPr>
            <w:r w:rsidRPr="00E52530">
              <w:rPr>
                <w:rFonts w:eastAsiaTheme="minorHAnsi"/>
                <w:sz w:val="20"/>
                <w:lang w:val="fr-CA"/>
              </w:rPr>
              <w:t>Dépôt de la demande d’autorisation d’appel</w:t>
            </w:r>
          </w:p>
        </w:tc>
      </w:tr>
    </w:tbl>
    <w:p w:rsidR="00E52530" w:rsidRDefault="00E52530" w:rsidP="00E52530">
      <w:pPr>
        <w:jc w:val="both"/>
        <w:rPr>
          <w:rFonts w:eastAsiaTheme="minorHAnsi"/>
          <w:sz w:val="20"/>
          <w:lang w:val="fr-CA"/>
        </w:rPr>
      </w:pPr>
    </w:p>
    <w:p w:rsidR="00E52530" w:rsidRPr="00E52530" w:rsidRDefault="00E52530" w:rsidP="00E52530">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530" w:rsidRPr="00E52530" w:rsidTr="00E52530">
        <w:tc>
          <w:tcPr>
            <w:tcW w:w="543" w:type="pct"/>
          </w:tcPr>
          <w:p w:rsidR="00E52530" w:rsidRPr="00E52530" w:rsidRDefault="00E52530" w:rsidP="00E52530">
            <w:pPr>
              <w:jc w:val="both"/>
              <w:rPr>
                <w:rFonts w:eastAsiaTheme="minorHAnsi"/>
                <w:sz w:val="20"/>
                <w:lang w:val="en-CA"/>
              </w:rPr>
            </w:pPr>
            <w:r w:rsidRPr="00E52530">
              <w:rPr>
                <w:rFonts w:eastAsiaTheme="minorHAnsi"/>
                <w:b/>
                <w:sz w:val="20"/>
                <w:lang w:val="en-CA"/>
              </w:rPr>
              <w:t>36343</w:t>
            </w:r>
          </w:p>
        </w:tc>
        <w:tc>
          <w:tcPr>
            <w:tcW w:w="4457" w:type="pct"/>
            <w:gridSpan w:val="3"/>
          </w:tcPr>
          <w:p w:rsidR="00E52530" w:rsidRPr="00E52530" w:rsidRDefault="00E52530" w:rsidP="00E52530">
            <w:pPr>
              <w:jc w:val="both"/>
              <w:rPr>
                <w:rFonts w:eastAsiaTheme="minorHAnsi"/>
                <w:b/>
                <w:sz w:val="20"/>
                <w:lang w:val="en-CA"/>
              </w:rPr>
            </w:pPr>
            <w:proofErr w:type="spellStart"/>
            <w:r w:rsidRPr="00E52530">
              <w:rPr>
                <w:rFonts w:eastAsiaTheme="minorHAnsi"/>
                <w:b/>
                <w:sz w:val="20"/>
                <w:lang w:val="en-CA"/>
              </w:rPr>
              <w:t>Amexon</w:t>
            </w:r>
            <w:proofErr w:type="spellEnd"/>
            <w:r w:rsidRPr="00E52530">
              <w:rPr>
                <w:rFonts w:eastAsiaTheme="minorHAnsi"/>
                <w:b/>
                <w:sz w:val="20"/>
                <w:lang w:val="en-CA"/>
              </w:rPr>
              <w:t xml:space="preserve"> Developments Inc. v. 1465152 Ontario Limited</w:t>
            </w:r>
          </w:p>
          <w:p w:rsidR="00E52530" w:rsidRPr="00E52530" w:rsidRDefault="00E52530" w:rsidP="00E52530">
            <w:pPr>
              <w:jc w:val="both"/>
              <w:rPr>
                <w:rFonts w:eastAsiaTheme="minorHAnsi"/>
                <w:sz w:val="20"/>
                <w:lang w:val="en-CA"/>
              </w:rPr>
            </w:pPr>
            <w:r w:rsidRPr="00E52530">
              <w:rPr>
                <w:rFonts w:eastAsiaTheme="minorHAnsi"/>
                <w:sz w:val="20"/>
                <w:lang w:val="en-CA"/>
              </w:rPr>
              <w:t>(Ont.) (Civil) (By Leave)</w:t>
            </w:r>
          </w:p>
        </w:tc>
      </w:tr>
      <w:tr w:rsidR="00E52530" w:rsidRPr="00E52530" w:rsidTr="00E52530">
        <w:tc>
          <w:tcPr>
            <w:tcW w:w="5000" w:type="pct"/>
            <w:gridSpan w:val="4"/>
          </w:tcPr>
          <w:p w:rsidR="00E52530" w:rsidRPr="00E52530" w:rsidRDefault="00E52530" w:rsidP="00E52530">
            <w:pPr>
              <w:jc w:val="both"/>
              <w:rPr>
                <w:rFonts w:eastAsiaTheme="minorHAnsi"/>
                <w:sz w:val="20"/>
                <w:lang w:val="en-CA"/>
              </w:rPr>
            </w:pPr>
            <w:r w:rsidRPr="00E52530">
              <w:rPr>
                <w:rFonts w:eastAsiaTheme="minorHAnsi"/>
                <w:bCs/>
                <w:sz w:val="20"/>
                <w:lang w:val="en-CA"/>
              </w:rPr>
              <w:t xml:space="preserve">Leases — Landlord and tenant — Landlord and owner of building seeking to terminate commercial tenancy in order to proceed with demolition of building </w:t>
            </w:r>
            <w:r w:rsidRPr="00E52530">
              <w:rPr>
                <w:rFonts w:eastAsiaTheme="minorHAnsi"/>
                <w:sz w:val="20"/>
                <w:lang w:val="en-CA"/>
              </w:rPr>
              <w:t xml:space="preserve">— </w:t>
            </w:r>
            <w:r w:rsidRPr="00E52530">
              <w:rPr>
                <w:rFonts w:eastAsiaTheme="minorHAnsi"/>
                <w:bCs/>
                <w:sz w:val="20"/>
                <w:lang w:val="en-CA"/>
              </w:rPr>
              <w:t xml:space="preserve">Are the rules relating to injunctions different when interference with a proprietary or property interest is involved? </w:t>
            </w:r>
            <w:r w:rsidRPr="00E52530">
              <w:rPr>
                <w:rFonts w:eastAsiaTheme="minorHAnsi"/>
                <w:sz w:val="20"/>
                <w:lang w:val="en-CA"/>
              </w:rPr>
              <w:t xml:space="preserve">— </w:t>
            </w:r>
            <w:r w:rsidRPr="00E52530">
              <w:rPr>
                <w:rFonts w:eastAsiaTheme="minorHAnsi"/>
                <w:bCs/>
                <w:sz w:val="20"/>
                <w:lang w:val="en-CA"/>
              </w:rPr>
              <w:t xml:space="preserve"> Should a court lend its assistance to what amounts in equity to extortionate conduct? </w:t>
            </w:r>
            <w:r w:rsidRPr="00E52530">
              <w:rPr>
                <w:rFonts w:eastAsiaTheme="minorHAnsi"/>
                <w:sz w:val="20"/>
                <w:lang w:val="en-CA"/>
              </w:rPr>
              <w:t xml:space="preserve">— </w:t>
            </w:r>
            <w:r w:rsidRPr="00E52530">
              <w:rPr>
                <w:rFonts w:eastAsiaTheme="minorHAnsi"/>
                <w:bCs/>
                <w:sz w:val="20"/>
                <w:lang w:val="en-CA"/>
              </w:rPr>
              <w:t>Are injunctions subject to the principle of proportionality?</w:t>
            </w:r>
            <w:r w:rsidRPr="00E52530">
              <w:rPr>
                <w:rFonts w:eastAsiaTheme="minorHAnsi"/>
                <w:sz w:val="20"/>
                <w:lang w:val="en-CA"/>
              </w:rPr>
              <w:t xml:space="preserve"> — </w:t>
            </w:r>
            <w:r w:rsidRPr="00E52530">
              <w:rPr>
                <w:rFonts w:eastAsiaTheme="minorHAnsi"/>
                <w:bCs/>
                <w:sz w:val="20"/>
                <w:lang w:val="en-CA"/>
              </w:rPr>
              <w:t>Even if a principle of law is generally applicable, should the court consider the nature of the result that would follow in applying that principle in light of the facts and circumstances of the case?</w:t>
            </w:r>
            <w:r w:rsidRPr="00E52530">
              <w:rPr>
                <w:rFonts w:eastAsiaTheme="minorHAnsi"/>
                <w:sz w:val="20"/>
                <w:lang w:val="en-CA"/>
              </w:rPr>
              <w:t xml:space="preserve"> — </w:t>
            </w:r>
            <w:r w:rsidRPr="00E52530">
              <w:rPr>
                <w:rFonts w:eastAsiaTheme="minorHAnsi"/>
                <w:bCs/>
                <w:sz w:val="20"/>
                <w:lang w:val="en-CA"/>
              </w:rPr>
              <w:t>In what circumstances is a breach of contract permissible on the basis of economic efficiency?</w:t>
            </w:r>
            <w:r w:rsidRPr="00E52530">
              <w:rPr>
                <w:rFonts w:eastAsiaTheme="minorHAnsi"/>
                <w:sz w:val="20"/>
                <w:lang w:val="en-CA"/>
              </w:rPr>
              <w:t xml:space="preserve"> — </w:t>
            </w:r>
            <w:r w:rsidRPr="00E52530">
              <w:rPr>
                <w:rFonts w:eastAsiaTheme="minorHAnsi"/>
                <w:bCs/>
                <w:sz w:val="20"/>
                <w:lang w:val="en-CA"/>
              </w:rPr>
              <w:t>Does the doctrine of fundamental breach of contract survive, in disguised form, for leases?</w:t>
            </w:r>
          </w:p>
        </w:tc>
      </w:tr>
      <w:tr w:rsidR="00E52530" w:rsidRPr="00E52530" w:rsidTr="00E52530">
        <w:tc>
          <w:tcPr>
            <w:tcW w:w="5000" w:type="pct"/>
            <w:gridSpan w:val="4"/>
          </w:tcPr>
          <w:p w:rsidR="00E52530" w:rsidRPr="00E52530" w:rsidRDefault="00E52530" w:rsidP="00E52530">
            <w:pPr>
              <w:jc w:val="both"/>
              <w:rPr>
                <w:rFonts w:eastAsiaTheme="minorHAnsi"/>
                <w:sz w:val="20"/>
                <w:lang w:val="en-CA"/>
              </w:rPr>
            </w:pPr>
          </w:p>
        </w:tc>
      </w:tr>
      <w:tr w:rsidR="00E52530" w:rsidRPr="00E52530" w:rsidTr="00E52530">
        <w:tc>
          <w:tcPr>
            <w:tcW w:w="5000" w:type="pct"/>
            <w:gridSpan w:val="4"/>
          </w:tcPr>
          <w:p w:rsidR="00E52530" w:rsidRPr="00E52530" w:rsidRDefault="00E52530" w:rsidP="00E52530">
            <w:pPr>
              <w:jc w:val="both"/>
              <w:rPr>
                <w:rFonts w:eastAsiaTheme="minorHAnsi"/>
                <w:sz w:val="20"/>
                <w:lang w:val="en-CA"/>
              </w:rPr>
            </w:pPr>
            <w:r w:rsidRPr="00E52530">
              <w:rPr>
                <w:rFonts w:eastAsiaTheme="minorHAnsi"/>
                <w:sz w:val="20"/>
                <w:lang w:val="en-CA"/>
              </w:rPr>
              <w:t xml:space="preserve">The applicant, </w:t>
            </w:r>
            <w:proofErr w:type="spellStart"/>
            <w:r w:rsidRPr="00E52530">
              <w:rPr>
                <w:rFonts w:eastAsiaTheme="minorHAnsi"/>
                <w:sz w:val="20"/>
                <w:lang w:val="en-CA"/>
              </w:rPr>
              <w:t>Amexon</w:t>
            </w:r>
            <w:proofErr w:type="spellEnd"/>
            <w:r w:rsidRPr="00E52530">
              <w:rPr>
                <w:rFonts w:eastAsiaTheme="minorHAnsi"/>
                <w:sz w:val="20"/>
                <w:lang w:val="en-CA"/>
              </w:rPr>
              <w:t xml:space="preserve"> Developments Inc. (“</w:t>
            </w:r>
            <w:proofErr w:type="spellStart"/>
            <w:r w:rsidRPr="00E52530">
              <w:rPr>
                <w:rFonts w:eastAsiaTheme="minorHAnsi"/>
                <w:sz w:val="20"/>
                <w:lang w:val="en-CA"/>
              </w:rPr>
              <w:t>Amexon</w:t>
            </w:r>
            <w:proofErr w:type="spellEnd"/>
            <w:r w:rsidRPr="00E52530">
              <w:rPr>
                <w:rFonts w:eastAsiaTheme="minorHAnsi"/>
                <w:sz w:val="20"/>
                <w:lang w:val="en-CA"/>
              </w:rPr>
              <w:t xml:space="preserve">”) is the owner and landlord of leased premises located in a large commercial building that it wishes to demolish and redevelop. The respondent, 1465152 Ontario Limited, (the “tenant) is the management company of a law firm that leased its offices from </w:t>
            </w:r>
            <w:proofErr w:type="spellStart"/>
            <w:r w:rsidRPr="00E52530">
              <w:rPr>
                <w:rFonts w:eastAsiaTheme="minorHAnsi"/>
                <w:sz w:val="20"/>
                <w:lang w:val="en-CA"/>
              </w:rPr>
              <w:t>Amexon</w:t>
            </w:r>
            <w:proofErr w:type="spellEnd"/>
            <w:r w:rsidRPr="00E52530">
              <w:rPr>
                <w:rFonts w:eastAsiaTheme="minorHAnsi"/>
                <w:sz w:val="20"/>
                <w:lang w:val="en-CA"/>
              </w:rPr>
              <w:t xml:space="preserve">. The tenant originally entered into the lease with an effective date of April 1, 2000.  The lease did not contain a demolition clause.  That lease was amended and renewed in 2007 for a further term of five years, ending March 31, 2012.  </w:t>
            </w:r>
            <w:proofErr w:type="spellStart"/>
            <w:r w:rsidRPr="00E52530">
              <w:rPr>
                <w:rFonts w:eastAsiaTheme="minorHAnsi"/>
                <w:sz w:val="20"/>
                <w:lang w:val="en-CA"/>
              </w:rPr>
              <w:t>Amexon</w:t>
            </w:r>
            <w:proofErr w:type="spellEnd"/>
            <w:r w:rsidRPr="00E52530">
              <w:rPr>
                <w:rFonts w:eastAsiaTheme="minorHAnsi"/>
                <w:sz w:val="20"/>
                <w:lang w:val="en-CA"/>
              </w:rPr>
              <w:t xml:space="preserve"> acquired the property in 2008. The lease was amended in October, 2012 and the term was extended until March, 31, 2016. </w:t>
            </w:r>
            <w:proofErr w:type="spellStart"/>
            <w:r w:rsidRPr="00E52530">
              <w:rPr>
                <w:rFonts w:eastAsiaTheme="minorHAnsi"/>
                <w:sz w:val="20"/>
                <w:lang w:val="en-CA"/>
              </w:rPr>
              <w:t>Amexon</w:t>
            </w:r>
            <w:proofErr w:type="spellEnd"/>
            <w:r w:rsidRPr="00E52530">
              <w:rPr>
                <w:rFonts w:eastAsiaTheme="minorHAnsi"/>
                <w:sz w:val="20"/>
                <w:lang w:val="en-CA"/>
              </w:rPr>
              <w:t xml:space="preserve"> later wished to demolish and redevelop the property and was able to negotiate lease termination agreements with all of its tenants with the exception of the respondent tenant. </w:t>
            </w:r>
            <w:proofErr w:type="spellStart"/>
            <w:r w:rsidRPr="00E52530">
              <w:rPr>
                <w:rFonts w:eastAsiaTheme="minorHAnsi"/>
                <w:sz w:val="20"/>
                <w:lang w:val="en-CA"/>
              </w:rPr>
              <w:t>Amexon</w:t>
            </w:r>
            <w:proofErr w:type="spellEnd"/>
            <w:r w:rsidRPr="00E52530">
              <w:rPr>
                <w:rFonts w:eastAsiaTheme="minorHAnsi"/>
                <w:sz w:val="20"/>
                <w:lang w:val="en-CA"/>
              </w:rPr>
              <w:t xml:space="preserve"> offered to relocate the law firm into a similar premises in an adjoining building, also owned by </w:t>
            </w:r>
            <w:proofErr w:type="spellStart"/>
            <w:r w:rsidRPr="00E52530">
              <w:rPr>
                <w:rFonts w:eastAsiaTheme="minorHAnsi"/>
                <w:sz w:val="20"/>
                <w:lang w:val="en-CA"/>
              </w:rPr>
              <w:t>Amexon</w:t>
            </w:r>
            <w:proofErr w:type="spellEnd"/>
            <w:r w:rsidRPr="00E52530">
              <w:rPr>
                <w:rFonts w:eastAsiaTheme="minorHAnsi"/>
                <w:sz w:val="20"/>
                <w:lang w:val="en-CA"/>
              </w:rPr>
              <w:t xml:space="preserve">, and to pay compensation. When the negotiations between the parties failed to conclude in a mutually satisfactory agreement, </w:t>
            </w:r>
            <w:proofErr w:type="spellStart"/>
            <w:r w:rsidRPr="00E52530">
              <w:rPr>
                <w:rFonts w:eastAsiaTheme="minorHAnsi"/>
                <w:sz w:val="20"/>
                <w:lang w:val="en-CA"/>
              </w:rPr>
              <w:t>Amexon</w:t>
            </w:r>
            <w:proofErr w:type="spellEnd"/>
            <w:r w:rsidRPr="00E52530">
              <w:rPr>
                <w:rFonts w:eastAsiaTheme="minorHAnsi"/>
                <w:sz w:val="20"/>
                <w:lang w:val="en-CA"/>
              </w:rPr>
              <w:t xml:space="preserve"> served the tenant with a Notice to Vacate on February 28, 2014 by August 31, 2014, following which </w:t>
            </w:r>
            <w:proofErr w:type="spellStart"/>
            <w:r w:rsidRPr="00E52530">
              <w:rPr>
                <w:rFonts w:eastAsiaTheme="minorHAnsi"/>
                <w:sz w:val="20"/>
                <w:lang w:val="en-CA"/>
              </w:rPr>
              <w:t>Amexon</w:t>
            </w:r>
            <w:proofErr w:type="spellEnd"/>
            <w:r w:rsidRPr="00E52530">
              <w:rPr>
                <w:rFonts w:eastAsiaTheme="minorHAnsi"/>
                <w:sz w:val="20"/>
                <w:lang w:val="en-CA"/>
              </w:rPr>
              <w:t xml:space="preserve"> indicated that it would turn off all services to the building. The tenant applied for a declaration that the Notice to Vacate was void and of no force and effect and for an injunction precluding </w:t>
            </w:r>
            <w:proofErr w:type="spellStart"/>
            <w:r w:rsidRPr="00E52530">
              <w:rPr>
                <w:rFonts w:eastAsiaTheme="minorHAnsi"/>
                <w:sz w:val="20"/>
                <w:lang w:val="en-CA"/>
              </w:rPr>
              <w:t>Amexon</w:t>
            </w:r>
            <w:proofErr w:type="spellEnd"/>
            <w:r w:rsidRPr="00E52530">
              <w:rPr>
                <w:rFonts w:eastAsiaTheme="minorHAnsi"/>
                <w:sz w:val="20"/>
                <w:lang w:val="en-CA"/>
              </w:rPr>
              <w:t xml:space="preserve"> from re-entering the premises and terminating services and utilities.</w:t>
            </w:r>
          </w:p>
          <w:p w:rsidR="00E52530" w:rsidRPr="00E52530" w:rsidRDefault="00E52530" w:rsidP="00E52530">
            <w:pPr>
              <w:jc w:val="both"/>
              <w:rPr>
                <w:rFonts w:eastAsiaTheme="minorHAnsi"/>
                <w:sz w:val="20"/>
                <w:lang w:val="en-CA"/>
              </w:rPr>
            </w:pPr>
          </w:p>
        </w:tc>
      </w:tr>
      <w:tr w:rsidR="00E52530" w:rsidRPr="00E52530" w:rsidTr="00E52530">
        <w:tc>
          <w:tcPr>
            <w:tcW w:w="2427" w:type="pct"/>
            <w:gridSpan w:val="2"/>
          </w:tcPr>
          <w:p w:rsidR="00E52530" w:rsidRPr="00E52530" w:rsidRDefault="00E52530" w:rsidP="00E52530">
            <w:pPr>
              <w:jc w:val="both"/>
              <w:rPr>
                <w:rFonts w:eastAsiaTheme="minorHAnsi"/>
                <w:sz w:val="20"/>
                <w:lang w:val="en-CA"/>
              </w:rPr>
            </w:pPr>
            <w:r w:rsidRPr="00E52530">
              <w:rPr>
                <w:rFonts w:eastAsiaTheme="minorHAnsi"/>
                <w:sz w:val="20"/>
                <w:lang w:val="en-CA"/>
              </w:rPr>
              <w:t>June 27, 2014</w:t>
            </w:r>
          </w:p>
          <w:p w:rsidR="00E52530" w:rsidRPr="00E52530" w:rsidRDefault="00E52530" w:rsidP="00E52530">
            <w:pPr>
              <w:jc w:val="both"/>
              <w:rPr>
                <w:rFonts w:eastAsiaTheme="minorHAnsi"/>
                <w:sz w:val="20"/>
                <w:lang w:val="en-CA"/>
              </w:rPr>
            </w:pPr>
            <w:r w:rsidRPr="00E52530">
              <w:rPr>
                <w:rFonts w:eastAsiaTheme="minorHAnsi"/>
                <w:sz w:val="20"/>
                <w:lang w:val="en-CA"/>
              </w:rPr>
              <w:t>Ontario Superior Court of Justice</w:t>
            </w:r>
          </w:p>
          <w:p w:rsidR="00E52530" w:rsidRPr="00E52530" w:rsidRDefault="00E52530" w:rsidP="00E52530">
            <w:pPr>
              <w:jc w:val="both"/>
              <w:rPr>
                <w:rFonts w:eastAsiaTheme="minorHAnsi"/>
                <w:sz w:val="20"/>
                <w:lang w:val="en-CA"/>
              </w:rPr>
            </w:pPr>
            <w:r w:rsidRPr="00E52530">
              <w:rPr>
                <w:rFonts w:eastAsiaTheme="minorHAnsi"/>
                <w:sz w:val="20"/>
                <w:lang w:val="en-CA"/>
              </w:rPr>
              <w:t>(Myers J.)</w:t>
            </w:r>
          </w:p>
          <w:p w:rsidR="00E52530" w:rsidRPr="00E52530" w:rsidRDefault="00E52530" w:rsidP="00E52530">
            <w:pPr>
              <w:jc w:val="both"/>
              <w:rPr>
                <w:rFonts w:eastAsiaTheme="minorHAnsi"/>
                <w:sz w:val="20"/>
                <w:lang w:val="en-CA"/>
              </w:rPr>
            </w:pPr>
            <w:r w:rsidRPr="00E52530">
              <w:rPr>
                <w:rFonts w:eastAsiaTheme="minorHAnsi"/>
                <w:sz w:val="20"/>
                <w:lang w:val="en-CA"/>
              </w:rPr>
              <w:t>Unreported</w:t>
            </w:r>
          </w:p>
          <w:p w:rsidR="00E52530" w:rsidRPr="00E52530" w:rsidRDefault="00E52530" w:rsidP="00E52530">
            <w:pPr>
              <w:jc w:val="both"/>
              <w:rPr>
                <w:rFonts w:eastAsiaTheme="minorHAnsi"/>
                <w:sz w:val="20"/>
                <w:lang w:val="en-CA"/>
              </w:rPr>
            </w:pP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en-CA"/>
              </w:rPr>
            </w:pPr>
            <w:r w:rsidRPr="00E52530">
              <w:rPr>
                <w:rFonts w:eastAsiaTheme="minorHAnsi"/>
                <w:sz w:val="20"/>
                <w:lang w:val="en-CA"/>
              </w:rPr>
              <w:t xml:space="preserve">Declaration that respondent’s Notice to Vacate void and of no from </w:t>
            </w:r>
          </w:p>
          <w:p w:rsidR="00E52530" w:rsidRPr="00E52530" w:rsidRDefault="00E52530" w:rsidP="00E52530">
            <w:pPr>
              <w:jc w:val="both"/>
              <w:rPr>
                <w:rFonts w:eastAsiaTheme="minorHAnsi"/>
                <w:sz w:val="20"/>
                <w:lang w:val="en-CA"/>
              </w:rPr>
            </w:pPr>
          </w:p>
        </w:tc>
      </w:tr>
      <w:tr w:rsidR="00E52530" w:rsidRPr="00E52530" w:rsidTr="00E52530">
        <w:tc>
          <w:tcPr>
            <w:tcW w:w="2427" w:type="pct"/>
            <w:gridSpan w:val="2"/>
          </w:tcPr>
          <w:p w:rsidR="00E52530" w:rsidRPr="00E52530" w:rsidRDefault="00E52530" w:rsidP="00E52530">
            <w:pPr>
              <w:jc w:val="both"/>
              <w:rPr>
                <w:rFonts w:eastAsiaTheme="minorHAnsi"/>
                <w:sz w:val="20"/>
                <w:lang w:val="en-CA"/>
              </w:rPr>
            </w:pPr>
            <w:r w:rsidRPr="00E52530">
              <w:rPr>
                <w:rFonts w:eastAsiaTheme="minorHAnsi"/>
                <w:sz w:val="20"/>
                <w:lang w:val="en-CA"/>
              </w:rPr>
              <w:t>February 6, 2015</w:t>
            </w:r>
          </w:p>
          <w:p w:rsidR="00E52530" w:rsidRPr="00E52530" w:rsidRDefault="00E52530" w:rsidP="00E52530">
            <w:pPr>
              <w:jc w:val="both"/>
              <w:rPr>
                <w:rFonts w:eastAsiaTheme="minorHAnsi"/>
                <w:sz w:val="20"/>
                <w:lang w:val="en-CA"/>
              </w:rPr>
            </w:pPr>
            <w:r w:rsidRPr="00E52530">
              <w:rPr>
                <w:rFonts w:eastAsiaTheme="minorHAnsi"/>
                <w:sz w:val="20"/>
                <w:lang w:val="en-CA"/>
              </w:rPr>
              <w:t>Court of Appeal for Ontario</w:t>
            </w:r>
          </w:p>
          <w:p w:rsidR="00E52530" w:rsidRPr="00E52530" w:rsidRDefault="00E52530" w:rsidP="00E52530">
            <w:pPr>
              <w:jc w:val="both"/>
              <w:rPr>
                <w:rFonts w:eastAsiaTheme="minorHAnsi"/>
                <w:sz w:val="20"/>
                <w:lang w:val="en-CA"/>
              </w:rPr>
            </w:pPr>
            <w:r w:rsidRPr="00E52530">
              <w:rPr>
                <w:rFonts w:eastAsiaTheme="minorHAnsi"/>
                <w:sz w:val="20"/>
                <w:lang w:val="en-CA"/>
              </w:rPr>
              <w:t xml:space="preserve">(Hoy A.C.J.O., Brown and van </w:t>
            </w:r>
            <w:proofErr w:type="spellStart"/>
            <w:r w:rsidRPr="00E52530">
              <w:rPr>
                <w:rFonts w:eastAsiaTheme="minorHAnsi"/>
                <w:sz w:val="20"/>
                <w:lang w:val="en-CA"/>
              </w:rPr>
              <w:t>Rensburg</w:t>
            </w:r>
            <w:proofErr w:type="spellEnd"/>
            <w:r w:rsidRPr="00E52530">
              <w:rPr>
                <w:rFonts w:eastAsiaTheme="minorHAnsi"/>
                <w:sz w:val="20"/>
                <w:lang w:val="en-CA"/>
              </w:rPr>
              <w:t xml:space="preserve"> </w:t>
            </w:r>
          </w:p>
          <w:p w:rsidR="00E52530" w:rsidRPr="00E52530" w:rsidRDefault="00E52530" w:rsidP="00E52530">
            <w:pPr>
              <w:jc w:val="both"/>
              <w:rPr>
                <w:rFonts w:eastAsiaTheme="minorHAnsi"/>
                <w:sz w:val="20"/>
                <w:lang w:val="en-CA"/>
              </w:rPr>
            </w:pPr>
            <w:r w:rsidRPr="00E52530">
              <w:rPr>
                <w:rFonts w:eastAsiaTheme="minorHAnsi"/>
                <w:sz w:val="20"/>
                <w:lang w:val="en-CA"/>
              </w:rPr>
              <w:t>JJ.A.))</w:t>
            </w:r>
          </w:p>
          <w:p w:rsidR="00E52530" w:rsidRPr="00E52530" w:rsidRDefault="00E52530" w:rsidP="00E52530">
            <w:pPr>
              <w:jc w:val="both"/>
              <w:rPr>
                <w:rFonts w:eastAsiaTheme="minorHAnsi"/>
                <w:sz w:val="20"/>
                <w:lang w:val="en-CA"/>
              </w:rPr>
            </w:pP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en-CA"/>
              </w:rPr>
            </w:pPr>
            <w:r w:rsidRPr="00E52530">
              <w:rPr>
                <w:rFonts w:eastAsiaTheme="minorHAnsi"/>
                <w:sz w:val="20"/>
                <w:lang w:val="en-CA"/>
              </w:rPr>
              <w:t>Applicant’s appeal dismissed</w:t>
            </w:r>
          </w:p>
          <w:p w:rsidR="00E52530" w:rsidRPr="00E52530" w:rsidRDefault="00E52530" w:rsidP="00E52530">
            <w:pPr>
              <w:jc w:val="both"/>
              <w:rPr>
                <w:rFonts w:eastAsiaTheme="minorHAnsi"/>
                <w:sz w:val="20"/>
                <w:lang w:val="en-CA"/>
              </w:rPr>
            </w:pPr>
          </w:p>
        </w:tc>
      </w:tr>
      <w:tr w:rsidR="00E52530" w:rsidRPr="00E52530" w:rsidTr="00E52530">
        <w:tc>
          <w:tcPr>
            <w:tcW w:w="2427" w:type="pct"/>
            <w:gridSpan w:val="2"/>
          </w:tcPr>
          <w:p w:rsidR="00E52530" w:rsidRPr="00E52530" w:rsidRDefault="00E52530" w:rsidP="00E52530">
            <w:pPr>
              <w:jc w:val="both"/>
              <w:rPr>
                <w:rFonts w:eastAsiaTheme="minorHAnsi"/>
                <w:sz w:val="20"/>
                <w:lang w:val="en-CA"/>
              </w:rPr>
            </w:pPr>
            <w:r w:rsidRPr="00E52530">
              <w:rPr>
                <w:rFonts w:eastAsiaTheme="minorHAnsi"/>
                <w:sz w:val="20"/>
                <w:lang w:val="en-CA"/>
              </w:rPr>
              <w:t>March 16, 2015</w:t>
            </w:r>
          </w:p>
          <w:p w:rsidR="00E52530" w:rsidRPr="00E52530" w:rsidRDefault="00E52530" w:rsidP="00E52530">
            <w:pPr>
              <w:jc w:val="both"/>
              <w:rPr>
                <w:rFonts w:eastAsiaTheme="minorHAnsi"/>
                <w:sz w:val="20"/>
                <w:lang w:val="en-CA"/>
              </w:rPr>
            </w:pPr>
            <w:r w:rsidRPr="00E52530">
              <w:rPr>
                <w:rFonts w:eastAsiaTheme="minorHAnsi"/>
                <w:sz w:val="20"/>
                <w:lang w:val="en-CA"/>
              </w:rPr>
              <w:t>Supreme Court of Canada</w:t>
            </w: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en-CA"/>
              </w:rPr>
            </w:pPr>
            <w:r w:rsidRPr="00E52530">
              <w:rPr>
                <w:rFonts w:eastAsiaTheme="minorHAnsi"/>
                <w:sz w:val="20"/>
                <w:lang w:val="en-CA"/>
              </w:rPr>
              <w:t>Application for leave to appeal filed</w:t>
            </w:r>
          </w:p>
          <w:p w:rsidR="00E52530" w:rsidRPr="00E52530" w:rsidRDefault="00E52530" w:rsidP="00E52530">
            <w:pPr>
              <w:jc w:val="both"/>
              <w:rPr>
                <w:rFonts w:eastAsiaTheme="minorHAnsi"/>
                <w:sz w:val="20"/>
                <w:lang w:val="en-CA"/>
              </w:rPr>
            </w:pPr>
          </w:p>
        </w:tc>
      </w:tr>
    </w:tbl>
    <w:p w:rsidR="00E52530" w:rsidRDefault="00E52530" w:rsidP="00E52530">
      <w:pPr>
        <w:jc w:val="both"/>
        <w:rPr>
          <w:rFonts w:eastAsiaTheme="minorHAnsi"/>
          <w:sz w:val="20"/>
          <w:lang w:val="en-CA"/>
        </w:rPr>
      </w:pPr>
    </w:p>
    <w:p w:rsidR="00E52530" w:rsidRPr="00E52530" w:rsidRDefault="00E52530" w:rsidP="00E52530">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530" w:rsidRPr="00E52530" w:rsidTr="00E52530">
        <w:tc>
          <w:tcPr>
            <w:tcW w:w="543" w:type="pct"/>
          </w:tcPr>
          <w:p w:rsidR="00E52530" w:rsidRPr="00E52530" w:rsidRDefault="00E52530" w:rsidP="00E52530">
            <w:pPr>
              <w:jc w:val="both"/>
              <w:rPr>
                <w:rFonts w:eastAsiaTheme="minorHAnsi"/>
                <w:sz w:val="20"/>
                <w:lang w:val="fr-CA"/>
              </w:rPr>
            </w:pPr>
            <w:r w:rsidRPr="00E52530">
              <w:rPr>
                <w:rFonts w:eastAsiaTheme="minorHAnsi"/>
                <w:b/>
                <w:sz w:val="20"/>
                <w:lang w:val="fr-CA"/>
              </w:rPr>
              <w:t>36343</w:t>
            </w:r>
          </w:p>
        </w:tc>
        <w:tc>
          <w:tcPr>
            <w:tcW w:w="4457" w:type="pct"/>
            <w:gridSpan w:val="3"/>
          </w:tcPr>
          <w:p w:rsidR="00E52530" w:rsidRPr="00E52530" w:rsidRDefault="00E52530" w:rsidP="00E52530">
            <w:pPr>
              <w:jc w:val="both"/>
              <w:rPr>
                <w:rFonts w:eastAsiaTheme="minorHAnsi"/>
                <w:b/>
                <w:sz w:val="20"/>
              </w:rPr>
            </w:pPr>
            <w:proofErr w:type="spellStart"/>
            <w:r w:rsidRPr="00E52530">
              <w:rPr>
                <w:rFonts w:eastAsiaTheme="minorHAnsi"/>
                <w:b/>
                <w:sz w:val="20"/>
              </w:rPr>
              <w:t>Amexon</w:t>
            </w:r>
            <w:proofErr w:type="spellEnd"/>
            <w:r w:rsidRPr="00E52530">
              <w:rPr>
                <w:rFonts w:eastAsiaTheme="minorHAnsi"/>
                <w:b/>
                <w:sz w:val="20"/>
              </w:rPr>
              <w:t xml:space="preserve"> Developments Inc. c. 1465152 Ontario Limited</w:t>
            </w:r>
          </w:p>
          <w:p w:rsidR="00E52530" w:rsidRPr="00E52530" w:rsidRDefault="00E52530" w:rsidP="00E52530">
            <w:pPr>
              <w:jc w:val="both"/>
              <w:rPr>
                <w:rFonts w:eastAsiaTheme="minorHAnsi"/>
                <w:sz w:val="20"/>
                <w:lang w:val="fr-CA"/>
              </w:rPr>
            </w:pPr>
            <w:r w:rsidRPr="00E52530">
              <w:rPr>
                <w:rFonts w:eastAsiaTheme="minorHAnsi"/>
                <w:sz w:val="20"/>
                <w:lang w:val="fr-CA"/>
              </w:rPr>
              <w:t>(Ont.) (Civile) (Sur autorisation)</w:t>
            </w:r>
          </w:p>
        </w:tc>
      </w:tr>
      <w:tr w:rsidR="00E52530" w:rsidRPr="00E52530" w:rsidTr="00E52530">
        <w:tc>
          <w:tcPr>
            <w:tcW w:w="5000" w:type="pct"/>
            <w:gridSpan w:val="4"/>
          </w:tcPr>
          <w:p w:rsidR="00E52530" w:rsidRPr="00E52530" w:rsidRDefault="00E52530" w:rsidP="00E52530">
            <w:pPr>
              <w:jc w:val="both"/>
              <w:rPr>
                <w:rFonts w:eastAsiaTheme="minorHAnsi"/>
                <w:sz w:val="20"/>
                <w:lang w:val="fr-CA"/>
              </w:rPr>
            </w:pPr>
            <w:r w:rsidRPr="00E52530">
              <w:rPr>
                <w:rFonts w:eastAsiaTheme="minorHAnsi"/>
                <w:bCs/>
                <w:sz w:val="20"/>
                <w:lang w:val="fr-CA"/>
              </w:rPr>
              <w:t xml:space="preserve">Baux — Locateur et locataire — Tentative par le locateur propriétaire d’un immeuble de résilier un bail commercial en vue de démolir l’immeuble — Les règles relatives aux injonctions diffèrent-elles en cas d’atteinte à un intérêt </w:t>
            </w:r>
            <w:proofErr w:type="spellStart"/>
            <w:r w:rsidRPr="00E52530">
              <w:rPr>
                <w:rFonts w:eastAsiaTheme="minorHAnsi"/>
                <w:bCs/>
                <w:sz w:val="20"/>
                <w:lang w:val="fr-CA"/>
              </w:rPr>
              <w:t>propriétal</w:t>
            </w:r>
            <w:proofErr w:type="spellEnd"/>
            <w:r w:rsidRPr="00E52530">
              <w:rPr>
                <w:rFonts w:eastAsiaTheme="minorHAnsi"/>
                <w:bCs/>
                <w:sz w:val="20"/>
                <w:lang w:val="fr-CA"/>
              </w:rPr>
              <w:t xml:space="preserve"> ou de propriété? — Un tribunal devrait-il prêter son concours à ce qui constitue de l’extorsion en </w:t>
            </w:r>
            <w:proofErr w:type="spellStart"/>
            <w:r w:rsidRPr="00E52530">
              <w:rPr>
                <w:rFonts w:eastAsiaTheme="minorHAnsi"/>
                <w:bCs/>
                <w:i/>
                <w:sz w:val="20"/>
                <w:lang w:val="fr-CA"/>
              </w:rPr>
              <w:t>equity</w:t>
            </w:r>
            <w:proofErr w:type="spellEnd"/>
            <w:r w:rsidRPr="00E52530">
              <w:rPr>
                <w:rFonts w:eastAsiaTheme="minorHAnsi"/>
                <w:bCs/>
                <w:sz w:val="20"/>
                <w:lang w:val="fr-CA"/>
              </w:rPr>
              <w:t>? — Le principe de la proportionnalité s’applique-t-il aux injonctions?</w:t>
            </w:r>
            <w:r w:rsidRPr="00E52530">
              <w:rPr>
                <w:rFonts w:eastAsiaTheme="minorHAnsi"/>
                <w:sz w:val="20"/>
                <w:lang w:val="fr-CA"/>
              </w:rPr>
              <w:t xml:space="preserve"> — L</w:t>
            </w:r>
            <w:r w:rsidRPr="00E52530">
              <w:rPr>
                <w:rFonts w:eastAsiaTheme="minorHAnsi"/>
                <w:bCs/>
                <w:sz w:val="20"/>
                <w:lang w:val="fr-CA"/>
              </w:rPr>
              <w:t>e tribunal devrait-il, même si un p</w:t>
            </w:r>
            <w:r w:rsidRPr="00E52530">
              <w:rPr>
                <w:rFonts w:eastAsiaTheme="minorHAnsi"/>
                <w:sz w:val="20"/>
                <w:lang w:val="fr-CA"/>
              </w:rPr>
              <w:t>rincipe de droit est généralement applicable</w:t>
            </w:r>
            <w:r w:rsidRPr="00E52530">
              <w:rPr>
                <w:rFonts w:eastAsiaTheme="minorHAnsi"/>
                <w:bCs/>
                <w:sz w:val="20"/>
                <w:lang w:val="fr-CA"/>
              </w:rPr>
              <w:t>, tenir compte de la nature des conséquences de l’application de ce principe à la lumière des faits et des circonstances de l’espèce?</w:t>
            </w:r>
            <w:r w:rsidRPr="00E52530">
              <w:rPr>
                <w:rFonts w:eastAsiaTheme="minorHAnsi"/>
                <w:sz w:val="20"/>
                <w:lang w:val="fr-CA"/>
              </w:rPr>
              <w:t xml:space="preserve"> — </w:t>
            </w:r>
            <w:r w:rsidRPr="00E52530">
              <w:rPr>
                <w:rFonts w:eastAsiaTheme="minorHAnsi"/>
                <w:bCs/>
                <w:sz w:val="20"/>
                <w:lang w:val="fr-CA"/>
              </w:rPr>
              <w:t>Dans quelles circonstances une inexécution de contrat fondée sur des motifs d’efficience économique est-elle acceptable?</w:t>
            </w:r>
            <w:r w:rsidRPr="00E52530">
              <w:rPr>
                <w:rFonts w:eastAsiaTheme="minorHAnsi"/>
                <w:sz w:val="20"/>
                <w:lang w:val="fr-CA"/>
              </w:rPr>
              <w:t xml:space="preserve"> — La doctrine </w:t>
            </w:r>
            <w:r w:rsidRPr="00E52530">
              <w:rPr>
                <w:rFonts w:eastAsiaTheme="minorHAnsi"/>
                <w:bCs/>
                <w:sz w:val="20"/>
                <w:lang w:val="fr-CA"/>
              </w:rPr>
              <w:t xml:space="preserve">de l’inexécution </w:t>
            </w:r>
            <w:r w:rsidRPr="00E52530">
              <w:rPr>
                <w:rFonts w:eastAsiaTheme="minorHAnsi"/>
                <w:bCs/>
                <w:sz w:val="20"/>
                <w:lang w:val="fr-CA"/>
              </w:rPr>
              <w:lastRenderedPageBreak/>
              <w:t>fondamentale d’un contrat survit-elle, sous forme déguisée, à l’égard des baux?</w:t>
            </w:r>
          </w:p>
        </w:tc>
      </w:tr>
      <w:tr w:rsidR="00E52530" w:rsidRPr="00E52530" w:rsidTr="00E52530">
        <w:tc>
          <w:tcPr>
            <w:tcW w:w="5000" w:type="pct"/>
            <w:gridSpan w:val="4"/>
          </w:tcPr>
          <w:p w:rsidR="00E52530" w:rsidRPr="00E52530" w:rsidRDefault="00E52530" w:rsidP="00E52530">
            <w:pPr>
              <w:jc w:val="both"/>
              <w:rPr>
                <w:rFonts w:eastAsiaTheme="minorHAnsi"/>
                <w:sz w:val="20"/>
                <w:lang w:val="fr-CA"/>
              </w:rPr>
            </w:pPr>
          </w:p>
        </w:tc>
      </w:tr>
      <w:tr w:rsidR="00E52530" w:rsidRPr="00E52530" w:rsidTr="00E52530">
        <w:tc>
          <w:tcPr>
            <w:tcW w:w="5000" w:type="pct"/>
            <w:gridSpan w:val="4"/>
          </w:tcPr>
          <w:p w:rsidR="00E52530" w:rsidRPr="00E52530" w:rsidRDefault="00E52530" w:rsidP="00E52530">
            <w:pPr>
              <w:jc w:val="both"/>
              <w:rPr>
                <w:rFonts w:eastAsiaTheme="minorHAnsi"/>
                <w:sz w:val="20"/>
                <w:lang w:val="fr-CA"/>
              </w:rPr>
            </w:pPr>
            <w:r w:rsidRPr="00E52530">
              <w:rPr>
                <w:rFonts w:eastAsiaTheme="minorHAnsi"/>
                <w:sz w:val="20"/>
                <w:lang w:val="fr-CA"/>
              </w:rPr>
              <w:t xml:space="preserve">La demanderesse, </w:t>
            </w:r>
            <w:proofErr w:type="spellStart"/>
            <w:r w:rsidRPr="00E52530">
              <w:rPr>
                <w:rFonts w:eastAsiaTheme="minorHAnsi"/>
                <w:sz w:val="20"/>
                <w:lang w:val="fr-CA"/>
              </w:rPr>
              <w:t>Amexon</w:t>
            </w:r>
            <w:proofErr w:type="spellEnd"/>
            <w:r w:rsidRPr="00E52530">
              <w:rPr>
                <w:rFonts w:eastAsiaTheme="minorHAnsi"/>
                <w:sz w:val="20"/>
                <w:lang w:val="fr-CA"/>
              </w:rPr>
              <w:t xml:space="preserve"> </w:t>
            </w:r>
            <w:proofErr w:type="spellStart"/>
            <w:r w:rsidRPr="00E52530">
              <w:rPr>
                <w:rFonts w:eastAsiaTheme="minorHAnsi"/>
                <w:sz w:val="20"/>
                <w:lang w:val="fr-CA"/>
              </w:rPr>
              <w:t>Developments</w:t>
            </w:r>
            <w:proofErr w:type="spellEnd"/>
            <w:r w:rsidRPr="00E52530">
              <w:rPr>
                <w:rFonts w:eastAsiaTheme="minorHAnsi"/>
                <w:sz w:val="20"/>
                <w:lang w:val="fr-CA"/>
              </w:rPr>
              <w:t xml:space="preserve"> Inc. (« </w:t>
            </w:r>
            <w:proofErr w:type="spellStart"/>
            <w:r w:rsidRPr="00E52530">
              <w:rPr>
                <w:rFonts w:eastAsiaTheme="minorHAnsi"/>
                <w:sz w:val="20"/>
                <w:lang w:val="fr-CA"/>
              </w:rPr>
              <w:t>Amexon</w:t>
            </w:r>
            <w:proofErr w:type="spellEnd"/>
            <w:r w:rsidRPr="00E52530">
              <w:rPr>
                <w:rFonts w:eastAsiaTheme="minorHAnsi"/>
                <w:sz w:val="20"/>
                <w:lang w:val="fr-CA"/>
              </w:rPr>
              <w:t> »), est la propriétaire et la locatrice de locaux situés dans un grand immeuble commercial qu’elle souhaite démolir et réaménager. L’intimée, 1465152 Ontario Limited (la « locatrice »), est la société de gestion d’un cabinet d’avocats qui louait ses bureaux d’</w:t>
            </w:r>
            <w:proofErr w:type="spellStart"/>
            <w:r w:rsidRPr="00E52530">
              <w:rPr>
                <w:rFonts w:eastAsiaTheme="minorHAnsi"/>
                <w:sz w:val="20"/>
                <w:lang w:val="fr-CA"/>
              </w:rPr>
              <w:t>Amexon</w:t>
            </w:r>
            <w:proofErr w:type="spellEnd"/>
            <w:r w:rsidRPr="00E52530">
              <w:rPr>
                <w:rFonts w:eastAsiaTheme="minorHAnsi"/>
                <w:sz w:val="20"/>
                <w:lang w:val="fr-CA"/>
              </w:rPr>
              <w:t>. La locataire a initialement conclu un bail dont la date d’entrée en vigueur était le 1</w:t>
            </w:r>
            <w:r w:rsidRPr="00E52530">
              <w:rPr>
                <w:rFonts w:eastAsiaTheme="minorHAnsi"/>
                <w:sz w:val="20"/>
                <w:vertAlign w:val="superscript"/>
                <w:lang w:val="fr-CA"/>
              </w:rPr>
              <w:t>er</w:t>
            </w:r>
            <w:r w:rsidRPr="00E52530">
              <w:rPr>
                <w:rFonts w:eastAsiaTheme="minorHAnsi"/>
                <w:sz w:val="20"/>
                <w:lang w:val="fr-CA"/>
              </w:rPr>
              <w:t xml:space="preserve"> avril 2000. Le bail en question ne comportait pas de clause de démolition. Ce bail a été modifié et renouvelé en 2007 pour une durée additionnelle de cinq ans, et prenait fin le 31 mars 2012. </w:t>
            </w:r>
            <w:proofErr w:type="spellStart"/>
            <w:r w:rsidRPr="00E52530">
              <w:rPr>
                <w:rFonts w:eastAsiaTheme="minorHAnsi"/>
                <w:sz w:val="20"/>
                <w:lang w:val="fr-CA"/>
              </w:rPr>
              <w:t>Amexon</w:t>
            </w:r>
            <w:proofErr w:type="spellEnd"/>
            <w:r w:rsidRPr="00E52530">
              <w:rPr>
                <w:rFonts w:eastAsiaTheme="minorHAnsi"/>
                <w:sz w:val="20"/>
                <w:lang w:val="fr-CA"/>
              </w:rPr>
              <w:t xml:space="preserve"> a acquis la propriété en 2008. Le bail a été modifié en octobre 2012 et sa durée a été prolongée jusqu’au 31 mars 2016. </w:t>
            </w:r>
            <w:proofErr w:type="spellStart"/>
            <w:r w:rsidRPr="00E52530">
              <w:rPr>
                <w:rFonts w:eastAsiaTheme="minorHAnsi"/>
                <w:sz w:val="20"/>
                <w:lang w:val="fr-CA"/>
              </w:rPr>
              <w:t>Amexon</w:t>
            </w:r>
            <w:proofErr w:type="spellEnd"/>
            <w:r w:rsidRPr="00E52530">
              <w:rPr>
                <w:rFonts w:eastAsiaTheme="minorHAnsi"/>
                <w:sz w:val="20"/>
                <w:lang w:val="fr-CA"/>
              </w:rPr>
              <w:t xml:space="preserve"> a voulu par la suite démolir et réaménager la propriété, et a réussi à négocier des ententes de résiliation avec tous ses locataires à l’exception de l’intimée. La demanderesse a offert de relocaliser le cabinet d’avocats dans des locaux semblables situés dans un immeuble adjacent dont elle était également propriétaire, et de lui verser une indemnité. Les négociations entre les parties n’ayant pas donné lieu à la conclusion d’une entente mutuellement satisfaisante, </w:t>
            </w:r>
            <w:proofErr w:type="spellStart"/>
            <w:r w:rsidRPr="00E52530">
              <w:rPr>
                <w:rFonts w:eastAsiaTheme="minorHAnsi"/>
                <w:sz w:val="20"/>
                <w:lang w:val="fr-CA"/>
              </w:rPr>
              <w:t>Amexon</w:t>
            </w:r>
            <w:proofErr w:type="spellEnd"/>
            <w:r w:rsidRPr="00E52530">
              <w:rPr>
                <w:rFonts w:eastAsiaTheme="minorHAnsi"/>
                <w:sz w:val="20"/>
                <w:lang w:val="fr-CA"/>
              </w:rPr>
              <w:t xml:space="preserve"> a, le 28 février 2014, signifié à la locataire un avis d’expulsion lui intimant de quitter les lieux au plus tard le 31 août 2014, après quoi elle interromprait tous les services à l’immeuble. La locataire a sollicité un jugement déclarant inopérant l’avis d’expulsion ainsi qu’une injonction interdisant à </w:t>
            </w:r>
            <w:proofErr w:type="spellStart"/>
            <w:r w:rsidRPr="00E52530">
              <w:rPr>
                <w:rFonts w:eastAsiaTheme="minorHAnsi"/>
                <w:sz w:val="20"/>
                <w:lang w:val="fr-CA"/>
              </w:rPr>
              <w:t>Amexon</w:t>
            </w:r>
            <w:proofErr w:type="spellEnd"/>
            <w:r w:rsidRPr="00E52530">
              <w:rPr>
                <w:rFonts w:eastAsiaTheme="minorHAnsi"/>
                <w:sz w:val="20"/>
                <w:lang w:val="fr-CA"/>
              </w:rPr>
              <w:t xml:space="preserve"> de retourner dans les locaux et de mettre fin aux services et services publics.</w:t>
            </w:r>
          </w:p>
          <w:p w:rsidR="00E52530" w:rsidRPr="00E52530" w:rsidRDefault="00E52530" w:rsidP="00E52530">
            <w:pPr>
              <w:jc w:val="both"/>
              <w:rPr>
                <w:rFonts w:eastAsiaTheme="minorHAnsi"/>
                <w:sz w:val="20"/>
                <w:lang w:val="fr-CA"/>
              </w:rPr>
            </w:pPr>
          </w:p>
        </w:tc>
      </w:tr>
      <w:tr w:rsidR="00E52530" w:rsidRPr="00E52530" w:rsidTr="00E52530">
        <w:tc>
          <w:tcPr>
            <w:tcW w:w="2427" w:type="pct"/>
            <w:gridSpan w:val="2"/>
          </w:tcPr>
          <w:p w:rsidR="00E52530" w:rsidRPr="00E52530" w:rsidRDefault="00E52530" w:rsidP="00E52530">
            <w:pPr>
              <w:jc w:val="both"/>
              <w:rPr>
                <w:rFonts w:eastAsiaTheme="minorHAnsi"/>
                <w:sz w:val="20"/>
                <w:lang w:val="fr-CA"/>
              </w:rPr>
            </w:pPr>
            <w:r w:rsidRPr="00E52530">
              <w:rPr>
                <w:rFonts w:eastAsiaTheme="minorHAnsi"/>
                <w:sz w:val="20"/>
                <w:lang w:val="fr-CA"/>
              </w:rPr>
              <w:t>27 juin 2014</w:t>
            </w:r>
          </w:p>
          <w:p w:rsidR="00E52530" w:rsidRPr="00E52530" w:rsidRDefault="00E52530" w:rsidP="00E52530">
            <w:pPr>
              <w:jc w:val="both"/>
              <w:rPr>
                <w:rFonts w:eastAsiaTheme="minorHAnsi"/>
                <w:sz w:val="20"/>
                <w:lang w:val="fr-CA"/>
              </w:rPr>
            </w:pPr>
            <w:r w:rsidRPr="00E52530">
              <w:rPr>
                <w:rFonts w:eastAsiaTheme="minorHAnsi"/>
                <w:sz w:val="20"/>
                <w:lang w:val="fr-CA"/>
              </w:rPr>
              <w:t xml:space="preserve">Cour supérieure de justice de l’Ontario </w:t>
            </w:r>
          </w:p>
          <w:p w:rsidR="00E52530" w:rsidRPr="00E52530" w:rsidRDefault="00E52530" w:rsidP="00E52530">
            <w:pPr>
              <w:jc w:val="both"/>
              <w:rPr>
                <w:rFonts w:eastAsiaTheme="minorHAnsi"/>
                <w:sz w:val="20"/>
                <w:lang w:val="fr-CA"/>
              </w:rPr>
            </w:pPr>
            <w:r w:rsidRPr="00E52530">
              <w:rPr>
                <w:rFonts w:eastAsiaTheme="minorHAnsi"/>
                <w:sz w:val="20"/>
                <w:lang w:val="fr-CA"/>
              </w:rPr>
              <w:t>(Juge Myers)</w:t>
            </w:r>
          </w:p>
          <w:p w:rsidR="00E52530" w:rsidRPr="00E52530" w:rsidRDefault="00E52530" w:rsidP="00E52530">
            <w:pPr>
              <w:jc w:val="both"/>
              <w:rPr>
                <w:rFonts w:eastAsiaTheme="minorHAnsi"/>
                <w:sz w:val="20"/>
                <w:lang w:val="fr-CA"/>
              </w:rPr>
            </w:pPr>
            <w:r w:rsidRPr="00E52530">
              <w:rPr>
                <w:rFonts w:eastAsiaTheme="minorHAnsi"/>
                <w:sz w:val="20"/>
                <w:lang w:val="fr-CA"/>
              </w:rPr>
              <w:t>Non publié</w:t>
            </w:r>
          </w:p>
          <w:p w:rsidR="00E52530" w:rsidRPr="00E52530" w:rsidRDefault="00E52530" w:rsidP="00E52530">
            <w:pPr>
              <w:jc w:val="both"/>
              <w:rPr>
                <w:rFonts w:eastAsiaTheme="minorHAnsi"/>
                <w:sz w:val="20"/>
                <w:lang w:val="fr-CA"/>
              </w:rPr>
            </w:pPr>
          </w:p>
        </w:tc>
        <w:tc>
          <w:tcPr>
            <w:tcW w:w="243" w:type="pct"/>
          </w:tcPr>
          <w:p w:rsidR="00E52530" w:rsidRPr="00E52530" w:rsidRDefault="00E52530" w:rsidP="00E52530">
            <w:pPr>
              <w:jc w:val="both"/>
              <w:rPr>
                <w:rFonts w:eastAsiaTheme="minorHAnsi"/>
                <w:sz w:val="20"/>
                <w:lang w:val="fr-CA"/>
              </w:rPr>
            </w:pPr>
          </w:p>
        </w:tc>
        <w:tc>
          <w:tcPr>
            <w:tcW w:w="2330" w:type="pct"/>
          </w:tcPr>
          <w:p w:rsidR="00E52530" w:rsidRPr="00E52530" w:rsidRDefault="00E52530" w:rsidP="00E52530">
            <w:pPr>
              <w:jc w:val="both"/>
              <w:rPr>
                <w:rFonts w:eastAsiaTheme="minorHAnsi"/>
                <w:sz w:val="20"/>
                <w:lang w:val="fr-CA"/>
              </w:rPr>
            </w:pPr>
            <w:r w:rsidRPr="00E52530">
              <w:rPr>
                <w:rFonts w:eastAsiaTheme="minorHAnsi"/>
                <w:sz w:val="20"/>
                <w:lang w:val="fr-CA"/>
              </w:rPr>
              <w:t>Jugement déclarant inopérant l’avis d’expulsion de l’intimée</w:t>
            </w:r>
          </w:p>
          <w:p w:rsidR="00E52530" w:rsidRPr="00E52530" w:rsidRDefault="00E52530" w:rsidP="00E52530">
            <w:pPr>
              <w:jc w:val="both"/>
              <w:rPr>
                <w:rFonts w:eastAsiaTheme="minorHAnsi"/>
                <w:sz w:val="20"/>
                <w:lang w:val="fr-CA"/>
              </w:rPr>
            </w:pPr>
          </w:p>
        </w:tc>
      </w:tr>
      <w:tr w:rsidR="00E52530" w:rsidRPr="00E52530" w:rsidTr="00E52530">
        <w:tc>
          <w:tcPr>
            <w:tcW w:w="2427" w:type="pct"/>
            <w:gridSpan w:val="2"/>
          </w:tcPr>
          <w:p w:rsidR="00E52530" w:rsidRPr="00E52530" w:rsidRDefault="00E52530" w:rsidP="00E52530">
            <w:pPr>
              <w:jc w:val="both"/>
              <w:rPr>
                <w:rFonts w:eastAsiaTheme="minorHAnsi"/>
                <w:sz w:val="20"/>
                <w:lang w:val="fr-CA"/>
              </w:rPr>
            </w:pPr>
            <w:r w:rsidRPr="00E52530">
              <w:rPr>
                <w:rFonts w:eastAsiaTheme="minorHAnsi"/>
                <w:sz w:val="20"/>
                <w:lang w:val="fr-CA"/>
              </w:rPr>
              <w:t>6 février 2015</w:t>
            </w:r>
          </w:p>
          <w:p w:rsidR="00E52530" w:rsidRPr="00E52530" w:rsidRDefault="00E52530" w:rsidP="00E52530">
            <w:pPr>
              <w:jc w:val="both"/>
              <w:rPr>
                <w:rFonts w:eastAsiaTheme="minorHAnsi"/>
                <w:sz w:val="20"/>
                <w:lang w:val="fr-CA"/>
              </w:rPr>
            </w:pPr>
            <w:r w:rsidRPr="00E52530">
              <w:rPr>
                <w:rFonts w:eastAsiaTheme="minorHAnsi"/>
                <w:sz w:val="20"/>
                <w:lang w:val="fr-CA"/>
              </w:rPr>
              <w:t>Cour d’appel de l’Ontario</w:t>
            </w:r>
          </w:p>
          <w:p w:rsidR="00E52530" w:rsidRPr="00E52530" w:rsidRDefault="00E52530" w:rsidP="00E52530">
            <w:pPr>
              <w:jc w:val="both"/>
              <w:rPr>
                <w:rFonts w:eastAsiaTheme="minorHAnsi"/>
                <w:sz w:val="20"/>
                <w:lang w:val="fr-CA"/>
              </w:rPr>
            </w:pPr>
            <w:r w:rsidRPr="00E52530">
              <w:rPr>
                <w:rFonts w:eastAsiaTheme="minorHAnsi"/>
                <w:sz w:val="20"/>
                <w:lang w:val="fr-CA"/>
              </w:rPr>
              <w:t xml:space="preserve">(Juge en chef adjoint </w:t>
            </w:r>
            <w:proofErr w:type="spellStart"/>
            <w:r w:rsidRPr="00E52530">
              <w:rPr>
                <w:rFonts w:eastAsiaTheme="minorHAnsi"/>
                <w:sz w:val="20"/>
                <w:lang w:val="fr-CA"/>
              </w:rPr>
              <w:t>Hoy</w:t>
            </w:r>
            <w:proofErr w:type="spellEnd"/>
            <w:r w:rsidRPr="00E52530">
              <w:rPr>
                <w:rFonts w:eastAsiaTheme="minorHAnsi"/>
                <w:sz w:val="20"/>
                <w:lang w:val="fr-CA"/>
              </w:rPr>
              <w:t xml:space="preserve">, juges Brown et van </w:t>
            </w:r>
            <w:proofErr w:type="spellStart"/>
            <w:r w:rsidRPr="00E52530">
              <w:rPr>
                <w:rFonts w:eastAsiaTheme="minorHAnsi"/>
                <w:sz w:val="20"/>
                <w:lang w:val="fr-CA"/>
              </w:rPr>
              <w:t>Rensburg</w:t>
            </w:r>
            <w:proofErr w:type="spellEnd"/>
            <w:r w:rsidRPr="00E52530">
              <w:rPr>
                <w:rFonts w:eastAsiaTheme="minorHAnsi"/>
                <w:sz w:val="20"/>
                <w:lang w:val="fr-CA"/>
              </w:rPr>
              <w:t>)</w:t>
            </w:r>
          </w:p>
          <w:p w:rsidR="00E52530" w:rsidRPr="00E52530" w:rsidRDefault="00E52530" w:rsidP="00E52530">
            <w:pPr>
              <w:jc w:val="both"/>
              <w:rPr>
                <w:rFonts w:eastAsiaTheme="minorHAnsi"/>
                <w:sz w:val="20"/>
                <w:lang w:val="fr-CA"/>
              </w:rPr>
            </w:pPr>
          </w:p>
        </w:tc>
        <w:tc>
          <w:tcPr>
            <w:tcW w:w="243" w:type="pct"/>
          </w:tcPr>
          <w:p w:rsidR="00E52530" w:rsidRPr="00E52530" w:rsidRDefault="00E52530" w:rsidP="00E52530">
            <w:pPr>
              <w:jc w:val="both"/>
              <w:rPr>
                <w:rFonts w:eastAsiaTheme="minorHAnsi"/>
                <w:sz w:val="20"/>
                <w:lang w:val="fr-CA"/>
              </w:rPr>
            </w:pPr>
          </w:p>
        </w:tc>
        <w:tc>
          <w:tcPr>
            <w:tcW w:w="2330" w:type="pct"/>
          </w:tcPr>
          <w:p w:rsidR="00E52530" w:rsidRPr="00E52530" w:rsidRDefault="00E52530" w:rsidP="00E52530">
            <w:pPr>
              <w:jc w:val="both"/>
              <w:rPr>
                <w:rFonts w:eastAsiaTheme="minorHAnsi"/>
                <w:sz w:val="20"/>
                <w:lang w:val="fr-CA"/>
              </w:rPr>
            </w:pPr>
            <w:r w:rsidRPr="00E52530">
              <w:rPr>
                <w:rFonts w:eastAsiaTheme="minorHAnsi"/>
                <w:sz w:val="20"/>
                <w:lang w:val="fr-CA"/>
              </w:rPr>
              <w:t xml:space="preserve">Rejet de l’appel de la demanderesse </w:t>
            </w:r>
          </w:p>
          <w:p w:rsidR="00E52530" w:rsidRPr="00E52530" w:rsidRDefault="00E52530" w:rsidP="00E52530">
            <w:pPr>
              <w:jc w:val="both"/>
              <w:rPr>
                <w:rFonts w:eastAsiaTheme="minorHAnsi"/>
                <w:sz w:val="20"/>
                <w:lang w:val="fr-CA"/>
              </w:rPr>
            </w:pPr>
          </w:p>
        </w:tc>
      </w:tr>
      <w:tr w:rsidR="00E52530" w:rsidRPr="00E52530" w:rsidTr="00E52530">
        <w:tc>
          <w:tcPr>
            <w:tcW w:w="2427" w:type="pct"/>
            <w:gridSpan w:val="2"/>
          </w:tcPr>
          <w:p w:rsidR="00E52530" w:rsidRPr="00E52530" w:rsidRDefault="00E52530" w:rsidP="00E52530">
            <w:pPr>
              <w:jc w:val="both"/>
              <w:rPr>
                <w:rFonts w:eastAsiaTheme="minorHAnsi"/>
                <w:sz w:val="20"/>
                <w:lang w:val="fr-CA"/>
              </w:rPr>
            </w:pPr>
            <w:r w:rsidRPr="00E52530">
              <w:rPr>
                <w:rFonts w:eastAsiaTheme="minorHAnsi"/>
                <w:sz w:val="20"/>
                <w:lang w:val="fr-CA"/>
              </w:rPr>
              <w:t>16 mars 2015</w:t>
            </w:r>
          </w:p>
          <w:p w:rsidR="00E52530" w:rsidRPr="00E52530" w:rsidRDefault="00E52530" w:rsidP="00E52530">
            <w:pPr>
              <w:jc w:val="both"/>
              <w:rPr>
                <w:rFonts w:eastAsiaTheme="minorHAnsi"/>
                <w:sz w:val="20"/>
                <w:lang w:val="fr-CA"/>
              </w:rPr>
            </w:pPr>
            <w:r w:rsidRPr="00E52530">
              <w:rPr>
                <w:rFonts w:eastAsiaTheme="minorHAnsi"/>
                <w:sz w:val="20"/>
                <w:lang w:val="fr-CA"/>
              </w:rPr>
              <w:t>Cour suprême du Canada</w:t>
            </w:r>
          </w:p>
        </w:tc>
        <w:tc>
          <w:tcPr>
            <w:tcW w:w="243" w:type="pct"/>
          </w:tcPr>
          <w:p w:rsidR="00E52530" w:rsidRPr="00E52530" w:rsidRDefault="00E52530" w:rsidP="00E52530">
            <w:pPr>
              <w:jc w:val="both"/>
              <w:rPr>
                <w:rFonts w:eastAsiaTheme="minorHAnsi"/>
                <w:sz w:val="20"/>
                <w:lang w:val="fr-CA"/>
              </w:rPr>
            </w:pPr>
          </w:p>
        </w:tc>
        <w:tc>
          <w:tcPr>
            <w:tcW w:w="2330" w:type="pct"/>
          </w:tcPr>
          <w:p w:rsidR="00E52530" w:rsidRPr="00E52530" w:rsidRDefault="00E52530" w:rsidP="00E52530">
            <w:pPr>
              <w:jc w:val="both"/>
              <w:rPr>
                <w:rFonts w:eastAsiaTheme="minorHAnsi"/>
                <w:sz w:val="20"/>
                <w:lang w:val="fr-CA"/>
              </w:rPr>
            </w:pPr>
            <w:r w:rsidRPr="00E52530">
              <w:rPr>
                <w:rFonts w:eastAsiaTheme="minorHAnsi"/>
                <w:sz w:val="20"/>
                <w:lang w:val="fr-CA"/>
              </w:rPr>
              <w:t>Dépôt de la demande d’autorisation d’appel</w:t>
            </w:r>
          </w:p>
          <w:p w:rsidR="00E52530" w:rsidRPr="00E52530" w:rsidRDefault="00E52530" w:rsidP="00E52530">
            <w:pPr>
              <w:jc w:val="both"/>
              <w:rPr>
                <w:rFonts w:eastAsiaTheme="minorHAnsi"/>
                <w:sz w:val="20"/>
                <w:lang w:val="fr-CA"/>
              </w:rPr>
            </w:pPr>
          </w:p>
        </w:tc>
      </w:tr>
    </w:tbl>
    <w:p w:rsidR="00E52530" w:rsidRDefault="00E52530" w:rsidP="00E52530">
      <w:pPr>
        <w:jc w:val="both"/>
        <w:rPr>
          <w:rFonts w:eastAsiaTheme="minorHAnsi"/>
          <w:sz w:val="20"/>
          <w:lang w:val="fr-CA"/>
        </w:rPr>
      </w:pPr>
    </w:p>
    <w:p w:rsidR="00E52530" w:rsidRPr="00E52530" w:rsidRDefault="00E52530" w:rsidP="00E52530">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530" w:rsidRPr="00E52530" w:rsidTr="00E52530">
        <w:tc>
          <w:tcPr>
            <w:tcW w:w="543" w:type="pct"/>
          </w:tcPr>
          <w:p w:rsidR="00E52530" w:rsidRPr="00E52530" w:rsidRDefault="00E52530" w:rsidP="00E52530">
            <w:pPr>
              <w:jc w:val="both"/>
              <w:rPr>
                <w:rFonts w:eastAsiaTheme="minorHAnsi"/>
                <w:sz w:val="20"/>
                <w:lang w:val="en-CA"/>
              </w:rPr>
            </w:pPr>
            <w:r w:rsidRPr="00E52530">
              <w:rPr>
                <w:rFonts w:eastAsiaTheme="minorHAnsi"/>
                <w:b/>
                <w:sz w:val="20"/>
                <w:lang w:val="en-CA"/>
              </w:rPr>
              <w:t>36288</w:t>
            </w:r>
          </w:p>
        </w:tc>
        <w:tc>
          <w:tcPr>
            <w:tcW w:w="4457" w:type="pct"/>
            <w:gridSpan w:val="3"/>
          </w:tcPr>
          <w:p w:rsidR="00E52530" w:rsidRPr="00E52530" w:rsidRDefault="00E52530" w:rsidP="00E52530">
            <w:pPr>
              <w:jc w:val="both"/>
              <w:rPr>
                <w:rFonts w:eastAsiaTheme="minorHAnsi"/>
                <w:b/>
                <w:sz w:val="20"/>
                <w:lang w:val="en-CA"/>
              </w:rPr>
            </w:pPr>
            <w:r w:rsidRPr="00E52530">
              <w:rPr>
                <w:rFonts w:eastAsiaTheme="minorHAnsi"/>
                <w:b/>
                <w:sz w:val="20"/>
                <w:lang w:val="en-CA"/>
              </w:rPr>
              <w:t>1298417 Ontario Ltd. v. Corporation of the Town of Lakeshore</w:t>
            </w:r>
          </w:p>
          <w:p w:rsidR="00E52530" w:rsidRPr="00E52530" w:rsidRDefault="00E52530" w:rsidP="00E52530">
            <w:pPr>
              <w:jc w:val="both"/>
              <w:rPr>
                <w:rFonts w:eastAsiaTheme="minorHAnsi"/>
                <w:sz w:val="20"/>
                <w:lang w:val="en-CA"/>
              </w:rPr>
            </w:pPr>
            <w:r w:rsidRPr="00E52530">
              <w:rPr>
                <w:rFonts w:eastAsiaTheme="minorHAnsi"/>
                <w:sz w:val="20"/>
                <w:lang w:val="en-CA"/>
              </w:rPr>
              <w:t>(Ont.) (Civil) (By Leave)</w:t>
            </w:r>
          </w:p>
        </w:tc>
      </w:tr>
      <w:tr w:rsidR="00E52530" w:rsidRPr="00E52530" w:rsidTr="00E52530">
        <w:tc>
          <w:tcPr>
            <w:tcW w:w="5000" w:type="pct"/>
            <w:gridSpan w:val="4"/>
          </w:tcPr>
          <w:p w:rsidR="00E52530" w:rsidRPr="00E52530" w:rsidRDefault="00E52530" w:rsidP="00E52530">
            <w:pPr>
              <w:jc w:val="both"/>
              <w:rPr>
                <w:rFonts w:eastAsiaTheme="minorHAnsi"/>
                <w:sz w:val="20"/>
                <w:lang w:val="en-CA"/>
              </w:rPr>
            </w:pPr>
            <w:r w:rsidRPr="00E52530">
              <w:rPr>
                <w:rFonts w:eastAsiaTheme="minorHAnsi"/>
                <w:sz w:val="20"/>
                <w:lang w:val="en-CA"/>
              </w:rPr>
              <w:t xml:space="preserve">Municipal law — What is the legal ability of municipalities to make binding commitments of municipal services to induce development — What is the correct interpretation of the words “sufficient capacity” in s. 86(1) of the </w:t>
            </w:r>
            <w:r w:rsidRPr="00E52530">
              <w:rPr>
                <w:rFonts w:eastAsiaTheme="minorHAnsi"/>
                <w:i/>
                <w:sz w:val="20"/>
                <w:lang w:val="en-CA"/>
              </w:rPr>
              <w:t>Municipal Act, 2001</w:t>
            </w:r>
            <w:r w:rsidRPr="00E52530">
              <w:rPr>
                <w:rFonts w:eastAsiaTheme="minorHAnsi"/>
                <w:sz w:val="20"/>
                <w:lang w:val="en-CA"/>
              </w:rPr>
              <w:t xml:space="preserve">, S.O. 2001, c. 25 — What contractual remedies, if any, are available in respect of such a commitment that happens to run afoul of a statutory provision such as s. 86(1) — </w:t>
            </w:r>
            <w:r w:rsidRPr="00E52530">
              <w:rPr>
                <w:rFonts w:eastAsiaTheme="minorHAnsi"/>
                <w:i/>
                <w:sz w:val="20"/>
                <w:lang w:val="en-CA"/>
              </w:rPr>
              <w:t>Municipal Act, 2001</w:t>
            </w:r>
            <w:r w:rsidRPr="00E52530">
              <w:rPr>
                <w:rFonts w:eastAsiaTheme="minorHAnsi"/>
                <w:sz w:val="20"/>
                <w:lang w:val="en-CA"/>
              </w:rPr>
              <w:t>, S.O. 2001, c. 25.</w:t>
            </w:r>
          </w:p>
        </w:tc>
      </w:tr>
      <w:tr w:rsidR="00E52530" w:rsidRPr="00E52530" w:rsidTr="00E52530">
        <w:tc>
          <w:tcPr>
            <w:tcW w:w="5000" w:type="pct"/>
            <w:gridSpan w:val="4"/>
          </w:tcPr>
          <w:p w:rsidR="00E52530" w:rsidRPr="00E52530" w:rsidRDefault="00E52530" w:rsidP="00E52530">
            <w:pPr>
              <w:jc w:val="both"/>
              <w:rPr>
                <w:rFonts w:eastAsiaTheme="minorHAnsi"/>
                <w:sz w:val="20"/>
                <w:lang w:val="en-CA"/>
              </w:rPr>
            </w:pPr>
          </w:p>
        </w:tc>
      </w:tr>
      <w:tr w:rsidR="00E52530" w:rsidRPr="00E52530" w:rsidTr="00E52530">
        <w:tc>
          <w:tcPr>
            <w:tcW w:w="5000" w:type="pct"/>
            <w:gridSpan w:val="4"/>
          </w:tcPr>
          <w:p w:rsidR="00E52530" w:rsidRPr="00E52530" w:rsidRDefault="00E52530" w:rsidP="00E52530">
            <w:pPr>
              <w:jc w:val="both"/>
              <w:rPr>
                <w:rFonts w:eastAsiaTheme="minorHAnsi"/>
                <w:sz w:val="20"/>
                <w:lang w:val="en-CA"/>
              </w:rPr>
            </w:pPr>
            <w:r w:rsidRPr="00E52530">
              <w:rPr>
                <w:rFonts w:eastAsiaTheme="minorHAnsi"/>
                <w:sz w:val="20"/>
                <w:lang w:val="en-CA"/>
              </w:rPr>
              <w:t>The Respondent, Town of Lakeshore (“Lakeshore”) and the Applicant, 1298417 Ontario Limited (“129”), a developer, entered into a Subdivision Agreement in which Lakeshore undertook to provide capacity in its sewage system to 129’s proposed development. When Lakeshore provided another developer access to the enhanced sewage capacity prior to the completion of 129’s development, 129 sued Lakeshore for breach of contract. 129 claimed damages stemming from the loss of commercial tenancies to the competing developer.</w:t>
            </w:r>
          </w:p>
          <w:p w:rsidR="00E52530" w:rsidRPr="00E52530" w:rsidRDefault="00E52530" w:rsidP="00E52530">
            <w:pPr>
              <w:jc w:val="both"/>
              <w:rPr>
                <w:rFonts w:eastAsiaTheme="minorHAnsi"/>
                <w:sz w:val="20"/>
                <w:lang w:val="en-CA"/>
              </w:rPr>
            </w:pPr>
          </w:p>
          <w:p w:rsidR="00E52530" w:rsidRPr="00E52530" w:rsidRDefault="00E52530" w:rsidP="00E52530">
            <w:pPr>
              <w:jc w:val="both"/>
              <w:rPr>
                <w:rFonts w:eastAsiaTheme="minorHAnsi"/>
                <w:sz w:val="20"/>
                <w:lang w:val="en-CA"/>
              </w:rPr>
            </w:pPr>
            <w:r w:rsidRPr="00E52530">
              <w:rPr>
                <w:rFonts w:eastAsiaTheme="minorHAnsi"/>
                <w:sz w:val="20"/>
                <w:lang w:val="en-CA"/>
              </w:rPr>
              <w:t>The trial judge found that by providing the other developer access to the sewer system, Lakeshore breached the Supplementary Agreement. He awarded 129 damages of $2,423,860, based on the profits that the other developer purportedly realized from certain commercial tenancies.  On appeal, Lakeshore argued that the trial judge erred in interpreting the Supplementary Agreement, specifically article 3.1 as prohibiting it from allocating sewage capacity to anyone else pending completion of 129’s subdivision.  Lakeshore submitted that properly interpreted, article 3.1 required it to provide 129 with sufficient capacity to complete its subdivision. The provision read as follows:</w:t>
            </w:r>
          </w:p>
          <w:p w:rsidR="00E52530" w:rsidRPr="00E52530" w:rsidRDefault="00E52530" w:rsidP="00E52530">
            <w:pPr>
              <w:jc w:val="both"/>
              <w:rPr>
                <w:rFonts w:eastAsiaTheme="minorHAnsi"/>
                <w:sz w:val="20"/>
                <w:lang w:val="en-CA"/>
              </w:rPr>
            </w:pPr>
          </w:p>
          <w:p w:rsidR="00E52530" w:rsidRPr="00E52530" w:rsidRDefault="00E52530" w:rsidP="00E52530">
            <w:pPr>
              <w:ind w:left="720"/>
              <w:jc w:val="both"/>
              <w:rPr>
                <w:rFonts w:eastAsiaTheme="minorHAnsi"/>
                <w:sz w:val="20"/>
                <w:lang w:val="en-CA"/>
              </w:rPr>
            </w:pPr>
            <w:r w:rsidRPr="00E52530">
              <w:rPr>
                <w:rFonts w:eastAsiaTheme="minorHAnsi"/>
                <w:sz w:val="20"/>
                <w:lang w:val="en-CA"/>
              </w:rPr>
              <w:lastRenderedPageBreak/>
              <w:t>The Municipality hereby grants and approves the allocation of additional capacity in the Existing System so as to allow for full development of the St. Clair Shores Subdivision, in compliance with the existing zoning provisions for the said Subdivision. For greater certainty, said additional capacity shall be deemed to have been expressly reserved for the benefit of the St. Clair Shores Subdivision, and the Municipality shall not, prior to completion of full development and build out of residential and commercial buildings in the St. Clair Shores Subdivision, grant and/or approve additional capacity in the Existing System for lands outside of the St. Clair Shores Subdivision.</w:t>
            </w:r>
          </w:p>
          <w:p w:rsidR="00E52530" w:rsidRPr="00E52530" w:rsidRDefault="00E52530" w:rsidP="00E52530">
            <w:pPr>
              <w:jc w:val="both"/>
              <w:rPr>
                <w:rFonts w:eastAsiaTheme="minorHAnsi"/>
                <w:sz w:val="20"/>
                <w:lang w:val="en-CA"/>
              </w:rPr>
            </w:pPr>
          </w:p>
          <w:p w:rsidR="00E52530" w:rsidRPr="00E52530" w:rsidRDefault="00E52530" w:rsidP="00E52530">
            <w:pPr>
              <w:jc w:val="both"/>
              <w:rPr>
                <w:rFonts w:eastAsiaTheme="minorHAnsi"/>
                <w:sz w:val="20"/>
                <w:lang w:val="en-CA"/>
              </w:rPr>
            </w:pPr>
            <w:r w:rsidRPr="00E52530">
              <w:rPr>
                <w:rFonts w:eastAsiaTheme="minorHAnsi"/>
                <w:sz w:val="20"/>
                <w:lang w:val="en-CA"/>
              </w:rPr>
              <w:t>The Court of Appeal allowed the appeal, set aside the judgment below and dismissed the action.</w:t>
            </w:r>
          </w:p>
          <w:p w:rsidR="00E52530" w:rsidRPr="00E52530" w:rsidRDefault="00E52530" w:rsidP="00E52530">
            <w:pPr>
              <w:jc w:val="both"/>
              <w:rPr>
                <w:rFonts w:eastAsiaTheme="minorHAnsi"/>
                <w:sz w:val="20"/>
                <w:lang w:val="en-CA"/>
              </w:rPr>
            </w:pPr>
          </w:p>
        </w:tc>
      </w:tr>
      <w:tr w:rsidR="00E52530" w:rsidRPr="00E52530" w:rsidTr="00E52530">
        <w:tc>
          <w:tcPr>
            <w:tcW w:w="2427" w:type="pct"/>
            <w:gridSpan w:val="2"/>
          </w:tcPr>
          <w:p w:rsidR="00E52530" w:rsidRPr="00E52530" w:rsidRDefault="00E52530" w:rsidP="00E52530">
            <w:pPr>
              <w:jc w:val="both"/>
              <w:rPr>
                <w:rFonts w:eastAsiaTheme="minorHAnsi"/>
                <w:sz w:val="20"/>
                <w:lang w:val="en-CA"/>
              </w:rPr>
            </w:pPr>
            <w:r w:rsidRPr="00E52530">
              <w:rPr>
                <w:rFonts w:eastAsiaTheme="minorHAnsi"/>
                <w:sz w:val="20"/>
                <w:lang w:val="en-CA"/>
              </w:rPr>
              <w:lastRenderedPageBreak/>
              <w:t>January 7, 2013</w:t>
            </w:r>
          </w:p>
          <w:p w:rsidR="00E52530" w:rsidRPr="00E52530" w:rsidRDefault="00E52530" w:rsidP="00E52530">
            <w:pPr>
              <w:jc w:val="both"/>
              <w:rPr>
                <w:rFonts w:eastAsiaTheme="minorHAnsi"/>
                <w:sz w:val="20"/>
                <w:lang w:val="en-CA"/>
              </w:rPr>
            </w:pPr>
            <w:r w:rsidRPr="00E52530">
              <w:rPr>
                <w:rFonts w:eastAsiaTheme="minorHAnsi"/>
                <w:sz w:val="20"/>
                <w:lang w:val="en-CA"/>
              </w:rPr>
              <w:t>Ontario Superior Court of Justice</w:t>
            </w:r>
          </w:p>
          <w:p w:rsidR="00E52530" w:rsidRPr="00E52530" w:rsidRDefault="00E52530" w:rsidP="00E52530">
            <w:pPr>
              <w:jc w:val="both"/>
              <w:rPr>
                <w:rFonts w:eastAsiaTheme="minorHAnsi"/>
                <w:sz w:val="20"/>
                <w:lang w:val="fr-CA"/>
              </w:rPr>
            </w:pPr>
            <w:r w:rsidRPr="00E52530">
              <w:rPr>
                <w:rFonts w:eastAsiaTheme="minorHAnsi"/>
                <w:sz w:val="20"/>
                <w:lang w:val="fr-CA"/>
              </w:rPr>
              <w:t>(Grace J.)</w:t>
            </w:r>
          </w:p>
          <w:p w:rsidR="00E52530" w:rsidRPr="00E52530" w:rsidRDefault="001155B4" w:rsidP="00E52530">
            <w:pPr>
              <w:jc w:val="both"/>
              <w:rPr>
                <w:rFonts w:eastAsiaTheme="minorHAnsi"/>
                <w:sz w:val="20"/>
                <w:lang w:val="fr-CA"/>
              </w:rPr>
            </w:pPr>
            <w:hyperlink r:id="rId33" w:history="1">
              <w:r w:rsidR="00E52530" w:rsidRPr="00E52530">
                <w:rPr>
                  <w:rFonts w:eastAsiaTheme="minorHAnsi"/>
                  <w:color w:val="0000FF"/>
                  <w:sz w:val="20"/>
                  <w:u w:val="single"/>
                  <w:lang w:val="fr-CA"/>
                </w:rPr>
                <w:t>2013 ONSC 99</w:t>
              </w:r>
            </w:hyperlink>
            <w:r w:rsidR="00E52530" w:rsidRPr="00E52530">
              <w:rPr>
                <w:rFonts w:eastAsiaTheme="minorHAnsi"/>
                <w:sz w:val="20"/>
                <w:lang w:val="fr-CA"/>
              </w:rPr>
              <w:t>; 07-CV-9508CM</w:t>
            </w:r>
          </w:p>
          <w:p w:rsidR="00E52530" w:rsidRPr="00E52530" w:rsidRDefault="00E52530" w:rsidP="00E52530">
            <w:pPr>
              <w:jc w:val="both"/>
              <w:rPr>
                <w:rFonts w:eastAsiaTheme="minorHAnsi"/>
                <w:sz w:val="20"/>
                <w:lang w:val="en-CA"/>
              </w:rPr>
            </w:pP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en-CA"/>
              </w:rPr>
            </w:pPr>
            <w:r w:rsidRPr="00E52530">
              <w:rPr>
                <w:rFonts w:eastAsiaTheme="minorHAnsi"/>
                <w:sz w:val="20"/>
                <w:lang w:val="en-CA"/>
              </w:rPr>
              <w:t>Applicant granted judgment for breach of contract and granted damages in the principal amount of $2,423,860</w:t>
            </w:r>
          </w:p>
        </w:tc>
      </w:tr>
      <w:tr w:rsidR="00E52530" w:rsidRPr="00E52530" w:rsidTr="00E52530">
        <w:tc>
          <w:tcPr>
            <w:tcW w:w="2427" w:type="pct"/>
            <w:gridSpan w:val="2"/>
          </w:tcPr>
          <w:p w:rsidR="00E52530" w:rsidRPr="00E52530" w:rsidRDefault="00E52530" w:rsidP="00E52530">
            <w:pPr>
              <w:jc w:val="both"/>
              <w:rPr>
                <w:rFonts w:eastAsiaTheme="minorHAnsi"/>
                <w:sz w:val="20"/>
                <w:lang w:val="en-CA"/>
              </w:rPr>
            </w:pPr>
            <w:r w:rsidRPr="00E52530">
              <w:rPr>
                <w:rFonts w:eastAsiaTheme="minorHAnsi"/>
                <w:sz w:val="20"/>
                <w:lang w:val="en-CA"/>
              </w:rPr>
              <w:t>November 17, 2014</w:t>
            </w:r>
          </w:p>
          <w:p w:rsidR="00E52530" w:rsidRPr="00E52530" w:rsidRDefault="00E52530" w:rsidP="00E52530">
            <w:pPr>
              <w:jc w:val="both"/>
              <w:rPr>
                <w:rFonts w:eastAsiaTheme="minorHAnsi"/>
                <w:sz w:val="20"/>
                <w:lang w:val="en-CA"/>
              </w:rPr>
            </w:pPr>
            <w:r w:rsidRPr="00E52530">
              <w:rPr>
                <w:rFonts w:eastAsiaTheme="minorHAnsi"/>
                <w:sz w:val="20"/>
                <w:lang w:val="en-CA"/>
              </w:rPr>
              <w:t>Court of Appeal for Ontario</w:t>
            </w:r>
          </w:p>
          <w:p w:rsidR="00E52530" w:rsidRPr="00E52530" w:rsidRDefault="00E52530" w:rsidP="00E52530">
            <w:pPr>
              <w:jc w:val="both"/>
              <w:rPr>
                <w:rFonts w:eastAsiaTheme="minorHAnsi"/>
                <w:sz w:val="20"/>
                <w:lang w:val="en-CA"/>
              </w:rPr>
            </w:pPr>
            <w:r w:rsidRPr="00E52530">
              <w:rPr>
                <w:rFonts w:eastAsiaTheme="minorHAnsi"/>
                <w:sz w:val="20"/>
                <w:lang w:val="en-CA"/>
              </w:rPr>
              <w:t xml:space="preserve">(Feldman, </w:t>
            </w:r>
            <w:proofErr w:type="spellStart"/>
            <w:r w:rsidRPr="00E52530">
              <w:rPr>
                <w:rFonts w:eastAsiaTheme="minorHAnsi"/>
                <w:sz w:val="20"/>
                <w:lang w:val="en-CA"/>
              </w:rPr>
              <w:t>MacFarland</w:t>
            </w:r>
            <w:proofErr w:type="spellEnd"/>
            <w:r w:rsidRPr="00E52530">
              <w:rPr>
                <w:rFonts w:eastAsiaTheme="minorHAnsi"/>
                <w:sz w:val="20"/>
                <w:lang w:val="en-CA"/>
              </w:rPr>
              <w:t xml:space="preserve"> and Epstein JJ.A.)</w:t>
            </w:r>
          </w:p>
          <w:p w:rsidR="00E52530" w:rsidRPr="00E52530" w:rsidRDefault="001155B4" w:rsidP="00E52530">
            <w:pPr>
              <w:jc w:val="both"/>
              <w:rPr>
                <w:rFonts w:eastAsiaTheme="minorHAnsi"/>
                <w:sz w:val="20"/>
                <w:lang w:val="en-CA"/>
              </w:rPr>
            </w:pPr>
            <w:hyperlink r:id="rId34" w:history="1">
              <w:r w:rsidR="00E52530" w:rsidRPr="00E52530">
                <w:rPr>
                  <w:rFonts w:eastAsiaTheme="minorHAnsi"/>
                  <w:color w:val="0000FF"/>
                  <w:sz w:val="20"/>
                  <w:u w:val="single"/>
                  <w:lang w:val="en-CA"/>
                </w:rPr>
                <w:t>2014 ONCA 802</w:t>
              </w:r>
            </w:hyperlink>
            <w:r w:rsidR="00E52530" w:rsidRPr="00E52530">
              <w:rPr>
                <w:rFonts w:eastAsiaTheme="minorHAnsi"/>
                <w:sz w:val="20"/>
                <w:lang w:val="en-CA"/>
              </w:rPr>
              <w:t>; C56585</w:t>
            </w:r>
          </w:p>
          <w:p w:rsidR="00E52530" w:rsidRPr="00E52530" w:rsidRDefault="00E52530" w:rsidP="00E52530">
            <w:pPr>
              <w:jc w:val="both"/>
              <w:rPr>
                <w:rFonts w:eastAsiaTheme="minorHAnsi"/>
                <w:sz w:val="20"/>
                <w:lang w:val="en-CA"/>
              </w:rPr>
            </w:pP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en-CA"/>
              </w:rPr>
            </w:pPr>
            <w:r w:rsidRPr="00E52530">
              <w:rPr>
                <w:rFonts w:eastAsiaTheme="minorHAnsi"/>
                <w:sz w:val="20"/>
                <w:lang w:val="en-CA"/>
              </w:rPr>
              <w:t>Appeal allowed; Action dismissed</w:t>
            </w:r>
          </w:p>
          <w:p w:rsidR="00E52530" w:rsidRPr="00E52530" w:rsidRDefault="00E52530" w:rsidP="00E52530">
            <w:pPr>
              <w:jc w:val="both"/>
              <w:rPr>
                <w:rFonts w:eastAsiaTheme="minorHAnsi"/>
                <w:sz w:val="20"/>
                <w:lang w:val="en-CA"/>
              </w:rPr>
            </w:pPr>
          </w:p>
        </w:tc>
      </w:tr>
      <w:tr w:rsidR="00E52530" w:rsidRPr="00E52530" w:rsidTr="00E52530">
        <w:tc>
          <w:tcPr>
            <w:tcW w:w="2427" w:type="pct"/>
            <w:gridSpan w:val="2"/>
          </w:tcPr>
          <w:p w:rsidR="00E52530" w:rsidRPr="00E52530" w:rsidRDefault="00E52530" w:rsidP="00E52530">
            <w:pPr>
              <w:jc w:val="both"/>
              <w:rPr>
                <w:rFonts w:eastAsiaTheme="minorHAnsi"/>
                <w:sz w:val="20"/>
                <w:lang w:val="en-CA"/>
              </w:rPr>
            </w:pPr>
            <w:r w:rsidRPr="00E52530">
              <w:rPr>
                <w:rFonts w:eastAsiaTheme="minorHAnsi"/>
                <w:sz w:val="20"/>
                <w:lang w:val="en-CA"/>
              </w:rPr>
              <w:t>February 2, 2015</w:t>
            </w:r>
          </w:p>
          <w:p w:rsidR="00E52530" w:rsidRPr="00E52530" w:rsidRDefault="00E52530" w:rsidP="00E52530">
            <w:pPr>
              <w:jc w:val="both"/>
              <w:rPr>
                <w:rFonts w:eastAsiaTheme="minorHAnsi"/>
                <w:sz w:val="20"/>
                <w:lang w:val="en-CA"/>
              </w:rPr>
            </w:pPr>
            <w:r w:rsidRPr="00E52530">
              <w:rPr>
                <w:rFonts w:eastAsiaTheme="minorHAnsi"/>
                <w:sz w:val="20"/>
                <w:lang w:val="en-CA"/>
              </w:rPr>
              <w:t>Supreme Court of Canada</w:t>
            </w:r>
          </w:p>
        </w:tc>
        <w:tc>
          <w:tcPr>
            <w:tcW w:w="243" w:type="pct"/>
          </w:tcPr>
          <w:p w:rsidR="00E52530" w:rsidRPr="00E52530" w:rsidRDefault="00E52530" w:rsidP="00E52530">
            <w:pPr>
              <w:jc w:val="both"/>
              <w:rPr>
                <w:rFonts w:eastAsiaTheme="minorHAnsi"/>
                <w:sz w:val="20"/>
                <w:lang w:val="en-CA"/>
              </w:rPr>
            </w:pPr>
          </w:p>
        </w:tc>
        <w:tc>
          <w:tcPr>
            <w:tcW w:w="2330" w:type="pct"/>
          </w:tcPr>
          <w:p w:rsidR="00E52530" w:rsidRPr="00E52530" w:rsidRDefault="00E52530" w:rsidP="00E52530">
            <w:pPr>
              <w:jc w:val="both"/>
              <w:rPr>
                <w:rFonts w:eastAsiaTheme="minorHAnsi"/>
                <w:sz w:val="20"/>
                <w:lang w:val="en-CA"/>
              </w:rPr>
            </w:pPr>
            <w:r w:rsidRPr="00E52530">
              <w:rPr>
                <w:rFonts w:eastAsiaTheme="minorHAnsi"/>
                <w:sz w:val="20"/>
                <w:lang w:val="en-CA"/>
              </w:rPr>
              <w:t>Motion for extension of time to serve and file application for leave to appeal and Application for leave to appeal filed</w:t>
            </w:r>
          </w:p>
        </w:tc>
      </w:tr>
    </w:tbl>
    <w:p w:rsidR="00E52530" w:rsidRDefault="00E52530" w:rsidP="00E52530">
      <w:pPr>
        <w:jc w:val="both"/>
        <w:rPr>
          <w:rFonts w:eastAsiaTheme="minorHAnsi"/>
          <w:sz w:val="20"/>
          <w:lang w:val="en-CA"/>
        </w:rPr>
      </w:pPr>
    </w:p>
    <w:p w:rsidR="0009748E" w:rsidRPr="00E52530" w:rsidRDefault="0009748E" w:rsidP="00E52530">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2530" w:rsidRPr="00E52530" w:rsidTr="00E52530">
        <w:tc>
          <w:tcPr>
            <w:tcW w:w="543" w:type="pct"/>
          </w:tcPr>
          <w:p w:rsidR="00E52530" w:rsidRPr="00E52530" w:rsidRDefault="00E52530" w:rsidP="00E52530">
            <w:pPr>
              <w:jc w:val="both"/>
              <w:rPr>
                <w:rFonts w:eastAsiaTheme="minorHAnsi"/>
                <w:sz w:val="20"/>
                <w:lang w:val="fr-CA"/>
              </w:rPr>
            </w:pPr>
            <w:r w:rsidRPr="00E52530">
              <w:rPr>
                <w:rFonts w:eastAsiaTheme="minorHAnsi"/>
                <w:b/>
                <w:sz w:val="20"/>
                <w:lang w:val="fr-CA"/>
              </w:rPr>
              <w:t>36288</w:t>
            </w:r>
          </w:p>
        </w:tc>
        <w:tc>
          <w:tcPr>
            <w:tcW w:w="4457" w:type="pct"/>
            <w:gridSpan w:val="3"/>
          </w:tcPr>
          <w:p w:rsidR="00E52530" w:rsidRPr="00E52530" w:rsidRDefault="00E52530" w:rsidP="00E52530">
            <w:pPr>
              <w:jc w:val="both"/>
              <w:rPr>
                <w:rFonts w:eastAsiaTheme="minorHAnsi"/>
                <w:b/>
                <w:sz w:val="20"/>
              </w:rPr>
            </w:pPr>
            <w:r w:rsidRPr="00E52530">
              <w:rPr>
                <w:rFonts w:eastAsiaTheme="minorHAnsi"/>
                <w:b/>
                <w:sz w:val="20"/>
              </w:rPr>
              <w:t>1298417 Ontario Ltd. c. Corporation of the Town of Lakeshore</w:t>
            </w:r>
          </w:p>
          <w:p w:rsidR="00E52530" w:rsidRPr="00E52530" w:rsidRDefault="00E52530" w:rsidP="00E52530">
            <w:pPr>
              <w:jc w:val="both"/>
              <w:rPr>
                <w:rFonts w:eastAsiaTheme="minorHAnsi"/>
                <w:sz w:val="20"/>
                <w:lang w:val="fr-CA"/>
              </w:rPr>
            </w:pPr>
            <w:r w:rsidRPr="00E52530">
              <w:rPr>
                <w:rFonts w:eastAsiaTheme="minorHAnsi"/>
                <w:sz w:val="20"/>
                <w:lang w:val="fr-CA"/>
              </w:rPr>
              <w:t>(Ont.) (Civile) (Sur autorisation)</w:t>
            </w:r>
          </w:p>
        </w:tc>
      </w:tr>
      <w:tr w:rsidR="00E52530" w:rsidRPr="00E52530" w:rsidTr="00E52530">
        <w:tc>
          <w:tcPr>
            <w:tcW w:w="5000" w:type="pct"/>
            <w:gridSpan w:val="4"/>
          </w:tcPr>
          <w:p w:rsidR="00E52530" w:rsidRPr="00E52530" w:rsidRDefault="00E52530" w:rsidP="00E52530">
            <w:pPr>
              <w:jc w:val="both"/>
              <w:rPr>
                <w:rFonts w:eastAsiaTheme="minorHAnsi"/>
                <w:sz w:val="20"/>
                <w:lang w:val="fr-CA"/>
              </w:rPr>
            </w:pPr>
            <w:r w:rsidRPr="00E52530">
              <w:rPr>
                <w:rFonts w:eastAsiaTheme="minorHAnsi"/>
                <w:sz w:val="20"/>
                <w:lang w:val="fr-CA"/>
              </w:rPr>
              <w:t xml:space="preserve">Droit municipal — Quelle est la capacité juridique des municipalités lorsqu’il s’agit de conclure des engagements contraignants en matière de services municipaux en vue d’encourager le développement? — Que faut-il entendre par « capacité suffisante » pour l’application du par. 86(1) de la </w:t>
            </w:r>
            <w:r w:rsidRPr="00E52530">
              <w:rPr>
                <w:rFonts w:eastAsiaTheme="minorHAnsi"/>
                <w:i/>
                <w:sz w:val="20"/>
                <w:lang w:val="fr-CA"/>
              </w:rPr>
              <w:t>Loi de 2001 sur les municipalités</w:t>
            </w:r>
            <w:r w:rsidRPr="00E52530">
              <w:rPr>
                <w:rFonts w:eastAsiaTheme="minorHAnsi"/>
                <w:sz w:val="20"/>
                <w:lang w:val="fr-CA"/>
              </w:rPr>
              <w:t xml:space="preserve">, L.O. 2001, c. 25? — Quelles mesures de réparation contractuelles, s’il en est, peuvent être accordées lorsqu’un tel engagement contrevient à une disposition législative comme le par. 86(1)? — </w:t>
            </w:r>
            <w:r w:rsidRPr="00E52530">
              <w:rPr>
                <w:rFonts w:eastAsiaTheme="minorHAnsi"/>
                <w:i/>
                <w:sz w:val="20"/>
                <w:lang w:val="fr-CA"/>
              </w:rPr>
              <w:t>Loi de 2001 sur les municipalités</w:t>
            </w:r>
            <w:r w:rsidRPr="00E52530">
              <w:rPr>
                <w:rFonts w:eastAsiaTheme="minorHAnsi"/>
                <w:sz w:val="20"/>
                <w:lang w:val="fr-CA"/>
              </w:rPr>
              <w:t>, L.O. 2001, c. 25.</w:t>
            </w:r>
          </w:p>
        </w:tc>
      </w:tr>
      <w:tr w:rsidR="00E52530" w:rsidRPr="00E52530" w:rsidTr="00E52530">
        <w:tc>
          <w:tcPr>
            <w:tcW w:w="5000" w:type="pct"/>
            <w:gridSpan w:val="4"/>
          </w:tcPr>
          <w:p w:rsidR="00E52530" w:rsidRPr="00E52530" w:rsidRDefault="00E52530" w:rsidP="00E52530">
            <w:pPr>
              <w:jc w:val="both"/>
              <w:rPr>
                <w:rFonts w:eastAsiaTheme="minorHAnsi"/>
                <w:sz w:val="20"/>
                <w:lang w:val="fr-CA"/>
              </w:rPr>
            </w:pPr>
          </w:p>
        </w:tc>
      </w:tr>
      <w:tr w:rsidR="00E52530" w:rsidRPr="00E52530" w:rsidTr="00E52530">
        <w:tc>
          <w:tcPr>
            <w:tcW w:w="5000" w:type="pct"/>
            <w:gridSpan w:val="4"/>
          </w:tcPr>
          <w:p w:rsidR="00E52530" w:rsidRPr="00E52530" w:rsidRDefault="00E52530" w:rsidP="00E52530">
            <w:pPr>
              <w:jc w:val="both"/>
              <w:rPr>
                <w:rFonts w:eastAsiaTheme="minorHAnsi"/>
                <w:sz w:val="20"/>
                <w:lang w:val="fr-CA"/>
              </w:rPr>
            </w:pPr>
            <w:r w:rsidRPr="00E52530">
              <w:rPr>
                <w:rFonts w:eastAsiaTheme="minorHAnsi"/>
                <w:sz w:val="20"/>
                <w:lang w:val="fr-CA"/>
              </w:rPr>
              <w:t xml:space="preserve">L’intimée, la ville de </w:t>
            </w:r>
            <w:proofErr w:type="spellStart"/>
            <w:r w:rsidRPr="00E52530">
              <w:rPr>
                <w:rFonts w:eastAsiaTheme="minorHAnsi"/>
                <w:sz w:val="20"/>
                <w:lang w:val="fr-CA"/>
              </w:rPr>
              <w:t>Lakeshore</w:t>
            </w:r>
            <w:proofErr w:type="spellEnd"/>
            <w:r w:rsidRPr="00E52530">
              <w:rPr>
                <w:rFonts w:eastAsiaTheme="minorHAnsi"/>
                <w:sz w:val="20"/>
                <w:lang w:val="fr-CA"/>
              </w:rPr>
              <w:t xml:space="preserve"> (« </w:t>
            </w:r>
            <w:proofErr w:type="spellStart"/>
            <w:r w:rsidRPr="00E52530">
              <w:rPr>
                <w:rFonts w:eastAsiaTheme="minorHAnsi"/>
                <w:sz w:val="20"/>
                <w:lang w:val="fr-CA"/>
              </w:rPr>
              <w:t>Lakeshore</w:t>
            </w:r>
            <w:proofErr w:type="spellEnd"/>
            <w:r w:rsidRPr="00E52530">
              <w:rPr>
                <w:rFonts w:eastAsiaTheme="minorHAnsi"/>
                <w:sz w:val="20"/>
                <w:lang w:val="fr-CA"/>
              </w:rPr>
              <w:t xml:space="preserve"> »), et la demanderesse, 1298417 Ontario Limited (« 129 »), une promotrice immobilière, ont conclu une convention de lotissement dans laquelle </w:t>
            </w:r>
            <w:proofErr w:type="spellStart"/>
            <w:r w:rsidRPr="00E52530">
              <w:rPr>
                <w:rFonts w:eastAsiaTheme="minorHAnsi"/>
                <w:sz w:val="20"/>
                <w:lang w:val="fr-CA"/>
              </w:rPr>
              <w:t>Lakeshore</w:t>
            </w:r>
            <w:proofErr w:type="spellEnd"/>
            <w:r w:rsidRPr="00E52530">
              <w:rPr>
                <w:rFonts w:eastAsiaTheme="minorHAnsi"/>
                <w:sz w:val="20"/>
                <w:lang w:val="fr-CA"/>
              </w:rPr>
              <w:t xml:space="preserve"> s’est engagée à augmenter la capacité de son réseau d’égouts dans le cadre du projet de proposé par 129. </w:t>
            </w:r>
            <w:proofErr w:type="spellStart"/>
            <w:r w:rsidRPr="00E52530">
              <w:rPr>
                <w:rFonts w:eastAsiaTheme="minorHAnsi"/>
                <w:sz w:val="20"/>
                <w:lang w:val="fr-CA"/>
              </w:rPr>
              <w:t>Lakeshore</w:t>
            </w:r>
            <w:proofErr w:type="spellEnd"/>
            <w:r w:rsidRPr="00E52530">
              <w:rPr>
                <w:rFonts w:eastAsiaTheme="minorHAnsi"/>
                <w:sz w:val="20"/>
                <w:lang w:val="fr-CA"/>
              </w:rPr>
              <w:t xml:space="preserve"> a donné accès au réseau d’égouts plus performant à un autre promoteur avant que soit réalisé le projet de 129. Cette dernière a alors intenté une action contre </w:t>
            </w:r>
            <w:proofErr w:type="spellStart"/>
            <w:r w:rsidRPr="00E52530">
              <w:rPr>
                <w:rFonts w:eastAsiaTheme="minorHAnsi"/>
                <w:sz w:val="20"/>
                <w:lang w:val="fr-CA"/>
              </w:rPr>
              <w:t>Lakeshore</w:t>
            </w:r>
            <w:proofErr w:type="spellEnd"/>
            <w:r w:rsidRPr="00E52530">
              <w:rPr>
                <w:rFonts w:eastAsiaTheme="minorHAnsi"/>
                <w:sz w:val="20"/>
                <w:lang w:val="fr-CA"/>
              </w:rPr>
              <w:t xml:space="preserve"> pour rupture de contrat et réclamé des dommages-intérêts pour perte de revenus de location commerciale au profit du promoteur concurrent.</w:t>
            </w:r>
          </w:p>
          <w:p w:rsidR="00E52530" w:rsidRPr="00E52530" w:rsidRDefault="00E52530" w:rsidP="00E52530">
            <w:pPr>
              <w:jc w:val="both"/>
              <w:rPr>
                <w:rFonts w:eastAsiaTheme="minorHAnsi"/>
                <w:sz w:val="20"/>
                <w:lang w:val="fr-CA"/>
              </w:rPr>
            </w:pPr>
          </w:p>
          <w:p w:rsidR="00E52530" w:rsidRPr="00E52530" w:rsidRDefault="00E52530" w:rsidP="00E52530">
            <w:pPr>
              <w:jc w:val="both"/>
              <w:rPr>
                <w:rFonts w:eastAsiaTheme="minorHAnsi"/>
                <w:sz w:val="20"/>
                <w:lang w:val="fr-CA"/>
              </w:rPr>
            </w:pPr>
            <w:r w:rsidRPr="00E52530">
              <w:rPr>
                <w:rFonts w:eastAsiaTheme="minorHAnsi"/>
                <w:sz w:val="20"/>
                <w:lang w:val="fr-CA"/>
              </w:rPr>
              <w:t xml:space="preserve">Le juge de première instance a conclu que </w:t>
            </w:r>
            <w:proofErr w:type="spellStart"/>
            <w:r w:rsidRPr="00E52530">
              <w:rPr>
                <w:rFonts w:eastAsiaTheme="minorHAnsi"/>
                <w:sz w:val="20"/>
                <w:lang w:val="fr-CA"/>
              </w:rPr>
              <w:t>Lakeshore</w:t>
            </w:r>
            <w:proofErr w:type="spellEnd"/>
            <w:r w:rsidRPr="00E52530">
              <w:rPr>
                <w:rFonts w:eastAsiaTheme="minorHAnsi"/>
                <w:sz w:val="20"/>
                <w:lang w:val="fr-CA"/>
              </w:rPr>
              <w:t xml:space="preserve"> avait contrevenu à l’accord supplémentaire en donnant accès au réseau d’égouts à l’autre promoteur. Il a accordé à 129 2 423 860 $ en dommages-intérêts, ce qui tenait compte des profits qu’aurait tirés l’autre promoteur de certaines locations commerciales. En appel, </w:t>
            </w:r>
            <w:proofErr w:type="spellStart"/>
            <w:r w:rsidRPr="00E52530">
              <w:rPr>
                <w:rFonts w:eastAsiaTheme="minorHAnsi"/>
                <w:sz w:val="20"/>
                <w:lang w:val="fr-CA"/>
              </w:rPr>
              <w:t>Lakeshore</w:t>
            </w:r>
            <w:proofErr w:type="spellEnd"/>
            <w:r w:rsidRPr="00E52530">
              <w:rPr>
                <w:rFonts w:eastAsiaTheme="minorHAnsi"/>
                <w:sz w:val="20"/>
                <w:lang w:val="fr-CA"/>
              </w:rPr>
              <w:t xml:space="preserve"> a soutenu que le juge de première instance avait commis une erreur en considérant que l’accord supplémentaire, et plus </w:t>
            </w:r>
            <w:r w:rsidRPr="00E52530">
              <w:rPr>
                <w:rFonts w:eastAsiaTheme="minorHAnsi"/>
                <w:sz w:val="20"/>
                <w:lang w:val="fr-CA"/>
              </w:rPr>
              <w:lastRenderedPageBreak/>
              <w:t xml:space="preserve">particulièrement l’art. 3.1, lui interdisait d’augmenter la capacité du réseau d’égouts en faveur de qui que soit d’autre jusqu’à ce que soit mené à terme le projet de lotissement de 129. Selon </w:t>
            </w:r>
            <w:proofErr w:type="spellStart"/>
            <w:r w:rsidRPr="00E52530">
              <w:rPr>
                <w:rFonts w:eastAsiaTheme="minorHAnsi"/>
                <w:sz w:val="20"/>
                <w:lang w:val="fr-CA"/>
              </w:rPr>
              <w:t>Lakeshore</w:t>
            </w:r>
            <w:proofErr w:type="spellEnd"/>
            <w:r w:rsidRPr="00E52530">
              <w:rPr>
                <w:rFonts w:eastAsiaTheme="minorHAnsi"/>
                <w:sz w:val="20"/>
                <w:lang w:val="fr-CA"/>
              </w:rPr>
              <w:t>, interprété correctement, l’art. 3.1 exigeait qu’elle fournisse à 129 un réseau d’égouts dont la capacité était suffisante pour lui permettre de terminer son lotissement. La disposition est rédigée en ces termes :</w:t>
            </w:r>
          </w:p>
          <w:p w:rsidR="00E52530" w:rsidRPr="00E52530" w:rsidRDefault="00E52530" w:rsidP="00E52530">
            <w:pPr>
              <w:jc w:val="both"/>
              <w:rPr>
                <w:rFonts w:eastAsiaTheme="minorHAnsi"/>
                <w:sz w:val="20"/>
                <w:lang w:val="fr-CA"/>
              </w:rPr>
            </w:pPr>
          </w:p>
          <w:p w:rsidR="00E52530" w:rsidRPr="00E52530" w:rsidRDefault="00E52530" w:rsidP="00E52530">
            <w:pPr>
              <w:ind w:left="720"/>
              <w:jc w:val="both"/>
              <w:rPr>
                <w:rFonts w:eastAsiaTheme="minorHAnsi"/>
                <w:sz w:val="20"/>
                <w:lang w:val="fr-CA"/>
              </w:rPr>
            </w:pPr>
            <w:r w:rsidRPr="00E52530">
              <w:rPr>
                <w:rFonts w:eastAsiaTheme="minorHAnsi"/>
                <w:sz w:val="20"/>
                <w:lang w:val="fr-CA"/>
              </w:rPr>
              <w:t>[</w:t>
            </w:r>
            <w:r w:rsidRPr="00E52530">
              <w:rPr>
                <w:rFonts w:eastAsiaTheme="minorHAnsi"/>
                <w:smallCaps/>
                <w:sz w:val="20"/>
                <w:lang w:val="fr-CA"/>
              </w:rPr>
              <w:t>traduction</w:t>
            </w:r>
            <w:r w:rsidRPr="00E52530">
              <w:rPr>
                <w:rFonts w:eastAsiaTheme="minorHAnsi"/>
                <w:sz w:val="20"/>
                <w:lang w:val="fr-CA"/>
              </w:rPr>
              <w:t xml:space="preserve">] La municipalité accorde et approuve une augmentation de la capacité du réseau existant afin de permettre la réalisation complète des travaux de lotissement de St. Clair </w:t>
            </w:r>
            <w:proofErr w:type="spellStart"/>
            <w:r w:rsidRPr="00E52530">
              <w:rPr>
                <w:rFonts w:eastAsiaTheme="minorHAnsi"/>
                <w:sz w:val="20"/>
                <w:lang w:val="fr-CA"/>
              </w:rPr>
              <w:t>Shores</w:t>
            </w:r>
            <w:proofErr w:type="spellEnd"/>
            <w:r w:rsidRPr="00E52530">
              <w:rPr>
                <w:rFonts w:eastAsiaTheme="minorHAnsi"/>
                <w:sz w:val="20"/>
                <w:lang w:val="fr-CA"/>
              </w:rPr>
              <w:t xml:space="preserve">, conformément aux dispositions existantes en matière de zonage applicables au lotissement en question. Il est entendu que cette augmentation est réputée avoir été expressément réservée au profit du lotissement de St. Clair </w:t>
            </w:r>
            <w:proofErr w:type="spellStart"/>
            <w:r w:rsidRPr="00E52530">
              <w:rPr>
                <w:rFonts w:eastAsiaTheme="minorHAnsi"/>
                <w:sz w:val="20"/>
                <w:lang w:val="fr-CA"/>
              </w:rPr>
              <w:t>Shores</w:t>
            </w:r>
            <w:proofErr w:type="spellEnd"/>
            <w:r w:rsidRPr="00E52530">
              <w:rPr>
                <w:rFonts w:eastAsiaTheme="minorHAnsi"/>
                <w:sz w:val="20"/>
                <w:lang w:val="fr-CA"/>
              </w:rPr>
              <w:t xml:space="preserve"> et que la municipalité ne doit pas, avant que soient terminés l’ensemble des travaux d’aménagement et de construction des immeubles résidentiels et commerciaux du lotissement de St. Clair, accorder et/ou approuver une augmentation de la capacité du réseau existant à l’égard de terrains situés à l’extérieur du lotissement de St. Clair </w:t>
            </w:r>
            <w:proofErr w:type="spellStart"/>
            <w:r w:rsidRPr="00E52530">
              <w:rPr>
                <w:rFonts w:eastAsiaTheme="minorHAnsi"/>
                <w:sz w:val="20"/>
                <w:lang w:val="fr-CA"/>
              </w:rPr>
              <w:t>Shores</w:t>
            </w:r>
            <w:proofErr w:type="spellEnd"/>
            <w:r w:rsidRPr="00E52530">
              <w:rPr>
                <w:rFonts w:eastAsiaTheme="minorHAnsi"/>
                <w:sz w:val="20"/>
                <w:lang w:val="fr-CA"/>
              </w:rPr>
              <w:t>.</w:t>
            </w:r>
          </w:p>
          <w:p w:rsidR="00E52530" w:rsidRPr="00E52530" w:rsidRDefault="00E52530" w:rsidP="00E52530">
            <w:pPr>
              <w:jc w:val="both"/>
              <w:rPr>
                <w:rFonts w:eastAsiaTheme="minorHAnsi"/>
                <w:sz w:val="20"/>
                <w:lang w:val="fr-CA"/>
              </w:rPr>
            </w:pPr>
          </w:p>
          <w:p w:rsidR="00E52530" w:rsidRPr="00E52530" w:rsidRDefault="00E52530" w:rsidP="00E52530">
            <w:pPr>
              <w:jc w:val="both"/>
              <w:rPr>
                <w:rFonts w:eastAsiaTheme="minorHAnsi"/>
                <w:sz w:val="20"/>
                <w:lang w:val="fr-CA"/>
              </w:rPr>
            </w:pPr>
            <w:r w:rsidRPr="00E52530">
              <w:rPr>
                <w:rFonts w:eastAsiaTheme="minorHAnsi"/>
                <w:sz w:val="20"/>
                <w:lang w:val="fr-CA"/>
              </w:rPr>
              <w:t>La Cour d’appel a accueilli l’appel, annulé le jugement de première instance et rejeté l’action.</w:t>
            </w:r>
          </w:p>
          <w:p w:rsidR="00E52530" w:rsidRPr="00E52530" w:rsidRDefault="00E52530" w:rsidP="00E52530">
            <w:pPr>
              <w:jc w:val="both"/>
              <w:rPr>
                <w:rFonts w:eastAsiaTheme="minorHAnsi"/>
                <w:sz w:val="20"/>
                <w:lang w:val="fr-CA"/>
              </w:rPr>
            </w:pPr>
          </w:p>
        </w:tc>
      </w:tr>
      <w:tr w:rsidR="00E52530" w:rsidRPr="00E52530" w:rsidTr="00E52530">
        <w:tc>
          <w:tcPr>
            <w:tcW w:w="2427" w:type="pct"/>
            <w:gridSpan w:val="2"/>
          </w:tcPr>
          <w:p w:rsidR="00E52530" w:rsidRPr="00E52530" w:rsidRDefault="00E52530" w:rsidP="00E52530">
            <w:pPr>
              <w:jc w:val="both"/>
              <w:rPr>
                <w:rFonts w:eastAsiaTheme="minorHAnsi"/>
                <w:sz w:val="20"/>
                <w:lang w:val="fr-CA"/>
              </w:rPr>
            </w:pPr>
            <w:r w:rsidRPr="00E52530">
              <w:rPr>
                <w:rFonts w:eastAsiaTheme="minorHAnsi"/>
                <w:sz w:val="20"/>
                <w:lang w:val="fr-CA"/>
              </w:rPr>
              <w:lastRenderedPageBreak/>
              <w:t>7 janvier 2013</w:t>
            </w:r>
          </w:p>
          <w:p w:rsidR="00E52530" w:rsidRPr="00E52530" w:rsidRDefault="00E52530" w:rsidP="00E52530">
            <w:pPr>
              <w:jc w:val="both"/>
              <w:rPr>
                <w:rFonts w:eastAsiaTheme="minorHAnsi"/>
                <w:sz w:val="20"/>
                <w:lang w:val="fr-CA"/>
              </w:rPr>
            </w:pPr>
            <w:r w:rsidRPr="00E52530">
              <w:rPr>
                <w:rFonts w:eastAsiaTheme="minorHAnsi"/>
                <w:sz w:val="20"/>
                <w:lang w:val="fr-CA"/>
              </w:rPr>
              <w:t>Cour supérieure de justice de l’Ontario</w:t>
            </w:r>
          </w:p>
          <w:p w:rsidR="00E52530" w:rsidRPr="00E52530" w:rsidRDefault="00E52530" w:rsidP="00E52530">
            <w:pPr>
              <w:jc w:val="both"/>
              <w:rPr>
                <w:rFonts w:eastAsiaTheme="minorHAnsi"/>
                <w:sz w:val="20"/>
                <w:lang w:val="fr-CA"/>
              </w:rPr>
            </w:pPr>
            <w:r w:rsidRPr="00E52530">
              <w:rPr>
                <w:rFonts w:eastAsiaTheme="minorHAnsi"/>
                <w:sz w:val="20"/>
                <w:lang w:val="fr-CA"/>
              </w:rPr>
              <w:t>(Juge Grace)</w:t>
            </w:r>
          </w:p>
          <w:p w:rsidR="00E52530" w:rsidRPr="00E52530" w:rsidRDefault="001155B4" w:rsidP="00E52530">
            <w:pPr>
              <w:jc w:val="both"/>
              <w:rPr>
                <w:rFonts w:eastAsiaTheme="minorHAnsi"/>
                <w:sz w:val="20"/>
                <w:lang w:val="fr-CA"/>
              </w:rPr>
            </w:pPr>
            <w:hyperlink r:id="rId35" w:history="1">
              <w:r w:rsidR="00E52530" w:rsidRPr="00E52530">
                <w:rPr>
                  <w:rFonts w:eastAsiaTheme="minorHAnsi"/>
                  <w:color w:val="0000FF"/>
                  <w:sz w:val="20"/>
                  <w:u w:val="single"/>
                  <w:lang w:val="fr-CA"/>
                </w:rPr>
                <w:t>2013 ONSC 99</w:t>
              </w:r>
            </w:hyperlink>
            <w:r w:rsidR="00E52530" w:rsidRPr="00E52530">
              <w:rPr>
                <w:rFonts w:eastAsiaTheme="minorHAnsi"/>
                <w:sz w:val="20"/>
                <w:lang w:val="fr-CA"/>
              </w:rPr>
              <w:t>; 07-CV-9508CM</w:t>
            </w:r>
          </w:p>
          <w:p w:rsidR="00E52530" w:rsidRPr="00E52530" w:rsidRDefault="00E52530" w:rsidP="00E52530">
            <w:pPr>
              <w:jc w:val="both"/>
              <w:rPr>
                <w:rFonts w:eastAsiaTheme="minorHAnsi"/>
                <w:sz w:val="20"/>
                <w:lang w:val="fr-CA"/>
              </w:rPr>
            </w:pPr>
          </w:p>
        </w:tc>
        <w:tc>
          <w:tcPr>
            <w:tcW w:w="243" w:type="pct"/>
          </w:tcPr>
          <w:p w:rsidR="00E52530" w:rsidRPr="00E52530" w:rsidRDefault="00E52530" w:rsidP="00E52530">
            <w:pPr>
              <w:jc w:val="both"/>
              <w:rPr>
                <w:rFonts w:eastAsiaTheme="minorHAnsi"/>
                <w:sz w:val="20"/>
                <w:lang w:val="fr-CA"/>
              </w:rPr>
            </w:pPr>
          </w:p>
        </w:tc>
        <w:tc>
          <w:tcPr>
            <w:tcW w:w="2330" w:type="pct"/>
          </w:tcPr>
          <w:p w:rsidR="00E52530" w:rsidRPr="00E52530" w:rsidRDefault="00E52530" w:rsidP="00E52530">
            <w:pPr>
              <w:jc w:val="both"/>
              <w:rPr>
                <w:rFonts w:eastAsiaTheme="minorHAnsi"/>
                <w:sz w:val="20"/>
                <w:lang w:val="fr-CA"/>
              </w:rPr>
            </w:pPr>
            <w:r w:rsidRPr="00E52530">
              <w:rPr>
                <w:rFonts w:eastAsiaTheme="minorHAnsi"/>
                <w:sz w:val="20"/>
                <w:lang w:val="fr-CA"/>
              </w:rPr>
              <w:t>Action pour rupture de contrat accueillie, dommages-intérêts dont le montant en principal s’élève à 2 423 860 $ accordés à la demanderesse</w:t>
            </w:r>
          </w:p>
        </w:tc>
      </w:tr>
      <w:tr w:rsidR="00E52530" w:rsidRPr="00E52530" w:rsidTr="00E52530">
        <w:tc>
          <w:tcPr>
            <w:tcW w:w="2427" w:type="pct"/>
            <w:gridSpan w:val="2"/>
          </w:tcPr>
          <w:p w:rsidR="00E52530" w:rsidRPr="00E52530" w:rsidRDefault="00E52530" w:rsidP="00E52530">
            <w:pPr>
              <w:jc w:val="both"/>
              <w:rPr>
                <w:rFonts w:eastAsiaTheme="minorHAnsi"/>
                <w:sz w:val="20"/>
                <w:lang w:val="fr-CA"/>
              </w:rPr>
            </w:pPr>
            <w:r w:rsidRPr="00E52530">
              <w:rPr>
                <w:rFonts w:eastAsiaTheme="minorHAnsi"/>
                <w:sz w:val="20"/>
                <w:lang w:val="fr-CA"/>
              </w:rPr>
              <w:t>17 novembre 2014</w:t>
            </w:r>
          </w:p>
          <w:p w:rsidR="00E52530" w:rsidRPr="00E52530" w:rsidRDefault="00E52530" w:rsidP="00E52530">
            <w:pPr>
              <w:jc w:val="both"/>
              <w:rPr>
                <w:rFonts w:eastAsiaTheme="minorHAnsi"/>
                <w:sz w:val="20"/>
                <w:lang w:val="fr-CA"/>
              </w:rPr>
            </w:pPr>
            <w:r w:rsidRPr="00E52530">
              <w:rPr>
                <w:rFonts w:eastAsiaTheme="minorHAnsi"/>
                <w:sz w:val="20"/>
                <w:lang w:val="fr-CA"/>
              </w:rPr>
              <w:t>Cour d’appel de l’Ontario</w:t>
            </w:r>
          </w:p>
          <w:p w:rsidR="00E52530" w:rsidRPr="00E52530" w:rsidRDefault="00E52530" w:rsidP="00E52530">
            <w:pPr>
              <w:jc w:val="both"/>
              <w:rPr>
                <w:rFonts w:eastAsiaTheme="minorHAnsi"/>
                <w:sz w:val="20"/>
                <w:lang w:val="fr-CA"/>
              </w:rPr>
            </w:pPr>
            <w:r w:rsidRPr="00E52530">
              <w:rPr>
                <w:rFonts w:eastAsiaTheme="minorHAnsi"/>
                <w:sz w:val="20"/>
                <w:lang w:val="fr-CA"/>
              </w:rPr>
              <w:t xml:space="preserve">(Juges </w:t>
            </w:r>
            <w:proofErr w:type="spellStart"/>
            <w:r w:rsidRPr="00E52530">
              <w:rPr>
                <w:rFonts w:eastAsiaTheme="minorHAnsi"/>
                <w:sz w:val="20"/>
                <w:lang w:val="fr-CA"/>
              </w:rPr>
              <w:t>Feldman</w:t>
            </w:r>
            <w:proofErr w:type="spellEnd"/>
            <w:r w:rsidRPr="00E52530">
              <w:rPr>
                <w:rFonts w:eastAsiaTheme="minorHAnsi"/>
                <w:sz w:val="20"/>
                <w:lang w:val="fr-CA"/>
              </w:rPr>
              <w:t xml:space="preserve">, </w:t>
            </w:r>
            <w:proofErr w:type="spellStart"/>
            <w:r w:rsidRPr="00E52530">
              <w:rPr>
                <w:rFonts w:eastAsiaTheme="minorHAnsi"/>
                <w:sz w:val="20"/>
                <w:lang w:val="fr-CA"/>
              </w:rPr>
              <w:t>MacFarland</w:t>
            </w:r>
            <w:proofErr w:type="spellEnd"/>
            <w:r w:rsidRPr="00E52530">
              <w:rPr>
                <w:rFonts w:eastAsiaTheme="minorHAnsi"/>
                <w:sz w:val="20"/>
                <w:lang w:val="fr-CA"/>
              </w:rPr>
              <w:t xml:space="preserve"> et Epstein)</w:t>
            </w:r>
          </w:p>
          <w:p w:rsidR="00E52530" w:rsidRPr="00E52530" w:rsidRDefault="001155B4" w:rsidP="00E52530">
            <w:pPr>
              <w:jc w:val="both"/>
              <w:rPr>
                <w:rFonts w:eastAsiaTheme="minorHAnsi"/>
                <w:sz w:val="20"/>
                <w:lang w:val="fr-CA"/>
              </w:rPr>
            </w:pPr>
            <w:hyperlink r:id="rId36" w:history="1">
              <w:r w:rsidR="00E52530" w:rsidRPr="00E52530">
                <w:rPr>
                  <w:rFonts w:eastAsiaTheme="minorHAnsi"/>
                  <w:color w:val="0000FF"/>
                  <w:sz w:val="20"/>
                  <w:u w:val="single"/>
                  <w:lang w:val="fr-CA"/>
                </w:rPr>
                <w:t>2014 ONCA 802</w:t>
              </w:r>
            </w:hyperlink>
            <w:r w:rsidR="00E52530" w:rsidRPr="00E52530">
              <w:rPr>
                <w:rFonts w:eastAsiaTheme="minorHAnsi"/>
                <w:sz w:val="20"/>
                <w:lang w:val="fr-CA"/>
              </w:rPr>
              <w:t>; C56585</w:t>
            </w:r>
          </w:p>
          <w:p w:rsidR="00E52530" w:rsidRPr="00E52530" w:rsidRDefault="00E52530" w:rsidP="00E52530">
            <w:pPr>
              <w:jc w:val="both"/>
              <w:rPr>
                <w:rFonts w:eastAsiaTheme="minorHAnsi"/>
                <w:sz w:val="20"/>
                <w:lang w:val="fr-CA"/>
              </w:rPr>
            </w:pPr>
          </w:p>
        </w:tc>
        <w:tc>
          <w:tcPr>
            <w:tcW w:w="243" w:type="pct"/>
          </w:tcPr>
          <w:p w:rsidR="00E52530" w:rsidRPr="00E52530" w:rsidRDefault="00E52530" w:rsidP="00E52530">
            <w:pPr>
              <w:jc w:val="both"/>
              <w:rPr>
                <w:rFonts w:eastAsiaTheme="minorHAnsi"/>
                <w:sz w:val="20"/>
                <w:lang w:val="fr-CA"/>
              </w:rPr>
            </w:pPr>
          </w:p>
        </w:tc>
        <w:tc>
          <w:tcPr>
            <w:tcW w:w="2330" w:type="pct"/>
          </w:tcPr>
          <w:p w:rsidR="00E52530" w:rsidRPr="00E52530" w:rsidRDefault="00E52530" w:rsidP="00E52530">
            <w:pPr>
              <w:jc w:val="both"/>
              <w:rPr>
                <w:rFonts w:eastAsiaTheme="minorHAnsi"/>
                <w:sz w:val="20"/>
                <w:lang w:val="fr-CA"/>
              </w:rPr>
            </w:pPr>
            <w:r w:rsidRPr="00E52530">
              <w:rPr>
                <w:rFonts w:eastAsiaTheme="minorHAnsi"/>
                <w:sz w:val="20"/>
                <w:lang w:val="fr-CA"/>
              </w:rPr>
              <w:t>Appel accueilli; action rejetée</w:t>
            </w:r>
          </w:p>
          <w:p w:rsidR="00E52530" w:rsidRPr="00E52530" w:rsidRDefault="00E52530" w:rsidP="00E52530">
            <w:pPr>
              <w:jc w:val="both"/>
              <w:rPr>
                <w:rFonts w:eastAsiaTheme="minorHAnsi"/>
                <w:sz w:val="20"/>
                <w:lang w:val="fr-CA"/>
              </w:rPr>
            </w:pPr>
          </w:p>
        </w:tc>
      </w:tr>
      <w:tr w:rsidR="00E52530" w:rsidRPr="00E52530" w:rsidTr="00E52530">
        <w:tc>
          <w:tcPr>
            <w:tcW w:w="2427" w:type="pct"/>
            <w:gridSpan w:val="2"/>
          </w:tcPr>
          <w:p w:rsidR="00E52530" w:rsidRPr="00E52530" w:rsidRDefault="00E52530" w:rsidP="00E52530">
            <w:pPr>
              <w:jc w:val="both"/>
              <w:rPr>
                <w:rFonts w:eastAsiaTheme="minorHAnsi"/>
                <w:sz w:val="20"/>
                <w:lang w:val="fr-CA"/>
              </w:rPr>
            </w:pPr>
            <w:r w:rsidRPr="00E52530">
              <w:rPr>
                <w:rFonts w:eastAsiaTheme="minorHAnsi"/>
                <w:sz w:val="20"/>
                <w:lang w:val="fr-CA"/>
              </w:rPr>
              <w:t>2 février 2015</w:t>
            </w:r>
          </w:p>
          <w:p w:rsidR="00E52530" w:rsidRPr="00E52530" w:rsidRDefault="00E52530" w:rsidP="00E52530">
            <w:pPr>
              <w:jc w:val="both"/>
              <w:rPr>
                <w:rFonts w:eastAsiaTheme="minorHAnsi"/>
                <w:sz w:val="20"/>
                <w:lang w:val="fr-CA"/>
              </w:rPr>
            </w:pPr>
            <w:r w:rsidRPr="00E52530">
              <w:rPr>
                <w:rFonts w:eastAsiaTheme="minorHAnsi"/>
                <w:sz w:val="20"/>
                <w:lang w:val="fr-CA"/>
              </w:rPr>
              <w:t>Cour suprême du Canada</w:t>
            </w:r>
          </w:p>
        </w:tc>
        <w:tc>
          <w:tcPr>
            <w:tcW w:w="243" w:type="pct"/>
          </w:tcPr>
          <w:p w:rsidR="00E52530" w:rsidRPr="00E52530" w:rsidRDefault="00E52530" w:rsidP="00E52530">
            <w:pPr>
              <w:jc w:val="both"/>
              <w:rPr>
                <w:rFonts w:eastAsiaTheme="minorHAnsi"/>
                <w:sz w:val="20"/>
                <w:lang w:val="fr-CA"/>
              </w:rPr>
            </w:pPr>
          </w:p>
        </w:tc>
        <w:tc>
          <w:tcPr>
            <w:tcW w:w="2330" w:type="pct"/>
          </w:tcPr>
          <w:p w:rsidR="00E52530" w:rsidRPr="00E52530" w:rsidRDefault="00E52530" w:rsidP="00E52530">
            <w:pPr>
              <w:jc w:val="both"/>
              <w:rPr>
                <w:rFonts w:eastAsiaTheme="minorHAnsi"/>
                <w:sz w:val="20"/>
                <w:lang w:val="fr-CA"/>
              </w:rPr>
            </w:pPr>
            <w:r w:rsidRPr="00E52530">
              <w:rPr>
                <w:rFonts w:eastAsiaTheme="minorHAnsi"/>
                <w:sz w:val="20"/>
                <w:lang w:val="fr-CA"/>
              </w:rPr>
              <w:t>Dépôt de la requête en prorogation du délai de signification et de dépôt de la demande d’autorisation d’appel et de la demande d’autorisation d’appel</w:t>
            </w:r>
          </w:p>
        </w:tc>
      </w:tr>
    </w:tbl>
    <w:p w:rsidR="00E52530" w:rsidRPr="00E52530" w:rsidRDefault="00E52530" w:rsidP="00E52530">
      <w:pPr>
        <w:jc w:val="both"/>
        <w:rPr>
          <w:rFonts w:eastAsiaTheme="minorHAnsi"/>
          <w:sz w:val="20"/>
          <w:lang w:val="fr-CA"/>
        </w:rPr>
      </w:pPr>
    </w:p>
    <w:p w:rsidR="003B3019" w:rsidRPr="00E52530" w:rsidRDefault="003B3019" w:rsidP="008C561D">
      <w:pPr>
        <w:ind w:left="360" w:hanging="360"/>
        <w:jc w:val="both"/>
        <w:rPr>
          <w:sz w:val="20"/>
          <w:lang w:val="fr-CA"/>
        </w:rPr>
      </w:pPr>
    </w:p>
    <w:p w:rsidR="00157B04" w:rsidRPr="00E52530" w:rsidRDefault="00157B04" w:rsidP="00AC1250">
      <w:pPr>
        <w:ind w:left="360" w:hanging="360"/>
        <w:jc w:val="both"/>
        <w:rPr>
          <w:sz w:val="20"/>
          <w:lang w:val="fr-CA"/>
        </w:rPr>
      </w:pPr>
    </w:p>
    <w:p w:rsidR="00E604A4" w:rsidRPr="00E52530" w:rsidRDefault="00E604A4" w:rsidP="00F6251B">
      <w:pPr>
        <w:widowControl w:val="0"/>
        <w:ind w:left="360" w:hanging="360"/>
        <w:jc w:val="both"/>
        <w:rPr>
          <w:sz w:val="20"/>
          <w:lang w:val="fr-CA"/>
        </w:rPr>
      </w:pPr>
    </w:p>
    <w:p w:rsidR="00D3344A" w:rsidRPr="004B4D42" w:rsidRDefault="00D3344A" w:rsidP="00D3344A">
      <w:pPr>
        <w:widowControl w:val="0"/>
        <w:outlineLvl w:val="0"/>
      </w:pPr>
      <w:r w:rsidRPr="004B4D42">
        <w:t xml:space="preserve">Supreme Court of Canada / Cour </w:t>
      </w:r>
      <w:proofErr w:type="spellStart"/>
      <w:r w:rsidRPr="004B4D42">
        <w:t>suprême</w:t>
      </w:r>
      <w:proofErr w:type="spellEnd"/>
      <w:r w:rsidRPr="004B4D42">
        <w:t xml:space="preserve"> du Canada : </w:t>
      </w:r>
    </w:p>
    <w:p w:rsidR="00D3344A" w:rsidRPr="004B4D42" w:rsidRDefault="001155B4" w:rsidP="00D3344A">
      <w:pPr>
        <w:widowControl w:val="0"/>
        <w:outlineLvl w:val="0"/>
        <w:rPr>
          <w:u w:val="single"/>
        </w:rPr>
      </w:pPr>
      <w:hyperlink r:id="rId37"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p w:rsidR="00F6251B" w:rsidRPr="004B4D42" w:rsidRDefault="00F6251B" w:rsidP="00F6251B">
      <w:pPr>
        <w:pStyle w:val="Footer"/>
        <w:jc w:val="center"/>
      </w:pPr>
    </w:p>
    <w:p w:rsidR="00F6251B" w:rsidRPr="004B4D42" w:rsidRDefault="00F6251B">
      <w:pPr>
        <w:pStyle w:val="Footer"/>
        <w:jc w:val="center"/>
        <w:rPr>
          <w:sz w:val="20"/>
          <w:lang w:val="fr-CA"/>
        </w:rPr>
      </w:pPr>
    </w:p>
    <w:sectPr w:rsidR="00F6251B" w:rsidRPr="004B4D42" w:rsidSect="00524822">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AE" w:rsidRDefault="004516AE" w:rsidP="0034178A">
      <w:r>
        <w:separator/>
      </w:r>
    </w:p>
  </w:endnote>
  <w:endnote w:type="continuationSeparator" w:id="0">
    <w:p w:rsidR="004516AE" w:rsidRDefault="004516A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66" w:rsidRDefault="00555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30" w:rsidRPr="00EF33BF" w:rsidRDefault="00E52530"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66" w:rsidRDefault="00555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AE" w:rsidRDefault="004516AE" w:rsidP="0034178A">
      <w:r>
        <w:separator/>
      </w:r>
    </w:p>
  </w:footnote>
  <w:footnote w:type="continuationSeparator" w:id="0">
    <w:p w:rsidR="004516AE" w:rsidRDefault="004516A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66" w:rsidRDefault="00555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66" w:rsidRDefault="00555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66" w:rsidRDefault="00555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793"/>
    <w:multiLevelType w:val="hybridMultilevel"/>
    <w:tmpl w:val="DFC2B522"/>
    <w:lvl w:ilvl="0" w:tplc="36A60876">
      <w:start w:val="3"/>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C5E36"/>
    <w:multiLevelType w:val="hybridMultilevel"/>
    <w:tmpl w:val="ECD08628"/>
    <w:lvl w:ilvl="0" w:tplc="441AF2A4">
      <w:start w:val="6"/>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43266"/>
    <w:multiLevelType w:val="hybridMultilevel"/>
    <w:tmpl w:val="4936FF9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0EB30F99"/>
    <w:multiLevelType w:val="hybridMultilevel"/>
    <w:tmpl w:val="49489CDC"/>
    <w:lvl w:ilvl="0" w:tplc="8ACEA1EA">
      <w:start w:val="4"/>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8F26BE"/>
    <w:multiLevelType w:val="hybridMultilevel"/>
    <w:tmpl w:val="8BEA1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F02563"/>
    <w:multiLevelType w:val="hybridMultilevel"/>
    <w:tmpl w:val="2C52A4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15:restartNumberingAfterBreak="0">
    <w:nsid w:val="1F2B643E"/>
    <w:multiLevelType w:val="hybridMultilevel"/>
    <w:tmpl w:val="E1D8A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7544C"/>
    <w:multiLevelType w:val="hybridMultilevel"/>
    <w:tmpl w:val="C56AFA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285A46AA"/>
    <w:multiLevelType w:val="hybridMultilevel"/>
    <w:tmpl w:val="331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71713"/>
    <w:multiLevelType w:val="hybridMultilevel"/>
    <w:tmpl w:val="309E858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5" w15:restartNumberingAfterBreak="0">
    <w:nsid w:val="307A74D3"/>
    <w:multiLevelType w:val="hybridMultilevel"/>
    <w:tmpl w:val="21D0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73E63"/>
    <w:multiLevelType w:val="hybridMultilevel"/>
    <w:tmpl w:val="FBE637DC"/>
    <w:lvl w:ilvl="0" w:tplc="825476A0">
      <w:start w:val="4"/>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15:restartNumberingAfterBreak="0">
    <w:nsid w:val="38834196"/>
    <w:multiLevelType w:val="hybridMultilevel"/>
    <w:tmpl w:val="ABD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C0E6C"/>
    <w:multiLevelType w:val="hybridMultilevel"/>
    <w:tmpl w:val="9BF20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84E16"/>
    <w:multiLevelType w:val="hybridMultilevel"/>
    <w:tmpl w:val="CE74C9E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F3F06"/>
    <w:multiLevelType w:val="hybridMultilevel"/>
    <w:tmpl w:val="072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777B0"/>
    <w:multiLevelType w:val="hybridMultilevel"/>
    <w:tmpl w:val="FB2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60478"/>
    <w:multiLevelType w:val="hybridMultilevel"/>
    <w:tmpl w:val="4BE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45790"/>
    <w:multiLevelType w:val="hybridMultilevel"/>
    <w:tmpl w:val="44C6ABA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AA1552"/>
    <w:multiLevelType w:val="hybridMultilevel"/>
    <w:tmpl w:val="5C602ED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2" w15:restartNumberingAfterBreak="0">
    <w:nsid w:val="7BB80E47"/>
    <w:multiLevelType w:val="hybridMultilevel"/>
    <w:tmpl w:val="9A985E7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3"/>
  </w:num>
  <w:num w:numId="2">
    <w:abstractNumId w:val="19"/>
  </w:num>
  <w:num w:numId="3">
    <w:abstractNumId w:val="7"/>
  </w:num>
  <w:num w:numId="4">
    <w:abstractNumId w:val="9"/>
  </w:num>
  <w:num w:numId="5">
    <w:abstractNumId w:val="2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3"/>
  </w:num>
  <w:num w:numId="10">
    <w:abstractNumId w:val="24"/>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num>
  <w:num w:numId="17">
    <w:abstractNumId w:val="10"/>
  </w:num>
  <w:num w:numId="18">
    <w:abstractNumId w:val="2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5"/>
  </w:num>
  <w:num w:numId="28">
    <w:abstractNumId w:val="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5"/>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2A5C41"/>
    <w:rsid w:val="00001846"/>
    <w:rsid w:val="000018E3"/>
    <w:rsid w:val="00003A2D"/>
    <w:rsid w:val="000043C3"/>
    <w:rsid w:val="000128A2"/>
    <w:rsid w:val="000136CC"/>
    <w:rsid w:val="0001374A"/>
    <w:rsid w:val="00014C19"/>
    <w:rsid w:val="000164DB"/>
    <w:rsid w:val="00016D65"/>
    <w:rsid w:val="00016D95"/>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5627"/>
    <w:rsid w:val="0009748E"/>
    <w:rsid w:val="000A0444"/>
    <w:rsid w:val="000A245A"/>
    <w:rsid w:val="000A4311"/>
    <w:rsid w:val="000A50F9"/>
    <w:rsid w:val="000A6C60"/>
    <w:rsid w:val="000A78FC"/>
    <w:rsid w:val="000A7C00"/>
    <w:rsid w:val="000B07FB"/>
    <w:rsid w:val="000B163F"/>
    <w:rsid w:val="000B46A2"/>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3118"/>
    <w:rsid w:val="000F3522"/>
    <w:rsid w:val="000F4C35"/>
    <w:rsid w:val="000F525E"/>
    <w:rsid w:val="000F5511"/>
    <w:rsid w:val="00100C1C"/>
    <w:rsid w:val="00100CEE"/>
    <w:rsid w:val="001017D1"/>
    <w:rsid w:val="00101E4B"/>
    <w:rsid w:val="00102F8F"/>
    <w:rsid w:val="001033B2"/>
    <w:rsid w:val="00105612"/>
    <w:rsid w:val="001068F5"/>
    <w:rsid w:val="00107219"/>
    <w:rsid w:val="00107DAF"/>
    <w:rsid w:val="00110FE1"/>
    <w:rsid w:val="001147A4"/>
    <w:rsid w:val="001155B4"/>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235D"/>
    <w:rsid w:val="001D2555"/>
    <w:rsid w:val="001D337C"/>
    <w:rsid w:val="001D380D"/>
    <w:rsid w:val="001D65C6"/>
    <w:rsid w:val="001E3BCD"/>
    <w:rsid w:val="001F27B1"/>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3057"/>
    <w:rsid w:val="00234A3D"/>
    <w:rsid w:val="00235ACB"/>
    <w:rsid w:val="00236EEA"/>
    <w:rsid w:val="002407C6"/>
    <w:rsid w:val="00241714"/>
    <w:rsid w:val="00244CDD"/>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E7"/>
    <w:rsid w:val="0027369C"/>
    <w:rsid w:val="00274B8F"/>
    <w:rsid w:val="00276C42"/>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E29B3"/>
    <w:rsid w:val="003E3957"/>
    <w:rsid w:val="003E7F59"/>
    <w:rsid w:val="003F1E6F"/>
    <w:rsid w:val="003F1F9E"/>
    <w:rsid w:val="003F3BC1"/>
    <w:rsid w:val="003F43E6"/>
    <w:rsid w:val="003F4894"/>
    <w:rsid w:val="004000BE"/>
    <w:rsid w:val="004026BA"/>
    <w:rsid w:val="00403038"/>
    <w:rsid w:val="00404B94"/>
    <w:rsid w:val="0040709C"/>
    <w:rsid w:val="004116DA"/>
    <w:rsid w:val="004117D6"/>
    <w:rsid w:val="00411834"/>
    <w:rsid w:val="00412A23"/>
    <w:rsid w:val="004149DA"/>
    <w:rsid w:val="00415755"/>
    <w:rsid w:val="00420841"/>
    <w:rsid w:val="00423732"/>
    <w:rsid w:val="00425B31"/>
    <w:rsid w:val="00426976"/>
    <w:rsid w:val="00427722"/>
    <w:rsid w:val="00427F4F"/>
    <w:rsid w:val="00431779"/>
    <w:rsid w:val="00431A2A"/>
    <w:rsid w:val="00433C3E"/>
    <w:rsid w:val="00440246"/>
    <w:rsid w:val="00441CF2"/>
    <w:rsid w:val="00444072"/>
    <w:rsid w:val="00446BAE"/>
    <w:rsid w:val="0045044A"/>
    <w:rsid w:val="004511AB"/>
    <w:rsid w:val="004516AE"/>
    <w:rsid w:val="0045235F"/>
    <w:rsid w:val="004533F1"/>
    <w:rsid w:val="00453797"/>
    <w:rsid w:val="00453ABE"/>
    <w:rsid w:val="004542A8"/>
    <w:rsid w:val="004576E8"/>
    <w:rsid w:val="00460794"/>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E00B4"/>
    <w:rsid w:val="004E0963"/>
    <w:rsid w:val="004E0B2F"/>
    <w:rsid w:val="004E1B3F"/>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813"/>
    <w:rsid w:val="00535A60"/>
    <w:rsid w:val="005372AF"/>
    <w:rsid w:val="00540D5C"/>
    <w:rsid w:val="00541FF9"/>
    <w:rsid w:val="00544481"/>
    <w:rsid w:val="0054689F"/>
    <w:rsid w:val="00546DAD"/>
    <w:rsid w:val="005542A1"/>
    <w:rsid w:val="00555766"/>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96C"/>
    <w:rsid w:val="005C2CA2"/>
    <w:rsid w:val="005C3064"/>
    <w:rsid w:val="005C3191"/>
    <w:rsid w:val="005C3C86"/>
    <w:rsid w:val="005C725E"/>
    <w:rsid w:val="005C7BBF"/>
    <w:rsid w:val="005D019B"/>
    <w:rsid w:val="005D3069"/>
    <w:rsid w:val="005D3730"/>
    <w:rsid w:val="005D3BD1"/>
    <w:rsid w:val="005E2F89"/>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2088"/>
    <w:rsid w:val="00683770"/>
    <w:rsid w:val="00683B58"/>
    <w:rsid w:val="006849D2"/>
    <w:rsid w:val="00686A7E"/>
    <w:rsid w:val="00686CAE"/>
    <w:rsid w:val="00690509"/>
    <w:rsid w:val="00690963"/>
    <w:rsid w:val="00690B95"/>
    <w:rsid w:val="00691156"/>
    <w:rsid w:val="00691FAB"/>
    <w:rsid w:val="006936BC"/>
    <w:rsid w:val="00693751"/>
    <w:rsid w:val="00693795"/>
    <w:rsid w:val="006937ED"/>
    <w:rsid w:val="00693CE6"/>
    <w:rsid w:val="00695005"/>
    <w:rsid w:val="00696375"/>
    <w:rsid w:val="006965DF"/>
    <w:rsid w:val="00696CA3"/>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EB1"/>
    <w:rsid w:val="00700AD5"/>
    <w:rsid w:val="00702D4F"/>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6472"/>
    <w:rsid w:val="00747C5A"/>
    <w:rsid w:val="00751DE7"/>
    <w:rsid w:val="00752CE8"/>
    <w:rsid w:val="00760A78"/>
    <w:rsid w:val="00764725"/>
    <w:rsid w:val="00764B6B"/>
    <w:rsid w:val="00764F0C"/>
    <w:rsid w:val="00766432"/>
    <w:rsid w:val="00766983"/>
    <w:rsid w:val="00767A28"/>
    <w:rsid w:val="007712C3"/>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300E"/>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5486"/>
    <w:rsid w:val="007E6196"/>
    <w:rsid w:val="007E6656"/>
    <w:rsid w:val="007E70BF"/>
    <w:rsid w:val="007E735A"/>
    <w:rsid w:val="007F0085"/>
    <w:rsid w:val="007F0F01"/>
    <w:rsid w:val="007F155F"/>
    <w:rsid w:val="007F22ED"/>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D1B"/>
    <w:rsid w:val="00816C1F"/>
    <w:rsid w:val="00820876"/>
    <w:rsid w:val="0082143F"/>
    <w:rsid w:val="00822064"/>
    <w:rsid w:val="008220AD"/>
    <w:rsid w:val="00823610"/>
    <w:rsid w:val="0083049A"/>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561D"/>
    <w:rsid w:val="008C62EC"/>
    <w:rsid w:val="008D0BE4"/>
    <w:rsid w:val="008D19DB"/>
    <w:rsid w:val="008D5BE0"/>
    <w:rsid w:val="008D7B10"/>
    <w:rsid w:val="008E7C23"/>
    <w:rsid w:val="008E7F8D"/>
    <w:rsid w:val="008F06E9"/>
    <w:rsid w:val="008F2850"/>
    <w:rsid w:val="008F2FC2"/>
    <w:rsid w:val="008F302C"/>
    <w:rsid w:val="008F5D1E"/>
    <w:rsid w:val="008F7242"/>
    <w:rsid w:val="00901457"/>
    <w:rsid w:val="0090233F"/>
    <w:rsid w:val="009035A2"/>
    <w:rsid w:val="009119D3"/>
    <w:rsid w:val="00922101"/>
    <w:rsid w:val="00924C0D"/>
    <w:rsid w:val="0092587F"/>
    <w:rsid w:val="00932FE2"/>
    <w:rsid w:val="009340AB"/>
    <w:rsid w:val="00936192"/>
    <w:rsid w:val="0094066E"/>
    <w:rsid w:val="00942A08"/>
    <w:rsid w:val="00942CAD"/>
    <w:rsid w:val="00943363"/>
    <w:rsid w:val="009434CF"/>
    <w:rsid w:val="00946910"/>
    <w:rsid w:val="00947C38"/>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0023"/>
    <w:rsid w:val="009912E2"/>
    <w:rsid w:val="00991536"/>
    <w:rsid w:val="009918AC"/>
    <w:rsid w:val="00993DAC"/>
    <w:rsid w:val="00996373"/>
    <w:rsid w:val="00996A23"/>
    <w:rsid w:val="00997705"/>
    <w:rsid w:val="009A0E19"/>
    <w:rsid w:val="009A1215"/>
    <w:rsid w:val="009A20E4"/>
    <w:rsid w:val="009A2440"/>
    <w:rsid w:val="009A2448"/>
    <w:rsid w:val="009A3D15"/>
    <w:rsid w:val="009A6007"/>
    <w:rsid w:val="009A6F9E"/>
    <w:rsid w:val="009A714A"/>
    <w:rsid w:val="009B0602"/>
    <w:rsid w:val="009B0987"/>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6859"/>
    <w:rsid w:val="00A569E0"/>
    <w:rsid w:val="00A60CA4"/>
    <w:rsid w:val="00A62285"/>
    <w:rsid w:val="00A65A66"/>
    <w:rsid w:val="00A66EE4"/>
    <w:rsid w:val="00A70197"/>
    <w:rsid w:val="00A715EF"/>
    <w:rsid w:val="00A73387"/>
    <w:rsid w:val="00A745D3"/>
    <w:rsid w:val="00A7462D"/>
    <w:rsid w:val="00A8029C"/>
    <w:rsid w:val="00A8033D"/>
    <w:rsid w:val="00A826B4"/>
    <w:rsid w:val="00A82E1A"/>
    <w:rsid w:val="00A8395A"/>
    <w:rsid w:val="00A83C7E"/>
    <w:rsid w:val="00A8418C"/>
    <w:rsid w:val="00A84DA1"/>
    <w:rsid w:val="00A85812"/>
    <w:rsid w:val="00A871C9"/>
    <w:rsid w:val="00A87FE2"/>
    <w:rsid w:val="00A960E9"/>
    <w:rsid w:val="00A97B41"/>
    <w:rsid w:val="00A97F0C"/>
    <w:rsid w:val="00A97F93"/>
    <w:rsid w:val="00AA0E4D"/>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42F5"/>
    <w:rsid w:val="00AE4721"/>
    <w:rsid w:val="00AE747B"/>
    <w:rsid w:val="00AE7DE5"/>
    <w:rsid w:val="00AF1653"/>
    <w:rsid w:val="00AF3BF4"/>
    <w:rsid w:val="00AF3F93"/>
    <w:rsid w:val="00AF50BF"/>
    <w:rsid w:val="00B02DE3"/>
    <w:rsid w:val="00B037AA"/>
    <w:rsid w:val="00B054BA"/>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C9D"/>
    <w:rsid w:val="00BC6F58"/>
    <w:rsid w:val="00BD07C7"/>
    <w:rsid w:val="00BD14CE"/>
    <w:rsid w:val="00BD2421"/>
    <w:rsid w:val="00BD3541"/>
    <w:rsid w:val="00BD4652"/>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2AD"/>
    <w:rsid w:val="00C419F7"/>
    <w:rsid w:val="00C4313B"/>
    <w:rsid w:val="00C45F01"/>
    <w:rsid w:val="00C46818"/>
    <w:rsid w:val="00C4698C"/>
    <w:rsid w:val="00C5207F"/>
    <w:rsid w:val="00C52D21"/>
    <w:rsid w:val="00C5543B"/>
    <w:rsid w:val="00C573B1"/>
    <w:rsid w:val="00C600EE"/>
    <w:rsid w:val="00C64192"/>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7829"/>
    <w:rsid w:val="00D47E7C"/>
    <w:rsid w:val="00D50AD1"/>
    <w:rsid w:val="00D542A9"/>
    <w:rsid w:val="00D5501F"/>
    <w:rsid w:val="00D55807"/>
    <w:rsid w:val="00D604C4"/>
    <w:rsid w:val="00D63929"/>
    <w:rsid w:val="00D63C1C"/>
    <w:rsid w:val="00D6421D"/>
    <w:rsid w:val="00D645E0"/>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A17B0"/>
    <w:rsid w:val="00DA2C00"/>
    <w:rsid w:val="00DA3F09"/>
    <w:rsid w:val="00DA5E1F"/>
    <w:rsid w:val="00DA6D82"/>
    <w:rsid w:val="00DB169C"/>
    <w:rsid w:val="00DB180E"/>
    <w:rsid w:val="00DB21E9"/>
    <w:rsid w:val="00DB27AF"/>
    <w:rsid w:val="00DB292F"/>
    <w:rsid w:val="00DB3966"/>
    <w:rsid w:val="00DB3F0F"/>
    <w:rsid w:val="00DB5A3F"/>
    <w:rsid w:val="00DC124A"/>
    <w:rsid w:val="00DC2AD7"/>
    <w:rsid w:val="00DC6EBF"/>
    <w:rsid w:val="00DD4D17"/>
    <w:rsid w:val="00DD5846"/>
    <w:rsid w:val="00DD620A"/>
    <w:rsid w:val="00DE11D6"/>
    <w:rsid w:val="00DE2212"/>
    <w:rsid w:val="00DE2C8D"/>
    <w:rsid w:val="00DE5E69"/>
    <w:rsid w:val="00DE610C"/>
    <w:rsid w:val="00DE7CEB"/>
    <w:rsid w:val="00DE7F13"/>
    <w:rsid w:val="00DF06C4"/>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2530"/>
    <w:rsid w:val="00E5361B"/>
    <w:rsid w:val="00E54925"/>
    <w:rsid w:val="00E604A4"/>
    <w:rsid w:val="00E61C4E"/>
    <w:rsid w:val="00E63F87"/>
    <w:rsid w:val="00E6527E"/>
    <w:rsid w:val="00E65A41"/>
    <w:rsid w:val="00E710C9"/>
    <w:rsid w:val="00E724E4"/>
    <w:rsid w:val="00E73312"/>
    <w:rsid w:val="00E735D4"/>
    <w:rsid w:val="00E7411D"/>
    <w:rsid w:val="00E76439"/>
    <w:rsid w:val="00E80317"/>
    <w:rsid w:val="00E80877"/>
    <w:rsid w:val="00E829FE"/>
    <w:rsid w:val="00E841D8"/>
    <w:rsid w:val="00E858D9"/>
    <w:rsid w:val="00E85DC1"/>
    <w:rsid w:val="00E862F4"/>
    <w:rsid w:val="00E9032B"/>
    <w:rsid w:val="00E90B5E"/>
    <w:rsid w:val="00E92DE1"/>
    <w:rsid w:val="00E93717"/>
    <w:rsid w:val="00E97E2B"/>
    <w:rsid w:val="00EA0D5B"/>
    <w:rsid w:val="00EA3FF6"/>
    <w:rsid w:val="00EA6DC0"/>
    <w:rsid w:val="00EB2481"/>
    <w:rsid w:val="00EB257B"/>
    <w:rsid w:val="00EB2D88"/>
    <w:rsid w:val="00EB5234"/>
    <w:rsid w:val="00EB610E"/>
    <w:rsid w:val="00EB722E"/>
    <w:rsid w:val="00EC0E72"/>
    <w:rsid w:val="00EC2028"/>
    <w:rsid w:val="00EC2317"/>
    <w:rsid w:val="00EC2990"/>
    <w:rsid w:val="00EC2A4D"/>
    <w:rsid w:val="00EC3EE4"/>
    <w:rsid w:val="00EC43F0"/>
    <w:rsid w:val="00EC4BBD"/>
    <w:rsid w:val="00EC4FBB"/>
    <w:rsid w:val="00EC61E5"/>
    <w:rsid w:val="00ED11BA"/>
    <w:rsid w:val="00ED1764"/>
    <w:rsid w:val="00ED200B"/>
    <w:rsid w:val="00ED2E12"/>
    <w:rsid w:val="00ED4F03"/>
    <w:rsid w:val="00ED52B2"/>
    <w:rsid w:val="00EE173D"/>
    <w:rsid w:val="00EE24D6"/>
    <w:rsid w:val="00EE59C6"/>
    <w:rsid w:val="00EF1864"/>
    <w:rsid w:val="00EF26B4"/>
    <w:rsid w:val="00EF33BF"/>
    <w:rsid w:val="00EF775A"/>
    <w:rsid w:val="00F00020"/>
    <w:rsid w:val="00F02E36"/>
    <w:rsid w:val="00F04707"/>
    <w:rsid w:val="00F04ACD"/>
    <w:rsid w:val="00F0571B"/>
    <w:rsid w:val="00F107A8"/>
    <w:rsid w:val="00F10F01"/>
    <w:rsid w:val="00F110F6"/>
    <w:rsid w:val="00F122E7"/>
    <w:rsid w:val="00F152B2"/>
    <w:rsid w:val="00F17D2D"/>
    <w:rsid w:val="00F22AFE"/>
    <w:rsid w:val="00F237A4"/>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DAD"/>
    <w:rsid w:val="00F60DE0"/>
    <w:rsid w:val="00F6194D"/>
    <w:rsid w:val="00F61F8E"/>
    <w:rsid w:val="00F6251B"/>
    <w:rsid w:val="00F63405"/>
    <w:rsid w:val="00F64156"/>
    <w:rsid w:val="00F71087"/>
    <w:rsid w:val="00F73A04"/>
    <w:rsid w:val="00F74DE7"/>
    <w:rsid w:val="00F76A83"/>
    <w:rsid w:val="00F81D96"/>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rules v:ext="edit">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279" TargetMode="External"/><Relationship Id="rId13" Type="http://schemas.openxmlformats.org/officeDocument/2006/relationships/hyperlink" Target="http://www.scc-csc.ca/case-dossier/info/sum-som-eng.aspx?cas=36343" TargetMode="External"/><Relationship Id="rId18" Type="http://schemas.openxmlformats.org/officeDocument/2006/relationships/hyperlink" Target="http://www.canlii.org/fr/qc/qcca/doc/2014/2014qcca1159/2014qcca1159.html?resultIndex=1" TargetMode="External"/><Relationship Id="rId26" Type="http://schemas.openxmlformats.org/officeDocument/2006/relationships/hyperlink" Target="http://www.canlii.org/en/qc/qcca/doc/2014/2014qcca2255/2014qcca2255.html?resultIndex=1"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anlii.org/fr/qc/qccs/doc/2014/2014qccs1863/2014qccs1863.html?autocompleteStr=500-17-074826-127&amp;autocompletePos=1" TargetMode="External"/><Relationship Id="rId34" Type="http://schemas.openxmlformats.org/officeDocument/2006/relationships/hyperlink" Target="http://www.canlii.org/en/on/onca/doc/2014/2014onca802/2014onca802.html"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cc-csc.ca/case-dossier/info/sum-som-eng.aspx?cas=36406" TargetMode="External"/><Relationship Id="rId17" Type="http://schemas.openxmlformats.org/officeDocument/2006/relationships/hyperlink" Target="http://www.canlii.org/fr/qc/qcca/doc/2014/2014qcca1159/2014qcca1159.html?resultIndex=1" TargetMode="External"/><Relationship Id="rId25" Type="http://schemas.openxmlformats.org/officeDocument/2006/relationships/hyperlink" Target="http://www.canlii.org/fr/qc/qccs/doc/2013/2013qccs2715/2013qccs2715.html?autocompleteStr=2013%20QCCS%202715&amp;autocompletePos=1" TargetMode="External"/><Relationship Id="rId33" Type="http://schemas.openxmlformats.org/officeDocument/2006/relationships/hyperlink" Target="http://www.canlii.org/en/on/onsc/doc/2013/2013onsc99/2013onsc99.html?autocompleteStr=2013%20ONSC%2099&amp;autocompletePos=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nlii.org/fr/qc/qcca/doc/2015/2015qcca518/2015qcca518.html" TargetMode="External"/><Relationship Id="rId20" Type="http://schemas.openxmlformats.org/officeDocument/2006/relationships/hyperlink" Target="http://www.canlii.org/fr/qc/qcca/doc/2014/2014qcca2234/2014qcca2234.html" TargetMode="External"/><Relationship Id="rId29" Type="http://schemas.openxmlformats.org/officeDocument/2006/relationships/hyperlink" Target="http://canlii.ca/t/g1kz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289" TargetMode="External"/><Relationship Id="rId24" Type="http://schemas.openxmlformats.org/officeDocument/2006/relationships/hyperlink" Target="http://www.canlii.org/en/qc/qcca/doc/2014/2014qcca2255/2014qcca2255.html?resultIndex=1" TargetMode="External"/><Relationship Id="rId32" Type="http://schemas.openxmlformats.org/officeDocument/2006/relationships/hyperlink" Target="http://canlii.ca/t/gfjj8" TargetMode="External"/><Relationship Id="rId37" Type="http://schemas.openxmlformats.org/officeDocument/2006/relationships/hyperlink" Target="mailto:comments-commentaires@scc-csc.ca"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nlii.org/fr/qc/qcca/doc/2015/2015qcca518/2015qcca518.html" TargetMode="External"/><Relationship Id="rId23" Type="http://schemas.openxmlformats.org/officeDocument/2006/relationships/hyperlink" Target="http://www.canlii.org/fr/qc/qccs/doc/2013/2013qccs2715/2013qccs2715.html?autocompleteStr=2013%20QCCS%202715&amp;autocompletePos=1" TargetMode="External"/><Relationship Id="rId28" Type="http://schemas.openxmlformats.org/officeDocument/2006/relationships/hyperlink" Target="http://www.canlii.org/en/ca/fca/doc/2015/2015fca7/2015fca7.html?autocompleteStr=2015%20FCA%207&amp;autocompletePos=1" TargetMode="External"/><Relationship Id="rId36" Type="http://schemas.openxmlformats.org/officeDocument/2006/relationships/hyperlink" Target="http://www.canlii.org/en/on/onca/doc/2014/2014onca802/2014onca802.html" TargetMode="External"/><Relationship Id="rId10" Type="http://schemas.openxmlformats.org/officeDocument/2006/relationships/hyperlink" Target="http://www.scc-csc.ca/case-dossier/info/sum-som-eng.aspx?cas=36344" TargetMode="External"/><Relationship Id="rId19" Type="http://schemas.openxmlformats.org/officeDocument/2006/relationships/hyperlink" Target="http://www.canlii.org/fr/qc/qccs/doc/2014/2014qccs1863/2014qccs1863.html?autocompleteStr=500-17-074826-127&amp;autocompletePos=1" TargetMode="External"/><Relationship Id="rId31" Type="http://schemas.openxmlformats.org/officeDocument/2006/relationships/hyperlink" Target="http://canlii.ca/t/g1kz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eng.aspx?cas=36315" TargetMode="External"/><Relationship Id="rId14" Type="http://schemas.openxmlformats.org/officeDocument/2006/relationships/hyperlink" Target="http://www.scc-csc.ca/case-dossier/info/sum-som-eng.aspx?cas=36288" TargetMode="External"/><Relationship Id="rId22" Type="http://schemas.openxmlformats.org/officeDocument/2006/relationships/hyperlink" Target="http://www.canlii.org/fr/qc/qcca/doc/2014/2014qcca2234/2014qcca2234.html" TargetMode="External"/><Relationship Id="rId27" Type="http://schemas.openxmlformats.org/officeDocument/2006/relationships/hyperlink" Target="http://www.canlii.org/en/ca/fca/doc/2015/2015fca7/2015fca7.html?autocompleteStr=2015%20FCA%207&amp;autocompletePos=1" TargetMode="External"/><Relationship Id="rId30" Type="http://schemas.openxmlformats.org/officeDocument/2006/relationships/hyperlink" Target="http://canlii.ca/t/gfjj8" TargetMode="External"/><Relationship Id="rId35" Type="http://schemas.openxmlformats.org/officeDocument/2006/relationships/hyperlink" Target="http://www.canlii.org/en/on/onsc/doc/2013/2013onsc99/2013onsc99.html?autocompleteStr=2013%20ONSC%2099&amp;autocompletePos=1"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EBB8F-1AC2-40CE-8EB7-D6C2F3B1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6820</Words>
  <Characters>38876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45605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2015-06-29T14:52:00Z</dcterms:created>
  <dcterms:modified xsi:type="dcterms:W3CDTF">2015-11-27T16:04:00Z</dcterms:modified>
</cp:coreProperties>
</file>