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2775A0" w:rsidP="006F2579">
      <w:pPr>
        <w:widowControl w:val="0"/>
        <w:rPr>
          <w:b/>
        </w:rPr>
      </w:pPr>
      <w:r>
        <w:rPr>
          <w:b/>
        </w:rPr>
        <w:t>August 1</w:t>
      </w:r>
      <w:r w:rsidR="00416211">
        <w:rPr>
          <w:b/>
        </w:rPr>
        <w:t>7</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665CCF"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2775A0">
        <w:t xml:space="preserve">August </w:t>
      </w:r>
      <w:r w:rsidR="00416211">
        <w:t>20</w:t>
      </w:r>
      <w:r w:rsidR="00960719" w:rsidRPr="004B4D42">
        <w:t>,</w:t>
      </w:r>
      <w:r w:rsidR="002F38D7" w:rsidRPr="004B4D42">
        <w:t xml:space="preserve"> </w:t>
      </w:r>
      <w:r w:rsidR="006648D1" w:rsidRPr="004B4D42">
        <w:t>2015</w:t>
      </w:r>
      <w:r w:rsidRPr="004B4D42">
        <w:t xml:space="preserve">.  </w:t>
      </w:r>
      <w:r w:rsidRPr="00665CCF">
        <w:rPr>
          <w:lang w:val="fr-CA"/>
        </w:rPr>
        <w:t>This list is subject to change.</w:t>
      </w:r>
    </w:p>
    <w:p w:rsidR="00D4457A" w:rsidRPr="00665CCF" w:rsidRDefault="00D4457A" w:rsidP="006F2579">
      <w:pPr>
        <w:widowControl w:val="0"/>
        <w:rPr>
          <w:lang w:val="fr-CA"/>
        </w:rPr>
      </w:pPr>
    </w:p>
    <w:p w:rsidR="00FF5AA4" w:rsidRPr="00665CCF"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2775A0">
        <w:rPr>
          <w:b/>
          <w:lang w:val="fr-CA"/>
        </w:rPr>
        <w:t>1</w:t>
      </w:r>
      <w:r w:rsidR="00416211">
        <w:rPr>
          <w:b/>
          <w:lang w:val="fr-CA"/>
        </w:rPr>
        <w:t>7</w:t>
      </w:r>
      <w:r w:rsidR="0080556B">
        <w:rPr>
          <w:b/>
          <w:lang w:val="fr-CA"/>
        </w:rPr>
        <w:t xml:space="preserve"> </w:t>
      </w:r>
      <w:r w:rsidR="002775A0">
        <w:rPr>
          <w:b/>
          <w:lang w:val="fr-CA"/>
        </w:rPr>
        <w:t>août</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416211">
        <w:rPr>
          <w:lang w:val="fr-CA"/>
        </w:rPr>
        <w:t>20</w:t>
      </w:r>
      <w:r w:rsidR="0080556B">
        <w:rPr>
          <w:lang w:val="fr-CA"/>
        </w:rPr>
        <w:t xml:space="preserve"> </w:t>
      </w:r>
      <w:r w:rsidR="002775A0">
        <w:rPr>
          <w:lang w:val="fr-CA"/>
        </w:rPr>
        <w:t>août</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A575D4"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5080" r="1143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3326C"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92397" w:rsidRPr="001D5047" w:rsidRDefault="00B92397" w:rsidP="002775A0">
      <w:pPr>
        <w:jc w:val="both"/>
        <w:rPr>
          <w:sz w:val="20"/>
          <w:lang w:val="fr-CA"/>
        </w:rPr>
      </w:pPr>
    </w:p>
    <w:p w:rsidR="009A3FD3" w:rsidRPr="00E82B62" w:rsidRDefault="009A3FD3" w:rsidP="00E82B62">
      <w:pPr>
        <w:pStyle w:val="ListParagraph"/>
        <w:numPr>
          <w:ilvl w:val="0"/>
          <w:numId w:val="47"/>
        </w:numPr>
        <w:ind w:left="360"/>
        <w:rPr>
          <w:sz w:val="20"/>
          <w:szCs w:val="20"/>
        </w:rPr>
      </w:pPr>
      <w:r w:rsidRPr="00E82B62">
        <w:rPr>
          <w:i/>
          <w:sz w:val="20"/>
          <w:szCs w:val="20"/>
        </w:rPr>
        <w:t xml:space="preserve">Susan </w:t>
      </w:r>
      <w:proofErr w:type="spellStart"/>
      <w:r w:rsidRPr="00E82B62">
        <w:rPr>
          <w:i/>
          <w:sz w:val="20"/>
          <w:szCs w:val="20"/>
        </w:rPr>
        <w:t>Scheuermann</w:t>
      </w:r>
      <w:proofErr w:type="spellEnd"/>
      <w:r w:rsidRPr="00E82B62">
        <w:rPr>
          <w:i/>
          <w:sz w:val="20"/>
          <w:szCs w:val="20"/>
        </w:rPr>
        <w:t xml:space="preserve"> </w:t>
      </w:r>
      <w:proofErr w:type="spellStart"/>
      <w:r w:rsidRPr="00E82B62">
        <w:rPr>
          <w:i/>
          <w:sz w:val="20"/>
          <w:szCs w:val="20"/>
        </w:rPr>
        <w:t>Volcko</w:t>
      </w:r>
      <w:proofErr w:type="spellEnd"/>
      <w:r w:rsidRPr="00E82B62">
        <w:rPr>
          <w:i/>
          <w:sz w:val="20"/>
          <w:szCs w:val="20"/>
        </w:rPr>
        <w:t xml:space="preserve"> v. John B. </w:t>
      </w:r>
      <w:proofErr w:type="spellStart"/>
      <w:r w:rsidRPr="00E82B62">
        <w:rPr>
          <w:i/>
          <w:sz w:val="20"/>
          <w:szCs w:val="20"/>
        </w:rPr>
        <w:t>Volcko</w:t>
      </w:r>
      <w:proofErr w:type="spellEnd"/>
      <w:r w:rsidRPr="00E82B62">
        <w:rPr>
          <w:i/>
          <w:sz w:val="20"/>
          <w:szCs w:val="20"/>
        </w:rPr>
        <w:t xml:space="preserve"> </w:t>
      </w:r>
      <w:r w:rsidRPr="00E82B62">
        <w:rPr>
          <w:sz w:val="20"/>
          <w:szCs w:val="20"/>
        </w:rPr>
        <w:t xml:space="preserve">(N.S.) (Civil) (By Leave) </w:t>
      </w:r>
      <w:r w:rsidRPr="00E82B62">
        <w:rPr>
          <w:sz w:val="20"/>
          <w:lang w:val="en-CA"/>
        </w:rPr>
        <w:t>(</w:t>
      </w:r>
      <w:hyperlink r:id="rId7" w:history="1">
        <w:r w:rsidRPr="00E82B62">
          <w:rPr>
            <w:rStyle w:val="Hyperlink"/>
            <w:sz w:val="20"/>
            <w:lang w:val="en-CA"/>
          </w:rPr>
          <w:t>36384</w:t>
        </w:r>
      </w:hyperlink>
      <w:r w:rsidRPr="00E82B62">
        <w:rPr>
          <w:sz w:val="20"/>
          <w:lang w:val="en-CA"/>
        </w:rPr>
        <w:t>)</w:t>
      </w:r>
    </w:p>
    <w:p w:rsidR="009A3FD3" w:rsidRPr="001D5047" w:rsidRDefault="009A3FD3" w:rsidP="00E82B62">
      <w:pPr>
        <w:ind w:left="360" w:hanging="360"/>
        <w:rPr>
          <w:sz w:val="20"/>
        </w:rPr>
      </w:pPr>
    </w:p>
    <w:p w:rsidR="009A3FD3" w:rsidRPr="00E82B62" w:rsidRDefault="009A3FD3" w:rsidP="00E82B62">
      <w:pPr>
        <w:pStyle w:val="ListParagraph"/>
        <w:numPr>
          <w:ilvl w:val="0"/>
          <w:numId w:val="47"/>
        </w:numPr>
        <w:ind w:left="360"/>
        <w:rPr>
          <w:sz w:val="20"/>
          <w:szCs w:val="20"/>
        </w:rPr>
      </w:pPr>
      <w:r w:rsidRPr="00E82B62">
        <w:rPr>
          <w:i/>
          <w:sz w:val="20"/>
          <w:szCs w:val="20"/>
          <w:lang w:val="fr-CA"/>
        </w:rPr>
        <w:t xml:space="preserve">Albert </w:t>
      </w:r>
      <w:proofErr w:type="spellStart"/>
      <w:r w:rsidRPr="00E82B62">
        <w:rPr>
          <w:i/>
          <w:sz w:val="20"/>
          <w:szCs w:val="20"/>
          <w:lang w:val="fr-CA"/>
        </w:rPr>
        <w:t>Ngambo</w:t>
      </w:r>
      <w:proofErr w:type="spellEnd"/>
      <w:r w:rsidRPr="00E82B62">
        <w:rPr>
          <w:i/>
          <w:sz w:val="20"/>
          <w:szCs w:val="20"/>
          <w:lang w:val="fr-CA"/>
        </w:rPr>
        <w:t xml:space="preserve"> c. Sa Majesté la Reine </w:t>
      </w:r>
      <w:r w:rsidRPr="00665CCF">
        <w:rPr>
          <w:sz w:val="20"/>
          <w:szCs w:val="20"/>
          <w:lang w:val="fr-CA"/>
        </w:rPr>
        <w:t xml:space="preserve">(N.-B.) </w:t>
      </w:r>
      <w:r w:rsidRPr="00E82B62">
        <w:rPr>
          <w:sz w:val="20"/>
          <w:szCs w:val="20"/>
        </w:rPr>
        <w:t>(</w:t>
      </w:r>
      <w:proofErr w:type="spellStart"/>
      <w:r w:rsidRPr="00E82B62">
        <w:rPr>
          <w:sz w:val="20"/>
          <w:szCs w:val="20"/>
        </w:rPr>
        <w:t>Criminelle</w:t>
      </w:r>
      <w:proofErr w:type="spellEnd"/>
      <w:r w:rsidRPr="00E82B62">
        <w:rPr>
          <w:sz w:val="20"/>
          <w:szCs w:val="20"/>
        </w:rPr>
        <w:t>) (</w:t>
      </w:r>
      <w:proofErr w:type="spellStart"/>
      <w:r w:rsidRPr="00E82B62">
        <w:rPr>
          <w:sz w:val="20"/>
          <w:szCs w:val="20"/>
        </w:rPr>
        <w:t>Autorisation</w:t>
      </w:r>
      <w:proofErr w:type="spellEnd"/>
      <w:r w:rsidRPr="00E82B62">
        <w:rPr>
          <w:sz w:val="20"/>
          <w:szCs w:val="20"/>
        </w:rPr>
        <w:t xml:space="preserve">) </w:t>
      </w:r>
      <w:r w:rsidRPr="00E82B62">
        <w:rPr>
          <w:sz w:val="20"/>
          <w:lang w:val="fr-CA"/>
        </w:rPr>
        <w:t>(</w:t>
      </w:r>
      <w:hyperlink r:id="rId8" w:history="1">
        <w:r w:rsidRPr="00E82B62">
          <w:rPr>
            <w:rStyle w:val="Hyperlink"/>
            <w:sz w:val="20"/>
            <w:lang w:val="fr-CA"/>
          </w:rPr>
          <w:t>36422</w:t>
        </w:r>
      </w:hyperlink>
      <w:r w:rsidRPr="00E82B62">
        <w:rPr>
          <w:sz w:val="20"/>
          <w:lang w:val="fr-CA"/>
        </w:rPr>
        <w:t>)</w:t>
      </w:r>
    </w:p>
    <w:p w:rsidR="009A3FD3" w:rsidRPr="009A3FD3" w:rsidRDefault="009A3FD3" w:rsidP="00E82B62">
      <w:pPr>
        <w:ind w:left="360" w:hanging="360"/>
        <w:rPr>
          <w:sz w:val="20"/>
        </w:rPr>
      </w:pPr>
    </w:p>
    <w:p w:rsidR="009A3FD3" w:rsidRPr="00E82B62" w:rsidRDefault="009A3FD3" w:rsidP="00E82B62">
      <w:pPr>
        <w:pStyle w:val="ListParagraph"/>
        <w:numPr>
          <w:ilvl w:val="0"/>
          <w:numId w:val="47"/>
        </w:numPr>
        <w:ind w:left="360"/>
        <w:rPr>
          <w:sz w:val="20"/>
        </w:rPr>
      </w:pPr>
      <w:r w:rsidRPr="00E82B62">
        <w:rPr>
          <w:i/>
          <w:sz w:val="20"/>
        </w:rPr>
        <w:t xml:space="preserve">[J.B.] v. Minister of Social Services, on behalf of the Government of Saskatchewan </w:t>
      </w:r>
      <w:r w:rsidRPr="00E82B62">
        <w:rPr>
          <w:sz w:val="20"/>
        </w:rPr>
        <w:t xml:space="preserve">(Sask.) (Civil) (By Leave) </w:t>
      </w:r>
      <w:r w:rsidRPr="00E82B62">
        <w:rPr>
          <w:sz w:val="20"/>
          <w:lang w:val="en-CA"/>
        </w:rPr>
        <w:t>(</w:t>
      </w:r>
      <w:hyperlink r:id="rId9" w:history="1">
        <w:r w:rsidRPr="00E82B62">
          <w:rPr>
            <w:rStyle w:val="Hyperlink"/>
            <w:sz w:val="20"/>
            <w:lang w:val="en-CA"/>
          </w:rPr>
          <w:t>36424</w:t>
        </w:r>
      </w:hyperlink>
      <w:r w:rsidRPr="00E82B62">
        <w:rPr>
          <w:sz w:val="20"/>
          <w:lang w:val="en-CA"/>
        </w:rPr>
        <w:t>)</w:t>
      </w:r>
    </w:p>
    <w:p w:rsidR="009A3FD3" w:rsidRPr="009A3FD3" w:rsidRDefault="009A3FD3" w:rsidP="00E82B62">
      <w:pPr>
        <w:ind w:left="360" w:hanging="360"/>
        <w:rPr>
          <w:sz w:val="20"/>
        </w:rPr>
      </w:pPr>
    </w:p>
    <w:p w:rsidR="009A3FD3" w:rsidRPr="00E82B62" w:rsidRDefault="009A3FD3" w:rsidP="00E82B62">
      <w:pPr>
        <w:pStyle w:val="ListParagraph"/>
        <w:numPr>
          <w:ilvl w:val="0"/>
          <w:numId w:val="47"/>
        </w:numPr>
        <w:ind w:left="360"/>
        <w:rPr>
          <w:sz w:val="20"/>
          <w:szCs w:val="20"/>
          <w:lang w:val="fr-CA"/>
        </w:rPr>
      </w:pPr>
      <w:r w:rsidRPr="00E82B62">
        <w:rPr>
          <w:i/>
          <w:sz w:val="20"/>
          <w:szCs w:val="20"/>
          <w:lang w:val="fr-CA"/>
        </w:rPr>
        <w:t xml:space="preserve">Michèle </w:t>
      </w:r>
      <w:proofErr w:type="spellStart"/>
      <w:r w:rsidRPr="00E82B62">
        <w:rPr>
          <w:i/>
          <w:sz w:val="20"/>
          <w:szCs w:val="20"/>
          <w:lang w:val="fr-CA"/>
        </w:rPr>
        <w:t>Closson</w:t>
      </w:r>
      <w:proofErr w:type="spellEnd"/>
      <w:r w:rsidRPr="00E82B62">
        <w:rPr>
          <w:i/>
          <w:sz w:val="20"/>
          <w:szCs w:val="20"/>
          <w:lang w:val="fr-CA"/>
        </w:rPr>
        <w:t xml:space="preserve"> et a</w:t>
      </w:r>
      <w:r w:rsidR="00AE2C85">
        <w:rPr>
          <w:i/>
          <w:sz w:val="20"/>
          <w:szCs w:val="20"/>
          <w:lang w:val="fr-CA"/>
        </w:rPr>
        <w:t>utre</w:t>
      </w:r>
      <w:r w:rsidRPr="00E82B62">
        <w:rPr>
          <w:i/>
          <w:sz w:val="20"/>
          <w:szCs w:val="20"/>
          <w:lang w:val="fr-CA"/>
        </w:rPr>
        <w:t xml:space="preserve"> c. Ville de Saint-Jérôme </w:t>
      </w:r>
      <w:r w:rsidRPr="00E82B62">
        <w:rPr>
          <w:sz w:val="20"/>
          <w:szCs w:val="20"/>
          <w:lang w:val="fr-CA"/>
        </w:rPr>
        <w:t>(</w:t>
      </w:r>
      <w:proofErr w:type="spellStart"/>
      <w:r w:rsidRPr="00E82B62">
        <w:rPr>
          <w:sz w:val="20"/>
          <w:szCs w:val="20"/>
          <w:lang w:val="fr-CA"/>
        </w:rPr>
        <w:t>Qc</w:t>
      </w:r>
      <w:proofErr w:type="spellEnd"/>
      <w:r w:rsidRPr="00E82B62">
        <w:rPr>
          <w:sz w:val="20"/>
          <w:szCs w:val="20"/>
          <w:lang w:val="fr-CA"/>
        </w:rPr>
        <w:t xml:space="preserve">) (Civile) (Autorisation) </w:t>
      </w:r>
      <w:r w:rsidRPr="00E82B62">
        <w:rPr>
          <w:sz w:val="20"/>
          <w:lang w:val="fr-CA"/>
        </w:rPr>
        <w:t>(</w:t>
      </w:r>
      <w:r w:rsidR="00665CCF">
        <w:fldChar w:fldCharType="begin"/>
      </w:r>
      <w:r w:rsidR="00665CCF" w:rsidRPr="00665CCF">
        <w:rPr>
          <w:lang w:val="fr-CA"/>
        </w:rPr>
        <w:instrText xml:space="preserve"> HYPERLINK "http://www.scc-csc.ca</w:instrText>
      </w:r>
      <w:r w:rsidR="00665CCF" w:rsidRPr="00665CCF">
        <w:rPr>
          <w:lang w:val="fr-CA"/>
        </w:rPr>
        <w:instrText xml:space="preserve">/case-dossier/info/sum-som-fra.aspx?cas=36347" </w:instrText>
      </w:r>
      <w:r w:rsidR="00665CCF">
        <w:fldChar w:fldCharType="separate"/>
      </w:r>
      <w:r w:rsidRPr="00E82B62">
        <w:rPr>
          <w:rStyle w:val="Hyperlink"/>
          <w:sz w:val="20"/>
          <w:lang w:val="fr-CA"/>
        </w:rPr>
        <w:t>36347</w:t>
      </w:r>
      <w:r w:rsidR="00665CCF">
        <w:rPr>
          <w:rStyle w:val="Hyperlink"/>
          <w:sz w:val="20"/>
          <w:lang w:val="fr-CA"/>
        </w:rPr>
        <w:fldChar w:fldCharType="end"/>
      </w:r>
      <w:r w:rsidRPr="00E82B62">
        <w:rPr>
          <w:sz w:val="20"/>
          <w:lang w:val="fr-CA"/>
        </w:rPr>
        <w:t>)</w:t>
      </w:r>
    </w:p>
    <w:p w:rsidR="009A3FD3" w:rsidRPr="00E82B62" w:rsidRDefault="009A3FD3" w:rsidP="009A3FD3">
      <w:pPr>
        <w:ind w:left="720" w:hanging="720"/>
        <w:jc w:val="both"/>
        <w:rPr>
          <w:sz w:val="20"/>
          <w:lang w:val="fr-CA"/>
        </w:rPr>
      </w:pPr>
    </w:p>
    <w:p w:rsidR="009A3FD3" w:rsidRPr="001D5047" w:rsidRDefault="009A3FD3" w:rsidP="002775A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741A" w:rsidRPr="000B741A" w:rsidTr="002C501E">
        <w:tc>
          <w:tcPr>
            <w:tcW w:w="543" w:type="pct"/>
          </w:tcPr>
          <w:p w:rsidR="000B741A" w:rsidRPr="000B741A" w:rsidRDefault="000B741A" w:rsidP="000B741A">
            <w:pPr>
              <w:jc w:val="both"/>
              <w:rPr>
                <w:rFonts w:eastAsiaTheme="minorHAnsi" w:cstheme="minorBidi"/>
                <w:sz w:val="20"/>
                <w:lang w:val="en-CA"/>
              </w:rPr>
            </w:pPr>
            <w:r w:rsidRPr="00C64913">
              <w:rPr>
                <w:rFonts w:eastAsiaTheme="minorHAnsi" w:cstheme="minorBidi"/>
                <w:b/>
                <w:sz w:val="20"/>
                <w:lang w:val="en-CA"/>
              </w:rPr>
              <w:t>36384</w:t>
            </w:r>
          </w:p>
        </w:tc>
        <w:tc>
          <w:tcPr>
            <w:tcW w:w="4457" w:type="pct"/>
            <w:gridSpan w:val="3"/>
          </w:tcPr>
          <w:p w:rsidR="000B741A" w:rsidRPr="000B741A" w:rsidRDefault="000B741A" w:rsidP="000B741A">
            <w:pPr>
              <w:jc w:val="both"/>
              <w:rPr>
                <w:rFonts w:eastAsiaTheme="minorHAnsi" w:cstheme="minorBidi"/>
                <w:b/>
                <w:sz w:val="20"/>
                <w:lang w:val="en-CA"/>
              </w:rPr>
            </w:pPr>
            <w:r w:rsidRPr="000B741A">
              <w:rPr>
                <w:rFonts w:eastAsiaTheme="minorHAnsi" w:cstheme="minorBidi"/>
                <w:b/>
                <w:sz w:val="20"/>
                <w:lang w:val="en-CA"/>
              </w:rPr>
              <w:t xml:space="preserve">Susan </w:t>
            </w:r>
            <w:proofErr w:type="spellStart"/>
            <w:r w:rsidRPr="000B741A">
              <w:rPr>
                <w:rFonts w:eastAsiaTheme="minorHAnsi" w:cstheme="minorBidi"/>
                <w:b/>
                <w:sz w:val="20"/>
                <w:lang w:val="en-CA"/>
              </w:rPr>
              <w:t>Scheuermann</w:t>
            </w:r>
            <w:proofErr w:type="spellEnd"/>
            <w:r w:rsidRPr="000B741A">
              <w:rPr>
                <w:rFonts w:eastAsiaTheme="minorHAnsi" w:cstheme="minorBidi"/>
                <w:b/>
                <w:sz w:val="20"/>
                <w:lang w:val="en-CA"/>
              </w:rPr>
              <w:t xml:space="preserve"> </w:t>
            </w:r>
            <w:proofErr w:type="spellStart"/>
            <w:r w:rsidRPr="000B741A">
              <w:rPr>
                <w:rFonts w:eastAsiaTheme="minorHAnsi" w:cstheme="minorBidi"/>
                <w:b/>
                <w:sz w:val="20"/>
                <w:lang w:val="en-CA"/>
              </w:rPr>
              <w:t>Volcko</w:t>
            </w:r>
            <w:proofErr w:type="spellEnd"/>
            <w:r w:rsidRPr="000B741A">
              <w:rPr>
                <w:rFonts w:eastAsiaTheme="minorHAnsi" w:cstheme="minorBidi"/>
                <w:b/>
                <w:sz w:val="20"/>
                <w:lang w:val="en-CA"/>
              </w:rPr>
              <w:t xml:space="preserve"> v. John B. </w:t>
            </w:r>
            <w:proofErr w:type="spellStart"/>
            <w:r w:rsidRPr="000B741A">
              <w:rPr>
                <w:rFonts w:eastAsiaTheme="minorHAnsi" w:cstheme="minorBidi"/>
                <w:b/>
                <w:sz w:val="20"/>
                <w:lang w:val="en-CA"/>
              </w:rPr>
              <w:t>Volcko</w:t>
            </w:r>
            <w:proofErr w:type="spellEnd"/>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(N.S.) (Civil) (By Leave)</w:t>
            </w:r>
          </w:p>
        </w:tc>
      </w:tr>
      <w:tr w:rsidR="000B741A" w:rsidRPr="000B741A" w:rsidTr="002C501E">
        <w:tc>
          <w:tcPr>
            <w:tcW w:w="5000" w:type="pct"/>
            <w:gridSpan w:val="4"/>
          </w:tcPr>
          <w:p w:rsidR="000B741A" w:rsidRPr="000B741A" w:rsidRDefault="000B741A" w:rsidP="000B741A">
            <w:pPr>
              <w:jc w:val="both"/>
              <w:rPr>
                <w:rFonts w:eastAsiaTheme="minorHAnsi" w:cstheme="minorBidi"/>
                <w:sz w:val="20"/>
                <w:lang w:val="en-CA"/>
              </w:rPr>
            </w:pP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Family law – Family assets – Business assets – Exemption from division – Husband acquiring stock in employer’s company during course of marriage – What is the test for business asset that will give meaning to the purpose of the matrimonial property</w:t>
            </w:r>
            <w:r w:rsidRPr="000B741A">
              <w:rPr>
                <w:rFonts w:eastAsiaTheme="minorHAnsi" w:cstheme="minorBidi"/>
                <w:i/>
                <w:sz w:val="20"/>
                <w:lang w:val="en-CA"/>
              </w:rPr>
              <w:t xml:space="preserve"> </w:t>
            </w:r>
            <w:r w:rsidRPr="000B741A">
              <w:rPr>
                <w:rFonts w:eastAsiaTheme="minorHAnsi" w:cstheme="minorBidi"/>
                <w:sz w:val="20"/>
                <w:lang w:val="en-CA"/>
              </w:rPr>
              <w:t xml:space="preserve">legislation of New Brunswick, Nova Scotia and Newfoundland in 2015? – What is the proper interpretation of the standard of review for matters of corollary </w:t>
            </w:r>
            <w:hyperlink r:id="rId10" w:history="1">
              <w:r w:rsidRPr="00C64913">
                <w:rPr>
                  <w:rFonts w:eastAsiaTheme="minorHAnsi" w:cstheme="minorBidi"/>
                  <w:sz w:val="20"/>
                  <w:lang w:val="en-CA"/>
                </w:rPr>
                <w:t>relief</w:t>
              </w:r>
            </w:hyperlink>
            <w:r w:rsidRPr="000B741A">
              <w:rPr>
                <w:rFonts w:eastAsiaTheme="minorHAnsi" w:cstheme="minorBidi"/>
                <w:sz w:val="20"/>
                <w:lang w:val="en-CA"/>
              </w:rPr>
              <w:t xml:space="preserve"> under the </w:t>
            </w:r>
            <w:r w:rsidRPr="000B741A">
              <w:rPr>
                <w:rFonts w:eastAsiaTheme="minorHAnsi" w:cstheme="minorBidi"/>
                <w:i/>
                <w:sz w:val="20"/>
                <w:lang w:val="en-CA"/>
              </w:rPr>
              <w:t>Divorce Act</w:t>
            </w:r>
            <w:r w:rsidRPr="000B741A">
              <w:rPr>
                <w:rFonts w:eastAsiaTheme="minorHAnsi" w:cstheme="minorBidi"/>
                <w:sz w:val="20"/>
                <w:lang w:val="en-CA"/>
              </w:rPr>
              <w:t>, R.S.C. 1985, c. 3 (2</w:t>
            </w:r>
            <w:r w:rsidRPr="000B741A">
              <w:rPr>
                <w:rFonts w:eastAsiaTheme="minorHAnsi" w:cstheme="minorBidi"/>
                <w:sz w:val="20"/>
                <w:vertAlign w:val="superscript"/>
                <w:lang w:val="en-CA"/>
              </w:rPr>
              <w:t>nd</w:t>
            </w:r>
            <w:r w:rsidRPr="000B741A">
              <w:rPr>
                <w:rFonts w:eastAsiaTheme="minorHAnsi" w:cstheme="minorBidi"/>
                <w:sz w:val="20"/>
                <w:lang w:val="en-CA"/>
              </w:rPr>
              <w:t xml:space="preserve"> Supp.) and the matrimonial property legislation of the provinces?</w:t>
            </w:r>
          </w:p>
        </w:tc>
      </w:tr>
      <w:tr w:rsidR="000B741A" w:rsidRPr="000B741A" w:rsidTr="002C501E">
        <w:tc>
          <w:tcPr>
            <w:tcW w:w="5000" w:type="pct"/>
            <w:gridSpan w:val="4"/>
          </w:tcPr>
          <w:p w:rsidR="000B741A" w:rsidRPr="000B741A" w:rsidRDefault="000B741A" w:rsidP="000B741A">
            <w:pPr>
              <w:jc w:val="both"/>
              <w:rPr>
                <w:rFonts w:eastAsiaTheme="minorHAnsi" w:cstheme="minorBidi"/>
                <w:sz w:val="20"/>
                <w:lang w:val="en-CA"/>
              </w:rPr>
            </w:pPr>
          </w:p>
        </w:tc>
      </w:tr>
      <w:tr w:rsidR="000B741A" w:rsidRPr="000B741A" w:rsidTr="002C501E">
        <w:tc>
          <w:tcPr>
            <w:tcW w:w="5000" w:type="pct"/>
            <w:gridSpan w:val="4"/>
          </w:tcPr>
          <w:p w:rsidR="000B741A" w:rsidRPr="000B741A" w:rsidRDefault="000B741A" w:rsidP="000B741A">
            <w:pPr>
              <w:ind w:left="-12"/>
              <w:jc w:val="both"/>
              <w:rPr>
                <w:rFonts w:eastAsiaTheme="minorHAnsi" w:cstheme="minorBidi"/>
                <w:sz w:val="20"/>
                <w:lang w:val="en-CA"/>
              </w:rPr>
            </w:pPr>
            <w:r w:rsidRPr="000B741A">
              <w:rPr>
                <w:rFonts w:eastAsiaTheme="minorHAnsi" w:cstheme="minorBidi"/>
                <w:sz w:val="20"/>
                <w:lang w:val="en-CA"/>
              </w:rPr>
              <w:lastRenderedPageBreak/>
              <w:t>The parties were married in 1990 and began living apart in 2006, when the husband moved out of the matrimonial home. There are two adult children of the marriage, one of whom is a dependant university undergraduate student.  In the early years of the marriage, the wife had been a high income earner, but by the time of trial, she had been out of the paid workforce since 1998. It had been mutually agreed that the wife would leave her employment to focus on raising the children, allowing the husband to have greater employment flexibility. The husband earned approximately $686,000 per annum. At trial, the date of separation, the characterization of the husband’s employment shares, prospective and retroactive child and spousal support and the division of certain matrimonial assets were in issue.</w:t>
            </w:r>
          </w:p>
          <w:p w:rsidR="000B741A" w:rsidRPr="000B741A" w:rsidRDefault="000B741A" w:rsidP="000B741A">
            <w:pPr>
              <w:jc w:val="both"/>
              <w:rPr>
                <w:rFonts w:eastAsiaTheme="minorHAnsi" w:cstheme="minorBidi"/>
                <w:sz w:val="20"/>
                <w:lang w:val="en-CA"/>
              </w:rPr>
            </w:pPr>
          </w:p>
        </w:tc>
      </w:tr>
      <w:tr w:rsidR="000B741A" w:rsidRPr="000B741A" w:rsidTr="002C501E">
        <w:tc>
          <w:tcPr>
            <w:tcW w:w="2427" w:type="pct"/>
            <w:gridSpan w:val="2"/>
          </w:tcPr>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December 30, 2013</w:t>
            </w: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Supreme Court of Nova Scotia</w:t>
            </w: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(Family Division)</w:t>
            </w: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(Beaton J.)</w:t>
            </w:r>
          </w:p>
          <w:p w:rsidR="000B741A" w:rsidRPr="000B741A" w:rsidRDefault="00665CCF" w:rsidP="000B741A">
            <w:pPr>
              <w:jc w:val="both"/>
              <w:rPr>
                <w:rFonts w:eastAsiaTheme="minorHAnsi" w:cstheme="minorBidi"/>
                <w:sz w:val="20"/>
                <w:lang w:val="en-CA"/>
              </w:rPr>
            </w:pPr>
            <w:hyperlink r:id="rId11" w:history="1">
              <w:r w:rsidR="000B741A" w:rsidRPr="00C64913">
                <w:rPr>
                  <w:rFonts w:eastAsiaTheme="minorHAnsi" w:cstheme="minorBidi"/>
                  <w:color w:val="0000FF" w:themeColor="hyperlink"/>
                  <w:sz w:val="20"/>
                  <w:u w:val="single"/>
                  <w:lang w:val="en-CA"/>
                </w:rPr>
                <w:t>2013 NSSC 342</w:t>
              </w:r>
            </w:hyperlink>
          </w:p>
          <w:p w:rsidR="000B741A" w:rsidRPr="000B741A" w:rsidRDefault="000B741A" w:rsidP="000B741A">
            <w:pPr>
              <w:jc w:val="both"/>
              <w:rPr>
                <w:rFonts w:eastAsiaTheme="minorHAnsi" w:cstheme="minorBidi"/>
                <w:sz w:val="20"/>
                <w:lang w:val="en-CA"/>
              </w:rPr>
            </w:pPr>
          </w:p>
        </w:tc>
        <w:tc>
          <w:tcPr>
            <w:tcW w:w="243" w:type="pct"/>
          </w:tcPr>
          <w:p w:rsidR="000B741A" w:rsidRPr="000B741A" w:rsidRDefault="000B741A" w:rsidP="000B741A">
            <w:pPr>
              <w:jc w:val="both"/>
              <w:rPr>
                <w:rFonts w:eastAsiaTheme="minorHAnsi" w:cstheme="minorBidi"/>
                <w:sz w:val="20"/>
                <w:lang w:val="en-CA"/>
              </w:rPr>
            </w:pPr>
          </w:p>
        </w:tc>
        <w:tc>
          <w:tcPr>
            <w:tcW w:w="2330" w:type="pct"/>
          </w:tcPr>
          <w:p w:rsidR="000B741A" w:rsidRPr="000B741A" w:rsidRDefault="000B741A" w:rsidP="00BF718E">
            <w:pPr>
              <w:jc w:val="both"/>
              <w:rPr>
                <w:rFonts w:eastAsiaTheme="minorHAnsi" w:cstheme="minorBidi"/>
                <w:sz w:val="20"/>
                <w:lang w:val="en-CA"/>
              </w:rPr>
            </w:pPr>
            <w:r w:rsidRPr="000B741A">
              <w:rPr>
                <w:rFonts w:eastAsiaTheme="minorHAnsi" w:cstheme="minorBidi"/>
                <w:sz w:val="20"/>
                <w:lang w:val="en-CA"/>
              </w:rPr>
              <w:t>Order that husband required to pay spousal support of $15,000 per month. Husband’s shares in employer’s company held to be business assets and exempt from division.</w:t>
            </w:r>
          </w:p>
        </w:tc>
      </w:tr>
      <w:tr w:rsidR="000B741A" w:rsidRPr="000B741A" w:rsidTr="002C501E">
        <w:tc>
          <w:tcPr>
            <w:tcW w:w="2427" w:type="pct"/>
            <w:gridSpan w:val="2"/>
          </w:tcPr>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February 3, 2015</w:t>
            </w: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Nova Scotia Court of Appeal</w:t>
            </w: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 xml:space="preserve">(Hamilton, </w:t>
            </w:r>
            <w:proofErr w:type="spellStart"/>
            <w:r w:rsidRPr="000B741A">
              <w:rPr>
                <w:rFonts w:eastAsiaTheme="minorHAnsi" w:cstheme="minorBidi"/>
                <w:sz w:val="20"/>
                <w:lang w:val="en-CA"/>
              </w:rPr>
              <w:t>Scanlan</w:t>
            </w:r>
            <w:proofErr w:type="spellEnd"/>
            <w:r w:rsidRPr="000B741A">
              <w:rPr>
                <w:rFonts w:eastAsiaTheme="minorHAnsi" w:cstheme="minorBidi"/>
                <w:sz w:val="20"/>
                <w:lang w:val="en-CA"/>
              </w:rPr>
              <w:t xml:space="preserve">  and Bourgeois JJ.A.)</w:t>
            </w:r>
          </w:p>
          <w:p w:rsidR="000B741A" w:rsidRPr="000B741A" w:rsidRDefault="00665CCF" w:rsidP="000B741A">
            <w:pPr>
              <w:jc w:val="both"/>
              <w:rPr>
                <w:rFonts w:eastAsiaTheme="minorHAnsi" w:cstheme="minorBidi"/>
                <w:sz w:val="20"/>
                <w:lang w:val="en-CA"/>
              </w:rPr>
            </w:pPr>
            <w:hyperlink r:id="rId12" w:history="1">
              <w:r w:rsidR="000B741A" w:rsidRPr="00C64913">
                <w:rPr>
                  <w:rFonts w:eastAsiaTheme="minorHAnsi" w:cstheme="minorBidi"/>
                  <w:color w:val="0000FF" w:themeColor="hyperlink"/>
                  <w:sz w:val="20"/>
                  <w:u w:val="single"/>
                  <w:lang w:val="en-CA"/>
                </w:rPr>
                <w:t>2015 NSCA 11</w:t>
              </w:r>
            </w:hyperlink>
          </w:p>
          <w:p w:rsidR="000B741A" w:rsidRPr="000B741A" w:rsidRDefault="000B741A" w:rsidP="000B741A">
            <w:pPr>
              <w:jc w:val="both"/>
              <w:rPr>
                <w:rFonts w:eastAsiaTheme="minorHAnsi" w:cstheme="minorBidi"/>
                <w:sz w:val="20"/>
                <w:lang w:val="en-CA"/>
              </w:rPr>
            </w:pPr>
          </w:p>
        </w:tc>
        <w:tc>
          <w:tcPr>
            <w:tcW w:w="243" w:type="pct"/>
          </w:tcPr>
          <w:p w:rsidR="000B741A" w:rsidRPr="000B741A" w:rsidRDefault="000B741A" w:rsidP="000B741A">
            <w:pPr>
              <w:jc w:val="both"/>
              <w:rPr>
                <w:rFonts w:eastAsiaTheme="minorHAnsi" w:cstheme="minorBidi"/>
                <w:sz w:val="20"/>
                <w:lang w:val="en-CA"/>
              </w:rPr>
            </w:pPr>
          </w:p>
        </w:tc>
        <w:tc>
          <w:tcPr>
            <w:tcW w:w="2330" w:type="pct"/>
          </w:tcPr>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Applicant’s appeal dismissed except with respect to spousal support, which was increased to $20,000 per month retroactive to November 2013. Husband’s cross-appeal on costs dismissed.</w:t>
            </w:r>
          </w:p>
          <w:p w:rsidR="000B741A" w:rsidRPr="000B741A" w:rsidRDefault="000B741A" w:rsidP="000B741A">
            <w:pPr>
              <w:jc w:val="both"/>
              <w:rPr>
                <w:rFonts w:eastAsiaTheme="minorHAnsi" w:cstheme="minorBidi"/>
                <w:sz w:val="20"/>
                <w:lang w:val="en-CA"/>
              </w:rPr>
            </w:pPr>
          </w:p>
        </w:tc>
      </w:tr>
      <w:tr w:rsidR="000B741A" w:rsidRPr="000B741A" w:rsidTr="002C501E">
        <w:tc>
          <w:tcPr>
            <w:tcW w:w="2427" w:type="pct"/>
            <w:gridSpan w:val="2"/>
          </w:tcPr>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April 7, 2015</w:t>
            </w:r>
          </w:p>
          <w:p w:rsidR="000B741A" w:rsidRPr="000B741A" w:rsidRDefault="000B741A" w:rsidP="000B741A">
            <w:pPr>
              <w:jc w:val="both"/>
              <w:rPr>
                <w:rFonts w:eastAsiaTheme="minorHAnsi" w:cstheme="minorBidi"/>
                <w:sz w:val="20"/>
                <w:lang w:val="en-CA"/>
              </w:rPr>
            </w:pPr>
            <w:r w:rsidRPr="000B741A">
              <w:rPr>
                <w:rFonts w:eastAsiaTheme="minorHAnsi" w:cstheme="minorBidi"/>
                <w:sz w:val="20"/>
                <w:lang w:val="en-CA"/>
              </w:rPr>
              <w:t>Supreme Court of Canada</w:t>
            </w:r>
          </w:p>
        </w:tc>
        <w:tc>
          <w:tcPr>
            <w:tcW w:w="243" w:type="pct"/>
          </w:tcPr>
          <w:p w:rsidR="000B741A" w:rsidRPr="000B741A" w:rsidRDefault="000B741A" w:rsidP="000B741A">
            <w:pPr>
              <w:jc w:val="both"/>
              <w:rPr>
                <w:rFonts w:eastAsiaTheme="minorHAnsi" w:cstheme="minorBidi"/>
                <w:sz w:val="20"/>
                <w:lang w:val="en-CA"/>
              </w:rPr>
            </w:pPr>
          </w:p>
        </w:tc>
        <w:tc>
          <w:tcPr>
            <w:tcW w:w="2330" w:type="pct"/>
          </w:tcPr>
          <w:p w:rsidR="000B741A" w:rsidRPr="000B741A" w:rsidRDefault="000B741A" w:rsidP="00BF718E">
            <w:pPr>
              <w:jc w:val="both"/>
              <w:rPr>
                <w:rFonts w:eastAsiaTheme="minorHAnsi" w:cstheme="minorBidi"/>
                <w:sz w:val="20"/>
                <w:lang w:val="en-CA"/>
              </w:rPr>
            </w:pPr>
            <w:r w:rsidRPr="000B741A">
              <w:rPr>
                <w:rFonts w:eastAsiaTheme="minorHAnsi" w:cstheme="minorBidi"/>
                <w:sz w:val="20"/>
                <w:lang w:val="en-CA"/>
              </w:rPr>
              <w:t>Application for leave to appeal filed.</w:t>
            </w:r>
          </w:p>
        </w:tc>
      </w:tr>
    </w:tbl>
    <w:p w:rsidR="000B741A" w:rsidRPr="000B741A" w:rsidRDefault="000B741A" w:rsidP="000B741A">
      <w:pPr>
        <w:jc w:val="both"/>
        <w:rPr>
          <w:rFonts w:eastAsiaTheme="minorHAnsi" w:cstheme="minorBidi"/>
          <w:sz w:val="20"/>
          <w:lang w:val="en-CA"/>
        </w:rPr>
      </w:pPr>
    </w:p>
    <w:p w:rsidR="009550BB" w:rsidRPr="00C64913" w:rsidRDefault="009550BB" w:rsidP="009550BB">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B741A" w:rsidRPr="00665CCF" w:rsidTr="002C501E">
        <w:tc>
          <w:tcPr>
            <w:tcW w:w="543" w:type="pct"/>
          </w:tcPr>
          <w:p w:rsidR="000B741A" w:rsidRPr="000B741A" w:rsidRDefault="000B741A" w:rsidP="000B741A">
            <w:pPr>
              <w:jc w:val="both"/>
              <w:rPr>
                <w:rFonts w:eastAsiaTheme="minorHAnsi" w:cstheme="minorBidi"/>
                <w:sz w:val="20"/>
                <w:lang w:val="fr-CA"/>
              </w:rPr>
            </w:pPr>
            <w:r w:rsidRPr="00C64913">
              <w:rPr>
                <w:rFonts w:eastAsiaTheme="minorHAnsi" w:cstheme="minorBidi"/>
                <w:b/>
                <w:sz w:val="20"/>
                <w:lang w:val="fr-CA"/>
              </w:rPr>
              <w:t>36384</w:t>
            </w:r>
          </w:p>
        </w:tc>
        <w:tc>
          <w:tcPr>
            <w:tcW w:w="4457" w:type="pct"/>
            <w:gridSpan w:val="3"/>
          </w:tcPr>
          <w:p w:rsidR="000B741A" w:rsidRPr="000B741A" w:rsidRDefault="000B741A" w:rsidP="000B741A">
            <w:pPr>
              <w:jc w:val="both"/>
              <w:rPr>
                <w:rFonts w:eastAsiaTheme="minorHAnsi" w:cstheme="minorBidi"/>
                <w:b/>
                <w:sz w:val="20"/>
              </w:rPr>
            </w:pPr>
            <w:r w:rsidRPr="000B741A">
              <w:rPr>
                <w:rFonts w:eastAsiaTheme="minorHAnsi" w:cstheme="minorBidi"/>
                <w:b/>
                <w:sz w:val="20"/>
              </w:rPr>
              <w:t xml:space="preserve">Susan </w:t>
            </w:r>
            <w:proofErr w:type="spellStart"/>
            <w:r w:rsidRPr="000B741A">
              <w:rPr>
                <w:rFonts w:eastAsiaTheme="minorHAnsi" w:cstheme="minorBidi"/>
                <w:b/>
                <w:sz w:val="20"/>
              </w:rPr>
              <w:t>Scheuermann</w:t>
            </w:r>
            <w:proofErr w:type="spellEnd"/>
            <w:r w:rsidRPr="000B741A">
              <w:rPr>
                <w:rFonts w:eastAsiaTheme="minorHAnsi" w:cstheme="minorBidi"/>
                <w:b/>
                <w:sz w:val="20"/>
              </w:rPr>
              <w:t xml:space="preserve"> </w:t>
            </w:r>
            <w:proofErr w:type="spellStart"/>
            <w:r w:rsidRPr="000B741A">
              <w:rPr>
                <w:rFonts w:eastAsiaTheme="minorHAnsi" w:cstheme="minorBidi"/>
                <w:b/>
                <w:sz w:val="20"/>
              </w:rPr>
              <w:t>Volcko</w:t>
            </w:r>
            <w:proofErr w:type="spellEnd"/>
            <w:r w:rsidRPr="000B741A">
              <w:rPr>
                <w:rFonts w:eastAsiaTheme="minorHAnsi" w:cstheme="minorBidi"/>
                <w:b/>
                <w:sz w:val="20"/>
              </w:rPr>
              <w:t xml:space="preserve"> c. John B. </w:t>
            </w:r>
            <w:proofErr w:type="spellStart"/>
            <w:r w:rsidRPr="000B741A">
              <w:rPr>
                <w:rFonts w:eastAsiaTheme="minorHAnsi" w:cstheme="minorBidi"/>
                <w:b/>
                <w:sz w:val="20"/>
              </w:rPr>
              <w:t>Volcko</w:t>
            </w:r>
            <w:proofErr w:type="spellEnd"/>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(N.-É.) (Civile) (Sur autorisation)</w:t>
            </w:r>
          </w:p>
        </w:tc>
      </w:tr>
      <w:tr w:rsidR="000B741A" w:rsidRPr="00665CCF" w:rsidTr="002C501E">
        <w:tc>
          <w:tcPr>
            <w:tcW w:w="5000" w:type="pct"/>
            <w:gridSpan w:val="4"/>
          </w:tcPr>
          <w:p w:rsidR="000B741A" w:rsidRPr="000B741A" w:rsidRDefault="000B741A" w:rsidP="000B741A">
            <w:pPr>
              <w:jc w:val="both"/>
              <w:rPr>
                <w:rFonts w:eastAsiaTheme="minorHAnsi" w:cstheme="minorBidi"/>
                <w:sz w:val="20"/>
                <w:lang w:val="fr-CA"/>
              </w:rPr>
            </w:pP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 xml:space="preserve">Droit de la famille – Biens familiaux – Biens d’entreprise – Exemption du partage – Acquisition par l’époux au cours du mariage de parts dans la compagnie qui l’employait– Quel est le critère applicable aux biens d’entreprise qui tient compte de l’objet, en 2015, de la législation régissant les biens matrimoniaux au Nouveau-Brunswick, en Nouvelle-Écosse et à Terre-Neuve? – Comment faut-il interpréter la norme de contrôle applicable à l’égard d’actions en mesures accessoires intentées en vertu de la </w:t>
            </w:r>
            <w:r w:rsidRPr="000B741A">
              <w:rPr>
                <w:rFonts w:eastAsiaTheme="minorHAnsi" w:cstheme="minorBidi"/>
                <w:i/>
                <w:sz w:val="20"/>
                <w:lang w:val="fr-CA"/>
              </w:rPr>
              <w:t>Loi sur le divorce</w:t>
            </w:r>
            <w:r w:rsidRPr="000B741A">
              <w:rPr>
                <w:rFonts w:eastAsiaTheme="minorHAnsi" w:cstheme="minorBidi"/>
                <w:sz w:val="20"/>
                <w:lang w:val="fr-CA"/>
              </w:rPr>
              <w:t>, L.R.C. 1985, c. 3 (2</w:t>
            </w:r>
            <w:r w:rsidRPr="000B741A">
              <w:rPr>
                <w:rFonts w:eastAsiaTheme="minorHAnsi" w:cstheme="minorBidi"/>
                <w:sz w:val="20"/>
                <w:vertAlign w:val="superscript"/>
                <w:lang w:val="fr-CA"/>
              </w:rPr>
              <w:t>e</w:t>
            </w:r>
            <w:r w:rsidRPr="000B741A">
              <w:rPr>
                <w:rFonts w:eastAsiaTheme="minorHAnsi" w:cstheme="minorBidi"/>
                <w:sz w:val="20"/>
                <w:lang w:val="fr-CA"/>
              </w:rPr>
              <w:t> </w:t>
            </w:r>
            <w:proofErr w:type="spellStart"/>
            <w:r w:rsidRPr="000B741A">
              <w:rPr>
                <w:rFonts w:eastAsiaTheme="minorHAnsi" w:cstheme="minorBidi"/>
                <w:sz w:val="20"/>
                <w:lang w:val="fr-CA"/>
              </w:rPr>
              <w:t>supp</w:t>
            </w:r>
            <w:proofErr w:type="spellEnd"/>
            <w:r w:rsidRPr="000B741A">
              <w:rPr>
                <w:rFonts w:eastAsiaTheme="minorHAnsi" w:cstheme="minorBidi"/>
                <w:sz w:val="20"/>
                <w:lang w:val="fr-CA"/>
              </w:rPr>
              <w:t>.) et d’affaires tombant sous le coup de la législation régissant les biens matrimoniaux dans ces provinces?</w:t>
            </w:r>
          </w:p>
        </w:tc>
      </w:tr>
      <w:tr w:rsidR="000B741A" w:rsidRPr="00665CCF" w:rsidTr="002C501E">
        <w:tc>
          <w:tcPr>
            <w:tcW w:w="5000" w:type="pct"/>
            <w:gridSpan w:val="4"/>
          </w:tcPr>
          <w:p w:rsidR="000B741A" w:rsidRPr="000B741A" w:rsidRDefault="000B741A" w:rsidP="000B741A">
            <w:pPr>
              <w:jc w:val="both"/>
              <w:rPr>
                <w:rFonts w:eastAsiaTheme="minorHAnsi" w:cstheme="minorBidi"/>
                <w:sz w:val="20"/>
                <w:lang w:val="fr-CA"/>
              </w:rPr>
            </w:pPr>
          </w:p>
        </w:tc>
      </w:tr>
      <w:tr w:rsidR="000B741A" w:rsidRPr="00665CCF" w:rsidTr="002C501E">
        <w:tc>
          <w:tcPr>
            <w:tcW w:w="5000" w:type="pct"/>
            <w:gridSpan w:val="4"/>
          </w:tcPr>
          <w:p w:rsidR="000B741A" w:rsidRPr="000B741A" w:rsidRDefault="000B741A" w:rsidP="000B741A">
            <w:pPr>
              <w:ind w:left="-12"/>
              <w:jc w:val="both"/>
              <w:rPr>
                <w:rFonts w:eastAsiaTheme="minorHAnsi" w:cstheme="minorBidi"/>
                <w:sz w:val="20"/>
                <w:lang w:val="fr-CA"/>
              </w:rPr>
            </w:pPr>
            <w:r w:rsidRPr="000B741A">
              <w:rPr>
                <w:rFonts w:eastAsiaTheme="minorHAnsi" w:cstheme="minorBidi"/>
                <w:sz w:val="20"/>
                <w:lang w:val="fr-CA"/>
              </w:rPr>
              <w:t>Mariées en 1990, les parties ont cessé de faire vie commune en 2006, lorsque l’époux a quitté le domicile familial. Deux enfants adultes sont issus du mariage, et l’un deux, un étudiant du premier cycle universitaire, est une personne à charge. Dans les premières années du mariage, l’épouse gagnait un salaire élevé, mais à la date du procès, elle ne faisait plus partie de la population active depuis 1998. D’un commun accord, les parties avaient décidé que l’épouse quitterait son emploi pour s’occuper des enfants, ce qui permettrait à l’époux une mobilité professionnelle accrue. Ce dernier gagnait environ 686 000 $ par année. Au procès, les questions en litige concernaient la date de la séparation, la caractérisation des parts du mari dans la compagnie, les prestations rétroactives et futures pour aliments au profit de l’enfant et au profit de l’épouse ainsi que le partage de certains biens matrimoniaux.</w:t>
            </w:r>
          </w:p>
          <w:p w:rsidR="000B741A" w:rsidRPr="000B741A" w:rsidRDefault="000B741A" w:rsidP="000B741A">
            <w:pPr>
              <w:jc w:val="both"/>
              <w:rPr>
                <w:rFonts w:eastAsiaTheme="minorHAnsi" w:cstheme="minorBidi"/>
                <w:sz w:val="20"/>
                <w:lang w:val="fr-CA"/>
              </w:rPr>
            </w:pPr>
          </w:p>
        </w:tc>
      </w:tr>
      <w:tr w:rsidR="000B741A" w:rsidRPr="00665CCF" w:rsidTr="002C501E">
        <w:tc>
          <w:tcPr>
            <w:tcW w:w="2427" w:type="pct"/>
            <w:gridSpan w:val="2"/>
          </w:tcPr>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30 décembre 2013</w:t>
            </w: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Cour suprême de la Nouvelle-Écosse</w:t>
            </w: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(section de la famille)</w:t>
            </w: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(Juge Beaton)</w:t>
            </w:r>
          </w:p>
          <w:p w:rsidR="000B741A" w:rsidRPr="000B741A" w:rsidRDefault="00665CCF" w:rsidP="000B741A">
            <w:pPr>
              <w:jc w:val="both"/>
              <w:rPr>
                <w:rFonts w:eastAsiaTheme="minorHAnsi" w:cstheme="minorBidi"/>
                <w:sz w:val="20"/>
                <w:lang w:val="fr-CA"/>
              </w:rPr>
            </w:pPr>
            <w:hyperlink r:id="rId13" w:history="1">
              <w:r w:rsidR="000B741A" w:rsidRPr="00C64913">
                <w:rPr>
                  <w:rFonts w:eastAsiaTheme="minorHAnsi" w:cstheme="minorBidi"/>
                  <w:color w:val="0000FF" w:themeColor="hyperlink"/>
                  <w:sz w:val="20"/>
                  <w:u w:val="single"/>
                  <w:lang w:val="fr-CA"/>
                </w:rPr>
                <w:t>2013 NSSC 342</w:t>
              </w:r>
            </w:hyperlink>
          </w:p>
          <w:p w:rsidR="000B741A" w:rsidRPr="000B741A" w:rsidRDefault="000B741A" w:rsidP="000B741A">
            <w:pPr>
              <w:jc w:val="both"/>
              <w:rPr>
                <w:rFonts w:eastAsiaTheme="minorHAnsi" w:cstheme="minorBidi"/>
                <w:sz w:val="20"/>
                <w:lang w:val="fr-CA"/>
              </w:rPr>
            </w:pPr>
          </w:p>
        </w:tc>
        <w:tc>
          <w:tcPr>
            <w:tcW w:w="243" w:type="pct"/>
          </w:tcPr>
          <w:p w:rsidR="000B741A" w:rsidRPr="000B741A" w:rsidRDefault="000B741A" w:rsidP="000B741A">
            <w:pPr>
              <w:jc w:val="both"/>
              <w:rPr>
                <w:rFonts w:eastAsiaTheme="minorHAnsi" w:cstheme="minorBidi"/>
                <w:sz w:val="20"/>
                <w:lang w:val="fr-CA"/>
              </w:rPr>
            </w:pPr>
          </w:p>
        </w:tc>
        <w:tc>
          <w:tcPr>
            <w:tcW w:w="2330" w:type="pct"/>
          </w:tcPr>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Ordonnance selon laquelle l’époux est tenu de verser une prestation pour aliments de 15 000 $ par mois au profit de l’épouse. Les parts de l’époux dans la compagnie qui l’emploie sont assimilées à des biens d’entreprise et exemptées du partage.</w:t>
            </w:r>
          </w:p>
          <w:p w:rsidR="000B741A" w:rsidRPr="000B741A" w:rsidRDefault="000B741A" w:rsidP="000B741A">
            <w:pPr>
              <w:jc w:val="both"/>
              <w:rPr>
                <w:rFonts w:eastAsiaTheme="minorHAnsi" w:cstheme="minorBidi"/>
                <w:sz w:val="20"/>
                <w:lang w:val="fr-CA"/>
              </w:rPr>
            </w:pPr>
          </w:p>
        </w:tc>
      </w:tr>
      <w:tr w:rsidR="000B741A" w:rsidRPr="00665CCF" w:rsidTr="002C501E">
        <w:tc>
          <w:tcPr>
            <w:tcW w:w="2427" w:type="pct"/>
            <w:gridSpan w:val="2"/>
          </w:tcPr>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3 février 2015</w:t>
            </w: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Cour d’appel de la Nouvelle-Écosse</w:t>
            </w: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 xml:space="preserve">(Juges Hamilton, </w:t>
            </w:r>
            <w:proofErr w:type="spellStart"/>
            <w:r w:rsidRPr="000B741A">
              <w:rPr>
                <w:rFonts w:eastAsiaTheme="minorHAnsi" w:cstheme="minorBidi"/>
                <w:sz w:val="20"/>
                <w:lang w:val="fr-CA"/>
              </w:rPr>
              <w:t>Scanlan</w:t>
            </w:r>
            <w:proofErr w:type="spellEnd"/>
            <w:r w:rsidRPr="000B741A">
              <w:rPr>
                <w:rFonts w:eastAsiaTheme="minorHAnsi" w:cstheme="minorBidi"/>
                <w:sz w:val="20"/>
                <w:lang w:val="fr-CA"/>
              </w:rPr>
              <w:t xml:space="preserve"> et Bourgeois)</w:t>
            </w:r>
          </w:p>
          <w:p w:rsidR="000B741A" w:rsidRPr="000B741A" w:rsidRDefault="00665CCF" w:rsidP="00BF718E">
            <w:pPr>
              <w:jc w:val="both"/>
              <w:rPr>
                <w:rFonts w:eastAsiaTheme="minorHAnsi" w:cstheme="minorBidi"/>
                <w:sz w:val="20"/>
                <w:lang w:val="fr-CA"/>
              </w:rPr>
            </w:pPr>
            <w:hyperlink r:id="rId14" w:history="1">
              <w:r w:rsidR="000B741A" w:rsidRPr="00C64913">
                <w:rPr>
                  <w:rFonts w:eastAsiaTheme="minorHAnsi" w:cstheme="minorBidi"/>
                  <w:color w:val="0000FF" w:themeColor="hyperlink"/>
                  <w:sz w:val="20"/>
                  <w:u w:val="single"/>
                  <w:lang w:val="fr-CA"/>
                </w:rPr>
                <w:t>2015 NSCA 11</w:t>
              </w:r>
            </w:hyperlink>
          </w:p>
        </w:tc>
        <w:tc>
          <w:tcPr>
            <w:tcW w:w="243" w:type="pct"/>
          </w:tcPr>
          <w:p w:rsidR="000B741A" w:rsidRPr="000B741A" w:rsidRDefault="000B741A" w:rsidP="000B741A">
            <w:pPr>
              <w:jc w:val="both"/>
              <w:rPr>
                <w:rFonts w:eastAsiaTheme="minorHAnsi" w:cstheme="minorBidi"/>
                <w:sz w:val="20"/>
                <w:lang w:val="fr-CA"/>
              </w:rPr>
            </w:pPr>
          </w:p>
        </w:tc>
        <w:tc>
          <w:tcPr>
            <w:tcW w:w="2330" w:type="pct"/>
          </w:tcPr>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 xml:space="preserve">Rejet de l’appel interjeté par la demanderesse, sauf à l’égard du montant de l’obligation alimentaire au profit de l’épouse, dont le montant est augmenté </w:t>
            </w:r>
            <w:r w:rsidRPr="000B741A">
              <w:rPr>
                <w:rFonts w:eastAsiaTheme="minorHAnsi" w:cstheme="minorBidi"/>
                <w:sz w:val="20"/>
                <w:lang w:val="fr-CA"/>
              </w:rPr>
              <w:lastRenderedPageBreak/>
              <w:t>rétroactivement à compter de novembre 2013. L’obligation alimentaire est établie à 20 000 $ par mois. Rejet de l’appel incident interjeté par l’époux à l’égard des dépens.</w:t>
            </w:r>
          </w:p>
          <w:p w:rsidR="000B741A" w:rsidRPr="000B741A" w:rsidRDefault="000B741A" w:rsidP="000B741A">
            <w:pPr>
              <w:jc w:val="both"/>
              <w:rPr>
                <w:rFonts w:eastAsiaTheme="minorHAnsi" w:cstheme="minorBidi"/>
                <w:sz w:val="20"/>
                <w:lang w:val="fr-CA"/>
              </w:rPr>
            </w:pPr>
          </w:p>
        </w:tc>
      </w:tr>
      <w:tr w:rsidR="000B741A" w:rsidRPr="00665CCF" w:rsidTr="002C501E">
        <w:tc>
          <w:tcPr>
            <w:tcW w:w="2427" w:type="pct"/>
            <w:gridSpan w:val="2"/>
          </w:tcPr>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lastRenderedPageBreak/>
              <w:t>7 avril 2015</w:t>
            </w:r>
          </w:p>
          <w:p w:rsidR="000B741A" w:rsidRPr="000B741A" w:rsidRDefault="000B741A" w:rsidP="000B741A">
            <w:pPr>
              <w:jc w:val="both"/>
              <w:rPr>
                <w:rFonts w:eastAsiaTheme="minorHAnsi" w:cstheme="minorBidi"/>
                <w:sz w:val="20"/>
                <w:lang w:val="fr-CA"/>
              </w:rPr>
            </w:pPr>
            <w:r w:rsidRPr="000B741A">
              <w:rPr>
                <w:rFonts w:eastAsiaTheme="minorHAnsi" w:cstheme="minorBidi"/>
                <w:sz w:val="20"/>
                <w:lang w:val="fr-CA"/>
              </w:rPr>
              <w:t>Cour suprême du Canada</w:t>
            </w:r>
          </w:p>
        </w:tc>
        <w:tc>
          <w:tcPr>
            <w:tcW w:w="243" w:type="pct"/>
          </w:tcPr>
          <w:p w:rsidR="000B741A" w:rsidRPr="000B741A" w:rsidRDefault="000B741A" w:rsidP="000B741A">
            <w:pPr>
              <w:jc w:val="both"/>
              <w:rPr>
                <w:rFonts w:eastAsiaTheme="minorHAnsi" w:cstheme="minorBidi"/>
                <w:sz w:val="20"/>
                <w:lang w:val="fr-CA"/>
              </w:rPr>
            </w:pPr>
          </w:p>
        </w:tc>
        <w:tc>
          <w:tcPr>
            <w:tcW w:w="2330" w:type="pct"/>
          </w:tcPr>
          <w:p w:rsidR="000B741A" w:rsidRPr="000B741A" w:rsidRDefault="000B741A" w:rsidP="00060460">
            <w:pPr>
              <w:jc w:val="both"/>
              <w:rPr>
                <w:rFonts w:eastAsiaTheme="minorHAnsi" w:cstheme="minorBidi"/>
                <w:sz w:val="20"/>
                <w:lang w:val="fr-CA"/>
              </w:rPr>
            </w:pPr>
            <w:r w:rsidRPr="000B741A">
              <w:rPr>
                <w:rFonts w:eastAsiaTheme="minorHAnsi" w:cstheme="minorBidi"/>
                <w:sz w:val="20"/>
                <w:lang w:val="fr-CA"/>
              </w:rPr>
              <w:t>Dépôt de la demande d’autorisation.</w:t>
            </w:r>
          </w:p>
        </w:tc>
      </w:tr>
    </w:tbl>
    <w:p w:rsidR="000B741A" w:rsidRPr="000B741A" w:rsidRDefault="000B741A" w:rsidP="000B741A">
      <w:pPr>
        <w:jc w:val="both"/>
        <w:rPr>
          <w:rFonts w:eastAsiaTheme="minorHAnsi" w:cstheme="minorBidi"/>
          <w:sz w:val="20"/>
          <w:lang w:val="fr-CA"/>
        </w:rPr>
      </w:pPr>
    </w:p>
    <w:p w:rsidR="00914302" w:rsidRPr="00665CCF" w:rsidRDefault="00914302" w:rsidP="009550BB">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00FD" w:rsidRPr="005E00FD" w:rsidTr="002C501E">
        <w:tc>
          <w:tcPr>
            <w:tcW w:w="543" w:type="pct"/>
          </w:tcPr>
          <w:p w:rsidR="005E00FD" w:rsidRPr="005E00FD" w:rsidRDefault="005E00FD" w:rsidP="005E00FD">
            <w:pPr>
              <w:jc w:val="both"/>
              <w:rPr>
                <w:rFonts w:eastAsiaTheme="minorHAnsi" w:cstheme="minorBidi"/>
                <w:sz w:val="20"/>
                <w:lang w:val="en-CA"/>
              </w:rPr>
            </w:pPr>
            <w:r w:rsidRPr="00C64913">
              <w:rPr>
                <w:rFonts w:eastAsiaTheme="minorHAnsi" w:cstheme="minorBidi"/>
                <w:b/>
                <w:sz w:val="20"/>
                <w:lang w:val="en-CA"/>
              </w:rPr>
              <w:t>36422</w:t>
            </w:r>
          </w:p>
        </w:tc>
        <w:tc>
          <w:tcPr>
            <w:tcW w:w="4457" w:type="pct"/>
            <w:gridSpan w:val="3"/>
          </w:tcPr>
          <w:p w:rsidR="005E00FD" w:rsidRPr="005E00FD" w:rsidRDefault="005E00FD" w:rsidP="005E00FD">
            <w:pPr>
              <w:jc w:val="both"/>
              <w:rPr>
                <w:rFonts w:eastAsiaTheme="minorHAnsi" w:cstheme="minorBidi"/>
                <w:b/>
                <w:sz w:val="20"/>
                <w:lang w:val="en-CA"/>
              </w:rPr>
            </w:pPr>
            <w:r w:rsidRPr="005E00FD">
              <w:rPr>
                <w:rFonts w:eastAsiaTheme="minorHAnsi" w:cstheme="minorBidi"/>
                <w:b/>
                <w:sz w:val="20"/>
                <w:lang w:val="en-CA"/>
              </w:rPr>
              <w:t xml:space="preserve">Albert </w:t>
            </w:r>
            <w:proofErr w:type="spellStart"/>
            <w:r w:rsidRPr="005E00FD">
              <w:rPr>
                <w:rFonts w:eastAsiaTheme="minorHAnsi" w:cstheme="minorBidi"/>
                <w:b/>
                <w:sz w:val="20"/>
                <w:lang w:val="en-CA"/>
              </w:rPr>
              <w:t>Ngambo</w:t>
            </w:r>
            <w:proofErr w:type="spellEnd"/>
            <w:r w:rsidRPr="005E00FD">
              <w:rPr>
                <w:rFonts w:eastAsiaTheme="minorHAnsi" w:cstheme="minorBidi"/>
                <w:b/>
                <w:sz w:val="20"/>
                <w:lang w:val="en-CA"/>
              </w:rPr>
              <w:t xml:space="preserve"> v. Her Majesty the Queen</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(N.B.) (Criminal) (By Leave)</w:t>
            </w: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 xml:space="preserve">Criminal law – Miscellaneous motions – Private </w:t>
            </w:r>
            <w:proofErr w:type="spellStart"/>
            <w:r w:rsidRPr="005E00FD">
              <w:rPr>
                <w:rFonts w:eastAsiaTheme="minorHAnsi" w:cstheme="minorBidi"/>
                <w:sz w:val="20"/>
                <w:lang w:val="en-CA"/>
              </w:rPr>
              <w:t>informations</w:t>
            </w:r>
            <w:proofErr w:type="spellEnd"/>
            <w:r w:rsidRPr="005E00FD">
              <w:rPr>
                <w:rFonts w:eastAsiaTheme="minorHAnsi" w:cstheme="minorBidi"/>
                <w:sz w:val="20"/>
                <w:lang w:val="en-CA"/>
              </w:rPr>
              <w:t xml:space="preserve"> – Production of transcripts – Legal aid – Whether Court of Appeal erred in dismissing miscellaneous motions brought by applicant.</w:t>
            </w: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The Court of Queen’s Bench dismissed miscellaneous motions brought by the applicant, Mr. </w:t>
            </w:r>
            <w:proofErr w:type="spellStart"/>
            <w:r w:rsidRPr="005E00FD">
              <w:rPr>
                <w:rFonts w:eastAsiaTheme="minorHAnsi" w:cstheme="minorBidi"/>
                <w:sz w:val="20"/>
                <w:lang w:val="en-CA"/>
              </w:rPr>
              <w:t>Ngambo</w:t>
            </w:r>
            <w:proofErr w:type="spellEnd"/>
            <w:r w:rsidRPr="005E00FD">
              <w:rPr>
                <w:rFonts w:eastAsiaTheme="minorHAnsi" w:cstheme="minorBidi"/>
                <w:sz w:val="20"/>
                <w:lang w:val="en-CA"/>
              </w:rPr>
              <w:t xml:space="preserve">. One of the motions concerned an appeal from an administrative decision by the Provincial Court refusing to receive the </w:t>
            </w:r>
            <w:proofErr w:type="spellStart"/>
            <w:r w:rsidRPr="005E00FD">
              <w:rPr>
                <w:rFonts w:eastAsiaTheme="minorHAnsi" w:cstheme="minorBidi"/>
                <w:sz w:val="20"/>
                <w:lang w:val="en-CA"/>
              </w:rPr>
              <w:t>informations</w:t>
            </w:r>
            <w:proofErr w:type="spellEnd"/>
            <w:r w:rsidRPr="005E00FD">
              <w:rPr>
                <w:rFonts w:eastAsiaTheme="minorHAnsi" w:cstheme="minorBidi"/>
                <w:sz w:val="20"/>
                <w:lang w:val="en-CA"/>
              </w:rPr>
              <w:t xml:space="preserve"> that Mr. </w:t>
            </w:r>
            <w:proofErr w:type="spellStart"/>
            <w:r w:rsidRPr="005E00FD">
              <w:rPr>
                <w:rFonts w:eastAsiaTheme="minorHAnsi" w:cstheme="minorBidi"/>
                <w:sz w:val="20"/>
                <w:lang w:val="en-CA"/>
              </w:rPr>
              <w:t>Ngambo</w:t>
            </w:r>
            <w:proofErr w:type="spellEnd"/>
            <w:r w:rsidRPr="005E00FD">
              <w:rPr>
                <w:rFonts w:eastAsiaTheme="minorHAnsi" w:cstheme="minorBidi"/>
                <w:sz w:val="20"/>
                <w:lang w:val="en-CA"/>
              </w:rPr>
              <w:t xml:space="preserve"> wanted to file against certain judges, Crown prosecutors and police officers. The Provincial Court found that the </w:t>
            </w:r>
            <w:proofErr w:type="spellStart"/>
            <w:r w:rsidRPr="005E00FD">
              <w:rPr>
                <w:rFonts w:eastAsiaTheme="minorHAnsi" w:cstheme="minorBidi"/>
                <w:sz w:val="20"/>
                <w:lang w:val="en-CA"/>
              </w:rPr>
              <w:t>informations</w:t>
            </w:r>
            <w:proofErr w:type="spellEnd"/>
            <w:r w:rsidRPr="005E00FD">
              <w:rPr>
                <w:rFonts w:eastAsiaTheme="minorHAnsi" w:cstheme="minorBidi"/>
                <w:sz w:val="20"/>
                <w:lang w:val="en-CA"/>
              </w:rPr>
              <w:t xml:space="preserve"> were vexatious, as did the Court of Queen’s Bench. In his second motion, Mr. </w:t>
            </w:r>
            <w:proofErr w:type="spellStart"/>
            <w:r w:rsidRPr="005E00FD">
              <w:rPr>
                <w:rFonts w:eastAsiaTheme="minorHAnsi" w:cstheme="minorBidi"/>
                <w:sz w:val="20"/>
                <w:lang w:val="en-CA"/>
              </w:rPr>
              <w:t>Ngambo</w:t>
            </w:r>
            <w:proofErr w:type="spellEnd"/>
            <w:r w:rsidRPr="005E00FD">
              <w:rPr>
                <w:rFonts w:eastAsiaTheme="minorHAnsi" w:cstheme="minorBidi"/>
                <w:sz w:val="20"/>
                <w:lang w:val="en-CA"/>
              </w:rPr>
              <w:t xml:space="preserve"> sought an order for the production of a hearing transcript. He had also asked the Court to order an adjournment. The Court refused. Finally, the Court of Queen’s Bench refused to order that legal aid be provided to Mr. </w:t>
            </w:r>
            <w:proofErr w:type="spellStart"/>
            <w:r w:rsidRPr="005E00FD">
              <w:rPr>
                <w:rFonts w:eastAsiaTheme="minorHAnsi" w:cstheme="minorBidi"/>
                <w:sz w:val="20"/>
                <w:lang w:val="en-CA"/>
              </w:rPr>
              <w:t>Ngambo</w:t>
            </w:r>
            <w:proofErr w:type="spellEnd"/>
            <w:r w:rsidRPr="005E00FD">
              <w:rPr>
                <w:rFonts w:eastAsiaTheme="minorHAnsi" w:cstheme="minorBidi"/>
                <w:sz w:val="20"/>
                <w:lang w:val="en-CA"/>
              </w:rPr>
              <w:t>, explaining that it did not have jurisdiction to do so. The Court of Appeal also dismissed miscellaneous motions brought by Mr. </w:t>
            </w:r>
            <w:proofErr w:type="spellStart"/>
            <w:r w:rsidRPr="005E00FD">
              <w:rPr>
                <w:rFonts w:eastAsiaTheme="minorHAnsi" w:cstheme="minorBidi"/>
                <w:sz w:val="20"/>
                <w:lang w:val="en-CA"/>
              </w:rPr>
              <w:t>Ngambo</w:t>
            </w:r>
            <w:proofErr w:type="spellEnd"/>
            <w:r w:rsidRPr="005E00FD">
              <w:rPr>
                <w:rFonts w:eastAsiaTheme="minorHAnsi" w:cstheme="minorBidi"/>
                <w:sz w:val="20"/>
                <w:lang w:val="en-CA"/>
              </w:rPr>
              <w:t>.</w:t>
            </w:r>
          </w:p>
          <w:p w:rsidR="005E00FD" w:rsidRPr="005E00FD" w:rsidRDefault="005E00FD" w:rsidP="005E00FD">
            <w:pPr>
              <w:jc w:val="both"/>
              <w:rPr>
                <w:rFonts w:eastAsiaTheme="minorHAnsi" w:cstheme="minorBidi"/>
                <w:sz w:val="20"/>
                <w:lang w:val="en-CA"/>
              </w:rPr>
            </w:pP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April 15, 2014</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New Brunswick Court of Queen’s Bench</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(Ouellette J.)</w:t>
            </w:r>
          </w:p>
          <w:p w:rsidR="005E00FD" w:rsidRPr="005E00FD" w:rsidRDefault="005E00FD" w:rsidP="005E00FD">
            <w:pPr>
              <w:jc w:val="both"/>
              <w:rPr>
                <w:rFonts w:eastAsiaTheme="minorHAnsi" w:cstheme="minorBidi"/>
                <w:sz w:val="20"/>
                <w:lang w:val="en-CA"/>
              </w:rPr>
            </w:pP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 xml:space="preserve">Appeal and motions dismissed </w:t>
            </w: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October 27, 2014</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New Brunswick Court of Appeal</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(Bell J.A.)</w:t>
            </w:r>
          </w:p>
          <w:p w:rsidR="005E00FD" w:rsidRPr="005E00FD" w:rsidRDefault="00665CCF" w:rsidP="005E00FD">
            <w:pPr>
              <w:jc w:val="both"/>
              <w:rPr>
                <w:rFonts w:eastAsiaTheme="minorHAnsi" w:cstheme="minorBidi"/>
                <w:sz w:val="20"/>
                <w:lang w:val="en-CA"/>
              </w:rPr>
            </w:pPr>
            <w:hyperlink r:id="rId15" w:history="1">
              <w:r w:rsidR="005E00FD" w:rsidRPr="00C64913">
                <w:rPr>
                  <w:rFonts w:eastAsiaTheme="minorHAnsi" w:cstheme="minorBidi"/>
                  <w:color w:val="0000FF" w:themeColor="hyperlink"/>
                  <w:sz w:val="20"/>
                  <w:u w:val="single"/>
                  <w:lang w:val="en-CA"/>
                </w:rPr>
                <w:t>2014 CanLII 63753 (NB CA)</w:t>
              </w:r>
            </w:hyperlink>
          </w:p>
          <w:p w:rsidR="005E00FD" w:rsidRPr="005E00FD" w:rsidRDefault="005E00FD" w:rsidP="005E00FD">
            <w:pPr>
              <w:jc w:val="both"/>
              <w:rPr>
                <w:rFonts w:eastAsiaTheme="minorHAnsi" w:cstheme="minorBidi"/>
                <w:sz w:val="20"/>
                <w:lang w:val="en-CA"/>
              </w:rPr>
            </w:pP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060460">
            <w:pPr>
              <w:jc w:val="both"/>
              <w:rPr>
                <w:rFonts w:eastAsiaTheme="minorHAnsi" w:cstheme="minorBidi"/>
                <w:sz w:val="20"/>
                <w:lang w:val="en-CA"/>
              </w:rPr>
            </w:pPr>
            <w:r w:rsidRPr="005E00FD">
              <w:rPr>
                <w:rFonts w:eastAsiaTheme="minorHAnsi" w:cstheme="minorBidi"/>
                <w:sz w:val="20"/>
                <w:lang w:val="en-CA"/>
              </w:rPr>
              <w:t>Motions dismissed</w:t>
            </w: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May 4, 2015</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Supreme Court of Canada</w:t>
            </w: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060460">
            <w:pPr>
              <w:jc w:val="both"/>
              <w:rPr>
                <w:rFonts w:eastAsiaTheme="minorHAnsi" w:cstheme="minorBidi"/>
                <w:sz w:val="20"/>
                <w:lang w:val="en-CA"/>
              </w:rPr>
            </w:pPr>
            <w:r w:rsidRPr="005E00FD">
              <w:rPr>
                <w:rFonts w:eastAsiaTheme="minorHAnsi" w:cstheme="minorBidi"/>
                <w:sz w:val="20"/>
                <w:lang w:val="en-CA"/>
              </w:rPr>
              <w:t>Motion to extend time, motion to file memorandum of argument exceeding 20 pages, miscellaneous motion and application for leave to appeal filed</w:t>
            </w:r>
          </w:p>
        </w:tc>
      </w:tr>
    </w:tbl>
    <w:p w:rsidR="005E00FD" w:rsidRPr="005E00FD" w:rsidRDefault="005E00FD" w:rsidP="005E00FD">
      <w:pPr>
        <w:jc w:val="both"/>
        <w:rPr>
          <w:rFonts w:eastAsiaTheme="minorHAnsi" w:cstheme="minorBidi"/>
          <w:sz w:val="20"/>
          <w:lang w:val="en-CA"/>
        </w:rPr>
      </w:pPr>
    </w:p>
    <w:p w:rsidR="00914302" w:rsidRPr="00C64913" w:rsidRDefault="00914302" w:rsidP="009550BB">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00FD" w:rsidRPr="005E00FD" w:rsidTr="002C501E">
        <w:tc>
          <w:tcPr>
            <w:tcW w:w="543" w:type="pct"/>
          </w:tcPr>
          <w:p w:rsidR="005E00FD" w:rsidRPr="005E00FD" w:rsidRDefault="005E00FD" w:rsidP="005E00FD">
            <w:pPr>
              <w:jc w:val="both"/>
              <w:rPr>
                <w:rFonts w:eastAsiaTheme="minorHAnsi" w:cstheme="minorBidi"/>
                <w:sz w:val="20"/>
                <w:lang w:val="fr-CA"/>
              </w:rPr>
            </w:pPr>
            <w:r w:rsidRPr="00C64913">
              <w:rPr>
                <w:rFonts w:eastAsiaTheme="minorHAnsi" w:cstheme="minorBidi"/>
                <w:b/>
                <w:sz w:val="20"/>
                <w:lang w:val="en-CA"/>
              </w:rPr>
              <w:t>36422</w:t>
            </w:r>
          </w:p>
        </w:tc>
        <w:tc>
          <w:tcPr>
            <w:tcW w:w="4457" w:type="pct"/>
            <w:gridSpan w:val="3"/>
          </w:tcPr>
          <w:p w:rsidR="005E00FD" w:rsidRPr="005E00FD" w:rsidRDefault="005E00FD" w:rsidP="005E00FD">
            <w:pPr>
              <w:jc w:val="both"/>
              <w:rPr>
                <w:rFonts w:eastAsiaTheme="minorHAnsi" w:cstheme="minorBidi"/>
                <w:b/>
                <w:sz w:val="20"/>
                <w:lang w:val="fr-CA"/>
              </w:rPr>
            </w:pPr>
            <w:r w:rsidRPr="005E00FD">
              <w:rPr>
                <w:rFonts w:eastAsiaTheme="minorHAnsi" w:cstheme="minorBidi"/>
                <w:b/>
                <w:sz w:val="20"/>
                <w:lang w:val="fr-CA"/>
              </w:rPr>
              <w:t xml:space="preserve">Albert </w:t>
            </w:r>
            <w:proofErr w:type="spellStart"/>
            <w:r w:rsidRPr="005E00FD">
              <w:rPr>
                <w:rFonts w:eastAsiaTheme="minorHAnsi" w:cstheme="minorBidi"/>
                <w:b/>
                <w:sz w:val="20"/>
                <w:lang w:val="fr-CA"/>
              </w:rPr>
              <w:t>Ngambo</w:t>
            </w:r>
            <w:proofErr w:type="spellEnd"/>
            <w:r w:rsidRPr="005E00FD">
              <w:rPr>
                <w:rFonts w:eastAsiaTheme="minorHAnsi" w:cstheme="minorBidi"/>
                <w:b/>
                <w:sz w:val="20"/>
                <w:lang w:val="fr-CA"/>
              </w:rPr>
              <w:t xml:space="preserve"> c. Sa Majesté la Reine</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(N.-B.) (Criminel) (Autorisation)</w:t>
            </w:r>
          </w:p>
        </w:tc>
      </w:tr>
      <w:tr w:rsidR="005E00FD" w:rsidRPr="00665CCF" w:rsidTr="002C501E">
        <w:tc>
          <w:tcPr>
            <w:tcW w:w="5000" w:type="pct"/>
            <w:gridSpan w:val="4"/>
          </w:tcPr>
          <w:p w:rsidR="005E00FD" w:rsidRPr="005E00FD" w:rsidRDefault="005E00FD" w:rsidP="005E00FD">
            <w:pPr>
              <w:jc w:val="both"/>
              <w:rPr>
                <w:rFonts w:eastAsiaTheme="minorHAnsi" w:cstheme="minorBidi"/>
                <w:sz w:val="20"/>
                <w:lang w:val="fr-CA"/>
              </w:rPr>
            </w:pP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Droit criminel – Motions diverses – Dénonciations privées – Production de transcriptions – Aide juridique – La Cour d’appel a-t-elle fait erreur en rejetant les diverses motions présentées par le demandeur?</w:t>
            </w:r>
          </w:p>
        </w:tc>
      </w:tr>
      <w:tr w:rsidR="005E00FD" w:rsidRPr="00665CCF" w:rsidTr="002C501E">
        <w:tc>
          <w:tcPr>
            <w:tcW w:w="5000" w:type="pct"/>
            <w:gridSpan w:val="4"/>
          </w:tcPr>
          <w:p w:rsidR="005E00FD" w:rsidRPr="005E00FD" w:rsidRDefault="005E00FD" w:rsidP="005E00FD">
            <w:pPr>
              <w:jc w:val="both"/>
              <w:rPr>
                <w:rFonts w:eastAsiaTheme="minorHAnsi" w:cstheme="minorBidi"/>
                <w:sz w:val="20"/>
                <w:lang w:val="fr-CA"/>
              </w:rPr>
            </w:pPr>
          </w:p>
        </w:tc>
      </w:tr>
      <w:tr w:rsidR="005E00FD" w:rsidRPr="00665CCF" w:rsidTr="002C501E">
        <w:tc>
          <w:tcPr>
            <w:tcW w:w="5000" w:type="pct"/>
            <w:gridSpan w:val="4"/>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La Cour du Banc de la Reine a rejeté diverses motions présentées par M. </w:t>
            </w:r>
            <w:proofErr w:type="spellStart"/>
            <w:r w:rsidRPr="005E00FD">
              <w:rPr>
                <w:rFonts w:eastAsiaTheme="minorHAnsi" w:cstheme="minorBidi"/>
                <w:sz w:val="20"/>
                <w:lang w:val="fr-CA"/>
              </w:rPr>
              <w:t>Ngambo</w:t>
            </w:r>
            <w:proofErr w:type="spellEnd"/>
            <w:r w:rsidRPr="005E00FD">
              <w:rPr>
                <w:rFonts w:eastAsiaTheme="minorHAnsi" w:cstheme="minorBidi"/>
                <w:sz w:val="20"/>
                <w:lang w:val="fr-CA"/>
              </w:rPr>
              <w:t>, demandeur. Une des motions concernait un appel d’une décision administrative rendue par la Cour provinciale refusant de recevoir des dénonciations que M. </w:t>
            </w:r>
            <w:proofErr w:type="spellStart"/>
            <w:r w:rsidRPr="005E00FD">
              <w:rPr>
                <w:rFonts w:eastAsiaTheme="minorHAnsi" w:cstheme="minorBidi"/>
                <w:sz w:val="20"/>
                <w:lang w:val="fr-CA"/>
              </w:rPr>
              <w:t>Ngambo</w:t>
            </w:r>
            <w:proofErr w:type="spellEnd"/>
            <w:r w:rsidRPr="005E00FD">
              <w:rPr>
                <w:rFonts w:eastAsiaTheme="minorHAnsi" w:cstheme="minorBidi"/>
                <w:sz w:val="20"/>
                <w:lang w:val="fr-CA"/>
              </w:rPr>
              <w:t xml:space="preserve"> voulait porter contre certains juges, procureurs de la Couronne et policiers. La Cour provinciale a conclu que les dénonciations étaient vexatoires et la Cour du Banc de la Reine a conclu de même. Dans </w:t>
            </w:r>
            <w:r w:rsidRPr="005E00FD">
              <w:rPr>
                <w:rFonts w:eastAsiaTheme="minorHAnsi" w:cstheme="minorBidi"/>
                <w:sz w:val="20"/>
                <w:lang w:val="fr-CA"/>
              </w:rPr>
              <w:lastRenderedPageBreak/>
              <w:t>sa deuxième motion, M. </w:t>
            </w:r>
            <w:proofErr w:type="spellStart"/>
            <w:r w:rsidRPr="005E00FD">
              <w:rPr>
                <w:rFonts w:eastAsiaTheme="minorHAnsi" w:cstheme="minorBidi"/>
                <w:sz w:val="20"/>
                <w:lang w:val="fr-CA"/>
              </w:rPr>
              <w:t>Ngambo</w:t>
            </w:r>
            <w:proofErr w:type="spellEnd"/>
            <w:r w:rsidRPr="005E00FD">
              <w:rPr>
                <w:rFonts w:eastAsiaTheme="minorHAnsi" w:cstheme="minorBidi"/>
                <w:sz w:val="20"/>
                <w:lang w:val="fr-CA"/>
              </w:rPr>
              <w:t xml:space="preserve"> a demandé que l’on ordonne la production d’une transcription d’audience. Il avait également demandé à la Cour d’ordonner un ajournement. La Cour a refusé. Enfin, la Cour du Banc de la Reine a refusé d’ordonner que l’aide juridique soit accordée à M. </w:t>
            </w:r>
            <w:proofErr w:type="spellStart"/>
            <w:r w:rsidRPr="005E00FD">
              <w:rPr>
                <w:rFonts w:eastAsiaTheme="minorHAnsi" w:cstheme="minorBidi"/>
                <w:sz w:val="20"/>
                <w:lang w:val="fr-CA"/>
              </w:rPr>
              <w:t>Ngambo</w:t>
            </w:r>
            <w:proofErr w:type="spellEnd"/>
            <w:r w:rsidRPr="005E00FD">
              <w:rPr>
                <w:rFonts w:eastAsiaTheme="minorHAnsi" w:cstheme="minorBidi"/>
                <w:sz w:val="20"/>
                <w:lang w:val="fr-CA"/>
              </w:rPr>
              <w:t>, expliquant qu’elle n’avait pas compétence pour ce faire. La Cour d’appel a également rejeté diverses motions présentées par M. </w:t>
            </w:r>
            <w:proofErr w:type="spellStart"/>
            <w:r w:rsidRPr="005E00FD">
              <w:rPr>
                <w:rFonts w:eastAsiaTheme="minorHAnsi" w:cstheme="minorBidi"/>
                <w:sz w:val="20"/>
                <w:lang w:val="fr-CA"/>
              </w:rPr>
              <w:t>Ngambo</w:t>
            </w:r>
            <w:proofErr w:type="spellEnd"/>
            <w:r w:rsidRPr="005E00FD">
              <w:rPr>
                <w:rFonts w:eastAsiaTheme="minorHAnsi" w:cstheme="minorBidi"/>
                <w:sz w:val="20"/>
                <w:lang w:val="fr-CA"/>
              </w:rPr>
              <w:t>.</w:t>
            </w:r>
          </w:p>
          <w:p w:rsidR="005E00FD" w:rsidRPr="005E00FD" w:rsidRDefault="005E00FD" w:rsidP="005E00FD">
            <w:pPr>
              <w:jc w:val="both"/>
              <w:rPr>
                <w:rFonts w:eastAsiaTheme="minorHAnsi" w:cstheme="minorBidi"/>
                <w:sz w:val="20"/>
                <w:lang w:val="fr-CA"/>
              </w:rPr>
            </w:pP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lastRenderedPageBreak/>
              <w:t>Le 15 avril 2014</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Cour du Banc de la Reine du Nouveau-</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Brunswick</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(Le juge Ouellette)</w:t>
            </w:r>
          </w:p>
          <w:p w:rsidR="005E00FD" w:rsidRPr="005E00FD" w:rsidRDefault="005E00FD" w:rsidP="005E00FD">
            <w:pPr>
              <w:jc w:val="both"/>
              <w:rPr>
                <w:rFonts w:eastAsiaTheme="minorHAnsi" w:cstheme="minorBidi"/>
                <w:sz w:val="20"/>
              </w:rPr>
            </w:pPr>
          </w:p>
        </w:tc>
        <w:tc>
          <w:tcPr>
            <w:tcW w:w="243" w:type="pct"/>
          </w:tcPr>
          <w:p w:rsidR="005E00FD" w:rsidRPr="005E00FD" w:rsidRDefault="005E00FD" w:rsidP="005E00FD">
            <w:pPr>
              <w:jc w:val="both"/>
              <w:rPr>
                <w:rFonts w:eastAsiaTheme="minorHAnsi" w:cstheme="minorBidi"/>
                <w:sz w:val="20"/>
              </w:rPr>
            </w:pPr>
          </w:p>
        </w:tc>
        <w:tc>
          <w:tcPr>
            <w:tcW w:w="2330" w:type="pct"/>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 xml:space="preserve">Appel et motions rejetés </w:t>
            </w: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Le 27 octobre 2014</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Cour d’appel du Nouveau-Brunswick</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(Le juge Bell)</w:t>
            </w:r>
          </w:p>
          <w:p w:rsidR="005E00FD" w:rsidRPr="005E00FD" w:rsidRDefault="00665CCF" w:rsidP="005E00FD">
            <w:pPr>
              <w:jc w:val="both"/>
              <w:rPr>
                <w:rFonts w:eastAsiaTheme="minorHAnsi" w:cstheme="minorBidi"/>
                <w:sz w:val="20"/>
                <w:lang w:val="fr-CA"/>
              </w:rPr>
            </w:pPr>
            <w:hyperlink r:id="rId16" w:history="1">
              <w:r w:rsidR="005E00FD" w:rsidRPr="00C64913">
                <w:rPr>
                  <w:rFonts w:eastAsiaTheme="minorHAnsi" w:cstheme="minorBidi"/>
                  <w:color w:val="0000FF" w:themeColor="hyperlink"/>
                  <w:sz w:val="20"/>
                  <w:u w:val="single"/>
                  <w:lang w:val="fr-CA"/>
                </w:rPr>
                <w:t>2014 CanLII 63753 (NB CA)</w:t>
              </w:r>
            </w:hyperlink>
          </w:p>
          <w:p w:rsidR="005E00FD" w:rsidRPr="005E00FD" w:rsidRDefault="005E00FD" w:rsidP="005E00FD">
            <w:pPr>
              <w:jc w:val="both"/>
              <w:rPr>
                <w:rFonts w:eastAsiaTheme="minorHAnsi" w:cstheme="minorBidi"/>
                <w:sz w:val="20"/>
                <w:lang w:val="fr-CA"/>
              </w:rPr>
            </w:pPr>
          </w:p>
        </w:tc>
        <w:tc>
          <w:tcPr>
            <w:tcW w:w="243" w:type="pct"/>
          </w:tcPr>
          <w:p w:rsidR="005E00FD" w:rsidRPr="005E00FD" w:rsidRDefault="005E00FD" w:rsidP="005E00FD">
            <w:pPr>
              <w:jc w:val="both"/>
              <w:rPr>
                <w:rFonts w:eastAsiaTheme="minorHAnsi" w:cstheme="minorBidi"/>
                <w:sz w:val="20"/>
                <w:lang w:val="fr-CA"/>
              </w:rPr>
            </w:pPr>
          </w:p>
        </w:tc>
        <w:tc>
          <w:tcPr>
            <w:tcW w:w="2330" w:type="pct"/>
          </w:tcPr>
          <w:p w:rsidR="005E00FD" w:rsidRPr="005E00FD" w:rsidRDefault="005E00FD" w:rsidP="00060460">
            <w:pPr>
              <w:jc w:val="both"/>
              <w:rPr>
                <w:rFonts w:eastAsiaTheme="minorHAnsi" w:cstheme="minorBidi"/>
                <w:sz w:val="20"/>
                <w:lang w:val="fr-CA"/>
              </w:rPr>
            </w:pPr>
            <w:r w:rsidRPr="005E00FD">
              <w:rPr>
                <w:rFonts w:eastAsiaTheme="minorHAnsi" w:cstheme="minorBidi"/>
                <w:sz w:val="20"/>
                <w:lang w:val="fr-CA"/>
              </w:rPr>
              <w:t>Motions rejetées</w:t>
            </w:r>
          </w:p>
        </w:tc>
      </w:tr>
      <w:tr w:rsidR="005E00FD" w:rsidRPr="00665CCF" w:rsidTr="002C501E">
        <w:tc>
          <w:tcPr>
            <w:tcW w:w="2427" w:type="pct"/>
            <w:gridSpan w:val="2"/>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Le 4 mai 2015</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Cour suprême du Canada</w:t>
            </w:r>
          </w:p>
        </w:tc>
        <w:tc>
          <w:tcPr>
            <w:tcW w:w="243" w:type="pct"/>
          </w:tcPr>
          <w:p w:rsidR="005E00FD" w:rsidRPr="005E00FD" w:rsidRDefault="005E00FD" w:rsidP="005E00FD">
            <w:pPr>
              <w:jc w:val="both"/>
              <w:rPr>
                <w:rFonts w:eastAsiaTheme="minorHAnsi" w:cstheme="minorBidi"/>
                <w:sz w:val="20"/>
                <w:lang w:val="fr-CA"/>
              </w:rPr>
            </w:pPr>
          </w:p>
        </w:tc>
        <w:tc>
          <w:tcPr>
            <w:tcW w:w="2330" w:type="pct"/>
          </w:tcPr>
          <w:p w:rsidR="005E00FD" w:rsidRPr="005E00FD" w:rsidRDefault="005E00FD" w:rsidP="00060460">
            <w:pPr>
              <w:jc w:val="both"/>
              <w:rPr>
                <w:rFonts w:eastAsiaTheme="minorHAnsi" w:cstheme="minorBidi"/>
                <w:sz w:val="20"/>
                <w:lang w:val="fr-CA"/>
              </w:rPr>
            </w:pPr>
            <w:r w:rsidRPr="005E00FD">
              <w:rPr>
                <w:rFonts w:eastAsiaTheme="minorHAnsi" w:cstheme="minorBidi"/>
                <w:sz w:val="20"/>
                <w:lang w:val="fr-CA"/>
              </w:rPr>
              <w:t>Requête en prorogation de délai, requête pour déposer un mémoire dépassant 20 pages, requête diverse et demande d’autorisation d’appel déposé</w:t>
            </w:r>
          </w:p>
        </w:tc>
      </w:tr>
    </w:tbl>
    <w:p w:rsidR="005E00FD" w:rsidRPr="005E00FD" w:rsidRDefault="005E00FD" w:rsidP="005E00FD">
      <w:pPr>
        <w:jc w:val="both"/>
        <w:rPr>
          <w:rFonts w:eastAsiaTheme="minorHAnsi" w:cstheme="minorBidi"/>
          <w:sz w:val="20"/>
          <w:lang w:val="fr-CA"/>
        </w:rPr>
      </w:pPr>
    </w:p>
    <w:p w:rsidR="00914302" w:rsidRPr="00665CCF" w:rsidRDefault="00914302" w:rsidP="009550BB">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00FD" w:rsidRPr="005E00FD" w:rsidTr="002C501E">
        <w:tc>
          <w:tcPr>
            <w:tcW w:w="543" w:type="pct"/>
          </w:tcPr>
          <w:p w:rsidR="005E00FD" w:rsidRPr="005E00FD" w:rsidRDefault="005E00FD" w:rsidP="005E00FD">
            <w:pPr>
              <w:jc w:val="both"/>
              <w:rPr>
                <w:rFonts w:eastAsiaTheme="minorHAnsi" w:cstheme="minorBidi"/>
                <w:sz w:val="20"/>
                <w:lang w:val="en-CA"/>
              </w:rPr>
            </w:pPr>
            <w:r w:rsidRPr="00C64913">
              <w:rPr>
                <w:rFonts w:eastAsiaTheme="minorHAnsi" w:cstheme="minorBidi"/>
                <w:b/>
                <w:sz w:val="20"/>
                <w:lang w:val="en-CA"/>
              </w:rPr>
              <w:t>36424</w:t>
            </w:r>
          </w:p>
        </w:tc>
        <w:tc>
          <w:tcPr>
            <w:tcW w:w="4457" w:type="pct"/>
            <w:gridSpan w:val="3"/>
          </w:tcPr>
          <w:p w:rsidR="005E00FD" w:rsidRPr="005E00FD" w:rsidRDefault="005E00FD" w:rsidP="005E00FD">
            <w:pPr>
              <w:jc w:val="both"/>
              <w:rPr>
                <w:rFonts w:eastAsiaTheme="minorHAnsi" w:cstheme="minorBidi"/>
                <w:b/>
                <w:sz w:val="20"/>
                <w:lang w:val="en-CA"/>
              </w:rPr>
            </w:pPr>
            <w:r w:rsidRPr="005E00FD">
              <w:rPr>
                <w:rFonts w:eastAsiaTheme="minorHAnsi" w:cstheme="minorBidi"/>
                <w:b/>
                <w:sz w:val="20"/>
                <w:lang w:val="en-CA"/>
              </w:rPr>
              <w:t>J.B. v. Minister of Social Services, on behalf of the Government of Saskatchewan</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(Sask.) (Civil) (By Leave)</w:t>
            </w:r>
          </w:p>
        </w:tc>
      </w:tr>
      <w:tr w:rsidR="005E00FD" w:rsidRPr="005E00FD" w:rsidTr="002C501E">
        <w:tc>
          <w:tcPr>
            <w:tcW w:w="5000" w:type="pct"/>
            <w:gridSpan w:val="4"/>
          </w:tcPr>
          <w:p w:rsidR="005E00FD" w:rsidRPr="005E00FD" w:rsidRDefault="005E00FD" w:rsidP="005E00FD">
            <w:pPr>
              <w:jc w:val="both"/>
              <w:rPr>
                <w:rFonts w:eastAsiaTheme="minorHAnsi" w:cstheme="minorBidi"/>
                <w:smallCaps/>
                <w:sz w:val="20"/>
                <w:lang w:val="en-CA"/>
              </w:rPr>
            </w:pPr>
          </w:p>
          <w:p w:rsidR="005E00FD" w:rsidRPr="005E00FD" w:rsidRDefault="005E00FD" w:rsidP="005E00FD">
            <w:pPr>
              <w:jc w:val="both"/>
              <w:rPr>
                <w:rFonts w:eastAsiaTheme="minorHAnsi" w:cstheme="minorBidi"/>
                <w:smallCaps/>
                <w:sz w:val="20"/>
                <w:lang w:val="en-CA"/>
              </w:rPr>
            </w:pPr>
            <w:r w:rsidRPr="005E00FD">
              <w:rPr>
                <w:rFonts w:eastAsiaTheme="minorHAnsi" w:cstheme="minorBidi"/>
                <w:smallCaps/>
                <w:sz w:val="20"/>
                <w:lang w:val="en-CA"/>
              </w:rPr>
              <w:t>(Publication ban in case) (Publication ban on party)</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 xml:space="preserve">Status of persons – Child protection – Minister obtaining permanent order of committal for two children who had been in care – Whether father’s lack of legal representation at trial severely affected fairness of trial – Whether appointment of </w:t>
            </w:r>
            <w:r w:rsidRPr="005E00FD">
              <w:rPr>
                <w:rFonts w:eastAsiaTheme="minorHAnsi" w:cstheme="minorBidi"/>
                <w:i/>
                <w:sz w:val="20"/>
                <w:lang w:val="en-CA"/>
              </w:rPr>
              <w:t xml:space="preserve">amicus curiae </w:t>
            </w:r>
            <w:r w:rsidRPr="005E00FD">
              <w:rPr>
                <w:rFonts w:eastAsiaTheme="minorHAnsi" w:cstheme="minorBidi"/>
                <w:sz w:val="20"/>
                <w:lang w:val="en-CA"/>
              </w:rPr>
              <w:t>a proper substitute for legal representation – Whether lower courts erred in finding children in need of protection – Whether father made significant changes that would have allowed a judge to make an order other than permanent one</w:t>
            </w: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 xml:space="preserve">The applicant first became involved in a tumultuous relationship with the mother of his children in 2007. Both parents had substance abuse problems and there were numerous incidents where the police were called to respond to allegations of domestic violence. Their first son was born in 2008 and their second in 2010. The Minister’s involvement with the father and the mother was extensive, including numerous protection hearing applications and residential and parental services agreements. Pursuant to an order dated January 13, 2013, the children were in the care of the Minister under s. 35(1)(c) of </w:t>
            </w:r>
            <w:r w:rsidRPr="005E00FD">
              <w:rPr>
                <w:rFonts w:eastAsiaTheme="minorHAnsi" w:cstheme="minorBidi"/>
                <w:i/>
                <w:sz w:val="20"/>
                <w:lang w:val="en-CA"/>
              </w:rPr>
              <w:t>The Child and Family Services Act</w:t>
            </w:r>
            <w:r w:rsidRPr="005E00FD">
              <w:rPr>
                <w:rFonts w:eastAsiaTheme="minorHAnsi" w:cstheme="minorBidi"/>
                <w:sz w:val="20"/>
                <w:lang w:val="en-CA"/>
              </w:rPr>
              <w:t>, S.S. 1989-90, c. C-7.2. The parents were granted three supervised hours per week with the boys. The children spent time both in foster homes and transition shelters while the parents had weekly access and were undergoing counselling. The Minister applied for a status review hearing. It was conceded by all parties that the children remained in continued need of protection. The mother sought a long term committal order to give her time to address her parenting inadequacies. The father requested a six-month temporary order for the children to remain in the care of the Minister to allow him time to find work and to address the protection issues that concerned the Minister. The Minister sought a permanent committal order.</w:t>
            </w:r>
          </w:p>
          <w:p w:rsidR="005E00FD" w:rsidRPr="005E00FD" w:rsidRDefault="005E00FD" w:rsidP="005E00FD">
            <w:pPr>
              <w:jc w:val="both"/>
              <w:rPr>
                <w:rFonts w:eastAsiaTheme="minorHAnsi" w:cstheme="minorBidi"/>
                <w:sz w:val="20"/>
                <w:lang w:val="en-CA"/>
              </w:rPr>
            </w:pP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February 13, 2014</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Court of Queen’s Bench of Saskatchewan</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w:t>
            </w:r>
            <w:proofErr w:type="spellStart"/>
            <w:r w:rsidRPr="005E00FD">
              <w:rPr>
                <w:rFonts w:eastAsiaTheme="minorHAnsi" w:cstheme="minorBidi"/>
                <w:sz w:val="20"/>
                <w:lang w:val="en-CA"/>
              </w:rPr>
              <w:t>Sandomirsky</w:t>
            </w:r>
            <w:proofErr w:type="spellEnd"/>
            <w:r w:rsidRPr="005E00FD">
              <w:rPr>
                <w:rFonts w:eastAsiaTheme="minorHAnsi" w:cstheme="minorBidi"/>
                <w:sz w:val="20"/>
                <w:lang w:val="en-CA"/>
              </w:rPr>
              <w:t xml:space="preserve"> J.)</w:t>
            </w:r>
          </w:p>
          <w:p w:rsidR="005E00FD" w:rsidRPr="005E00FD" w:rsidRDefault="00665CCF" w:rsidP="005E00FD">
            <w:pPr>
              <w:jc w:val="both"/>
              <w:rPr>
                <w:rFonts w:eastAsiaTheme="minorHAnsi" w:cstheme="minorBidi"/>
                <w:sz w:val="20"/>
                <w:lang w:val="en-CA"/>
              </w:rPr>
            </w:pPr>
            <w:hyperlink r:id="rId17" w:history="1">
              <w:r w:rsidR="005E00FD" w:rsidRPr="00C64913">
                <w:rPr>
                  <w:rFonts w:eastAsiaTheme="minorHAnsi" w:cstheme="minorBidi"/>
                  <w:color w:val="0000FF" w:themeColor="hyperlink"/>
                  <w:sz w:val="20"/>
                  <w:u w:val="single"/>
                  <w:lang w:val="en-CA"/>
                </w:rPr>
                <w:t>2014 SKQB 49</w:t>
              </w:r>
            </w:hyperlink>
          </w:p>
          <w:p w:rsidR="005E00FD" w:rsidRPr="005E00FD" w:rsidRDefault="005E00FD" w:rsidP="005E00FD">
            <w:pPr>
              <w:jc w:val="both"/>
              <w:rPr>
                <w:rFonts w:eastAsiaTheme="minorHAnsi" w:cstheme="minorBidi"/>
                <w:sz w:val="20"/>
                <w:lang w:val="en-CA"/>
              </w:rPr>
            </w:pP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060460">
            <w:pPr>
              <w:jc w:val="both"/>
              <w:rPr>
                <w:rFonts w:eastAsiaTheme="minorHAnsi" w:cstheme="minorBidi"/>
                <w:sz w:val="20"/>
                <w:lang w:val="en-CA"/>
              </w:rPr>
            </w:pPr>
            <w:r w:rsidRPr="005E00FD">
              <w:rPr>
                <w:rFonts w:eastAsiaTheme="minorHAnsi" w:cstheme="minorBidi"/>
                <w:sz w:val="20"/>
                <w:lang w:val="en-CA"/>
              </w:rPr>
              <w:t>Permanent committal order for Minister granted; applicant father’s access terminated; mother’s visits to continue until adoption or further order</w:t>
            </w: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lastRenderedPageBreak/>
              <w:t>December 31, 2014</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Court of Appeal for Saskatchewan</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 xml:space="preserve">(Richards, </w:t>
            </w:r>
            <w:proofErr w:type="spellStart"/>
            <w:r w:rsidRPr="005E00FD">
              <w:rPr>
                <w:rFonts w:eastAsiaTheme="minorHAnsi" w:cstheme="minorBidi"/>
                <w:sz w:val="20"/>
                <w:lang w:val="en-CA"/>
              </w:rPr>
              <w:t>Ottenbreit</w:t>
            </w:r>
            <w:proofErr w:type="spellEnd"/>
            <w:r w:rsidRPr="005E00FD">
              <w:rPr>
                <w:rFonts w:eastAsiaTheme="minorHAnsi" w:cstheme="minorBidi"/>
                <w:sz w:val="20"/>
                <w:lang w:val="en-CA"/>
              </w:rPr>
              <w:t xml:space="preserve"> and </w:t>
            </w:r>
            <w:proofErr w:type="spellStart"/>
            <w:r w:rsidRPr="005E00FD">
              <w:rPr>
                <w:rFonts w:eastAsiaTheme="minorHAnsi" w:cstheme="minorBidi"/>
                <w:sz w:val="20"/>
                <w:lang w:val="en-CA"/>
              </w:rPr>
              <w:t>Herauf</w:t>
            </w:r>
            <w:proofErr w:type="spellEnd"/>
            <w:r w:rsidRPr="005E00FD">
              <w:rPr>
                <w:rFonts w:eastAsiaTheme="minorHAnsi" w:cstheme="minorBidi"/>
                <w:sz w:val="20"/>
                <w:lang w:val="en-CA"/>
              </w:rPr>
              <w:t xml:space="preserve"> JJ.A.)</w:t>
            </w:r>
          </w:p>
          <w:p w:rsidR="005E00FD" w:rsidRPr="005E00FD" w:rsidRDefault="00665CCF" w:rsidP="005E00FD">
            <w:pPr>
              <w:jc w:val="both"/>
              <w:rPr>
                <w:rFonts w:eastAsiaTheme="minorHAnsi" w:cstheme="minorBidi"/>
                <w:sz w:val="20"/>
                <w:lang w:val="en-CA"/>
              </w:rPr>
            </w:pPr>
            <w:hyperlink r:id="rId18" w:history="1">
              <w:r w:rsidR="005E00FD" w:rsidRPr="00C64913">
                <w:rPr>
                  <w:rFonts w:eastAsiaTheme="minorHAnsi" w:cstheme="minorBidi"/>
                  <w:color w:val="0000FF" w:themeColor="hyperlink"/>
                  <w:sz w:val="20"/>
                  <w:u w:val="single"/>
                  <w:lang w:val="en-CA"/>
                </w:rPr>
                <w:t>2014 SKCA 139</w:t>
              </w:r>
            </w:hyperlink>
          </w:p>
          <w:p w:rsidR="005E00FD" w:rsidRPr="005E00FD" w:rsidRDefault="005E00FD" w:rsidP="005E00FD">
            <w:pPr>
              <w:jc w:val="both"/>
              <w:rPr>
                <w:rFonts w:eastAsiaTheme="minorHAnsi" w:cstheme="minorBidi"/>
                <w:sz w:val="20"/>
                <w:lang w:val="en-CA"/>
              </w:rPr>
            </w:pP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A26761">
            <w:pPr>
              <w:jc w:val="both"/>
              <w:rPr>
                <w:rFonts w:eastAsiaTheme="minorHAnsi" w:cstheme="minorBidi"/>
                <w:sz w:val="20"/>
                <w:lang w:val="en-CA"/>
              </w:rPr>
            </w:pPr>
            <w:r w:rsidRPr="005E00FD">
              <w:rPr>
                <w:rFonts w:eastAsiaTheme="minorHAnsi" w:cstheme="minorBidi"/>
                <w:sz w:val="20"/>
                <w:lang w:val="en-CA"/>
              </w:rPr>
              <w:t>Applicant’s appeal dismissed</w:t>
            </w: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March 2, 2015</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Supreme Court of Canada</w:t>
            </w:r>
          </w:p>
          <w:p w:rsidR="005E00FD" w:rsidRPr="005E00FD" w:rsidRDefault="005E00FD" w:rsidP="005E00FD">
            <w:pPr>
              <w:jc w:val="both"/>
              <w:rPr>
                <w:rFonts w:eastAsiaTheme="minorHAnsi" w:cstheme="minorBidi"/>
                <w:sz w:val="20"/>
                <w:lang w:val="en-CA"/>
              </w:rPr>
            </w:pP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Application for leave to appeal filed</w:t>
            </w:r>
          </w:p>
        </w:tc>
      </w:tr>
      <w:tr w:rsidR="005E00FD" w:rsidRPr="005E00FD" w:rsidTr="002C501E">
        <w:tc>
          <w:tcPr>
            <w:tcW w:w="2427" w:type="pct"/>
            <w:gridSpan w:val="2"/>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May 12, 2015</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Supreme Court of Canada</w:t>
            </w:r>
          </w:p>
        </w:tc>
        <w:tc>
          <w:tcPr>
            <w:tcW w:w="243" w:type="pct"/>
          </w:tcPr>
          <w:p w:rsidR="005E00FD" w:rsidRPr="005E00FD" w:rsidRDefault="005E00FD" w:rsidP="005E00FD">
            <w:pPr>
              <w:jc w:val="both"/>
              <w:rPr>
                <w:rFonts w:eastAsiaTheme="minorHAnsi" w:cstheme="minorBidi"/>
                <w:sz w:val="20"/>
                <w:lang w:val="en-CA"/>
              </w:rPr>
            </w:pPr>
          </w:p>
        </w:tc>
        <w:tc>
          <w:tcPr>
            <w:tcW w:w="2330" w:type="pct"/>
          </w:tcPr>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Motion for extension of time in which to serve and file application for leave to appeal  filed</w:t>
            </w:r>
          </w:p>
        </w:tc>
      </w:tr>
    </w:tbl>
    <w:p w:rsidR="005E00FD" w:rsidRPr="005E00FD" w:rsidRDefault="005E00FD" w:rsidP="005E00FD">
      <w:pPr>
        <w:jc w:val="both"/>
        <w:rPr>
          <w:rFonts w:eastAsiaTheme="minorHAnsi" w:cstheme="minorBidi"/>
          <w:sz w:val="20"/>
          <w:lang w:val="en-CA"/>
        </w:rPr>
      </w:pPr>
    </w:p>
    <w:p w:rsidR="00914302" w:rsidRPr="00C64913" w:rsidRDefault="00914302" w:rsidP="009550BB">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00FD" w:rsidRPr="005E00FD" w:rsidTr="002C501E">
        <w:tc>
          <w:tcPr>
            <w:tcW w:w="543" w:type="pct"/>
          </w:tcPr>
          <w:p w:rsidR="005E00FD" w:rsidRPr="005E00FD" w:rsidRDefault="005E00FD" w:rsidP="005E00FD">
            <w:pPr>
              <w:jc w:val="both"/>
              <w:rPr>
                <w:rFonts w:eastAsiaTheme="minorHAnsi" w:cstheme="minorBidi"/>
                <w:sz w:val="20"/>
                <w:lang w:val="fr-CA"/>
              </w:rPr>
            </w:pPr>
            <w:r w:rsidRPr="00C64913">
              <w:rPr>
                <w:rFonts w:eastAsiaTheme="minorHAnsi" w:cstheme="minorBidi"/>
                <w:b/>
                <w:sz w:val="20"/>
                <w:lang w:val="fr-CA"/>
              </w:rPr>
              <w:t>36424</w:t>
            </w:r>
          </w:p>
        </w:tc>
        <w:tc>
          <w:tcPr>
            <w:tcW w:w="4457" w:type="pct"/>
            <w:gridSpan w:val="3"/>
          </w:tcPr>
          <w:p w:rsidR="005E00FD" w:rsidRPr="005E00FD" w:rsidRDefault="005E00FD" w:rsidP="005E00FD">
            <w:pPr>
              <w:jc w:val="both"/>
              <w:rPr>
                <w:rFonts w:eastAsiaTheme="minorHAnsi" w:cstheme="minorBidi"/>
                <w:b/>
                <w:sz w:val="20"/>
                <w:lang w:val="fr-CA"/>
              </w:rPr>
            </w:pPr>
            <w:r w:rsidRPr="005E00FD">
              <w:rPr>
                <w:rFonts w:eastAsiaTheme="minorHAnsi" w:cstheme="minorBidi"/>
                <w:b/>
                <w:sz w:val="20"/>
                <w:lang w:val="fr-CA"/>
              </w:rPr>
              <w:t xml:space="preserve">J.B. c. </w:t>
            </w:r>
            <w:proofErr w:type="spellStart"/>
            <w:r w:rsidRPr="005E00FD">
              <w:rPr>
                <w:rFonts w:eastAsiaTheme="minorHAnsi" w:cstheme="minorBidi"/>
                <w:b/>
                <w:sz w:val="20"/>
                <w:lang w:val="fr-CA"/>
              </w:rPr>
              <w:t>Minister</w:t>
            </w:r>
            <w:proofErr w:type="spellEnd"/>
            <w:r w:rsidRPr="005E00FD">
              <w:rPr>
                <w:rFonts w:eastAsiaTheme="minorHAnsi" w:cstheme="minorBidi"/>
                <w:b/>
                <w:sz w:val="20"/>
                <w:lang w:val="fr-CA"/>
              </w:rPr>
              <w:t xml:space="preserve"> of Social Services, au nom du gouvernement de la Saskatchewan</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w:t>
            </w:r>
            <w:proofErr w:type="spellStart"/>
            <w:r w:rsidRPr="005E00FD">
              <w:rPr>
                <w:rFonts w:eastAsiaTheme="minorHAnsi" w:cstheme="minorBidi"/>
                <w:sz w:val="20"/>
                <w:lang w:val="fr-CA"/>
              </w:rPr>
              <w:t>Sask</w:t>
            </w:r>
            <w:proofErr w:type="spellEnd"/>
            <w:r w:rsidRPr="005E00FD">
              <w:rPr>
                <w:rFonts w:eastAsiaTheme="minorHAnsi" w:cstheme="minorBidi"/>
                <w:sz w:val="20"/>
                <w:lang w:val="fr-CA"/>
              </w:rPr>
              <w:t>.) (Civile) (Sur autorisation)</w:t>
            </w:r>
          </w:p>
        </w:tc>
      </w:tr>
      <w:tr w:rsidR="005E00FD" w:rsidRPr="00665CCF" w:rsidTr="002C501E">
        <w:tc>
          <w:tcPr>
            <w:tcW w:w="5000" w:type="pct"/>
            <w:gridSpan w:val="4"/>
          </w:tcPr>
          <w:p w:rsidR="005E00FD" w:rsidRPr="005E00FD" w:rsidRDefault="005E00FD" w:rsidP="005E00FD">
            <w:pPr>
              <w:jc w:val="both"/>
              <w:rPr>
                <w:rFonts w:eastAsiaTheme="minorHAnsi" w:cstheme="minorBidi"/>
                <w:smallCaps/>
                <w:sz w:val="20"/>
                <w:lang w:val="fr-CA"/>
              </w:rPr>
            </w:pPr>
          </w:p>
          <w:p w:rsidR="005E00FD" w:rsidRPr="005E00FD" w:rsidRDefault="005E00FD" w:rsidP="005E00FD">
            <w:pPr>
              <w:jc w:val="both"/>
              <w:rPr>
                <w:rFonts w:eastAsiaTheme="minorHAnsi" w:cstheme="minorBidi"/>
                <w:smallCaps/>
                <w:sz w:val="20"/>
                <w:lang w:val="fr-CA"/>
              </w:rPr>
            </w:pPr>
            <w:r w:rsidRPr="005E00FD">
              <w:rPr>
                <w:rFonts w:eastAsiaTheme="minorHAnsi" w:cstheme="minorBidi"/>
                <w:smallCaps/>
                <w:sz w:val="20"/>
                <w:lang w:val="fr-CA"/>
              </w:rPr>
              <w:t>(Ordonnance de non-publication dans le dossier) (Ordonnance de non-publication visant une partie)</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 xml:space="preserve">Droit des personnes – Protection de l’enfance – Le ministre a obtenu une ordonnance permanente de placement relativement à deux enfants qui avaient été sous sa garde – Le fait que le père n’était pas représenté par un avocat au procès </w:t>
            </w:r>
            <w:proofErr w:type="spellStart"/>
            <w:r w:rsidRPr="005E00FD">
              <w:rPr>
                <w:rFonts w:eastAsiaTheme="minorHAnsi" w:cstheme="minorBidi"/>
                <w:sz w:val="20"/>
                <w:lang w:val="fr-CA"/>
              </w:rPr>
              <w:t>a-t-il</w:t>
            </w:r>
            <w:proofErr w:type="spellEnd"/>
            <w:r w:rsidRPr="005E00FD">
              <w:rPr>
                <w:rFonts w:eastAsiaTheme="minorHAnsi" w:cstheme="minorBidi"/>
                <w:sz w:val="20"/>
                <w:lang w:val="fr-CA"/>
              </w:rPr>
              <w:t xml:space="preserve"> eu une incidence importante sur l’équité du procès? – La nomination d’un </w:t>
            </w:r>
            <w:proofErr w:type="spellStart"/>
            <w:r w:rsidRPr="005E00FD">
              <w:rPr>
                <w:rFonts w:eastAsiaTheme="minorHAnsi" w:cstheme="minorBidi"/>
                <w:i/>
                <w:sz w:val="20"/>
                <w:lang w:val="fr-CA"/>
              </w:rPr>
              <w:t>amicus</w:t>
            </w:r>
            <w:proofErr w:type="spellEnd"/>
            <w:r w:rsidRPr="005E00FD">
              <w:rPr>
                <w:rFonts w:eastAsiaTheme="minorHAnsi" w:cstheme="minorBidi"/>
                <w:i/>
                <w:sz w:val="20"/>
                <w:lang w:val="fr-CA"/>
              </w:rPr>
              <w:t xml:space="preserve"> </w:t>
            </w:r>
            <w:proofErr w:type="spellStart"/>
            <w:r w:rsidRPr="005E00FD">
              <w:rPr>
                <w:rFonts w:eastAsiaTheme="minorHAnsi" w:cstheme="minorBidi"/>
                <w:i/>
                <w:sz w:val="20"/>
                <w:lang w:val="fr-CA"/>
              </w:rPr>
              <w:t>curiae</w:t>
            </w:r>
            <w:proofErr w:type="spellEnd"/>
            <w:r w:rsidRPr="005E00FD">
              <w:rPr>
                <w:rFonts w:eastAsiaTheme="minorHAnsi" w:cstheme="minorBidi"/>
                <w:sz w:val="20"/>
                <w:lang w:val="fr-CA"/>
              </w:rPr>
              <w:t xml:space="preserve"> peut-elle valablement tenir lieu de la représentation par un avocat? – Les juridictions inférieures </w:t>
            </w:r>
            <w:proofErr w:type="spellStart"/>
            <w:r w:rsidRPr="005E00FD">
              <w:rPr>
                <w:rFonts w:eastAsiaTheme="minorHAnsi" w:cstheme="minorBidi"/>
                <w:sz w:val="20"/>
                <w:lang w:val="fr-CA"/>
              </w:rPr>
              <w:t>ont-elles</w:t>
            </w:r>
            <w:proofErr w:type="spellEnd"/>
            <w:r w:rsidRPr="005E00FD">
              <w:rPr>
                <w:rFonts w:eastAsiaTheme="minorHAnsi" w:cstheme="minorBidi"/>
                <w:sz w:val="20"/>
                <w:lang w:val="fr-CA"/>
              </w:rPr>
              <w:t xml:space="preserve"> eu tort de conclure que les enfants avaient besoin de protection? – Le père </w:t>
            </w:r>
            <w:proofErr w:type="spellStart"/>
            <w:r w:rsidRPr="005E00FD">
              <w:rPr>
                <w:rFonts w:eastAsiaTheme="minorHAnsi" w:cstheme="minorBidi"/>
                <w:sz w:val="20"/>
                <w:lang w:val="fr-CA"/>
              </w:rPr>
              <w:t>a-t-il</w:t>
            </w:r>
            <w:proofErr w:type="spellEnd"/>
            <w:r w:rsidRPr="005E00FD">
              <w:rPr>
                <w:rFonts w:eastAsiaTheme="minorHAnsi" w:cstheme="minorBidi"/>
                <w:sz w:val="20"/>
                <w:lang w:val="fr-CA"/>
              </w:rPr>
              <w:t xml:space="preserve"> fait des changements importants qui auraient permis à un juge de rendre une ordonnance autre que permanente?</w:t>
            </w:r>
          </w:p>
        </w:tc>
      </w:tr>
      <w:tr w:rsidR="005E00FD" w:rsidRPr="00665CCF" w:rsidTr="002C501E">
        <w:tc>
          <w:tcPr>
            <w:tcW w:w="5000" w:type="pct"/>
            <w:gridSpan w:val="4"/>
          </w:tcPr>
          <w:p w:rsidR="005E00FD" w:rsidRPr="005E00FD" w:rsidRDefault="005E00FD" w:rsidP="005E00FD">
            <w:pPr>
              <w:jc w:val="both"/>
              <w:rPr>
                <w:rFonts w:eastAsiaTheme="minorHAnsi" w:cstheme="minorBidi"/>
                <w:sz w:val="20"/>
                <w:lang w:val="fr-CA"/>
              </w:rPr>
            </w:pP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 xml:space="preserve">Le demandeur a amorcé une relation tumultueuse avec la mère de ses enfants en 2007. Les deux parents avaient des problèmes d’abus d’alcool ou d’autres drogues et il y a eu de nombreux incidents où il a fallu que la police intervienne à l’égard d’allégations de violence familiale. Leur premier fils est né en 2008 et leur deuxième est né en 2010. Le ministre a eu à intervenir beaucoup auprès du père et de la mère, y compris lors de nombreuses demandes d’audience de protection et d’ententes de services résidentiels et parentaux. En vertu d’une ordonnance en date du 13 janvier 2013, les enfants étaient sous la garde du ministre en application de l’al. 35(1) c) de </w:t>
            </w:r>
            <w:r w:rsidRPr="005E00FD">
              <w:rPr>
                <w:rFonts w:eastAsiaTheme="minorHAnsi" w:cstheme="minorBidi"/>
                <w:i/>
                <w:sz w:val="20"/>
                <w:lang w:val="fr-CA"/>
              </w:rPr>
              <w:t xml:space="preserve">The Child and </w:t>
            </w:r>
            <w:proofErr w:type="spellStart"/>
            <w:r w:rsidRPr="005E00FD">
              <w:rPr>
                <w:rFonts w:eastAsiaTheme="minorHAnsi" w:cstheme="minorBidi"/>
                <w:i/>
                <w:sz w:val="20"/>
                <w:lang w:val="fr-CA"/>
              </w:rPr>
              <w:t>Family</w:t>
            </w:r>
            <w:proofErr w:type="spellEnd"/>
            <w:r w:rsidRPr="005E00FD">
              <w:rPr>
                <w:rFonts w:eastAsiaTheme="minorHAnsi" w:cstheme="minorBidi"/>
                <w:i/>
                <w:sz w:val="20"/>
                <w:lang w:val="fr-CA"/>
              </w:rPr>
              <w:t xml:space="preserve"> Services </w:t>
            </w:r>
            <w:proofErr w:type="spellStart"/>
            <w:r w:rsidRPr="005E00FD">
              <w:rPr>
                <w:rFonts w:eastAsiaTheme="minorHAnsi" w:cstheme="minorBidi"/>
                <w:i/>
                <w:sz w:val="20"/>
                <w:lang w:val="fr-CA"/>
              </w:rPr>
              <w:t>Act</w:t>
            </w:r>
            <w:proofErr w:type="spellEnd"/>
            <w:r w:rsidRPr="005E00FD">
              <w:rPr>
                <w:rFonts w:eastAsiaTheme="minorHAnsi" w:cstheme="minorBidi"/>
                <w:sz w:val="20"/>
                <w:lang w:val="fr-CA"/>
              </w:rPr>
              <w:t>, S.S. 1989-90, ch. C-7.2. Les parents se sont vu accorder trois heures supervisées par semaine avec les garçons. Les enfants ont passé du temps dans des foyers d’accueil et dans des refuges de transition, tandis que les parents avaient des droits de visite hebdomadaires et recevaient des services de counseling. Le ministre a demandé la tenue d’une audience d’examen du statut. Toutes les parties s’entendaient pour dire que les enfants avaient toujours besoin de protection. La mère a sollicité une ordonnance de placement à long terme pour lui laisser le temps de régler ses inaptitudes parentales. Le père a demandé une ordonnance temporaire de six mois pour que les enfants demeurent sous la garde du ministre afin de lui permettre de trouver du travail et de s’attaquer aux problèmes de protection qui préoccupaient le ministre. Le ministre a demandé une ordonnance de placement permanent.</w:t>
            </w:r>
          </w:p>
          <w:p w:rsidR="005E00FD" w:rsidRPr="005E00FD" w:rsidRDefault="005E00FD" w:rsidP="005E00FD">
            <w:pPr>
              <w:jc w:val="both"/>
              <w:rPr>
                <w:rFonts w:eastAsiaTheme="minorHAnsi" w:cstheme="minorBidi"/>
                <w:sz w:val="20"/>
                <w:lang w:val="fr-CA"/>
              </w:rPr>
            </w:pPr>
          </w:p>
        </w:tc>
      </w:tr>
      <w:tr w:rsidR="005E00FD" w:rsidRPr="00665CCF" w:rsidTr="002C501E">
        <w:tc>
          <w:tcPr>
            <w:tcW w:w="2427" w:type="pct"/>
            <w:gridSpan w:val="2"/>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13 février 2014</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Cour du Banc de la Reine de la Saskatchewan</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 xml:space="preserve">(Juge </w:t>
            </w:r>
            <w:proofErr w:type="spellStart"/>
            <w:r w:rsidRPr="005E00FD">
              <w:rPr>
                <w:rFonts w:eastAsiaTheme="minorHAnsi" w:cstheme="minorBidi"/>
                <w:sz w:val="20"/>
                <w:lang w:val="fr-CA"/>
              </w:rPr>
              <w:t>Sandomirsky</w:t>
            </w:r>
            <w:proofErr w:type="spellEnd"/>
            <w:r w:rsidRPr="005E00FD">
              <w:rPr>
                <w:rFonts w:eastAsiaTheme="minorHAnsi" w:cstheme="minorBidi"/>
                <w:sz w:val="20"/>
                <w:lang w:val="fr-CA"/>
              </w:rPr>
              <w:t>)</w:t>
            </w:r>
          </w:p>
          <w:p w:rsidR="005E00FD" w:rsidRPr="005E00FD" w:rsidRDefault="00665CCF" w:rsidP="005E00FD">
            <w:pPr>
              <w:jc w:val="both"/>
              <w:rPr>
                <w:rFonts w:eastAsiaTheme="minorHAnsi" w:cstheme="minorBidi"/>
                <w:sz w:val="20"/>
                <w:lang w:val="fr-CA"/>
              </w:rPr>
            </w:pPr>
            <w:hyperlink r:id="rId19" w:history="1">
              <w:r w:rsidR="005E00FD" w:rsidRPr="00C64913">
                <w:rPr>
                  <w:rFonts w:eastAsiaTheme="minorHAnsi" w:cstheme="minorBidi"/>
                  <w:color w:val="0000FF" w:themeColor="hyperlink"/>
                  <w:sz w:val="20"/>
                  <w:u w:val="single"/>
                  <w:lang w:val="fr-CA"/>
                </w:rPr>
                <w:t>2014 SKQB 49</w:t>
              </w:r>
            </w:hyperlink>
          </w:p>
          <w:p w:rsidR="005E00FD" w:rsidRPr="005E00FD" w:rsidRDefault="005E00FD" w:rsidP="005E00FD">
            <w:pPr>
              <w:jc w:val="both"/>
              <w:rPr>
                <w:rFonts w:eastAsiaTheme="minorHAnsi" w:cstheme="minorBidi"/>
                <w:sz w:val="20"/>
                <w:lang w:val="fr-CA"/>
              </w:rPr>
            </w:pPr>
          </w:p>
        </w:tc>
        <w:tc>
          <w:tcPr>
            <w:tcW w:w="243" w:type="pct"/>
          </w:tcPr>
          <w:p w:rsidR="005E00FD" w:rsidRPr="005E00FD" w:rsidRDefault="005E00FD" w:rsidP="005E00FD">
            <w:pPr>
              <w:jc w:val="both"/>
              <w:rPr>
                <w:rFonts w:eastAsiaTheme="minorHAnsi" w:cstheme="minorBidi"/>
                <w:sz w:val="20"/>
                <w:lang w:val="fr-CA"/>
              </w:rPr>
            </w:pPr>
          </w:p>
        </w:tc>
        <w:tc>
          <w:tcPr>
            <w:tcW w:w="2330" w:type="pct"/>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Ordonnance de placement en faveur du ministre; annulation des droits de visite accordés au père demandeur; maintien du droit de visite de la mère jusqu’à l’adoption ou jusqu’à nouvel ordre</w:t>
            </w:r>
          </w:p>
          <w:p w:rsidR="005E00FD" w:rsidRPr="005E00FD" w:rsidRDefault="005E00FD" w:rsidP="005E00FD">
            <w:pPr>
              <w:jc w:val="both"/>
              <w:rPr>
                <w:rFonts w:eastAsiaTheme="minorHAnsi" w:cstheme="minorBidi"/>
                <w:sz w:val="20"/>
                <w:lang w:val="fr-CA"/>
              </w:rPr>
            </w:pPr>
          </w:p>
        </w:tc>
      </w:tr>
      <w:tr w:rsidR="005E00FD" w:rsidRPr="00665CCF" w:rsidTr="002C501E">
        <w:tc>
          <w:tcPr>
            <w:tcW w:w="2427" w:type="pct"/>
            <w:gridSpan w:val="2"/>
          </w:tcPr>
          <w:p w:rsidR="00060460" w:rsidRDefault="005E00FD" w:rsidP="00917D43">
            <w:pPr>
              <w:jc w:val="both"/>
              <w:rPr>
                <w:rFonts w:eastAsiaTheme="minorHAnsi" w:cstheme="minorBidi"/>
                <w:sz w:val="20"/>
                <w:lang w:val="fr-CA"/>
              </w:rPr>
            </w:pPr>
            <w:r w:rsidRPr="005E00FD">
              <w:rPr>
                <w:rFonts w:eastAsiaTheme="minorHAnsi" w:cstheme="minorBidi"/>
                <w:sz w:val="20"/>
                <w:lang w:val="fr-CA"/>
              </w:rPr>
              <w:t>31 décembre 2014</w:t>
            </w:r>
          </w:p>
          <w:p w:rsidR="005E00FD" w:rsidRPr="005E00FD" w:rsidRDefault="005E00FD" w:rsidP="00917D43">
            <w:pPr>
              <w:jc w:val="both"/>
              <w:rPr>
                <w:rFonts w:eastAsiaTheme="minorHAnsi" w:cstheme="minorBidi"/>
                <w:sz w:val="20"/>
                <w:lang w:val="fr-CA"/>
              </w:rPr>
            </w:pPr>
            <w:r w:rsidRPr="005E00FD">
              <w:rPr>
                <w:rFonts w:eastAsiaTheme="minorHAnsi" w:cstheme="minorBidi"/>
                <w:sz w:val="20"/>
                <w:lang w:val="fr-CA"/>
              </w:rPr>
              <w:t>Cour d’appel de la Saskatchewan</w:t>
            </w:r>
          </w:p>
          <w:p w:rsidR="005E00FD" w:rsidRPr="005E00FD" w:rsidRDefault="005E00FD" w:rsidP="00917D43">
            <w:pPr>
              <w:jc w:val="both"/>
              <w:rPr>
                <w:rFonts w:eastAsiaTheme="minorHAnsi" w:cstheme="minorBidi"/>
                <w:sz w:val="20"/>
                <w:lang w:val="fr-CA"/>
              </w:rPr>
            </w:pPr>
            <w:r w:rsidRPr="005E00FD">
              <w:rPr>
                <w:rFonts w:eastAsiaTheme="minorHAnsi" w:cstheme="minorBidi"/>
                <w:sz w:val="20"/>
                <w:lang w:val="fr-CA"/>
              </w:rPr>
              <w:t xml:space="preserve">(Juges Richards, </w:t>
            </w:r>
            <w:proofErr w:type="spellStart"/>
            <w:r w:rsidRPr="005E00FD">
              <w:rPr>
                <w:rFonts w:eastAsiaTheme="minorHAnsi" w:cstheme="minorBidi"/>
                <w:sz w:val="20"/>
                <w:lang w:val="fr-CA"/>
              </w:rPr>
              <w:t>Ottenbreit</w:t>
            </w:r>
            <w:proofErr w:type="spellEnd"/>
            <w:r w:rsidRPr="005E00FD">
              <w:rPr>
                <w:rFonts w:eastAsiaTheme="minorHAnsi" w:cstheme="minorBidi"/>
                <w:sz w:val="20"/>
                <w:lang w:val="fr-CA"/>
              </w:rPr>
              <w:t xml:space="preserve"> et </w:t>
            </w:r>
            <w:proofErr w:type="spellStart"/>
            <w:r w:rsidRPr="005E00FD">
              <w:rPr>
                <w:rFonts w:eastAsiaTheme="minorHAnsi" w:cstheme="minorBidi"/>
                <w:sz w:val="20"/>
                <w:lang w:val="fr-CA"/>
              </w:rPr>
              <w:t>Herauf</w:t>
            </w:r>
            <w:proofErr w:type="spellEnd"/>
            <w:r w:rsidRPr="005E00FD">
              <w:rPr>
                <w:rFonts w:eastAsiaTheme="minorHAnsi" w:cstheme="minorBidi"/>
                <w:sz w:val="20"/>
                <w:lang w:val="fr-CA"/>
              </w:rPr>
              <w:t>)</w:t>
            </w:r>
          </w:p>
          <w:p w:rsidR="005E00FD" w:rsidRPr="005E00FD" w:rsidRDefault="00665CCF" w:rsidP="00917D43">
            <w:pPr>
              <w:jc w:val="both"/>
              <w:rPr>
                <w:rFonts w:eastAsiaTheme="minorHAnsi" w:cstheme="minorBidi"/>
                <w:sz w:val="20"/>
                <w:lang w:val="fr-CA"/>
              </w:rPr>
            </w:pPr>
            <w:hyperlink r:id="rId20" w:history="1">
              <w:r w:rsidR="005E00FD" w:rsidRPr="00C64913">
                <w:rPr>
                  <w:rFonts w:eastAsiaTheme="minorHAnsi" w:cstheme="minorBidi"/>
                  <w:color w:val="0000FF" w:themeColor="hyperlink"/>
                  <w:sz w:val="20"/>
                  <w:u w:val="single"/>
                  <w:lang w:val="fr-CA"/>
                </w:rPr>
                <w:t>2014 SKCA 139</w:t>
              </w:r>
            </w:hyperlink>
          </w:p>
          <w:p w:rsidR="005E00FD" w:rsidRPr="005E00FD" w:rsidRDefault="005E00FD" w:rsidP="00917D43">
            <w:pPr>
              <w:jc w:val="both"/>
              <w:rPr>
                <w:rFonts w:eastAsiaTheme="minorHAnsi" w:cstheme="minorBidi"/>
                <w:sz w:val="20"/>
                <w:lang w:val="fr-CA"/>
              </w:rPr>
            </w:pPr>
          </w:p>
        </w:tc>
        <w:tc>
          <w:tcPr>
            <w:tcW w:w="243" w:type="pct"/>
          </w:tcPr>
          <w:p w:rsidR="005E00FD" w:rsidRPr="005E00FD" w:rsidRDefault="005E00FD" w:rsidP="005E00FD">
            <w:pPr>
              <w:spacing w:line="480" w:lineRule="auto"/>
              <w:jc w:val="both"/>
              <w:rPr>
                <w:rFonts w:eastAsiaTheme="minorHAnsi" w:cstheme="minorBidi"/>
                <w:sz w:val="20"/>
                <w:lang w:val="fr-CA"/>
              </w:rPr>
            </w:pPr>
          </w:p>
        </w:tc>
        <w:tc>
          <w:tcPr>
            <w:tcW w:w="2330" w:type="pct"/>
          </w:tcPr>
          <w:p w:rsidR="005E00FD" w:rsidRPr="005E00FD" w:rsidRDefault="005E00FD" w:rsidP="00060460">
            <w:pPr>
              <w:spacing w:line="480" w:lineRule="auto"/>
              <w:jc w:val="both"/>
              <w:rPr>
                <w:rFonts w:eastAsiaTheme="minorHAnsi" w:cstheme="minorBidi"/>
                <w:sz w:val="20"/>
                <w:lang w:val="fr-CA"/>
              </w:rPr>
            </w:pPr>
            <w:r w:rsidRPr="005E00FD">
              <w:rPr>
                <w:rFonts w:eastAsiaTheme="minorHAnsi" w:cstheme="minorBidi"/>
                <w:sz w:val="20"/>
                <w:lang w:val="fr-CA"/>
              </w:rPr>
              <w:t>Rejet de l’appel du demandeur</w:t>
            </w:r>
          </w:p>
        </w:tc>
      </w:tr>
      <w:tr w:rsidR="005E00FD" w:rsidRPr="00665CCF" w:rsidTr="002C501E">
        <w:tc>
          <w:tcPr>
            <w:tcW w:w="2427" w:type="pct"/>
            <w:gridSpan w:val="2"/>
          </w:tcPr>
          <w:p w:rsidR="005E00FD" w:rsidRPr="005E00FD" w:rsidRDefault="005E00FD" w:rsidP="00917D43">
            <w:pPr>
              <w:jc w:val="both"/>
              <w:rPr>
                <w:rFonts w:eastAsiaTheme="minorHAnsi" w:cstheme="minorBidi"/>
                <w:sz w:val="20"/>
                <w:lang w:val="fr-CA"/>
              </w:rPr>
            </w:pPr>
            <w:r w:rsidRPr="005E00FD">
              <w:rPr>
                <w:rFonts w:eastAsiaTheme="minorHAnsi" w:cstheme="minorBidi"/>
                <w:sz w:val="20"/>
                <w:lang w:val="fr-CA"/>
              </w:rPr>
              <w:t>2 mars 2015</w:t>
            </w:r>
          </w:p>
          <w:p w:rsidR="005E00FD" w:rsidRPr="005E00FD" w:rsidRDefault="005E00FD" w:rsidP="00917D43">
            <w:pPr>
              <w:jc w:val="both"/>
              <w:rPr>
                <w:rFonts w:eastAsiaTheme="minorHAnsi" w:cstheme="minorBidi"/>
                <w:sz w:val="20"/>
                <w:lang w:val="fr-CA"/>
              </w:rPr>
            </w:pPr>
            <w:r w:rsidRPr="005E00FD">
              <w:rPr>
                <w:rFonts w:eastAsiaTheme="minorHAnsi" w:cstheme="minorBidi"/>
                <w:sz w:val="20"/>
                <w:lang w:val="fr-CA"/>
              </w:rPr>
              <w:t>Cour suprême du Canada</w:t>
            </w:r>
          </w:p>
          <w:p w:rsidR="005E00FD" w:rsidRPr="005E00FD" w:rsidRDefault="005E00FD" w:rsidP="00917D43">
            <w:pPr>
              <w:jc w:val="both"/>
              <w:rPr>
                <w:rFonts w:eastAsiaTheme="minorHAnsi" w:cstheme="minorBidi"/>
                <w:sz w:val="20"/>
                <w:lang w:val="fr-CA"/>
              </w:rPr>
            </w:pPr>
          </w:p>
        </w:tc>
        <w:tc>
          <w:tcPr>
            <w:tcW w:w="243" w:type="pct"/>
          </w:tcPr>
          <w:p w:rsidR="005E00FD" w:rsidRPr="005E00FD" w:rsidRDefault="005E00FD" w:rsidP="005E00FD">
            <w:pPr>
              <w:spacing w:line="480" w:lineRule="auto"/>
              <w:jc w:val="both"/>
              <w:rPr>
                <w:rFonts w:eastAsiaTheme="minorHAnsi" w:cstheme="minorBidi"/>
                <w:sz w:val="20"/>
                <w:lang w:val="fr-CA"/>
              </w:rPr>
            </w:pPr>
          </w:p>
        </w:tc>
        <w:tc>
          <w:tcPr>
            <w:tcW w:w="2330" w:type="pct"/>
          </w:tcPr>
          <w:p w:rsidR="005E00FD" w:rsidRPr="005E00FD" w:rsidRDefault="005E00FD" w:rsidP="005E00FD">
            <w:pPr>
              <w:spacing w:line="480" w:lineRule="auto"/>
              <w:jc w:val="both"/>
              <w:rPr>
                <w:rFonts w:eastAsiaTheme="minorHAnsi" w:cstheme="minorBidi"/>
                <w:sz w:val="20"/>
                <w:lang w:val="fr-CA"/>
              </w:rPr>
            </w:pPr>
            <w:r w:rsidRPr="005E00FD">
              <w:rPr>
                <w:rFonts w:eastAsiaTheme="minorHAnsi" w:cstheme="minorBidi"/>
                <w:sz w:val="20"/>
                <w:lang w:val="fr-CA"/>
              </w:rPr>
              <w:t>Dépôt de la demande d’autorisation d’appel</w:t>
            </w:r>
          </w:p>
        </w:tc>
      </w:tr>
      <w:tr w:rsidR="005E00FD" w:rsidRPr="00665CCF" w:rsidTr="002C501E">
        <w:tc>
          <w:tcPr>
            <w:tcW w:w="2427" w:type="pct"/>
            <w:gridSpan w:val="2"/>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lastRenderedPageBreak/>
              <w:t>12 mai 2015</w:t>
            </w:r>
          </w:p>
          <w:p w:rsidR="005E00FD" w:rsidRPr="005E00FD" w:rsidRDefault="005E00FD" w:rsidP="005E00FD">
            <w:pPr>
              <w:spacing w:line="480" w:lineRule="auto"/>
              <w:jc w:val="both"/>
              <w:rPr>
                <w:rFonts w:eastAsiaTheme="minorHAnsi" w:cstheme="minorBidi"/>
                <w:sz w:val="20"/>
                <w:lang w:val="fr-CA"/>
              </w:rPr>
            </w:pPr>
            <w:r w:rsidRPr="005E00FD">
              <w:rPr>
                <w:rFonts w:eastAsiaTheme="minorHAnsi" w:cstheme="minorBidi"/>
                <w:sz w:val="20"/>
                <w:lang w:val="fr-CA"/>
              </w:rPr>
              <w:t>Cour suprême du Canada</w:t>
            </w:r>
          </w:p>
        </w:tc>
        <w:tc>
          <w:tcPr>
            <w:tcW w:w="243" w:type="pct"/>
          </w:tcPr>
          <w:p w:rsidR="005E00FD" w:rsidRPr="005E00FD" w:rsidRDefault="005E00FD" w:rsidP="005E00FD">
            <w:pPr>
              <w:spacing w:line="480" w:lineRule="auto"/>
              <w:jc w:val="both"/>
              <w:rPr>
                <w:rFonts w:eastAsiaTheme="minorHAnsi" w:cstheme="minorBidi"/>
                <w:sz w:val="20"/>
                <w:lang w:val="fr-CA"/>
              </w:rPr>
            </w:pPr>
          </w:p>
        </w:tc>
        <w:tc>
          <w:tcPr>
            <w:tcW w:w="2330" w:type="pct"/>
          </w:tcPr>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Dépôt de la requête en prorogation du délai de signification et de dépôt de la demande d’autorisation d’appel</w:t>
            </w:r>
          </w:p>
        </w:tc>
      </w:tr>
    </w:tbl>
    <w:p w:rsidR="005E00FD" w:rsidRPr="005E00FD" w:rsidRDefault="005E00FD" w:rsidP="00917D43">
      <w:pPr>
        <w:jc w:val="both"/>
        <w:rPr>
          <w:rFonts w:eastAsiaTheme="minorHAnsi" w:cstheme="minorBidi"/>
          <w:sz w:val="20"/>
          <w:lang w:val="fr-CA"/>
        </w:rPr>
      </w:pPr>
    </w:p>
    <w:p w:rsidR="005E00FD" w:rsidRPr="00665CCF" w:rsidRDefault="005E00FD" w:rsidP="00917D4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00FD" w:rsidRPr="005E00FD" w:rsidTr="002C501E">
        <w:tc>
          <w:tcPr>
            <w:tcW w:w="543" w:type="pct"/>
          </w:tcPr>
          <w:p w:rsidR="005E00FD" w:rsidRPr="005E00FD" w:rsidRDefault="005E00FD" w:rsidP="005E00FD">
            <w:pPr>
              <w:jc w:val="both"/>
              <w:rPr>
                <w:rFonts w:eastAsiaTheme="minorHAnsi" w:cstheme="minorBidi"/>
                <w:sz w:val="20"/>
                <w:lang w:val="en-CA"/>
              </w:rPr>
            </w:pPr>
            <w:r w:rsidRPr="00C64913">
              <w:rPr>
                <w:rFonts w:eastAsiaTheme="minorHAnsi" w:cstheme="minorBidi"/>
                <w:b/>
                <w:sz w:val="20"/>
                <w:lang w:val="en-CA"/>
              </w:rPr>
              <w:t>36347</w:t>
            </w:r>
          </w:p>
        </w:tc>
        <w:tc>
          <w:tcPr>
            <w:tcW w:w="4457" w:type="pct"/>
            <w:gridSpan w:val="3"/>
          </w:tcPr>
          <w:p w:rsidR="005E00FD" w:rsidRPr="005E00FD" w:rsidRDefault="005E00FD" w:rsidP="005E00FD">
            <w:pPr>
              <w:jc w:val="both"/>
              <w:rPr>
                <w:rFonts w:eastAsiaTheme="minorHAnsi" w:cstheme="minorBidi"/>
                <w:b/>
                <w:sz w:val="20"/>
                <w:lang w:val="en-CA"/>
              </w:rPr>
            </w:pPr>
            <w:r w:rsidRPr="005E00FD">
              <w:rPr>
                <w:rFonts w:eastAsiaTheme="minorHAnsi" w:cstheme="minorBidi"/>
                <w:b/>
                <w:sz w:val="20"/>
                <w:lang w:val="en-CA"/>
              </w:rPr>
              <w:t xml:space="preserve">Michèle </w:t>
            </w:r>
            <w:proofErr w:type="spellStart"/>
            <w:r w:rsidRPr="005E00FD">
              <w:rPr>
                <w:rFonts w:eastAsiaTheme="minorHAnsi" w:cstheme="minorBidi"/>
                <w:b/>
                <w:sz w:val="20"/>
                <w:lang w:val="en-CA"/>
              </w:rPr>
              <w:t>Closson</w:t>
            </w:r>
            <w:proofErr w:type="spellEnd"/>
            <w:r w:rsidRPr="005E00FD">
              <w:rPr>
                <w:rFonts w:eastAsiaTheme="minorHAnsi" w:cstheme="minorBidi"/>
                <w:b/>
                <w:sz w:val="20"/>
                <w:lang w:val="en-CA"/>
              </w:rPr>
              <w:t xml:space="preserve">, Jean-Paul </w:t>
            </w:r>
            <w:proofErr w:type="spellStart"/>
            <w:r w:rsidRPr="005E00FD">
              <w:rPr>
                <w:rFonts w:eastAsiaTheme="minorHAnsi" w:cstheme="minorBidi"/>
                <w:b/>
                <w:sz w:val="20"/>
                <w:lang w:val="en-CA"/>
              </w:rPr>
              <w:t>Duquette</w:t>
            </w:r>
            <w:proofErr w:type="spellEnd"/>
            <w:r w:rsidRPr="005E00FD">
              <w:rPr>
                <w:rFonts w:eastAsiaTheme="minorHAnsi" w:cstheme="minorBidi"/>
                <w:b/>
                <w:sz w:val="20"/>
                <w:lang w:val="en-CA"/>
              </w:rPr>
              <w:t xml:space="preserve"> v. City of Saint-Jérôme</w:t>
            </w:r>
          </w:p>
          <w:p w:rsidR="005E00FD" w:rsidRPr="005E00FD" w:rsidRDefault="005E00FD" w:rsidP="005E00FD">
            <w:pPr>
              <w:jc w:val="both"/>
              <w:rPr>
                <w:rFonts w:eastAsiaTheme="minorHAnsi" w:cstheme="minorBidi"/>
                <w:sz w:val="20"/>
                <w:lang w:val="en-CA"/>
              </w:rPr>
            </w:pPr>
            <w:r w:rsidRPr="005E00FD">
              <w:rPr>
                <w:rFonts w:eastAsiaTheme="minorHAnsi" w:cstheme="minorBidi"/>
                <w:sz w:val="20"/>
                <w:lang w:val="en-CA"/>
              </w:rPr>
              <w:t>(Que.) (Civil) (By Leave)</w:t>
            </w: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p>
          <w:p w:rsidR="005E00FD" w:rsidRPr="005E00FD" w:rsidRDefault="005E00FD" w:rsidP="005E00FD">
            <w:pPr>
              <w:jc w:val="both"/>
              <w:rPr>
                <w:rFonts w:eastAsiaTheme="minorHAnsi" w:cstheme="minorBidi"/>
                <w:sz w:val="20"/>
                <w:lang w:val="en-CA"/>
              </w:rPr>
            </w:pPr>
            <w:r w:rsidRPr="005E00FD">
              <w:rPr>
                <w:sz w:val="20"/>
                <w:lang w:val="en-CA" w:eastAsia="en-CA"/>
              </w:rPr>
              <w:t>Municipal law – Land use planning and development – By</w:t>
            </w:r>
            <w:r w:rsidRPr="005E00FD">
              <w:rPr>
                <w:sz w:val="20"/>
                <w:lang w:val="en-CA" w:eastAsia="en-CA"/>
              </w:rPr>
              <w:noBreakHyphen/>
              <w:t xml:space="preserve">laws – Offences – </w:t>
            </w:r>
            <w:proofErr w:type="spellStart"/>
            <w:r w:rsidRPr="005E00FD">
              <w:rPr>
                <w:sz w:val="20"/>
                <w:lang w:val="en-CA" w:eastAsia="en-CA"/>
              </w:rPr>
              <w:t>Immovables</w:t>
            </w:r>
            <w:proofErr w:type="spellEnd"/>
            <w:r w:rsidRPr="005E00FD">
              <w:rPr>
                <w:sz w:val="20"/>
                <w:lang w:val="en-CA" w:eastAsia="en-CA"/>
              </w:rPr>
              <w:t xml:space="preserve"> contravening fire protection provisions – Motion by city to force performance of required work – Damages – By conducting present civil proceedings at same time as penal proceedings, whether city so violated “community’s sense of fair play and decency” that it must bear its own costs throughout, including its expert fees, even though its motion had valid objective – Whether normal person, by exercise of reasonable diligence, would actually have discovered damage or ought to have discovered it within time set by trial judge, that is, well before six</w:t>
            </w:r>
            <w:r w:rsidRPr="005E00FD">
              <w:rPr>
                <w:rFonts w:eastAsiaTheme="minorHAnsi" w:cstheme="minorBidi"/>
                <w:sz w:val="20"/>
                <w:lang w:val="en-CA"/>
              </w:rPr>
              <w:t xml:space="preserve"> months from initiation of civil action by city of </w:t>
            </w:r>
            <w:r w:rsidRPr="005E00FD">
              <w:rPr>
                <w:sz w:val="20"/>
                <w:lang w:val="en-CA" w:eastAsia="en-CA"/>
              </w:rPr>
              <w:t>St</w:t>
            </w:r>
            <w:r w:rsidRPr="005E00FD">
              <w:rPr>
                <w:sz w:val="20"/>
                <w:lang w:val="en-CA" w:eastAsia="en-CA"/>
              </w:rPr>
              <w:noBreakHyphen/>
              <w:t>Jérôme – Whether effective cause of damages sustained by applicants was (a) city’s improper approval of plans and specifications that did not comply with its by</w:t>
            </w:r>
            <w:r w:rsidRPr="005E00FD">
              <w:rPr>
                <w:sz w:val="20"/>
                <w:lang w:val="en-CA" w:eastAsia="en-CA"/>
              </w:rPr>
              <w:noBreakHyphen/>
              <w:t>laws in several respects and (b) city’s failure for nearly 20 years to identify non</w:t>
            </w:r>
            <w:r w:rsidRPr="005E00FD">
              <w:rPr>
                <w:sz w:val="20"/>
                <w:lang w:val="en-CA" w:eastAsia="en-CA"/>
              </w:rPr>
              <w:noBreakHyphen/>
              <w:t xml:space="preserve">compliance through operational inspections – Since quantum of cost of bringing </w:t>
            </w:r>
            <w:proofErr w:type="spellStart"/>
            <w:r w:rsidRPr="005E00FD">
              <w:rPr>
                <w:sz w:val="20"/>
                <w:lang w:val="en-CA" w:eastAsia="en-CA"/>
              </w:rPr>
              <w:t>immovables</w:t>
            </w:r>
            <w:proofErr w:type="spellEnd"/>
            <w:r w:rsidRPr="005E00FD">
              <w:rPr>
                <w:sz w:val="20"/>
                <w:lang w:val="en-CA" w:eastAsia="en-CA"/>
              </w:rPr>
              <w:t xml:space="preserve"> up to standard based on city’s requirements does not seem seriously contested, whether, for additional disbursements resulting from decontamination of asbestos discovered after judgment, matter should not be remitted to Superior Court to fix such damages by agreement or adversarial debate – </w:t>
            </w:r>
            <w:r w:rsidRPr="005E00FD">
              <w:rPr>
                <w:i/>
                <w:sz w:val="20"/>
                <w:lang w:val="en-CA" w:eastAsia="en-CA"/>
              </w:rPr>
              <w:t>Act respecting land use planning and development</w:t>
            </w:r>
            <w:r w:rsidRPr="005E00FD">
              <w:rPr>
                <w:sz w:val="20"/>
                <w:lang w:val="en-CA" w:eastAsia="en-CA"/>
              </w:rPr>
              <w:t>, CQLR, c. A</w:t>
            </w:r>
            <w:r w:rsidRPr="005E00FD">
              <w:rPr>
                <w:sz w:val="20"/>
                <w:lang w:val="en-CA" w:eastAsia="en-CA"/>
              </w:rPr>
              <w:noBreakHyphen/>
              <w:t>19.1, s. 227.</w:t>
            </w:r>
          </w:p>
        </w:tc>
      </w:tr>
      <w:tr w:rsidR="005E00FD" w:rsidRPr="005E00FD" w:rsidTr="002C501E">
        <w:tc>
          <w:tcPr>
            <w:tcW w:w="5000" w:type="pct"/>
            <w:gridSpan w:val="4"/>
          </w:tcPr>
          <w:p w:rsidR="005E00FD" w:rsidRPr="005E00FD" w:rsidRDefault="005E00FD" w:rsidP="005E00FD">
            <w:pPr>
              <w:jc w:val="both"/>
              <w:rPr>
                <w:rFonts w:eastAsiaTheme="minorHAnsi" w:cstheme="minorBidi"/>
                <w:sz w:val="20"/>
                <w:lang w:val="en-CA"/>
              </w:rPr>
            </w:pPr>
          </w:p>
        </w:tc>
      </w:tr>
      <w:tr w:rsidR="005E00FD" w:rsidRPr="005E00FD" w:rsidTr="002C501E">
        <w:tc>
          <w:tcPr>
            <w:tcW w:w="5000" w:type="pct"/>
            <w:gridSpan w:val="4"/>
          </w:tcPr>
          <w:p w:rsidR="005E00FD" w:rsidRPr="005E00FD" w:rsidRDefault="005E00FD" w:rsidP="005E00FD">
            <w:pPr>
              <w:jc w:val="both"/>
              <w:rPr>
                <w:sz w:val="20"/>
                <w:lang w:val="en-CA" w:eastAsia="en-CA"/>
              </w:rPr>
            </w:pPr>
            <w:r w:rsidRPr="005E00FD">
              <w:rPr>
                <w:sz w:val="20"/>
                <w:lang w:val="en-CA" w:eastAsia="en-CA"/>
              </w:rPr>
              <w:t>Between 1997 and 1999, the applicants, Jean</w:t>
            </w:r>
            <w:r w:rsidRPr="005E00FD">
              <w:rPr>
                <w:sz w:val="20"/>
                <w:lang w:val="en-CA" w:eastAsia="en-CA"/>
              </w:rPr>
              <w:noBreakHyphen/>
              <w:t>Paul </w:t>
            </w:r>
            <w:proofErr w:type="spellStart"/>
            <w:r w:rsidRPr="005E00FD">
              <w:rPr>
                <w:sz w:val="20"/>
                <w:lang w:val="en-CA" w:eastAsia="en-CA"/>
              </w:rPr>
              <w:t>Duquette</w:t>
            </w:r>
            <w:proofErr w:type="spellEnd"/>
            <w:r w:rsidRPr="005E00FD">
              <w:rPr>
                <w:sz w:val="20"/>
                <w:lang w:val="en-CA" w:eastAsia="en-CA"/>
              </w:rPr>
              <w:t xml:space="preserve"> and Michèle </w:t>
            </w:r>
            <w:proofErr w:type="spellStart"/>
            <w:r w:rsidRPr="005E00FD">
              <w:rPr>
                <w:sz w:val="20"/>
                <w:lang w:val="en-CA" w:eastAsia="en-CA"/>
              </w:rPr>
              <w:t>Closson</w:t>
            </w:r>
            <w:proofErr w:type="spellEnd"/>
            <w:r w:rsidRPr="005E00FD">
              <w:rPr>
                <w:sz w:val="20"/>
                <w:lang w:val="en-CA" w:eastAsia="en-CA"/>
              </w:rPr>
              <w:t>, became owners, [</w:t>
            </w:r>
            <w:r w:rsidRPr="005E00FD">
              <w:rPr>
                <w:smallCaps/>
                <w:sz w:val="20"/>
                <w:lang w:val="en-CA" w:eastAsia="en-CA"/>
              </w:rPr>
              <w:t>translation</w:t>
            </w:r>
            <w:r w:rsidRPr="005E00FD">
              <w:rPr>
                <w:sz w:val="20"/>
                <w:lang w:val="en-CA" w:eastAsia="en-CA"/>
              </w:rPr>
              <w:t>] “at their own risk” and “without legal warranty”, of three multiple</w:t>
            </w:r>
            <w:r w:rsidRPr="005E00FD">
              <w:rPr>
                <w:sz w:val="20"/>
                <w:lang w:val="en-CA" w:eastAsia="en-CA"/>
              </w:rPr>
              <w:noBreakHyphen/>
              <w:t xml:space="preserve">unit </w:t>
            </w:r>
            <w:proofErr w:type="spellStart"/>
            <w:r w:rsidRPr="005E00FD">
              <w:rPr>
                <w:sz w:val="20"/>
                <w:lang w:val="en-CA" w:eastAsia="en-CA"/>
              </w:rPr>
              <w:t>immovables</w:t>
            </w:r>
            <w:proofErr w:type="spellEnd"/>
            <w:r w:rsidRPr="005E00FD">
              <w:rPr>
                <w:sz w:val="20"/>
                <w:lang w:val="en-CA" w:eastAsia="en-CA"/>
              </w:rPr>
              <w:t xml:space="preserve"> built in 1987 by a person not party to the proceedings. At the time the </w:t>
            </w:r>
            <w:proofErr w:type="spellStart"/>
            <w:r w:rsidRPr="005E00FD">
              <w:rPr>
                <w:sz w:val="20"/>
                <w:lang w:val="en-CA" w:eastAsia="en-CA"/>
              </w:rPr>
              <w:t>immovables</w:t>
            </w:r>
            <w:proofErr w:type="spellEnd"/>
            <w:r w:rsidRPr="005E00FD">
              <w:rPr>
                <w:sz w:val="20"/>
                <w:lang w:val="en-CA" w:eastAsia="en-CA"/>
              </w:rPr>
              <w:t xml:space="preserve"> were built, they contravened the fire protection provisions of the </w:t>
            </w:r>
            <w:r w:rsidRPr="005E00FD">
              <w:rPr>
                <w:i/>
                <w:sz w:val="20"/>
                <w:lang w:val="en-CA" w:eastAsia="en-CA"/>
              </w:rPr>
              <w:t xml:space="preserve">National Fire Code </w:t>
            </w:r>
            <w:r w:rsidRPr="005E00FD">
              <w:rPr>
                <w:sz w:val="20"/>
                <w:lang w:val="en-CA" w:eastAsia="en-CA"/>
              </w:rPr>
              <w:t xml:space="preserve">and the </w:t>
            </w:r>
            <w:r w:rsidRPr="005E00FD">
              <w:rPr>
                <w:i/>
                <w:sz w:val="20"/>
                <w:lang w:val="en-CA" w:eastAsia="en-CA"/>
              </w:rPr>
              <w:t>National Building Code</w:t>
            </w:r>
            <w:r w:rsidRPr="005E00FD">
              <w:rPr>
                <w:sz w:val="20"/>
                <w:lang w:val="en-CA" w:eastAsia="en-CA"/>
              </w:rPr>
              <w:t>.</w:t>
            </w:r>
          </w:p>
          <w:p w:rsidR="005E00FD" w:rsidRPr="005E00FD" w:rsidRDefault="005E00FD" w:rsidP="005E00FD">
            <w:pPr>
              <w:jc w:val="both"/>
              <w:rPr>
                <w:sz w:val="20"/>
                <w:lang w:val="en-CA" w:eastAsia="en-CA"/>
              </w:rPr>
            </w:pPr>
          </w:p>
          <w:p w:rsidR="005E00FD" w:rsidRPr="005E00FD" w:rsidRDefault="005E00FD" w:rsidP="005E00FD">
            <w:pPr>
              <w:jc w:val="both"/>
              <w:rPr>
                <w:sz w:val="20"/>
                <w:lang w:val="en-CA" w:eastAsia="en-CA"/>
              </w:rPr>
            </w:pPr>
            <w:r w:rsidRPr="005E00FD">
              <w:rPr>
                <w:sz w:val="20"/>
                <w:lang w:val="en-CA" w:eastAsia="en-CA"/>
              </w:rPr>
              <w:t xml:space="preserve">In November 2008, the city filed a motion with the Superior Court under s. 227 of the </w:t>
            </w:r>
            <w:r w:rsidRPr="005E00FD">
              <w:rPr>
                <w:i/>
                <w:sz w:val="20"/>
                <w:lang w:val="en-CA" w:eastAsia="en-CA"/>
              </w:rPr>
              <w:t>Act respecting land use planning and development</w:t>
            </w:r>
            <w:r w:rsidRPr="005E00FD">
              <w:rPr>
                <w:sz w:val="20"/>
                <w:lang w:val="en-CA" w:eastAsia="en-CA"/>
              </w:rPr>
              <w:t>, CQLR, c. A</w:t>
            </w:r>
            <w:r w:rsidRPr="005E00FD">
              <w:rPr>
                <w:sz w:val="20"/>
                <w:lang w:val="en-CA" w:eastAsia="en-CA"/>
              </w:rPr>
              <w:noBreakHyphen/>
              <w:t xml:space="preserve">19.1, to force the applicants to perform the work required to make the </w:t>
            </w:r>
            <w:proofErr w:type="spellStart"/>
            <w:r w:rsidRPr="005E00FD">
              <w:rPr>
                <w:sz w:val="20"/>
                <w:lang w:val="en-CA" w:eastAsia="en-CA"/>
              </w:rPr>
              <w:t>immovables</w:t>
            </w:r>
            <w:proofErr w:type="spellEnd"/>
            <w:r w:rsidRPr="005E00FD">
              <w:rPr>
                <w:sz w:val="20"/>
                <w:lang w:val="en-CA" w:eastAsia="en-CA"/>
              </w:rPr>
              <w:t xml:space="preserve"> compliant with the standards.</w:t>
            </w:r>
          </w:p>
          <w:p w:rsidR="005E00FD" w:rsidRPr="005E00FD" w:rsidRDefault="005E00FD" w:rsidP="005E00FD">
            <w:pPr>
              <w:jc w:val="both"/>
              <w:rPr>
                <w:sz w:val="20"/>
                <w:lang w:val="en-CA" w:eastAsia="en-CA"/>
              </w:rPr>
            </w:pPr>
          </w:p>
        </w:tc>
      </w:tr>
      <w:tr w:rsidR="005E00FD" w:rsidRPr="005E00FD" w:rsidTr="002C501E">
        <w:tc>
          <w:tcPr>
            <w:tcW w:w="2427" w:type="pct"/>
            <w:gridSpan w:val="2"/>
          </w:tcPr>
          <w:p w:rsidR="005E00FD" w:rsidRPr="005E00FD" w:rsidRDefault="005E00FD" w:rsidP="005E00FD">
            <w:pPr>
              <w:jc w:val="both"/>
              <w:rPr>
                <w:sz w:val="20"/>
                <w:lang w:val="en-CA" w:eastAsia="en-CA"/>
              </w:rPr>
            </w:pPr>
            <w:r w:rsidRPr="005E00FD">
              <w:rPr>
                <w:sz w:val="20"/>
                <w:lang w:val="en-CA" w:eastAsia="en-CA"/>
              </w:rPr>
              <w:t>March 22, 2012</w:t>
            </w:r>
          </w:p>
          <w:p w:rsidR="005E00FD" w:rsidRPr="005E00FD" w:rsidRDefault="005E00FD" w:rsidP="005E00FD">
            <w:pPr>
              <w:jc w:val="both"/>
              <w:rPr>
                <w:sz w:val="20"/>
                <w:lang w:val="en-CA" w:eastAsia="en-CA"/>
              </w:rPr>
            </w:pPr>
            <w:r w:rsidRPr="005E00FD">
              <w:rPr>
                <w:sz w:val="20"/>
                <w:lang w:val="en-CA" w:eastAsia="en-CA"/>
              </w:rPr>
              <w:t>Quebec Superior Court</w:t>
            </w:r>
          </w:p>
          <w:p w:rsidR="005E00FD" w:rsidRPr="005E00FD" w:rsidRDefault="005E00FD" w:rsidP="005E00FD">
            <w:pPr>
              <w:jc w:val="both"/>
              <w:rPr>
                <w:sz w:val="20"/>
                <w:lang w:val="en-CA" w:eastAsia="en-CA"/>
              </w:rPr>
            </w:pPr>
            <w:r w:rsidRPr="005E00FD">
              <w:rPr>
                <w:sz w:val="20"/>
                <w:lang w:val="en-CA" w:eastAsia="en-CA"/>
              </w:rPr>
              <w:t>(</w:t>
            </w:r>
            <w:proofErr w:type="spellStart"/>
            <w:r w:rsidRPr="005E00FD">
              <w:rPr>
                <w:sz w:val="20"/>
                <w:lang w:val="en-CA" w:eastAsia="en-CA"/>
              </w:rPr>
              <w:t>Marcotte</w:t>
            </w:r>
            <w:proofErr w:type="spellEnd"/>
            <w:r w:rsidRPr="005E00FD">
              <w:rPr>
                <w:sz w:val="20"/>
                <w:lang w:val="en-CA" w:eastAsia="en-CA"/>
              </w:rPr>
              <w:t xml:space="preserve"> J.)</w:t>
            </w:r>
          </w:p>
          <w:p w:rsidR="005E00FD" w:rsidRPr="005E00FD" w:rsidRDefault="00665CCF" w:rsidP="005E00FD">
            <w:pPr>
              <w:jc w:val="both"/>
              <w:rPr>
                <w:sz w:val="20"/>
                <w:lang w:val="en-CA" w:eastAsia="en-CA"/>
              </w:rPr>
            </w:pPr>
            <w:hyperlink r:id="rId21" w:history="1">
              <w:r w:rsidR="005E00FD" w:rsidRPr="005E00FD">
                <w:rPr>
                  <w:color w:val="0000FF" w:themeColor="hyperlink"/>
                  <w:sz w:val="20"/>
                  <w:u w:val="single"/>
                  <w:lang w:val="en-CA" w:eastAsia="en-CA"/>
                </w:rPr>
                <w:t>2012 QCCS 1150</w:t>
              </w:r>
            </w:hyperlink>
          </w:p>
          <w:p w:rsidR="005E00FD" w:rsidRPr="005E00FD" w:rsidRDefault="005E00FD" w:rsidP="005E00FD">
            <w:pPr>
              <w:jc w:val="both"/>
              <w:rPr>
                <w:sz w:val="20"/>
                <w:lang w:val="en-CA" w:eastAsia="en-CA"/>
              </w:rPr>
            </w:pPr>
          </w:p>
        </w:tc>
        <w:tc>
          <w:tcPr>
            <w:tcW w:w="243" w:type="pct"/>
          </w:tcPr>
          <w:p w:rsidR="005E00FD" w:rsidRPr="005E00FD" w:rsidRDefault="005E00FD" w:rsidP="005E00FD">
            <w:pPr>
              <w:jc w:val="both"/>
              <w:rPr>
                <w:sz w:val="20"/>
                <w:lang w:val="en-CA" w:eastAsia="en-CA"/>
              </w:rPr>
            </w:pPr>
          </w:p>
        </w:tc>
        <w:tc>
          <w:tcPr>
            <w:tcW w:w="2330" w:type="pct"/>
          </w:tcPr>
          <w:p w:rsidR="005E00FD" w:rsidRPr="005E00FD" w:rsidRDefault="005E00FD" w:rsidP="005E00FD">
            <w:pPr>
              <w:jc w:val="both"/>
              <w:rPr>
                <w:sz w:val="20"/>
                <w:lang w:val="en-CA" w:eastAsia="en-CA"/>
              </w:rPr>
            </w:pPr>
            <w:r w:rsidRPr="005E00FD">
              <w:rPr>
                <w:sz w:val="20"/>
                <w:lang w:val="en-CA" w:eastAsia="en-CA"/>
              </w:rPr>
              <w:t xml:space="preserve">Motion under s. 227 of </w:t>
            </w:r>
            <w:r w:rsidRPr="005E00FD">
              <w:rPr>
                <w:i/>
                <w:sz w:val="20"/>
                <w:lang w:val="en-CA" w:eastAsia="en-CA"/>
              </w:rPr>
              <w:t>Act respecting land use planning and development</w:t>
            </w:r>
            <w:r w:rsidRPr="005E00FD">
              <w:rPr>
                <w:sz w:val="20"/>
                <w:lang w:val="en-CA" w:eastAsia="en-CA"/>
              </w:rPr>
              <w:t xml:space="preserve"> allowed</w:t>
            </w:r>
          </w:p>
        </w:tc>
      </w:tr>
      <w:tr w:rsidR="005E00FD" w:rsidRPr="005E00FD" w:rsidTr="002C501E">
        <w:tc>
          <w:tcPr>
            <w:tcW w:w="2427" w:type="pct"/>
            <w:gridSpan w:val="2"/>
          </w:tcPr>
          <w:p w:rsidR="005E00FD" w:rsidRPr="005E00FD" w:rsidRDefault="005E00FD" w:rsidP="005E00FD">
            <w:pPr>
              <w:jc w:val="both"/>
              <w:rPr>
                <w:sz w:val="20"/>
                <w:lang w:val="en-CA" w:eastAsia="en-CA"/>
              </w:rPr>
            </w:pPr>
            <w:r w:rsidRPr="005E00FD">
              <w:rPr>
                <w:sz w:val="20"/>
                <w:lang w:val="en-CA" w:eastAsia="en-CA"/>
              </w:rPr>
              <w:t>January 16, 2015</w:t>
            </w:r>
          </w:p>
          <w:p w:rsidR="005E00FD" w:rsidRPr="005E00FD" w:rsidRDefault="005E00FD" w:rsidP="005E00FD">
            <w:pPr>
              <w:jc w:val="both"/>
              <w:rPr>
                <w:sz w:val="20"/>
                <w:lang w:val="en-CA" w:eastAsia="en-CA"/>
              </w:rPr>
            </w:pPr>
            <w:r w:rsidRPr="005E00FD">
              <w:rPr>
                <w:sz w:val="20"/>
                <w:lang w:val="en-CA" w:eastAsia="en-CA"/>
              </w:rPr>
              <w:t>Quebec Court of Appeal (Montréal)</w:t>
            </w:r>
          </w:p>
          <w:p w:rsidR="005E00FD" w:rsidRPr="005E00FD" w:rsidRDefault="005E00FD" w:rsidP="005E00FD">
            <w:pPr>
              <w:jc w:val="both"/>
              <w:rPr>
                <w:sz w:val="20"/>
                <w:lang w:val="en-CA" w:eastAsia="en-CA"/>
              </w:rPr>
            </w:pPr>
            <w:r w:rsidRPr="005E00FD">
              <w:rPr>
                <w:sz w:val="20"/>
                <w:lang w:val="en-CA" w:eastAsia="en-CA"/>
              </w:rPr>
              <w:t>(</w:t>
            </w:r>
            <w:proofErr w:type="spellStart"/>
            <w:r w:rsidRPr="005E00FD">
              <w:rPr>
                <w:sz w:val="20"/>
                <w:lang w:val="en-CA" w:eastAsia="en-CA"/>
              </w:rPr>
              <w:t>Morissette</w:t>
            </w:r>
            <w:proofErr w:type="spellEnd"/>
            <w:r w:rsidRPr="005E00FD">
              <w:rPr>
                <w:sz w:val="20"/>
                <w:lang w:val="en-CA" w:eastAsia="en-CA"/>
              </w:rPr>
              <w:t xml:space="preserve">, </w:t>
            </w:r>
            <w:proofErr w:type="spellStart"/>
            <w:r w:rsidRPr="005E00FD">
              <w:rPr>
                <w:sz w:val="20"/>
                <w:lang w:val="en-CA" w:eastAsia="en-CA"/>
              </w:rPr>
              <w:t>Dutil</w:t>
            </w:r>
            <w:proofErr w:type="spellEnd"/>
            <w:r w:rsidRPr="005E00FD">
              <w:rPr>
                <w:sz w:val="20"/>
                <w:lang w:val="en-CA" w:eastAsia="en-CA"/>
              </w:rPr>
              <w:t xml:space="preserve"> and </w:t>
            </w:r>
            <w:proofErr w:type="spellStart"/>
            <w:r w:rsidRPr="005E00FD">
              <w:rPr>
                <w:sz w:val="20"/>
                <w:lang w:val="en-CA" w:eastAsia="en-CA"/>
              </w:rPr>
              <w:t>Kasirer</w:t>
            </w:r>
            <w:proofErr w:type="spellEnd"/>
            <w:r w:rsidRPr="005E00FD">
              <w:rPr>
                <w:sz w:val="20"/>
                <w:lang w:val="en-CA" w:eastAsia="en-CA"/>
              </w:rPr>
              <w:t xml:space="preserve"> JJ.A.)</w:t>
            </w:r>
          </w:p>
          <w:p w:rsidR="005E00FD" w:rsidRPr="005E00FD" w:rsidRDefault="00665CCF" w:rsidP="005E00FD">
            <w:pPr>
              <w:jc w:val="both"/>
              <w:rPr>
                <w:sz w:val="20"/>
                <w:lang w:val="en-CA" w:eastAsia="en-CA"/>
              </w:rPr>
            </w:pPr>
            <w:hyperlink r:id="rId22" w:history="1">
              <w:r w:rsidR="005E00FD" w:rsidRPr="005E00FD">
                <w:rPr>
                  <w:color w:val="0000FF" w:themeColor="hyperlink"/>
                  <w:sz w:val="20"/>
                  <w:u w:val="single"/>
                  <w:lang w:val="en-CA" w:eastAsia="en-CA"/>
                </w:rPr>
                <w:t>2015 QCCA 52</w:t>
              </w:r>
            </w:hyperlink>
            <w:r w:rsidR="005E00FD" w:rsidRPr="005E00FD">
              <w:rPr>
                <w:sz w:val="20"/>
                <w:lang w:val="en-CA" w:eastAsia="en-CA"/>
              </w:rPr>
              <w:t>; 500-09-022614-127</w:t>
            </w:r>
          </w:p>
          <w:p w:rsidR="005E00FD" w:rsidRPr="005E00FD" w:rsidRDefault="005E00FD" w:rsidP="005E00FD">
            <w:pPr>
              <w:jc w:val="both"/>
              <w:rPr>
                <w:sz w:val="20"/>
                <w:lang w:val="en-CA" w:eastAsia="en-CA"/>
              </w:rPr>
            </w:pPr>
          </w:p>
        </w:tc>
        <w:tc>
          <w:tcPr>
            <w:tcW w:w="243" w:type="pct"/>
          </w:tcPr>
          <w:p w:rsidR="005E00FD" w:rsidRPr="005E00FD" w:rsidRDefault="005E00FD" w:rsidP="005E00FD">
            <w:pPr>
              <w:jc w:val="both"/>
              <w:rPr>
                <w:sz w:val="20"/>
                <w:lang w:val="en-CA" w:eastAsia="en-CA"/>
              </w:rPr>
            </w:pPr>
          </w:p>
        </w:tc>
        <w:tc>
          <w:tcPr>
            <w:tcW w:w="2330" w:type="pct"/>
          </w:tcPr>
          <w:p w:rsidR="005E00FD" w:rsidRPr="005E00FD" w:rsidRDefault="005E00FD" w:rsidP="005E00FD">
            <w:pPr>
              <w:jc w:val="both"/>
              <w:rPr>
                <w:sz w:val="20"/>
                <w:lang w:val="en-CA" w:eastAsia="en-CA"/>
              </w:rPr>
            </w:pPr>
            <w:r w:rsidRPr="005E00FD">
              <w:rPr>
                <w:sz w:val="20"/>
                <w:lang w:val="en-CA" w:eastAsia="en-CA"/>
              </w:rPr>
              <w:t>Appeal dismissed; motion to adduce new evidence dismissed</w:t>
            </w:r>
          </w:p>
        </w:tc>
      </w:tr>
      <w:tr w:rsidR="005E00FD" w:rsidRPr="005E00FD" w:rsidTr="002C501E">
        <w:tc>
          <w:tcPr>
            <w:tcW w:w="2427" w:type="pct"/>
            <w:gridSpan w:val="2"/>
          </w:tcPr>
          <w:p w:rsidR="005E00FD" w:rsidRPr="005E00FD" w:rsidRDefault="005E00FD" w:rsidP="005E00FD">
            <w:pPr>
              <w:jc w:val="both"/>
              <w:rPr>
                <w:sz w:val="20"/>
                <w:lang w:val="en-CA" w:eastAsia="en-CA"/>
              </w:rPr>
            </w:pPr>
            <w:r w:rsidRPr="005E00FD">
              <w:rPr>
                <w:sz w:val="20"/>
                <w:lang w:val="en-CA" w:eastAsia="en-CA"/>
              </w:rPr>
              <w:t>March 17, 2015</w:t>
            </w:r>
          </w:p>
          <w:p w:rsidR="005E00FD" w:rsidRPr="005E00FD" w:rsidRDefault="005E00FD" w:rsidP="005E00FD">
            <w:pPr>
              <w:jc w:val="both"/>
              <w:rPr>
                <w:sz w:val="20"/>
                <w:lang w:val="en-CA" w:eastAsia="en-CA"/>
              </w:rPr>
            </w:pPr>
            <w:r w:rsidRPr="005E00FD">
              <w:rPr>
                <w:sz w:val="20"/>
                <w:lang w:val="en-CA" w:eastAsia="en-CA"/>
              </w:rPr>
              <w:t>Supreme Court of Canada</w:t>
            </w:r>
          </w:p>
        </w:tc>
        <w:tc>
          <w:tcPr>
            <w:tcW w:w="243" w:type="pct"/>
          </w:tcPr>
          <w:p w:rsidR="005E00FD" w:rsidRPr="005E00FD" w:rsidRDefault="005E00FD" w:rsidP="005E00FD">
            <w:pPr>
              <w:jc w:val="both"/>
              <w:rPr>
                <w:sz w:val="20"/>
                <w:lang w:val="en-CA" w:eastAsia="en-CA"/>
              </w:rPr>
            </w:pPr>
          </w:p>
        </w:tc>
        <w:tc>
          <w:tcPr>
            <w:tcW w:w="2330" w:type="pct"/>
          </w:tcPr>
          <w:p w:rsidR="005E00FD" w:rsidRPr="005E00FD" w:rsidRDefault="005E00FD" w:rsidP="00917D43">
            <w:pPr>
              <w:jc w:val="both"/>
              <w:rPr>
                <w:sz w:val="20"/>
                <w:lang w:val="en-CA" w:eastAsia="en-CA"/>
              </w:rPr>
            </w:pPr>
            <w:r w:rsidRPr="005E00FD">
              <w:rPr>
                <w:sz w:val="20"/>
                <w:lang w:val="en-CA" w:eastAsia="en-CA"/>
              </w:rPr>
              <w:t>Application for leave to appeal filed</w:t>
            </w:r>
          </w:p>
        </w:tc>
      </w:tr>
    </w:tbl>
    <w:p w:rsidR="005E00FD" w:rsidRPr="005E00FD" w:rsidRDefault="005E00FD" w:rsidP="005E00FD">
      <w:pPr>
        <w:jc w:val="both"/>
        <w:rPr>
          <w:rFonts w:eastAsiaTheme="minorHAnsi" w:cstheme="minorBidi"/>
          <w:sz w:val="20"/>
          <w:lang w:val="en-CA"/>
        </w:rPr>
      </w:pPr>
    </w:p>
    <w:p w:rsidR="005E00FD" w:rsidRPr="005E00FD" w:rsidRDefault="005E00FD" w:rsidP="005E00FD">
      <w:pPr>
        <w:jc w:val="both"/>
        <w:rPr>
          <w:rFonts w:eastAsiaTheme="minorHAnsi" w:cstheme="minorBid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00FD" w:rsidRPr="005E00FD" w:rsidTr="002C501E">
        <w:tc>
          <w:tcPr>
            <w:tcW w:w="543" w:type="pct"/>
          </w:tcPr>
          <w:p w:rsidR="005E00FD" w:rsidRPr="005E00FD" w:rsidRDefault="005E00FD" w:rsidP="005E00FD">
            <w:pPr>
              <w:jc w:val="both"/>
              <w:rPr>
                <w:rFonts w:eastAsiaTheme="minorHAnsi" w:cstheme="minorBidi"/>
                <w:sz w:val="20"/>
                <w:lang w:val="fr-CA"/>
              </w:rPr>
            </w:pPr>
            <w:r w:rsidRPr="00C64913">
              <w:rPr>
                <w:rFonts w:eastAsiaTheme="minorHAnsi" w:cstheme="minorBidi"/>
                <w:b/>
                <w:sz w:val="20"/>
                <w:lang w:val="en-CA"/>
              </w:rPr>
              <w:t>36347</w:t>
            </w:r>
          </w:p>
        </w:tc>
        <w:tc>
          <w:tcPr>
            <w:tcW w:w="4457" w:type="pct"/>
            <w:gridSpan w:val="3"/>
          </w:tcPr>
          <w:p w:rsidR="005E00FD" w:rsidRPr="005E00FD" w:rsidRDefault="005E00FD" w:rsidP="005E00FD">
            <w:pPr>
              <w:jc w:val="both"/>
              <w:rPr>
                <w:rFonts w:eastAsiaTheme="minorHAnsi" w:cstheme="minorBidi"/>
                <w:b/>
                <w:sz w:val="20"/>
                <w:lang w:val="fr-CA"/>
              </w:rPr>
            </w:pPr>
            <w:r w:rsidRPr="005E00FD">
              <w:rPr>
                <w:rFonts w:eastAsiaTheme="minorHAnsi" w:cstheme="minorBidi"/>
                <w:b/>
                <w:sz w:val="20"/>
                <w:lang w:val="fr-CA"/>
              </w:rPr>
              <w:t xml:space="preserve">Michèle </w:t>
            </w:r>
            <w:proofErr w:type="spellStart"/>
            <w:r w:rsidRPr="005E00FD">
              <w:rPr>
                <w:rFonts w:eastAsiaTheme="minorHAnsi" w:cstheme="minorBidi"/>
                <w:b/>
                <w:sz w:val="20"/>
                <w:lang w:val="fr-CA"/>
              </w:rPr>
              <w:t>Closson</w:t>
            </w:r>
            <w:proofErr w:type="spellEnd"/>
            <w:r w:rsidRPr="005E00FD">
              <w:rPr>
                <w:rFonts w:eastAsiaTheme="minorHAnsi" w:cstheme="minorBidi"/>
                <w:b/>
                <w:sz w:val="20"/>
                <w:lang w:val="fr-CA"/>
              </w:rPr>
              <w:t xml:space="preserve">, Jean-Paul </w:t>
            </w:r>
            <w:proofErr w:type="spellStart"/>
            <w:r w:rsidRPr="005E00FD">
              <w:rPr>
                <w:rFonts w:eastAsiaTheme="minorHAnsi" w:cstheme="minorBidi"/>
                <w:b/>
                <w:sz w:val="20"/>
                <w:lang w:val="fr-CA"/>
              </w:rPr>
              <w:t>Duquette</w:t>
            </w:r>
            <w:proofErr w:type="spellEnd"/>
            <w:r w:rsidRPr="005E00FD">
              <w:rPr>
                <w:rFonts w:eastAsiaTheme="minorHAnsi" w:cstheme="minorBidi"/>
                <w:b/>
                <w:sz w:val="20"/>
                <w:lang w:val="fr-CA"/>
              </w:rPr>
              <w:t xml:space="preserve"> c. Ville de Saint-Jérôme</w:t>
            </w:r>
          </w:p>
          <w:p w:rsidR="005E00FD" w:rsidRPr="005E00FD" w:rsidRDefault="005E00FD" w:rsidP="005E00FD">
            <w:pPr>
              <w:jc w:val="both"/>
              <w:rPr>
                <w:rFonts w:eastAsiaTheme="minorHAnsi" w:cstheme="minorBidi"/>
                <w:sz w:val="20"/>
                <w:lang w:val="fr-CA"/>
              </w:rPr>
            </w:pPr>
            <w:r w:rsidRPr="005E00FD">
              <w:rPr>
                <w:rFonts w:eastAsiaTheme="minorHAnsi" w:cstheme="minorBidi"/>
                <w:sz w:val="20"/>
                <w:lang w:val="fr-CA"/>
              </w:rPr>
              <w:t>(</w:t>
            </w:r>
            <w:proofErr w:type="spellStart"/>
            <w:r w:rsidRPr="005E00FD">
              <w:rPr>
                <w:rFonts w:eastAsiaTheme="minorHAnsi" w:cstheme="minorBidi"/>
                <w:sz w:val="20"/>
                <w:lang w:val="fr-CA"/>
              </w:rPr>
              <w:t>Qc</w:t>
            </w:r>
            <w:proofErr w:type="spellEnd"/>
            <w:r w:rsidRPr="005E00FD">
              <w:rPr>
                <w:rFonts w:eastAsiaTheme="minorHAnsi" w:cstheme="minorBidi"/>
                <w:sz w:val="20"/>
                <w:lang w:val="fr-CA"/>
              </w:rPr>
              <w:t>) (Civile) (Autorisation)</w:t>
            </w:r>
          </w:p>
        </w:tc>
      </w:tr>
      <w:tr w:rsidR="005E00FD" w:rsidRPr="00665CCF" w:rsidTr="002C501E">
        <w:tc>
          <w:tcPr>
            <w:tcW w:w="5000" w:type="pct"/>
            <w:gridSpan w:val="4"/>
          </w:tcPr>
          <w:p w:rsidR="005E00FD" w:rsidRPr="005E00FD" w:rsidRDefault="005E00FD" w:rsidP="005E00FD">
            <w:pPr>
              <w:jc w:val="both"/>
              <w:rPr>
                <w:rFonts w:eastAsiaTheme="minorHAnsi" w:cstheme="minorBidi"/>
                <w:sz w:val="20"/>
                <w:lang w:val="fr-CA"/>
              </w:rPr>
            </w:pPr>
          </w:p>
          <w:p w:rsidR="005E00FD" w:rsidRPr="005E00FD" w:rsidRDefault="005E00FD" w:rsidP="005E00FD">
            <w:pPr>
              <w:jc w:val="both"/>
              <w:rPr>
                <w:rFonts w:eastAsiaTheme="minorHAnsi" w:cstheme="minorBidi"/>
                <w:sz w:val="20"/>
                <w:lang w:val="fr-CA"/>
              </w:rPr>
            </w:pPr>
            <w:r w:rsidRPr="005E00FD">
              <w:rPr>
                <w:sz w:val="20"/>
                <w:lang w:val="fr-CA" w:eastAsia="en-CA"/>
              </w:rPr>
              <w:t xml:space="preserve">Droit municipal – Aménagement et urbanisme – Règlements – Infractions – Immeubles contrevenant aux dispositions en matière de protection incendie – Requête de la Ville pour forcer l’exécution des travaux requis – Dommages et intérêts – En conduisant la présente instance civile concurremment avec une instance pénale, la ville a-t-elle porté atteinte à ce point « au sens du franc-jeu et de la décence qu’a la société » qu’elle doit assumer ses dépens devant toutes les cours y inclus ses frais d’expertise en dépit du </w:t>
            </w:r>
            <w:proofErr w:type="spellStart"/>
            <w:r w:rsidRPr="005E00FD">
              <w:rPr>
                <w:sz w:val="20"/>
                <w:lang w:val="fr-CA" w:eastAsia="en-CA"/>
              </w:rPr>
              <w:t>bien fondé</w:t>
            </w:r>
            <w:proofErr w:type="spellEnd"/>
            <w:r w:rsidRPr="005E00FD">
              <w:rPr>
                <w:sz w:val="20"/>
                <w:lang w:val="fr-CA" w:eastAsia="en-CA"/>
              </w:rPr>
              <w:t xml:space="preserve"> de l’objectif de sa requête? – Une personne normale, faisant preuve de diligence raisonnable, aurait-elle effectivement constaté le dommage ou aurait-elle dû le constater dans le délai fixé par le juge de première instance, soit bien avant les six mois de la prise d’action civile par la ville de St-Jérôme? – Les dommages subis par les demandeurs ont-ils comme cause efficiente a) l’approbation fautive de la ville de plans et devis non conformes sous plusieurs points de vue à sa règlementation et b) son omission de relever les non-conformités dans le cadre d’inspections de nature opérationnelle et ce, pendant près de 20 ans? – Le quantum du coût de mise aux normes selon les exigences de la Ville ne semble pas contesté sérieusement, n’y </w:t>
            </w:r>
            <w:proofErr w:type="spellStart"/>
            <w:r w:rsidRPr="005E00FD">
              <w:rPr>
                <w:sz w:val="20"/>
                <w:lang w:val="fr-CA" w:eastAsia="en-CA"/>
              </w:rPr>
              <w:t>a-t-il</w:t>
            </w:r>
            <w:proofErr w:type="spellEnd"/>
            <w:r w:rsidRPr="005E00FD">
              <w:rPr>
                <w:sz w:val="20"/>
                <w:lang w:val="fr-CA" w:eastAsia="en-CA"/>
              </w:rPr>
              <w:t xml:space="preserve"> pas lieu quant aux déboursés additionnels résultant de la décontamination de l’amiante découverte après le jugement de renvoyer le dossier en Cour supérieure pour fixer ces dommages par entente ou débat contradictoire? – </w:t>
            </w:r>
            <w:r w:rsidRPr="005E00FD">
              <w:rPr>
                <w:i/>
                <w:sz w:val="20"/>
                <w:lang w:val="fr-CA" w:eastAsia="en-CA"/>
              </w:rPr>
              <w:t>Loi sur l’aménagement et l’urbanisme</w:t>
            </w:r>
            <w:r w:rsidRPr="005E00FD">
              <w:rPr>
                <w:sz w:val="20"/>
                <w:lang w:val="fr-CA" w:eastAsia="en-CA"/>
              </w:rPr>
              <w:t>, RLRQ, c. A-19.1, art. 227.</w:t>
            </w:r>
          </w:p>
        </w:tc>
      </w:tr>
      <w:tr w:rsidR="005E00FD" w:rsidRPr="00665CCF" w:rsidTr="002C501E">
        <w:tc>
          <w:tcPr>
            <w:tcW w:w="5000" w:type="pct"/>
            <w:gridSpan w:val="4"/>
          </w:tcPr>
          <w:p w:rsidR="005E00FD" w:rsidRPr="005E00FD" w:rsidRDefault="005E00FD" w:rsidP="005E00FD">
            <w:pPr>
              <w:jc w:val="both"/>
              <w:rPr>
                <w:rFonts w:eastAsiaTheme="minorHAnsi" w:cstheme="minorBidi"/>
                <w:sz w:val="20"/>
                <w:lang w:val="fr-CA"/>
              </w:rPr>
            </w:pPr>
          </w:p>
        </w:tc>
      </w:tr>
      <w:tr w:rsidR="005E00FD" w:rsidRPr="00665CCF" w:rsidTr="002C501E">
        <w:tc>
          <w:tcPr>
            <w:tcW w:w="5000" w:type="pct"/>
            <w:gridSpan w:val="4"/>
          </w:tcPr>
          <w:p w:rsidR="005E00FD" w:rsidRPr="005E00FD" w:rsidRDefault="005E00FD" w:rsidP="005E00FD">
            <w:pPr>
              <w:jc w:val="both"/>
              <w:rPr>
                <w:sz w:val="20"/>
                <w:lang w:val="fr-CA" w:eastAsia="en-CA"/>
              </w:rPr>
            </w:pPr>
            <w:r w:rsidRPr="005E00FD">
              <w:rPr>
                <w:sz w:val="20"/>
                <w:lang w:val="fr-CA" w:eastAsia="en-CA"/>
              </w:rPr>
              <w:t xml:space="preserve">Entre 1997 et 1999, les demandeurs, M. Jean-Paul Duquette et Mme Michèle </w:t>
            </w:r>
            <w:proofErr w:type="spellStart"/>
            <w:r w:rsidRPr="005E00FD">
              <w:rPr>
                <w:sz w:val="20"/>
                <w:lang w:val="fr-CA" w:eastAsia="en-CA"/>
              </w:rPr>
              <w:t>Closson</w:t>
            </w:r>
            <w:proofErr w:type="spellEnd"/>
            <w:r w:rsidRPr="005E00FD">
              <w:rPr>
                <w:sz w:val="20"/>
                <w:lang w:val="fr-CA" w:eastAsia="en-CA"/>
              </w:rPr>
              <w:t xml:space="preserve">, deviennent propriétaires « à leurs risques et périls » et « sans garantie légale » de trois immeubles à logements multiples construits en 1987 par un tiers au litige. Au moment de leur construction, ces immeubles contreviennent aux dispositions en matière de protection incendie du </w:t>
            </w:r>
            <w:r w:rsidRPr="005E00FD">
              <w:rPr>
                <w:i/>
                <w:sz w:val="20"/>
                <w:lang w:val="fr-CA" w:eastAsia="en-CA"/>
              </w:rPr>
              <w:t>Code national de prévention des incendies</w:t>
            </w:r>
            <w:r w:rsidRPr="005E00FD">
              <w:rPr>
                <w:sz w:val="20"/>
                <w:lang w:val="fr-CA" w:eastAsia="en-CA"/>
              </w:rPr>
              <w:t xml:space="preserve"> et du </w:t>
            </w:r>
            <w:r w:rsidRPr="005E00FD">
              <w:rPr>
                <w:i/>
                <w:sz w:val="20"/>
                <w:lang w:val="fr-CA" w:eastAsia="en-CA"/>
              </w:rPr>
              <w:t>Code national du bâtiment</w:t>
            </w:r>
            <w:r w:rsidRPr="005E00FD">
              <w:rPr>
                <w:sz w:val="20"/>
                <w:lang w:val="fr-CA" w:eastAsia="en-CA"/>
              </w:rPr>
              <w:t>.</w:t>
            </w:r>
          </w:p>
          <w:p w:rsidR="005E00FD" w:rsidRPr="005E00FD" w:rsidRDefault="005E00FD" w:rsidP="005E00FD">
            <w:pPr>
              <w:jc w:val="both"/>
              <w:rPr>
                <w:sz w:val="20"/>
                <w:lang w:val="fr-CA" w:eastAsia="en-CA"/>
              </w:rPr>
            </w:pPr>
          </w:p>
          <w:p w:rsidR="005E00FD" w:rsidRPr="005E00FD" w:rsidRDefault="005E00FD" w:rsidP="005E00FD">
            <w:pPr>
              <w:jc w:val="both"/>
              <w:rPr>
                <w:sz w:val="20"/>
                <w:lang w:val="fr-CA" w:eastAsia="en-CA"/>
              </w:rPr>
            </w:pPr>
            <w:r w:rsidRPr="005E00FD">
              <w:rPr>
                <w:sz w:val="20"/>
                <w:lang w:val="fr-CA" w:eastAsia="en-CA"/>
              </w:rPr>
              <w:t xml:space="preserve">En novembre 2008, la Ville dépose une requête à la Cour supérieure en vertu de l’art. 227 de la </w:t>
            </w:r>
            <w:r w:rsidRPr="005E00FD">
              <w:rPr>
                <w:i/>
                <w:sz w:val="20"/>
                <w:lang w:val="fr-CA" w:eastAsia="en-CA"/>
              </w:rPr>
              <w:t>Loi sur l’aménagement et l’urbanisme</w:t>
            </w:r>
            <w:r w:rsidRPr="005E00FD">
              <w:rPr>
                <w:sz w:val="20"/>
                <w:lang w:val="fr-CA" w:eastAsia="en-CA"/>
              </w:rPr>
              <w:t>, RLRQ c. A-19.1, pour forcer les demandeurs à exécuter les travaux exigés pour rendre les immeubles conformes aux normes.</w:t>
            </w:r>
          </w:p>
          <w:p w:rsidR="005E00FD" w:rsidRPr="005E00FD" w:rsidRDefault="005E00FD" w:rsidP="005E00FD">
            <w:pPr>
              <w:jc w:val="both"/>
              <w:rPr>
                <w:sz w:val="20"/>
                <w:lang w:val="fr-CA" w:eastAsia="en-CA"/>
              </w:rPr>
            </w:pPr>
          </w:p>
        </w:tc>
      </w:tr>
      <w:tr w:rsidR="005E00FD" w:rsidRPr="00665CCF" w:rsidTr="002C501E">
        <w:tc>
          <w:tcPr>
            <w:tcW w:w="2427" w:type="pct"/>
            <w:gridSpan w:val="2"/>
          </w:tcPr>
          <w:p w:rsidR="005E00FD" w:rsidRPr="005E00FD" w:rsidRDefault="005E00FD" w:rsidP="005E00FD">
            <w:pPr>
              <w:jc w:val="both"/>
              <w:rPr>
                <w:sz w:val="20"/>
                <w:lang w:val="fr-CA" w:eastAsia="en-CA"/>
              </w:rPr>
            </w:pPr>
            <w:r w:rsidRPr="005E00FD">
              <w:rPr>
                <w:sz w:val="20"/>
                <w:lang w:val="fr-CA" w:eastAsia="en-CA"/>
              </w:rPr>
              <w:t>Le 22 mars 2012</w:t>
            </w:r>
          </w:p>
          <w:p w:rsidR="005E00FD" w:rsidRPr="005E00FD" w:rsidRDefault="005E00FD" w:rsidP="005E00FD">
            <w:pPr>
              <w:jc w:val="both"/>
              <w:rPr>
                <w:sz w:val="20"/>
                <w:lang w:val="fr-CA" w:eastAsia="en-CA"/>
              </w:rPr>
            </w:pPr>
            <w:r w:rsidRPr="005E00FD">
              <w:rPr>
                <w:sz w:val="20"/>
                <w:lang w:val="fr-CA" w:eastAsia="en-CA"/>
              </w:rPr>
              <w:t>Cour supérieure du Québec</w:t>
            </w:r>
          </w:p>
          <w:p w:rsidR="005E00FD" w:rsidRPr="005E00FD" w:rsidRDefault="005E00FD" w:rsidP="005E00FD">
            <w:pPr>
              <w:jc w:val="both"/>
              <w:rPr>
                <w:sz w:val="20"/>
                <w:lang w:val="fr-CA" w:eastAsia="en-CA"/>
              </w:rPr>
            </w:pPr>
            <w:r w:rsidRPr="005E00FD">
              <w:rPr>
                <w:sz w:val="20"/>
                <w:lang w:val="fr-CA" w:eastAsia="en-CA"/>
              </w:rPr>
              <w:t>(La juge Marcotte)</w:t>
            </w:r>
          </w:p>
          <w:p w:rsidR="005E00FD" w:rsidRPr="005E00FD" w:rsidRDefault="00665CCF" w:rsidP="005E00FD">
            <w:pPr>
              <w:jc w:val="both"/>
              <w:rPr>
                <w:sz w:val="20"/>
                <w:lang w:val="fr-CA" w:eastAsia="en-CA"/>
              </w:rPr>
            </w:pPr>
            <w:hyperlink r:id="rId23" w:history="1">
              <w:r w:rsidR="005E00FD" w:rsidRPr="005E00FD">
                <w:rPr>
                  <w:color w:val="0000FF" w:themeColor="hyperlink"/>
                  <w:sz w:val="20"/>
                  <w:u w:val="single"/>
                  <w:lang w:val="fr-CA" w:eastAsia="en-CA"/>
                </w:rPr>
                <w:t>2012 QCCS 1150</w:t>
              </w:r>
            </w:hyperlink>
          </w:p>
          <w:p w:rsidR="005E00FD" w:rsidRPr="005E00FD" w:rsidRDefault="005E00FD" w:rsidP="005E00FD">
            <w:pPr>
              <w:jc w:val="both"/>
              <w:rPr>
                <w:sz w:val="20"/>
                <w:lang w:val="fr-CA" w:eastAsia="en-CA"/>
              </w:rPr>
            </w:pPr>
          </w:p>
        </w:tc>
        <w:tc>
          <w:tcPr>
            <w:tcW w:w="243" w:type="pct"/>
          </w:tcPr>
          <w:p w:rsidR="005E00FD" w:rsidRPr="005E00FD" w:rsidRDefault="005E00FD" w:rsidP="005E00FD">
            <w:pPr>
              <w:jc w:val="both"/>
              <w:rPr>
                <w:sz w:val="20"/>
                <w:lang w:val="fr-CA" w:eastAsia="en-CA"/>
              </w:rPr>
            </w:pPr>
          </w:p>
        </w:tc>
        <w:tc>
          <w:tcPr>
            <w:tcW w:w="2330" w:type="pct"/>
          </w:tcPr>
          <w:p w:rsidR="005E00FD" w:rsidRPr="005E00FD" w:rsidRDefault="005E00FD" w:rsidP="005E00FD">
            <w:pPr>
              <w:jc w:val="both"/>
              <w:rPr>
                <w:sz w:val="20"/>
                <w:lang w:val="fr-CA" w:eastAsia="en-CA"/>
              </w:rPr>
            </w:pPr>
            <w:r w:rsidRPr="005E00FD">
              <w:rPr>
                <w:sz w:val="20"/>
                <w:lang w:val="fr-CA" w:eastAsia="en-CA"/>
              </w:rPr>
              <w:t xml:space="preserve">Requête en vertu de l’art. 227 de la </w:t>
            </w:r>
            <w:r w:rsidRPr="005E00FD">
              <w:rPr>
                <w:i/>
                <w:sz w:val="20"/>
                <w:lang w:val="fr-CA" w:eastAsia="en-CA"/>
              </w:rPr>
              <w:t xml:space="preserve">Loi sur l’aménagement et l’urbanisme </w:t>
            </w:r>
            <w:r w:rsidRPr="005E00FD">
              <w:rPr>
                <w:sz w:val="20"/>
                <w:lang w:val="fr-CA" w:eastAsia="en-CA"/>
              </w:rPr>
              <w:t>accueillie</w:t>
            </w:r>
          </w:p>
        </w:tc>
      </w:tr>
      <w:tr w:rsidR="005E00FD" w:rsidRPr="00665CCF" w:rsidTr="002C501E">
        <w:tc>
          <w:tcPr>
            <w:tcW w:w="2427" w:type="pct"/>
            <w:gridSpan w:val="2"/>
          </w:tcPr>
          <w:p w:rsidR="005E00FD" w:rsidRPr="005E00FD" w:rsidRDefault="005E00FD" w:rsidP="005E00FD">
            <w:pPr>
              <w:jc w:val="both"/>
              <w:rPr>
                <w:sz w:val="20"/>
                <w:lang w:val="fr-CA" w:eastAsia="en-CA"/>
              </w:rPr>
            </w:pPr>
            <w:r w:rsidRPr="005E00FD">
              <w:rPr>
                <w:sz w:val="20"/>
                <w:lang w:val="fr-CA" w:eastAsia="en-CA"/>
              </w:rPr>
              <w:t>Le 16 janvier 2015</w:t>
            </w:r>
          </w:p>
          <w:p w:rsidR="005E00FD" w:rsidRPr="005E00FD" w:rsidRDefault="005E00FD" w:rsidP="005E00FD">
            <w:pPr>
              <w:jc w:val="both"/>
              <w:rPr>
                <w:sz w:val="20"/>
                <w:lang w:val="fr-CA" w:eastAsia="en-CA"/>
              </w:rPr>
            </w:pPr>
            <w:r w:rsidRPr="005E00FD">
              <w:rPr>
                <w:sz w:val="20"/>
                <w:lang w:val="fr-CA" w:eastAsia="en-CA"/>
              </w:rPr>
              <w:t>Cour d’appel du Québec (Montréal)</w:t>
            </w:r>
          </w:p>
          <w:p w:rsidR="005E00FD" w:rsidRPr="005E00FD" w:rsidRDefault="005E00FD" w:rsidP="005E00FD">
            <w:pPr>
              <w:jc w:val="both"/>
              <w:rPr>
                <w:sz w:val="20"/>
                <w:lang w:val="fr-CA" w:eastAsia="en-CA"/>
              </w:rPr>
            </w:pPr>
            <w:r w:rsidRPr="005E00FD">
              <w:rPr>
                <w:sz w:val="20"/>
                <w:lang w:val="fr-CA" w:eastAsia="en-CA"/>
              </w:rPr>
              <w:t xml:space="preserve">(Les juges Morissette, </w:t>
            </w:r>
            <w:proofErr w:type="spellStart"/>
            <w:r w:rsidRPr="005E00FD">
              <w:rPr>
                <w:sz w:val="20"/>
                <w:lang w:val="fr-CA" w:eastAsia="en-CA"/>
              </w:rPr>
              <w:t>Dutil</w:t>
            </w:r>
            <w:proofErr w:type="spellEnd"/>
            <w:r w:rsidRPr="005E00FD">
              <w:rPr>
                <w:sz w:val="20"/>
                <w:lang w:val="fr-CA" w:eastAsia="en-CA"/>
              </w:rPr>
              <w:t xml:space="preserve"> et </w:t>
            </w:r>
            <w:proofErr w:type="spellStart"/>
            <w:r w:rsidRPr="005E00FD">
              <w:rPr>
                <w:sz w:val="20"/>
                <w:lang w:val="fr-CA" w:eastAsia="en-CA"/>
              </w:rPr>
              <w:t>Kasirer</w:t>
            </w:r>
            <w:proofErr w:type="spellEnd"/>
            <w:r w:rsidRPr="005E00FD">
              <w:rPr>
                <w:sz w:val="20"/>
                <w:lang w:val="fr-CA" w:eastAsia="en-CA"/>
              </w:rPr>
              <w:t>)</w:t>
            </w:r>
          </w:p>
          <w:p w:rsidR="005E00FD" w:rsidRPr="005E00FD" w:rsidRDefault="00665CCF" w:rsidP="005E00FD">
            <w:pPr>
              <w:jc w:val="both"/>
              <w:rPr>
                <w:sz w:val="20"/>
                <w:lang w:val="fr-CA" w:eastAsia="en-CA"/>
              </w:rPr>
            </w:pPr>
            <w:hyperlink r:id="rId24" w:history="1">
              <w:r w:rsidR="005E00FD" w:rsidRPr="005E00FD">
                <w:rPr>
                  <w:color w:val="0000FF" w:themeColor="hyperlink"/>
                  <w:sz w:val="20"/>
                  <w:u w:val="single"/>
                  <w:lang w:val="fr-CA" w:eastAsia="en-CA"/>
                </w:rPr>
                <w:t>2015 QCCA 52</w:t>
              </w:r>
            </w:hyperlink>
            <w:r w:rsidR="005E00FD" w:rsidRPr="005E00FD">
              <w:rPr>
                <w:sz w:val="20"/>
                <w:lang w:val="fr-CA" w:eastAsia="en-CA"/>
              </w:rPr>
              <w:t xml:space="preserve"> ; 500-09-022614-127</w:t>
            </w:r>
          </w:p>
          <w:p w:rsidR="005E00FD" w:rsidRPr="005E00FD" w:rsidRDefault="005E00FD" w:rsidP="005E00FD">
            <w:pPr>
              <w:jc w:val="both"/>
              <w:rPr>
                <w:sz w:val="20"/>
                <w:lang w:val="fr-CA" w:eastAsia="en-CA"/>
              </w:rPr>
            </w:pPr>
          </w:p>
        </w:tc>
        <w:tc>
          <w:tcPr>
            <w:tcW w:w="243" w:type="pct"/>
          </w:tcPr>
          <w:p w:rsidR="005E00FD" w:rsidRPr="005E00FD" w:rsidRDefault="005E00FD" w:rsidP="005E00FD">
            <w:pPr>
              <w:jc w:val="both"/>
              <w:rPr>
                <w:sz w:val="20"/>
                <w:lang w:val="fr-CA" w:eastAsia="en-CA"/>
              </w:rPr>
            </w:pPr>
          </w:p>
        </w:tc>
        <w:tc>
          <w:tcPr>
            <w:tcW w:w="2330" w:type="pct"/>
          </w:tcPr>
          <w:p w:rsidR="005E00FD" w:rsidRPr="005E00FD" w:rsidRDefault="005E00FD" w:rsidP="005E00FD">
            <w:pPr>
              <w:jc w:val="both"/>
              <w:rPr>
                <w:sz w:val="20"/>
                <w:lang w:val="fr-CA" w:eastAsia="en-CA"/>
              </w:rPr>
            </w:pPr>
            <w:r w:rsidRPr="005E00FD">
              <w:rPr>
                <w:sz w:val="20"/>
                <w:lang w:val="fr-CA" w:eastAsia="en-CA"/>
              </w:rPr>
              <w:t>Appel rejeté; requête pour preuve nouvelle rejetée</w:t>
            </w:r>
          </w:p>
        </w:tc>
      </w:tr>
      <w:tr w:rsidR="005E00FD" w:rsidRPr="005E00FD" w:rsidTr="002C501E">
        <w:tc>
          <w:tcPr>
            <w:tcW w:w="2427" w:type="pct"/>
            <w:gridSpan w:val="2"/>
          </w:tcPr>
          <w:p w:rsidR="005E00FD" w:rsidRPr="005E00FD" w:rsidRDefault="005E00FD" w:rsidP="005E00FD">
            <w:pPr>
              <w:jc w:val="both"/>
              <w:rPr>
                <w:sz w:val="20"/>
                <w:lang w:val="fr-CA" w:eastAsia="en-CA"/>
              </w:rPr>
            </w:pPr>
            <w:r w:rsidRPr="005E00FD">
              <w:rPr>
                <w:sz w:val="20"/>
                <w:lang w:val="fr-CA" w:eastAsia="en-CA"/>
              </w:rPr>
              <w:t>Le 17 mars 2015</w:t>
            </w:r>
          </w:p>
          <w:p w:rsidR="005E00FD" w:rsidRPr="005E00FD" w:rsidRDefault="005E00FD" w:rsidP="005E00FD">
            <w:pPr>
              <w:jc w:val="both"/>
              <w:rPr>
                <w:sz w:val="20"/>
                <w:lang w:val="fr-CA" w:eastAsia="en-CA"/>
              </w:rPr>
            </w:pPr>
            <w:r w:rsidRPr="005E00FD">
              <w:rPr>
                <w:sz w:val="20"/>
                <w:lang w:val="fr-CA" w:eastAsia="en-CA"/>
              </w:rPr>
              <w:t>Cour suprême du Canada</w:t>
            </w:r>
          </w:p>
        </w:tc>
        <w:tc>
          <w:tcPr>
            <w:tcW w:w="243" w:type="pct"/>
          </w:tcPr>
          <w:p w:rsidR="005E00FD" w:rsidRPr="005E00FD" w:rsidRDefault="005E00FD" w:rsidP="005E00FD">
            <w:pPr>
              <w:jc w:val="both"/>
              <w:rPr>
                <w:sz w:val="20"/>
                <w:lang w:val="fr-CA" w:eastAsia="en-CA"/>
              </w:rPr>
            </w:pPr>
          </w:p>
        </w:tc>
        <w:tc>
          <w:tcPr>
            <w:tcW w:w="2330" w:type="pct"/>
          </w:tcPr>
          <w:p w:rsidR="005E00FD" w:rsidRPr="005E00FD" w:rsidRDefault="005E00FD" w:rsidP="00917D43">
            <w:pPr>
              <w:jc w:val="both"/>
              <w:rPr>
                <w:sz w:val="20"/>
                <w:lang w:val="fr-CA" w:eastAsia="en-CA"/>
              </w:rPr>
            </w:pPr>
            <w:r w:rsidRPr="005E00FD">
              <w:rPr>
                <w:sz w:val="20"/>
                <w:lang w:val="fr-CA" w:eastAsia="en-CA"/>
              </w:rPr>
              <w:t>Demande d’autorisation d’appel déposée</w:t>
            </w:r>
          </w:p>
        </w:tc>
      </w:tr>
    </w:tbl>
    <w:p w:rsidR="005E00FD" w:rsidRPr="005E00FD" w:rsidRDefault="005E00FD" w:rsidP="005E00FD">
      <w:pPr>
        <w:jc w:val="both"/>
        <w:rPr>
          <w:rFonts w:eastAsiaTheme="minorHAnsi" w:cstheme="minorBidi"/>
          <w:szCs w:val="22"/>
          <w:lang w:val="fr-CA"/>
        </w:rPr>
      </w:pPr>
    </w:p>
    <w:p w:rsidR="005E00FD" w:rsidRDefault="005E00FD" w:rsidP="009550BB">
      <w:pPr>
        <w:ind w:left="360" w:hanging="360"/>
        <w:jc w:val="both"/>
        <w:rPr>
          <w:sz w:val="20"/>
        </w:rPr>
      </w:pPr>
    </w:p>
    <w:p w:rsidR="00914302" w:rsidRPr="002775A0" w:rsidRDefault="00914302" w:rsidP="009550BB">
      <w:pPr>
        <w:ind w:left="360" w:hanging="360"/>
        <w:jc w:val="both"/>
        <w:rPr>
          <w:sz w:val="20"/>
        </w:rPr>
      </w:pPr>
    </w:p>
    <w:p w:rsidR="00E604A4" w:rsidRPr="002775A0" w:rsidRDefault="00E604A4" w:rsidP="00F6251B">
      <w:pPr>
        <w:widowControl w:val="0"/>
        <w:ind w:left="360" w:hanging="360"/>
        <w:jc w:val="both"/>
        <w:rPr>
          <w:sz w:val="20"/>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665CCF" w:rsidP="00D3344A">
      <w:pPr>
        <w:widowControl w:val="0"/>
        <w:outlineLvl w:val="0"/>
        <w:rPr>
          <w:u w:val="single"/>
        </w:rPr>
      </w:pPr>
      <w:hyperlink r:id="rId2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p w:rsidR="00F6251B" w:rsidRPr="004B4D42" w:rsidRDefault="00F6251B" w:rsidP="00F6251B">
      <w:pPr>
        <w:pStyle w:val="Footer"/>
        <w:jc w:val="center"/>
      </w:pPr>
    </w:p>
    <w:p w:rsidR="00F6251B" w:rsidRPr="004B4D42" w:rsidRDefault="00F6251B" w:rsidP="00F6251B">
      <w:pPr>
        <w:pStyle w:val="Footer"/>
        <w:jc w:val="center"/>
      </w:pPr>
    </w:p>
    <w:p w:rsidR="00F6251B" w:rsidRPr="004B4D42" w:rsidRDefault="00F6251B" w:rsidP="00F6251B">
      <w:pPr>
        <w:pStyle w:val="Footer"/>
        <w:ind w:left="2160"/>
        <w:rPr>
          <w:color w:val="A6A6A6"/>
          <w:sz w:val="16"/>
          <w:szCs w:val="16"/>
        </w:rPr>
      </w:pPr>
      <w:r w:rsidRPr="004B4D42">
        <w:rPr>
          <w:color w:val="A6A6A6"/>
          <w:sz w:val="16"/>
          <w:szCs w:val="16"/>
        </w:rPr>
        <w:t xml:space="preserve">Unsubscribe: </w:t>
      </w:r>
      <w:hyperlink r:id="rId26" w:history="1">
        <w:r w:rsidRPr="004B4D42">
          <w:rPr>
            <w:rStyle w:val="Hyperlink"/>
            <w:color w:val="A6A6A6"/>
            <w:sz w:val="16"/>
            <w:szCs w:val="16"/>
          </w:rPr>
          <w:t>http://www.scc-csc.gc.ca/news-nouv/rel-com/subs-abon-eng.aspx</w:t>
        </w:r>
      </w:hyperlink>
    </w:p>
    <w:p w:rsidR="00F6251B" w:rsidRPr="004B4D42" w:rsidRDefault="00F6251B" w:rsidP="00F6251B">
      <w:pPr>
        <w:pStyle w:val="Footer"/>
        <w:ind w:left="2160"/>
        <w:rPr>
          <w:color w:val="A6A6A6"/>
          <w:sz w:val="16"/>
          <w:szCs w:val="16"/>
          <w:lang w:val="fr-CA"/>
        </w:rPr>
      </w:pPr>
      <w:r w:rsidRPr="004B4D42">
        <w:rPr>
          <w:color w:val="A6A6A6"/>
          <w:sz w:val="16"/>
          <w:szCs w:val="16"/>
          <w:lang w:val="fr-CA"/>
        </w:rPr>
        <w:t xml:space="preserve">Désabonner : </w:t>
      </w:r>
      <w:hyperlink r:id="rId27" w:history="1">
        <w:r w:rsidRPr="004B4D42">
          <w:rPr>
            <w:rStyle w:val="Hyperlink"/>
            <w:color w:val="A6A6A6"/>
            <w:sz w:val="16"/>
            <w:szCs w:val="16"/>
            <w:lang w:val="fr-CA"/>
          </w:rPr>
          <w:t>http://www.scc-csc.gc.ca/news-nouv/rel-com/subs-abon-fra.aspx</w:t>
        </w:r>
      </w:hyperlink>
      <w:r w:rsidRPr="004B4D42">
        <w:rPr>
          <w:color w:val="A6A6A6"/>
          <w:sz w:val="16"/>
          <w:szCs w:val="16"/>
          <w:lang w:val="fr-CA"/>
        </w:rPr>
        <w:t xml:space="preserve"> </w:t>
      </w:r>
    </w:p>
    <w:p w:rsidR="00F6251B" w:rsidRPr="004B4D42" w:rsidRDefault="00F6251B" w:rsidP="00F6251B">
      <w:pPr>
        <w:pStyle w:val="Footer"/>
        <w:rPr>
          <w:szCs w:val="24"/>
          <w:lang w:val="fr-CA"/>
        </w:rPr>
      </w:pPr>
    </w:p>
    <w:p w:rsidR="00F6251B" w:rsidRPr="004B4D42" w:rsidRDefault="00F6251B">
      <w:pPr>
        <w:pStyle w:val="Footer"/>
        <w:jc w:val="center"/>
        <w:rPr>
          <w:sz w:val="20"/>
          <w:lang w:val="fr-CA"/>
        </w:rPr>
      </w:pPr>
    </w:p>
    <w:sectPr w:rsidR="00F6251B" w:rsidRPr="004B4D42" w:rsidSect="0052482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79F134C"/>
    <w:multiLevelType w:val="hybridMultilevel"/>
    <w:tmpl w:val="0E98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501B0"/>
    <w:multiLevelType w:val="hybridMultilevel"/>
    <w:tmpl w:val="E960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0EBC7684"/>
    <w:multiLevelType w:val="hybridMultilevel"/>
    <w:tmpl w:val="D3B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CF31D6"/>
    <w:multiLevelType w:val="hybridMultilevel"/>
    <w:tmpl w:val="A82E94D4"/>
    <w:lvl w:ilvl="0" w:tplc="34864F16">
      <w:start w:val="1"/>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5C58"/>
    <w:multiLevelType w:val="hybridMultilevel"/>
    <w:tmpl w:val="257A37E0"/>
    <w:lvl w:ilvl="0" w:tplc="032630F6">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7"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42D354BE"/>
    <w:multiLevelType w:val="hybridMultilevel"/>
    <w:tmpl w:val="4BEC35B4"/>
    <w:lvl w:ilvl="0" w:tplc="98E4E45C">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F3EFD"/>
    <w:multiLevelType w:val="hybridMultilevel"/>
    <w:tmpl w:val="7DA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A04D3"/>
    <w:multiLevelType w:val="hybridMultilevel"/>
    <w:tmpl w:val="C55CCE94"/>
    <w:lvl w:ilvl="0" w:tplc="19A06D4E">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9" w15:restartNumberingAfterBreak="0">
    <w:nsid w:val="6D1A5088"/>
    <w:multiLevelType w:val="hybridMultilevel"/>
    <w:tmpl w:val="EEC46230"/>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3F58DA"/>
    <w:multiLevelType w:val="hybridMultilevel"/>
    <w:tmpl w:val="384C201A"/>
    <w:lvl w:ilvl="0" w:tplc="CF405D20">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86569"/>
    <w:multiLevelType w:val="hybridMultilevel"/>
    <w:tmpl w:val="4E52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4"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0"/>
  </w:num>
  <w:num w:numId="2">
    <w:abstractNumId w:val="23"/>
  </w:num>
  <w:num w:numId="3">
    <w:abstractNumId w:val="11"/>
  </w:num>
  <w:num w:numId="4">
    <w:abstractNumId w:val="13"/>
  </w:num>
  <w:num w:numId="5">
    <w:abstractNumId w:val="3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7"/>
  </w:num>
  <w:num w:numId="10">
    <w:abstractNumId w:val="31"/>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4"/>
  </w:num>
  <w:num w:numId="18">
    <w:abstractNumId w:val="2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2"/>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2"/>
  </w:num>
  <w:num w:numId="43">
    <w:abstractNumId w:val="5"/>
  </w:num>
  <w:num w:numId="44">
    <w:abstractNumId w:val="39"/>
  </w:num>
  <w:num w:numId="45">
    <w:abstractNumId w:val="40"/>
  </w:num>
  <w:num w:numId="46">
    <w:abstractNumId w:val="25"/>
  </w:num>
  <w:num w:numId="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0460"/>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17BC"/>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7258"/>
    <w:rsid w:val="000B741A"/>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5047"/>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63DB"/>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0245"/>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00FD"/>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5CCF"/>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6CD0"/>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14302"/>
    <w:rsid w:val="00917D43"/>
    <w:rsid w:val="00922101"/>
    <w:rsid w:val="009244F7"/>
    <w:rsid w:val="00924C0D"/>
    <w:rsid w:val="0092587F"/>
    <w:rsid w:val="00932FE2"/>
    <w:rsid w:val="009340AB"/>
    <w:rsid w:val="00936192"/>
    <w:rsid w:val="0094066E"/>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6761"/>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575D4"/>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BF718E"/>
    <w:rsid w:val="00C00650"/>
    <w:rsid w:val="00C021BB"/>
    <w:rsid w:val="00C037A3"/>
    <w:rsid w:val="00C03932"/>
    <w:rsid w:val="00C06B98"/>
    <w:rsid w:val="00C1412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0361"/>
    <w:rsid w:val="00C5207F"/>
    <w:rsid w:val="00C52D21"/>
    <w:rsid w:val="00C53FDE"/>
    <w:rsid w:val="00C5543B"/>
    <w:rsid w:val="00C573B1"/>
    <w:rsid w:val="00C600EE"/>
    <w:rsid w:val="00C64192"/>
    <w:rsid w:val="00C64913"/>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3A54"/>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422" TargetMode="External"/><Relationship Id="rId13" Type="http://schemas.openxmlformats.org/officeDocument/2006/relationships/hyperlink" Target="http://canlii.ca/t/g2grc" TargetMode="External"/><Relationship Id="rId18" Type="http://schemas.openxmlformats.org/officeDocument/2006/relationships/hyperlink" Target="http://canlii.ca/t/gftbg" TargetMode="External"/><Relationship Id="rId26" Type="http://schemas.openxmlformats.org/officeDocument/2006/relationships/hyperlink" Target="http://www.scc-csc.ca/news-nouv/rel-com/subs-abon-eng.aspx" TargetMode="External"/><Relationship Id="rId3" Type="http://schemas.openxmlformats.org/officeDocument/2006/relationships/settings" Target="settings.xml"/><Relationship Id="rId21" Type="http://schemas.openxmlformats.org/officeDocument/2006/relationships/hyperlink" Target="http://www.canlii.org/fr/qc/qccs/doc/2012/2012qccs1150/2012qccs1150.html?autocompleteStr=2012%20qccs%201150&amp;autocompletePos=1" TargetMode="External"/><Relationship Id="rId34" Type="http://schemas.openxmlformats.org/officeDocument/2006/relationships/fontTable" Target="fontTable.xml"/><Relationship Id="rId7" Type="http://schemas.openxmlformats.org/officeDocument/2006/relationships/hyperlink" Target="http://www.scc-csc.ca/case-dossier/info/sum-som-eng.aspx?cas=36384" TargetMode="External"/><Relationship Id="rId12" Type="http://schemas.openxmlformats.org/officeDocument/2006/relationships/hyperlink" Target="http://canlii.ca/t/gg4w0" TargetMode="External"/><Relationship Id="rId17" Type="http://schemas.openxmlformats.org/officeDocument/2006/relationships/hyperlink" Target="http://canlii.ca/t/g3gqs" TargetMode="External"/><Relationship Id="rId25" Type="http://schemas.openxmlformats.org/officeDocument/2006/relationships/hyperlink" Target="mailto:comments-commentaires@scc-csc.ca"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anlii.org/fr/nb/nbca/doc/2014/2014canlii63753/2014canlii63753.html?autocompleteStr=ngambo&amp;autocompletePos=2" TargetMode="External"/><Relationship Id="rId20" Type="http://schemas.openxmlformats.org/officeDocument/2006/relationships/hyperlink" Target="http://canlii.ca/t/gftb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lii.ca/t/g2grc" TargetMode="External"/><Relationship Id="rId24" Type="http://schemas.openxmlformats.org/officeDocument/2006/relationships/hyperlink" Target="http://www.canlii.org/fr/qc/qcca/doc/2015/2015qcca52/2015qcca52.html?autocompleteStr=2015%20qcca%2052&amp;autocompletePos=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anlii.org/en/nb/nbca/doc/2014/2014canlii63753/2014canlii63753.html" TargetMode="External"/><Relationship Id="rId23" Type="http://schemas.openxmlformats.org/officeDocument/2006/relationships/hyperlink" Target="http://www.canlii.org/fr/qc/qccs/doc/2012/2012qccs1150/2012qccs1150.html?autocompleteStr=2012%20qccs%201150&amp;autocompletePos=1" TargetMode="External"/><Relationship Id="rId28" Type="http://schemas.openxmlformats.org/officeDocument/2006/relationships/header" Target="header1.xml"/><Relationship Id="rId10" Type="http://schemas.openxmlformats.org/officeDocument/2006/relationships/hyperlink" Target="http://canlii.ca/t/gg4w0" TargetMode="External"/><Relationship Id="rId19" Type="http://schemas.openxmlformats.org/officeDocument/2006/relationships/hyperlink" Target="http://canlii.ca/t/g3gq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c-csc.ca/case-dossier/info/sum-som-eng.aspx?cas=36424" TargetMode="External"/><Relationship Id="rId14" Type="http://schemas.openxmlformats.org/officeDocument/2006/relationships/hyperlink" Target="http://canlii.ca/t/gg4w0" TargetMode="External"/><Relationship Id="rId22" Type="http://schemas.openxmlformats.org/officeDocument/2006/relationships/hyperlink" Target="http://www.canlii.org/fr/qc/qcca/doc/2015/2015qcca52/2015qcca52.html?autocompleteStr=2015%20qcca%2052&amp;autocompletePos=1" TargetMode="External"/><Relationship Id="rId27" Type="http://schemas.openxmlformats.org/officeDocument/2006/relationships/hyperlink" Target="http://www.scc-csc.ca/news-nouv/rel-com/subs-abon-fra.asp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2015-08-14T14:51:00Z</dcterms:created>
  <dcterms:modified xsi:type="dcterms:W3CDTF">2015-11-27T15:19:00Z</dcterms:modified>
</cp:coreProperties>
</file>