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0840FA" w:rsidRDefault="006F2579" w:rsidP="006F2579">
      <w:pPr>
        <w:widowControl w:val="0"/>
        <w:rPr>
          <w:i/>
          <w:lang w:val="fr-CA"/>
        </w:rPr>
      </w:pPr>
      <w:r w:rsidRPr="000840FA">
        <w:rPr>
          <w:i/>
          <w:lang w:val="fr-CA"/>
        </w:rPr>
        <w:t>(le français suit)</w:t>
      </w:r>
    </w:p>
    <w:p w:rsidR="006F2579" w:rsidRPr="000840FA" w:rsidRDefault="006F2579" w:rsidP="006F2579">
      <w:pPr>
        <w:widowControl w:val="0"/>
        <w:rPr>
          <w:lang w:val="fr-CA"/>
        </w:rPr>
      </w:pPr>
    </w:p>
    <w:p w:rsidR="006F2579" w:rsidRPr="004A6B0D" w:rsidRDefault="00C007C3" w:rsidP="006F2579">
      <w:pPr>
        <w:widowControl w:val="0"/>
        <w:jc w:val="center"/>
        <w:rPr>
          <w:b/>
          <w:lang w:val="fr-CA"/>
        </w:rPr>
      </w:pPr>
      <w:r>
        <w:fldChar w:fldCharType="begin"/>
      </w:r>
      <w:r w:rsidR="006F2579" w:rsidRPr="004A6B0D">
        <w:rPr>
          <w:lang w:val="fr-CA"/>
        </w:rPr>
        <w:instrText xml:space="preserve"> SEQ CHAPTER \h \r 1</w:instrText>
      </w:r>
      <w:r>
        <w:fldChar w:fldCharType="end"/>
      </w:r>
      <w:r w:rsidR="002767DF" w:rsidRPr="004A6B0D">
        <w:rPr>
          <w:b/>
          <w:lang w:val="fr-CA"/>
        </w:rPr>
        <w:t xml:space="preserve">JUDGMENTS </w:t>
      </w:r>
      <w:r w:rsidR="004C4C26" w:rsidRPr="004A6B0D">
        <w:rPr>
          <w:b/>
          <w:lang w:val="fr-CA"/>
        </w:rPr>
        <w:t>IN LEAVE APPLICATION</w:t>
      </w:r>
      <w:r w:rsidR="00CC044F" w:rsidRPr="004A6B0D">
        <w:rPr>
          <w:b/>
          <w:lang w:val="fr-CA"/>
        </w:rPr>
        <w:t>S</w:t>
      </w:r>
    </w:p>
    <w:p w:rsidR="006F2579" w:rsidRPr="004A6B0D" w:rsidRDefault="006F2579" w:rsidP="006F2579">
      <w:pPr>
        <w:widowControl w:val="0"/>
        <w:rPr>
          <w:b/>
          <w:lang w:val="fr-CA"/>
        </w:rPr>
      </w:pPr>
    </w:p>
    <w:p w:rsidR="006F2579" w:rsidRPr="00497B5E" w:rsidRDefault="00893DAB" w:rsidP="006F2579">
      <w:pPr>
        <w:widowControl w:val="0"/>
        <w:rPr>
          <w:b/>
        </w:rPr>
      </w:pPr>
      <w:r>
        <w:rPr>
          <w:b/>
        </w:rPr>
        <w:t>September 3</w:t>
      </w:r>
      <w:r w:rsidR="008825DB">
        <w:rPr>
          <w:b/>
        </w:rPr>
        <w:t>, 201</w:t>
      </w:r>
      <w:r w:rsidR="006415CA">
        <w:rPr>
          <w:b/>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893DAB">
        <w:rPr>
          <w:b/>
          <w:lang w:val="fr-CA"/>
        </w:rPr>
        <w:t>3 septembre</w:t>
      </w:r>
      <w:r w:rsidR="002D404A">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 xml:space="preserve">jugements dans </w:t>
      </w:r>
      <w:r w:rsidR="00CC044F">
        <w:rPr>
          <w:lang w:val="fr-CA"/>
        </w:rPr>
        <w:t>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0D4149"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6FC26"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4B0CC4" w:rsidRPr="006601F6" w:rsidRDefault="004B0CC4" w:rsidP="009D2AD9">
      <w:pPr>
        <w:rPr>
          <w:szCs w:val="24"/>
          <w:lang w:val="fr-CA"/>
        </w:rPr>
      </w:pPr>
    </w:p>
    <w:p w:rsidR="009D2AD9" w:rsidRPr="0044099A" w:rsidRDefault="00C007C3"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7" w:history="1">
        <w:r w:rsidR="00893DAB" w:rsidRPr="00C52FDE">
          <w:rPr>
            <w:rStyle w:val="Hyperlink"/>
            <w:szCs w:val="24"/>
          </w:rPr>
          <w:t>http://scc-csc.lexum.com/scc-csc/news/en/item/4985/index.do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Pr="001D0423"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hyperlink r:id="rId8" w:history="1">
        <w:r w:rsidR="00893DAB" w:rsidRPr="00C52FDE">
          <w:rPr>
            <w:rStyle w:val="Hyperlink"/>
            <w:szCs w:val="24"/>
            <w:lang w:val="fr-CA"/>
          </w:rPr>
          <w:t>http://scc-csc.lexum.com/scc-csc/news/fr/item/4985/index.do</w:t>
        </w:r>
      </w:hyperlink>
      <w:r w:rsidR="00463D03">
        <w:rPr>
          <w:szCs w:val="24"/>
          <w:lang w:val="fr-CA"/>
        </w:rPr>
        <w:t xml:space="preserve"> </w:t>
      </w:r>
    </w:p>
    <w:p w:rsidR="0025713A" w:rsidRDefault="0025713A" w:rsidP="0025713A">
      <w:pPr>
        <w:widowControl w:val="0"/>
        <w:rPr>
          <w:sz w:val="20"/>
          <w:lang w:val="fr-CA"/>
        </w:rPr>
      </w:pPr>
    </w:p>
    <w:p w:rsidR="00402040" w:rsidRDefault="00402040" w:rsidP="0025713A">
      <w:pPr>
        <w:widowControl w:val="0"/>
        <w:rPr>
          <w:sz w:val="20"/>
          <w:lang w:val="fr-CA"/>
        </w:rPr>
      </w:pPr>
    </w:p>
    <w:p w:rsidR="00893DAB" w:rsidRPr="00893DAB" w:rsidRDefault="00893DAB" w:rsidP="00893DAB">
      <w:pPr>
        <w:jc w:val="both"/>
        <w:rPr>
          <w:b/>
        </w:rPr>
      </w:pPr>
      <w:r w:rsidRPr="00893DAB">
        <w:rPr>
          <w:b/>
        </w:rPr>
        <w:t>GRANTED WITH COSTS / ACCORDÉE AVEC D</w:t>
      </w:r>
      <w:r>
        <w:rPr>
          <w:b/>
        </w:rPr>
        <w:t>ÉPENS</w:t>
      </w:r>
    </w:p>
    <w:p w:rsidR="00893DAB" w:rsidRPr="00893DAB" w:rsidRDefault="00893DAB" w:rsidP="00893DAB">
      <w:pPr>
        <w:jc w:val="both"/>
        <w:rPr>
          <w:sz w:val="20"/>
        </w:rPr>
      </w:pPr>
    </w:p>
    <w:p w:rsidR="00893DAB" w:rsidRPr="00893DAB" w:rsidRDefault="00893DAB" w:rsidP="00893DAB">
      <w:pPr>
        <w:pStyle w:val="SCCAppellantInfoAppellantInfo"/>
        <w:jc w:val="both"/>
        <w:rPr>
          <w:sz w:val="20"/>
          <w:szCs w:val="20"/>
        </w:rPr>
      </w:pPr>
      <w:r w:rsidRPr="00893DAB">
        <w:rPr>
          <w:bCs/>
          <w:i/>
          <w:iCs/>
          <w:sz w:val="20"/>
          <w:szCs w:val="20"/>
        </w:rPr>
        <w:t>City of Edmonton v. Edmonton East (</w:t>
      </w:r>
      <w:proofErr w:type="spellStart"/>
      <w:r w:rsidRPr="00893DAB">
        <w:rPr>
          <w:bCs/>
          <w:i/>
          <w:iCs/>
          <w:sz w:val="20"/>
          <w:szCs w:val="20"/>
        </w:rPr>
        <w:t>Capilano</w:t>
      </w:r>
      <w:proofErr w:type="spellEnd"/>
      <w:r w:rsidRPr="00893DAB">
        <w:rPr>
          <w:bCs/>
          <w:i/>
          <w:iCs/>
          <w:sz w:val="20"/>
          <w:szCs w:val="20"/>
        </w:rPr>
        <w:t xml:space="preserve">) Shopping Centres Limited (as represented by AEC International Inc.) et al. </w:t>
      </w:r>
      <w:r w:rsidRPr="00893DAB">
        <w:rPr>
          <w:sz w:val="20"/>
          <w:szCs w:val="20"/>
        </w:rPr>
        <w:t>(Alta.) (Civil) (By Leave) (</w:t>
      </w:r>
      <w:hyperlink r:id="rId9" w:history="1">
        <w:r w:rsidRPr="00893DAB">
          <w:rPr>
            <w:rStyle w:val="Hyperlink"/>
            <w:sz w:val="20"/>
            <w:szCs w:val="20"/>
          </w:rPr>
          <w:t>36403</w:t>
        </w:r>
      </w:hyperlink>
      <w:r w:rsidRPr="00893DAB">
        <w:rPr>
          <w:sz w:val="20"/>
          <w:szCs w:val="20"/>
        </w:rPr>
        <w:t>)</w:t>
      </w:r>
    </w:p>
    <w:p w:rsidR="00893DAB" w:rsidRPr="00893DAB" w:rsidRDefault="00893DAB" w:rsidP="00893DAB">
      <w:pPr>
        <w:jc w:val="both"/>
        <w:rPr>
          <w:sz w:val="20"/>
        </w:rPr>
      </w:pPr>
      <w:r w:rsidRPr="00893DAB">
        <w:rPr>
          <w:sz w:val="20"/>
        </w:rPr>
        <w:t xml:space="preserve">(The application for leave to appeal is granted with costs in the cause. The Assessment Review Board for the City of Edmonton may participate in the appeal as an intervener and may present arguments limited to the issue of its jurisdiction. / </w:t>
      </w:r>
    </w:p>
    <w:p w:rsidR="00893DAB" w:rsidRPr="00893DAB" w:rsidRDefault="00893DAB" w:rsidP="00893DAB">
      <w:pPr>
        <w:jc w:val="both"/>
        <w:rPr>
          <w:sz w:val="20"/>
          <w:lang w:val="fr-CA"/>
        </w:rPr>
      </w:pPr>
      <w:r w:rsidRPr="00893DAB">
        <w:rPr>
          <w:sz w:val="20"/>
          <w:lang w:val="fr-CA"/>
        </w:rPr>
        <w:t>La demande d’autorisation d’appel est accueillie avec dépens selon l’issue de la cause. La Commission de révision de l’évaluation foncière de la ville d’Edmonton peut participer à l’appel en qualité d’intervenant et présenter une argumentation portant uniquement sur sa compétence.)</w:t>
      </w:r>
    </w:p>
    <w:p w:rsidR="00893DAB" w:rsidRPr="00893DAB" w:rsidRDefault="00893DAB" w:rsidP="00893DAB">
      <w:pPr>
        <w:jc w:val="both"/>
        <w:rPr>
          <w:sz w:val="20"/>
        </w:rPr>
      </w:pPr>
      <w:r w:rsidRPr="00893DAB">
        <w:rPr>
          <w:sz w:val="20"/>
        </w:rPr>
        <w:t>Coram: Rothstein / Cromwell / Moldaver</w:t>
      </w:r>
    </w:p>
    <w:p w:rsidR="00893DAB" w:rsidRPr="00893DAB" w:rsidRDefault="00893DAB" w:rsidP="00893DAB">
      <w:pPr>
        <w:jc w:val="both"/>
        <w:rPr>
          <w:iCs/>
          <w:sz w:val="20"/>
        </w:rPr>
      </w:pPr>
    </w:p>
    <w:p w:rsidR="00893DAB" w:rsidRPr="00893DAB" w:rsidRDefault="00893DAB" w:rsidP="00893DAB">
      <w:pPr>
        <w:jc w:val="both"/>
        <w:rPr>
          <w:sz w:val="20"/>
        </w:rPr>
      </w:pPr>
      <w:r w:rsidRPr="00893DAB">
        <w:rPr>
          <w:sz w:val="20"/>
        </w:rPr>
        <w:t>****</w:t>
      </w:r>
    </w:p>
    <w:p w:rsidR="00893DAB" w:rsidRDefault="00893DAB" w:rsidP="00893DAB">
      <w:pPr>
        <w:jc w:val="both"/>
        <w:rPr>
          <w:iCs/>
          <w:sz w:val="20"/>
        </w:rPr>
      </w:pPr>
    </w:p>
    <w:p w:rsidR="00893DAB" w:rsidRPr="00893DAB" w:rsidRDefault="00893DAB" w:rsidP="00893DAB">
      <w:pPr>
        <w:jc w:val="both"/>
        <w:rPr>
          <w:b/>
        </w:rPr>
      </w:pPr>
      <w:r w:rsidRPr="00893DAB">
        <w:rPr>
          <w:b/>
        </w:rPr>
        <w:t>GRANTED / ACCORDÉE</w:t>
      </w:r>
    </w:p>
    <w:p w:rsidR="00893DAB" w:rsidRPr="00893DAB" w:rsidRDefault="00893DAB" w:rsidP="00893DAB">
      <w:pPr>
        <w:jc w:val="both"/>
        <w:rPr>
          <w:sz w:val="20"/>
        </w:rPr>
      </w:pPr>
    </w:p>
    <w:p w:rsidR="00893DAB" w:rsidRPr="00310A24" w:rsidRDefault="00893DAB" w:rsidP="00893DAB">
      <w:pPr>
        <w:jc w:val="both"/>
        <w:rPr>
          <w:sz w:val="20"/>
          <w:lang w:val="en-CA"/>
        </w:rPr>
      </w:pPr>
      <w:r w:rsidRPr="00310A24">
        <w:rPr>
          <w:bCs/>
          <w:i/>
          <w:iCs/>
          <w:sz w:val="20"/>
          <w:lang w:val="en-CA"/>
        </w:rPr>
        <w:lastRenderedPageBreak/>
        <w:t xml:space="preserve">Her Majesty the Queen v. Oswald Oliver </w:t>
      </w:r>
      <w:proofErr w:type="spellStart"/>
      <w:r w:rsidRPr="00310A24">
        <w:rPr>
          <w:bCs/>
          <w:i/>
          <w:iCs/>
          <w:sz w:val="20"/>
          <w:lang w:val="en-CA"/>
        </w:rPr>
        <w:t>Villaroman</w:t>
      </w:r>
      <w:proofErr w:type="spellEnd"/>
      <w:r>
        <w:rPr>
          <w:sz w:val="20"/>
          <w:lang w:val="en-CA"/>
        </w:rPr>
        <w:t xml:space="preserve"> </w:t>
      </w:r>
      <w:r w:rsidRPr="00310A24">
        <w:rPr>
          <w:sz w:val="20"/>
          <w:lang w:val="en-CA"/>
        </w:rPr>
        <w:t>(Alta.) (Criminal) (By Leave) (</w:t>
      </w:r>
      <w:hyperlink r:id="rId10" w:history="1">
        <w:r w:rsidRPr="00310A24">
          <w:rPr>
            <w:rStyle w:val="Hyperlink"/>
            <w:sz w:val="20"/>
            <w:lang w:val="en-CA"/>
          </w:rPr>
          <w:t>36435</w:t>
        </w:r>
      </w:hyperlink>
      <w:r w:rsidRPr="00310A24">
        <w:rPr>
          <w:sz w:val="20"/>
          <w:lang w:val="en-CA"/>
        </w:rPr>
        <w:t>)</w:t>
      </w:r>
    </w:p>
    <w:p w:rsidR="00893DAB" w:rsidRPr="001C76BF" w:rsidRDefault="00893DAB" w:rsidP="00893DAB">
      <w:pPr>
        <w:jc w:val="both"/>
        <w:rPr>
          <w:sz w:val="20"/>
        </w:rPr>
      </w:pPr>
      <w:r w:rsidRPr="001C76BF">
        <w:rPr>
          <w:sz w:val="20"/>
        </w:rPr>
        <w:t xml:space="preserve">Coram: </w:t>
      </w:r>
      <w:r>
        <w:rPr>
          <w:sz w:val="20"/>
        </w:rPr>
        <w:t>Rothstein</w:t>
      </w:r>
      <w:r w:rsidRPr="001C76BF">
        <w:rPr>
          <w:sz w:val="20"/>
        </w:rPr>
        <w:t xml:space="preserve"> / </w:t>
      </w:r>
      <w:r>
        <w:rPr>
          <w:sz w:val="20"/>
        </w:rPr>
        <w:t xml:space="preserve">Cromwell </w:t>
      </w:r>
      <w:r w:rsidRPr="001C76BF">
        <w:rPr>
          <w:sz w:val="20"/>
        </w:rPr>
        <w:t xml:space="preserve">/ </w:t>
      </w:r>
      <w:r>
        <w:rPr>
          <w:sz w:val="20"/>
        </w:rPr>
        <w:t>Moldaver</w:t>
      </w:r>
    </w:p>
    <w:p w:rsidR="00893DAB" w:rsidRDefault="00893DAB" w:rsidP="00893DAB">
      <w:pPr>
        <w:jc w:val="both"/>
        <w:rPr>
          <w:iCs/>
          <w:sz w:val="20"/>
        </w:rPr>
      </w:pPr>
    </w:p>
    <w:p w:rsidR="00893DAB" w:rsidRPr="001C76BF" w:rsidRDefault="00893DAB" w:rsidP="00893DAB">
      <w:pPr>
        <w:jc w:val="both"/>
        <w:rPr>
          <w:sz w:val="20"/>
        </w:rPr>
      </w:pPr>
      <w:r w:rsidRPr="001C76BF">
        <w:rPr>
          <w:sz w:val="20"/>
        </w:rPr>
        <w:t>****</w:t>
      </w:r>
    </w:p>
    <w:p w:rsidR="00893DAB" w:rsidRDefault="00893DAB" w:rsidP="00893DAB">
      <w:pPr>
        <w:jc w:val="both"/>
        <w:rPr>
          <w:iCs/>
          <w:sz w:val="20"/>
        </w:rPr>
      </w:pPr>
    </w:p>
    <w:p w:rsidR="000C7BA4" w:rsidRPr="00A3560F" w:rsidRDefault="00890762" w:rsidP="0089414D">
      <w:pPr>
        <w:jc w:val="both"/>
        <w:rPr>
          <w:b/>
        </w:rPr>
      </w:pPr>
      <w:r w:rsidRPr="00A3560F">
        <w:rPr>
          <w:b/>
        </w:rPr>
        <w:t>DISMISSED WITH COSTS / REJETÉE AVEC DÉPENS</w:t>
      </w:r>
    </w:p>
    <w:p w:rsidR="00890762" w:rsidRPr="00893DAB" w:rsidRDefault="00890762" w:rsidP="001C76BF">
      <w:pPr>
        <w:jc w:val="both"/>
        <w:rPr>
          <w:sz w:val="20"/>
        </w:rPr>
      </w:pPr>
    </w:p>
    <w:p w:rsidR="00893DAB" w:rsidRPr="00893DAB" w:rsidRDefault="00893DAB" w:rsidP="00893DAB">
      <w:pPr>
        <w:pStyle w:val="SCCAppellantInfoAppellantInfo"/>
        <w:jc w:val="both"/>
        <w:rPr>
          <w:sz w:val="20"/>
          <w:szCs w:val="20"/>
        </w:rPr>
      </w:pPr>
      <w:proofErr w:type="spellStart"/>
      <w:r w:rsidRPr="00893DAB">
        <w:rPr>
          <w:bCs/>
          <w:i/>
          <w:iCs/>
          <w:sz w:val="20"/>
          <w:szCs w:val="20"/>
        </w:rPr>
        <w:t>Oluwarotimi</w:t>
      </w:r>
      <w:proofErr w:type="spellEnd"/>
      <w:r w:rsidRPr="00893DAB">
        <w:rPr>
          <w:bCs/>
          <w:i/>
          <w:iCs/>
          <w:sz w:val="20"/>
          <w:szCs w:val="20"/>
        </w:rPr>
        <w:t xml:space="preserve"> </w:t>
      </w:r>
      <w:proofErr w:type="spellStart"/>
      <w:r w:rsidRPr="00893DAB">
        <w:rPr>
          <w:bCs/>
          <w:i/>
          <w:iCs/>
          <w:sz w:val="20"/>
          <w:szCs w:val="20"/>
        </w:rPr>
        <w:t>Fashoranti</w:t>
      </w:r>
      <w:proofErr w:type="spellEnd"/>
      <w:r w:rsidRPr="00893DAB">
        <w:rPr>
          <w:bCs/>
          <w:i/>
          <w:iCs/>
          <w:sz w:val="20"/>
          <w:szCs w:val="20"/>
        </w:rPr>
        <w:t xml:space="preserve"> v. College of Physicians and Surgeons of Nova Scotia et al. </w:t>
      </w:r>
      <w:r w:rsidRPr="00893DAB">
        <w:rPr>
          <w:sz w:val="20"/>
          <w:szCs w:val="20"/>
        </w:rPr>
        <w:t>(N.S.) (Civil) (By Leave) (</w:t>
      </w:r>
      <w:hyperlink r:id="rId11" w:history="1">
        <w:r w:rsidRPr="00893DAB">
          <w:rPr>
            <w:rStyle w:val="Hyperlink"/>
            <w:sz w:val="20"/>
            <w:szCs w:val="20"/>
          </w:rPr>
          <w:t>36428</w:t>
        </w:r>
      </w:hyperlink>
      <w:r w:rsidRPr="00893DAB">
        <w:rPr>
          <w:sz w:val="20"/>
          <w:szCs w:val="20"/>
        </w:rPr>
        <w:t>)</w:t>
      </w:r>
    </w:p>
    <w:p w:rsidR="00893DAB" w:rsidRPr="00893DAB" w:rsidRDefault="00893DAB" w:rsidP="00893DAB">
      <w:pPr>
        <w:jc w:val="both"/>
        <w:rPr>
          <w:sz w:val="20"/>
        </w:rPr>
      </w:pPr>
      <w:r w:rsidRPr="00893DAB">
        <w:rPr>
          <w:sz w:val="20"/>
        </w:rPr>
        <w:t xml:space="preserve">(The application for leave to appeal is dismissed with costs to the respondent, the College of Physicians and Surgeons of Nova Scotia. / </w:t>
      </w:r>
    </w:p>
    <w:p w:rsidR="00893DAB" w:rsidRPr="00893DAB" w:rsidRDefault="00893DAB" w:rsidP="00893DAB">
      <w:pPr>
        <w:jc w:val="both"/>
        <w:rPr>
          <w:sz w:val="20"/>
          <w:lang w:val="fr-CA"/>
        </w:rPr>
      </w:pPr>
      <w:r w:rsidRPr="00893DAB">
        <w:rPr>
          <w:sz w:val="20"/>
          <w:lang w:val="fr-CA"/>
        </w:rPr>
        <w:t xml:space="preserve">La demande d’autorisation d’appel est rejetée avec dépens en faveur de l’intimé, le </w:t>
      </w:r>
      <w:proofErr w:type="spellStart"/>
      <w:r w:rsidRPr="00893DAB">
        <w:rPr>
          <w:sz w:val="20"/>
          <w:lang w:val="fr-CA"/>
        </w:rPr>
        <w:t>College</w:t>
      </w:r>
      <w:proofErr w:type="spellEnd"/>
      <w:r w:rsidRPr="00893DAB">
        <w:rPr>
          <w:sz w:val="20"/>
          <w:lang w:val="fr-CA"/>
        </w:rPr>
        <w:t xml:space="preserve"> of </w:t>
      </w:r>
      <w:proofErr w:type="spellStart"/>
      <w:r w:rsidRPr="00893DAB">
        <w:rPr>
          <w:sz w:val="20"/>
          <w:lang w:val="fr-CA"/>
        </w:rPr>
        <w:t>Physicians</w:t>
      </w:r>
      <w:proofErr w:type="spellEnd"/>
      <w:r w:rsidRPr="00893DAB">
        <w:rPr>
          <w:sz w:val="20"/>
          <w:lang w:val="fr-CA"/>
        </w:rPr>
        <w:t xml:space="preserve"> and Surgeons of Nova </w:t>
      </w:r>
      <w:proofErr w:type="spellStart"/>
      <w:r w:rsidRPr="00893DAB">
        <w:rPr>
          <w:sz w:val="20"/>
          <w:lang w:val="fr-CA"/>
        </w:rPr>
        <w:t>Scotia</w:t>
      </w:r>
      <w:proofErr w:type="spellEnd"/>
      <w:r w:rsidRPr="00893DAB">
        <w:rPr>
          <w:sz w:val="20"/>
          <w:lang w:val="fr-CA"/>
        </w:rPr>
        <w:t>.)</w:t>
      </w:r>
    </w:p>
    <w:p w:rsidR="00893DAB" w:rsidRPr="00893DAB" w:rsidRDefault="00893DAB" w:rsidP="00893DAB">
      <w:pPr>
        <w:jc w:val="both"/>
        <w:rPr>
          <w:sz w:val="20"/>
        </w:rPr>
      </w:pPr>
      <w:r w:rsidRPr="00893DAB">
        <w:rPr>
          <w:sz w:val="20"/>
        </w:rPr>
        <w:t>Coram: Rothstein / Cromwell / Moldaver</w:t>
      </w:r>
    </w:p>
    <w:p w:rsidR="00893DAB" w:rsidRDefault="00893DAB" w:rsidP="00893DAB">
      <w:pPr>
        <w:jc w:val="both"/>
        <w:rPr>
          <w:iCs/>
          <w:sz w:val="20"/>
        </w:rPr>
      </w:pPr>
    </w:p>
    <w:p w:rsidR="00893DAB" w:rsidRPr="001C76BF" w:rsidRDefault="00893DAB" w:rsidP="00893DAB">
      <w:pPr>
        <w:jc w:val="both"/>
        <w:rPr>
          <w:sz w:val="20"/>
        </w:rPr>
      </w:pPr>
      <w:r w:rsidRPr="001C76BF">
        <w:rPr>
          <w:sz w:val="20"/>
        </w:rPr>
        <w:t>****</w:t>
      </w:r>
    </w:p>
    <w:p w:rsidR="00893DAB" w:rsidRPr="00893DAB" w:rsidRDefault="00893DAB" w:rsidP="001C76BF">
      <w:pPr>
        <w:jc w:val="both"/>
        <w:rPr>
          <w:sz w:val="20"/>
        </w:rPr>
      </w:pPr>
    </w:p>
    <w:p w:rsidR="00893DAB" w:rsidRPr="00A3560F" w:rsidRDefault="00893DAB" w:rsidP="00893DAB">
      <w:pPr>
        <w:jc w:val="both"/>
        <w:rPr>
          <w:b/>
        </w:rPr>
      </w:pPr>
      <w:r w:rsidRPr="00A3560F">
        <w:rPr>
          <w:b/>
        </w:rPr>
        <w:t>DISMISSED WITH</w:t>
      </w:r>
      <w:r>
        <w:rPr>
          <w:b/>
        </w:rPr>
        <w:t>OUT</w:t>
      </w:r>
      <w:r w:rsidRPr="00A3560F">
        <w:rPr>
          <w:b/>
        </w:rPr>
        <w:t xml:space="preserve"> COSTS / REJETÉE </w:t>
      </w:r>
      <w:r>
        <w:rPr>
          <w:b/>
        </w:rPr>
        <w:t>SANS</w:t>
      </w:r>
      <w:r w:rsidRPr="00A3560F">
        <w:rPr>
          <w:b/>
        </w:rPr>
        <w:t xml:space="preserve"> DÉPENS</w:t>
      </w:r>
    </w:p>
    <w:p w:rsidR="00893DAB" w:rsidRPr="00893DAB" w:rsidRDefault="00893DAB" w:rsidP="00893DAB">
      <w:pPr>
        <w:jc w:val="both"/>
        <w:rPr>
          <w:sz w:val="20"/>
        </w:rPr>
      </w:pPr>
    </w:p>
    <w:p w:rsidR="00893DAB" w:rsidRPr="00893DAB" w:rsidRDefault="00893DAB" w:rsidP="00893DAB">
      <w:pPr>
        <w:jc w:val="both"/>
        <w:rPr>
          <w:sz w:val="20"/>
          <w:lang w:val="en-CA"/>
        </w:rPr>
      </w:pPr>
      <w:proofErr w:type="spellStart"/>
      <w:r w:rsidRPr="00893DAB">
        <w:rPr>
          <w:bCs/>
          <w:i/>
          <w:iCs/>
          <w:sz w:val="20"/>
          <w:lang w:val="en-CA"/>
        </w:rPr>
        <w:t>Hakima</w:t>
      </w:r>
      <w:proofErr w:type="spellEnd"/>
      <w:r w:rsidRPr="00893DAB">
        <w:rPr>
          <w:bCs/>
          <w:i/>
          <w:iCs/>
          <w:sz w:val="20"/>
          <w:lang w:val="en-CA"/>
        </w:rPr>
        <w:t xml:space="preserve"> </w:t>
      </w:r>
      <w:proofErr w:type="spellStart"/>
      <w:r w:rsidRPr="00893DAB">
        <w:rPr>
          <w:bCs/>
          <w:i/>
          <w:iCs/>
          <w:sz w:val="20"/>
          <w:lang w:val="en-CA"/>
        </w:rPr>
        <w:t>Bakiri</w:t>
      </w:r>
      <w:proofErr w:type="spellEnd"/>
      <w:r w:rsidRPr="00893DAB">
        <w:rPr>
          <w:bCs/>
          <w:i/>
          <w:iCs/>
          <w:sz w:val="20"/>
          <w:lang w:val="en-CA"/>
        </w:rPr>
        <w:t xml:space="preserve"> v. Commission of Occupational Injuries et al. </w:t>
      </w:r>
      <w:r w:rsidRPr="00893DAB">
        <w:rPr>
          <w:sz w:val="20"/>
          <w:lang w:val="en-CA"/>
        </w:rPr>
        <w:t>(Que.) (Civil) (By Leave) (</w:t>
      </w:r>
      <w:hyperlink r:id="rId12" w:history="1">
        <w:r w:rsidRPr="00893DAB">
          <w:rPr>
            <w:rStyle w:val="Hyperlink"/>
            <w:sz w:val="20"/>
            <w:lang w:val="en-CA"/>
          </w:rPr>
          <w:t>36365</w:t>
        </w:r>
      </w:hyperlink>
      <w:r w:rsidRPr="00893DAB">
        <w:rPr>
          <w:sz w:val="20"/>
          <w:lang w:val="en-CA"/>
        </w:rPr>
        <w:t>)</w:t>
      </w:r>
    </w:p>
    <w:p w:rsidR="00893DAB" w:rsidRPr="00893DAB" w:rsidRDefault="00893DAB" w:rsidP="00893DAB">
      <w:pPr>
        <w:jc w:val="both"/>
        <w:rPr>
          <w:sz w:val="20"/>
        </w:rPr>
      </w:pPr>
      <w:r w:rsidRPr="00893DAB">
        <w:rPr>
          <w:sz w:val="20"/>
          <w:lang w:val="en-CA"/>
        </w:rPr>
        <w:t>(</w:t>
      </w:r>
      <w:r w:rsidRPr="00893DAB">
        <w:rPr>
          <w:sz w:val="20"/>
        </w:rPr>
        <w:t xml:space="preserve">The applicant’s miscellaneous motion is dismissed. The motion for an order to seal the applicant’s medical records is dismissed. The Registry shall return the medical reports and records (Exhibit D) to the applicant and the Court will not keep a copy of these documents in its records. The application for leave to appeal is dismissed without costs. / </w:t>
      </w:r>
    </w:p>
    <w:p w:rsidR="00893DAB" w:rsidRPr="00893DAB" w:rsidRDefault="00893DAB" w:rsidP="00893DAB">
      <w:pPr>
        <w:jc w:val="both"/>
        <w:rPr>
          <w:sz w:val="20"/>
          <w:lang w:val="fr-CA"/>
        </w:rPr>
      </w:pPr>
      <w:r w:rsidRPr="00893DAB">
        <w:rPr>
          <w:rStyle w:val="hps"/>
          <w:color w:val="222222"/>
          <w:sz w:val="20"/>
          <w:lang w:val="fr-CA"/>
        </w:rPr>
        <w:t>La</w:t>
      </w:r>
      <w:r w:rsidRPr="00893DAB">
        <w:rPr>
          <w:rStyle w:val="shorttext0"/>
          <w:color w:val="222222"/>
          <w:sz w:val="20"/>
          <w:lang w:val="fr-CA"/>
        </w:rPr>
        <w:t xml:space="preserve"> </w:t>
      </w:r>
      <w:r w:rsidRPr="00893DAB">
        <w:rPr>
          <w:rStyle w:val="hps"/>
          <w:color w:val="222222"/>
          <w:sz w:val="20"/>
          <w:lang w:val="fr-CA"/>
        </w:rPr>
        <w:t xml:space="preserve">requête diverse de la demanderesse est rejetée. </w:t>
      </w:r>
      <w:r w:rsidRPr="00893DAB">
        <w:rPr>
          <w:sz w:val="20"/>
          <w:lang w:val="fr-CA"/>
        </w:rPr>
        <w:t>La requête pour une ordonnance de mise sous scellés des dossiers médicaux de la demanderesse est rejetée. Le Greffe doit retourner à la demanderesse les rapports et dossiers médicaux (pièce D) et la Cour ne conservera aucune copie de ces documents dans ses archives. La demande d’autorisation d’appel est rejetée sans dépens.)</w:t>
      </w:r>
    </w:p>
    <w:p w:rsidR="00893DAB" w:rsidRPr="004A6B0D" w:rsidRDefault="00893DAB" w:rsidP="00893DAB">
      <w:pPr>
        <w:jc w:val="both"/>
        <w:rPr>
          <w:sz w:val="20"/>
          <w:lang w:val="fr-CA"/>
        </w:rPr>
      </w:pPr>
      <w:r w:rsidRPr="004A6B0D">
        <w:rPr>
          <w:sz w:val="20"/>
          <w:lang w:val="fr-CA"/>
        </w:rPr>
        <w:t>Coram: Rothstein / Cromwell / Moldaver</w:t>
      </w:r>
    </w:p>
    <w:p w:rsidR="00893DAB" w:rsidRPr="004A6B0D" w:rsidRDefault="00893DAB" w:rsidP="00893DAB">
      <w:pPr>
        <w:jc w:val="both"/>
        <w:rPr>
          <w:iCs/>
          <w:sz w:val="20"/>
          <w:lang w:val="fr-CA"/>
        </w:rPr>
      </w:pPr>
    </w:p>
    <w:p w:rsidR="00893DAB" w:rsidRPr="00893DAB" w:rsidRDefault="00893DAB" w:rsidP="00893DAB">
      <w:pPr>
        <w:jc w:val="both"/>
        <w:rPr>
          <w:sz w:val="20"/>
        </w:rPr>
      </w:pPr>
      <w:r w:rsidRPr="00893DAB">
        <w:rPr>
          <w:sz w:val="20"/>
        </w:rPr>
        <w:t>****</w:t>
      </w:r>
    </w:p>
    <w:p w:rsidR="00893DAB" w:rsidRPr="00893DAB" w:rsidRDefault="00893DAB" w:rsidP="00893DAB">
      <w:pPr>
        <w:jc w:val="both"/>
        <w:rPr>
          <w:sz w:val="20"/>
        </w:rPr>
      </w:pPr>
    </w:p>
    <w:p w:rsidR="008C67F6" w:rsidRPr="001C76BF" w:rsidRDefault="008C67F6" w:rsidP="00893DAB">
      <w:pPr>
        <w:widowControl w:val="0"/>
        <w:jc w:val="both"/>
        <w:rPr>
          <w:sz w:val="20"/>
        </w:rPr>
      </w:pPr>
    </w:p>
    <w:p w:rsidR="00382B6A" w:rsidRPr="006B4C6B" w:rsidRDefault="00382B6A" w:rsidP="00344FD4">
      <w:pPr>
        <w:jc w:val="both"/>
        <w:rPr>
          <w:sz w:val="20"/>
        </w:rPr>
      </w:pPr>
    </w:p>
    <w:p w:rsidR="00AB09B6" w:rsidRPr="006B4C6B" w:rsidRDefault="00AB09B6" w:rsidP="008B12FB">
      <w:pPr>
        <w:jc w:val="both"/>
        <w:rPr>
          <w:sz w:val="20"/>
        </w:rPr>
      </w:pPr>
    </w:p>
    <w:p w:rsidR="00D3344A" w:rsidRDefault="00D3344A" w:rsidP="00D3344A">
      <w:pPr>
        <w:widowControl w:val="0"/>
        <w:outlineLvl w:val="0"/>
      </w:pPr>
      <w:r>
        <w:t xml:space="preserve">Supreme Court of Canada / Cour </w:t>
      </w:r>
      <w:proofErr w:type="spellStart"/>
      <w:r>
        <w:t>suprême</w:t>
      </w:r>
      <w:proofErr w:type="spellEnd"/>
      <w:r>
        <w:t xml:space="preserve"> du Canada : </w:t>
      </w:r>
    </w:p>
    <w:p w:rsidR="00D3344A" w:rsidRPr="00A83C7E" w:rsidRDefault="006B4C6B" w:rsidP="00D3344A">
      <w:pPr>
        <w:widowControl w:val="0"/>
        <w:outlineLvl w:val="0"/>
        <w:rPr>
          <w:color w:val="0000FF"/>
          <w:u w:val="single"/>
        </w:rPr>
      </w:pPr>
      <w:hyperlink r:id="rId13" w:history="1">
        <w:r w:rsidR="00D3344A" w:rsidRPr="00A83C7E">
          <w:rPr>
            <w:rStyle w:val="Hyperlink"/>
          </w:rPr>
          <w:t>comments-commentaires@scc-csc.ca</w:t>
        </w:r>
      </w:hyperlink>
    </w:p>
    <w:p w:rsidR="00D3344A" w:rsidRPr="00B653B3" w:rsidRDefault="00D3344A" w:rsidP="00D3344A">
      <w:pPr>
        <w:widowControl w:val="0"/>
        <w:outlineLvl w:val="0"/>
      </w:pPr>
      <w:r w:rsidRPr="00B653B3">
        <w:t>(613) 995-4330</w:t>
      </w:r>
    </w:p>
    <w:p w:rsidR="00497B5E" w:rsidRDefault="00497B5E" w:rsidP="00497B5E">
      <w:pPr>
        <w:widowControl w:val="0"/>
        <w:rPr>
          <w:sz w:val="20"/>
        </w:rPr>
      </w:pPr>
    </w:p>
    <w:p w:rsidR="003F43E6" w:rsidRDefault="003F43E6" w:rsidP="00497B5E">
      <w:pPr>
        <w:widowControl w:val="0"/>
        <w:rPr>
          <w:sz w:val="20"/>
        </w:rPr>
      </w:pPr>
    </w:p>
    <w:p w:rsidR="00DE0F77" w:rsidRDefault="003F43E6" w:rsidP="00DE0F77">
      <w:pPr>
        <w:pStyle w:val="Footer"/>
        <w:jc w:val="center"/>
      </w:pPr>
      <w:r>
        <w:t>- 30 -</w:t>
      </w:r>
    </w:p>
    <w:sectPr w:rsidR="00DE0F77"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2"/>
  </w:num>
  <w:num w:numId="5">
    <w:abstractNumId w:val="16"/>
  </w:num>
  <w:num w:numId="6">
    <w:abstractNumId w:val="13"/>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5"/>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8"/>
  </w:num>
  <w:num w:numId="19">
    <w:abstractNumId w:val="10"/>
  </w:num>
  <w:num w:numId="20">
    <w:abstractNumId w:val="6"/>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5D13"/>
    <w:rsid w:val="00086629"/>
    <w:rsid w:val="00087808"/>
    <w:rsid w:val="00095627"/>
    <w:rsid w:val="000A0444"/>
    <w:rsid w:val="000A245A"/>
    <w:rsid w:val="000A4311"/>
    <w:rsid w:val="000A50F9"/>
    <w:rsid w:val="000A5A04"/>
    <w:rsid w:val="000A6534"/>
    <w:rsid w:val="000B0C32"/>
    <w:rsid w:val="000B163F"/>
    <w:rsid w:val="000B7258"/>
    <w:rsid w:val="000C014A"/>
    <w:rsid w:val="000C0E20"/>
    <w:rsid w:val="000C182C"/>
    <w:rsid w:val="000C3667"/>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236E"/>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70C9"/>
    <w:rsid w:val="00497375"/>
    <w:rsid w:val="00497B5E"/>
    <w:rsid w:val="00497D57"/>
    <w:rsid w:val="004A1296"/>
    <w:rsid w:val="004A224A"/>
    <w:rsid w:val="004A3074"/>
    <w:rsid w:val="004A3A12"/>
    <w:rsid w:val="004A6B0D"/>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7914"/>
    <w:rsid w:val="005925EC"/>
    <w:rsid w:val="0059611F"/>
    <w:rsid w:val="00597224"/>
    <w:rsid w:val="0059795B"/>
    <w:rsid w:val="005A1B7D"/>
    <w:rsid w:val="005A3592"/>
    <w:rsid w:val="005A4082"/>
    <w:rsid w:val="005B0AAB"/>
    <w:rsid w:val="005B0D9E"/>
    <w:rsid w:val="005B4EB8"/>
    <w:rsid w:val="005C196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4C6B"/>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62162"/>
    <w:rsid w:val="00766432"/>
    <w:rsid w:val="00766983"/>
    <w:rsid w:val="0077122D"/>
    <w:rsid w:val="007712C3"/>
    <w:rsid w:val="007716CD"/>
    <w:rsid w:val="007736D0"/>
    <w:rsid w:val="00775FEC"/>
    <w:rsid w:val="0077725B"/>
    <w:rsid w:val="007823D7"/>
    <w:rsid w:val="00782E96"/>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6F6E"/>
    <w:rsid w:val="00A00F88"/>
    <w:rsid w:val="00A01AAA"/>
    <w:rsid w:val="00A041C7"/>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1CEF"/>
    <w:rsid w:val="00C021BB"/>
    <w:rsid w:val="00C03932"/>
    <w:rsid w:val="00C07C01"/>
    <w:rsid w:val="00C12264"/>
    <w:rsid w:val="00C15DB0"/>
    <w:rsid w:val="00C20393"/>
    <w:rsid w:val="00C23824"/>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77105"/>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4985/index.do"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c-csc.lexum.com/scc-csc/news/en/item/4985/index.do" TargetMode="External"/><Relationship Id="rId12" Type="http://schemas.openxmlformats.org/officeDocument/2006/relationships/hyperlink" Target="http://www.scc-csc.ca/case-dossier/info/sum-som-eng.aspx?cas=3636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48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c-csc.ca/case-dossier/info/sum-som-eng.aspx?cas=3643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c-csc.ca/case-dossier/info/sum-som-eng.aspx?cas=364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2015-09-03T13:37:00Z</dcterms:created>
  <dcterms:modified xsi:type="dcterms:W3CDTF">2015-11-27T15:11:00Z</dcterms:modified>
</cp:coreProperties>
</file>