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4B4D42" w:rsidRDefault="003F43E6" w:rsidP="00122CE1">
      <w:pPr>
        <w:pStyle w:val="Header"/>
        <w:tabs>
          <w:tab w:val="left" w:pos="1620"/>
          <w:tab w:val="left" w:pos="1710"/>
        </w:tabs>
        <w:jc w:val="center"/>
        <w:rPr>
          <w:b/>
          <w:sz w:val="32"/>
        </w:rPr>
      </w:pPr>
      <w:r w:rsidRPr="004B4D42">
        <w:rPr>
          <w:b/>
          <w:sz w:val="32"/>
        </w:rPr>
        <w:t xml:space="preserve">Supreme Court of Canada / </w:t>
      </w:r>
      <w:proofErr w:type="spellStart"/>
      <w:r w:rsidRPr="004B4D42">
        <w:rPr>
          <w:b/>
          <w:sz w:val="32"/>
        </w:rPr>
        <w:t>Cour</w:t>
      </w:r>
      <w:proofErr w:type="spellEnd"/>
      <w:r w:rsidRPr="004B4D42">
        <w:rPr>
          <w:b/>
          <w:sz w:val="32"/>
        </w:rPr>
        <w:t xml:space="preserve"> </w:t>
      </w:r>
      <w:proofErr w:type="spellStart"/>
      <w:r w:rsidRPr="004B4D42">
        <w:rPr>
          <w:b/>
          <w:sz w:val="32"/>
        </w:rPr>
        <w:t>suprême</w:t>
      </w:r>
      <w:proofErr w:type="spellEnd"/>
      <w:r w:rsidRPr="004B4D42">
        <w:rPr>
          <w:b/>
          <w:sz w:val="32"/>
        </w:rPr>
        <w:t xml:space="preserve"> du Canada</w:t>
      </w:r>
    </w:p>
    <w:p w:rsidR="003F43E6" w:rsidRPr="004B4D42" w:rsidRDefault="003F43E6" w:rsidP="006F2579">
      <w:pPr>
        <w:widowControl w:val="0"/>
        <w:rPr>
          <w:i/>
        </w:rPr>
      </w:pPr>
    </w:p>
    <w:p w:rsidR="006F2579" w:rsidRPr="004B4D42" w:rsidRDefault="006F2579" w:rsidP="006F2579">
      <w:pPr>
        <w:widowControl w:val="0"/>
        <w:rPr>
          <w:i/>
        </w:rPr>
      </w:pPr>
      <w:r w:rsidRPr="004B4D42">
        <w:rPr>
          <w:i/>
        </w:rPr>
        <w:t>(</w:t>
      </w:r>
      <w:proofErr w:type="gramStart"/>
      <w:r w:rsidRPr="004B4D42">
        <w:rPr>
          <w:i/>
        </w:rPr>
        <w:t>le</w:t>
      </w:r>
      <w:proofErr w:type="gramEnd"/>
      <w:r w:rsidRPr="004B4D42">
        <w:rPr>
          <w:i/>
        </w:rPr>
        <w:t xml:space="preserve"> </w:t>
      </w:r>
      <w:proofErr w:type="spellStart"/>
      <w:r w:rsidRPr="004B4D42">
        <w:rPr>
          <w:i/>
        </w:rPr>
        <w:t>français</w:t>
      </w:r>
      <w:proofErr w:type="spellEnd"/>
      <w:r w:rsidRPr="004B4D42">
        <w:rPr>
          <w:i/>
        </w:rPr>
        <w:t xml:space="preserve"> suit)</w:t>
      </w:r>
    </w:p>
    <w:p w:rsidR="006F2579" w:rsidRPr="004B4D42" w:rsidRDefault="006F2579" w:rsidP="006F2579">
      <w:pPr>
        <w:widowControl w:val="0"/>
      </w:pPr>
    </w:p>
    <w:p w:rsidR="006F2579" w:rsidRPr="004B4D42" w:rsidRDefault="00B07908" w:rsidP="006F2579">
      <w:pPr>
        <w:widowControl w:val="0"/>
        <w:jc w:val="center"/>
        <w:rPr>
          <w:b/>
        </w:rPr>
      </w:pPr>
      <w:r w:rsidRPr="004B4D42">
        <w:fldChar w:fldCharType="begin"/>
      </w:r>
      <w:r w:rsidR="006F2579" w:rsidRPr="004B4D42">
        <w:instrText xml:space="preserve"> SEQ CHAPTER \h \r 1</w:instrText>
      </w:r>
      <w:r w:rsidRPr="004B4D42">
        <w:fldChar w:fldCharType="end"/>
      </w:r>
      <w:r w:rsidR="006F2579" w:rsidRPr="004B4D42">
        <w:rPr>
          <w:b/>
        </w:rPr>
        <w:t>JUDGMENT</w:t>
      </w:r>
      <w:r w:rsidR="00B17AAC" w:rsidRPr="004B4D42">
        <w:rPr>
          <w:b/>
        </w:rPr>
        <w:t>S</w:t>
      </w:r>
      <w:r w:rsidR="006F2579" w:rsidRPr="004B4D42">
        <w:rPr>
          <w:b/>
        </w:rPr>
        <w:t xml:space="preserve"> TO B</w:t>
      </w:r>
      <w:r w:rsidR="00001846" w:rsidRPr="004B4D42">
        <w:rPr>
          <w:b/>
        </w:rPr>
        <w:t>E RENDERED IN LEAVE APPLICATION</w:t>
      </w:r>
      <w:r w:rsidR="00B17AAC" w:rsidRPr="004B4D42">
        <w:rPr>
          <w:b/>
        </w:rPr>
        <w:t>S</w:t>
      </w:r>
    </w:p>
    <w:p w:rsidR="006F2579" w:rsidRPr="004B4D42" w:rsidRDefault="006F2579" w:rsidP="006F2579">
      <w:pPr>
        <w:widowControl w:val="0"/>
        <w:rPr>
          <w:b/>
        </w:rPr>
      </w:pPr>
    </w:p>
    <w:p w:rsidR="006F2579" w:rsidRPr="004B4D42" w:rsidRDefault="00124EFD" w:rsidP="006F2579">
      <w:pPr>
        <w:widowControl w:val="0"/>
        <w:rPr>
          <w:b/>
        </w:rPr>
      </w:pPr>
      <w:r>
        <w:rPr>
          <w:b/>
        </w:rPr>
        <w:t>February 8</w:t>
      </w:r>
      <w:r w:rsidR="00406755">
        <w:rPr>
          <w:b/>
        </w:rPr>
        <w:t>,</w:t>
      </w:r>
      <w:r w:rsidR="006F2579" w:rsidRPr="004B4D42">
        <w:rPr>
          <w:b/>
        </w:rPr>
        <w:t xml:space="preserve"> </w:t>
      </w:r>
      <w:r w:rsidR="0054689F">
        <w:rPr>
          <w:b/>
        </w:rPr>
        <w:t>201</w:t>
      </w:r>
      <w:r w:rsidR="00674329">
        <w:rPr>
          <w:b/>
        </w:rPr>
        <w:t>6</w:t>
      </w:r>
    </w:p>
    <w:p w:rsidR="006F2579" w:rsidRPr="004B4D42" w:rsidRDefault="006F2579" w:rsidP="006F2579">
      <w:pPr>
        <w:widowControl w:val="0"/>
        <w:rPr>
          <w:b/>
        </w:rPr>
      </w:pPr>
      <w:r w:rsidRPr="004B4D42">
        <w:rPr>
          <w:b/>
        </w:rPr>
        <w:t>For immediate release</w:t>
      </w:r>
    </w:p>
    <w:p w:rsidR="006F2579" w:rsidRPr="004B4D42" w:rsidRDefault="006F2579" w:rsidP="006F2579">
      <w:pPr>
        <w:widowControl w:val="0"/>
      </w:pPr>
    </w:p>
    <w:p w:rsidR="006F2579" w:rsidRPr="005F24CE" w:rsidRDefault="006F2579" w:rsidP="006F2579">
      <w:pPr>
        <w:widowControl w:val="0"/>
        <w:rPr>
          <w:lang w:val="fr-CA"/>
        </w:rPr>
      </w:pPr>
      <w:r w:rsidRPr="004B4D42">
        <w:rPr>
          <w:b/>
        </w:rPr>
        <w:t>OTTAWA</w:t>
      </w:r>
      <w:r w:rsidRPr="004B4D42">
        <w:t xml:space="preserve"> – The Supreme Court of Canada announced today that judgment in the following application</w:t>
      </w:r>
      <w:r w:rsidR="008600ED" w:rsidRPr="004B4D42">
        <w:t>s</w:t>
      </w:r>
      <w:r w:rsidRPr="004B4D42">
        <w:t xml:space="preserve"> for leave to appeal will be delivered at 9:45 a.m. E</w:t>
      </w:r>
      <w:r w:rsidR="00957342">
        <w:t>S</w:t>
      </w:r>
      <w:r w:rsidRPr="004B4D42">
        <w:t xml:space="preserve">T on Thursday, </w:t>
      </w:r>
      <w:r w:rsidR="00124EFD">
        <w:t>February 11</w:t>
      </w:r>
      <w:r w:rsidR="002F38D7" w:rsidRPr="004B4D42">
        <w:t xml:space="preserve"> </w:t>
      </w:r>
      <w:r w:rsidR="006648D1" w:rsidRPr="004B4D42">
        <w:t>201</w:t>
      </w:r>
      <w:r w:rsidR="00674329">
        <w:t>6</w:t>
      </w:r>
      <w:r w:rsidRPr="004B4D42">
        <w:t xml:space="preserve">.  </w:t>
      </w:r>
      <w:r w:rsidRPr="005F24CE">
        <w:rPr>
          <w:lang w:val="fr-CA"/>
        </w:rPr>
        <w:t xml:space="preserve">This </w:t>
      </w:r>
      <w:proofErr w:type="spellStart"/>
      <w:r w:rsidRPr="005F24CE">
        <w:rPr>
          <w:lang w:val="fr-CA"/>
        </w:rPr>
        <w:t>list</w:t>
      </w:r>
      <w:proofErr w:type="spellEnd"/>
      <w:r w:rsidRPr="005F24CE">
        <w:rPr>
          <w:lang w:val="fr-CA"/>
        </w:rPr>
        <w:t xml:space="preserve"> </w:t>
      </w:r>
      <w:proofErr w:type="spellStart"/>
      <w:r w:rsidRPr="005F24CE">
        <w:rPr>
          <w:lang w:val="fr-CA"/>
        </w:rPr>
        <w:t>is</w:t>
      </w:r>
      <w:proofErr w:type="spellEnd"/>
      <w:r w:rsidRPr="005F24CE">
        <w:rPr>
          <w:lang w:val="fr-CA"/>
        </w:rPr>
        <w:t xml:space="preserve"> </w:t>
      </w:r>
      <w:proofErr w:type="spellStart"/>
      <w:r w:rsidRPr="005F24CE">
        <w:rPr>
          <w:lang w:val="fr-CA"/>
        </w:rPr>
        <w:t>subject</w:t>
      </w:r>
      <w:proofErr w:type="spellEnd"/>
      <w:r w:rsidRPr="005F24CE">
        <w:rPr>
          <w:lang w:val="fr-CA"/>
        </w:rPr>
        <w:t xml:space="preserve"> to change.</w:t>
      </w:r>
    </w:p>
    <w:p w:rsidR="00D4457A" w:rsidRPr="005F24CE" w:rsidRDefault="00D4457A" w:rsidP="006F2579">
      <w:pPr>
        <w:widowControl w:val="0"/>
        <w:rPr>
          <w:lang w:val="fr-CA"/>
        </w:rPr>
      </w:pPr>
    </w:p>
    <w:p w:rsidR="00B43418" w:rsidRPr="005F24CE" w:rsidRDefault="00B43418" w:rsidP="006F2579">
      <w:pPr>
        <w:widowControl w:val="0"/>
        <w:rPr>
          <w:lang w:val="fr-CA"/>
        </w:rPr>
      </w:pPr>
    </w:p>
    <w:p w:rsidR="006F2579" w:rsidRPr="004B4D42" w:rsidRDefault="006F2579" w:rsidP="006F2579">
      <w:pPr>
        <w:widowControl w:val="0"/>
        <w:jc w:val="center"/>
        <w:rPr>
          <w:lang w:val="fr-CA"/>
        </w:rPr>
      </w:pPr>
      <w:r w:rsidRPr="004B4D42">
        <w:rPr>
          <w:b/>
          <w:lang w:val="fr-CA"/>
        </w:rPr>
        <w:t>PROCHAIN</w:t>
      </w:r>
      <w:r w:rsidR="00B17AAC" w:rsidRPr="004B4D42">
        <w:rPr>
          <w:b/>
          <w:lang w:val="fr-CA"/>
        </w:rPr>
        <w:t>S</w:t>
      </w:r>
      <w:r w:rsidRPr="004B4D42">
        <w:rPr>
          <w:b/>
          <w:lang w:val="fr-CA"/>
        </w:rPr>
        <w:t xml:space="preserve"> JUGEMENT</w:t>
      </w:r>
      <w:r w:rsidR="00B17AAC" w:rsidRPr="004B4D42">
        <w:rPr>
          <w:b/>
          <w:lang w:val="fr-CA"/>
        </w:rPr>
        <w:t>S</w:t>
      </w:r>
      <w:r w:rsidR="00001846" w:rsidRPr="004B4D42">
        <w:rPr>
          <w:b/>
          <w:lang w:val="fr-CA"/>
        </w:rPr>
        <w:t xml:space="preserve"> SUR DEMANDE</w:t>
      </w:r>
      <w:r w:rsidR="00B17AAC" w:rsidRPr="004B4D42">
        <w:rPr>
          <w:b/>
          <w:lang w:val="fr-CA"/>
        </w:rPr>
        <w:t>S</w:t>
      </w:r>
      <w:r w:rsidRPr="004B4D42">
        <w:rPr>
          <w:b/>
          <w:lang w:val="fr-CA"/>
        </w:rPr>
        <w:t xml:space="preserve"> D’AUTORISATION</w:t>
      </w:r>
    </w:p>
    <w:p w:rsidR="006F2579" w:rsidRPr="004B4D42" w:rsidRDefault="006F2579" w:rsidP="006F2579">
      <w:pPr>
        <w:widowControl w:val="0"/>
        <w:rPr>
          <w:lang w:val="fr-CA"/>
        </w:rPr>
      </w:pPr>
    </w:p>
    <w:p w:rsidR="006F2579" w:rsidRPr="004B4D42" w:rsidRDefault="006F2579" w:rsidP="006F2579">
      <w:pPr>
        <w:widowControl w:val="0"/>
        <w:rPr>
          <w:b/>
          <w:lang w:val="fr-CA"/>
        </w:rPr>
      </w:pPr>
      <w:r w:rsidRPr="004B4D42">
        <w:rPr>
          <w:b/>
          <w:lang w:val="fr-CA"/>
        </w:rPr>
        <w:t>Le</w:t>
      </w:r>
      <w:r w:rsidR="00957A76" w:rsidRPr="004B4D42">
        <w:rPr>
          <w:b/>
          <w:lang w:val="fr-CA"/>
        </w:rPr>
        <w:t xml:space="preserve"> </w:t>
      </w:r>
      <w:r w:rsidR="00124EFD">
        <w:rPr>
          <w:b/>
          <w:lang w:val="fr-CA"/>
        </w:rPr>
        <w:t>8 février</w:t>
      </w:r>
      <w:r w:rsidR="00674329">
        <w:rPr>
          <w:b/>
          <w:lang w:val="fr-CA"/>
        </w:rPr>
        <w:t xml:space="preserve"> 2016</w:t>
      </w:r>
    </w:p>
    <w:p w:rsidR="006F2579" w:rsidRPr="004B4D42" w:rsidRDefault="006F2579" w:rsidP="006F2579">
      <w:pPr>
        <w:widowControl w:val="0"/>
        <w:rPr>
          <w:b/>
          <w:lang w:val="fr-CA"/>
        </w:rPr>
      </w:pPr>
      <w:r w:rsidRPr="004B4D42">
        <w:rPr>
          <w:b/>
          <w:lang w:val="fr-CA"/>
        </w:rPr>
        <w:t>Pour diffusion immédiate</w:t>
      </w:r>
    </w:p>
    <w:p w:rsidR="006F2579" w:rsidRPr="004B4D42" w:rsidRDefault="006F2579" w:rsidP="006F2579">
      <w:pPr>
        <w:widowControl w:val="0"/>
        <w:rPr>
          <w:b/>
          <w:lang w:val="fr-CA"/>
        </w:rPr>
      </w:pPr>
    </w:p>
    <w:p w:rsidR="006F2579" w:rsidRPr="004B4D42" w:rsidRDefault="006F2579" w:rsidP="006F2579">
      <w:pPr>
        <w:widowControl w:val="0"/>
        <w:rPr>
          <w:lang w:val="fr-CA"/>
        </w:rPr>
      </w:pPr>
      <w:r w:rsidRPr="004B4D42">
        <w:rPr>
          <w:b/>
          <w:lang w:val="fr-CA"/>
        </w:rPr>
        <w:t>OTTAWA</w:t>
      </w:r>
      <w:r w:rsidRPr="004B4D42">
        <w:rPr>
          <w:lang w:val="fr-CA"/>
        </w:rPr>
        <w:t xml:space="preserve"> – La Cour suprême du Canada annonce que jugement ser</w:t>
      </w:r>
      <w:r w:rsidR="008600ED" w:rsidRPr="004B4D42">
        <w:rPr>
          <w:lang w:val="fr-CA"/>
        </w:rPr>
        <w:t>a</w:t>
      </w:r>
      <w:r w:rsidRPr="004B4D42">
        <w:rPr>
          <w:lang w:val="fr-CA"/>
        </w:rPr>
        <w:t xml:space="preserve"> rendu dans l</w:t>
      </w:r>
      <w:r w:rsidR="008600ED" w:rsidRPr="004B4D42">
        <w:rPr>
          <w:lang w:val="fr-CA"/>
        </w:rPr>
        <w:t>es</w:t>
      </w:r>
      <w:r w:rsidRPr="004B4D42">
        <w:rPr>
          <w:lang w:val="fr-CA"/>
        </w:rPr>
        <w:t xml:space="preserve"> demande</w:t>
      </w:r>
      <w:r w:rsidR="008600ED" w:rsidRPr="004B4D42">
        <w:rPr>
          <w:lang w:val="fr-CA"/>
        </w:rPr>
        <w:t>s</w:t>
      </w:r>
      <w:r w:rsidRPr="004B4D42">
        <w:rPr>
          <w:lang w:val="fr-CA"/>
        </w:rPr>
        <w:t xml:space="preserve"> d</w:t>
      </w:r>
      <w:r w:rsidR="00001846" w:rsidRPr="004B4D42">
        <w:rPr>
          <w:lang w:val="fr-CA"/>
        </w:rPr>
        <w:t>’autorisation d’appel suivante</w:t>
      </w:r>
      <w:r w:rsidR="008600ED" w:rsidRPr="004B4D42">
        <w:rPr>
          <w:lang w:val="fr-CA"/>
        </w:rPr>
        <w:t>s</w:t>
      </w:r>
      <w:r w:rsidRPr="004B4D42">
        <w:rPr>
          <w:lang w:val="fr-CA"/>
        </w:rPr>
        <w:t xml:space="preserve"> le jeudi </w:t>
      </w:r>
      <w:r w:rsidR="00124EFD">
        <w:rPr>
          <w:lang w:val="fr-CA"/>
        </w:rPr>
        <w:t>11 février</w:t>
      </w:r>
      <w:r w:rsidR="00674329">
        <w:rPr>
          <w:lang w:val="fr-CA"/>
        </w:rPr>
        <w:t xml:space="preserve"> </w:t>
      </w:r>
      <w:r w:rsidR="006648D1" w:rsidRPr="004B4D42">
        <w:rPr>
          <w:lang w:val="fr-CA"/>
        </w:rPr>
        <w:t>201</w:t>
      </w:r>
      <w:r w:rsidR="00674329">
        <w:rPr>
          <w:lang w:val="fr-CA"/>
        </w:rPr>
        <w:t>6</w:t>
      </w:r>
      <w:r w:rsidRPr="004B4D42">
        <w:rPr>
          <w:lang w:val="fr-CA"/>
        </w:rPr>
        <w:t xml:space="preserve">, à 9 h 45 </w:t>
      </w:r>
      <w:r w:rsidR="000627A2" w:rsidRPr="004B4D42">
        <w:rPr>
          <w:lang w:val="fr-CA"/>
        </w:rPr>
        <w:t>H</w:t>
      </w:r>
      <w:r w:rsidR="00957342">
        <w:rPr>
          <w:lang w:val="fr-CA"/>
        </w:rPr>
        <w:t>N</w:t>
      </w:r>
      <w:r w:rsidRPr="004B4D42">
        <w:rPr>
          <w:lang w:val="fr-CA"/>
        </w:rPr>
        <w:t>E.  Cette liste est sujette à modifications.</w:t>
      </w:r>
    </w:p>
    <w:p w:rsidR="0080556B" w:rsidRDefault="0080556B" w:rsidP="009B14F4">
      <w:pPr>
        <w:widowControl w:val="0"/>
        <w:jc w:val="both"/>
        <w:rPr>
          <w:sz w:val="20"/>
          <w:lang w:val="fr-CA"/>
        </w:rPr>
      </w:pPr>
    </w:p>
    <w:p w:rsidR="001838E0" w:rsidRDefault="003D353C" w:rsidP="009B14F4">
      <w:pPr>
        <w:widowControl w:val="0"/>
        <w:jc w:val="both"/>
        <w:rPr>
          <w:sz w:val="20"/>
          <w:lang w:val="fr-CA"/>
        </w:rPr>
      </w:pPr>
      <w:r>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CB3A38" w:rsidRPr="006B1FF1" w:rsidRDefault="00CB3A38" w:rsidP="00332E97">
      <w:pPr>
        <w:jc w:val="both"/>
        <w:rPr>
          <w:sz w:val="20"/>
          <w:lang w:val="fr-CA"/>
        </w:rPr>
      </w:pPr>
    </w:p>
    <w:p w:rsidR="00124EFD" w:rsidRPr="00124EFD" w:rsidRDefault="00124EFD" w:rsidP="00124EFD">
      <w:pPr>
        <w:pStyle w:val="ListParagraph"/>
        <w:numPr>
          <w:ilvl w:val="0"/>
          <w:numId w:val="47"/>
        </w:numPr>
        <w:ind w:left="360"/>
        <w:jc w:val="both"/>
        <w:rPr>
          <w:i/>
          <w:sz w:val="20"/>
          <w:lang w:val="en-CA" w:eastAsia="en-CA"/>
        </w:rPr>
      </w:pPr>
      <w:r w:rsidRPr="00124EFD">
        <w:rPr>
          <w:i/>
          <w:sz w:val="20"/>
          <w:lang w:val="en-CA" w:eastAsia="en-CA"/>
        </w:rPr>
        <w:t xml:space="preserve">J.C. v. Her Majesty the Queen </w:t>
      </w:r>
      <w:r w:rsidRPr="00124EFD">
        <w:rPr>
          <w:sz w:val="20"/>
          <w:lang w:val="en-CA" w:eastAsia="en-CA"/>
        </w:rPr>
        <w:t>(Ont.) (Criminal) (By Leave) (</w:t>
      </w:r>
      <w:hyperlink r:id="rId8" w:history="1">
        <w:r w:rsidRPr="00124EFD">
          <w:rPr>
            <w:rStyle w:val="Hyperlink"/>
            <w:sz w:val="20"/>
            <w:lang w:val="en-CA" w:eastAsia="en-CA"/>
          </w:rPr>
          <w:t>36572</w:t>
        </w:r>
      </w:hyperlink>
      <w:r w:rsidRPr="00124EFD">
        <w:rPr>
          <w:sz w:val="20"/>
          <w:lang w:val="en-CA" w:eastAsia="en-CA"/>
        </w:rPr>
        <w:t>)</w:t>
      </w:r>
    </w:p>
    <w:p w:rsidR="00124EFD" w:rsidRPr="00124EFD" w:rsidRDefault="00124EFD" w:rsidP="00124EFD">
      <w:pPr>
        <w:jc w:val="both"/>
        <w:rPr>
          <w:i/>
          <w:sz w:val="20"/>
          <w:lang w:val="en-CA" w:eastAsia="en-CA"/>
        </w:rPr>
      </w:pPr>
    </w:p>
    <w:p w:rsidR="00124EFD" w:rsidRPr="00124EFD" w:rsidRDefault="0090688C" w:rsidP="00124EFD">
      <w:pPr>
        <w:pStyle w:val="ListParagraph"/>
        <w:numPr>
          <w:ilvl w:val="0"/>
          <w:numId w:val="47"/>
        </w:numPr>
        <w:ind w:left="360"/>
        <w:jc w:val="both"/>
        <w:rPr>
          <w:i/>
          <w:sz w:val="20"/>
          <w:lang w:val="en-CA" w:eastAsia="en-CA"/>
        </w:rPr>
      </w:pPr>
      <w:r>
        <w:rPr>
          <w:i/>
          <w:sz w:val="20"/>
          <w:lang w:val="en-CA" w:eastAsia="en-CA"/>
        </w:rPr>
        <w:t>Sistem Mühendislik Insaa</w:t>
      </w:r>
      <w:r w:rsidR="00124EFD" w:rsidRPr="00124EFD">
        <w:rPr>
          <w:i/>
          <w:sz w:val="20"/>
          <w:lang w:val="en-CA" w:eastAsia="en-CA"/>
        </w:rPr>
        <w:t xml:space="preserve">t Sanayi Ve </w:t>
      </w:r>
      <w:r>
        <w:rPr>
          <w:i/>
          <w:sz w:val="20"/>
          <w:lang w:val="en-CA" w:eastAsia="en-CA"/>
        </w:rPr>
        <w:t>Ticaret Anonim Sirketi v. Kyrgyz Republic</w:t>
      </w:r>
      <w:r w:rsidR="00124EFD" w:rsidRPr="00124EFD">
        <w:rPr>
          <w:i/>
          <w:sz w:val="20"/>
          <w:lang w:val="en-CA" w:eastAsia="en-CA"/>
        </w:rPr>
        <w:t xml:space="preserve"> et al. </w:t>
      </w:r>
      <w:r w:rsidR="00124EFD" w:rsidRPr="00124EFD">
        <w:rPr>
          <w:sz w:val="20"/>
          <w:lang w:val="en-CA" w:eastAsia="en-CA"/>
        </w:rPr>
        <w:t>(Ont.) (Civil) (By Leave) (</w:t>
      </w:r>
      <w:hyperlink r:id="rId9" w:history="1">
        <w:r w:rsidR="00124EFD" w:rsidRPr="00124EFD">
          <w:rPr>
            <w:rStyle w:val="Hyperlink"/>
            <w:sz w:val="20"/>
            <w:lang w:val="en-CA" w:eastAsia="en-CA"/>
          </w:rPr>
          <w:t>36601</w:t>
        </w:r>
      </w:hyperlink>
      <w:r w:rsidR="00124EFD" w:rsidRPr="00124EFD">
        <w:rPr>
          <w:sz w:val="20"/>
          <w:lang w:val="en-CA" w:eastAsia="en-CA"/>
        </w:rPr>
        <w:t>)</w:t>
      </w:r>
    </w:p>
    <w:p w:rsidR="00124EFD" w:rsidRPr="00124EFD" w:rsidRDefault="00124EFD" w:rsidP="00124EFD">
      <w:pPr>
        <w:jc w:val="both"/>
        <w:rPr>
          <w:i/>
          <w:sz w:val="20"/>
          <w:lang w:val="en-CA" w:eastAsia="en-CA"/>
        </w:rPr>
      </w:pPr>
    </w:p>
    <w:p w:rsidR="00124EFD" w:rsidRPr="00124EFD" w:rsidRDefault="00124EFD" w:rsidP="00124EFD">
      <w:pPr>
        <w:pStyle w:val="ListParagraph"/>
        <w:numPr>
          <w:ilvl w:val="0"/>
          <w:numId w:val="47"/>
        </w:numPr>
        <w:ind w:left="360"/>
        <w:jc w:val="both"/>
        <w:rPr>
          <w:i/>
          <w:sz w:val="20"/>
          <w:lang w:val="en-CA" w:eastAsia="en-CA"/>
        </w:rPr>
      </w:pPr>
      <w:r w:rsidRPr="00124EFD">
        <w:rPr>
          <w:i/>
          <w:sz w:val="20"/>
          <w:lang w:val="en-CA" w:eastAsia="en-CA"/>
        </w:rPr>
        <w:t>Her Maje</w:t>
      </w:r>
      <w:r w:rsidR="0090688C">
        <w:rPr>
          <w:i/>
          <w:sz w:val="20"/>
          <w:lang w:val="en-CA" w:eastAsia="en-CA"/>
        </w:rPr>
        <w:t>sty the Queen v. Rodney Tingley</w:t>
      </w:r>
      <w:r w:rsidRPr="00124EFD">
        <w:rPr>
          <w:i/>
          <w:sz w:val="20"/>
          <w:lang w:val="en-CA" w:eastAsia="en-CA"/>
        </w:rPr>
        <w:t xml:space="preserve"> et al. </w:t>
      </w:r>
      <w:r w:rsidRPr="00124EFD">
        <w:rPr>
          <w:sz w:val="20"/>
          <w:lang w:val="en-CA" w:eastAsia="en-CA"/>
        </w:rPr>
        <w:t>(N.B.) (Criminal) (By Leave) (</w:t>
      </w:r>
      <w:hyperlink r:id="rId10" w:history="1">
        <w:r w:rsidRPr="00124EFD">
          <w:rPr>
            <w:rStyle w:val="Hyperlink"/>
            <w:sz w:val="20"/>
            <w:lang w:val="en-CA" w:eastAsia="en-CA"/>
          </w:rPr>
          <w:t>36671</w:t>
        </w:r>
      </w:hyperlink>
      <w:r w:rsidRPr="00124EFD">
        <w:rPr>
          <w:sz w:val="20"/>
          <w:lang w:val="en-CA" w:eastAsia="en-CA"/>
        </w:rPr>
        <w:t>)</w:t>
      </w:r>
    </w:p>
    <w:p w:rsidR="00124EFD" w:rsidRPr="00124EFD" w:rsidRDefault="00124EFD" w:rsidP="00124EFD">
      <w:pPr>
        <w:jc w:val="both"/>
        <w:rPr>
          <w:i/>
          <w:sz w:val="20"/>
          <w:lang w:val="en-CA" w:eastAsia="en-CA"/>
        </w:rPr>
      </w:pPr>
    </w:p>
    <w:p w:rsidR="00124EFD" w:rsidRPr="00124EFD" w:rsidRDefault="00124EFD" w:rsidP="00124EFD">
      <w:pPr>
        <w:pStyle w:val="ListParagraph"/>
        <w:numPr>
          <w:ilvl w:val="0"/>
          <w:numId w:val="47"/>
        </w:numPr>
        <w:ind w:left="360"/>
        <w:jc w:val="both"/>
        <w:rPr>
          <w:sz w:val="20"/>
          <w:lang w:val="en-CA" w:eastAsia="en-CA"/>
        </w:rPr>
      </w:pPr>
      <w:r w:rsidRPr="00124EFD">
        <w:rPr>
          <w:i/>
          <w:sz w:val="20"/>
          <w:lang w:val="fr-CA" w:eastAsia="en-CA"/>
        </w:rPr>
        <w:t>Steffan Ileman v. Rogers Communications Inc. et al</w:t>
      </w:r>
      <w:r w:rsidRPr="00124EFD">
        <w:rPr>
          <w:sz w:val="20"/>
          <w:lang w:val="fr-CA" w:eastAsia="en-CA"/>
        </w:rPr>
        <w:t xml:space="preserve">. </w:t>
      </w:r>
      <w:r w:rsidRPr="00124EFD">
        <w:rPr>
          <w:sz w:val="20"/>
          <w:lang w:val="en-CA" w:eastAsia="en-CA"/>
        </w:rPr>
        <w:t>(B.C.) (Civil) (By Leave) (</w:t>
      </w:r>
      <w:hyperlink r:id="rId11" w:history="1">
        <w:r w:rsidRPr="00124EFD">
          <w:rPr>
            <w:rStyle w:val="Hyperlink"/>
            <w:sz w:val="20"/>
            <w:lang w:val="en-CA" w:eastAsia="en-CA"/>
          </w:rPr>
          <w:t>36600</w:t>
        </w:r>
      </w:hyperlink>
      <w:r w:rsidRPr="00124EFD">
        <w:rPr>
          <w:sz w:val="20"/>
          <w:lang w:val="en-CA" w:eastAsia="en-CA"/>
        </w:rPr>
        <w:t>)</w:t>
      </w:r>
    </w:p>
    <w:p w:rsidR="00124EFD" w:rsidRPr="00124EFD" w:rsidRDefault="00124EFD" w:rsidP="00124EFD">
      <w:pPr>
        <w:jc w:val="both"/>
        <w:rPr>
          <w:i/>
          <w:sz w:val="20"/>
          <w:lang w:val="en-CA" w:eastAsia="en-CA"/>
        </w:rPr>
      </w:pPr>
    </w:p>
    <w:p w:rsidR="00124EFD" w:rsidRPr="00124EFD" w:rsidRDefault="00124EFD" w:rsidP="00124EFD">
      <w:pPr>
        <w:pStyle w:val="ListParagraph"/>
        <w:numPr>
          <w:ilvl w:val="0"/>
          <w:numId w:val="47"/>
        </w:numPr>
        <w:ind w:left="360"/>
        <w:jc w:val="both"/>
        <w:rPr>
          <w:i/>
          <w:sz w:val="20"/>
          <w:lang w:val="fr-CA" w:eastAsia="en-CA"/>
        </w:rPr>
      </w:pPr>
      <w:r w:rsidRPr="00124EFD">
        <w:rPr>
          <w:i/>
          <w:sz w:val="20"/>
          <w:lang w:val="fr-CA" w:eastAsia="en-CA"/>
        </w:rPr>
        <w:t xml:space="preserve">Sa Majesté la Reine c. Daniel Patry </w:t>
      </w:r>
      <w:r w:rsidRPr="00124EFD">
        <w:rPr>
          <w:sz w:val="20"/>
          <w:lang w:val="fr-CA" w:eastAsia="en-CA"/>
        </w:rPr>
        <w:t>(Qc) (Criminelle) (Autorisation) (</w:t>
      </w:r>
      <w:hyperlink r:id="rId12" w:history="1">
        <w:r w:rsidRPr="00124EFD">
          <w:rPr>
            <w:rStyle w:val="Hyperlink"/>
            <w:sz w:val="20"/>
            <w:lang w:val="fr-CA" w:eastAsia="en-CA"/>
          </w:rPr>
          <w:t>36530</w:t>
        </w:r>
      </w:hyperlink>
      <w:r w:rsidRPr="00124EFD">
        <w:rPr>
          <w:sz w:val="20"/>
          <w:lang w:val="fr-CA" w:eastAsia="en-CA"/>
        </w:rPr>
        <w:t>)</w:t>
      </w:r>
    </w:p>
    <w:p w:rsidR="00124EFD" w:rsidRPr="00124EFD" w:rsidRDefault="00124EFD" w:rsidP="00124EFD">
      <w:pPr>
        <w:pStyle w:val="ListParagraph"/>
        <w:ind w:left="360" w:hanging="360"/>
        <w:jc w:val="both"/>
        <w:rPr>
          <w:i/>
          <w:sz w:val="20"/>
          <w:lang w:val="fr-CA" w:eastAsia="en-CA"/>
        </w:rPr>
      </w:pPr>
    </w:p>
    <w:p w:rsidR="00124EFD" w:rsidRPr="00124EFD" w:rsidRDefault="00124EFD" w:rsidP="00124EFD">
      <w:pPr>
        <w:pStyle w:val="ListParagraph"/>
        <w:numPr>
          <w:ilvl w:val="0"/>
          <w:numId w:val="47"/>
        </w:numPr>
        <w:ind w:left="360"/>
        <w:jc w:val="both"/>
        <w:rPr>
          <w:sz w:val="20"/>
          <w:lang w:val="en-CA" w:eastAsia="en-CA"/>
        </w:rPr>
      </w:pPr>
      <w:r w:rsidRPr="00124EFD">
        <w:rPr>
          <w:i/>
          <w:sz w:val="20"/>
          <w:lang w:val="en-CA" w:eastAsia="en-CA"/>
        </w:rPr>
        <w:t xml:space="preserve">Castor </w:t>
      </w:r>
      <w:proofErr w:type="spellStart"/>
      <w:r w:rsidRPr="00124EFD">
        <w:rPr>
          <w:i/>
          <w:sz w:val="20"/>
          <w:lang w:val="en-CA" w:eastAsia="en-CA"/>
        </w:rPr>
        <w:t>D’or</w:t>
      </w:r>
      <w:proofErr w:type="spellEnd"/>
      <w:r w:rsidRPr="00124EFD">
        <w:rPr>
          <w:i/>
          <w:sz w:val="20"/>
          <w:lang w:val="en-CA" w:eastAsia="en-CA"/>
        </w:rPr>
        <w:t xml:space="preserve"> Maritime LTÉE/Beaver Express Container Line Limited v. Royal Bank of Canada </w:t>
      </w:r>
      <w:r w:rsidRPr="00124EFD">
        <w:rPr>
          <w:sz w:val="20"/>
          <w:lang w:val="en-CA" w:eastAsia="en-CA"/>
        </w:rPr>
        <w:t>(Que.) (Civil) (By Leave) (</w:t>
      </w:r>
      <w:hyperlink r:id="rId13" w:history="1">
        <w:r w:rsidRPr="00124EFD">
          <w:rPr>
            <w:rStyle w:val="Hyperlink"/>
            <w:sz w:val="20"/>
            <w:lang w:val="en-CA" w:eastAsia="en-CA"/>
          </w:rPr>
          <w:t>36541</w:t>
        </w:r>
      </w:hyperlink>
      <w:r w:rsidRPr="00124EFD">
        <w:rPr>
          <w:sz w:val="20"/>
          <w:lang w:val="en-CA" w:eastAsia="en-CA"/>
        </w:rPr>
        <w:t>)</w:t>
      </w:r>
    </w:p>
    <w:p w:rsidR="00124EFD" w:rsidRDefault="00124EFD" w:rsidP="00124EFD">
      <w:pPr>
        <w:pStyle w:val="ListParagraph"/>
        <w:ind w:left="360" w:hanging="360"/>
        <w:jc w:val="both"/>
        <w:rPr>
          <w:i/>
          <w:sz w:val="20"/>
          <w:lang w:val="en-CA" w:eastAsia="en-CA"/>
        </w:rPr>
      </w:pPr>
    </w:p>
    <w:p w:rsidR="00124EFD" w:rsidRPr="00124EFD" w:rsidRDefault="00124EFD" w:rsidP="00124EFD">
      <w:pPr>
        <w:pStyle w:val="ListParagraph"/>
        <w:numPr>
          <w:ilvl w:val="0"/>
          <w:numId w:val="47"/>
        </w:numPr>
        <w:ind w:left="360"/>
        <w:jc w:val="both"/>
        <w:rPr>
          <w:sz w:val="20"/>
          <w:lang w:val="en-CA" w:eastAsia="en-CA"/>
        </w:rPr>
      </w:pPr>
      <w:r w:rsidRPr="00124EFD">
        <w:rPr>
          <w:i/>
          <w:sz w:val="20"/>
          <w:lang w:val="en-CA" w:eastAsia="en-CA"/>
        </w:rPr>
        <w:t xml:space="preserve">Wright Medical Technology Canada Ltd. et al. v. Ken Taylor </w:t>
      </w:r>
      <w:r w:rsidRPr="00124EFD">
        <w:rPr>
          <w:sz w:val="20"/>
          <w:lang w:val="en-CA" w:eastAsia="en-CA"/>
        </w:rPr>
        <w:t>(N.S.) (Civil) (By Leave) (</w:t>
      </w:r>
      <w:hyperlink r:id="rId14" w:history="1">
        <w:r w:rsidRPr="00124EFD">
          <w:rPr>
            <w:rStyle w:val="Hyperlink"/>
            <w:sz w:val="20"/>
            <w:lang w:val="en-CA" w:eastAsia="en-CA"/>
          </w:rPr>
          <w:t>36629</w:t>
        </w:r>
      </w:hyperlink>
      <w:r w:rsidRPr="00124EFD">
        <w:rPr>
          <w:sz w:val="20"/>
          <w:lang w:val="en-CA" w:eastAsia="en-CA"/>
        </w:rPr>
        <w:t>)</w:t>
      </w:r>
    </w:p>
    <w:p w:rsidR="00124EFD" w:rsidRDefault="00124EFD" w:rsidP="00124EFD">
      <w:pPr>
        <w:jc w:val="both"/>
        <w:rPr>
          <w:i/>
          <w:sz w:val="20"/>
          <w:lang w:val="en-CA" w:eastAsia="en-CA"/>
        </w:rPr>
      </w:pPr>
    </w:p>
    <w:p w:rsidR="00124EFD" w:rsidRDefault="00124EFD" w:rsidP="00124EFD">
      <w:pPr>
        <w:jc w:val="both"/>
        <w:rPr>
          <w:i/>
          <w:sz w:val="20"/>
          <w:lang w:val="en-CA" w:eastAsia="en-CA"/>
        </w:rPr>
      </w:pPr>
    </w:p>
    <w:p w:rsidR="00E47B45" w:rsidRDefault="00E47B45" w:rsidP="00124EFD">
      <w:pPr>
        <w:jc w:val="both"/>
        <w:rPr>
          <w:i/>
          <w:sz w:val="20"/>
          <w:lang w:val="en-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F24CE" w:rsidRPr="005F24CE" w:rsidTr="008B2EB1">
        <w:tc>
          <w:tcPr>
            <w:tcW w:w="543" w:type="pct"/>
          </w:tcPr>
          <w:p w:rsidR="005F24CE" w:rsidRPr="005F24CE" w:rsidRDefault="005F24CE" w:rsidP="005F24CE">
            <w:pPr>
              <w:jc w:val="both"/>
              <w:rPr>
                <w:rFonts w:eastAsiaTheme="minorHAnsi"/>
                <w:sz w:val="20"/>
                <w:lang w:val="en-CA"/>
              </w:rPr>
            </w:pPr>
            <w:r w:rsidRPr="005F24CE">
              <w:rPr>
                <w:rFonts w:eastAsiaTheme="minorHAnsi"/>
                <w:b/>
                <w:sz w:val="20"/>
                <w:lang w:val="en-CA"/>
              </w:rPr>
              <w:t>36572</w:t>
            </w:r>
          </w:p>
        </w:tc>
        <w:tc>
          <w:tcPr>
            <w:tcW w:w="4457" w:type="pct"/>
            <w:gridSpan w:val="3"/>
          </w:tcPr>
          <w:p w:rsidR="005F24CE" w:rsidRPr="005F24CE" w:rsidRDefault="005F24CE" w:rsidP="005F24CE">
            <w:pPr>
              <w:jc w:val="both"/>
              <w:rPr>
                <w:rFonts w:eastAsiaTheme="minorHAnsi"/>
                <w:b/>
                <w:sz w:val="20"/>
                <w:lang w:val="en-CA"/>
              </w:rPr>
            </w:pPr>
            <w:r w:rsidRPr="005F24CE">
              <w:rPr>
                <w:rFonts w:eastAsiaTheme="minorHAnsi"/>
                <w:b/>
                <w:sz w:val="20"/>
                <w:lang w:val="en-CA"/>
              </w:rPr>
              <w:t>J.C. v. Her Majesty the Queen</w:t>
            </w:r>
          </w:p>
          <w:p w:rsidR="005F24CE" w:rsidRPr="005F24CE" w:rsidRDefault="005F24CE" w:rsidP="005F24CE">
            <w:pPr>
              <w:jc w:val="both"/>
              <w:rPr>
                <w:rFonts w:eastAsiaTheme="minorHAnsi"/>
                <w:sz w:val="20"/>
                <w:lang w:val="en-CA"/>
              </w:rPr>
            </w:pPr>
            <w:r w:rsidRPr="005F24CE">
              <w:rPr>
                <w:rFonts w:eastAsiaTheme="minorHAnsi"/>
                <w:sz w:val="20"/>
                <w:lang w:val="en-CA"/>
              </w:rPr>
              <w:t>(Ont.) (Criminal) (By Leave)</w:t>
            </w:r>
          </w:p>
        </w:tc>
      </w:tr>
      <w:tr w:rsidR="005F24CE" w:rsidRPr="005F24CE" w:rsidTr="008B2EB1">
        <w:tc>
          <w:tcPr>
            <w:tcW w:w="5000" w:type="pct"/>
            <w:gridSpan w:val="4"/>
          </w:tcPr>
          <w:p w:rsidR="005F24CE" w:rsidRPr="005F24CE" w:rsidRDefault="005F24CE" w:rsidP="005F24CE">
            <w:pPr>
              <w:jc w:val="both"/>
              <w:rPr>
                <w:rFonts w:eastAsiaTheme="minorHAnsi"/>
                <w:sz w:val="20"/>
                <w:lang w:val="en-CA"/>
              </w:rPr>
            </w:pPr>
          </w:p>
          <w:p w:rsidR="005F24CE" w:rsidRPr="005F24CE" w:rsidRDefault="005F24CE" w:rsidP="005F24CE">
            <w:pPr>
              <w:jc w:val="both"/>
              <w:rPr>
                <w:rFonts w:eastAsiaTheme="minorHAnsi"/>
                <w:smallCaps/>
                <w:sz w:val="20"/>
                <w:lang w:val="en-CA"/>
              </w:rPr>
            </w:pPr>
            <w:r w:rsidRPr="005F24CE">
              <w:rPr>
                <w:rFonts w:eastAsiaTheme="minorHAnsi"/>
                <w:smallCaps/>
                <w:sz w:val="20"/>
                <w:lang w:val="en-CA"/>
              </w:rPr>
              <w:t>(Publication ban in case) (Publication ban on party)</w:t>
            </w:r>
          </w:p>
          <w:p w:rsidR="005F24CE" w:rsidRPr="005F24CE" w:rsidRDefault="005F24CE" w:rsidP="005F24CE">
            <w:pPr>
              <w:jc w:val="both"/>
              <w:rPr>
                <w:rFonts w:eastAsiaTheme="minorHAnsi"/>
                <w:sz w:val="20"/>
                <w:lang w:val="en-CA"/>
              </w:rPr>
            </w:pPr>
          </w:p>
          <w:p w:rsidR="005F24CE" w:rsidRPr="005F24CE" w:rsidRDefault="005F24CE" w:rsidP="005F24CE">
            <w:pPr>
              <w:jc w:val="both"/>
              <w:rPr>
                <w:rFonts w:eastAsiaTheme="minorHAnsi"/>
                <w:sz w:val="20"/>
                <w:lang w:val="en-CA"/>
              </w:rPr>
            </w:pPr>
            <w:r w:rsidRPr="005F24CE">
              <w:rPr>
                <w:rFonts w:eastAsiaTheme="minorHAnsi"/>
                <w:sz w:val="20"/>
                <w:lang w:val="en-CA"/>
              </w:rPr>
              <w:t xml:space="preserve">Criminal Law – Evidence – Appeals – Whether trial judge erred in failing to consider material evidence, which led to </w:t>
            </w:r>
            <w:proofErr w:type="gramStart"/>
            <w:r w:rsidRPr="005F24CE">
              <w:rPr>
                <w:rFonts w:eastAsiaTheme="minorHAnsi"/>
                <w:sz w:val="20"/>
                <w:lang w:val="en-CA"/>
              </w:rPr>
              <w:t>a miscarriage of justice</w:t>
            </w:r>
            <w:proofErr w:type="gramEnd"/>
            <w:r w:rsidRPr="005F24CE">
              <w:rPr>
                <w:rFonts w:eastAsiaTheme="minorHAnsi"/>
                <w:sz w:val="20"/>
                <w:lang w:val="en-CA"/>
              </w:rPr>
              <w:t xml:space="preserve"> – Whether Court of Appeal took an unnecessarily narrow view of appeal and failed to </w:t>
            </w:r>
            <w:r w:rsidRPr="005F24CE">
              <w:rPr>
                <w:rFonts w:eastAsiaTheme="minorHAnsi"/>
                <w:sz w:val="20"/>
                <w:lang w:val="en-CA"/>
              </w:rPr>
              <w:lastRenderedPageBreak/>
              <w:t>recognize and address trial judge’s error, thereby failing in its duty to guard against miscarriage of justice and wrongful convictions.</w:t>
            </w:r>
          </w:p>
        </w:tc>
      </w:tr>
      <w:tr w:rsidR="005F24CE" w:rsidRPr="005F24CE" w:rsidTr="008B2EB1">
        <w:tc>
          <w:tcPr>
            <w:tcW w:w="5000" w:type="pct"/>
            <w:gridSpan w:val="4"/>
          </w:tcPr>
          <w:p w:rsidR="005F24CE" w:rsidRPr="005F24CE" w:rsidRDefault="005F24CE" w:rsidP="005F24CE">
            <w:pPr>
              <w:jc w:val="both"/>
              <w:rPr>
                <w:rFonts w:eastAsiaTheme="minorHAnsi"/>
                <w:sz w:val="20"/>
                <w:lang w:val="en-CA"/>
              </w:rPr>
            </w:pPr>
          </w:p>
        </w:tc>
      </w:tr>
      <w:tr w:rsidR="005F24CE" w:rsidRPr="005F24CE" w:rsidTr="008B2EB1">
        <w:tc>
          <w:tcPr>
            <w:tcW w:w="5000" w:type="pct"/>
            <w:gridSpan w:val="4"/>
          </w:tcPr>
          <w:p w:rsidR="005F24CE" w:rsidRDefault="005F24CE" w:rsidP="005F24CE">
            <w:pPr>
              <w:jc w:val="both"/>
              <w:rPr>
                <w:rFonts w:eastAsiaTheme="minorHAnsi"/>
                <w:sz w:val="20"/>
                <w:lang w:val="en-CA"/>
              </w:rPr>
            </w:pPr>
            <w:r w:rsidRPr="005F24CE">
              <w:rPr>
                <w:rFonts w:eastAsiaTheme="minorHAnsi"/>
                <w:sz w:val="20"/>
                <w:lang w:val="en-CA"/>
              </w:rPr>
              <w:t xml:space="preserve">The complainant, a 6-year old girl, </w:t>
            </w:r>
            <w:proofErr w:type="gramStart"/>
            <w:r w:rsidRPr="005F24CE">
              <w:rPr>
                <w:rFonts w:eastAsiaTheme="minorHAnsi"/>
                <w:sz w:val="20"/>
                <w:lang w:val="en-CA"/>
              </w:rPr>
              <w:t>was caught</w:t>
            </w:r>
            <w:proofErr w:type="gramEnd"/>
            <w:r w:rsidRPr="005F24CE">
              <w:rPr>
                <w:rFonts w:eastAsiaTheme="minorHAnsi"/>
                <w:sz w:val="20"/>
                <w:lang w:val="en-CA"/>
              </w:rPr>
              <w:t xml:space="preserve"> having her 4-year old cousin perform oral sex on her. She alleged that the applicant had performed oral sex on her once when she was 5 years old. The applicant </w:t>
            </w:r>
            <w:proofErr w:type="gramStart"/>
            <w:r w:rsidRPr="005F24CE">
              <w:rPr>
                <w:rFonts w:eastAsiaTheme="minorHAnsi"/>
                <w:sz w:val="20"/>
                <w:lang w:val="en-CA"/>
              </w:rPr>
              <w:t>was charged</w:t>
            </w:r>
            <w:proofErr w:type="gramEnd"/>
            <w:r w:rsidRPr="005F24CE">
              <w:rPr>
                <w:rFonts w:eastAsiaTheme="minorHAnsi"/>
                <w:sz w:val="20"/>
                <w:lang w:val="en-CA"/>
              </w:rPr>
              <w:t xml:space="preserve"> with sexual assault under s. 271 of the </w:t>
            </w:r>
            <w:r w:rsidRPr="005F24CE">
              <w:rPr>
                <w:rFonts w:eastAsiaTheme="minorHAnsi"/>
                <w:i/>
                <w:sz w:val="20"/>
                <w:lang w:val="en-CA"/>
              </w:rPr>
              <w:t>Criminal Code</w:t>
            </w:r>
            <w:r w:rsidRPr="005F24CE">
              <w:rPr>
                <w:rFonts w:eastAsiaTheme="minorHAnsi"/>
                <w:sz w:val="20"/>
                <w:lang w:val="en-CA"/>
              </w:rPr>
              <w:t>. The applicant applied to cross-examine the complainant in order to lead evidence of other sexual conduct by the complainant on other occasions. The trial judge dismissed the application. The complainant’s knowledge about oral sex and the source of that knowledge was a live issue at trial. The applicant applied to re-open the application to cross-examine the complainant in relation to allegations of other sexual activity. The trial judge refused to re-open the application. The trial judge concluded that there was no evidence of any other source of the complainant’s knowledge of oral sex other than the alleged misconduct of the accused. The trial judge convicted the applicant of sexual assault. The Court of Appeal dismissed</w:t>
            </w:r>
            <w:r w:rsidR="00236277">
              <w:rPr>
                <w:rFonts w:eastAsiaTheme="minorHAnsi"/>
                <w:sz w:val="20"/>
                <w:lang w:val="en-CA"/>
              </w:rPr>
              <w:t xml:space="preserve"> an appeal from the conviction.</w:t>
            </w:r>
          </w:p>
          <w:p w:rsidR="00236277" w:rsidRDefault="00236277" w:rsidP="005F24CE">
            <w:pPr>
              <w:jc w:val="both"/>
              <w:rPr>
                <w:rFonts w:eastAsiaTheme="minorHAnsi"/>
                <w:sz w:val="20"/>
                <w:lang w:val="en-CA"/>
              </w:rPr>
            </w:pPr>
          </w:p>
          <w:p w:rsidR="00236277" w:rsidRPr="005F24CE" w:rsidRDefault="00236277" w:rsidP="005F24CE">
            <w:pPr>
              <w:jc w:val="both"/>
              <w:rPr>
                <w:rFonts w:eastAsiaTheme="minorHAnsi"/>
                <w:sz w:val="20"/>
                <w:lang w:val="en-CA"/>
              </w:rPr>
            </w:pPr>
          </w:p>
        </w:tc>
      </w:tr>
      <w:tr w:rsidR="005F24CE" w:rsidRPr="005F24CE" w:rsidTr="008B2EB1">
        <w:tc>
          <w:tcPr>
            <w:tcW w:w="2427" w:type="pct"/>
            <w:gridSpan w:val="2"/>
          </w:tcPr>
          <w:p w:rsidR="005F24CE" w:rsidRPr="005F24CE" w:rsidRDefault="005F24CE" w:rsidP="005F24CE">
            <w:pPr>
              <w:jc w:val="both"/>
              <w:rPr>
                <w:rFonts w:eastAsiaTheme="minorHAnsi"/>
                <w:sz w:val="20"/>
                <w:lang w:val="en-CA"/>
              </w:rPr>
            </w:pPr>
            <w:r w:rsidRPr="005F24CE">
              <w:rPr>
                <w:rFonts w:eastAsiaTheme="minorHAnsi"/>
                <w:sz w:val="20"/>
                <w:lang w:val="en-CA"/>
              </w:rPr>
              <w:t>October 9, 2013</w:t>
            </w:r>
          </w:p>
          <w:p w:rsidR="005F24CE" w:rsidRPr="005F24CE" w:rsidRDefault="005F24CE" w:rsidP="005F24CE">
            <w:pPr>
              <w:jc w:val="both"/>
              <w:rPr>
                <w:rFonts w:eastAsiaTheme="minorHAnsi"/>
                <w:sz w:val="20"/>
                <w:lang w:val="en-CA"/>
              </w:rPr>
            </w:pPr>
            <w:r w:rsidRPr="005F24CE">
              <w:rPr>
                <w:rFonts w:eastAsiaTheme="minorHAnsi"/>
                <w:sz w:val="20"/>
                <w:lang w:val="en-CA"/>
              </w:rPr>
              <w:t>Ontario Court of Justice</w:t>
            </w:r>
          </w:p>
          <w:p w:rsidR="005F24CE" w:rsidRPr="005F24CE" w:rsidRDefault="005F24CE" w:rsidP="005F24CE">
            <w:pPr>
              <w:jc w:val="both"/>
              <w:rPr>
                <w:rFonts w:eastAsiaTheme="minorHAnsi"/>
                <w:sz w:val="20"/>
                <w:lang w:val="en-CA"/>
              </w:rPr>
            </w:pPr>
            <w:r w:rsidRPr="005F24CE">
              <w:rPr>
                <w:rFonts w:eastAsiaTheme="minorHAnsi"/>
                <w:sz w:val="20"/>
                <w:lang w:val="en-CA"/>
              </w:rPr>
              <w:t>(Kehoe J.)</w:t>
            </w:r>
          </w:p>
          <w:p w:rsidR="005F24CE" w:rsidRPr="005F24CE" w:rsidRDefault="005F24CE" w:rsidP="005F24CE">
            <w:pPr>
              <w:jc w:val="both"/>
              <w:rPr>
                <w:rFonts w:eastAsiaTheme="minorHAnsi"/>
                <w:sz w:val="20"/>
                <w:lang w:val="en-CA"/>
              </w:rPr>
            </w:pPr>
            <w:r w:rsidRPr="005F24CE">
              <w:rPr>
                <w:rFonts w:eastAsiaTheme="minorHAnsi"/>
                <w:sz w:val="20"/>
                <w:lang w:val="en-CA"/>
              </w:rPr>
              <w:t xml:space="preserve"> </w:t>
            </w:r>
          </w:p>
        </w:tc>
        <w:tc>
          <w:tcPr>
            <w:tcW w:w="243" w:type="pct"/>
          </w:tcPr>
          <w:p w:rsidR="005F24CE" w:rsidRPr="005F24CE" w:rsidRDefault="005F24CE" w:rsidP="005F24CE">
            <w:pPr>
              <w:jc w:val="both"/>
              <w:rPr>
                <w:rFonts w:eastAsiaTheme="minorHAnsi"/>
                <w:sz w:val="20"/>
                <w:lang w:val="en-CA"/>
              </w:rPr>
            </w:pPr>
          </w:p>
        </w:tc>
        <w:tc>
          <w:tcPr>
            <w:tcW w:w="2330" w:type="pct"/>
          </w:tcPr>
          <w:p w:rsidR="005F24CE" w:rsidRPr="005F24CE" w:rsidRDefault="005F24CE" w:rsidP="005F24CE">
            <w:pPr>
              <w:jc w:val="both"/>
              <w:rPr>
                <w:rFonts w:eastAsiaTheme="minorHAnsi"/>
                <w:sz w:val="20"/>
                <w:lang w:val="en-CA"/>
              </w:rPr>
            </w:pPr>
            <w:r w:rsidRPr="005F24CE">
              <w:rPr>
                <w:rFonts w:eastAsiaTheme="minorHAnsi"/>
                <w:sz w:val="20"/>
                <w:lang w:val="en-CA"/>
              </w:rPr>
              <w:t>Conviction: Sexual assault (s. 271)</w:t>
            </w:r>
          </w:p>
          <w:p w:rsidR="005F24CE" w:rsidRPr="005F24CE" w:rsidRDefault="005F24CE" w:rsidP="005F24CE">
            <w:pPr>
              <w:jc w:val="both"/>
              <w:rPr>
                <w:rFonts w:eastAsiaTheme="minorHAnsi"/>
                <w:sz w:val="20"/>
                <w:lang w:val="en-CA"/>
              </w:rPr>
            </w:pPr>
          </w:p>
        </w:tc>
      </w:tr>
      <w:tr w:rsidR="005F24CE" w:rsidRPr="005F24CE" w:rsidTr="008B2EB1">
        <w:tc>
          <w:tcPr>
            <w:tcW w:w="2427" w:type="pct"/>
            <w:gridSpan w:val="2"/>
          </w:tcPr>
          <w:p w:rsidR="005F24CE" w:rsidRPr="005F24CE" w:rsidRDefault="005F24CE" w:rsidP="005F24CE">
            <w:pPr>
              <w:jc w:val="both"/>
              <w:rPr>
                <w:rFonts w:eastAsiaTheme="minorHAnsi"/>
                <w:sz w:val="20"/>
                <w:lang w:val="en-CA"/>
              </w:rPr>
            </w:pPr>
            <w:r w:rsidRPr="005F24CE">
              <w:rPr>
                <w:rFonts w:eastAsiaTheme="minorHAnsi"/>
                <w:sz w:val="20"/>
                <w:lang w:val="en-CA"/>
              </w:rPr>
              <w:t>May 26, 2015</w:t>
            </w:r>
          </w:p>
          <w:p w:rsidR="005F24CE" w:rsidRPr="005F24CE" w:rsidRDefault="005F24CE" w:rsidP="005F24CE">
            <w:pPr>
              <w:jc w:val="both"/>
              <w:rPr>
                <w:rFonts w:eastAsiaTheme="minorHAnsi"/>
                <w:sz w:val="20"/>
                <w:lang w:val="en-CA"/>
              </w:rPr>
            </w:pPr>
            <w:r w:rsidRPr="005F24CE">
              <w:rPr>
                <w:rFonts w:eastAsiaTheme="minorHAnsi"/>
                <w:sz w:val="20"/>
                <w:lang w:val="en-CA"/>
              </w:rPr>
              <w:t>Court of Appeal for Ontario</w:t>
            </w:r>
          </w:p>
          <w:p w:rsidR="005F24CE" w:rsidRPr="005F24CE" w:rsidRDefault="005F24CE" w:rsidP="005F24CE">
            <w:pPr>
              <w:jc w:val="both"/>
              <w:rPr>
                <w:rFonts w:eastAsiaTheme="minorHAnsi"/>
                <w:sz w:val="20"/>
                <w:lang w:val="en-CA"/>
              </w:rPr>
            </w:pPr>
            <w:r w:rsidRPr="005F24CE">
              <w:rPr>
                <w:rFonts w:eastAsiaTheme="minorHAnsi"/>
                <w:sz w:val="20"/>
                <w:lang w:val="en-CA"/>
              </w:rPr>
              <w:t xml:space="preserve">(Simmons, Tulloch, </w:t>
            </w:r>
            <w:proofErr w:type="spellStart"/>
            <w:r w:rsidRPr="005F24CE">
              <w:rPr>
                <w:rFonts w:eastAsiaTheme="minorHAnsi"/>
                <w:sz w:val="20"/>
                <w:lang w:val="en-CA"/>
              </w:rPr>
              <w:t>Huscroft</w:t>
            </w:r>
            <w:proofErr w:type="spellEnd"/>
            <w:r w:rsidRPr="005F24CE">
              <w:rPr>
                <w:rFonts w:eastAsiaTheme="minorHAnsi"/>
                <w:sz w:val="20"/>
                <w:lang w:val="en-CA"/>
              </w:rPr>
              <w:t xml:space="preserve"> JJ.A.)</w:t>
            </w:r>
          </w:p>
          <w:p w:rsidR="005F24CE" w:rsidRPr="005F24CE" w:rsidRDefault="005F24CE" w:rsidP="005F24CE">
            <w:pPr>
              <w:jc w:val="both"/>
              <w:rPr>
                <w:rFonts w:eastAsiaTheme="minorHAnsi"/>
                <w:sz w:val="20"/>
                <w:lang w:val="en-CA"/>
              </w:rPr>
            </w:pPr>
            <w:r w:rsidRPr="005F24CE">
              <w:rPr>
                <w:rFonts w:eastAsiaTheme="minorHAnsi"/>
                <w:sz w:val="20"/>
                <w:lang w:val="en-CA"/>
              </w:rPr>
              <w:t xml:space="preserve">C58559; </w:t>
            </w:r>
            <w:hyperlink r:id="rId15" w:history="1">
              <w:r w:rsidRPr="005F24CE">
                <w:rPr>
                  <w:rFonts w:eastAsiaTheme="minorHAnsi"/>
                  <w:color w:val="0000FF" w:themeColor="hyperlink"/>
                  <w:sz w:val="20"/>
                  <w:u w:val="single"/>
                  <w:lang w:val="en-CA"/>
                </w:rPr>
                <w:t>2015 ONCA 370</w:t>
              </w:r>
            </w:hyperlink>
          </w:p>
          <w:p w:rsidR="005F24CE" w:rsidRPr="005F24CE" w:rsidRDefault="005F24CE" w:rsidP="005F24CE">
            <w:pPr>
              <w:jc w:val="both"/>
              <w:rPr>
                <w:rFonts w:eastAsiaTheme="minorHAnsi"/>
                <w:sz w:val="20"/>
                <w:lang w:val="en-CA"/>
              </w:rPr>
            </w:pPr>
          </w:p>
        </w:tc>
        <w:tc>
          <w:tcPr>
            <w:tcW w:w="243" w:type="pct"/>
          </w:tcPr>
          <w:p w:rsidR="005F24CE" w:rsidRPr="005F24CE" w:rsidRDefault="005F24CE" w:rsidP="005F24CE">
            <w:pPr>
              <w:jc w:val="both"/>
              <w:rPr>
                <w:rFonts w:eastAsiaTheme="minorHAnsi"/>
                <w:sz w:val="20"/>
                <w:lang w:val="en-CA"/>
              </w:rPr>
            </w:pPr>
          </w:p>
        </w:tc>
        <w:tc>
          <w:tcPr>
            <w:tcW w:w="2330" w:type="pct"/>
          </w:tcPr>
          <w:p w:rsidR="005F24CE" w:rsidRPr="005F24CE" w:rsidRDefault="005F24CE" w:rsidP="005F24CE">
            <w:pPr>
              <w:jc w:val="both"/>
              <w:rPr>
                <w:rFonts w:eastAsiaTheme="minorHAnsi"/>
                <w:sz w:val="20"/>
                <w:lang w:val="en-CA"/>
              </w:rPr>
            </w:pPr>
            <w:r w:rsidRPr="005F24CE">
              <w:rPr>
                <w:rFonts w:eastAsiaTheme="minorHAnsi"/>
                <w:sz w:val="20"/>
                <w:lang w:val="en-CA"/>
              </w:rPr>
              <w:t>Appeal dismissed</w:t>
            </w:r>
          </w:p>
          <w:p w:rsidR="005F24CE" w:rsidRPr="005F24CE" w:rsidRDefault="005F24CE" w:rsidP="005F24CE">
            <w:pPr>
              <w:jc w:val="both"/>
              <w:rPr>
                <w:rFonts w:eastAsiaTheme="minorHAnsi"/>
                <w:sz w:val="20"/>
                <w:lang w:val="en-CA"/>
              </w:rPr>
            </w:pPr>
          </w:p>
        </w:tc>
      </w:tr>
      <w:tr w:rsidR="005F24CE" w:rsidRPr="005F24CE" w:rsidTr="008B2EB1">
        <w:tc>
          <w:tcPr>
            <w:tcW w:w="2427" w:type="pct"/>
            <w:gridSpan w:val="2"/>
          </w:tcPr>
          <w:p w:rsidR="005F24CE" w:rsidRPr="005F24CE" w:rsidRDefault="005F24CE" w:rsidP="005F24CE">
            <w:pPr>
              <w:jc w:val="both"/>
              <w:rPr>
                <w:rFonts w:eastAsiaTheme="minorHAnsi"/>
                <w:sz w:val="20"/>
                <w:lang w:val="en-CA"/>
              </w:rPr>
            </w:pPr>
            <w:r w:rsidRPr="005F24CE">
              <w:rPr>
                <w:rFonts w:eastAsiaTheme="minorHAnsi"/>
                <w:sz w:val="20"/>
                <w:lang w:val="en-CA"/>
              </w:rPr>
              <w:t>August 24, 2015</w:t>
            </w:r>
          </w:p>
          <w:p w:rsidR="005F24CE" w:rsidRPr="005F24CE" w:rsidRDefault="005F24CE" w:rsidP="005F24CE">
            <w:pPr>
              <w:jc w:val="both"/>
              <w:rPr>
                <w:rFonts w:eastAsiaTheme="minorHAnsi"/>
                <w:sz w:val="20"/>
                <w:lang w:val="en-CA"/>
              </w:rPr>
            </w:pPr>
            <w:r w:rsidRPr="005F24CE">
              <w:rPr>
                <w:rFonts w:eastAsiaTheme="minorHAnsi"/>
                <w:sz w:val="20"/>
                <w:lang w:val="en-CA"/>
              </w:rPr>
              <w:t>Supreme Court of Canada</w:t>
            </w:r>
          </w:p>
        </w:tc>
        <w:tc>
          <w:tcPr>
            <w:tcW w:w="243" w:type="pct"/>
          </w:tcPr>
          <w:p w:rsidR="005F24CE" w:rsidRPr="005F24CE" w:rsidRDefault="005F24CE" w:rsidP="005F24CE">
            <w:pPr>
              <w:jc w:val="both"/>
              <w:rPr>
                <w:rFonts w:eastAsiaTheme="minorHAnsi"/>
                <w:sz w:val="20"/>
                <w:lang w:val="en-CA"/>
              </w:rPr>
            </w:pPr>
          </w:p>
        </w:tc>
        <w:tc>
          <w:tcPr>
            <w:tcW w:w="2330" w:type="pct"/>
          </w:tcPr>
          <w:p w:rsidR="005F24CE" w:rsidRPr="005F24CE" w:rsidRDefault="005F24CE" w:rsidP="005F24CE">
            <w:pPr>
              <w:jc w:val="both"/>
              <w:rPr>
                <w:rFonts w:eastAsiaTheme="minorHAnsi"/>
                <w:sz w:val="20"/>
                <w:lang w:val="en-CA"/>
              </w:rPr>
            </w:pPr>
            <w:r w:rsidRPr="005F24CE">
              <w:rPr>
                <w:rFonts w:eastAsiaTheme="minorHAnsi"/>
                <w:sz w:val="20"/>
                <w:lang w:val="en-CA"/>
              </w:rPr>
              <w:t>Application for leave to appeal filed</w:t>
            </w:r>
          </w:p>
          <w:p w:rsidR="005F24CE" w:rsidRPr="005F24CE" w:rsidRDefault="005F24CE" w:rsidP="005F24CE">
            <w:pPr>
              <w:jc w:val="both"/>
              <w:rPr>
                <w:rFonts w:eastAsiaTheme="minorHAnsi"/>
                <w:sz w:val="20"/>
                <w:lang w:val="en-CA"/>
              </w:rPr>
            </w:pPr>
          </w:p>
        </w:tc>
      </w:tr>
    </w:tbl>
    <w:p w:rsidR="005F24CE" w:rsidRPr="005F24CE" w:rsidRDefault="005F24CE" w:rsidP="005F24CE">
      <w:pPr>
        <w:jc w:val="both"/>
        <w:rPr>
          <w:rFonts w:eastAsiaTheme="minorHAnsi"/>
          <w:sz w:val="20"/>
          <w:lang w:val="en-CA"/>
        </w:rPr>
      </w:pPr>
    </w:p>
    <w:p w:rsidR="005F24CE" w:rsidRPr="005F24CE" w:rsidRDefault="005F24CE" w:rsidP="005F24CE">
      <w:pPr>
        <w:jc w:val="both"/>
        <w:rPr>
          <w:rFonts w:eastAsiaTheme="minorHAnsi"/>
          <w:sz w:val="20"/>
          <w:lang w:val="en-CA"/>
        </w:rPr>
      </w:pPr>
    </w:p>
    <w:tbl>
      <w:tblPr>
        <w:tblW w:w="4950" w:type="pct"/>
        <w:tblCellMar>
          <w:left w:w="0" w:type="dxa"/>
          <w:bottom w:w="99" w:type="dxa"/>
          <w:right w:w="0" w:type="dxa"/>
        </w:tblCellMar>
        <w:tblLook w:val="04A0" w:firstRow="1" w:lastRow="0" w:firstColumn="1" w:lastColumn="0" w:noHBand="0" w:noVBand="1"/>
      </w:tblPr>
      <w:tblGrid>
        <w:gridCol w:w="1007"/>
        <w:gridCol w:w="3491"/>
        <w:gridCol w:w="450"/>
        <w:gridCol w:w="4318"/>
      </w:tblGrid>
      <w:tr w:rsidR="005F24CE" w:rsidRPr="005F24CE" w:rsidTr="005F24CE">
        <w:tc>
          <w:tcPr>
            <w:tcW w:w="543" w:type="pct"/>
            <w:hideMark/>
          </w:tcPr>
          <w:p w:rsidR="005F24CE" w:rsidRPr="005F24CE" w:rsidRDefault="005F24CE" w:rsidP="005F24CE">
            <w:pPr>
              <w:spacing w:line="276" w:lineRule="auto"/>
              <w:jc w:val="both"/>
              <w:rPr>
                <w:rFonts w:eastAsia="Calibri"/>
                <w:sz w:val="20"/>
                <w:lang w:val="fr-CA"/>
              </w:rPr>
            </w:pPr>
            <w:r w:rsidRPr="005F24CE">
              <w:rPr>
                <w:rFonts w:eastAsia="Calibri"/>
                <w:b/>
                <w:sz w:val="20"/>
                <w:lang w:val="fr-CA"/>
              </w:rPr>
              <w:t>36572</w:t>
            </w:r>
          </w:p>
        </w:tc>
        <w:tc>
          <w:tcPr>
            <w:tcW w:w="4457" w:type="pct"/>
            <w:gridSpan w:val="3"/>
            <w:hideMark/>
          </w:tcPr>
          <w:p w:rsidR="005F24CE" w:rsidRPr="005F24CE" w:rsidRDefault="005F24CE" w:rsidP="005F24CE">
            <w:pPr>
              <w:spacing w:line="276" w:lineRule="auto"/>
              <w:jc w:val="both"/>
              <w:rPr>
                <w:rFonts w:eastAsia="Calibri"/>
                <w:b/>
                <w:sz w:val="20"/>
                <w:lang w:val="fr-CA"/>
              </w:rPr>
            </w:pPr>
            <w:r w:rsidRPr="005F24CE">
              <w:rPr>
                <w:rFonts w:eastAsia="Calibri"/>
                <w:b/>
                <w:sz w:val="20"/>
                <w:lang w:val="fr-CA"/>
              </w:rPr>
              <w:t>J.C. c. Sa Majesté la Reine</w:t>
            </w:r>
          </w:p>
          <w:p w:rsidR="005F24CE" w:rsidRPr="005F24CE" w:rsidRDefault="005F24CE" w:rsidP="005F24CE">
            <w:pPr>
              <w:spacing w:line="276" w:lineRule="auto"/>
              <w:jc w:val="both"/>
              <w:rPr>
                <w:rFonts w:eastAsia="Calibri"/>
                <w:sz w:val="20"/>
                <w:lang w:val="fr-CA"/>
              </w:rPr>
            </w:pPr>
            <w:r w:rsidRPr="005F24CE">
              <w:rPr>
                <w:rFonts w:eastAsia="Calibri"/>
                <w:sz w:val="20"/>
                <w:lang w:val="fr-CA"/>
              </w:rPr>
              <w:t>(Ont.) (Criminelle) (Sur autorisation)</w:t>
            </w:r>
          </w:p>
        </w:tc>
      </w:tr>
      <w:tr w:rsidR="005F24CE" w:rsidRPr="00A35BC1" w:rsidTr="005F24CE">
        <w:tc>
          <w:tcPr>
            <w:tcW w:w="5000" w:type="pct"/>
            <w:gridSpan w:val="4"/>
          </w:tcPr>
          <w:p w:rsidR="005F24CE" w:rsidRPr="005F24CE" w:rsidRDefault="005F24CE" w:rsidP="005F24CE">
            <w:pPr>
              <w:spacing w:line="276" w:lineRule="auto"/>
              <w:jc w:val="both"/>
              <w:rPr>
                <w:rFonts w:eastAsia="Calibri"/>
                <w:sz w:val="20"/>
                <w:lang w:val="fr-CA"/>
              </w:rPr>
            </w:pPr>
          </w:p>
          <w:p w:rsidR="005F24CE" w:rsidRPr="005F24CE" w:rsidRDefault="005F24CE" w:rsidP="005F24CE">
            <w:pPr>
              <w:spacing w:line="276" w:lineRule="auto"/>
              <w:jc w:val="both"/>
              <w:rPr>
                <w:rFonts w:eastAsia="Calibri"/>
                <w:smallCaps/>
                <w:sz w:val="20"/>
                <w:lang w:val="fr-CA"/>
              </w:rPr>
            </w:pPr>
            <w:r w:rsidRPr="005F24CE">
              <w:rPr>
                <w:rFonts w:eastAsia="Calibri"/>
                <w:smallCaps/>
                <w:sz w:val="20"/>
                <w:lang w:val="fr-CA"/>
              </w:rPr>
              <w:t>(Ordonnance de non-publication dans le dossier) (Ordonnance de non-publication visant une partie)</w:t>
            </w:r>
          </w:p>
          <w:p w:rsidR="005F24CE" w:rsidRPr="005F24CE" w:rsidRDefault="005F24CE" w:rsidP="005F24CE">
            <w:pPr>
              <w:spacing w:line="276" w:lineRule="auto"/>
              <w:jc w:val="both"/>
              <w:rPr>
                <w:rFonts w:eastAsia="Calibri"/>
                <w:sz w:val="20"/>
                <w:lang w:val="fr-CA"/>
              </w:rPr>
            </w:pPr>
          </w:p>
          <w:p w:rsidR="005F24CE" w:rsidRPr="005F24CE" w:rsidRDefault="005F24CE" w:rsidP="005F24CE">
            <w:pPr>
              <w:spacing w:line="276" w:lineRule="auto"/>
              <w:jc w:val="both"/>
              <w:rPr>
                <w:rFonts w:eastAsia="Calibri"/>
                <w:sz w:val="20"/>
                <w:lang w:val="fr-CA"/>
              </w:rPr>
            </w:pPr>
            <w:r w:rsidRPr="005F24CE">
              <w:rPr>
                <w:rFonts w:eastAsia="Calibri"/>
                <w:sz w:val="20"/>
                <w:lang w:val="fr-CA"/>
              </w:rPr>
              <w:t>Droit criminel – Preuve – Appels – La juge du procès a-t-elle eu tort de ne pas avoir pris en compte des éléments de preuve importants, donnant ainsi lieu à une erreur judiciaire? – La Cour d’appel a-t-elle limité inutilement la portée de l’appel et omis de reconnaître et redresser l’erreur de la juge du procès, manquant ainsi à son obligation de protéger contre les erreurs judiciaires et les condamnations injustifiées?</w:t>
            </w:r>
          </w:p>
        </w:tc>
      </w:tr>
      <w:tr w:rsidR="005F24CE" w:rsidRPr="00A35BC1" w:rsidTr="005F24CE">
        <w:tc>
          <w:tcPr>
            <w:tcW w:w="5000" w:type="pct"/>
            <w:gridSpan w:val="4"/>
          </w:tcPr>
          <w:p w:rsidR="005F24CE" w:rsidRPr="005F24CE" w:rsidRDefault="005F24CE" w:rsidP="005F24CE">
            <w:pPr>
              <w:spacing w:line="276" w:lineRule="auto"/>
              <w:jc w:val="both"/>
              <w:rPr>
                <w:rFonts w:eastAsia="Calibri"/>
                <w:sz w:val="20"/>
                <w:lang w:val="fr-CA"/>
              </w:rPr>
            </w:pPr>
          </w:p>
        </w:tc>
      </w:tr>
      <w:tr w:rsidR="005F24CE" w:rsidRPr="00A35BC1" w:rsidTr="005F24CE">
        <w:tc>
          <w:tcPr>
            <w:tcW w:w="5000" w:type="pct"/>
            <w:gridSpan w:val="4"/>
          </w:tcPr>
          <w:p w:rsidR="005F24CE" w:rsidRPr="005F24CE" w:rsidRDefault="005F24CE" w:rsidP="005F24CE">
            <w:pPr>
              <w:spacing w:line="276" w:lineRule="auto"/>
              <w:jc w:val="both"/>
              <w:rPr>
                <w:rFonts w:eastAsia="Calibri"/>
                <w:sz w:val="20"/>
                <w:lang w:val="fr-CA"/>
              </w:rPr>
            </w:pPr>
            <w:r w:rsidRPr="005F24CE">
              <w:rPr>
                <w:rFonts w:eastAsia="Calibri"/>
                <w:sz w:val="20"/>
                <w:lang w:val="fr-CA"/>
              </w:rPr>
              <w:t xml:space="preserve">La plaignante, une fillette âgée de six ans, a été surprise à se faire faire un cunnilingus par sa cousine de quatre ans. Elle a allégué que la demanderesse avait pratiqué un cunnilingus sur elle lorsqu’elle avait cinq ans. La demanderesse a été accusée d’agression sexuelle en vertu de l’art. 271 du </w:t>
            </w:r>
            <w:r w:rsidRPr="005F24CE">
              <w:rPr>
                <w:rFonts w:eastAsia="Calibri"/>
                <w:i/>
                <w:sz w:val="20"/>
                <w:lang w:val="fr-CA"/>
              </w:rPr>
              <w:t>Code criminel</w:t>
            </w:r>
            <w:r w:rsidRPr="005F24CE">
              <w:rPr>
                <w:rFonts w:eastAsia="Calibri"/>
                <w:sz w:val="20"/>
                <w:lang w:val="fr-CA"/>
              </w:rPr>
              <w:t>. La demanderesse a demandé de contre-interroger la plaignante afin de présenter une preuve comme quoi la plaignante avait eu d’autres comportements sexuels à d’autres occasions. La juge du procès a rejeté la demande. La connaissance qu’avait la plaignante du cunnilingus et la source de cette connaissance étaient des questions qui se posaient au procès. La demanderesse a sollicité la réouverture de la demande de contre-interroger la plaignante en lien avec les allégations selon lesquelles cette dernière aurait eu d’autres activités sexuelles. La juge du procès a refusé de rouvrir la demande. La juge du procès a conclu qu’il n’y avait aucune preuve selon laquelle la connaissance qu’avait la plaignante du cunnilingus provenait d’une autre source que l’inconduite alléguée de l’accusée. La juge du procès a déclaré la demanderesse coupable d’agression sexuelle. La Cour d’appel a rejeté l’appel de la déclaration de culpabilité.</w:t>
            </w:r>
          </w:p>
          <w:p w:rsidR="005F24CE" w:rsidRPr="005F24CE" w:rsidRDefault="005F24CE" w:rsidP="005F24CE">
            <w:pPr>
              <w:spacing w:line="276" w:lineRule="auto"/>
              <w:jc w:val="both"/>
              <w:rPr>
                <w:rFonts w:eastAsia="Calibri"/>
                <w:sz w:val="20"/>
                <w:lang w:val="fr-CA"/>
              </w:rPr>
            </w:pPr>
          </w:p>
        </w:tc>
      </w:tr>
      <w:tr w:rsidR="005F24CE" w:rsidRPr="00A35BC1" w:rsidTr="005F24CE">
        <w:tc>
          <w:tcPr>
            <w:tcW w:w="2427" w:type="pct"/>
            <w:gridSpan w:val="2"/>
            <w:hideMark/>
          </w:tcPr>
          <w:p w:rsidR="005F24CE" w:rsidRPr="005F24CE" w:rsidRDefault="005F24CE" w:rsidP="005F24CE">
            <w:pPr>
              <w:spacing w:line="276" w:lineRule="auto"/>
              <w:jc w:val="both"/>
              <w:rPr>
                <w:rFonts w:eastAsia="Calibri"/>
                <w:sz w:val="20"/>
                <w:lang w:val="fr-CA"/>
              </w:rPr>
            </w:pPr>
            <w:r w:rsidRPr="005F24CE">
              <w:rPr>
                <w:rFonts w:eastAsia="Calibri"/>
                <w:sz w:val="20"/>
                <w:lang w:val="fr-CA"/>
              </w:rPr>
              <w:lastRenderedPageBreak/>
              <w:t>9 octobre 2013</w:t>
            </w:r>
          </w:p>
          <w:p w:rsidR="005F24CE" w:rsidRPr="005F24CE" w:rsidRDefault="005F24CE" w:rsidP="005F24CE">
            <w:pPr>
              <w:spacing w:line="276" w:lineRule="auto"/>
              <w:jc w:val="both"/>
              <w:rPr>
                <w:rFonts w:eastAsia="Calibri"/>
                <w:sz w:val="20"/>
                <w:lang w:val="fr-CA"/>
              </w:rPr>
            </w:pPr>
            <w:r w:rsidRPr="005F24CE">
              <w:rPr>
                <w:rFonts w:eastAsia="Calibri"/>
                <w:sz w:val="20"/>
                <w:lang w:val="fr-CA"/>
              </w:rPr>
              <w:t>Cour de justice de l’Ontario</w:t>
            </w:r>
          </w:p>
          <w:p w:rsidR="005F24CE" w:rsidRPr="005F24CE" w:rsidRDefault="005F24CE" w:rsidP="005F24CE">
            <w:pPr>
              <w:spacing w:line="276" w:lineRule="auto"/>
              <w:jc w:val="both"/>
              <w:rPr>
                <w:rFonts w:eastAsia="Calibri"/>
                <w:sz w:val="20"/>
                <w:lang w:val="fr-CA"/>
              </w:rPr>
            </w:pPr>
            <w:r w:rsidRPr="005F24CE">
              <w:rPr>
                <w:rFonts w:eastAsia="Calibri"/>
                <w:sz w:val="20"/>
                <w:lang w:val="fr-CA"/>
              </w:rPr>
              <w:t xml:space="preserve">(Juge </w:t>
            </w:r>
            <w:proofErr w:type="spellStart"/>
            <w:r w:rsidRPr="005F24CE">
              <w:rPr>
                <w:rFonts w:eastAsia="Calibri"/>
                <w:sz w:val="20"/>
                <w:lang w:val="fr-CA"/>
              </w:rPr>
              <w:t>Kehoe</w:t>
            </w:r>
            <w:proofErr w:type="spellEnd"/>
            <w:r w:rsidRPr="005F24CE">
              <w:rPr>
                <w:rFonts w:eastAsia="Calibri"/>
                <w:sz w:val="20"/>
                <w:lang w:val="fr-CA"/>
              </w:rPr>
              <w:t>)</w:t>
            </w:r>
          </w:p>
          <w:p w:rsidR="005F24CE" w:rsidRPr="005F24CE" w:rsidRDefault="005F24CE" w:rsidP="005F24CE">
            <w:pPr>
              <w:spacing w:line="276" w:lineRule="auto"/>
              <w:jc w:val="both"/>
              <w:rPr>
                <w:rFonts w:eastAsia="Calibri"/>
                <w:sz w:val="20"/>
                <w:lang w:val="fr-CA"/>
              </w:rPr>
            </w:pPr>
            <w:r w:rsidRPr="005F24CE">
              <w:rPr>
                <w:rFonts w:eastAsia="Calibri"/>
                <w:sz w:val="20"/>
                <w:lang w:val="fr-CA"/>
              </w:rPr>
              <w:t xml:space="preserve"> </w:t>
            </w:r>
          </w:p>
        </w:tc>
        <w:tc>
          <w:tcPr>
            <w:tcW w:w="243" w:type="pct"/>
          </w:tcPr>
          <w:p w:rsidR="005F24CE" w:rsidRPr="005F24CE" w:rsidRDefault="005F24CE" w:rsidP="005F24CE">
            <w:pPr>
              <w:spacing w:line="276" w:lineRule="auto"/>
              <w:jc w:val="both"/>
              <w:rPr>
                <w:rFonts w:eastAsia="Calibri"/>
                <w:sz w:val="20"/>
                <w:lang w:val="fr-CA"/>
              </w:rPr>
            </w:pPr>
          </w:p>
        </w:tc>
        <w:tc>
          <w:tcPr>
            <w:tcW w:w="2330" w:type="pct"/>
          </w:tcPr>
          <w:p w:rsidR="005F24CE" w:rsidRPr="005F24CE" w:rsidRDefault="005F24CE" w:rsidP="005F24CE">
            <w:pPr>
              <w:spacing w:line="276" w:lineRule="auto"/>
              <w:jc w:val="both"/>
              <w:rPr>
                <w:rFonts w:eastAsia="Calibri"/>
                <w:sz w:val="20"/>
                <w:lang w:val="fr-CA"/>
              </w:rPr>
            </w:pPr>
            <w:r w:rsidRPr="005F24CE">
              <w:rPr>
                <w:rFonts w:eastAsia="Calibri"/>
                <w:sz w:val="20"/>
                <w:lang w:val="fr-CA"/>
              </w:rPr>
              <w:t>Déclaration de culpabilité : agression sexuelle (art. 271)</w:t>
            </w:r>
          </w:p>
          <w:p w:rsidR="005F24CE" w:rsidRPr="005F24CE" w:rsidRDefault="005F24CE" w:rsidP="005F24CE">
            <w:pPr>
              <w:spacing w:line="276" w:lineRule="auto"/>
              <w:jc w:val="both"/>
              <w:rPr>
                <w:rFonts w:eastAsia="Calibri"/>
                <w:sz w:val="20"/>
                <w:lang w:val="fr-CA"/>
              </w:rPr>
            </w:pPr>
          </w:p>
        </w:tc>
      </w:tr>
      <w:tr w:rsidR="005F24CE" w:rsidRPr="005F24CE" w:rsidTr="005F24CE">
        <w:tc>
          <w:tcPr>
            <w:tcW w:w="2427" w:type="pct"/>
            <w:gridSpan w:val="2"/>
          </w:tcPr>
          <w:p w:rsidR="005F24CE" w:rsidRPr="005F24CE" w:rsidRDefault="005F24CE" w:rsidP="005F24CE">
            <w:pPr>
              <w:spacing w:line="276" w:lineRule="auto"/>
              <w:jc w:val="both"/>
              <w:rPr>
                <w:rFonts w:eastAsia="Calibri"/>
                <w:sz w:val="20"/>
                <w:lang w:val="fr-CA"/>
              </w:rPr>
            </w:pPr>
            <w:r w:rsidRPr="005F24CE">
              <w:rPr>
                <w:rFonts w:eastAsia="Calibri"/>
                <w:sz w:val="20"/>
                <w:lang w:val="fr-CA"/>
              </w:rPr>
              <w:t>26 mai 2015</w:t>
            </w:r>
          </w:p>
          <w:p w:rsidR="005F24CE" w:rsidRPr="005F24CE" w:rsidRDefault="005F24CE" w:rsidP="005F24CE">
            <w:pPr>
              <w:spacing w:line="276" w:lineRule="auto"/>
              <w:jc w:val="both"/>
              <w:rPr>
                <w:rFonts w:eastAsia="Calibri"/>
                <w:sz w:val="20"/>
                <w:lang w:val="fr-CA"/>
              </w:rPr>
            </w:pPr>
            <w:r w:rsidRPr="005F24CE">
              <w:rPr>
                <w:rFonts w:eastAsia="Calibri"/>
                <w:sz w:val="20"/>
                <w:lang w:val="fr-CA"/>
              </w:rPr>
              <w:t>Cour d’appel de l’Ontario</w:t>
            </w:r>
          </w:p>
          <w:p w:rsidR="005F24CE" w:rsidRPr="005F24CE" w:rsidRDefault="005F24CE" w:rsidP="005F24CE">
            <w:pPr>
              <w:spacing w:line="276" w:lineRule="auto"/>
              <w:jc w:val="both"/>
              <w:rPr>
                <w:rFonts w:eastAsia="Calibri"/>
                <w:sz w:val="20"/>
                <w:lang w:val="fr-CA"/>
              </w:rPr>
            </w:pPr>
            <w:r w:rsidRPr="005F24CE">
              <w:rPr>
                <w:rFonts w:eastAsia="Calibri"/>
                <w:sz w:val="20"/>
                <w:lang w:val="fr-CA"/>
              </w:rPr>
              <w:t xml:space="preserve">(Juges Simmons, </w:t>
            </w:r>
            <w:proofErr w:type="spellStart"/>
            <w:r w:rsidRPr="005F24CE">
              <w:rPr>
                <w:rFonts w:eastAsia="Calibri"/>
                <w:sz w:val="20"/>
                <w:lang w:val="fr-CA"/>
              </w:rPr>
              <w:t>Tulloch</w:t>
            </w:r>
            <w:proofErr w:type="spellEnd"/>
            <w:r w:rsidRPr="005F24CE">
              <w:rPr>
                <w:rFonts w:eastAsia="Calibri"/>
                <w:sz w:val="20"/>
                <w:lang w:val="fr-CA"/>
              </w:rPr>
              <w:t xml:space="preserve"> et </w:t>
            </w:r>
            <w:proofErr w:type="spellStart"/>
            <w:r w:rsidRPr="005F24CE">
              <w:rPr>
                <w:rFonts w:eastAsia="Calibri"/>
                <w:sz w:val="20"/>
                <w:lang w:val="fr-CA"/>
              </w:rPr>
              <w:t>Huscroft</w:t>
            </w:r>
            <w:proofErr w:type="spellEnd"/>
            <w:r w:rsidRPr="005F24CE">
              <w:rPr>
                <w:rFonts w:eastAsia="Calibri"/>
                <w:sz w:val="20"/>
                <w:lang w:val="fr-CA"/>
              </w:rPr>
              <w:t>)</w:t>
            </w:r>
          </w:p>
          <w:p w:rsidR="005F24CE" w:rsidRPr="005F24CE" w:rsidRDefault="005F24CE" w:rsidP="005F24CE">
            <w:pPr>
              <w:spacing w:line="276" w:lineRule="auto"/>
              <w:jc w:val="both"/>
              <w:rPr>
                <w:rFonts w:eastAsia="Calibri"/>
                <w:sz w:val="20"/>
                <w:lang w:val="fr-CA"/>
              </w:rPr>
            </w:pPr>
            <w:r w:rsidRPr="005F24CE">
              <w:rPr>
                <w:rFonts w:eastAsia="Calibri"/>
                <w:sz w:val="20"/>
                <w:lang w:val="fr-CA"/>
              </w:rPr>
              <w:t xml:space="preserve">C58559; </w:t>
            </w:r>
            <w:hyperlink r:id="rId16" w:history="1">
              <w:r w:rsidRPr="005F24CE">
                <w:rPr>
                  <w:rFonts w:eastAsia="Calibri"/>
                  <w:color w:val="0000FF" w:themeColor="hyperlink"/>
                  <w:sz w:val="20"/>
                  <w:u w:val="single"/>
                  <w:lang w:val="fr-CA"/>
                </w:rPr>
                <w:t>2015 ONCA 370</w:t>
              </w:r>
            </w:hyperlink>
          </w:p>
          <w:p w:rsidR="005F24CE" w:rsidRPr="005F24CE" w:rsidRDefault="005F24CE" w:rsidP="005F24CE">
            <w:pPr>
              <w:spacing w:line="276" w:lineRule="auto"/>
              <w:jc w:val="both"/>
              <w:rPr>
                <w:rFonts w:eastAsia="Calibri"/>
                <w:sz w:val="20"/>
                <w:lang w:val="fr-CA"/>
              </w:rPr>
            </w:pPr>
          </w:p>
        </w:tc>
        <w:tc>
          <w:tcPr>
            <w:tcW w:w="243" w:type="pct"/>
          </w:tcPr>
          <w:p w:rsidR="005F24CE" w:rsidRPr="005F24CE" w:rsidRDefault="005F24CE" w:rsidP="005F24CE">
            <w:pPr>
              <w:spacing w:line="276" w:lineRule="auto"/>
              <w:jc w:val="both"/>
              <w:rPr>
                <w:rFonts w:eastAsia="Calibri"/>
                <w:sz w:val="20"/>
                <w:lang w:val="fr-CA"/>
              </w:rPr>
            </w:pPr>
          </w:p>
        </w:tc>
        <w:tc>
          <w:tcPr>
            <w:tcW w:w="2330" w:type="pct"/>
          </w:tcPr>
          <w:p w:rsidR="005F24CE" w:rsidRPr="005F24CE" w:rsidRDefault="005F24CE" w:rsidP="005F24CE">
            <w:pPr>
              <w:spacing w:line="276" w:lineRule="auto"/>
              <w:jc w:val="both"/>
              <w:rPr>
                <w:rFonts w:eastAsia="Calibri"/>
                <w:sz w:val="20"/>
                <w:lang w:val="fr-CA"/>
              </w:rPr>
            </w:pPr>
            <w:r w:rsidRPr="005F24CE">
              <w:rPr>
                <w:rFonts w:eastAsia="Calibri"/>
                <w:sz w:val="20"/>
                <w:lang w:val="fr-CA"/>
              </w:rPr>
              <w:t>Rejet de l’appel</w:t>
            </w:r>
          </w:p>
          <w:p w:rsidR="005F24CE" w:rsidRPr="005F24CE" w:rsidRDefault="005F24CE" w:rsidP="005F24CE">
            <w:pPr>
              <w:spacing w:line="276" w:lineRule="auto"/>
              <w:jc w:val="both"/>
              <w:rPr>
                <w:rFonts w:eastAsia="Calibri"/>
                <w:sz w:val="20"/>
                <w:lang w:val="fr-CA"/>
              </w:rPr>
            </w:pPr>
          </w:p>
        </w:tc>
      </w:tr>
      <w:tr w:rsidR="005F24CE" w:rsidRPr="00A35BC1" w:rsidTr="005F24CE">
        <w:tc>
          <w:tcPr>
            <w:tcW w:w="2427" w:type="pct"/>
            <w:gridSpan w:val="2"/>
            <w:hideMark/>
          </w:tcPr>
          <w:p w:rsidR="005F24CE" w:rsidRPr="005F24CE" w:rsidRDefault="005F24CE" w:rsidP="005F24CE">
            <w:pPr>
              <w:spacing w:line="276" w:lineRule="auto"/>
              <w:jc w:val="both"/>
              <w:rPr>
                <w:rFonts w:eastAsia="Calibri"/>
                <w:sz w:val="20"/>
                <w:lang w:val="fr-CA"/>
              </w:rPr>
            </w:pPr>
            <w:r w:rsidRPr="005F24CE">
              <w:rPr>
                <w:rFonts w:eastAsia="Calibri"/>
                <w:sz w:val="20"/>
                <w:lang w:val="fr-CA"/>
              </w:rPr>
              <w:t>24 août 2015</w:t>
            </w:r>
          </w:p>
          <w:p w:rsidR="00236277" w:rsidRPr="005F24CE" w:rsidRDefault="005F24CE" w:rsidP="004758E9">
            <w:pPr>
              <w:spacing w:line="276" w:lineRule="auto"/>
              <w:jc w:val="both"/>
              <w:rPr>
                <w:rFonts w:eastAsia="Calibri"/>
                <w:sz w:val="20"/>
                <w:lang w:val="fr-CA"/>
              </w:rPr>
            </w:pPr>
            <w:r w:rsidRPr="005F24CE">
              <w:rPr>
                <w:rFonts w:eastAsia="Calibri"/>
                <w:sz w:val="20"/>
                <w:lang w:val="fr-CA"/>
              </w:rPr>
              <w:t>Cour suprême du Canada</w:t>
            </w:r>
          </w:p>
        </w:tc>
        <w:tc>
          <w:tcPr>
            <w:tcW w:w="243" w:type="pct"/>
          </w:tcPr>
          <w:p w:rsidR="005F24CE" w:rsidRPr="005F24CE" w:rsidRDefault="005F24CE" w:rsidP="005F24CE">
            <w:pPr>
              <w:spacing w:line="276" w:lineRule="auto"/>
              <w:jc w:val="both"/>
              <w:rPr>
                <w:rFonts w:eastAsia="Calibri"/>
                <w:sz w:val="20"/>
                <w:lang w:val="fr-CA"/>
              </w:rPr>
            </w:pPr>
          </w:p>
        </w:tc>
        <w:tc>
          <w:tcPr>
            <w:tcW w:w="2330" w:type="pct"/>
          </w:tcPr>
          <w:p w:rsidR="005F24CE" w:rsidRPr="005F24CE" w:rsidRDefault="005F24CE" w:rsidP="005F24CE">
            <w:pPr>
              <w:spacing w:line="276" w:lineRule="auto"/>
              <w:jc w:val="both"/>
              <w:rPr>
                <w:rFonts w:eastAsia="Calibri"/>
                <w:sz w:val="20"/>
                <w:lang w:val="fr-CA"/>
              </w:rPr>
            </w:pPr>
            <w:r w:rsidRPr="005F24CE">
              <w:rPr>
                <w:rFonts w:eastAsia="Calibri"/>
                <w:sz w:val="20"/>
                <w:lang w:val="fr-CA"/>
              </w:rPr>
              <w:t>Dépôt de la demande d’autorisation d’appel</w:t>
            </w:r>
          </w:p>
          <w:p w:rsidR="005F24CE" w:rsidRPr="005F24CE" w:rsidRDefault="005F24CE" w:rsidP="005F24CE">
            <w:pPr>
              <w:spacing w:line="276" w:lineRule="auto"/>
              <w:jc w:val="both"/>
              <w:rPr>
                <w:rFonts w:eastAsia="Calibri"/>
                <w:sz w:val="20"/>
                <w:lang w:val="fr-CA"/>
              </w:rPr>
            </w:pPr>
          </w:p>
        </w:tc>
      </w:tr>
    </w:tbl>
    <w:p w:rsidR="005F24CE" w:rsidRPr="005F24CE" w:rsidRDefault="005F24CE" w:rsidP="005F24CE">
      <w:pPr>
        <w:jc w:val="both"/>
        <w:rPr>
          <w:rFonts w:eastAsia="Calibri"/>
          <w:sz w:val="20"/>
          <w:lang w:val="fr-CA"/>
        </w:rPr>
      </w:pPr>
    </w:p>
    <w:p w:rsidR="005F24CE" w:rsidRPr="005F24CE" w:rsidRDefault="005F24CE" w:rsidP="005F24CE">
      <w:pPr>
        <w:jc w:val="both"/>
        <w:rPr>
          <w:rFonts w:eastAsiaTheme="minorHAnsi"/>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F24CE" w:rsidRPr="005F24CE" w:rsidTr="008B2EB1">
        <w:tc>
          <w:tcPr>
            <w:tcW w:w="543" w:type="pct"/>
          </w:tcPr>
          <w:p w:rsidR="005F24CE" w:rsidRPr="005F24CE" w:rsidRDefault="005F24CE" w:rsidP="005F24CE">
            <w:pPr>
              <w:jc w:val="both"/>
              <w:rPr>
                <w:rFonts w:eastAsiaTheme="minorHAnsi"/>
                <w:sz w:val="20"/>
                <w:lang w:val="en-CA"/>
              </w:rPr>
            </w:pPr>
            <w:r w:rsidRPr="005F24CE">
              <w:rPr>
                <w:rFonts w:eastAsiaTheme="minorHAnsi"/>
                <w:b/>
                <w:sz w:val="20"/>
                <w:lang w:val="en-CA"/>
              </w:rPr>
              <w:t>36601</w:t>
            </w:r>
          </w:p>
        </w:tc>
        <w:tc>
          <w:tcPr>
            <w:tcW w:w="4457" w:type="pct"/>
            <w:gridSpan w:val="3"/>
          </w:tcPr>
          <w:p w:rsidR="005F24CE" w:rsidRPr="005F24CE" w:rsidRDefault="005F24CE" w:rsidP="005F24CE">
            <w:pPr>
              <w:jc w:val="both"/>
              <w:rPr>
                <w:rFonts w:eastAsiaTheme="minorHAnsi"/>
                <w:b/>
                <w:sz w:val="20"/>
                <w:lang w:val="en-CA"/>
              </w:rPr>
            </w:pPr>
            <w:proofErr w:type="spellStart"/>
            <w:r w:rsidRPr="005F24CE">
              <w:rPr>
                <w:rFonts w:eastAsiaTheme="minorHAnsi"/>
                <w:b/>
                <w:sz w:val="20"/>
                <w:lang w:val="en-CA"/>
              </w:rPr>
              <w:t>Sistem</w:t>
            </w:r>
            <w:proofErr w:type="spellEnd"/>
            <w:r w:rsidRPr="005F24CE">
              <w:rPr>
                <w:rFonts w:eastAsiaTheme="minorHAnsi"/>
                <w:b/>
                <w:sz w:val="20"/>
                <w:lang w:val="en-CA"/>
              </w:rPr>
              <w:t xml:space="preserve"> </w:t>
            </w:r>
            <w:proofErr w:type="spellStart"/>
            <w:r w:rsidRPr="005F24CE">
              <w:rPr>
                <w:rFonts w:eastAsiaTheme="minorHAnsi"/>
                <w:b/>
                <w:sz w:val="20"/>
                <w:lang w:val="en-CA"/>
              </w:rPr>
              <w:t>Mühendislik</w:t>
            </w:r>
            <w:proofErr w:type="spellEnd"/>
            <w:r w:rsidRPr="005F24CE">
              <w:rPr>
                <w:rFonts w:eastAsiaTheme="minorHAnsi"/>
                <w:b/>
                <w:sz w:val="20"/>
                <w:lang w:val="en-CA"/>
              </w:rPr>
              <w:t xml:space="preserve"> </w:t>
            </w:r>
            <w:proofErr w:type="spellStart"/>
            <w:r w:rsidRPr="005F24CE">
              <w:rPr>
                <w:rFonts w:eastAsiaTheme="minorHAnsi"/>
                <w:b/>
                <w:sz w:val="20"/>
                <w:lang w:val="en-CA"/>
              </w:rPr>
              <w:t>Insaat</w:t>
            </w:r>
            <w:proofErr w:type="spellEnd"/>
            <w:r w:rsidRPr="005F24CE">
              <w:rPr>
                <w:rFonts w:eastAsiaTheme="minorHAnsi"/>
                <w:b/>
                <w:sz w:val="20"/>
                <w:lang w:val="en-CA"/>
              </w:rPr>
              <w:t xml:space="preserve"> </w:t>
            </w:r>
            <w:proofErr w:type="spellStart"/>
            <w:r w:rsidRPr="005F24CE">
              <w:rPr>
                <w:rFonts w:eastAsiaTheme="minorHAnsi"/>
                <w:b/>
                <w:sz w:val="20"/>
                <w:lang w:val="en-CA"/>
              </w:rPr>
              <w:t>Sanayi</w:t>
            </w:r>
            <w:proofErr w:type="spellEnd"/>
            <w:r w:rsidRPr="005F24CE">
              <w:rPr>
                <w:rFonts w:eastAsiaTheme="minorHAnsi"/>
                <w:b/>
                <w:sz w:val="20"/>
                <w:lang w:val="en-CA"/>
              </w:rPr>
              <w:t xml:space="preserve"> </w:t>
            </w:r>
            <w:proofErr w:type="spellStart"/>
            <w:r w:rsidRPr="005F24CE">
              <w:rPr>
                <w:rFonts w:eastAsiaTheme="minorHAnsi"/>
                <w:b/>
                <w:sz w:val="20"/>
                <w:lang w:val="en-CA"/>
              </w:rPr>
              <w:t>Ve</w:t>
            </w:r>
            <w:proofErr w:type="spellEnd"/>
            <w:r w:rsidRPr="005F24CE">
              <w:rPr>
                <w:rFonts w:eastAsiaTheme="minorHAnsi"/>
                <w:b/>
                <w:sz w:val="20"/>
                <w:lang w:val="en-CA"/>
              </w:rPr>
              <w:t xml:space="preserve"> </w:t>
            </w:r>
            <w:proofErr w:type="spellStart"/>
            <w:r w:rsidRPr="005F24CE">
              <w:rPr>
                <w:rFonts w:eastAsiaTheme="minorHAnsi"/>
                <w:b/>
                <w:sz w:val="20"/>
                <w:lang w:val="en-CA"/>
              </w:rPr>
              <w:t>Ticaret</w:t>
            </w:r>
            <w:proofErr w:type="spellEnd"/>
            <w:r w:rsidRPr="005F24CE">
              <w:rPr>
                <w:rFonts w:eastAsiaTheme="minorHAnsi"/>
                <w:b/>
                <w:sz w:val="20"/>
                <w:lang w:val="en-CA"/>
              </w:rPr>
              <w:t xml:space="preserve"> </w:t>
            </w:r>
            <w:proofErr w:type="spellStart"/>
            <w:r w:rsidRPr="005F24CE">
              <w:rPr>
                <w:rFonts w:eastAsiaTheme="minorHAnsi"/>
                <w:b/>
                <w:sz w:val="20"/>
                <w:lang w:val="en-CA"/>
              </w:rPr>
              <w:t>Anonim</w:t>
            </w:r>
            <w:proofErr w:type="spellEnd"/>
            <w:r w:rsidRPr="005F24CE">
              <w:rPr>
                <w:rFonts w:eastAsiaTheme="minorHAnsi"/>
                <w:b/>
                <w:sz w:val="20"/>
                <w:lang w:val="en-CA"/>
              </w:rPr>
              <w:t xml:space="preserve"> </w:t>
            </w:r>
            <w:proofErr w:type="spellStart"/>
            <w:r w:rsidRPr="005F24CE">
              <w:rPr>
                <w:rFonts w:eastAsiaTheme="minorHAnsi"/>
                <w:b/>
                <w:sz w:val="20"/>
                <w:lang w:val="en-CA"/>
              </w:rPr>
              <w:t>Sirketi</w:t>
            </w:r>
            <w:proofErr w:type="spellEnd"/>
            <w:r w:rsidRPr="005F24CE">
              <w:rPr>
                <w:rFonts w:eastAsiaTheme="minorHAnsi"/>
                <w:b/>
                <w:sz w:val="20"/>
                <w:lang w:val="en-CA"/>
              </w:rPr>
              <w:t xml:space="preserve"> v. Kyrgyz Republic, </w:t>
            </w:r>
            <w:proofErr w:type="spellStart"/>
            <w:r w:rsidRPr="005F24CE">
              <w:rPr>
                <w:rFonts w:eastAsiaTheme="minorHAnsi"/>
                <w:b/>
                <w:sz w:val="20"/>
                <w:lang w:val="en-CA"/>
              </w:rPr>
              <w:t>Kyrgyzaltyn</w:t>
            </w:r>
            <w:proofErr w:type="spellEnd"/>
            <w:r w:rsidRPr="005F24CE">
              <w:rPr>
                <w:rFonts w:eastAsiaTheme="minorHAnsi"/>
                <w:b/>
                <w:sz w:val="20"/>
                <w:lang w:val="en-CA"/>
              </w:rPr>
              <w:t xml:space="preserve"> JSC</w:t>
            </w:r>
          </w:p>
          <w:p w:rsidR="005F24CE" w:rsidRPr="005F24CE" w:rsidRDefault="005F24CE" w:rsidP="005F24CE">
            <w:pPr>
              <w:jc w:val="both"/>
              <w:rPr>
                <w:rFonts w:eastAsiaTheme="minorHAnsi"/>
                <w:sz w:val="20"/>
                <w:lang w:val="en-CA"/>
              </w:rPr>
            </w:pPr>
            <w:r w:rsidRPr="005F24CE">
              <w:rPr>
                <w:rFonts w:eastAsiaTheme="minorHAnsi"/>
                <w:sz w:val="20"/>
                <w:lang w:val="en-CA"/>
              </w:rPr>
              <w:t>(Ont.) (Civil) (By Leave)</w:t>
            </w:r>
          </w:p>
        </w:tc>
      </w:tr>
      <w:tr w:rsidR="005F24CE" w:rsidRPr="005F24CE" w:rsidTr="008B2EB1">
        <w:tc>
          <w:tcPr>
            <w:tcW w:w="5000" w:type="pct"/>
            <w:gridSpan w:val="4"/>
          </w:tcPr>
          <w:p w:rsidR="005F24CE" w:rsidRPr="005F24CE" w:rsidRDefault="005F24CE" w:rsidP="005F24CE">
            <w:pPr>
              <w:jc w:val="both"/>
              <w:rPr>
                <w:rFonts w:eastAsiaTheme="minorHAnsi"/>
                <w:sz w:val="20"/>
                <w:lang w:val="en-CA"/>
              </w:rPr>
            </w:pPr>
            <w:r w:rsidRPr="005F24CE">
              <w:rPr>
                <w:rFonts w:eastAsiaTheme="minorHAnsi"/>
                <w:sz w:val="20"/>
              </w:rPr>
              <w:t xml:space="preserve">Public international law – Private international law – State immunity – Service on foreign state – Does the Court of Appeal’s interpretation of procedural provisions of the </w:t>
            </w:r>
            <w:hyperlink r:id="rId17" w:history="1">
              <w:r w:rsidRPr="005F24CE">
                <w:rPr>
                  <w:rFonts w:eastAsiaTheme="minorHAnsi"/>
                  <w:i/>
                  <w:sz w:val="20"/>
                </w:rPr>
                <w:t>State Immunity Act</w:t>
              </w:r>
              <w:r w:rsidRPr="005F24CE">
                <w:rPr>
                  <w:rFonts w:eastAsiaTheme="minorHAnsi"/>
                  <w:sz w:val="20"/>
                </w:rPr>
                <w:t>, R.S.C. 1985, c. S-18</w:t>
              </w:r>
            </w:hyperlink>
            <w:r w:rsidRPr="005F24CE">
              <w:rPr>
                <w:rFonts w:eastAsiaTheme="minorHAnsi"/>
                <w:sz w:val="20"/>
              </w:rPr>
              <w:t xml:space="preserve"> (the “SIA”), undermine the purpose of restrictive immunity under that statute thereby denying access to justice and permitting foreign states to grant themselves absolute immunity in Canada? – Is the </w:t>
            </w:r>
            <w:r w:rsidRPr="005F24CE">
              <w:rPr>
                <w:rFonts w:eastAsiaTheme="minorHAnsi"/>
                <w:bCs/>
                <w:sz w:val="20"/>
              </w:rPr>
              <w:t xml:space="preserve">Court of Appeal’s interpretation inconsistent with authority in other provinces? – </w:t>
            </w:r>
            <w:r w:rsidRPr="005F24CE">
              <w:rPr>
                <w:rFonts w:eastAsiaTheme="minorHAnsi"/>
                <w:sz w:val="20"/>
              </w:rPr>
              <w:t xml:space="preserve">Does the </w:t>
            </w:r>
            <w:r w:rsidRPr="005F24CE">
              <w:rPr>
                <w:rFonts w:eastAsiaTheme="minorHAnsi"/>
                <w:iCs/>
                <w:sz w:val="20"/>
              </w:rPr>
              <w:t>SIA</w:t>
            </w:r>
            <w:r w:rsidRPr="005F24CE">
              <w:rPr>
                <w:rFonts w:eastAsiaTheme="minorHAnsi"/>
                <w:sz w:val="20"/>
              </w:rPr>
              <w:t>, a federal statute, overrule provincial legislation in respect of matters that are within the exclusive competence of the provinces? –</w:t>
            </w:r>
            <w:r w:rsidRPr="005F24CE">
              <w:rPr>
                <w:rFonts w:eastAsiaTheme="minorHAnsi"/>
                <w:bCs/>
                <w:sz w:val="20"/>
              </w:rPr>
              <w:t xml:space="preserve"> </w:t>
            </w:r>
            <w:hyperlink r:id="rId18" w:history="1">
              <w:r w:rsidRPr="005F24CE">
                <w:rPr>
                  <w:rFonts w:eastAsiaTheme="minorHAnsi"/>
                  <w:i/>
                  <w:sz w:val="20"/>
                </w:rPr>
                <w:t>State Immunity Act</w:t>
              </w:r>
              <w:r w:rsidRPr="005F24CE">
                <w:rPr>
                  <w:rFonts w:eastAsiaTheme="minorHAnsi"/>
                  <w:sz w:val="20"/>
                </w:rPr>
                <w:t xml:space="preserve">, </w:t>
              </w:r>
            </w:hyperlink>
            <w:r w:rsidRPr="005F24CE">
              <w:rPr>
                <w:rFonts w:eastAsiaTheme="minorHAnsi"/>
                <w:sz w:val="20"/>
                <w:lang w:val="en"/>
              </w:rPr>
              <w:t>R.S.C., 1985, c. S-18,</w:t>
            </w:r>
            <w:r w:rsidRPr="005F24CE">
              <w:rPr>
                <w:rFonts w:eastAsiaTheme="minorHAnsi"/>
                <w:sz w:val="20"/>
              </w:rPr>
              <w:t xml:space="preserve"> ss. 9, 17.</w:t>
            </w:r>
          </w:p>
        </w:tc>
      </w:tr>
      <w:tr w:rsidR="005F24CE" w:rsidRPr="005F24CE" w:rsidTr="008B2EB1">
        <w:tc>
          <w:tcPr>
            <w:tcW w:w="5000" w:type="pct"/>
            <w:gridSpan w:val="4"/>
          </w:tcPr>
          <w:p w:rsidR="005F24CE" w:rsidRPr="005F24CE" w:rsidRDefault="005F24CE" w:rsidP="005F24CE">
            <w:pPr>
              <w:jc w:val="both"/>
              <w:rPr>
                <w:rFonts w:eastAsiaTheme="minorHAnsi"/>
                <w:sz w:val="20"/>
                <w:lang w:val="en-CA"/>
              </w:rPr>
            </w:pPr>
          </w:p>
        </w:tc>
      </w:tr>
      <w:tr w:rsidR="005F24CE" w:rsidRPr="005F24CE" w:rsidTr="008B2EB1">
        <w:tc>
          <w:tcPr>
            <w:tcW w:w="5000" w:type="pct"/>
            <w:gridSpan w:val="4"/>
          </w:tcPr>
          <w:p w:rsidR="005F24CE" w:rsidRPr="005F24CE" w:rsidRDefault="005F24CE" w:rsidP="005F24CE">
            <w:pPr>
              <w:jc w:val="both"/>
              <w:rPr>
                <w:rFonts w:eastAsiaTheme="minorHAnsi"/>
                <w:sz w:val="20"/>
                <w:lang w:val="en-CA"/>
              </w:rPr>
            </w:pPr>
            <w:r w:rsidRPr="005F24CE">
              <w:rPr>
                <w:rFonts w:eastAsiaTheme="minorHAnsi"/>
                <w:sz w:val="20"/>
                <w:lang w:val="en-CA"/>
              </w:rPr>
              <w:t>The Applicant, a Turkish company, initiated arbitration proceedings against the Kyrgyz Republic (the “Republic”) under the auspices of the International Centre for Settlement of Investment Disputes, seeking compensation for the loss of its hotel investment. On September 9, 2009, the arbitral tribunal ordered the Republic to pay to the Applicant approximately US $9 million (the “award”).</w:t>
            </w:r>
          </w:p>
          <w:p w:rsidR="005F24CE" w:rsidRPr="005F24CE" w:rsidRDefault="005F24CE" w:rsidP="005F24CE">
            <w:pPr>
              <w:jc w:val="both"/>
              <w:rPr>
                <w:rFonts w:eastAsiaTheme="minorHAnsi"/>
                <w:sz w:val="20"/>
                <w:lang w:val="en-CA"/>
              </w:rPr>
            </w:pPr>
          </w:p>
          <w:p w:rsidR="005F24CE" w:rsidRPr="005F24CE" w:rsidRDefault="005F24CE" w:rsidP="005F24CE">
            <w:pPr>
              <w:jc w:val="both"/>
              <w:rPr>
                <w:rFonts w:eastAsiaTheme="minorHAnsi"/>
                <w:sz w:val="20"/>
              </w:rPr>
            </w:pPr>
            <w:r w:rsidRPr="005F24CE">
              <w:rPr>
                <w:rFonts w:eastAsiaTheme="minorHAnsi"/>
                <w:sz w:val="20"/>
              </w:rPr>
              <w:t xml:space="preserve">On January 5, 2011, the Applicant obtained an order recognizing the award in Ontario. In the course of subsequent enforcement proceedings, it was determined that the Republic held no assets in Ontario. The Respondent </w:t>
            </w:r>
            <w:proofErr w:type="spellStart"/>
            <w:r w:rsidRPr="005F24CE">
              <w:rPr>
                <w:rFonts w:eastAsiaTheme="minorHAnsi"/>
                <w:sz w:val="20"/>
              </w:rPr>
              <w:t>Kyrgyzaltyn</w:t>
            </w:r>
            <w:proofErr w:type="spellEnd"/>
            <w:r w:rsidRPr="005F24CE">
              <w:rPr>
                <w:rFonts w:eastAsiaTheme="minorHAnsi"/>
                <w:sz w:val="20"/>
              </w:rPr>
              <w:t xml:space="preserve"> JSC (“KJSC”), a state-owned Kyrgyz enterprise which holds shares of </w:t>
            </w:r>
            <w:proofErr w:type="spellStart"/>
            <w:r w:rsidRPr="005F24CE">
              <w:rPr>
                <w:rFonts w:eastAsiaTheme="minorHAnsi"/>
                <w:sz w:val="20"/>
              </w:rPr>
              <w:t>Centerra</w:t>
            </w:r>
            <w:proofErr w:type="spellEnd"/>
            <w:r w:rsidRPr="005F24CE">
              <w:rPr>
                <w:rFonts w:eastAsiaTheme="minorHAnsi"/>
                <w:sz w:val="20"/>
              </w:rPr>
              <w:t xml:space="preserve"> Gold, a publicly-traded Canadian mining corporation (the “</w:t>
            </w:r>
            <w:proofErr w:type="spellStart"/>
            <w:r w:rsidRPr="005F24CE">
              <w:rPr>
                <w:rFonts w:eastAsiaTheme="minorHAnsi"/>
                <w:sz w:val="20"/>
              </w:rPr>
              <w:t>Centerra</w:t>
            </w:r>
            <w:proofErr w:type="spellEnd"/>
            <w:r w:rsidRPr="005F24CE">
              <w:rPr>
                <w:rFonts w:eastAsiaTheme="minorHAnsi"/>
                <w:sz w:val="20"/>
              </w:rPr>
              <w:t xml:space="preserve"> shares”), was added as a party against which enforcement was sought. Specifically, the Applicant sought a declaration confirming that the Republic beneficially owns the </w:t>
            </w:r>
            <w:proofErr w:type="spellStart"/>
            <w:r w:rsidRPr="005F24CE">
              <w:rPr>
                <w:rFonts w:eastAsiaTheme="minorHAnsi"/>
                <w:sz w:val="20"/>
              </w:rPr>
              <w:t>Centerra</w:t>
            </w:r>
            <w:proofErr w:type="spellEnd"/>
            <w:r w:rsidRPr="005F24CE">
              <w:rPr>
                <w:rFonts w:eastAsiaTheme="minorHAnsi"/>
                <w:sz w:val="20"/>
              </w:rPr>
              <w:t xml:space="preserve"> shares registered in KJSC’s name.</w:t>
            </w:r>
          </w:p>
          <w:p w:rsidR="005F24CE" w:rsidRPr="005F24CE" w:rsidRDefault="005F24CE" w:rsidP="005F24CE">
            <w:pPr>
              <w:jc w:val="both"/>
              <w:rPr>
                <w:rFonts w:eastAsiaTheme="minorHAnsi"/>
                <w:sz w:val="20"/>
              </w:rPr>
            </w:pPr>
          </w:p>
          <w:p w:rsidR="005F24CE" w:rsidRPr="005F24CE" w:rsidRDefault="005F24CE" w:rsidP="005F24CE">
            <w:pPr>
              <w:jc w:val="both"/>
              <w:rPr>
                <w:rFonts w:eastAsiaTheme="minorHAnsi"/>
                <w:sz w:val="20"/>
                <w:lang w:val="en-CA"/>
              </w:rPr>
            </w:pPr>
            <w:r w:rsidRPr="005F24CE">
              <w:rPr>
                <w:rFonts w:eastAsiaTheme="minorHAnsi"/>
                <w:sz w:val="20"/>
              </w:rPr>
              <w:t xml:space="preserve">KJSC opposed the application for a declaratory order on grounds, </w:t>
            </w:r>
            <w:r w:rsidRPr="005F24CE">
              <w:rPr>
                <w:rFonts w:eastAsiaTheme="minorHAnsi"/>
                <w:i/>
                <w:sz w:val="20"/>
              </w:rPr>
              <w:t>inter alia</w:t>
            </w:r>
            <w:r w:rsidRPr="005F24CE">
              <w:rPr>
                <w:rFonts w:eastAsiaTheme="minorHAnsi"/>
                <w:sz w:val="20"/>
              </w:rPr>
              <w:t xml:space="preserve">, that such an order could not be made without the Republic being properly served in accordance with the </w:t>
            </w:r>
            <w:hyperlink r:id="rId19" w:history="1">
              <w:r w:rsidRPr="005F24CE">
                <w:rPr>
                  <w:rFonts w:eastAsiaTheme="minorHAnsi"/>
                  <w:sz w:val="20"/>
                </w:rPr>
                <w:t>SIA</w:t>
              </w:r>
            </w:hyperlink>
            <w:r w:rsidRPr="005F24CE">
              <w:rPr>
                <w:rFonts w:eastAsiaTheme="minorHAnsi"/>
                <w:sz w:val="20"/>
              </w:rPr>
              <w:t>.</w:t>
            </w:r>
          </w:p>
          <w:p w:rsidR="005F24CE" w:rsidRPr="005F24CE" w:rsidRDefault="005F24CE" w:rsidP="005F24CE">
            <w:pPr>
              <w:jc w:val="both"/>
              <w:rPr>
                <w:rFonts w:eastAsiaTheme="minorHAnsi"/>
                <w:sz w:val="20"/>
                <w:lang w:val="en-CA"/>
              </w:rPr>
            </w:pPr>
          </w:p>
        </w:tc>
      </w:tr>
      <w:tr w:rsidR="005F24CE" w:rsidRPr="005F24CE" w:rsidTr="008B2EB1">
        <w:tc>
          <w:tcPr>
            <w:tcW w:w="2427" w:type="pct"/>
            <w:gridSpan w:val="2"/>
          </w:tcPr>
          <w:p w:rsidR="005F24CE" w:rsidRPr="005F24CE" w:rsidRDefault="005F24CE" w:rsidP="005F24CE">
            <w:pPr>
              <w:jc w:val="both"/>
              <w:rPr>
                <w:rFonts w:eastAsiaTheme="minorHAnsi"/>
                <w:sz w:val="20"/>
                <w:lang w:val="en-CA"/>
              </w:rPr>
            </w:pPr>
            <w:r w:rsidRPr="005F24CE">
              <w:rPr>
                <w:rFonts w:eastAsiaTheme="minorHAnsi"/>
                <w:sz w:val="20"/>
                <w:lang w:val="en-CA"/>
              </w:rPr>
              <w:t>April 15, 2014</w:t>
            </w:r>
          </w:p>
          <w:p w:rsidR="005F24CE" w:rsidRPr="005F24CE" w:rsidRDefault="005F24CE" w:rsidP="005F24CE">
            <w:pPr>
              <w:jc w:val="both"/>
              <w:rPr>
                <w:rFonts w:eastAsiaTheme="minorHAnsi"/>
                <w:sz w:val="20"/>
                <w:lang w:val="en-CA"/>
              </w:rPr>
            </w:pPr>
            <w:r w:rsidRPr="005F24CE">
              <w:rPr>
                <w:rFonts w:eastAsiaTheme="minorHAnsi"/>
                <w:sz w:val="20"/>
                <w:lang w:val="en-CA"/>
              </w:rPr>
              <w:t>Ontario Superior Court of Justice</w:t>
            </w:r>
          </w:p>
          <w:p w:rsidR="005F24CE" w:rsidRPr="005F24CE" w:rsidRDefault="005F24CE" w:rsidP="005F24CE">
            <w:pPr>
              <w:jc w:val="both"/>
              <w:rPr>
                <w:rFonts w:eastAsiaTheme="minorHAnsi"/>
                <w:sz w:val="20"/>
                <w:lang w:val="en-CA"/>
              </w:rPr>
            </w:pPr>
            <w:r w:rsidRPr="005F24CE">
              <w:rPr>
                <w:rFonts w:eastAsiaTheme="minorHAnsi"/>
                <w:sz w:val="20"/>
                <w:lang w:val="en-CA"/>
              </w:rPr>
              <w:t>(</w:t>
            </w:r>
            <w:proofErr w:type="spellStart"/>
            <w:r w:rsidRPr="005F24CE">
              <w:rPr>
                <w:rFonts w:eastAsiaTheme="minorHAnsi"/>
                <w:sz w:val="20"/>
                <w:lang w:val="en-CA"/>
              </w:rPr>
              <w:t>Thorburn</w:t>
            </w:r>
            <w:proofErr w:type="spellEnd"/>
            <w:r w:rsidRPr="005F24CE">
              <w:rPr>
                <w:rFonts w:eastAsiaTheme="minorHAnsi"/>
                <w:sz w:val="20"/>
                <w:lang w:val="en-CA"/>
              </w:rPr>
              <w:t xml:space="preserve"> J.)</w:t>
            </w:r>
          </w:p>
          <w:p w:rsidR="005F24CE" w:rsidRPr="005F24CE" w:rsidRDefault="005F24CE" w:rsidP="005F24CE">
            <w:pPr>
              <w:jc w:val="both"/>
              <w:rPr>
                <w:rFonts w:eastAsiaTheme="minorHAnsi"/>
                <w:sz w:val="20"/>
                <w:lang w:val="en-CA"/>
              </w:rPr>
            </w:pPr>
            <w:r w:rsidRPr="005F24CE">
              <w:rPr>
                <w:rFonts w:eastAsiaTheme="minorHAnsi"/>
                <w:sz w:val="20"/>
                <w:lang w:val="en-CA"/>
              </w:rPr>
              <w:t xml:space="preserve">No. </w:t>
            </w:r>
            <w:bookmarkStart w:id="0" w:name="Text1"/>
            <w:r w:rsidRPr="005F24CE">
              <w:rPr>
                <w:rFonts w:eastAsiaTheme="minorHAnsi"/>
                <w:sz w:val="20"/>
                <w:lang w:val="en-CA"/>
              </w:rPr>
              <w:t>CV-11-9419-00CL</w:t>
            </w:r>
            <w:bookmarkEnd w:id="0"/>
          </w:p>
          <w:p w:rsidR="005F24CE" w:rsidRPr="005F24CE" w:rsidRDefault="00006AE1" w:rsidP="005F24CE">
            <w:pPr>
              <w:jc w:val="both"/>
              <w:rPr>
                <w:rFonts w:eastAsiaTheme="minorHAnsi"/>
                <w:sz w:val="20"/>
                <w:lang w:val="en-CA"/>
              </w:rPr>
            </w:pPr>
            <w:hyperlink r:id="rId20" w:history="1">
              <w:r w:rsidR="005F24CE" w:rsidRPr="005F24CE">
                <w:rPr>
                  <w:rFonts w:eastAsiaTheme="minorHAnsi"/>
                  <w:color w:val="0000FF" w:themeColor="hyperlink"/>
                  <w:sz w:val="20"/>
                  <w:u w:val="single"/>
                  <w:lang w:val="en-CA"/>
                </w:rPr>
                <w:t>2014 ONSC 2407</w:t>
              </w:r>
            </w:hyperlink>
          </w:p>
          <w:p w:rsidR="005F24CE" w:rsidRPr="005F24CE" w:rsidRDefault="005F24CE" w:rsidP="005F24CE">
            <w:pPr>
              <w:jc w:val="both"/>
              <w:rPr>
                <w:rFonts w:eastAsiaTheme="minorHAnsi"/>
                <w:sz w:val="20"/>
                <w:lang w:val="en-CA"/>
              </w:rPr>
            </w:pPr>
          </w:p>
        </w:tc>
        <w:tc>
          <w:tcPr>
            <w:tcW w:w="243" w:type="pct"/>
          </w:tcPr>
          <w:p w:rsidR="005F24CE" w:rsidRPr="005F24CE" w:rsidRDefault="005F24CE" w:rsidP="005F24CE">
            <w:pPr>
              <w:jc w:val="both"/>
              <w:rPr>
                <w:rFonts w:eastAsiaTheme="minorHAnsi"/>
                <w:sz w:val="20"/>
                <w:lang w:val="en-CA"/>
              </w:rPr>
            </w:pPr>
          </w:p>
        </w:tc>
        <w:tc>
          <w:tcPr>
            <w:tcW w:w="2330" w:type="pct"/>
          </w:tcPr>
          <w:p w:rsidR="005F24CE" w:rsidRPr="005F24CE" w:rsidRDefault="005F24CE" w:rsidP="005F24CE">
            <w:pPr>
              <w:jc w:val="both"/>
              <w:rPr>
                <w:rFonts w:eastAsiaTheme="minorHAnsi"/>
                <w:sz w:val="20"/>
                <w:lang w:val="en-CA"/>
              </w:rPr>
            </w:pPr>
            <w:r w:rsidRPr="005F24CE">
              <w:rPr>
                <w:rFonts w:eastAsiaTheme="minorHAnsi"/>
                <w:sz w:val="20"/>
              </w:rPr>
              <w:t>Application for declaratory order allowed.</w:t>
            </w:r>
          </w:p>
        </w:tc>
      </w:tr>
      <w:tr w:rsidR="005F24CE" w:rsidRPr="005F24CE" w:rsidTr="008B2EB1">
        <w:tc>
          <w:tcPr>
            <w:tcW w:w="2427" w:type="pct"/>
            <w:gridSpan w:val="2"/>
          </w:tcPr>
          <w:p w:rsidR="005F24CE" w:rsidRPr="005F24CE" w:rsidRDefault="005F24CE" w:rsidP="005F24CE">
            <w:pPr>
              <w:jc w:val="both"/>
              <w:rPr>
                <w:rFonts w:eastAsiaTheme="minorHAnsi"/>
                <w:sz w:val="20"/>
                <w:lang w:val="en-CA"/>
              </w:rPr>
            </w:pPr>
            <w:r w:rsidRPr="005F24CE">
              <w:rPr>
                <w:rFonts w:eastAsiaTheme="minorHAnsi"/>
                <w:sz w:val="20"/>
                <w:lang w:val="en-CA"/>
              </w:rPr>
              <w:t>June 19, 2015</w:t>
            </w:r>
          </w:p>
          <w:p w:rsidR="005F24CE" w:rsidRPr="005F24CE" w:rsidRDefault="005F24CE" w:rsidP="005F24CE">
            <w:pPr>
              <w:jc w:val="both"/>
              <w:rPr>
                <w:rFonts w:eastAsiaTheme="minorHAnsi"/>
                <w:sz w:val="20"/>
                <w:lang w:val="en-CA"/>
              </w:rPr>
            </w:pPr>
            <w:r w:rsidRPr="005F24CE">
              <w:rPr>
                <w:rFonts w:eastAsiaTheme="minorHAnsi"/>
                <w:sz w:val="20"/>
                <w:lang w:val="en-CA"/>
              </w:rPr>
              <w:t>Court of Appeal for Ontario</w:t>
            </w:r>
          </w:p>
          <w:p w:rsidR="005F24CE" w:rsidRPr="005F24CE" w:rsidRDefault="005F24CE" w:rsidP="005F24CE">
            <w:pPr>
              <w:jc w:val="both"/>
              <w:rPr>
                <w:rFonts w:eastAsiaTheme="minorHAnsi"/>
                <w:sz w:val="20"/>
                <w:lang w:val="en-CA"/>
              </w:rPr>
            </w:pPr>
            <w:r w:rsidRPr="005F24CE">
              <w:rPr>
                <w:rFonts w:eastAsiaTheme="minorHAnsi"/>
                <w:sz w:val="20"/>
                <w:lang w:val="en-CA"/>
              </w:rPr>
              <w:t xml:space="preserve">(Hoy, Feldman and </w:t>
            </w:r>
            <w:proofErr w:type="spellStart"/>
            <w:r w:rsidRPr="005F24CE">
              <w:rPr>
                <w:rFonts w:eastAsiaTheme="minorHAnsi"/>
                <w:sz w:val="20"/>
                <w:lang w:val="en-CA"/>
              </w:rPr>
              <w:t>Lauwers</w:t>
            </w:r>
            <w:proofErr w:type="spellEnd"/>
            <w:r w:rsidRPr="005F24CE">
              <w:rPr>
                <w:rFonts w:eastAsiaTheme="minorHAnsi"/>
                <w:sz w:val="20"/>
                <w:lang w:val="en-CA"/>
              </w:rPr>
              <w:t xml:space="preserve"> JJ.A.)</w:t>
            </w:r>
          </w:p>
          <w:p w:rsidR="005F24CE" w:rsidRPr="005F24CE" w:rsidRDefault="005F24CE" w:rsidP="005F24CE">
            <w:pPr>
              <w:jc w:val="both"/>
              <w:rPr>
                <w:rFonts w:eastAsiaTheme="minorHAnsi"/>
                <w:sz w:val="20"/>
                <w:lang w:val="en-CA"/>
              </w:rPr>
            </w:pPr>
            <w:r w:rsidRPr="005F24CE">
              <w:rPr>
                <w:rFonts w:eastAsiaTheme="minorHAnsi"/>
                <w:sz w:val="20"/>
                <w:lang w:val="en-CA"/>
              </w:rPr>
              <w:t>No. C58711</w:t>
            </w:r>
          </w:p>
          <w:p w:rsidR="005F24CE" w:rsidRPr="005F24CE" w:rsidRDefault="00006AE1" w:rsidP="005F24CE">
            <w:pPr>
              <w:jc w:val="both"/>
              <w:rPr>
                <w:rFonts w:eastAsiaTheme="minorHAnsi"/>
                <w:sz w:val="20"/>
                <w:lang w:val="en-CA"/>
              </w:rPr>
            </w:pPr>
            <w:hyperlink r:id="rId21" w:history="1">
              <w:r w:rsidR="005F24CE" w:rsidRPr="005F24CE">
                <w:rPr>
                  <w:rFonts w:eastAsiaTheme="minorHAnsi"/>
                  <w:color w:val="0000FF" w:themeColor="hyperlink"/>
                  <w:sz w:val="20"/>
                  <w:u w:val="single"/>
                  <w:lang w:val="en-CA"/>
                </w:rPr>
                <w:t>2015 ONCA 447</w:t>
              </w:r>
            </w:hyperlink>
          </w:p>
          <w:p w:rsidR="005F24CE" w:rsidRPr="005F24CE" w:rsidRDefault="005F24CE" w:rsidP="005F24CE">
            <w:pPr>
              <w:jc w:val="both"/>
              <w:rPr>
                <w:rFonts w:eastAsiaTheme="minorHAnsi"/>
                <w:sz w:val="20"/>
                <w:lang w:val="en-CA"/>
              </w:rPr>
            </w:pPr>
          </w:p>
        </w:tc>
        <w:tc>
          <w:tcPr>
            <w:tcW w:w="243" w:type="pct"/>
          </w:tcPr>
          <w:p w:rsidR="005F24CE" w:rsidRPr="005F24CE" w:rsidRDefault="005F24CE" w:rsidP="005F24CE">
            <w:pPr>
              <w:jc w:val="both"/>
              <w:rPr>
                <w:rFonts w:eastAsiaTheme="minorHAnsi"/>
                <w:sz w:val="20"/>
                <w:lang w:val="en-CA"/>
              </w:rPr>
            </w:pPr>
          </w:p>
        </w:tc>
        <w:tc>
          <w:tcPr>
            <w:tcW w:w="2330" w:type="pct"/>
          </w:tcPr>
          <w:p w:rsidR="005F24CE" w:rsidRPr="005F24CE" w:rsidRDefault="005F24CE" w:rsidP="005F24CE">
            <w:pPr>
              <w:jc w:val="both"/>
              <w:rPr>
                <w:rFonts w:eastAsiaTheme="minorHAnsi"/>
                <w:sz w:val="20"/>
                <w:lang w:val="en-CA"/>
              </w:rPr>
            </w:pPr>
            <w:r w:rsidRPr="005F24CE">
              <w:rPr>
                <w:rFonts w:eastAsiaTheme="minorHAnsi"/>
                <w:sz w:val="20"/>
                <w:lang w:val="en-CA"/>
              </w:rPr>
              <w:t>Appeal allowed and declaratory order set aside.</w:t>
            </w:r>
          </w:p>
          <w:p w:rsidR="005F24CE" w:rsidRPr="005F24CE" w:rsidRDefault="005F24CE" w:rsidP="005F24CE">
            <w:pPr>
              <w:jc w:val="both"/>
              <w:rPr>
                <w:rFonts w:eastAsiaTheme="minorHAnsi"/>
                <w:sz w:val="20"/>
                <w:lang w:val="en-CA"/>
              </w:rPr>
            </w:pPr>
          </w:p>
        </w:tc>
      </w:tr>
      <w:tr w:rsidR="005F24CE" w:rsidRPr="005F24CE" w:rsidTr="008B2EB1">
        <w:tc>
          <w:tcPr>
            <w:tcW w:w="2427" w:type="pct"/>
            <w:gridSpan w:val="2"/>
          </w:tcPr>
          <w:p w:rsidR="005F24CE" w:rsidRPr="005F24CE" w:rsidRDefault="005F24CE" w:rsidP="005F24CE">
            <w:pPr>
              <w:jc w:val="both"/>
              <w:rPr>
                <w:rFonts w:eastAsiaTheme="minorHAnsi"/>
                <w:sz w:val="20"/>
                <w:lang w:val="en-CA"/>
              </w:rPr>
            </w:pPr>
            <w:r w:rsidRPr="005F24CE">
              <w:rPr>
                <w:rFonts w:eastAsiaTheme="minorHAnsi"/>
                <w:sz w:val="20"/>
                <w:lang w:val="en-CA"/>
              </w:rPr>
              <w:lastRenderedPageBreak/>
              <w:t>September 10, 2015</w:t>
            </w:r>
          </w:p>
          <w:p w:rsidR="00236277" w:rsidRPr="005F24CE" w:rsidRDefault="005F24CE" w:rsidP="00236277">
            <w:pPr>
              <w:jc w:val="both"/>
              <w:rPr>
                <w:rFonts w:eastAsiaTheme="minorHAnsi"/>
                <w:sz w:val="20"/>
                <w:lang w:val="en-CA"/>
              </w:rPr>
            </w:pPr>
            <w:r w:rsidRPr="005F24CE">
              <w:rPr>
                <w:rFonts w:eastAsiaTheme="minorHAnsi"/>
                <w:sz w:val="20"/>
                <w:lang w:val="en-CA"/>
              </w:rPr>
              <w:t>Supreme Court of Canada</w:t>
            </w:r>
          </w:p>
        </w:tc>
        <w:tc>
          <w:tcPr>
            <w:tcW w:w="243" w:type="pct"/>
          </w:tcPr>
          <w:p w:rsidR="005F24CE" w:rsidRPr="005F24CE" w:rsidRDefault="005F24CE" w:rsidP="005F24CE">
            <w:pPr>
              <w:jc w:val="both"/>
              <w:rPr>
                <w:rFonts w:eastAsiaTheme="minorHAnsi"/>
                <w:sz w:val="20"/>
                <w:lang w:val="en-CA"/>
              </w:rPr>
            </w:pPr>
          </w:p>
        </w:tc>
        <w:tc>
          <w:tcPr>
            <w:tcW w:w="2330" w:type="pct"/>
          </w:tcPr>
          <w:p w:rsidR="005F24CE" w:rsidRPr="005F24CE" w:rsidRDefault="005F24CE" w:rsidP="005F24CE">
            <w:pPr>
              <w:jc w:val="both"/>
              <w:rPr>
                <w:rFonts w:eastAsiaTheme="minorHAnsi"/>
                <w:sz w:val="20"/>
                <w:lang w:val="en-CA"/>
              </w:rPr>
            </w:pPr>
            <w:r w:rsidRPr="005F24CE">
              <w:rPr>
                <w:rFonts w:eastAsiaTheme="minorHAnsi"/>
                <w:sz w:val="20"/>
                <w:lang w:val="en-CA"/>
              </w:rPr>
              <w:t>Application for leave to appeal filed.</w:t>
            </w:r>
          </w:p>
          <w:p w:rsidR="005F24CE" w:rsidRPr="005F24CE" w:rsidRDefault="005F24CE" w:rsidP="005F24CE">
            <w:pPr>
              <w:jc w:val="both"/>
              <w:rPr>
                <w:rFonts w:eastAsiaTheme="minorHAnsi"/>
                <w:sz w:val="20"/>
                <w:lang w:val="en-CA"/>
              </w:rPr>
            </w:pPr>
          </w:p>
        </w:tc>
      </w:tr>
    </w:tbl>
    <w:p w:rsidR="005F24CE" w:rsidRPr="005F24CE" w:rsidRDefault="005F24CE" w:rsidP="005F24CE">
      <w:pPr>
        <w:jc w:val="both"/>
        <w:rPr>
          <w:rFonts w:eastAsiaTheme="minorHAnsi"/>
          <w:sz w:val="20"/>
          <w:lang w:val="en-CA"/>
        </w:rPr>
      </w:pPr>
    </w:p>
    <w:p w:rsidR="005F24CE" w:rsidRPr="005F24CE" w:rsidRDefault="005F24CE" w:rsidP="005F24CE">
      <w:pPr>
        <w:jc w:val="both"/>
        <w:rPr>
          <w:rFonts w:eastAsiaTheme="minorHAnsi"/>
          <w:sz w:val="20"/>
          <w:lang w:val="en-CA"/>
        </w:rPr>
      </w:pPr>
    </w:p>
    <w:tbl>
      <w:tblPr>
        <w:tblW w:w="4950" w:type="pct"/>
        <w:tblCellMar>
          <w:left w:w="0" w:type="dxa"/>
          <w:bottom w:w="99" w:type="dxa"/>
          <w:right w:w="0" w:type="dxa"/>
        </w:tblCellMar>
        <w:tblLook w:val="04A0" w:firstRow="1" w:lastRow="0" w:firstColumn="1" w:lastColumn="0" w:noHBand="0" w:noVBand="1"/>
      </w:tblPr>
      <w:tblGrid>
        <w:gridCol w:w="1007"/>
        <w:gridCol w:w="3491"/>
        <w:gridCol w:w="450"/>
        <w:gridCol w:w="4318"/>
      </w:tblGrid>
      <w:tr w:rsidR="005F24CE" w:rsidRPr="005F24CE" w:rsidTr="005F24CE">
        <w:tc>
          <w:tcPr>
            <w:tcW w:w="543" w:type="pct"/>
            <w:hideMark/>
          </w:tcPr>
          <w:p w:rsidR="005F24CE" w:rsidRPr="005F24CE" w:rsidRDefault="005F24CE" w:rsidP="005F24CE">
            <w:pPr>
              <w:spacing w:line="276" w:lineRule="auto"/>
              <w:jc w:val="both"/>
              <w:rPr>
                <w:rFonts w:eastAsia="Calibri"/>
                <w:sz w:val="20"/>
                <w:lang w:val="fr-CA"/>
              </w:rPr>
            </w:pPr>
            <w:r w:rsidRPr="005F24CE">
              <w:rPr>
                <w:rFonts w:eastAsia="Calibri"/>
                <w:b/>
                <w:sz w:val="20"/>
                <w:lang w:val="fr-CA"/>
              </w:rPr>
              <w:t>36601</w:t>
            </w:r>
          </w:p>
        </w:tc>
        <w:tc>
          <w:tcPr>
            <w:tcW w:w="4457" w:type="pct"/>
            <w:gridSpan w:val="3"/>
            <w:hideMark/>
          </w:tcPr>
          <w:p w:rsidR="005F24CE" w:rsidRPr="005F24CE" w:rsidRDefault="005F24CE" w:rsidP="005F24CE">
            <w:pPr>
              <w:spacing w:line="276" w:lineRule="auto"/>
              <w:jc w:val="both"/>
              <w:rPr>
                <w:rFonts w:eastAsia="Calibri"/>
                <w:b/>
                <w:sz w:val="20"/>
              </w:rPr>
            </w:pPr>
            <w:proofErr w:type="spellStart"/>
            <w:r w:rsidRPr="005F24CE">
              <w:rPr>
                <w:rFonts w:eastAsia="Calibri"/>
                <w:b/>
                <w:sz w:val="20"/>
              </w:rPr>
              <w:t>Sistem</w:t>
            </w:r>
            <w:proofErr w:type="spellEnd"/>
            <w:r w:rsidRPr="005F24CE">
              <w:rPr>
                <w:rFonts w:eastAsia="Calibri"/>
                <w:b/>
                <w:sz w:val="20"/>
              </w:rPr>
              <w:t xml:space="preserve"> </w:t>
            </w:r>
            <w:proofErr w:type="spellStart"/>
            <w:r w:rsidRPr="005F24CE">
              <w:rPr>
                <w:rFonts w:eastAsia="Calibri"/>
                <w:b/>
                <w:sz w:val="20"/>
              </w:rPr>
              <w:t>Mühendislik</w:t>
            </w:r>
            <w:proofErr w:type="spellEnd"/>
            <w:r w:rsidRPr="005F24CE">
              <w:rPr>
                <w:rFonts w:eastAsia="Calibri"/>
                <w:b/>
                <w:sz w:val="20"/>
              </w:rPr>
              <w:t xml:space="preserve"> </w:t>
            </w:r>
            <w:proofErr w:type="spellStart"/>
            <w:r w:rsidRPr="005F24CE">
              <w:rPr>
                <w:rFonts w:eastAsia="Calibri"/>
                <w:b/>
                <w:sz w:val="20"/>
              </w:rPr>
              <w:t>Insaat</w:t>
            </w:r>
            <w:proofErr w:type="spellEnd"/>
            <w:r w:rsidRPr="005F24CE">
              <w:rPr>
                <w:rFonts w:eastAsia="Calibri"/>
                <w:b/>
                <w:sz w:val="20"/>
              </w:rPr>
              <w:t xml:space="preserve"> </w:t>
            </w:r>
            <w:proofErr w:type="spellStart"/>
            <w:r w:rsidRPr="005F24CE">
              <w:rPr>
                <w:rFonts w:eastAsia="Calibri"/>
                <w:b/>
                <w:sz w:val="20"/>
              </w:rPr>
              <w:t>Sanayi</w:t>
            </w:r>
            <w:proofErr w:type="spellEnd"/>
            <w:r w:rsidRPr="005F24CE">
              <w:rPr>
                <w:rFonts w:eastAsia="Calibri"/>
                <w:b/>
                <w:sz w:val="20"/>
              </w:rPr>
              <w:t xml:space="preserve"> </w:t>
            </w:r>
            <w:proofErr w:type="spellStart"/>
            <w:r w:rsidRPr="005F24CE">
              <w:rPr>
                <w:rFonts w:eastAsia="Calibri"/>
                <w:b/>
                <w:sz w:val="20"/>
              </w:rPr>
              <w:t>Ve</w:t>
            </w:r>
            <w:proofErr w:type="spellEnd"/>
            <w:r w:rsidRPr="005F24CE">
              <w:rPr>
                <w:rFonts w:eastAsia="Calibri"/>
                <w:b/>
                <w:sz w:val="20"/>
              </w:rPr>
              <w:t xml:space="preserve"> </w:t>
            </w:r>
            <w:proofErr w:type="spellStart"/>
            <w:r w:rsidRPr="005F24CE">
              <w:rPr>
                <w:rFonts w:eastAsia="Calibri"/>
                <w:b/>
                <w:sz w:val="20"/>
              </w:rPr>
              <w:t>Ticaret</w:t>
            </w:r>
            <w:proofErr w:type="spellEnd"/>
            <w:r w:rsidRPr="005F24CE">
              <w:rPr>
                <w:rFonts w:eastAsia="Calibri"/>
                <w:b/>
                <w:sz w:val="20"/>
              </w:rPr>
              <w:t xml:space="preserve"> </w:t>
            </w:r>
            <w:proofErr w:type="spellStart"/>
            <w:r w:rsidRPr="005F24CE">
              <w:rPr>
                <w:rFonts w:eastAsia="Calibri"/>
                <w:b/>
                <w:sz w:val="20"/>
              </w:rPr>
              <w:t>Anonim</w:t>
            </w:r>
            <w:proofErr w:type="spellEnd"/>
            <w:r w:rsidRPr="005F24CE">
              <w:rPr>
                <w:rFonts w:eastAsia="Calibri"/>
                <w:b/>
                <w:sz w:val="20"/>
              </w:rPr>
              <w:t xml:space="preserve"> </w:t>
            </w:r>
            <w:proofErr w:type="spellStart"/>
            <w:r w:rsidRPr="005F24CE">
              <w:rPr>
                <w:rFonts w:eastAsia="Calibri"/>
                <w:b/>
                <w:sz w:val="20"/>
              </w:rPr>
              <w:t>Sirketi</w:t>
            </w:r>
            <w:proofErr w:type="spellEnd"/>
            <w:r w:rsidRPr="005F24CE">
              <w:rPr>
                <w:rFonts w:eastAsia="Calibri"/>
                <w:b/>
                <w:sz w:val="20"/>
              </w:rPr>
              <w:t xml:space="preserve"> c. </w:t>
            </w:r>
            <w:proofErr w:type="spellStart"/>
            <w:r w:rsidRPr="005F24CE">
              <w:rPr>
                <w:rFonts w:eastAsia="Calibri"/>
                <w:b/>
                <w:sz w:val="20"/>
              </w:rPr>
              <w:t>République</w:t>
            </w:r>
            <w:proofErr w:type="spellEnd"/>
            <w:r w:rsidRPr="005F24CE">
              <w:rPr>
                <w:rFonts w:eastAsia="Calibri"/>
                <w:b/>
                <w:sz w:val="20"/>
              </w:rPr>
              <w:t xml:space="preserve"> </w:t>
            </w:r>
            <w:proofErr w:type="spellStart"/>
            <w:r w:rsidRPr="005F24CE">
              <w:rPr>
                <w:rFonts w:eastAsia="Calibri"/>
                <w:b/>
                <w:sz w:val="20"/>
              </w:rPr>
              <w:t>kirghize</w:t>
            </w:r>
            <w:proofErr w:type="spellEnd"/>
            <w:r w:rsidRPr="005F24CE">
              <w:rPr>
                <w:rFonts w:eastAsia="Calibri"/>
                <w:b/>
                <w:sz w:val="20"/>
              </w:rPr>
              <w:t xml:space="preserve">, </w:t>
            </w:r>
            <w:proofErr w:type="spellStart"/>
            <w:r w:rsidRPr="005F24CE">
              <w:rPr>
                <w:rFonts w:eastAsia="Calibri"/>
                <w:b/>
                <w:sz w:val="20"/>
              </w:rPr>
              <w:t>Kyrgyzaltyn</w:t>
            </w:r>
            <w:proofErr w:type="spellEnd"/>
            <w:r w:rsidRPr="005F24CE">
              <w:rPr>
                <w:rFonts w:eastAsia="Calibri"/>
                <w:b/>
                <w:sz w:val="20"/>
              </w:rPr>
              <w:t xml:space="preserve"> JSC</w:t>
            </w:r>
          </w:p>
          <w:p w:rsidR="005F24CE" w:rsidRPr="005F24CE" w:rsidRDefault="005F24CE" w:rsidP="005F24CE">
            <w:pPr>
              <w:spacing w:line="276" w:lineRule="auto"/>
              <w:jc w:val="both"/>
              <w:rPr>
                <w:rFonts w:eastAsia="Calibri"/>
                <w:sz w:val="20"/>
                <w:lang w:val="fr-CA"/>
              </w:rPr>
            </w:pPr>
            <w:r w:rsidRPr="005F24CE">
              <w:rPr>
                <w:rFonts w:eastAsia="Calibri"/>
                <w:sz w:val="20"/>
                <w:lang w:val="fr-CA"/>
              </w:rPr>
              <w:t>(Ont.) (Civile) (Sur autorisation)</w:t>
            </w:r>
          </w:p>
        </w:tc>
      </w:tr>
      <w:tr w:rsidR="005F24CE" w:rsidRPr="00236277" w:rsidTr="005F24CE">
        <w:tc>
          <w:tcPr>
            <w:tcW w:w="5000" w:type="pct"/>
            <w:gridSpan w:val="4"/>
            <w:hideMark/>
          </w:tcPr>
          <w:p w:rsidR="005F24CE" w:rsidRPr="005F24CE" w:rsidRDefault="005F24CE" w:rsidP="005F24CE">
            <w:pPr>
              <w:spacing w:line="276" w:lineRule="auto"/>
              <w:jc w:val="both"/>
              <w:rPr>
                <w:rFonts w:eastAsia="Calibri"/>
                <w:sz w:val="20"/>
                <w:lang w:val="fr-CA"/>
              </w:rPr>
            </w:pPr>
            <w:r w:rsidRPr="005F24CE">
              <w:rPr>
                <w:rFonts w:eastAsia="Calibri"/>
                <w:sz w:val="20"/>
                <w:lang w:val="fr-CA"/>
              </w:rPr>
              <w:t xml:space="preserve">Droit international public – Droit international privé – Immunité des États – Signification à un État étranger – L’interprétation par la Cour d’appel des dispositions procédurales de la </w:t>
            </w:r>
            <w:hyperlink r:id="rId22" w:history="1">
              <w:r w:rsidRPr="005F24CE">
                <w:rPr>
                  <w:rFonts w:eastAsia="Calibri"/>
                  <w:i/>
                  <w:sz w:val="20"/>
                  <w:lang w:val="fr-CA"/>
                </w:rPr>
                <w:t>Loi sur l’immunité des États</w:t>
              </w:r>
              <w:r w:rsidRPr="005F24CE">
                <w:rPr>
                  <w:rFonts w:eastAsia="Calibri"/>
                  <w:sz w:val="20"/>
                  <w:lang w:val="fr-CA"/>
                </w:rPr>
                <w:t>, L.R.C. 1985, ch. S-18</w:t>
              </w:r>
            </w:hyperlink>
            <w:r w:rsidRPr="005F24CE">
              <w:rPr>
                <w:rFonts w:eastAsia="Calibri"/>
                <w:sz w:val="20"/>
                <w:lang w:val="fr-CA"/>
              </w:rPr>
              <w:t xml:space="preserve"> (la « LIÉ »), a-t-elle pour effet de miner l’objectif de l’immunité restreinte prévue dans cette loi, niant ainsi l’accès à la justice et permettant aux États étrangers de s’accorder eux-mêmes l’immunité absolue au Canada? – L’interprétation donnée par la Cour d’appel est-elle incompatible avec la jurisprudence des autres provinces</w:t>
            </w:r>
            <w:r w:rsidRPr="005F24CE">
              <w:rPr>
                <w:rFonts w:eastAsia="Calibri"/>
                <w:bCs/>
                <w:sz w:val="20"/>
                <w:lang w:val="fr-CA"/>
              </w:rPr>
              <w:t xml:space="preserve">? – </w:t>
            </w:r>
            <w:r w:rsidRPr="005F24CE">
              <w:rPr>
                <w:rFonts w:eastAsia="Calibri"/>
                <w:sz w:val="20"/>
                <w:lang w:val="fr-CA"/>
              </w:rPr>
              <w:t>La LIÉ, une loi fédérale, écarte-t-elle la loi provinciale sur des questions qui relèvent de la compétence exclusive des provinces? –</w:t>
            </w:r>
            <w:r w:rsidRPr="005F24CE">
              <w:rPr>
                <w:rFonts w:eastAsia="Calibri"/>
                <w:bCs/>
                <w:sz w:val="20"/>
                <w:lang w:val="fr-CA"/>
              </w:rPr>
              <w:t xml:space="preserve"> </w:t>
            </w:r>
            <w:hyperlink r:id="rId23" w:history="1">
              <w:r w:rsidRPr="005F24CE">
                <w:rPr>
                  <w:rFonts w:eastAsia="Calibri"/>
                  <w:i/>
                  <w:sz w:val="20"/>
                  <w:lang w:val="fr-CA"/>
                </w:rPr>
                <w:t>Loi sur l’immunité des États</w:t>
              </w:r>
              <w:r w:rsidRPr="005F24CE">
                <w:rPr>
                  <w:rFonts w:eastAsia="Calibri"/>
                  <w:sz w:val="20"/>
                  <w:lang w:val="fr-CA"/>
                </w:rPr>
                <w:t xml:space="preserve">, </w:t>
              </w:r>
            </w:hyperlink>
            <w:r w:rsidRPr="005F24CE">
              <w:rPr>
                <w:rFonts w:eastAsia="Calibri"/>
                <w:sz w:val="20"/>
                <w:lang w:val="fr-CA"/>
              </w:rPr>
              <w:t>L.R.C., 1985, ch. S-18, art. 9, 17.</w:t>
            </w:r>
          </w:p>
        </w:tc>
      </w:tr>
      <w:tr w:rsidR="005F24CE" w:rsidRPr="00236277" w:rsidTr="005F24CE">
        <w:tc>
          <w:tcPr>
            <w:tcW w:w="5000" w:type="pct"/>
            <w:gridSpan w:val="4"/>
          </w:tcPr>
          <w:p w:rsidR="005F24CE" w:rsidRPr="005F24CE" w:rsidRDefault="005F24CE" w:rsidP="005F24CE">
            <w:pPr>
              <w:spacing w:line="276" w:lineRule="auto"/>
              <w:jc w:val="both"/>
              <w:rPr>
                <w:rFonts w:eastAsia="Calibri"/>
                <w:sz w:val="20"/>
                <w:lang w:val="fr-CA"/>
              </w:rPr>
            </w:pPr>
          </w:p>
        </w:tc>
      </w:tr>
      <w:tr w:rsidR="005F24CE" w:rsidRPr="00A35BC1" w:rsidTr="005F24CE">
        <w:tc>
          <w:tcPr>
            <w:tcW w:w="5000" w:type="pct"/>
            <w:gridSpan w:val="4"/>
          </w:tcPr>
          <w:p w:rsidR="005F24CE" w:rsidRPr="005F24CE" w:rsidRDefault="005F24CE" w:rsidP="005F24CE">
            <w:pPr>
              <w:spacing w:line="276" w:lineRule="auto"/>
              <w:jc w:val="both"/>
              <w:rPr>
                <w:rFonts w:eastAsia="Calibri"/>
                <w:sz w:val="20"/>
                <w:lang w:val="fr-CA"/>
              </w:rPr>
            </w:pPr>
            <w:r w:rsidRPr="005F24CE">
              <w:rPr>
                <w:rFonts w:eastAsia="Calibri"/>
                <w:sz w:val="20"/>
                <w:lang w:val="fr-CA"/>
              </w:rPr>
              <w:t>La demanderesse, une société turque, a introduit une demande d’arbitrage contre la République kirghize (la « République ») sous l’égide du Centre international pour le règlement des différends relatifs aux investissements, en vue de se faire indemniser de la perte de son investissement dans un hôtel. Le 9 septembre 2009, le tribunal d’arbitrage a condamné la République à payer environ 9 millions de dollars US à la demanderesse (la « sentence »).</w:t>
            </w:r>
          </w:p>
          <w:p w:rsidR="005F24CE" w:rsidRPr="005F24CE" w:rsidRDefault="005F24CE" w:rsidP="005F24CE">
            <w:pPr>
              <w:spacing w:line="276" w:lineRule="auto"/>
              <w:jc w:val="both"/>
              <w:rPr>
                <w:rFonts w:eastAsia="Calibri"/>
                <w:sz w:val="20"/>
                <w:lang w:val="fr-CA"/>
              </w:rPr>
            </w:pPr>
          </w:p>
          <w:p w:rsidR="005F24CE" w:rsidRPr="005F24CE" w:rsidRDefault="005F24CE" w:rsidP="005F24CE">
            <w:pPr>
              <w:spacing w:line="276" w:lineRule="auto"/>
              <w:jc w:val="both"/>
              <w:rPr>
                <w:rFonts w:eastAsia="Calibri"/>
                <w:sz w:val="20"/>
                <w:lang w:val="fr-CA"/>
              </w:rPr>
            </w:pPr>
            <w:r w:rsidRPr="005F24CE">
              <w:rPr>
                <w:rFonts w:eastAsia="Calibri"/>
                <w:sz w:val="20"/>
                <w:lang w:val="fr-CA"/>
              </w:rPr>
              <w:t xml:space="preserve">Le 5 janvier 2011, la demanderesse a obtenu une ordonnance de reconnaissance de la sentence en Ontario. Dans le cadre d’une demande d’exécution subséquente, il a été jugé que la République ne possédait aucun bien en Ontario. L’intimée, </w:t>
            </w:r>
            <w:proofErr w:type="spellStart"/>
            <w:r w:rsidRPr="005F24CE">
              <w:rPr>
                <w:rFonts w:eastAsia="Calibri"/>
                <w:sz w:val="20"/>
                <w:lang w:val="fr-CA"/>
              </w:rPr>
              <w:t>Kyrgyzaltyn</w:t>
            </w:r>
            <w:proofErr w:type="spellEnd"/>
            <w:r w:rsidRPr="005F24CE">
              <w:rPr>
                <w:rFonts w:eastAsia="Calibri"/>
                <w:sz w:val="20"/>
                <w:lang w:val="fr-CA"/>
              </w:rPr>
              <w:t xml:space="preserve"> JSC (« KJSC »), une entreprise appartenant à l’État kirghize et détentrice d’actions de </w:t>
            </w:r>
            <w:proofErr w:type="spellStart"/>
            <w:r w:rsidRPr="005F24CE">
              <w:rPr>
                <w:rFonts w:eastAsia="Calibri"/>
                <w:sz w:val="20"/>
                <w:lang w:val="fr-CA"/>
              </w:rPr>
              <w:t>Centerra</w:t>
            </w:r>
            <w:proofErr w:type="spellEnd"/>
            <w:r w:rsidRPr="005F24CE">
              <w:rPr>
                <w:rFonts w:eastAsia="Calibri"/>
                <w:sz w:val="20"/>
                <w:lang w:val="fr-CA"/>
              </w:rPr>
              <w:t xml:space="preserve"> Gold, une société minière canadienne cotée en bourse (les « actions de </w:t>
            </w:r>
            <w:proofErr w:type="spellStart"/>
            <w:r w:rsidRPr="005F24CE">
              <w:rPr>
                <w:rFonts w:eastAsia="Calibri"/>
                <w:sz w:val="20"/>
                <w:lang w:val="fr-CA"/>
              </w:rPr>
              <w:t>Centerra</w:t>
            </w:r>
            <w:proofErr w:type="spellEnd"/>
            <w:r w:rsidRPr="005F24CE">
              <w:rPr>
                <w:rFonts w:eastAsia="Calibri"/>
                <w:sz w:val="20"/>
                <w:lang w:val="fr-CA"/>
              </w:rPr>
              <w:t xml:space="preserve"> »), a été ajoutée comme partie contre qui l’exécution était demandée. Plus particulièrement, la demanderesse a sollicité un jugement déclaratoire confirmant que la République était propriétaire véritable des actions de </w:t>
            </w:r>
            <w:proofErr w:type="spellStart"/>
            <w:r w:rsidRPr="005F24CE">
              <w:rPr>
                <w:rFonts w:eastAsia="Calibri"/>
                <w:sz w:val="20"/>
                <w:lang w:val="fr-CA"/>
              </w:rPr>
              <w:t>Centerra</w:t>
            </w:r>
            <w:proofErr w:type="spellEnd"/>
            <w:r w:rsidRPr="005F24CE">
              <w:rPr>
                <w:rFonts w:eastAsia="Calibri"/>
                <w:sz w:val="20"/>
                <w:lang w:val="fr-CA"/>
              </w:rPr>
              <w:t xml:space="preserve"> inscrites au nom de KJSC.</w:t>
            </w:r>
          </w:p>
          <w:p w:rsidR="005F24CE" w:rsidRPr="005F24CE" w:rsidRDefault="005F24CE" w:rsidP="005F24CE">
            <w:pPr>
              <w:spacing w:line="276" w:lineRule="auto"/>
              <w:jc w:val="both"/>
              <w:rPr>
                <w:rFonts w:eastAsia="Calibri"/>
                <w:sz w:val="20"/>
                <w:lang w:val="fr-CA"/>
              </w:rPr>
            </w:pPr>
          </w:p>
          <w:p w:rsidR="005F24CE" w:rsidRPr="005F24CE" w:rsidRDefault="005F24CE" w:rsidP="005F24CE">
            <w:pPr>
              <w:spacing w:line="276" w:lineRule="auto"/>
              <w:jc w:val="both"/>
              <w:rPr>
                <w:rFonts w:eastAsia="Calibri"/>
                <w:sz w:val="20"/>
                <w:lang w:val="fr-CA"/>
              </w:rPr>
            </w:pPr>
            <w:r w:rsidRPr="005F24CE">
              <w:rPr>
                <w:rFonts w:eastAsia="Calibri"/>
                <w:sz w:val="20"/>
                <w:lang w:val="fr-CA"/>
              </w:rPr>
              <w:t>KJSC s’est opposée à la demande de jugement déclaratoire, plaidant notamment qu’un tel jugement ne pouvait pas être rendu sans que la demande ait été valablement signifiée à la République conformément à la LIÉ.</w:t>
            </w:r>
          </w:p>
          <w:p w:rsidR="005F24CE" w:rsidRPr="005F24CE" w:rsidRDefault="005F24CE" w:rsidP="005F24CE">
            <w:pPr>
              <w:spacing w:line="276" w:lineRule="auto"/>
              <w:jc w:val="both"/>
              <w:rPr>
                <w:rFonts w:eastAsia="Calibri"/>
                <w:sz w:val="20"/>
                <w:lang w:val="fr-CA"/>
              </w:rPr>
            </w:pPr>
          </w:p>
        </w:tc>
      </w:tr>
      <w:tr w:rsidR="005F24CE" w:rsidRPr="005F24CE" w:rsidTr="005F24CE">
        <w:tc>
          <w:tcPr>
            <w:tcW w:w="2427" w:type="pct"/>
            <w:gridSpan w:val="2"/>
          </w:tcPr>
          <w:p w:rsidR="005F24CE" w:rsidRPr="005F24CE" w:rsidRDefault="005F24CE" w:rsidP="005F24CE">
            <w:pPr>
              <w:spacing w:line="276" w:lineRule="auto"/>
              <w:jc w:val="both"/>
              <w:rPr>
                <w:rFonts w:eastAsia="Calibri"/>
                <w:sz w:val="20"/>
                <w:lang w:val="fr-CA"/>
              </w:rPr>
            </w:pPr>
            <w:r w:rsidRPr="005F24CE">
              <w:rPr>
                <w:rFonts w:eastAsia="Calibri"/>
                <w:sz w:val="20"/>
                <w:lang w:val="fr-CA"/>
              </w:rPr>
              <w:t>15 avril 2014</w:t>
            </w:r>
          </w:p>
          <w:p w:rsidR="005F24CE" w:rsidRPr="005F24CE" w:rsidRDefault="005F24CE" w:rsidP="005F24CE">
            <w:pPr>
              <w:spacing w:line="276" w:lineRule="auto"/>
              <w:jc w:val="both"/>
              <w:rPr>
                <w:rFonts w:eastAsia="Calibri"/>
                <w:sz w:val="20"/>
                <w:lang w:val="fr-CA"/>
              </w:rPr>
            </w:pPr>
            <w:r w:rsidRPr="005F24CE">
              <w:rPr>
                <w:rFonts w:eastAsia="Calibri"/>
                <w:sz w:val="20"/>
                <w:lang w:val="fr-CA"/>
              </w:rPr>
              <w:t>Cour supérieure de justice de l’Ontario</w:t>
            </w:r>
          </w:p>
          <w:p w:rsidR="005F24CE" w:rsidRPr="005F24CE" w:rsidRDefault="005F24CE" w:rsidP="005F24CE">
            <w:pPr>
              <w:spacing w:line="276" w:lineRule="auto"/>
              <w:jc w:val="both"/>
              <w:rPr>
                <w:rFonts w:eastAsia="Calibri"/>
                <w:sz w:val="20"/>
              </w:rPr>
            </w:pPr>
            <w:r w:rsidRPr="005F24CE">
              <w:rPr>
                <w:rFonts w:eastAsia="Calibri"/>
                <w:sz w:val="20"/>
              </w:rPr>
              <w:t xml:space="preserve">(Juge </w:t>
            </w:r>
            <w:proofErr w:type="spellStart"/>
            <w:r w:rsidRPr="005F24CE">
              <w:rPr>
                <w:rFonts w:eastAsia="Calibri"/>
                <w:sz w:val="20"/>
              </w:rPr>
              <w:t>Thorburn</w:t>
            </w:r>
            <w:proofErr w:type="spellEnd"/>
            <w:r w:rsidRPr="005F24CE">
              <w:rPr>
                <w:rFonts w:eastAsia="Calibri"/>
                <w:sz w:val="20"/>
              </w:rPr>
              <w:t>)</w:t>
            </w:r>
          </w:p>
          <w:p w:rsidR="005F24CE" w:rsidRPr="005F24CE" w:rsidRDefault="005F24CE" w:rsidP="005F24CE">
            <w:pPr>
              <w:spacing w:line="276" w:lineRule="auto"/>
              <w:jc w:val="both"/>
              <w:rPr>
                <w:rFonts w:eastAsia="Calibri"/>
                <w:sz w:val="20"/>
              </w:rPr>
            </w:pPr>
            <w:r w:rsidRPr="005F24CE">
              <w:rPr>
                <w:rFonts w:eastAsia="Calibri"/>
                <w:sz w:val="20"/>
              </w:rPr>
              <w:t>N</w:t>
            </w:r>
            <w:r w:rsidRPr="005F24CE">
              <w:rPr>
                <w:rFonts w:eastAsia="Calibri"/>
                <w:sz w:val="20"/>
                <w:vertAlign w:val="superscript"/>
              </w:rPr>
              <w:t>o</w:t>
            </w:r>
            <w:r w:rsidRPr="005F24CE">
              <w:rPr>
                <w:rFonts w:eastAsia="Calibri"/>
                <w:sz w:val="20"/>
              </w:rPr>
              <w:t xml:space="preserve"> CV-11-9419-00CL</w:t>
            </w:r>
          </w:p>
          <w:p w:rsidR="005F24CE" w:rsidRPr="005F24CE" w:rsidRDefault="00006AE1" w:rsidP="005F24CE">
            <w:pPr>
              <w:spacing w:line="276" w:lineRule="auto"/>
              <w:jc w:val="both"/>
              <w:rPr>
                <w:rFonts w:eastAsia="Calibri"/>
                <w:sz w:val="20"/>
              </w:rPr>
            </w:pPr>
            <w:hyperlink r:id="rId24" w:history="1">
              <w:r w:rsidR="005F24CE" w:rsidRPr="005F24CE">
                <w:rPr>
                  <w:rFonts w:eastAsia="Calibri"/>
                  <w:color w:val="0000FF" w:themeColor="hyperlink"/>
                  <w:sz w:val="20"/>
                  <w:u w:val="single"/>
                </w:rPr>
                <w:t>2014 ONSC 2407</w:t>
              </w:r>
            </w:hyperlink>
          </w:p>
          <w:p w:rsidR="005F24CE" w:rsidRPr="005F24CE" w:rsidRDefault="005F24CE" w:rsidP="005F24CE">
            <w:pPr>
              <w:spacing w:line="276" w:lineRule="auto"/>
              <w:jc w:val="both"/>
              <w:rPr>
                <w:rFonts w:eastAsia="Calibri"/>
                <w:sz w:val="20"/>
              </w:rPr>
            </w:pPr>
          </w:p>
        </w:tc>
        <w:tc>
          <w:tcPr>
            <w:tcW w:w="243" w:type="pct"/>
          </w:tcPr>
          <w:p w:rsidR="005F24CE" w:rsidRPr="005F24CE" w:rsidRDefault="005F24CE" w:rsidP="005F24CE">
            <w:pPr>
              <w:spacing w:line="276" w:lineRule="auto"/>
              <w:jc w:val="both"/>
              <w:rPr>
                <w:rFonts w:eastAsia="Calibri"/>
                <w:sz w:val="20"/>
              </w:rPr>
            </w:pPr>
          </w:p>
        </w:tc>
        <w:tc>
          <w:tcPr>
            <w:tcW w:w="2330" w:type="pct"/>
            <w:hideMark/>
          </w:tcPr>
          <w:p w:rsidR="005F24CE" w:rsidRPr="005F24CE" w:rsidRDefault="005F24CE" w:rsidP="005F24CE">
            <w:pPr>
              <w:spacing w:line="276" w:lineRule="auto"/>
              <w:jc w:val="both"/>
              <w:rPr>
                <w:rFonts w:eastAsia="Calibri"/>
                <w:sz w:val="20"/>
                <w:lang w:val="fr-CA"/>
              </w:rPr>
            </w:pPr>
            <w:r w:rsidRPr="005F24CE">
              <w:rPr>
                <w:rFonts w:eastAsia="Calibri"/>
                <w:sz w:val="20"/>
                <w:lang w:val="fr-CA"/>
              </w:rPr>
              <w:t>Jugement déclaratoire.</w:t>
            </w:r>
          </w:p>
        </w:tc>
      </w:tr>
      <w:tr w:rsidR="005F24CE" w:rsidRPr="00A35BC1" w:rsidTr="005F24CE">
        <w:tc>
          <w:tcPr>
            <w:tcW w:w="2427" w:type="pct"/>
            <w:gridSpan w:val="2"/>
          </w:tcPr>
          <w:p w:rsidR="005F24CE" w:rsidRPr="005F24CE" w:rsidRDefault="005F24CE" w:rsidP="005F24CE">
            <w:pPr>
              <w:spacing w:line="276" w:lineRule="auto"/>
              <w:jc w:val="both"/>
              <w:rPr>
                <w:rFonts w:eastAsia="Calibri"/>
                <w:sz w:val="20"/>
                <w:lang w:val="fr-CA"/>
              </w:rPr>
            </w:pPr>
            <w:r w:rsidRPr="005F24CE">
              <w:rPr>
                <w:rFonts w:eastAsia="Calibri"/>
                <w:sz w:val="20"/>
                <w:lang w:val="fr-CA"/>
              </w:rPr>
              <w:t xml:space="preserve">19 juin 2015 </w:t>
            </w:r>
          </w:p>
          <w:p w:rsidR="005F24CE" w:rsidRPr="005F24CE" w:rsidRDefault="005F24CE" w:rsidP="005F24CE">
            <w:pPr>
              <w:spacing w:line="276" w:lineRule="auto"/>
              <w:jc w:val="both"/>
              <w:rPr>
                <w:rFonts w:eastAsia="Calibri"/>
                <w:sz w:val="20"/>
                <w:lang w:val="fr-CA"/>
              </w:rPr>
            </w:pPr>
            <w:r w:rsidRPr="005F24CE">
              <w:rPr>
                <w:rFonts w:eastAsia="Calibri"/>
                <w:sz w:val="20"/>
                <w:lang w:val="fr-CA"/>
              </w:rPr>
              <w:t>Cour d’appel de l’Ontario</w:t>
            </w:r>
          </w:p>
          <w:p w:rsidR="005F24CE" w:rsidRPr="005F24CE" w:rsidRDefault="005F24CE" w:rsidP="005F24CE">
            <w:pPr>
              <w:spacing w:line="276" w:lineRule="auto"/>
              <w:jc w:val="both"/>
              <w:rPr>
                <w:rFonts w:eastAsia="Calibri"/>
                <w:sz w:val="20"/>
                <w:lang w:val="fr-CA"/>
              </w:rPr>
            </w:pPr>
            <w:r w:rsidRPr="005F24CE">
              <w:rPr>
                <w:rFonts w:eastAsia="Calibri"/>
                <w:sz w:val="20"/>
                <w:lang w:val="fr-CA"/>
              </w:rPr>
              <w:t xml:space="preserve">(Juges </w:t>
            </w:r>
            <w:proofErr w:type="spellStart"/>
            <w:r w:rsidRPr="005F24CE">
              <w:rPr>
                <w:rFonts w:eastAsia="Calibri"/>
                <w:sz w:val="20"/>
                <w:lang w:val="fr-CA"/>
              </w:rPr>
              <w:t>Hoy</w:t>
            </w:r>
            <w:proofErr w:type="spellEnd"/>
            <w:r w:rsidRPr="005F24CE">
              <w:rPr>
                <w:rFonts w:eastAsia="Calibri"/>
                <w:sz w:val="20"/>
                <w:lang w:val="fr-CA"/>
              </w:rPr>
              <w:t xml:space="preserve">, </w:t>
            </w:r>
            <w:proofErr w:type="spellStart"/>
            <w:r w:rsidRPr="005F24CE">
              <w:rPr>
                <w:rFonts w:eastAsia="Calibri"/>
                <w:sz w:val="20"/>
                <w:lang w:val="fr-CA"/>
              </w:rPr>
              <w:t>Feldman</w:t>
            </w:r>
            <w:proofErr w:type="spellEnd"/>
            <w:r w:rsidRPr="005F24CE">
              <w:rPr>
                <w:rFonts w:eastAsia="Calibri"/>
                <w:sz w:val="20"/>
                <w:lang w:val="fr-CA"/>
              </w:rPr>
              <w:t xml:space="preserve"> et </w:t>
            </w:r>
            <w:proofErr w:type="spellStart"/>
            <w:r w:rsidRPr="005F24CE">
              <w:rPr>
                <w:rFonts w:eastAsia="Calibri"/>
                <w:sz w:val="20"/>
                <w:lang w:val="fr-CA"/>
              </w:rPr>
              <w:t>Lauwers</w:t>
            </w:r>
            <w:proofErr w:type="spellEnd"/>
            <w:r w:rsidRPr="005F24CE">
              <w:rPr>
                <w:rFonts w:eastAsia="Calibri"/>
                <w:sz w:val="20"/>
                <w:lang w:val="fr-CA"/>
              </w:rPr>
              <w:t>)</w:t>
            </w:r>
          </w:p>
          <w:p w:rsidR="005F24CE" w:rsidRPr="005F24CE" w:rsidRDefault="005F24CE" w:rsidP="005F24CE">
            <w:pPr>
              <w:spacing w:line="276" w:lineRule="auto"/>
              <w:jc w:val="both"/>
              <w:rPr>
                <w:rFonts w:eastAsia="Calibri"/>
                <w:sz w:val="20"/>
                <w:lang w:val="fr-CA"/>
              </w:rPr>
            </w:pPr>
            <w:r w:rsidRPr="005F24CE">
              <w:rPr>
                <w:rFonts w:eastAsia="Calibri"/>
                <w:sz w:val="20"/>
                <w:lang w:val="fr-CA"/>
              </w:rPr>
              <w:t>N</w:t>
            </w:r>
            <w:r w:rsidRPr="005F24CE">
              <w:rPr>
                <w:rFonts w:eastAsia="Calibri"/>
                <w:sz w:val="20"/>
                <w:vertAlign w:val="superscript"/>
                <w:lang w:val="fr-CA"/>
              </w:rPr>
              <w:t>o</w:t>
            </w:r>
            <w:r w:rsidRPr="005F24CE">
              <w:rPr>
                <w:rFonts w:eastAsia="Calibri"/>
                <w:sz w:val="20"/>
                <w:lang w:val="fr-CA"/>
              </w:rPr>
              <w:t xml:space="preserve"> C58711</w:t>
            </w:r>
          </w:p>
          <w:p w:rsidR="005F24CE" w:rsidRPr="005F24CE" w:rsidRDefault="00006AE1" w:rsidP="005F24CE">
            <w:pPr>
              <w:spacing w:line="276" w:lineRule="auto"/>
              <w:jc w:val="both"/>
              <w:rPr>
                <w:rFonts w:eastAsia="Calibri"/>
                <w:sz w:val="20"/>
                <w:lang w:val="fr-CA"/>
              </w:rPr>
            </w:pPr>
            <w:hyperlink r:id="rId25" w:history="1">
              <w:r w:rsidR="005F24CE" w:rsidRPr="005F24CE">
                <w:rPr>
                  <w:rFonts w:eastAsia="Calibri"/>
                  <w:color w:val="0000FF" w:themeColor="hyperlink"/>
                  <w:sz w:val="20"/>
                  <w:u w:val="single"/>
                  <w:lang w:val="fr-CA"/>
                </w:rPr>
                <w:t>2015 ONCA 447</w:t>
              </w:r>
            </w:hyperlink>
          </w:p>
          <w:p w:rsidR="005F24CE" w:rsidRPr="005F24CE" w:rsidRDefault="005F24CE" w:rsidP="005F24CE">
            <w:pPr>
              <w:spacing w:line="276" w:lineRule="auto"/>
              <w:jc w:val="both"/>
              <w:rPr>
                <w:rFonts w:eastAsia="Calibri"/>
                <w:sz w:val="20"/>
                <w:lang w:val="fr-CA"/>
              </w:rPr>
            </w:pPr>
          </w:p>
        </w:tc>
        <w:tc>
          <w:tcPr>
            <w:tcW w:w="243" w:type="pct"/>
          </w:tcPr>
          <w:p w:rsidR="005F24CE" w:rsidRPr="005F24CE" w:rsidRDefault="005F24CE" w:rsidP="005F24CE">
            <w:pPr>
              <w:spacing w:line="276" w:lineRule="auto"/>
              <w:jc w:val="both"/>
              <w:rPr>
                <w:rFonts w:eastAsia="Calibri"/>
                <w:sz w:val="20"/>
                <w:lang w:val="fr-CA"/>
              </w:rPr>
            </w:pPr>
          </w:p>
        </w:tc>
        <w:tc>
          <w:tcPr>
            <w:tcW w:w="2330" w:type="pct"/>
          </w:tcPr>
          <w:p w:rsidR="005F24CE" w:rsidRPr="005F24CE" w:rsidRDefault="005F24CE" w:rsidP="005F24CE">
            <w:pPr>
              <w:spacing w:line="276" w:lineRule="auto"/>
              <w:jc w:val="both"/>
              <w:rPr>
                <w:rFonts w:eastAsia="Calibri"/>
                <w:sz w:val="20"/>
                <w:lang w:val="fr-CA"/>
              </w:rPr>
            </w:pPr>
            <w:r w:rsidRPr="005F24CE">
              <w:rPr>
                <w:rFonts w:eastAsia="Calibri"/>
                <w:sz w:val="20"/>
                <w:lang w:val="fr-CA"/>
              </w:rPr>
              <w:t>Arrêt accueillant l’appel et annulant le jugement déclaratoire.</w:t>
            </w:r>
          </w:p>
          <w:p w:rsidR="005F24CE" w:rsidRPr="005F24CE" w:rsidRDefault="005F24CE" w:rsidP="005F24CE">
            <w:pPr>
              <w:spacing w:line="276" w:lineRule="auto"/>
              <w:jc w:val="both"/>
              <w:rPr>
                <w:rFonts w:eastAsia="Calibri"/>
                <w:sz w:val="20"/>
                <w:lang w:val="fr-CA"/>
              </w:rPr>
            </w:pPr>
          </w:p>
        </w:tc>
      </w:tr>
      <w:tr w:rsidR="005F24CE" w:rsidRPr="00A35BC1" w:rsidTr="005F24CE">
        <w:tc>
          <w:tcPr>
            <w:tcW w:w="2427" w:type="pct"/>
            <w:gridSpan w:val="2"/>
            <w:hideMark/>
          </w:tcPr>
          <w:p w:rsidR="005F24CE" w:rsidRPr="005F24CE" w:rsidRDefault="005F24CE" w:rsidP="005F24CE">
            <w:pPr>
              <w:spacing w:line="276" w:lineRule="auto"/>
              <w:jc w:val="both"/>
              <w:rPr>
                <w:rFonts w:eastAsia="Calibri"/>
                <w:sz w:val="20"/>
                <w:lang w:val="fr-CA"/>
              </w:rPr>
            </w:pPr>
            <w:r w:rsidRPr="005F24CE">
              <w:rPr>
                <w:rFonts w:eastAsia="Calibri"/>
                <w:sz w:val="20"/>
                <w:lang w:val="fr-CA"/>
              </w:rPr>
              <w:t>10 septembre 2015</w:t>
            </w:r>
          </w:p>
          <w:p w:rsidR="005F24CE" w:rsidRPr="005F24CE" w:rsidRDefault="005F24CE" w:rsidP="005F24CE">
            <w:pPr>
              <w:spacing w:line="276" w:lineRule="auto"/>
              <w:jc w:val="both"/>
              <w:rPr>
                <w:rFonts w:eastAsia="Calibri"/>
                <w:sz w:val="20"/>
                <w:lang w:val="fr-CA"/>
              </w:rPr>
            </w:pPr>
            <w:r w:rsidRPr="005F24CE">
              <w:rPr>
                <w:rFonts w:eastAsia="Calibri"/>
                <w:sz w:val="20"/>
                <w:lang w:val="fr-CA"/>
              </w:rPr>
              <w:lastRenderedPageBreak/>
              <w:t>Cour suprême du Canada</w:t>
            </w:r>
          </w:p>
        </w:tc>
        <w:tc>
          <w:tcPr>
            <w:tcW w:w="243" w:type="pct"/>
          </w:tcPr>
          <w:p w:rsidR="005F24CE" w:rsidRPr="005F24CE" w:rsidRDefault="005F24CE" w:rsidP="005F24CE">
            <w:pPr>
              <w:spacing w:line="276" w:lineRule="auto"/>
              <w:jc w:val="both"/>
              <w:rPr>
                <w:rFonts w:eastAsia="Calibri"/>
                <w:sz w:val="20"/>
                <w:lang w:val="fr-CA"/>
              </w:rPr>
            </w:pPr>
          </w:p>
        </w:tc>
        <w:tc>
          <w:tcPr>
            <w:tcW w:w="2330" w:type="pct"/>
          </w:tcPr>
          <w:p w:rsidR="005F24CE" w:rsidRPr="005F24CE" w:rsidRDefault="005F24CE" w:rsidP="005F24CE">
            <w:pPr>
              <w:spacing w:line="276" w:lineRule="auto"/>
              <w:jc w:val="both"/>
              <w:rPr>
                <w:rFonts w:eastAsia="Calibri"/>
                <w:sz w:val="20"/>
                <w:lang w:val="fr-CA"/>
              </w:rPr>
            </w:pPr>
            <w:r w:rsidRPr="005F24CE">
              <w:rPr>
                <w:rFonts w:eastAsia="Calibri"/>
                <w:sz w:val="20"/>
                <w:lang w:val="fr-CA"/>
              </w:rPr>
              <w:t>Dépôt de la demande d’autorisation d’appel.</w:t>
            </w:r>
          </w:p>
          <w:p w:rsidR="005F24CE" w:rsidRPr="005F24CE" w:rsidRDefault="005F24CE" w:rsidP="005F24CE">
            <w:pPr>
              <w:spacing w:line="276" w:lineRule="auto"/>
              <w:jc w:val="both"/>
              <w:rPr>
                <w:rFonts w:eastAsia="Calibri"/>
                <w:sz w:val="20"/>
                <w:lang w:val="fr-CA"/>
              </w:rPr>
            </w:pPr>
          </w:p>
        </w:tc>
      </w:tr>
    </w:tbl>
    <w:p w:rsidR="005F24CE" w:rsidRPr="005F24CE" w:rsidRDefault="005F24CE" w:rsidP="005F24CE">
      <w:pPr>
        <w:jc w:val="both"/>
        <w:rPr>
          <w:rFonts w:eastAsia="Calibri"/>
          <w:sz w:val="20"/>
          <w:lang w:val="fr-CA"/>
        </w:rPr>
      </w:pPr>
    </w:p>
    <w:p w:rsidR="005F24CE" w:rsidRPr="005F24CE" w:rsidRDefault="005F24CE" w:rsidP="005F24CE">
      <w:pPr>
        <w:jc w:val="both"/>
        <w:rPr>
          <w:rFonts w:eastAsia="Calibri"/>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F24CE" w:rsidRPr="005F24CE" w:rsidTr="008B2EB1">
        <w:tc>
          <w:tcPr>
            <w:tcW w:w="543" w:type="pct"/>
          </w:tcPr>
          <w:p w:rsidR="005F24CE" w:rsidRPr="005F24CE" w:rsidRDefault="005F24CE" w:rsidP="005F24CE">
            <w:pPr>
              <w:jc w:val="both"/>
              <w:rPr>
                <w:rFonts w:eastAsiaTheme="minorHAnsi"/>
                <w:sz w:val="20"/>
                <w:lang w:val="en-CA"/>
              </w:rPr>
            </w:pPr>
            <w:r w:rsidRPr="005F24CE">
              <w:rPr>
                <w:rFonts w:eastAsiaTheme="minorHAnsi"/>
                <w:b/>
                <w:sz w:val="20"/>
                <w:lang w:val="en-CA"/>
              </w:rPr>
              <w:t>36671</w:t>
            </w:r>
          </w:p>
        </w:tc>
        <w:tc>
          <w:tcPr>
            <w:tcW w:w="4457" w:type="pct"/>
            <w:gridSpan w:val="3"/>
          </w:tcPr>
          <w:p w:rsidR="005F24CE" w:rsidRPr="005F24CE" w:rsidRDefault="005F24CE" w:rsidP="005F24CE">
            <w:pPr>
              <w:jc w:val="both"/>
              <w:rPr>
                <w:rFonts w:eastAsiaTheme="minorHAnsi"/>
                <w:b/>
                <w:sz w:val="20"/>
                <w:lang w:val="en-CA"/>
              </w:rPr>
            </w:pPr>
            <w:r w:rsidRPr="005F24CE">
              <w:rPr>
                <w:rFonts w:eastAsiaTheme="minorHAnsi"/>
                <w:b/>
                <w:sz w:val="20"/>
                <w:lang w:val="en-CA"/>
              </w:rPr>
              <w:t xml:space="preserve">Her Majesty the Queen v. Rodney </w:t>
            </w:r>
            <w:proofErr w:type="spellStart"/>
            <w:r w:rsidRPr="005F24CE">
              <w:rPr>
                <w:rFonts w:eastAsiaTheme="minorHAnsi"/>
                <w:b/>
                <w:sz w:val="20"/>
                <w:lang w:val="en-CA"/>
              </w:rPr>
              <w:t>Tingley</w:t>
            </w:r>
            <w:proofErr w:type="spellEnd"/>
            <w:r w:rsidRPr="005F24CE">
              <w:rPr>
                <w:rFonts w:eastAsiaTheme="minorHAnsi"/>
                <w:b/>
                <w:sz w:val="20"/>
                <w:lang w:val="en-CA"/>
              </w:rPr>
              <w:t xml:space="preserve">, Roger </w:t>
            </w:r>
            <w:proofErr w:type="spellStart"/>
            <w:r w:rsidRPr="005F24CE">
              <w:rPr>
                <w:rFonts w:eastAsiaTheme="minorHAnsi"/>
                <w:b/>
                <w:sz w:val="20"/>
                <w:lang w:val="en-CA"/>
              </w:rPr>
              <w:t>Tingley</w:t>
            </w:r>
            <w:proofErr w:type="spellEnd"/>
            <w:r w:rsidRPr="005F24CE">
              <w:rPr>
                <w:rFonts w:eastAsiaTheme="minorHAnsi"/>
                <w:b/>
                <w:sz w:val="20"/>
                <w:lang w:val="en-CA"/>
              </w:rPr>
              <w:t xml:space="preserve">, Christopher </w:t>
            </w:r>
            <w:proofErr w:type="spellStart"/>
            <w:r w:rsidRPr="005F24CE">
              <w:rPr>
                <w:rFonts w:eastAsiaTheme="minorHAnsi"/>
                <w:b/>
                <w:sz w:val="20"/>
                <w:lang w:val="en-CA"/>
              </w:rPr>
              <w:t>Tingley</w:t>
            </w:r>
            <w:proofErr w:type="spellEnd"/>
          </w:p>
          <w:p w:rsidR="005F24CE" w:rsidRPr="005F24CE" w:rsidRDefault="005F24CE" w:rsidP="005F24CE">
            <w:pPr>
              <w:jc w:val="both"/>
              <w:rPr>
                <w:rFonts w:eastAsiaTheme="minorHAnsi"/>
                <w:sz w:val="20"/>
                <w:lang w:val="en-CA"/>
              </w:rPr>
            </w:pPr>
            <w:r w:rsidRPr="005F24CE">
              <w:rPr>
                <w:rFonts w:eastAsiaTheme="minorHAnsi"/>
                <w:sz w:val="20"/>
                <w:lang w:val="en-CA"/>
              </w:rPr>
              <w:t>(N.B.) (Criminal) (By Leave)</w:t>
            </w:r>
          </w:p>
        </w:tc>
      </w:tr>
      <w:tr w:rsidR="005F24CE" w:rsidRPr="005F24CE" w:rsidTr="008B2EB1">
        <w:tc>
          <w:tcPr>
            <w:tcW w:w="5000" w:type="pct"/>
            <w:gridSpan w:val="4"/>
          </w:tcPr>
          <w:p w:rsidR="005F24CE" w:rsidRPr="005F24CE" w:rsidRDefault="005F24CE" w:rsidP="005F24CE">
            <w:pPr>
              <w:jc w:val="both"/>
              <w:rPr>
                <w:rFonts w:eastAsiaTheme="minorHAnsi"/>
                <w:sz w:val="20"/>
                <w:lang w:val="en-CA"/>
              </w:rPr>
            </w:pPr>
          </w:p>
          <w:p w:rsidR="005F24CE" w:rsidRPr="005F24CE" w:rsidRDefault="005F24CE" w:rsidP="005F24CE">
            <w:pPr>
              <w:jc w:val="both"/>
              <w:rPr>
                <w:rFonts w:eastAsiaTheme="minorHAnsi"/>
                <w:smallCaps/>
                <w:sz w:val="20"/>
                <w:lang w:val="en-CA"/>
              </w:rPr>
            </w:pPr>
            <w:r w:rsidRPr="005F24CE">
              <w:rPr>
                <w:rFonts w:eastAsiaTheme="minorHAnsi"/>
                <w:smallCaps/>
                <w:sz w:val="20"/>
                <w:lang w:val="en-CA"/>
              </w:rPr>
              <w:t>(Publication ban in case)</w:t>
            </w:r>
          </w:p>
          <w:p w:rsidR="005F24CE" w:rsidRPr="005F24CE" w:rsidRDefault="005F24CE" w:rsidP="005F24CE">
            <w:pPr>
              <w:jc w:val="both"/>
              <w:rPr>
                <w:rFonts w:eastAsiaTheme="minorHAnsi"/>
                <w:sz w:val="20"/>
                <w:lang w:val="en-CA"/>
              </w:rPr>
            </w:pPr>
          </w:p>
          <w:p w:rsidR="005F24CE" w:rsidRPr="005F24CE" w:rsidRDefault="005F24CE" w:rsidP="005F24CE">
            <w:pPr>
              <w:jc w:val="both"/>
              <w:rPr>
                <w:rFonts w:eastAsiaTheme="minorHAnsi"/>
                <w:sz w:val="20"/>
                <w:lang w:val="en-CA"/>
              </w:rPr>
            </w:pPr>
            <w:proofErr w:type="gramStart"/>
            <w:r w:rsidRPr="005F24CE">
              <w:rPr>
                <w:rFonts w:eastAsiaTheme="minorHAnsi"/>
                <w:sz w:val="20"/>
                <w:lang w:val="en-CA"/>
              </w:rPr>
              <w:t>Constitutional law – Division of powers – Powers of judiciary – Powers of Attorney General – Trial – Abuse of Process – Constitutional line between judicial and executive power relative to judicial inquiry into prosecutorial discretion – Whether Court of Appeal erred by requiring Crown to justify decision to discontinue trial and then appeal directed acquittals – Whether Court of Appeal erred in finding abuse of process – Whether rule against interlocutory appeals applicable to Crown’s decision to halt prosecution and appeal directed acquittals.</w:t>
            </w:r>
            <w:proofErr w:type="gramEnd"/>
          </w:p>
        </w:tc>
      </w:tr>
      <w:tr w:rsidR="005F24CE" w:rsidRPr="005F24CE" w:rsidTr="008B2EB1">
        <w:tc>
          <w:tcPr>
            <w:tcW w:w="5000" w:type="pct"/>
            <w:gridSpan w:val="4"/>
          </w:tcPr>
          <w:p w:rsidR="005F24CE" w:rsidRPr="005F24CE" w:rsidRDefault="005F24CE" w:rsidP="005F24CE">
            <w:pPr>
              <w:jc w:val="both"/>
              <w:rPr>
                <w:rFonts w:eastAsiaTheme="minorHAnsi"/>
                <w:sz w:val="20"/>
                <w:lang w:val="en-CA"/>
              </w:rPr>
            </w:pPr>
          </w:p>
        </w:tc>
      </w:tr>
      <w:tr w:rsidR="005F24CE" w:rsidRPr="005F24CE" w:rsidTr="008B2EB1">
        <w:tc>
          <w:tcPr>
            <w:tcW w:w="5000" w:type="pct"/>
            <w:gridSpan w:val="4"/>
          </w:tcPr>
          <w:p w:rsidR="005F24CE" w:rsidRPr="005F24CE" w:rsidRDefault="005F24CE" w:rsidP="005F24CE">
            <w:pPr>
              <w:jc w:val="both"/>
              <w:rPr>
                <w:rFonts w:eastAsiaTheme="minorHAnsi"/>
                <w:sz w:val="20"/>
                <w:lang w:val="en-CA"/>
              </w:rPr>
            </w:pPr>
            <w:r w:rsidRPr="005F24CE">
              <w:rPr>
                <w:rFonts w:eastAsiaTheme="minorHAnsi"/>
                <w:sz w:val="20"/>
                <w:lang w:val="en-CA"/>
              </w:rPr>
              <w:t xml:space="preserve">The accused </w:t>
            </w:r>
            <w:proofErr w:type="gramStart"/>
            <w:r w:rsidRPr="005F24CE">
              <w:rPr>
                <w:rFonts w:eastAsiaTheme="minorHAnsi"/>
                <w:sz w:val="20"/>
                <w:lang w:val="en-CA"/>
              </w:rPr>
              <w:t>were charged</w:t>
            </w:r>
            <w:proofErr w:type="gramEnd"/>
            <w:r w:rsidRPr="005F24CE">
              <w:rPr>
                <w:rFonts w:eastAsiaTheme="minorHAnsi"/>
                <w:sz w:val="20"/>
                <w:lang w:val="en-CA"/>
              </w:rPr>
              <w:t xml:space="preserve"> with drug and criminal organization offences. In pre-trial proceedings, defence counsel brought a motion challenging a wiretap authorization and a motion to have a Crown counsel removed as counsel at trial or precluded from acting as Crown counsel in the proceedings related to the wiretap authorisation. During the motion to remove Crown counsel, Crown counsel sought to limit cross-examination of a police officer and brought a motion for recusal of the trial judge. The trial judge denied the motion. Crown counsel decided to call no evidence in the trial. Defence counsel applied for directed verdicts of acquittals and the Crown appealed the acquittals.</w:t>
            </w:r>
          </w:p>
          <w:p w:rsidR="005F24CE" w:rsidRPr="005F24CE" w:rsidRDefault="005F24CE" w:rsidP="005F24CE">
            <w:pPr>
              <w:jc w:val="both"/>
              <w:rPr>
                <w:rFonts w:eastAsiaTheme="minorHAnsi"/>
                <w:sz w:val="20"/>
                <w:lang w:val="en-CA"/>
              </w:rPr>
            </w:pPr>
          </w:p>
        </w:tc>
      </w:tr>
      <w:tr w:rsidR="005F24CE" w:rsidRPr="005F24CE" w:rsidTr="008B2EB1">
        <w:tc>
          <w:tcPr>
            <w:tcW w:w="2427" w:type="pct"/>
            <w:gridSpan w:val="2"/>
          </w:tcPr>
          <w:p w:rsidR="005F24CE" w:rsidRPr="005F24CE" w:rsidRDefault="005F24CE" w:rsidP="005F24CE">
            <w:pPr>
              <w:tabs>
                <w:tab w:val="left" w:pos="1182"/>
              </w:tabs>
              <w:jc w:val="both"/>
              <w:rPr>
                <w:rFonts w:eastAsiaTheme="minorHAnsi"/>
                <w:sz w:val="20"/>
                <w:lang w:val="en-CA"/>
              </w:rPr>
            </w:pPr>
            <w:r w:rsidRPr="005F24CE">
              <w:rPr>
                <w:rFonts w:eastAsiaTheme="minorHAnsi"/>
                <w:sz w:val="20"/>
                <w:lang w:val="en-CA"/>
              </w:rPr>
              <w:t>December 9, 2011</w:t>
            </w:r>
          </w:p>
          <w:p w:rsidR="005F24CE" w:rsidRPr="005F24CE" w:rsidRDefault="005F24CE" w:rsidP="005F24CE">
            <w:pPr>
              <w:tabs>
                <w:tab w:val="left" w:pos="1182"/>
              </w:tabs>
              <w:jc w:val="both"/>
              <w:rPr>
                <w:rFonts w:eastAsiaTheme="minorHAnsi"/>
                <w:sz w:val="20"/>
                <w:lang w:val="en-CA"/>
              </w:rPr>
            </w:pPr>
            <w:r w:rsidRPr="005F24CE">
              <w:rPr>
                <w:rFonts w:eastAsiaTheme="minorHAnsi"/>
                <w:sz w:val="20"/>
                <w:lang w:val="en-CA"/>
              </w:rPr>
              <w:t>Court of Queen’s Bench of New Brunswick</w:t>
            </w:r>
          </w:p>
          <w:p w:rsidR="005F24CE" w:rsidRPr="005F24CE" w:rsidRDefault="005F24CE" w:rsidP="005F24CE">
            <w:pPr>
              <w:tabs>
                <w:tab w:val="left" w:pos="1182"/>
              </w:tabs>
              <w:jc w:val="both"/>
              <w:rPr>
                <w:rFonts w:eastAsiaTheme="minorHAnsi"/>
                <w:sz w:val="20"/>
                <w:lang w:val="en-CA"/>
              </w:rPr>
            </w:pPr>
            <w:r w:rsidRPr="005F24CE">
              <w:rPr>
                <w:rFonts w:eastAsiaTheme="minorHAnsi"/>
                <w:sz w:val="20"/>
                <w:lang w:val="en-CA"/>
              </w:rPr>
              <w:t>(McNally J.)</w:t>
            </w:r>
          </w:p>
          <w:p w:rsidR="005F24CE" w:rsidRPr="005F24CE" w:rsidRDefault="005F24CE" w:rsidP="005F24CE">
            <w:pPr>
              <w:tabs>
                <w:tab w:val="left" w:pos="1182"/>
              </w:tabs>
              <w:jc w:val="both"/>
              <w:rPr>
                <w:rFonts w:eastAsiaTheme="minorHAnsi"/>
                <w:sz w:val="20"/>
                <w:lang w:val="en-CA"/>
              </w:rPr>
            </w:pPr>
            <w:r w:rsidRPr="005F24CE">
              <w:rPr>
                <w:rFonts w:eastAsiaTheme="minorHAnsi"/>
                <w:sz w:val="20"/>
                <w:lang w:val="en-CA"/>
              </w:rPr>
              <w:t>M/I/0007/09</w:t>
            </w:r>
          </w:p>
          <w:p w:rsidR="005F24CE" w:rsidRPr="005F24CE" w:rsidRDefault="005F24CE" w:rsidP="005F24CE">
            <w:pPr>
              <w:tabs>
                <w:tab w:val="left" w:pos="1182"/>
              </w:tabs>
              <w:jc w:val="both"/>
              <w:rPr>
                <w:rFonts w:eastAsiaTheme="minorHAnsi"/>
                <w:sz w:val="20"/>
                <w:lang w:val="en-CA"/>
              </w:rPr>
            </w:pPr>
          </w:p>
        </w:tc>
        <w:tc>
          <w:tcPr>
            <w:tcW w:w="243" w:type="pct"/>
          </w:tcPr>
          <w:p w:rsidR="005F24CE" w:rsidRPr="005F24CE" w:rsidRDefault="005F24CE" w:rsidP="005F24CE">
            <w:pPr>
              <w:tabs>
                <w:tab w:val="left" w:pos="1182"/>
              </w:tabs>
              <w:jc w:val="both"/>
              <w:rPr>
                <w:rFonts w:eastAsiaTheme="minorHAnsi"/>
                <w:sz w:val="20"/>
                <w:lang w:val="en-CA"/>
              </w:rPr>
            </w:pPr>
          </w:p>
        </w:tc>
        <w:tc>
          <w:tcPr>
            <w:tcW w:w="2330" w:type="pct"/>
          </w:tcPr>
          <w:p w:rsidR="005F24CE" w:rsidRPr="005F24CE" w:rsidRDefault="005F24CE" w:rsidP="005F24CE">
            <w:pPr>
              <w:tabs>
                <w:tab w:val="left" w:pos="1182"/>
              </w:tabs>
              <w:jc w:val="both"/>
              <w:rPr>
                <w:rFonts w:eastAsiaTheme="minorHAnsi"/>
                <w:sz w:val="20"/>
                <w:lang w:val="en-CA"/>
              </w:rPr>
            </w:pPr>
            <w:r w:rsidRPr="005F24CE">
              <w:rPr>
                <w:rFonts w:eastAsiaTheme="minorHAnsi"/>
                <w:sz w:val="20"/>
                <w:lang w:val="en-CA"/>
              </w:rPr>
              <w:t>Motion for recusal of trial judge or other relief dismissed</w:t>
            </w:r>
          </w:p>
        </w:tc>
      </w:tr>
      <w:tr w:rsidR="005F24CE" w:rsidRPr="005F24CE" w:rsidTr="008B2EB1">
        <w:tc>
          <w:tcPr>
            <w:tcW w:w="2427" w:type="pct"/>
            <w:gridSpan w:val="2"/>
          </w:tcPr>
          <w:p w:rsidR="005F24CE" w:rsidRPr="005F24CE" w:rsidRDefault="005F24CE" w:rsidP="005F24CE">
            <w:pPr>
              <w:jc w:val="both"/>
              <w:rPr>
                <w:rFonts w:eastAsiaTheme="minorHAnsi"/>
                <w:sz w:val="20"/>
                <w:lang w:val="en-CA"/>
              </w:rPr>
            </w:pPr>
            <w:r w:rsidRPr="005F24CE">
              <w:rPr>
                <w:rFonts w:eastAsiaTheme="minorHAnsi"/>
                <w:sz w:val="20"/>
                <w:lang w:val="en-CA"/>
              </w:rPr>
              <w:t>December 15, 2011</w:t>
            </w:r>
          </w:p>
          <w:p w:rsidR="005F24CE" w:rsidRPr="005F24CE" w:rsidRDefault="005F24CE" w:rsidP="005F24CE">
            <w:pPr>
              <w:jc w:val="both"/>
              <w:rPr>
                <w:rFonts w:eastAsiaTheme="minorHAnsi"/>
                <w:sz w:val="20"/>
                <w:lang w:val="en-CA"/>
              </w:rPr>
            </w:pPr>
            <w:r w:rsidRPr="005F24CE">
              <w:rPr>
                <w:rFonts w:eastAsiaTheme="minorHAnsi"/>
                <w:sz w:val="20"/>
                <w:lang w:val="en-CA"/>
              </w:rPr>
              <w:t>Court of Queen’s Bench of New Brunswick</w:t>
            </w:r>
          </w:p>
          <w:p w:rsidR="005F24CE" w:rsidRPr="005F24CE" w:rsidRDefault="005F24CE" w:rsidP="005F24CE">
            <w:pPr>
              <w:jc w:val="both"/>
              <w:rPr>
                <w:rFonts w:eastAsiaTheme="minorHAnsi"/>
                <w:sz w:val="20"/>
                <w:lang w:val="en-CA"/>
              </w:rPr>
            </w:pPr>
            <w:r w:rsidRPr="005F24CE">
              <w:rPr>
                <w:rFonts w:eastAsiaTheme="minorHAnsi"/>
                <w:sz w:val="20"/>
                <w:lang w:val="en-CA"/>
              </w:rPr>
              <w:t xml:space="preserve">(McNally J.) </w:t>
            </w:r>
          </w:p>
        </w:tc>
        <w:tc>
          <w:tcPr>
            <w:tcW w:w="243" w:type="pct"/>
          </w:tcPr>
          <w:p w:rsidR="005F24CE" w:rsidRPr="005F24CE" w:rsidRDefault="005F24CE" w:rsidP="005F24CE">
            <w:pPr>
              <w:jc w:val="both"/>
              <w:rPr>
                <w:rFonts w:eastAsiaTheme="minorHAnsi"/>
                <w:sz w:val="20"/>
                <w:lang w:val="en-CA"/>
              </w:rPr>
            </w:pPr>
          </w:p>
        </w:tc>
        <w:tc>
          <w:tcPr>
            <w:tcW w:w="2330" w:type="pct"/>
          </w:tcPr>
          <w:p w:rsidR="005F24CE" w:rsidRPr="005F24CE" w:rsidRDefault="005F24CE" w:rsidP="005F24CE">
            <w:pPr>
              <w:jc w:val="both"/>
              <w:rPr>
                <w:rFonts w:eastAsiaTheme="minorHAnsi"/>
                <w:sz w:val="20"/>
                <w:lang w:val="en-CA"/>
              </w:rPr>
            </w:pPr>
            <w:r w:rsidRPr="005F24CE">
              <w:rPr>
                <w:rFonts w:eastAsiaTheme="minorHAnsi"/>
                <w:sz w:val="20"/>
                <w:lang w:val="en-CA"/>
              </w:rPr>
              <w:t>Motions granted for directed acquittals on multiple counts including trafficking, conspiracy to traffic, possession for purposes of trafficking, firearms offences and organized crime offences</w:t>
            </w:r>
          </w:p>
          <w:p w:rsidR="005F24CE" w:rsidRPr="005F24CE" w:rsidRDefault="005F24CE" w:rsidP="005F24CE">
            <w:pPr>
              <w:jc w:val="both"/>
              <w:rPr>
                <w:rFonts w:eastAsiaTheme="minorHAnsi"/>
                <w:sz w:val="20"/>
                <w:lang w:val="en-CA"/>
              </w:rPr>
            </w:pPr>
          </w:p>
        </w:tc>
      </w:tr>
      <w:tr w:rsidR="005F24CE" w:rsidRPr="005F24CE" w:rsidTr="008B2EB1">
        <w:tc>
          <w:tcPr>
            <w:tcW w:w="2427" w:type="pct"/>
            <w:gridSpan w:val="2"/>
          </w:tcPr>
          <w:p w:rsidR="005F24CE" w:rsidRPr="005F24CE" w:rsidRDefault="005F24CE" w:rsidP="005F24CE">
            <w:pPr>
              <w:jc w:val="both"/>
              <w:rPr>
                <w:rFonts w:eastAsiaTheme="minorHAnsi"/>
                <w:sz w:val="20"/>
                <w:lang w:val="en-CA"/>
              </w:rPr>
            </w:pPr>
            <w:r w:rsidRPr="005F24CE">
              <w:rPr>
                <w:rFonts w:eastAsiaTheme="minorHAnsi"/>
                <w:sz w:val="20"/>
                <w:lang w:val="en-CA"/>
              </w:rPr>
              <w:t>August 5, 2015</w:t>
            </w:r>
          </w:p>
          <w:p w:rsidR="005F24CE" w:rsidRPr="005F24CE" w:rsidRDefault="005F24CE" w:rsidP="005F24CE">
            <w:pPr>
              <w:jc w:val="both"/>
              <w:rPr>
                <w:rFonts w:eastAsiaTheme="minorHAnsi"/>
                <w:sz w:val="20"/>
                <w:lang w:val="en-CA"/>
              </w:rPr>
            </w:pPr>
            <w:r w:rsidRPr="005F24CE">
              <w:rPr>
                <w:rFonts w:eastAsiaTheme="minorHAnsi"/>
                <w:sz w:val="20"/>
                <w:lang w:val="en-CA"/>
              </w:rPr>
              <w:t>Court of Appeal of New Brunswick</w:t>
            </w:r>
          </w:p>
          <w:p w:rsidR="005F24CE" w:rsidRPr="005F24CE" w:rsidRDefault="005F24CE" w:rsidP="005F24CE">
            <w:pPr>
              <w:jc w:val="both"/>
              <w:rPr>
                <w:rFonts w:eastAsiaTheme="minorHAnsi"/>
                <w:sz w:val="20"/>
                <w:lang w:val="en-CA"/>
              </w:rPr>
            </w:pPr>
            <w:r w:rsidRPr="005F24CE">
              <w:rPr>
                <w:rFonts w:eastAsiaTheme="minorHAnsi"/>
                <w:sz w:val="20"/>
                <w:lang w:val="en-CA"/>
              </w:rPr>
              <w:t xml:space="preserve">(Richard, Bell, </w:t>
            </w:r>
            <w:proofErr w:type="spellStart"/>
            <w:r w:rsidRPr="005F24CE">
              <w:rPr>
                <w:rFonts w:eastAsiaTheme="minorHAnsi"/>
                <w:sz w:val="20"/>
                <w:lang w:val="en-CA"/>
              </w:rPr>
              <w:t>Quigg</w:t>
            </w:r>
            <w:proofErr w:type="spellEnd"/>
            <w:r w:rsidRPr="005F24CE">
              <w:rPr>
                <w:rFonts w:eastAsiaTheme="minorHAnsi"/>
                <w:sz w:val="20"/>
                <w:lang w:val="en-CA"/>
              </w:rPr>
              <w:t xml:space="preserve"> JJ.A.)</w:t>
            </w:r>
          </w:p>
          <w:p w:rsidR="005F24CE" w:rsidRPr="005F24CE" w:rsidRDefault="005F24CE" w:rsidP="005F24CE">
            <w:pPr>
              <w:jc w:val="both"/>
              <w:rPr>
                <w:rFonts w:eastAsiaTheme="minorHAnsi"/>
                <w:sz w:val="20"/>
                <w:lang w:val="en-CA"/>
              </w:rPr>
            </w:pPr>
            <w:r w:rsidRPr="005F24CE">
              <w:rPr>
                <w:rFonts w:eastAsiaTheme="minorHAnsi"/>
                <w:sz w:val="20"/>
                <w:lang w:val="en-CA"/>
              </w:rPr>
              <w:t>177-11-CA; 2015 NBCA 51</w:t>
            </w:r>
          </w:p>
          <w:p w:rsidR="005F24CE" w:rsidRPr="005F24CE" w:rsidRDefault="005F24CE" w:rsidP="005F24CE">
            <w:pPr>
              <w:jc w:val="both"/>
              <w:rPr>
                <w:rFonts w:eastAsiaTheme="minorHAnsi"/>
                <w:sz w:val="20"/>
                <w:lang w:val="en-CA"/>
              </w:rPr>
            </w:pPr>
          </w:p>
        </w:tc>
        <w:tc>
          <w:tcPr>
            <w:tcW w:w="243" w:type="pct"/>
          </w:tcPr>
          <w:p w:rsidR="005F24CE" w:rsidRPr="005F24CE" w:rsidRDefault="005F24CE" w:rsidP="005F24CE">
            <w:pPr>
              <w:jc w:val="both"/>
              <w:rPr>
                <w:rFonts w:eastAsiaTheme="minorHAnsi"/>
                <w:sz w:val="20"/>
                <w:lang w:val="en-CA"/>
              </w:rPr>
            </w:pPr>
          </w:p>
        </w:tc>
        <w:tc>
          <w:tcPr>
            <w:tcW w:w="2330" w:type="pct"/>
          </w:tcPr>
          <w:p w:rsidR="005F24CE" w:rsidRPr="005F24CE" w:rsidRDefault="005F24CE" w:rsidP="005F24CE">
            <w:pPr>
              <w:jc w:val="both"/>
              <w:rPr>
                <w:rFonts w:eastAsiaTheme="minorHAnsi"/>
                <w:sz w:val="20"/>
                <w:lang w:val="en-CA"/>
              </w:rPr>
            </w:pPr>
            <w:r w:rsidRPr="005F24CE">
              <w:rPr>
                <w:rFonts w:eastAsiaTheme="minorHAnsi"/>
                <w:sz w:val="20"/>
                <w:lang w:val="en-CA"/>
              </w:rPr>
              <w:t>Appeal dismissed</w:t>
            </w:r>
          </w:p>
          <w:p w:rsidR="005F24CE" w:rsidRPr="005F24CE" w:rsidRDefault="005F24CE" w:rsidP="005F24CE">
            <w:pPr>
              <w:jc w:val="both"/>
              <w:rPr>
                <w:rFonts w:eastAsiaTheme="minorHAnsi"/>
                <w:sz w:val="20"/>
                <w:lang w:val="en-CA"/>
              </w:rPr>
            </w:pPr>
          </w:p>
        </w:tc>
      </w:tr>
      <w:tr w:rsidR="005F24CE" w:rsidRPr="005F24CE" w:rsidTr="008B2EB1">
        <w:tc>
          <w:tcPr>
            <w:tcW w:w="2427" w:type="pct"/>
            <w:gridSpan w:val="2"/>
          </w:tcPr>
          <w:p w:rsidR="005F24CE" w:rsidRPr="005F24CE" w:rsidRDefault="005F24CE" w:rsidP="005F24CE">
            <w:pPr>
              <w:jc w:val="both"/>
              <w:rPr>
                <w:rFonts w:eastAsiaTheme="minorHAnsi"/>
                <w:sz w:val="20"/>
                <w:lang w:val="en-CA"/>
              </w:rPr>
            </w:pPr>
            <w:r w:rsidRPr="005F24CE">
              <w:rPr>
                <w:rFonts w:eastAsiaTheme="minorHAnsi"/>
                <w:sz w:val="20"/>
                <w:lang w:val="en-CA"/>
              </w:rPr>
              <w:t>October 5, 2015</w:t>
            </w:r>
          </w:p>
          <w:p w:rsidR="005F24CE" w:rsidRPr="005F24CE" w:rsidRDefault="005F24CE" w:rsidP="004758E9">
            <w:pPr>
              <w:jc w:val="both"/>
              <w:rPr>
                <w:rFonts w:eastAsiaTheme="minorHAnsi"/>
                <w:sz w:val="20"/>
                <w:lang w:val="en-CA"/>
              </w:rPr>
            </w:pPr>
            <w:r w:rsidRPr="005F24CE">
              <w:rPr>
                <w:rFonts w:eastAsiaTheme="minorHAnsi"/>
                <w:sz w:val="20"/>
                <w:lang w:val="en-CA"/>
              </w:rPr>
              <w:t>Supreme Court of Canada</w:t>
            </w:r>
          </w:p>
        </w:tc>
        <w:tc>
          <w:tcPr>
            <w:tcW w:w="243" w:type="pct"/>
          </w:tcPr>
          <w:p w:rsidR="005F24CE" w:rsidRPr="005F24CE" w:rsidRDefault="005F24CE" w:rsidP="005F24CE">
            <w:pPr>
              <w:jc w:val="both"/>
              <w:rPr>
                <w:rFonts w:eastAsiaTheme="minorHAnsi"/>
                <w:sz w:val="20"/>
                <w:lang w:val="en-CA"/>
              </w:rPr>
            </w:pPr>
          </w:p>
        </w:tc>
        <w:tc>
          <w:tcPr>
            <w:tcW w:w="2330" w:type="pct"/>
          </w:tcPr>
          <w:p w:rsidR="005F24CE" w:rsidRPr="005F24CE" w:rsidRDefault="005F24CE" w:rsidP="005F24CE">
            <w:pPr>
              <w:jc w:val="both"/>
              <w:rPr>
                <w:rFonts w:eastAsiaTheme="minorHAnsi"/>
                <w:sz w:val="20"/>
                <w:lang w:val="en-CA"/>
              </w:rPr>
            </w:pPr>
            <w:r w:rsidRPr="005F24CE">
              <w:rPr>
                <w:rFonts w:eastAsiaTheme="minorHAnsi"/>
                <w:sz w:val="20"/>
                <w:lang w:val="en-CA"/>
              </w:rPr>
              <w:t>Application for leave to appeal filed</w:t>
            </w:r>
          </w:p>
          <w:p w:rsidR="005F24CE" w:rsidRPr="005F24CE" w:rsidRDefault="005F24CE" w:rsidP="005F24CE">
            <w:pPr>
              <w:jc w:val="both"/>
              <w:rPr>
                <w:rFonts w:eastAsiaTheme="minorHAnsi"/>
                <w:sz w:val="20"/>
                <w:lang w:val="en-CA"/>
              </w:rPr>
            </w:pPr>
          </w:p>
        </w:tc>
      </w:tr>
    </w:tbl>
    <w:p w:rsidR="005F24CE" w:rsidRPr="005F24CE" w:rsidRDefault="005F24CE" w:rsidP="005F24CE">
      <w:pPr>
        <w:jc w:val="both"/>
        <w:rPr>
          <w:rFonts w:eastAsiaTheme="minorHAnsi"/>
          <w:sz w:val="20"/>
          <w:lang w:val="en-CA"/>
        </w:rPr>
      </w:pPr>
    </w:p>
    <w:p w:rsidR="005F24CE" w:rsidRPr="00A35BC1" w:rsidRDefault="005F24CE" w:rsidP="005F24CE">
      <w:pPr>
        <w:jc w:val="both"/>
        <w:rPr>
          <w:rFonts w:eastAsiaTheme="minorHAnsi"/>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F24CE" w:rsidRPr="00A35BC1" w:rsidTr="008B2EB1">
        <w:tc>
          <w:tcPr>
            <w:tcW w:w="543" w:type="pct"/>
          </w:tcPr>
          <w:p w:rsidR="005F24CE" w:rsidRPr="005F24CE" w:rsidRDefault="005F24CE" w:rsidP="005F24CE">
            <w:pPr>
              <w:jc w:val="both"/>
              <w:rPr>
                <w:rFonts w:eastAsiaTheme="minorHAnsi"/>
                <w:sz w:val="20"/>
                <w:lang w:val="en-CA"/>
              </w:rPr>
            </w:pPr>
            <w:r w:rsidRPr="005F24CE">
              <w:rPr>
                <w:rFonts w:eastAsiaTheme="minorHAnsi"/>
                <w:b/>
                <w:sz w:val="20"/>
                <w:lang w:val="en-CA"/>
              </w:rPr>
              <w:t>36671</w:t>
            </w:r>
          </w:p>
        </w:tc>
        <w:tc>
          <w:tcPr>
            <w:tcW w:w="4457" w:type="pct"/>
            <w:gridSpan w:val="3"/>
          </w:tcPr>
          <w:p w:rsidR="005F24CE" w:rsidRPr="005F24CE" w:rsidRDefault="005F24CE" w:rsidP="005F24CE">
            <w:pPr>
              <w:jc w:val="both"/>
              <w:rPr>
                <w:rFonts w:eastAsiaTheme="minorHAnsi"/>
                <w:b/>
                <w:sz w:val="20"/>
                <w:lang w:val="en-CA"/>
              </w:rPr>
            </w:pPr>
            <w:r w:rsidRPr="005F24CE">
              <w:rPr>
                <w:rFonts w:eastAsiaTheme="minorHAnsi"/>
                <w:b/>
                <w:sz w:val="20"/>
                <w:lang w:val="en-CA"/>
              </w:rPr>
              <w:t xml:space="preserve">Sa </w:t>
            </w:r>
            <w:proofErr w:type="spellStart"/>
            <w:r w:rsidRPr="005F24CE">
              <w:rPr>
                <w:rFonts w:eastAsiaTheme="minorHAnsi"/>
                <w:b/>
                <w:sz w:val="20"/>
                <w:lang w:val="en-CA"/>
              </w:rPr>
              <w:t>Majesté</w:t>
            </w:r>
            <w:proofErr w:type="spellEnd"/>
            <w:r w:rsidRPr="005F24CE">
              <w:rPr>
                <w:rFonts w:eastAsiaTheme="minorHAnsi"/>
                <w:b/>
                <w:sz w:val="20"/>
                <w:lang w:val="en-CA"/>
              </w:rPr>
              <w:t xml:space="preserve"> la </w:t>
            </w:r>
            <w:proofErr w:type="spellStart"/>
            <w:r w:rsidRPr="005F24CE">
              <w:rPr>
                <w:rFonts w:eastAsiaTheme="minorHAnsi"/>
                <w:b/>
                <w:sz w:val="20"/>
                <w:lang w:val="en-CA"/>
              </w:rPr>
              <w:t>Reine</w:t>
            </w:r>
            <w:proofErr w:type="spellEnd"/>
            <w:r w:rsidRPr="005F24CE">
              <w:rPr>
                <w:rFonts w:eastAsiaTheme="minorHAnsi"/>
                <w:b/>
                <w:sz w:val="20"/>
                <w:lang w:val="en-CA"/>
              </w:rPr>
              <w:t xml:space="preserve"> c. Rodney </w:t>
            </w:r>
            <w:proofErr w:type="spellStart"/>
            <w:r w:rsidRPr="005F24CE">
              <w:rPr>
                <w:rFonts w:eastAsiaTheme="minorHAnsi"/>
                <w:b/>
                <w:sz w:val="20"/>
                <w:lang w:val="en-CA"/>
              </w:rPr>
              <w:t>Tingley</w:t>
            </w:r>
            <w:proofErr w:type="spellEnd"/>
            <w:r w:rsidRPr="005F24CE">
              <w:rPr>
                <w:rFonts w:eastAsiaTheme="minorHAnsi"/>
                <w:b/>
                <w:sz w:val="20"/>
                <w:lang w:val="en-CA"/>
              </w:rPr>
              <w:t xml:space="preserve">, Roger </w:t>
            </w:r>
            <w:proofErr w:type="spellStart"/>
            <w:r w:rsidRPr="005F24CE">
              <w:rPr>
                <w:rFonts w:eastAsiaTheme="minorHAnsi"/>
                <w:b/>
                <w:sz w:val="20"/>
                <w:lang w:val="en-CA"/>
              </w:rPr>
              <w:t>Tingley</w:t>
            </w:r>
            <w:proofErr w:type="spellEnd"/>
            <w:r w:rsidRPr="005F24CE">
              <w:rPr>
                <w:rFonts w:eastAsiaTheme="minorHAnsi"/>
                <w:b/>
                <w:sz w:val="20"/>
                <w:lang w:val="en-CA"/>
              </w:rPr>
              <w:t xml:space="preserve">, Christopher </w:t>
            </w:r>
            <w:proofErr w:type="spellStart"/>
            <w:r w:rsidRPr="005F24CE">
              <w:rPr>
                <w:rFonts w:eastAsiaTheme="minorHAnsi"/>
                <w:b/>
                <w:sz w:val="20"/>
                <w:lang w:val="en-CA"/>
              </w:rPr>
              <w:t>Tingley</w:t>
            </w:r>
            <w:proofErr w:type="spellEnd"/>
          </w:p>
          <w:p w:rsidR="005F24CE" w:rsidRPr="005F24CE" w:rsidRDefault="005F24CE" w:rsidP="005F24CE">
            <w:pPr>
              <w:jc w:val="both"/>
              <w:rPr>
                <w:rFonts w:eastAsiaTheme="minorHAnsi"/>
                <w:sz w:val="20"/>
                <w:lang w:val="fr-CA"/>
              </w:rPr>
            </w:pPr>
            <w:r w:rsidRPr="005F24CE">
              <w:rPr>
                <w:rFonts w:eastAsiaTheme="minorHAnsi"/>
                <w:sz w:val="20"/>
                <w:lang w:val="fr-CA"/>
              </w:rPr>
              <w:t>(N.-B.) (Criminelle) (Sur autorisation)</w:t>
            </w:r>
          </w:p>
        </w:tc>
      </w:tr>
      <w:tr w:rsidR="005F24CE" w:rsidRPr="00A35BC1" w:rsidTr="008B2EB1">
        <w:tc>
          <w:tcPr>
            <w:tcW w:w="5000" w:type="pct"/>
            <w:gridSpan w:val="4"/>
          </w:tcPr>
          <w:p w:rsidR="005F24CE" w:rsidRPr="005F24CE" w:rsidRDefault="005F24CE" w:rsidP="005F24CE">
            <w:pPr>
              <w:jc w:val="both"/>
              <w:rPr>
                <w:rFonts w:eastAsiaTheme="minorHAnsi"/>
                <w:sz w:val="20"/>
                <w:lang w:val="fr-CA"/>
              </w:rPr>
            </w:pPr>
          </w:p>
          <w:p w:rsidR="005F24CE" w:rsidRPr="005F24CE" w:rsidRDefault="005F24CE" w:rsidP="005F24CE">
            <w:pPr>
              <w:jc w:val="both"/>
              <w:rPr>
                <w:rFonts w:eastAsiaTheme="minorHAnsi"/>
                <w:smallCaps/>
                <w:sz w:val="20"/>
                <w:lang w:val="fr-CA"/>
              </w:rPr>
            </w:pPr>
            <w:r w:rsidRPr="005F24CE">
              <w:rPr>
                <w:rFonts w:eastAsiaTheme="minorHAnsi"/>
                <w:smallCaps/>
                <w:sz w:val="20"/>
                <w:lang w:val="fr-CA"/>
              </w:rPr>
              <w:t>(ordonnance de non-publication dans le dossier)</w:t>
            </w:r>
          </w:p>
          <w:p w:rsidR="005F24CE" w:rsidRPr="005F24CE" w:rsidRDefault="005F24CE" w:rsidP="005F24CE">
            <w:pPr>
              <w:jc w:val="both"/>
              <w:rPr>
                <w:rFonts w:eastAsiaTheme="minorHAnsi"/>
                <w:sz w:val="20"/>
                <w:lang w:val="fr-CA"/>
              </w:rPr>
            </w:pPr>
          </w:p>
          <w:p w:rsidR="005F24CE" w:rsidRPr="005F24CE" w:rsidRDefault="005F24CE" w:rsidP="005F24CE">
            <w:pPr>
              <w:jc w:val="both"/>
              <w:rPr>
                <w:rFonts w:eastAsiaTheme="minorHAnsi"/>
                <w:sz w:val="20"/>
                <w:lang w:val="fr-CA"/>
              </w:rPr>
            </w:pPr>
            <w:r w:rsidRPr="005F24CE">
              <w:rPr>
                <w:rFonts w:eastAsiaTheme="minorHAnsi"/>
                <w:sz w:val="20"/>
                <w:lang w:val="fr-CA"/>
              </w:rPr>
              <w:t xml:space="preserve">Droit constitutionnel – Séparation des pouvoirs – Pouvoirs des tribunaux – Pouvoirs du procureur général – Procès – Abus de procédure – Limite constitutionnelle entre les pouvoirs judiciaire et exécutif au chapitre du contrôle par les tribunaux du pouvoir discrétionnaire de la poursuite – La Cour d’appel a-t-elle fait erreur en obligeant le ministère public à justifier sa décision de mettre fin au procès avant d’interjeter appel des verdicts imposés d’acquittement? – La Cour d’appel a-t-elle commis une erreur en concluant à l’abus de procédure? – La règle interdisant les appels </w:t>
            </w:r>
            <w:r w:rsidRPr="005F24CE">
              <w:rPr>
                <w:rFonts w:eastAsiaTheme="minorHAnsi"/>
                <w:sz w:val="20"/>
                <w:lang w:val="fr-CA"/>
              </w:rPr>
              <w:lastRenderedPageBreak/>
              <w:t xml:space="preserve">interlocutoires s’applique-t-elle à la décision du ministère public d’abandonner la poursuite et d’appeler des verdicts imposés d’acquittement? </w:t>
            </w:r>
          </w:p>
        </w:tc>
      </w:tr>
      <w:tr w:rsidR="005F24CE" w:rsidRPr="00A35BC1" w:rsidTr="008B2EB1">
        <w:tc>
          <w:tcPr>
            <w:tcW w:w="5000" w:type="pct"/>
            <w:gridSpan w:val="4"/>
          </w:tcPr>
          <w:p w:rsidR="005F24CE" w:rsidRPr="005F24CE" w:rsidRDefault="005F24CE" w:rsidP="005F24CE">
            <w:pPr>
              <w:jc w:val="both"/>
              <w:rPr>
                <w:rFonts w:eastAsiaTheme="minorHAnsi"/>
                <w:sz w:val="20"/>
                <w:lang w:val="fr-CA"/>
              </w:rPr>
            </w:pPr>
          </w:p>
        </w:tc>
      </w:tr>
      <w:tr w:rsidR="005F24CE" w:rsidRPr="00A35BC1" w:rsidTr="008B2EB1">
        <w:tc>
          <w:tcPr>
            <w:tcW w:w="5000" w:type="pct"/>
            <w:gridSpan w:val="4"/>
          </w:tcPr>
          <w:p w:rsidR="005F24CE" w:rsidRPr="005F24CE" w:rsidRDefault="005F24CE" w:rsidP="005F24CE">
            <w:pPr>
              <w:jc w:val="both"/>
              <w:rPr>
                <w:rFonts w:eastAsiaTheme="minorHAnsi"/>
                <w:sz w:val="20"/>
                <w:lang w:val="fr-CA"/>
              </w:rPr>
            </w:pPr>
            <w:r w:rsidRPr="005F24CE">
              <w:rPr>
                <w:rFonts w:eastAsiaTheme="minorHAnsi"/>
                <w:sz w:val="20"/>
                <w:lang w:val="fr-CA"/>
              </w:rPr>
              <w:t>Les accusés ont été inculpés d’infractions liées aux drogues et d’infractions d’organisation criminelle. Durant les procédures préliminaires, les avocats de la défense ont présenté une requête contestant une autorisation d’intercepter des conversations téléphoniques et une requête visant à faire cesser d’occuper au procès un procureur du ministère public ou à l’empêcher d’agir à ce titre au cours de la procédure portant sur l’autorisation d’intercepter des conversations téléphoniques. Pendant l’instruction de la requête pour faire cesser d’occuper le procureur du ministère public, des procureurs du ministère public ont cherché à restreindre le contre-interrogatoire d’un policier et ont déposé une requête en récusation du juge du première instance, qui la rejeta. Les procureurs du ministère public ont décidé de ne produire aucune preuve au procès. Les avocats de la défense ont demandé des verdicts imposés d’acquittement et le ministère public a fait appel des acquittements.</w:t>
            </w:r>
          </w:p>
          <w:p w:rsidR="005F24CE" w:rsidRPr="005F24CE" w:rsidRDefault="005F24CE" w:rsidP="005F24CE">
            <w:pPr>
              <w:jc w:val="both"/>
              <w:rPr>
                <w:rFonts w:eastAsiaTheme="minorHAnsi"/>
                <w:sz w:val="20"/>
                <w:lang w:val="fr-CA"/>
              </w:rPr>
            </w:pPr>
          </w:p>
        </w:tc>
      </w:tr>
      <w:tr w:rsidR="005F24CE" w:rsidRPr="00A35BC1" w:rsidTr="008B2EB1">
        <w:tc>
          <w:tcPr>
            <w:tcW w:w="2427" w:type="pct"/>
            <w:gridSpan w:val="2"/>
          </w:tcPr>
          <w:p w:rsidR="005F24CE" w:rsidRPr="005F24CE" w:rsidRDefault="005F24CE" w:rsidP="005F24CE">
            <w:pPr>
              <w:tabs>
                <w:tab w:val="left" w:pos="1182"/>
              </w:tabs>
              <w:jc w:val="both"/>
              <w:rPr>
                <w:rFonts w:eastAsiaTheme="minorHAnsi"/>
                <w:sz w:val="20"/>
                <w:lang w:val="fr-CA"/>
              </w:rPr>
            </w:pPr>
            <w:r w:rsidRPr="005F24CE">
              <w:rPr>
                <w:rFonts w:eastAsiaTheme="minorHAnsi"/>
                <w:sz w:val="20"/>
                <w:lang w:val="fr-CA"/>
              </w:rPr>
              <w:t>9 décembre 2011</w:t>
            </w:r>
          </w:p>
          <w:p w:rsidR="005F24CE" w:rsidRPr="005F24CE" w:rsidRDefault="005F24CE" w:rsidP="005F24CE">
            <w:pPr>
              <w:tabs>
                <w:tab w:val="left" w:pos="1182"/>
              </w:tabs>
              <w:jc w:val="both"/>
              <w:rPr>
                <w:rFonts w:eastAsiaTheme="minorHAnsi"/>
                <w:sz w:val="20"/>
                <w:lang w:val="fr-CA"/>
              </w:rPr>
            </w:pPr>
            <w:r w:rsidRPr="005F24CE">
              <w:rPr>
                <w:rFonts w:eastAsiaTheme="minorHAnsi"/>
                <w:sz w:val="20"/>
                <w:lang w:val="fr-CA"/>
              </w:rPr>
              <w:t>Cour du Banc de la Reine du Nouveau-Brunswick</w:t>
            </w:r>
          </w:p>
          <w:p w:rsidR="005F24CE" w:rsidRPr="005F24CE" w:rsidRDefault="005F24CE" w:rsidP="005F24CE">
            <w:pPr>
              <w:tabs>
                <w:tab w:val="left" w:pos="1182"/>
              </w:tabs>
              <w:jc w:val="both"/>
              <w:rPr>
                <w:rFonts w:eastAsiaTheme="minorHAnsi"/>
                <w:sz w:val="20"/>
                <w:lang w:val="en-CA"/>
              </w:rPr>
            </w:pPr>
            <w:r w:rsidRPr="005F24CE">
              <w:rPr>
                <w:rFonts w:eastAsiaTheme="minorHAnsi"/>
                <w:sz w:val="20"/>
                <w:lang w:val="en-CA"/>
              </w:rPr>
              <w:t>(Juge McNally)</w:t>
            </w:r>
          </w:p>
          <w:p w:rsidR="005F24CE" w:rsidRPr="005F24CE" w:rsidRDefault="005F24CE" w:rsidP="005F24CE">
            <w:pPr>
              <w:tabs>
                <w:tab w:val="left" w:pos="1182"/>
              </w:tabs>
              <w:jc w:val="both"/>
              <w:rPr>
                <w:rFonts w:eastAsiaTheme="minorHAnsi"/>
                <w:sz w:val="20"/>
                <w:lang w:val="en-CA"/>
              </w:rPr>
            </w:pPr>
            <w:r w:rsidRPr="005F24CE">
              <w:rPr>
                <w:rFonts w:eastAsiaTheme="minorHAnsi"/>
                <w:sz w:val="20"/>
                <w:lang w:val="en-CA"/>
              </w:rPr>
              <w:t>M/I/0007/09</w:t>
            </w:r>
          </w:p>
          <w:p w:rsidR="005F24CE" w:rsidRPr="005F24CE" w:rsidRDefault="005F24CE" w:rsidP="005F24CE">
            <w:pPr>
              <w:tabs>
                <w:tab w:val="left" w:pos="1182"/>
              </w:tabs>
              <w:jc w:val="both"/>
              <w:rPr>
                <w:rFonts w:eastAsiaTheme="minorHAnsi"/>
                <w:sz w:val="20"/>
                <w:lang w:val="en-CA"/>
              </w:rPr>
            </w:pPr>
          </w:p>
        </w:tc>
        <w:tc>
          <w:tcPr>
            <w:tcW w:w="243" w:type="pct"/>
          </w:tcPr>
          <w:p w:rsidR="005F24CE" w:rsidRPr="005F24CE" w:rsidRDefault="005F24CE" w:rsidP="005F24CE">
            <w:pPr>
              <w:tabs>
                <w:tab w:val="left" w:pos="1182"/>
              </w:tabs>
              <w:jc w:val="both"/>
              <w:rPr>
                <w:rFonts w:eastAsiaTheme="minorHAnsi"/>
                <w:sz w:val="20"/>
                <w:lang w:val="en-CA"/>
              </w:rPr>
            </w:pPr>
          </w:p>
        </w:tc>
        <w:tc>
          <w:tcPr>
            <w:tcW w:w="2330" w:type="pct"/>
          </w:tcPr>
          <w:p w:rsidR="005F24CE" w:rsidRPr="005F24CE" w:rsidRDefault="005F24CE" w:rsidP="005F24CE">
            <w:pPr>
              <w:tabs>
                <w:tab w:val="left" w:pos="1182"/>
              </w:tabs>
              <w:jc w:val="both"/>
              <w:rPr>
                <w:rFonts w:eastAsiaTheme="minorHAnsi"/>
                <w:sz w:val="20"/>
                <w:lang w:val="fr-CA"/>
              </w:rPr>
            </w:pPr>
            <w:r w:rsidRPr="005F24CE">
              <w:rPr>
                <w:rFonts w:eastAsiaTheme="minorHAnsi"/>
                <w:sz w:val="20"/>
                <w:lang w:val="fr-CA"/>
              </w:rPr>
              <w:t>Rejet de la requête en récusation du juge de première instance ou visant à obtenir une autre réparation</w:t>
            </w:r>
          </w:p>
        </w:tc>
      </w:tr>
      <w:tr w:rsidR="005F24CE" w:rsidRPr="00A35BC1" w:rsidTr="008B2EB1">
        <w:tc>
          <w:tcPr>
            <w:tcW w:w="2427" w:type="pct"/>
            <w:gridSpan w:val="2"/>
          </w:tcPr>
          <w:p w:rsidR="005F24CE" w:rsidRPr="005F24CE" w:rsidRDefault="005F24CE" w:rsidP="005F24CE">
            <w:pPr>
              <w:jc w:val="both"/>
              <w:rPr>
                <w:rFonts w:eastAsiaTheme="minorHAnsi"/>
                <w:sz w:val="20"/>
                <w:lang w:val="fr-CA"/>
              </w:rPr>
            </w:pPr>
            <w:r w:rsidRPr="005F24CE">
              <w:rPr>
                <w:rFonts w:eastAsiaTheme="minorHAnsi"/>
                <w:sz w:val="20"/>
                <w:lang w:val="fr-CA"/>
              </w:rPr>
              <w:t>15 décembre 2011</w:t>
            </w:r>
          </w:p>
          <w:p w:rsidR="005F24CE" w:rsidRPr="005F24CE" w:rsidRDefault="005F24CE" w:rsidP="005F24CE">
            <w:pPr>
              <w:jc w:val="both"/>
              <w:rPr>
                <w:rFonts w:eastAsiaTheme="minorHAnsi"/>
                <w:sz w:val="20"/>
                <w:lang w:val="fr-CA"/>
              </w:rPr>
            </w:pPr>
            <w:r w:rsidRPr="005F24CE">
              <w:rPr>
                <w:rFonts w:eastAsiaTheme="minorHAnsi"/>
                <w:sz w:val="20"/>
                <w:lang w:val="fr-CA"/>
              </w:rPr>
              <w:t>Cour du Banc de la Reine du Nouveau- Brunswick</w:t>
            </w:r>
          </w:p>
          <w:p w:rsidR="005F24CE" w:rsidRPr="005F24CE" w:rsidRDefault="005F24CE" w:rsidP="005F24CE">
            <w:pPr>
              <w:jc w:val="both"/>
              <w:rPr>
                <w:rFonts w:eastAsiaTheme="minorHAnsi"/>
                <w:sz w:val="20"/>
                <w:lang w:val="en-CA"/>
              </w:rPr>
            </w:pPr>
            <w:r w:rsidRPr="005F24CE">
              <w:rPr>
                <w:rFonts w:eastAsiaTheme="minorHAnsi"/>
                <w:sz w:val="20"/>
                <w:lang w:val="en-CA"/>
              </w:rPr>
              <w:t xml:space="preserve">(Juge McNally) </w:t>
            </w:r>
          </w:p>
        </w:tc>
        <w:tc>
          <w:tcPr>
            <w:tcW w:w="243" w:type="pct"/>
          </w:tcPr>
          <w:p w:rsidR="005F24CE" w:rsidRPr="005F24CE" w:rsidRDefault="005F24CE" w:rsidP="005F24CE">
            <w:pPr>
              <w:jc w:val="both"/>
              <w:rPr>
                <w:rFonts w:eastAsiaTheme="minorHAnsi"/>
                <w:sz w:val="20"/>
                <w:lang w:val="en-CA"/>
              </w:rPr>
            </w:pPr>
          </w:p>
        </w:tc>
        <w:tc>
          <w:tcPr>
            <w:tcW w:w="2330" w:type="pct"/>
          </w:tcPr>
          <w:p w:rsidR="005F24CE" w:rsidRPr="005F24CE" w:rsidRDefault="005F24CE" w:rsidP="005F24CE">
            <w:pPr>
              <w:jc w:val="both"/>
              <w:rPr>
                <w:rFonts w:eastAsiaTheme="minorHAnsi"/>
                <w:sz w:val="20"/>
                <w:lang w:val="fr-CA"/>
              </w:rPr>
            </w:pPr>
            <w:r w:rsidRPr="005F24CE">
              <w:rPr>
                <w:rFonts w:eastAsiaTheme="minorHAnsi"/>
                <w:sz w:val="20"/>
                <w:lang w:val="fr-CA"/>
              </w:rPr>
              <w:t>Requêtes pour verdicts imposés d’acquittement accueillies relativement à de nombreuses accusations, y compris celles de trafic, complot en vue de faire le trafic, possession en vue de faire le trafic, infractions liées aux armes à feu et infractions d’organisation criminelle</w:t>
            </w:r>
          </w:p>
          <w:p w:rsidR="005F24CE" w:rsidRPr="005F24CE" w:rsidRDefault="005F24CE" w:rsidP="005F24CE">
            <w:pPr>
              <w:jc w:val="both"/>
              <w:rPr>
                <w:rFonts w:eastAsiaTheme="minorHAnsi"/>
                <w:sz w:val="20"/>
                <w:lang w:val="fr-CA"/>
              </w:rPr>
            </w:pPr>
          </w:p>
        </w:tc>
      </w:tr>
      <w:tr w:rsidR="005F24CE" w:rsidRPr="005F24CE" w:rsidTr="008B2EB1">
        <w:tc>
          <w:tcPr>
            <w:tcW w:w="2427" w:type="pct"/>
            <w:gridSpan w:val="2"/>
          </w:tcPr>
          <w:p w:rsidR="005F24CE" w:rsidRPr="005F24CE" w:rsidRDefault="005F24CE" w:rsidP="005F24CE">
            <w:pPr>
              <w:jc w:val="both"/>
              <w:rPr>
                <w:rFonts w:eastAsiaTheme="minorHAnsi"/>
                <w:sz w:val="20"/>
                <w:lang w:val="fr-CA"/>
              </w:rPr>
            </w:pPr>
            <w:r w:rsidRPr="005F24CE">
              <w:rPr>
                <w:rFonts w:eastAsiaTheme="minorHAnsi"/>
                <w:sz w:val="20"/>
                <w:lang w:val="fr-CA"/>
              </w:rPr>
              <w:t>5 août 2015</w:t>
            </w:r>
          </w:p>
          <w:p w:rsidR="005F24CE" w:rsidRPr="005F24CE" w:rsidRDefault="005F24CE" w:rsidP="005F24CE">
            <w:pPr>
              <w:jc w:val="both"/>
              <w:rPr>
                <w:rFonts w:eastAsiaTheme="minorHAnsi"/>
                <w:sz w:val="20"/>
                <w:lang w:val="fr-CA"/>
              </w:rPr>
            </w:pPr>
            <w:r w:rsidRPr="005F24CE">
              <w:rPr>
                <w:rFonts w:eastAsiaTheme="minorHAnsi"/>
                <w:sz w:val="20"/>
                <w:lang w:val="fr-CA"/>
              </w:rPr>
              <w:t>Cour d’appel du Nouveau-Brunswick</w:t>
            </w:r>
          </w:p>
          <w:p w:rsidR="005F24CE" w:rsidRPr="005F24CE" w:rsidRDefault="005F24CE" w:rsidP="005F24CE">
            <w:pPr>
              <w:jc w:val="both"/>
              <w:rPr>
                <w:rFonts w:eastAsiaTheme="minorHAnsi"/>
                <w:sz w:val="20"/>
                <w:lang w:val="fr-CA"/>
              </w:rPr>
            </w:pPr>
            <w:r w:rsidRPr="005F24CE">
              <w:rPr>
                <w:rFonts w:eastAsiaTheme="minorHAnsi"/>
                <w:sz w:val="20"/>
                <w:lang w:val="fr-CA"/>
              </w:rPr>
              <w:t xml:space="preserve">(Juges Richard, Bell et </w:t>
            </w:r>
            <w:proofErr w:type="spellStart"/>
            <w:r w:rsidRPr="005F24CE">
              <w:rPr>
                <w:rFonts w:eastAsiaTheme="minorHAnsi"/>
                <w:sz w:val="20"/>
                <w:lang w:val="fr-CA"/>
              </w:rPr>
              <w:t>Quigg</w:t>
            </w:r>
            <w:proofErr w:type="spellEnd"/>
            <w:r w:rsidRPr="005F24CE">
              <w:rPr>
                <w:rFonts w:eastAsiaTheme="minorHAnsi"/>
                <w:sz w:val="20"/>
                <w:lang w:val="fr-CA"/>
              </w:rPr>
              <w:t>)</w:t>
            </w:r>
          </w:p>
          <w:p w:rsidR="005F24CE" w:rsidRPr="005F24CE" w:rsidRDefault="005F24CE" w:rsidP="005F24CE">
            <w:pPr>
              <w:jc w:val="both"/>
              <w:rPr>
                <w:rFonts w:eastAsiaTheme="minorHAnsi"/>
                <w:sz w:val="20"/>
                <w:lang w:val="en-CA"/>
              </w:rPr>
            </w:pPr>
            <w:r w:rsidRPr="005F24CE">
              <w:rPr>
                <w:rFonts w:eastAsiaTheme="minorHAnsi"/>
                <w:sz w:val="20"/>
                <w:lang w:val="en-CA"/>
              </w:rPr>
              <w:t>177-11-CA; 2015 NBCA 51</w:t>
            </w:r>
          </w:p>
          <w:p w:rsidR="005F24CE" w:rsidRPr="005F24CE" w:rsidRDefault="005F24CE" w:rsidP="005F24CE">
            <w:pPr>
              <w:jc w:val="both"/>
              <w:rPr>
                <w:rFonts w:eastAsiaTheme="minorHAnsi"/>
                <w:sz w:val="20"/>
                <w:lang w:val="en-CA"/>
              </w:rPr>
            </w:pPr>
          </w:p>
        </w:tc>
        <w:tc>
          <w:tcPr>
            <w:tcW w:w="243" w:type="pct"/>
          </w:tcPr>
          <w:p w:rsidR="005F24CE" w:rsidRPr="005F24CE" w:rsidRDefault="005F24CE" w:rsidP="005F24CE">
            <w:pPr>
              <w:jc w:val="both"/>
              <w:rPr>
                <w:rFonts w:eastAsiaTheme="minorHAnsi"/>
                <w:sz w:val="20"/>
                <w:lang w:val="en-CA"/>
              </w:rPr>
            </w:pPr>
          </w:p>
        </w:tc>
        <w:tc>
          <w:tcPr>
            <w:tcW w:w="2330" w:type="pct"/>
          </w:tcPr>
          <w:p w:rsidR="005F24CE" w:rsidRPr="005F24CE" w:rsidRDefault="005F24CE" w:rsidP="005F24CE">
            <w:pPr>
              <w:jc w:val="both"/>
              <w:rPr>
                <w:rFonts w:eastAsiaTheme="minorHAnsi"/>
                <w:sz w:val="20"/>
                <w:lang w:val="en-CA"/>
              </w:rPr>
            </w:pPr>
            <w:proofErr w:type="spellStart"/>
            <w:r w:rsidRPr="005F24CE">
              <w:rPr>
                <w:rFonts w:eastAsiaTheme="minorHAnsi"/>
                <w:sz w:val="20"/>
                <w:lang w:val="en-CA"/>
              </w:rPr>
              <w:t>Rejet</w:t>
            </w:r>
            <w:proofErr w:type="spellEnd"/>
            <w:r w:rsidRPr="005F24CE">
              <w:rPr>
                <w:rFonts w:eastAsiaTheme="minorHAnsi"/>
                <w:sz w:val="20"/>
                <w:lang w:val="en-CA"/>
              </w:rPr>
              <w:t xml:space="preserve"> de </w:t>
            </w:r>
            <w:proofErr w:type="spellStart"/>
            <w:r w:rsidRPr="005F24CE">
              <w:rPr>
                <w:rFonts w:eastAsiaTheme="minorHAnsi"/>
                <w:sz w:val="20"/>
                <w:lang w:val="en-CA"/>
              </w:rPr>
              <w:t>l’appel</w:t>
            </w:r>
            <w:proofErr w:type="spellEnd"/>
          </w:p>
          <w:p w:rsidR="005F24CE" w:rsidRPr="005F24CE" w:rsidRDefault="005F24CE" w:rsidP="005F24CE">
            <w:pPr>
              <w:jc w:val="both"/>
              <w:rPr>
                <w:rFonts w:eastAsiaTheme="minorHAnsi"/>
                <w:sz w:val="20"/>
                <w:lang w:val="en-CA"/>
              </w:rPr>
            </w:pPr>
          </w:p>
        </w:tc>
      </w:tr>
      <w:tr w:rsidR="005F24CE" w:rsidRPr="00A35BC1" w:rsidTr="008B2EB1">
        <w:tc>
          <w:tcPr>
            <w:tcW w:w="2427" w:type="pct"/>
            <w:gridSpan w:val="2"/>
          </w:tcPr>
          <w:p w:rsidR="005F24CE" w:rsidRPr="00A35BC1" w:rsidRDefault="005F24CE" w:rsidP="005F24CE">
            <w:pPr>
              <w:jc w:val="both"/>
              <w:rPr>
                <w:rFonts w:eastAsiaTheme="minorHAnsi"/>
                <w:sz w:val="20"/>
                <w:lang w:val="fr-CA"/>
              </w:rPr>
            </w:pPr>
            <w:r w:rsidRPr="00A35BC1">
              <w:rPr>
                <w:rFonts w:eastAsiaTheme="minorHAnsi"/>
                <w:sz w:val="20"/>
                <w:lang w:val="fr-CA"/>
              </w:rPr>
              <w:t>5 octobre 2015</w:t>
            </w:r>
          </w:p>
          <w:p w:rsidR="005F24CE" w:rsidRPr="00A35BC1" w:rsidRDefault="005F24CE" w:rsidP="004758E9">
            <w:pPr>
              <w:jc w:val="both"/>
              <w:rPr>
                <w:rFonts w:eastAsiaTheme="minorHAnsi"/>
                <w:sz w:val="20"/>
                <w:lang w:val="fr-CA"/>
              </w:rPr>
            </w:pPr>
            <w:r w:rsidRPr="00A35BC1">
              <w:rPr>
                <w:rFonts w:eastAsiaTheme="minorHAnsi"/>
                <w:sz w:val="20"/>
                <w:lang w:val="fr-CA"/>
              </w:rPr>
              <w:t>Cour suprême du Canada</w:t>
            </w:r>
          </w:p>
        </w:tc>
        <w:tc>
          <w:tcPr>
            <w:tcW w:w="243" w:type="pct"/>
          </w:tcPr>
          <w:p w:rsidR="005F24CE" w:rsidRPr="00A35BC1" w:rsidRDefault="005F24CE" w:rsidP="005F24CE">
            <w:pPr>
              <w:jc w:val="both"/>
              <w:rPr>
                <w:rFonts w:eastAsiaTheme="minorHAnsi"/>
                <w:sz w:val="20"/>
                <w:lang w:val="fr-CA"/>
              </w:rPr>
            </w:pPr>
          </w:p>
        </w:tc>
        <w:tc>
          <w:tcPr>
            <w:tcW w:w="2330" w:type="pct"/>
          </w:tcPr>
          <w:p w:rsidR="005F24CE" w:rsidRPr="005F24CE" w:rsidRDefault="005F24CE" w:rsidP="005F24CE">
            <w:pPr>
              <w:jc w:val="both"/>
              <w:rPr>
                <w:rFonts w:eastAsiaTheme="minorHAnsi"/>
                <w:sz w:val="20"/>
                <w:lang w:val="fr-CA"/>
              </w:rPr>
            </w:pPr>
            <w:r w:rsidRPr="005F24CE">
              <w:rPr>
                <w:rFonts w:eastAsiaTheme="minorHAnsi"/>
                <w:sz w:val="20"/>
                <w:lang w:val="fr-CA"/>
              </w:rPr>
              <w:t>Dépôt de la demande d’autorisation d’appel</w:t>
            </w:r>
          </w:p>
          <w:p w:rsidR="005F24CE" w:rsidRPr="005F24CE" w:rsidRDefault="005F24CE" w:rsidP="005F24CE">
            <w:pPr>
              <w:jc w:val="both"/>
              <w:rPr>
                <w:rFonts w:eastAsiaTheme="minorHAnsi"/>
                <w:sz w:val="20"/>
                <w:lang w:val="fr-CA"/>
              </w:rPr>
            </w:pPr>
          </w:p>
        </w:tc>
      </w:tr>
    </w:tbl>
    <w:p w:rsidR="005F24CE" w:rsidRPr="00A35BC1" w:rsidRDefault="005F24CE" w:rsidP="00124EFD">
      <w:pPr>
        <w:jc w:val="both"/>
        <w:rPr>
          <w:i/>
          <w:sz w:val="20"/>
          <w:lang w:val="fr-CA" w:eastAsia="en-CA"/>
        </w:rPr>
      </w:pPr>
    </w:p>
    <w:p w:rsidR="005F24CE" w:rsidRPr="00A35BC1" w:rsidRDefault="005F24CE" w:rsidP="00124EFD">
      <w:pPr>
        <w:jc w:val="both"/>
        <w:rPr>
          <w:i/>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F24CE" w:rsidRPr="005F24CE" w:rsidTr="008B2EB1">
        <w:tc>
          <w:tcPr>
            <w:tcW w:w="543" w:type="pct"/>
          </w:tcPr>
          <w:p w:rsidR="005F24CE" w:rsidRPr="005F24CE" w:rsidRDefault="005F24CE" w:rsidP="005F24CE">
            <w:pPr>
              <w:jc w:val="both"/>
              <w:rPr>
                <w:rFonts w:eastAsiaTheme="minorHAnsi"/>
                <w:sz w:val="20"/>
                <w:lang w:val="en-CA"/>
              </w:rPr>
            </w:pPr>
            <w:r w:rsidRPr="005F24CE">
              <w:rPr>
                <w:rFonts w:eastAsiaTheme="minorHAnsi"/>
                <w:b/>
                <w:sz w:val="20"/>
                <w:lang w:val="en-CA"/>
              </w:rPr>
              <w:t>36600</w:t>
            </w:r>
          </w:p>
        </w:tc>
        <w:tc>
          <w:tcPr>
            <w:tcW w:w="4457" w:type="pct"/>
            <w:gridSpan w:val="3"/>
          </w:tcPr>
          <w:p w:rsidR="005F24CE" w:rsidRPr="005F24CE" w:rsidRDefault="005F24CE" w:rsidP="005F24CE">
            <w:pPr>
              <w:jc w:val="both"/>
              <w:rPr>
                <w:rFonts w:eastAsiaTheme="minorHAnsi"/>
                <w:b/>
                <w:sz w:val="20"/>
                <w:lang w:val="en-CA"/>
              </w:rPr>
            </w:pPr>
            <w:proofErr w:type="spellStart"/>
            <w:r w:rsidRPr="005F24CE">
              <w:rPr>
                <w:rFonts w:eastAsiaTheme="minorHAnsi"/>
                <w:b/>
                <w:sz w:val="20"/>
                <w:lang w:val="en-CA"/>
              </w:rPr>
              <w:t>Steffan</w:t>
            </w:r>
            <w:proofErr w:type="spellEnd"/>
            <w:r w:rsidRPr="005F24CE">
              <w:rPr>
                <w:rFonts w:eastAsiaTheme="minorHAnsi"/>
                <w:b/>
                <w:sz w:val="20"/>
                <w:lang w:val="en-CA"/>
              </w:rPr>
              <w:t xml:space="preserve"> </w:t>
            </w:r>
            <w:proofErr w:type="spellStart"/>
            <w:r w:rsidRPr="005F24CE">
              <w:rPr>
                <w:rFonts w:eastAsiaTheme="minorHAnsi"/>
                <w:b/>
                <w:sz w:val="20"/>
                <w:lang w:val="en-CA"/>
              </w:rPr>
              <w:t>Ileman</w:t>
            </w:r>
            <w:proofErr w:type="spellEnd"/>
            <w:r w:rsidRPr="005F24CE">
              <w:rPr>
                <w:rFonts w:eastAsiaTheme="minorHAnsi"/>
                <w:b/>
                <w:sz w:val="20"/>
                <w:lang w:val="en-CA"/>
              </w:rPr>
              <w:t xml:space="preserve"> v. Rogers Communications Inc., Rogers Communications Partnership, Fido Solutions Inc., Bell Canada Enterprise Inc., Bell Mobility Inc., Telus Corporation, Telus communications Inc. and Telus Communications Company Partnership</w:t>
            </w:r>
          </w:p>
          <w:p w:rsidR="005F24CE" w:rsidRPr="005F24CE" w:rsidRDefault="005F24CE" w:rsidP="005F24CE">
            <w:pPr>
              <w:jc w:val="both"/>
              <w:rPr>
                <w:rFonts w:eastAsiaTheme="minorHAnsi"/>
                <w:sz w:val="20"/>
                <w:lang w:val="en-CA"/>
              </w:rPr>
            </w:pPr>
            <w:r w:rsidRPr="005F24CE">
              <w:rPr>
                <w:rFonts w:eastAsiaTheme="minorHAnsi"/>
                <w:sz w:val="20"/>
                <w:lang w:val="en-CA"/>
              </w:rPr>
              <w:t>(B.C.) (Civil) (By Leave)</w:t>
            </w:r>
          </w:p>
        </w:tc>
      </w:tr>
      <w:tr w:rsidR="005F24CE" w:rsidRPr="005F24CE" w:rsidTr="008B2EB1">
        <w:tc>
          <w:tcPr>
            <w:tcW w:w="5000" w:type="pct"/>
            <w:gridSpan w:val="4"/>
          </w:tcPr>
          <w:p w:rsidR="005F24CE" w:rsidRPr="005F24CE" w:rsidRDefault="005F24CE" w:rsidP="005F24CE">
            <w:pPr>
              <w:jc w:val="both"/>
              <w:rPr>
                <w:rFonts w:eastAsiaTheme="minorHAnsi"/>
                <w:sz w:val="20"/>
                <w:lang w:val="en-CA"/>
              </w:rPr>
            </w:pPr>
          </w:p>
          <w:p w:rsidR="005F24CE" w:rsidRPr="005F24CE" w:rsidRDefault="005F24CE" w:rsidP="005F24CE">
            <w:pPr>
              <w:autoSpaceDE w:val="0"/>
              <w:autoSpaceDN w:val="0"/>
              <w:adjustRightInd w:val="0"/>
              <w:jc w:val="both"/>
              <w:rPr>
                <w:color w:val="000000"/>
                <w:sz w:val="20"/>
                <w:lang w:eastAsia="en-CA"/>
              </w:rPr>
            </w:pPr>
            <w:proofErr w:type="gramStart"/>
            <w:r w:rsidRPr="005F24CE">
              <w:rPr>
                <w:color w:val="000000"/>
                <w:sz w:val="20"/>
                <w:lang w:val="en-CA" w:eastAsia="en-CA"/>
              </w:rPr>
              <w:t xml:space="preserve">Civil procedure — Class actions — Certification — Legislation — Interpretation — Requirements for certification — Pleadings disclosing cause of action — Application for certification as a class proceedings dismissed by lower courts — </w:t>
            </w:r>
            <w:r w:rsidRPr="005F24CE">
              <w:rPr>
                <w:color w:val="000000"/>
                <w:sz w:val="20"/>
                <w:lang w:eastAsia="en-CA"/>
              </w:rPr>
              <w:t xml:space="preserve">Whether Court of Appeal erred in holding that “interest” required to obtain a restoration remedy pursuant to s. 172(3)(a) of </w:t>
            </w:r>
            <w:r w:rsidRPr="005F24CE">
              <w:rPr>
                <w:i/>
                <w:iCs/>
                <w:color w:val="000000"/>
                <w:sz w:val="20"/>
                <w:lang w:eastAsia="en-CA"/>
              </w:rPr>
              <w:t>Business Practices and Consumer Protection Act</w:t>
            </w:r>
            <w:r w:rsidRPr="005F24CE">
              <w:rPr>
                <w:color w:val="000000"/>
                <w:sz w:val="20"/>
                <w:lang w:eastAsia="en-CA"/>
              </w:rPr>
              <w:t>, S.B.C. 2004, c. 2, is “an interest recognized by law outside of s. 172(3)(a)” — Whether Court of Appeal erred in overturning chambers judge’s finding that term “system access fee”, objectively considered, does not have capability, tendency or effect of deceiving or misleading a consumer?</w:t>
            </w:r>
            <w:proofErr w:type="gramEnd"/>
            <w:r w:rsidRPr="005F24CE">
              <w:rPr>
                <w:color w:val="000000"/>
                <w:sz w:val="20"/>
                <w:lang w:eastAsia="en-CA"/>
              </w:rPr>
              <w:t xml:space="preserve"> </w:t>
            </w:r>
          </w:p>
          <w:p w:rsidR="005F24CE" w:rsidRPr="005F24CE" w:rsidRDefault="005F24CE" w:rsidP="005F24CE">
            <w:pPr>
              <w:autoSpaceDE w:val="0"/>
              <w:autoSpaceDN w:val="0"/>
              <w:adjustRightInd w:val="0"/>
              <w:jc w:val="both"/>
              <w:rPr>
                <w:color w:val="000000"/>
                <w:sz w:val="20"/>
                <w:lang w:eastAsia="en-CA"/>
              </w:rPr>
            </w:pPr>
          </w:p>
        </w:tc>
      </w:tr>
      <w:tr w:rsidR="005F24CE" w:rsidRPr="005F24CE" w:rsidTr="008B2EB1">
        <w:tc>
          <w:tcPr>
            <w:tcW w:w="5000" w:type="pct"/>
            <w:gridSpan w:val="4"/>
          </w:tcPr>
          <w:p w:rsidR="005F24CE" w:rsidRPr="005F24CE" w:rsidRDefault="005F24CE" w:rsidP="005F24CE">
            <w:pPr>
              <w:jc w:val="both"/>
              <w:rPr>
                <w:rFonts w:eastAsiaTheme="minorHAnsi"/>
                <w:sz w:val="20"/>
                <w:lang w:val="en-CA"/>
              </w:rPr>
            </w:pPr>
            <w:r w:rsidRPr="005F24CE">
              <w:rPr>
                <w:rFonts w:eastAsiaTheme="minorHAnsi"/>
                <w:sz w:val="20"/>
                <w:lang w:val="en-CA"/>
              </w:rPr>
              <w:t>The applicant, Mr. </w:t>
            </w:r>
            <w:proofErr w:type="spellStart"/>
            <w:r w:rsidRPr="005F24CE">
              <w:rPr>
                <w:rFonts w:eastAsiaTheme="minorHAnsi"/>
                <w:sz w:val="20"/>
                <w:lang w:val="en-CA"/>
              </w:rPr>
              <w:t>Ileman</w:t>
            </w:r>
            <w:proofErr w:type="spellEnd"/>
            <w:r w:rsidRPr="005F24CE">
              <w:rPr>
                <w:rFonts w:eastAsiaTheme="minorHAnsi"/>
                <w:sz w:val="20"/>
                <w:lang w:val="en-CA"/>
              </w:rPr>
              <w:t xml:space="preserve"> appealed the chamber judge’s decision dismissing an application to certify a class proceeding against various cellular telephone companies. His claim </w:t>
            </w:r>
            <w:proofErr w:type="gramStart"/>
            <w:r w:rsidRPr="005F24CE">
              <w:rPr>
                <w:rFonts w:eastAsiaTheme="minorHAnsi"/>
                <w:sz w:val="20"/>
                <w:lang w:val="en-CA"/>
              </w:rPr>
              <w:t>was brought</w:t>
            </w:r>
            <w:proofErr w:type="gramEnd"/>
            <w:r w:rsidRPr="005F24CE">
              <w:rPr>
                <w:rFonts w:eastAsiaTheme="minorHAnsi"/>
                <w:sz w:val="20"/>
                <w:lang w:val="en-CA"/>
              </w:rPr>
              <w:t xml:space="preserve"> primarily under the </w:t>
            </w:r>
            <w:r w:rsidRPr="005F24CE">
              <w:rPr>
                <w:rFonts w:eastAsiaTheme="minorHAnsi"/>
                <w:i/>
                <w:sz w:val="20"/>
                <w:lang w:val="en-CA"/>
              </w:rPr>
              <w:t xml:space="preserve">Business </w:t>
            </w:r>
            <w:r w:rsidRPr="005F24CE">
              <w:rPr>
                <w:rFonts w:eastAsiaTheme="minorHAnsi"/>
                <w:sz w:val="20"/>
                <w:lang w:val="en-CA"/>
              </w:rPr>
              <w:t>Practices</w:t>
            </w:r>
            <w:r w:rsidRPr="005F24CE">
              <w:rPr>
                <w:rFonts w:eastAsiaTheme="minorHAnsi"/>
                <w:i/>
                <w:sz w:val="20"/>
                <w:lang w:val="en-CA"/>
              </w:rPr>
              <w:t xml:space="preserve"> and Consumer Protection Act</w:t>
            </w:r>
            <w:r w:rsidRPr="005F24CE">
              <w:rPr>
                <w:rFonts w:eastAsiaTheme="minorHAnsi"/>
                <w:sz w:val="20"/>
                <w:lang w:val="en-CA"/>
              </w:rPr>
              <w:t xml:space="preserve">, S.B.C. 2004, c. 2 (“BPCPA”). He sought a declaration that representations made by the respondents in relation to a “system access fee” contravened the BPCPA. He sought declaratory and injunctive relief and a restorative order under </w:t>
            </w:r>
            <w:hyperlink r:id="rId26" w:anchor="sec171_smooth" w:history="1">
              <w:r w:rsidRPr="005F24CE">
                <w:rPr>
                  <w:rFonts w:eastAsiaTheme="minorHAnsi"/>
                  <w:sz w:val="20"/>
                  <w:lang w:val="en-CA"/>
                </w:rPr>
                <w:t>s. 171</w:t>
              </w:r>
            </w:hyperlink>
            <w:r w:rsidRPr="005F24CE">
              <w:rPr>
                <w:rFonts w:eastAsiaTheme="minorHAnsi"/>
                <w:sz w:val="20"/>
                <w:lang w:val="en-CA"/>
              </w:rPr>
              <w:t xml:space="preserve"> and </w:t>
            </w:r>
            <w:hyperlink r:id="rId27" w:anchor="sec172_smooth" w:history="1">
              <w:r w:rsidRPr="005F24CE">
                <w:rPr>
                  <w:rFonts w:eastAsiaTheme="minorHAnsi"/>
                  <w:sz w:val="20"/>
                  <w:lang w:val="en-CA"/>
                </w:rPr>
                <w:t>s. 172</w:t>
              </w:r>
            </w:hyperlink>
            <w:r w:rsidRPr="005F24CE">
              <w:rPr>
                <w:rFonts w:eastAsiaTheme="minorHAnsi"/>
                <w:sz w:val="20"/>
                <w:lang w:val="en-CA"/>
              </w:rPr>
              <w:t xml:space="preserve"> of the </w:t>
            </w:r>
            <w:hyperlink r:id="rId28" w:history="1">
              <w:r w:rsidRPr="005F24CE">
                <w:rPr>
                  <w:rFonts w:eastAsiaTheme="minorHAnsi"/>
                  <w:i/>
                  <w:iCs/>
                  <w:sz w:val="20"/>
                  <w:lang w:val="en-CA"/>
                </w:rPr>
                <w:t>BPCPA</w:t>
              </w:r>
            </w:hyperlink>
            <w:r w:rsidRPr="005F24CE">
              <w:rPr>
                <w:rFonts w:eastAsiaTheme="minorHAnsi"/>
                <w:sz w:val="20"/>
                <w:lang w:val="en-CA"/>
              </w:rPr>
              <w:t>.</w:t>
            </w:r>
          </w:p>
        </w:tc>
      </w:tr>
      <w:tr w:rsidR="005F24CE" w:rsidRPr="005F24CE" w:rsidTr="008B2EB1">
        <w:tc>
          <w:tcPr>
            <w:tcW w:w="5000" w:type="pct"/>
            <w:gridSpan w:val="4"/>
          </w:tcPr>
          <w:p w:rsidR="005F24CE" w:rsidRPr="005F24CE" w:rsidRDefault="005F24CE" w:rsidP="005F24CE">
            <w:pPr>
              <w:jc w:val="both"/>
              <w:rPr>
                <w:rFonts w:eastAsiaTheme="minorHAnsi"/>
                <w:sz w:val="20"/>
                <w:lang w:val="en-CA"/>
              </w:rPr>
            </w:pPr>
          </w:p>
        </w:tc>
      </w:tr>
      <w:tr w:rsidR="005F24CE" w:rsidRPr="005F24CE" w:rsidTr="008B2EB1">
        <w:tc>
          <w:tcPr>
            <w:tcW w:w="5000" w:type="pct"/>
            <w:gridSpan w:val="4"/>
          </w:tcPr>
          <w:p w:rsidR="005F24CE" w:rsidRPr="005F24CE" w:rsidRDefault="005F24CE" w:rsidP="005F24CE">
            <w:pPr>
              <w:jc w:val="both"/>
              <w:rPr>
                <w:rFonts w:eastAsiaTheme="minorHAnsi"/>
                <w:sz w:val="20"/>
                <w:lang w:val="en-CA"/>
              </w:rPr>
            </w:pPr>
            <w:r w:rsidRPr="005F24CE">
              <w:rPr>
                <w:rFonts w:eastAsiaTheme="minorHAnsi"/>
                <w:sz w:val="20"/>
                <w:lang w:val="en-CA"/>
              </w:rPr>
              <w:t xml:space="preserve">The chambers judge dismissed the application for certification. The Court of Appeal dismissed the appeal.  </w:t>
            </w:r>
          </w:p>
          <w:p w:rsidR="005F24CE" w:rsidRPr="005F24CE" w:rsidRDefault="005F24CE" w:rsidP="005F24CE">
            <w:pPr>
              <w:jc w:val="both"/>
              <w:rPr>
                <w:rFonts w:eastAsiaTheme="minorHAnsi"/>
                <w:sz w:val="20"/>
                <w:lang w:val="en-CA"/>
              </w:rPr>
            </w:pPr>
          </w:p>
        </w:tc>
      </w:tr>
      <w:tr w:rsidR="005F24CE" w:rsidRPr="005F24CE" w:rsidTr="008B2EB1">
        <w:tc>
          <w:tcPr>
            <w:tcW w:w="2427" w:type="pct"/>
            <w:gridSpan w:val="2"/>
          </w:tcPr>
          <w:p w:rsidR="005F24CE" w:rsidRPr="005F24CE" w:rsidRDefault="005F24CE" w:rsidP="005F24CE">
            <w:pPr>
              <w:jc w:val="both"/>
              <w:rPr>
                <w:rFonts w:eastAsiaTheme="minorHAnsi"/>
                <w:sz w:val="20"/>
                <w:lang w:val="en-CA"/>
              </w:rPr>
            </w:pPr>
            <w:r w:rsidRPr="005F24CE">
              <w:rPr>
                <w:rFonts w:eastAsiaTheme="minorHAnsi"/>
                <w:sz w:val="20"/>
                <w:lang w:val="en-CA"/>
              </w:rPr>
              <w:t>June 5, 2014</w:t>
            </w:r>
          </w:p>
          <w:p w:rsidR="005F24CE" w:rsidRPr="005F24CE" w:rsidRDefault="005F24CE" w:rsidP="005F24CE">
            <w:pPr>
              <w:jc w:val="both"/>
              <w:rPr>
                <w:rFonts w:eastAsiaTheme="minorHAnsi"/>
                <w:sz w:val="20"/>
                <w:lang w:val="en-CA"/>
              </w:rPr>
            </w:pPr>
            <w:r w:rsidRPr="005F24CE">
              <w:rPr>
                <w:rFonts w:eastAsiaTheme="minorHAnsi"/>
                <w:sz w:val="20"/>
                <w:lang w:val="en-CA"/>
              </w:rPr>
              <w:t>Supreme Court of British Columbia</w:t>
            </w:r>
          </w:p>
          <w:p w:rsidR="005F24CE" w:rsidRPr="005F24CE" w:rsidRDefault="005F24CE" w:rsidP="005F24CE">
            <w:pPr>
              <w:jc w:val="both"/>
              <w:rPr>
                <w:rFonts w:eastAsiaTheme="minorHAnsi"/>
                <w:sz w:val="20"/>
                <w:lang w:val="en-CA"/>
              </w:rPr>
            </w:pPr>
            <w:r w:rsidRPr="005F24CE">
              <w:rPr>
                <w:rFonts w:eastAsiaTheme="minorHAnsi"/>
                <w:sz w:val="20"/>
                <w:lang w:val="en-CA"/>
              </w:rPr>
              <w:t>(</w:t>
            </w:r>
            <w:proofErr w:type="spellStart"/>
            <w:r w:rsidRPr="005F24CE">
              <w:rPr>
                <w:rFonts w:eastAsiaTheme="minorHAnsi"/>
                <w:sz w:val="20"/>
                <w:lang w:val="en-CA"/>
              </w:rPr>
              <w:t>Weatherill</w:t>
            </w:r>
            <w:proofErr w:type="spellEnd"/>
            <w:r w:rsidRPr="005F24CE">
              <w:rPr>
                <w:rFonts w:eastAsiaTheme="minorHAnsi"/>
                <w:sz w:val="20"/>
                <w:lang w:val="en-CA"/>
              </w:rPr>
              <w:t xml:space="preserve"> J.)</w:t>
            </w:r>
          </w:p>
          <w:p w:rsidR="005F24CE" w:rsidRPr="005F24CE" w:rsidRDefault="00006AE1" w:rsidP="005F24CE">
            <w:pPr>
              <w:jc w:val="both"/>
              <w:rPr>
                <w:rFonts w:eastAsiaTheme="minorHAnsi"/>
                <w:sz w:val="20"/>
                <w:lang w:val="en-CA"/>
              </w:rPr>
            </w:pPr>
            <w:hyperlink r:id="rId29" w:history="1">
              <w:r w:rsidR="005F24CE" w:rsidRPr="005F24CE">
                <w:rPr>
                  <w:rFonts w:eastAsiaTheme="minorHAnsi"/>
                  <w:color w:val="0000FF" w:themeColor="hyperlink"/>
                  <w:sz w:val="20"/>
                  <w:u w:val="single"/>
                  <w:lang w:val="en-CA"/>
                </w:rPr>
                <w:t>2014 BCSC 1002</w:t>
              </w:r>
            </w:hyperlink>
          </w:p>
          <w:p w:rsidR="005F24CE" w:rsidRPr="005F24CE" w:rsidRDefault="005F24CE" w:rsidP="005F24CE">
            <w:pPr>
              <w:jc w:val="both"/>
              <w:rPr>
                <w:rFonts w:eastAsiaTheme="minorHAnsi"/>
                <w:sz w:val="20"/>
                <w:lang w:val="en-CA"/>
              </w:rPr>
            </w:pPr>
          </w:p>
        </w:tc>
        <w:tc>
          <w:tcPr>
            <w:tcW w:w="243" w:type="pct"/>
          </w:tcPr>
          <w:p w:rsidR="005F24CE" w:rsidRPr="005F24CE" w:rsidRDefault="005F24CE" w:rsidP="005F24CE">
            <w:pPr>
              <w:jc w:val="both"/>
              <w:rPr>
                <w:rFonts w:eastAsiaTheme="minorHAnsi"/>
                <w:sz w:val="20"/>
                <w:lang w:val="en-CA"/>
              </w:rPr>
            </w:pPr>
          </w:p>
        </w:tc>
        <w:tc>
          <w:tcPr>
            <w:tcW w:w="2330" w:type="pct"/>
          </w:tcPr>
          <w:p w:rsidR="005F24CE" w:rsidRPr="005F24CE" w:rsidRDefault="005F24CE" w:rsidP="005F24CE">
            <w:pPr>
              <w:jc w:val="both"/>
              <w:rPr>
                <w:rFonts w:eastAsiaTheme="minorHAnsi"/>
                <w:sz w:val="20"/>
                <w:lang w:val="en-CA"/>
              </w:rPr>
            </w:pPr>
            <w:r w:rsidRPr="005F24CE">
              <w:rPr>
                <w:rFonts w:eastAsiaTheme="minorHAnsi"/>
                <w:sz w:val="20"/>
                <w:lang w:val="en-CA"/>
              </w:rPr>
              <w:t>Application for certification as a class proceeding dismissed.</w:t>
            </w:r>
          </w:p>
          <w:p w:rsidR="005F24CE" w:rsidRPr="005F24CE" w:rsidRDefault="005F24CE" w:rsidP="005F24CE">
            <w:pPr>
              <w:jc w:val="both"/>
              <w:rPr>
                <w:rFonts w:eastAsiaTheme="minorHAnsi"/>
                <w:sz w:val="20"/>
                <w:lang w:val="en-CA"/>
              </w:rPr>
            </w:pPr>
          </w:p>
        </w:tc>
      </w:tr>
      <w:tr w:rsidR="005F24CE" w:rsidRPr="005F24CE" w:rsidTr="008B2EB1">
        <w:tc>
          <w:tcPr>
            <w:tcW w:w="2427" w:type="pct"/>
            <w:gridSpan w:val="2"/>
          </w:tcPr>
          <w:p w:rsidR="005F24CE" w:rsidRPr="005F24CE" w:rsidRDefault="005F24CE" w:rsidP="005F24CE">
            <w:pPr>
              <w:jc w:val="both"/>
              <w:rPr>
                <w:rFonts w:eastAsiaTheme="minorHAnsi"/>
                <w:sz w:val="20"/>
                <w:lang w:val="en-CA"/>
              </w:rPr>
            </w:pPr>
            <w:r w:rsidRPr="005F24CE">
              <w:rPr>
                <w:rFonts w:eastAsiaTheme="minorHAnsi"/>
                <w:sz w:val="20"/>
                <w:lang w:val="en-CA"/>
              </w:rPr>
              <w:t>June 9, 2015</w:t>
            </w:r>
          </w:p>
          <w:p w:rsidR="005F24CE" w:rsidRPr="005F24CE" w:rsidRDefault="005F24CE" w:rsidP="005F24CE">
            <w:pPr>
              <w:jc w:val="both"/>
              <w:rPr>
                <w:rFonts w:eastAsiaTheme="minorHAnsi"/>
                <w:sz w:val="20"/>
                <w:lang w:val="en-CA"/>
              </w:rPr>
            </w:pPr>
            <w:r w:rsidRPr="005F24CE">
              <w:rPr>
                <w:rFonts w:eastAsiaTheme="minorHAnsi"/>
                <w:sz w:val="20"/>
                <w:lang w:val="en-CA"/>
              </w:rPr>
              <w:t xml:space="preserve">Court of Appeal for British Columbia </w:t>
            </w:r>
          </w:p>
          <w:p w:rsidR="005F24CE" w:rsidRPr="005F24CE" w:rsidRDefault="005F24CE" w:rsidP="005F24CE">
            <w:pPr>
              <w:jc w:val="both"/>
              <w:rPr>
                <w:rFonts w:eastAsiaTheme="minorHAnsi"/>
                <w:sz w:val="20"/>
                <w:lang w:val="en-CA"/>
              </w:rPr>
            </w:pPr>
            <w:r w:rsidRPr="005F24CE">
              <w:rPr>
                <w:rFonts w:eastAsiaTheme="minorHAnsi"/>
                <w:sz w:val="20"/>
                <w:lang w:val="en-CA"/>
              </w:rPr>
              <w:t>(Vancouver)</w:t>
            </w:r>
          </w:p>
          <w:p w:rsidR="005F24CE" w:rsidRPr="005F24CE" w:rsidRDefault="005F24CE" w:rsidP="005F24CE">
            <w:pPr>
              <w:jc w:val="both"/>
              <w:rPr>
                <w:rFonts w:eastAsiaTheme="minorHAnsi"/>
                <w:sz w:val="20"/>
                <w:lang w:val="en-CA"/>
              </w:rPr>
            </w:pPr>
            <w:r w:rsidRPr="005F24CE">
              <w:rPr>
                <w:rFonts w:eastAsiaTheme="minorHAnsi"/>
                <w:sz w:val="20"/>
                <w:lang w:val="en-CA"/>
              </w:rPr>
              <w:t xml:space="preserve">(Lowry, </w:t>
            </w:r>
            <w:proofErr w:type="spellStart"/>
            <w:r w:rsidRPr="005F24CE">
              <w:rPr>
                <w:rFonts w:eastAsiaTheme="minorHAnsi"/>
                <w:sz w:val="20"/>
                <w:lang w:val="en-CA"/>
              </w:rPr>
              <w:t>Groberman</w:t>
            </w:r>
            <w:proofErr w:type="spellEnd"/>
            <w:r w:rsidRPr="005F24CE">
              <w:rPr>
                <w:rFonts w:eastAsiaTheme="minorHAnsi"/>
                <w:sz w:val="20"/>
                <w:lang w:val="en-CA"/>
              </w:rPr>
              <w:t xml:space="preserve"> and Bennett JJ.A.)</w:t>
            </w:r>
          </w:p>
          <w:p w:rsidR="005F24CE" w:rsidRPr="005F24CE" w:rsidRDefault="00006AE1" w:rsidP="005F24CE">
            <w:pPr>
              <w:jc w:val="both"/>
              <w:rPr>
                <w:rFonts w:eastAsiaTheme="minorHAnsi"/>
                <w:sz w:val="20"/>
                <w:lang w:val="en-CA"/>
              </w:rPr>
            </w:pPr>
            <w:hyperlink r:id="rId30" w:history="1">
              <w:r w:rsidR="005F24CE" w:rsidRPr="005F24CE">
                <w:rPr>
                  <w:rFonts w:eastAsiaTheme="minorHAnsi"/>
                  <w:color w:val="0000FF" w:themeColor="hyperlink"/>
                  <w:sz w:val="20"/>
                  <w:u w:val="single"/>
                  <w:lang w:val="en-CA"/>
                </w:rPr>
                <w:t>2015 BCCA 260</w:t>
              </w:r>
            </w:hyperlink>
          </w:p>
          <w:p w:rsidR="005F24CE" w:rsidRPr="005F24CE" w:rsidRDefault="005F24CE" w:rsidP="005F24CE">
            <w:pPr>
              <w:jc w:val="both"/>
              <w:rPr>
                <w:rFonts w:eastAsiaTheme="minorHAnsi"/>
                <w:sz w:val="20"/>
                <w:lang w:val="en-CA"/>
              </w:rPr>
            </w:pPr>
            <w:r w:rsidRPr="005F24CE">
              <w:rPr>
                <w:rFonts w:eastAsiaTheme="minorHAnsi"/>
                <w:sz w:val="20"/>
                <w:lang w:val="en-CA"/>
              </w:rPr>
              <w:t>File No.: CA041916</w:t>
            </w:r>
          </w:p>
          <w:p w:rsidR="005F24CE" w:rsidRPr="005F24CE" w:rsidRDefault="005F24CE" w:rsidP="005F24CE">
            <w:pPr>
              <w:jc w:val="both"/>
              <w:rPr>
                <w:rFonts w:eastAsiaTheme="minorHAnsi"/>
                <w:sz w:val="20"/>
                <w:lang w:val="en-CA"/>
              </w:rPr>
            </w:pPr>
          </w:p>
        </w:tc>
        <w:tc>
          <w:tcPr>
            <w:tcW w:w="243" w:type="pct"/>
          </w:tcPr>
          <w:p w:rsidR="005F24CE" w:rsidRPr="005F24CE" w:rsidRDefault="005F24CE" w:rsidP="005F24CE">
            <w:pPr>
              <w:jc w:val="both"/>
              <w:rPr>
                <w:rFonts w:eastAsiaTheme="minorHAnsi"/>
                <w:sz w:val="20"/>
                <w:lang w:val="en-CA"/>
              </w:rPr>
            </w:pPr>
          </w:p>
        </w:tc>
        <w:tc>
          <w:tcPr>
            <w:tcW w:w="2330" w:type="pct"/>
          </w:tcPr>
          <w:p w:rsidR="005F24CE" w:rsidRPr="005F24CE" w:rsidRDefault="005F24CE" w:rsidP="005F24CE">
            <w:pPr>
              <w:jc w:val="both"/>
              <w:rPr>
                <w:rFonts w:eastAsiaTheme="minorHAnsi"/>
                <w:sz w:val="20"/>
                <w:lang w:val="en-CA"/>
              </w:rPr>
            </w:pPr>
            <w:r w:rsidRPr="005F24CE">
              <w:rPr>
                <w:rFonts w:eastAsiaTheme="minorHAnsi"/>
                <w:sz w:val="20"/>
                <w:lang w:val="en-CA"/>
              </w:rPr>
              <w:t>Appeal dismissed.</w:t>
            </w:r>
          </w:p>
          <w:p w:rsidR="005F24CE" w:rsidRPr="005F24CE" w:rsidRDefault="005F24CE" w:rsidP="005F24CE">
            <w:pPr>
              <w:jc w:val="both"/>
              <w:rPr>
                <w:rFonts w:eastAsiaTheme="minorHAnsi"/>
                <w:sz w:val="20"/>
                <w:lang w:val="en-CA"/>
              </w:rPr>
            </w:pPr>
          </w:p>
        </w:tc>
      </w:tr>
      <w:tr w:rsidR="005F24CE" w:rsidRPr="005F24CE" w:rsidTr="008B2EB1">
        <w:tc>
          <w:tcPr>
            <w:tcW w:w="2427" w:type="pct"/>
            <w:gridSpan w:val="2"/>
          </w:tcPr>
          <w:p w:rsidR="005F24CE" w:rsidRPr="005F24CE" w:rsidRDefault="005F24CE" w:rsidP="005F24CE">
            <w:pPr>
              <w:jc w:val="both"/>
              <w:rPr>
                <w:rFonts w:eastAsiaTheme="minorHAnsi"/>
                <w:sz w:val="20"/>
                <w:lang w:val="en-CA"/>
              </w:rPr>
            </w:pPr>
            <w:r w:rsidRPr="005F24CE">
              <w:rPr>
                <w:rFonts w:eastAsiaTheme="minorHAnsi"/>
                <w:sz w:val="20"/>
                <w:lang w:val="en-CA"/>
              </w:rPr>
              <w:t>September 4, 2015</w:t>
            </w:r>
          </w:p>
          <w:p w:rsidR="005F24CE" w:rsidRPr="005F24CE" w:rsidRDefault="005F24CE" w:rsidP="00236277">
            <w:pPr>
              <w:jc w:val="both"/>
              <w:rPr>
                <w:rFonts w:eastAsiaTheme="minorHAnsi"/>
                <w:sz w:val="20"/>
                <w:lang w:val="en-CA"/>
              </w:rPr>
            </w:pPr>
            <w:r w:rsidRPr="005F24CE">
              <w:rPr>
                <w:rFonts w:eastAsiaTheme="minorHAnsi"/>
                <w:sz w:val="20"/>
                <w:lang w:val="en-CA"/>
              </w:rPr>
              <w:t>Supreme Court of Canada</w:t>
            </w:r>
          </w:p>
        </w:tc>
        <w:tc>
          <w:tcPr>
            <w:tcW w:w="243" w:type="pct"/>
          </w:tcPr>
          <w:p w:rsidR="005F24CE" w:rsidRPr="005F24CE" w:rsidRDefault="005F24CE" w:rsidP="005F24CE">
            <w:pPr>
              <w:jc w:val="both"/>
              <w:rPr>
                <w:rFonts w:eastAsiaTheme="minorHAnsi"/>
                <w:sz w:val="20"/>
                <w:lang w:val="en-CA"/>
              </w:rPr>
            </w:pPr>
          </w:p>
        </w:tc>
        <w:tc>
          <w:tcPr>
            <w:tcW w:w="2330" w:type="pct"/>
          </w:tcPr>
          <w:p w:rsidR="005F24CE" w:rsidRPr="005F24CE" w:rsidRDefault="005F24CE" w:rsidP="005F24CE">
            <w:pPr>
              <w:jc w:val="both"/>
              <w:rPr>
                <w:rFonts w:eastAsiaTheme="minorHAnsi"/>
                <w:sz w:val="20"/>
                <w:lang w:val="en-CA"/>
              </w:rPr>
            </w:pPr>
            <w:r w:rsidRPr="005F24CE">
              <w:rPr>
                <w:rFonts w:eastAsiaTheme="minorHAnsi"/>
                <w:sz w:val="20"/>
                <w:lang w:val="en-CA"/>
              </w:rPr>
              <w:t>Application for leave to appeal filed.</w:t>
            </w:r>
          </w:p>
          <w:p w:rsidR="005F24CE" w:rsidRPr="005F24CE" w:rsidRDefault="005F24CE" w:rsidP="005F24CE">
            <w:pPr>
              <w:jc w:val="both"/>
              <w:rPr>
                <w:rFonts w:eastAsiaTheme="minorHAnsi"/>
                <w:sz w:val="20"/>
                <w:lang w:val="en-CA"/>
              </w:rPr>
            </w:pPr>
          </w:p>
        </w:tc>
      </w:tr>
    </w:tbl>
    <w:p w:rsidR="005F24CE" w:rsidRPr="005F24CE" w:rsidRDefault="005F24CE" w:rsidP="005F24CE">
      <w:pPr>
        <w:jc w:val="both"/>
        <w:rPr>
          <w:rFonts w:eastAsiaTheme="minorHAnsi"/>
          <w:sz w:val="20"/>
          <w:lang w:val="en-CA"/>
        </w:rPr>
      </w:pPr>
    </w:p>
    <w:p w:rsidR="005F24CE" w:rsidRPr="005F24CE" w:rsidRDefault="005F24CE" w:rsidP="00124EFD">
      <w:pPr>
        <w:jc w:val="both"/>
        <w:rPr>
          <w:i/>
          <w:sz w:val="20"/>
          <w:lang w:val="en-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F24CE" w:rsidRPr="00A35BC1" w:rsidTr="008B2EB1">
        <w:tc>
          <w:tcPr>
            <w:tcW w:w="543" w:type="pct"/>
          </w:tcPr>
          <w:p w:rsidR="005F24CE" w:rsidRPr="005F24CE" w:rsidRDefault="005F24CE" w:rsidP="005F24CE">
            <w:pPr>
              <w:jc w:val="both"/>
              <w:rPr>
                <w:rFonts w:eastAsiaTheme="minorHAnsi"/>
                <w:sz w:val="20"/>
                <w:lang w:val="en-CA"/>
              </w:rPr>
            </w:pPr>
            <w:r w:rsidRPr="005F24CE">
              <w:rPr>
                <w:rFonts w:eastAsiaTheme="minorHAnsi"/>
                <w:b/>
                <w:sz w:val="20"/>
                <w:lang w:val="en-CA"/>
              </w:rPr>
              <w:t>36600</w:t>
            </w:r>
          </w:p>
        </w:tc>
        <w:tc>
          <w:tcPr>
            <w:tcW w:w="4457" w:type="pct"/>
            <w:gridSpan w:val="3"/>
          </w:tcPr>
          <w:p w:rsidR="005F24CE" w:rsidRPr="005F24CE" w:rsidRDefault="005F24CE" w:rsidP="005F24CE">
            <w:pPr>
              <w:jc w:val="both"/>
              <w:rPr>
                <w:rFonts w:eastAsiaTheme="minorHAnsi"/>
                <w:b/>
                <w:sz w:val="20"/>
                <w:lang w:val="en-CA"/>
              </w:rPr>
            </w:pPr>
            <w:proofErr w:type="spellStart"/>
            <w:r w:rsidRPr="005F24CE">
              <w:rPr>
                <w:rFonts w:eastAsiaTheme="minorHAnsi"/>
                <w:b/>
                <w:sz w:val="20"/>
                <w:lang w:val="en-CA"/>
              </w:rPr>
              <w:t>Steffan</w:t>
            </w:r>
            <w:proofErr w:type="spellEnd"/>
            <w:r w:rsidRPr="005F24CE">
              <w:rPr>
                <w:rFonts w:eastAsiaTheme="minorHAnsi"/>
                <w:b/>
                <w:sz w:val="20"/>
                <w:lang w:val="en-CA"/>
              </w:rPr>
              <w:t xml:space="preserve"> </w:t>
            </w:r>
            <w:proofErr w:type="spellStart"/>
            <w:r w:rsidRPr="005F24CE">
              <w:rPr>
                <w:rFonts w:eastAsiaTheme="minorHAnsi"/>
                <w:b/>
                <w:sz w:val="20"/>
                <w:lang w:val="en-CA"/>
              </w:rPr>
              <w:t>Ileman</w:t>
            </w:r>
            <w:proofErr w:type="spellEnd"/>
            <w:r w:rsidRPr="005F24CE">
              <w:rPr>
                <w:rFonts w:eastAsiaTheme="minorHAnsi"/>
                <w:b/>
                <w:sz w:val="20"/>
                <w:lang w:val="en-CA"/>
              </w:rPr>
              <w:t xml:space="preserve"> c. Rogers Communications Inc., Rogers Communications Partnership, Fido Solutions Inc., Bell Canada Enterprise Inc., Bell Mobility Inc., Telus Corporation, Telus communications Inc. et Telus Communications Company Partnership</w:t>
            </w:r>
          </w:p>
          <w:p w:rsidR="005F24CE" w:rsidRPr="005F24CE" w:rsidRDefault="005F24CE" w:rsidP="005F24CE">
            <w:pPr>
              <w:jc w:val="both"/>
              <w:rPr>
                <w:rFonts w:eastAsiaTheme="minorHAnsi"/>
                <w:sz w:val="20"/>
                <w:lang w:val="fr-CA"/>
              </w:rPr>
            </w:pPr>
            <w:r w:rsidRPr="005F24CE">
              <w:rPr>
                <w:rFonts w:eastAsiaTheme="minorHAnsi"/>
                <w:sz w:val="20"/>
                <w:lang w:val="fr-CA"/>
              </w:rPr>
              <w:t>(C.-B.) (Civile) (Sur autorisation)</w:t>
            </w:r>
          </w:p>
        </w:tc>
      </w:tr>
      <w:tr w:rsidR="005F24CE" w:rsidRPr="00A35BC1" w:rsidTr="008B2EB1">
        <w:tc>
          <w:tcPr>
            <w:tcW w:w="5000" w:type="pct"/>
            <w:gridSpan w:val="4"/>
          </w:tcPr>
          <w:p w:rsidR="005F24CE" w:rsidRPr="005F24CE" w:rsidRDefault="005F24CE" w:rsidP="005F24CE">
            <w:pPr>
              <w:jc w:val="both"/>
              <w:rPr>
                <w:rFonts w:eastAsiaTheme="minorHAnsi"/>
                <w:sz w:val="20"/>
                <w:lang w:val="fr-CA"/>
              </w:rPr>
            </w:pPr>
          </w:p>
          <w:p w:rsidR="005F24CE" w:rsidRPr="005F24CE" w:rsidRDefault="005F24CE" w:rsidP="005F24CE">
            <w:pPr>
              <w:autoSpaceDE w:val="0"/>
              <w:autoSpaceDN w:val="0"/>
              <w:adjustRightInd w:val="0"/>
              <w:jc w:val="both"/>
              <w:rPr>
                <w:color w:val="000000"/>
                <w:sz w:val="20"/>
                <w:lang w:val="fr-CA" w:eastAsia="en-CA"/>
              </w:rPr>
            </w:pPr>
            <w:r w:rsidRPr="005F24CE">
              <w:rPr>
                <w:color w:val="000000"/>
                <w:sz w:val="20"/>
                <w:lang w:val="fr-CA" w:eastAsia="en-CA"/>
              </w:rPr>
              <w:t xml:space="preserve">Procédure civile — Recours collectifs — Certification — Législation — Interprétation — Conditions de certification — Cause d’action révélée par les actes de procédure — Demande de certification d’un recours collectif rejetée par les juridictions inférieures — La Cour d’appel a-t-elle conclu à tort que l’« intérêt » requis pour obtenir une restitution en guise de réparation sur le fondement de l’al. 172(3)a) de la </w:t>
            </w:r>
            <w:r w:rsidRPr="005F24CE">
              <w:rPr>
                <w:i/>
                <w:iCs/>
                <w:color w:val="000000"/>
                <w:sz w:val="20"/>
                <w:lang w:val="fr-CA" w:eastAsia="en-CA"/>
              </w:rPr>
              <w:t xml:space="preserve">Business Practices and Consumer Protection </w:t>
            </w:r>
            <w:proofErr w:type="spellStart"/>
            <w:r w:rsidRPr="005F24CE">
              <w:rPr>
                <w:i/>
                <w:iCs/>
                <w:color w:val="000000"/>
                <w:sz w:val="20"/>
                <w:lang w:val="fr-CA" w:eastAsia="en-CA"/>
              </w:rPr>
              <w:t>Act</w:t>
            </w:r>
            <w:proofErr w:type="spellEnd"/>
            <w:r w:rsidRPr="005F24CE">
              <w:rPr>
                <w:color w:val="000000"/>
                <w:sz w:val="20"/>
                <w:lang w:val="fr-CA" w:eastAsia="en-CA"/>
              </w:rPr>
              <w:t xml:space="preserve">, S.B.C. 2004, c. 2, est « un intérêt reconnu par une autre disposition législative que l’al. 172(3)a) »? — La Cour d’appel a-t-elle commis une erreur en infirmant la conclusion du juge en cabinet selon laquelle l’expression « frais d’accès au réseau », considérée de façon objective, est susceptible de tromper ou tend à tromper un consommateur ou </w:t>
            </w:r>
            <w:proofErr w:type="spellStart"/>
            <w:r w:rsidRPr="005F24CE">
              <w:rPr>
                <w:color w:val="000000"/>
                <w:sz w:val="20"/>
                <w:lang w:val="fr-CA" w:eastAsia="en-CA"/>
              </w:rPr>
              <w:t>a</w:t>
            </w:r>
            <w:proofErr w:type="spellEnd"/>
            <w:r w:rsidRPr="005F24CE">
              <w:rPr>
                <w:color w:val="000000"/>
                <w:sz w:val="20"/>
                <w:lang w:val="fr-CA" w:eastAsia="en-CA"/>
              </w:rPr>
              <w:t xml:space="preserve"> cet effet? </w:t>
            </w:r>
          </w:p>
          <w:p w:rsidR="005F24CE" w:rsidRPr="005F24CE" w:rsidRDefault="005F24CE" w:rsidP="005F24CE">
            <w:pPr>
              <w:autoSpaceDE w:val="0"/>
              <w:autoSpaceDN w:val="0"/>
              <w:adjustRightInd w:val="0"/>
              <w:jc w:val="both"/>
              <w:rPr>
                <w:color w:val="000000"/>
                <w:sz w:val="20"/>
                <w:lang w:val="fr-CA" w:eastAsia="en-CA"/>
              </w:rPr>
            </w:pPr>
          </w:p>
        </w:tc>
      </w:tr>
      <w:tr w:rsidR="005F24CE" w:rsidRPr="00A35BC1" w:rsidTr="008B2EB1">
        <w:tc>
          <w:tcPr>
            <w:tcW w:w="5000" w:type="pct"/>
            <w:gridSpan w:val="4"/>
          </w:tcPr>
          <w:p w:rsidR="005F24CE" w:rsidRPr="005F24CE" w:rsidRDefault="005F24CE" w:rsidP="005F24CE">
            <w:pPr>
              <w:jc w:val="both"/>
              <w:rPr>
                <w:rFonts w:eastAsiaTheme="minorHAnsi"/>
                <w:sz w:val="20"/>
                <w:lang w:val="fr-CA"/>
              </w:rPr>
            </w:pPr>
            <w:r w:rsidRPr="005F24CE">
              <w:rPr>
                <w:rFonts w:eastAsiaTheme="minorHAnsi"/>
                <w:sz w:val="20"/>
                <w:lang w:val="fr-CA"/>
              </w:rPr>
              <w:t>Le demandeur, M. </w:t>
            </w:r>
            <w:proofErr w:type="spellStart"/>
            <w:r w:rsidRPr="005F24CE">
              <w:rPr>
                <w:rFonts w:eastAsiaTheme="minorHAnsi"/>
                <w:sz w:val="20"/>
                <w:lang w:val="fr-CA"/>
              </w:rPr>
              <w:t>Ileman</w:t>
            </w:r>
            <w:proofErr w:type="spellEnd"/>
            <w:r w:rsidRPr="005F24CE">
              <w:rPr>
                <w:rFonts w:eastAsiaTheme="minorHAnsi"/>
                <w:sz w:val="20"/>
                <w:lang w:val="fr-CA"/>
              </w:rPr>
              <w:t xml:space="preserve">, s’est pourvu contre la décision du juge en cabinet de rejeter une demande de certification d’un recours collectif intenté contre plusieurs compagnies de téléphone cellulaire. Sa demande avait été présentée principalement sur la base de la </w:t>
            </w:r>
            <w:r w:rsidRPr="005F24CE">
              <w:rPr>
                <w:rFonts w:eastAsiaTheme="minorHAnsi"/>
                <w:i/>
                <w:sz w:val="20"/>
                <w:lang w:val="fr-CA"/>
              </w:rPr>
              <w:t xml:space="preserve">Business </w:t>
            </w:r>
            <w:r w:rsidRPr="005F24CE">
              <w:rPr>
                <w:rFonts w:eastAsiaTheme="minorHAnsi"/>
                <w:sz w:val="20"/>
                <w:lang w:val="fr-CA"/>
              </w:rPr>
              <w:t>Practices</w:t>
            </w:r>
            <w:r w:rsidRPr="005F24CE">
              <w:rPr>
                <w:rFonts w:eastAsiaTheme="minorHAnsi"/>
                <w:i/>
                <w:sz w:val="20"/>
                <w:lang w:val="fr-CA"/>
              </w:rPr>
              <w:t xml:space="preserve"> and Consumer Protection </w:t>
            </w:r>
            <w:proofErr w:type="spellStart"/>
            <w:r w:rsidRPr="005F24CE">
              <w:rPr>
                <w:rFonts w:eastAsiaTheme="minorHAnsi"/>
                <w:i/>
                <w:sz w:val="20"/>
                <w:lang w:val="fr-CA"/>
              </w:rPr>
              <w:t>Act</w:t>
            </w:r>
            <w:proofErr w:type="spellEnd"/>
            <w:r w:rsidRPr="005F24CE">
              <w:rPr>
                <w:rFonts w:eastAsiaTheme="minorHAnsi"/>
                <w:sz w:val="20"/>
                <w:lang w:val="fr-CA"/>
              </w:rPr>
              <w:t>, S.B.C. 2004, c. 2 (« </w:t>
            </w:r>
            <w:r w:rsidRPr="005F24CE">
              <w:rPr>
                <w:rFonts w:eastAsiaTheme="minorHAnsi"/>
                <w:i/>
                <w:sz w:val="20"/>
                <w:lang w:val="fr-CA"/>
              </w:rPr>
              <w:t>BPCPA</w:t>
            </w:r>
            <w:r w:rsidRPr="005F24CE">
              <w:rPr>
                <w:rFonts w:eastAsiaTheme="minorHAnsi"/>
                <w:sz w:val="20"/>
                <w:lang w:val="fr-CA"/>
              </w:rPr>
              <w:t xml:space="preserve"> »). Il a sollicité un jugement déclaratoire  suivant lequel les déclarations faites par les intimées au sujet de « frais d’accès au réseau » contrevenaient à la </w:t>
            </w:r>
            <w:r w:rsidRPr="005F24CE">
              <w:rPr>
                <w:rFonts w:eastAsiaTheme="minorHAnsi"/>
                <w:i/>
                <w:sz w:val="20"/>
                <w:lang w:val="fr-CA"/>
              </w:rPr>
              <w:t>BPCPA</w:t>
            </w:r>
            <w:r w:rsidRPr="005F24CE">
              <w:rPr>
                <w:rFonts w:eastAsiaTheme="minorHAnsi"/>
                <w:sz w:val="20"/>
                <w:lang w:val="fr-CA"/>
              </w:rPr>
              <w:t xml:space="preserve">. Il a demandé un jugement déclaratoire, une injonction et une ordonnance de restitution en vertu </w:t>
            </w:r>
            <w:proofErr w:type="gramStart"/>
            <w:r w:rsidRPr="005F24CE">
              <w:rPr>
                <w:rFonts w:eastAsiaTheme="minorHAnsi"/>
                <w:sz w:val="20"/>
                <w:lang w:val="fr-CA"/>
              </w:rPr>
              <w:t>des art</w:t>
            </w:r>
            <w:proofErr w:type="gramEnd"/>
            <w:r w:rsidRPr="005F24CE">
              <w:rPr>
                <w:rFonts w:eastAsiaTheme="minorHAnsi"/>
                <w:sz w:val="20"/>
                <w:lang w:val="fr-CA"/>
              </w:rPr>
              <w:t xml:space="preserve">. 171 et 172 de la </w:t>
            </w:r>
            <w:hyperlink r:id="rId31" w:history="1">
              <w:r w:rsidRPr="005F24CE">
                <w:rPr>
                  <w:rFonts w:eastAsiaTheme="minorHAnsi"/>
                  <w:i/>
                  <w:iCs/>
                  <w:sz w:val="20"/>
                  <w:lang w:val="fr-CA"/>
                </w:rPr>
                <w:t>BPCPA</w:t>
              </w:r>
            </w:hyperlink>
            <w:r w:rsidRPr="005F24CE">
              <w:rPr>
                <w:rFonts w:eastAsiaTheme="minorHAnsi"/>
                <w:sz w:val="20"/>
                <w:lang w:val="fr-CA"/>
              </w:rPr>
              <w:t>.</w:t>
            </w:r>
          </w:p>
        </w:tc>
      </w:tr>
      <w:tr w:rsidR="005F24CE" w:rsidRPr="00A35BC1" w:rsidTr="008B2EB1">
        <w:tc>
          <w:tcPr>
            <w:tcW w:w="5000" w:type="pct"/>
            <w:gridSpan w:val="4"/>
          </w:tcPr>
          <w:p w:rsidR="005F24CE" w:rsidRPr="005F24CE" w:rsidRDefault="005F24CE" w:rsidP="005F24CE">
            <w:pPr>
              <w:jc w:val="both"/>
              <w:rPr>
                <w:rFonts w:eastAsiaTheme="minorHAnsi"/>
                <w:sz w:val="20"/>
                <w:lang w:val="fr-CA"/>
              </w:rPr>
            </w:pPr>
          </w:p>
        </w:tc>
      </w:tr>
      <w:tr w:rsidR="005F24CE" w:rsidRPr="00A35BC1" w:rsidTr="008B2EB1">
        <w:tc>
          <w:tcPr>
            <w:tcW w:w="5000" w:type="pct"/>
            <w:gridSpan w:val="4"/>
          </w:tcPr>
          <w:p w:rsidR="005F24CE" w:rsidRPr="005F24CE" w:rsidRDefault="005F24CE" w:rsidP="005F24CE">
            <w:pPr>
              <w:jc w:val="both"/>
              <w:rPr>
                <w:rFonts w:eastAsiaTheme="minorHAnsi"/>
                <w:sz w:val="20"/>
                <w:lang w:val="fr-CA"/>
              </w:rPr>
            </w:pPr>
            <w:r w:rsidRPr="005F24CE">
              <w:rPr>
                <w:rFonts w:eastAsiaTheme="minorHAnsi"/>
                <w:sz w:val="20"/>
                <w:lang w:val="fr-CA"/>
              </w:rPr>
              <w:t xml:space="preserve">Le juge en cabinet a rejeté la demande de certification. La Cour d’appel a rejeté l’appel.  </w:t>
            </w:r>
          </w:p>
          <w:p w:rsidR="005F24CE" w:rsidRPr="005F24CE" w:rsidRDefault="005F24CE" w:rsidP="005F24CE">
            <w:pPr>
              <w:jc w:val="both"/>
              <w:rPr>
                <w:rFonts w:eastAsiaTheme="minorHAnsi"/>
                <w:sz w:val="20"/>
                <w:lang w:val="fr-CA"/>
              </w:rPr>
            </w:pPr>
          </w:p>
        </w:tc>
      </w:tr>
      <w:tr w:rsidR="005F24CE" w:rsidRPr="00A35BC1" w:rsidTr="008B2EB1">
        <w:tc>
          <w:tcPr>
            <w:tcW w:w="2427" w:type="pct"/>
            <w:gridSpan w:val="2"/>
          </w:tcPr>
          <w:p w:rsidR="005F24CE" w:rsidRPr="005F24CE" w:rsidRDefault="005F24CE" w:rsidP="005F24CE">
            <w:pPr>
              <w:jc w:val="both"/>
              <w:rPr>
                <w:rFonts w:eastAsiaTheme="minorHAnsi"/>
                <w:sz w:val="20"/>
                <w:lang w:val="fr-CA"/>
              </w:rPr>
            </w:pPr>
            <w:r w:rsidRPr="005F24CE">
              <w:rPr>
                <w:rFonts w:eastAsiaTheme="minorHAnsi"/>
                <w:sz w:val="20"/>
                <w:lang w:val="fr-CA"/>
              </w:rPr>
              <w:t>5 juin 2014</w:t>
            </w:r>
          </w:p>
          <w:p w:rsidR="005F24CE" w:rsidRPr="005F24CE" w:rsidRDefault="005F24CE" w:rsidP="005F24CE">
            <w:pPr>
              <w:jc w:val="both"/>
              <w:rPr>
                <w:rFonts w:eastAsiaTheme="minorHAnsi"/>
                <w:sz w:val="20"/>
                <w:lang w:val="fr-CA"/>
              </w:rPr>
            </w:pPr>
            <w:r w:rsidRPr="005F24CE">
              <w:rPr>
                <w:rFonts w:eastAsiaTheme="minorHAnsi"/>
                <w:sz w:val="20"/>
                <w:lang w:val="fr-CA"/>
              </w:rPr>
              <w:t>Cour suprême de la Colombie-Britannique</w:t>
            </w:r>
          </w:p>
          <w:p w:rsidR="005F24CE" w:rsidRPr="005F24CE" w:rsidRDefault="005F24CE" w:rsidP="005F24CE">
            <w:pPr>
              <w:jc w:val="both"/>
              <w:rPr>
                <w:rFonts w:eastAsiaTheme="minorHAnsi"/>
                <w:sz w:val="20"/>
                <w:lang w:val="en-CA"/>
              </w:rPr>
            </w:pPr>
            <w:r w:rsidRPr="005F24CE">
              <w:rPr>
                <w:rFonts w:eastAsiaTheme="minorHAnsi"/>
                <w:sz w:val="20"/>
                <w:lang w:val="en-CA"/>
              </w:rPr>
              <w:t xml:space="preserve">(Juge </w:t>
            </w:r>
            <w:proofErr w:type="spellStart"/>
            <w:r w:rsidRPr="005F24CE">
              <w:rPr>
                <w:rFonts w:eastAsiaTheme="minorHAnsi"/>
                <w:sz w:val="20"/>
                <w:lang w:val="en-CA"/>
              </w:rPr>
              <w:t>Weatherill</w:t>
            </w:r>
            <w:proofErr w:type="spellEnd"/>
            <w:r w:rsidRPr="005F24CE">
              <w:rPr>
                <w:rFonts w:eastAsiaTheme="minorHAnsi"/>
                <w:sz w:val="20"/>
                <w:lang w:val="en-CA"/>
              </w:rPr>
              <w:t>)</w:t>
            </w:r>
          </w:p>
          <w:p w:rsidR="005F24CE" w:rsidRPr="005F24CE" w:rsidRDefault="00006AE1" w:rsidP="005F24CE">
            <w:pPr>
              <w:jc w:val="both"/>
              <w:rPr>
                <w:rFonts w:eastAsiaTheme="minorHAnsi"/>
                <w:sz w:val="20"/>
                <w:lang w:val="en-CA"/>
              </w:rPr>
            </w:pPr>
            <w:hyperlink r:id="rId32" w:history="1">
              <w:r w:rsidR="005F24CE" w:rsidRPr="005F24CE">
                <w:rPr>
                  <w:rFonts w:eastAsiaTheme="minorHAnsi"/>
                  <w:color w:val="0000FF" w:themeColor="hyperlink"/>
                  <w:sz w:val="20"/>
                  <w:u w:val="single"/>
                  <w:lang w:val="en-CA"/>
                </w:rPr>
                <w:t>2014 BCSC 1002</w:t>
              </w:r>
            </w:hyperlink>
          </w:p>
          <w:p w:rsidR="005F24CE" w:rsidRPr="005F24CE" w:rsidRDefault="005F24CE" w:rsidP="005F24CE">
            <w:pPr>
              <w:jc w:val="both"/>
              <w:rPr>
                <w:rFonts w:eastAsiaTheme="minorHAnsi"/>
                <w:sz w:val="20"/>
                <w:lang w:val="en-CA"/>
              </w:rPr>
            </w:pPr>
          </w:p>
        </w:tc>
        <w:tc>
          <w:tcPr>
            <w:tcW w:w="243" w:type="pct"/>
          </w:tcPr>
          <w:p w:rsidR="005F24CE" w:rsidRPr="005F24CE" w:rsidRDefault="005F24CE" w:rsidP="005F24CE">
            <w:pPr>
              <w:jc w:val="both"/>
              <w:rPr>
                <w:rFonts w:eastAsiaTheme="minorHAnsi"/>
                <w:sz w:val="20"/>
                <w:lang w:val="en-CA"/>
              </w:rPr>
            </w:pPr>
          </w:p>
        </w:tc>
        <w:tc>
          <w:tcPr>
            <w:tcW w:w="2330" w:type="pct"/>
          </w:tcPr>
          <w:p w:rsidR="005F24CE" w:rsidRPr="005F24CE" w:rsidRDefault="005F24CE" w:rsidP="005F24CE">
            <w:pPr>
              <w:jc w:val="both"/>
              <w:rPr>
                <w:rFonts w:eastAsiaTheme="minorHAnsi"/>
                <w:sz w:val="20"/>
                <w:lang w:val="fr-CA"/>
              </w:rPr>
            </w:pPr>
            <w:r w:rsidRPr="005F24CE">
              <w:rPr>
                <w:rFonts w:eastAsiaTheme="minorHAnsi"/>
                <w:sz w:val="20"/>
                <w:lang w:val="fr-CA"/>
              </w:rPr>
              <w:t>Rejet de la demande de certification du recours collectif.</w:t>
            </w:r>
          </w:p>
          <w:p w:rsidR="005F24CE" w:rsidRPr="005F24CE" w:rsidRDefault="005F24CE" w:rsidP="005F24CE">
            <w:pPr>
              <w:jc w:val="both"/>
              <w:rPr>
                <w:rFonts w:eastAsiaTheme="minorHAnsi"/>
                <w:sz w:val="20"/>
                <w:lang w:val="fr-CA"/>
              </w:rPr>
            </w:pPr>
          </w:p>
        </w:tc>
      </w:tr>
      <w:tr w:rsidR="005F24CE" w:rsidRPr="005F24CE" w:rsidTr="008B2EB1">
        <w:tc>
          <w:tcPr>
            <w:tcW w:w="2427" w:type="pct"/>
            <w:gridSpan w:val="2"/>
          </w:tcPr>
          <w:p w:rsidR="005F24CE" w:rsidRPr="005F24CE" w:rsidRDefault="005F24CE" w:rsidP="005F24CE">
            <w:pPr>
              <w:jc w:val="both"/>
              <w:rPr>
                <w:rFonts w:eastAsiaTheme="minorHAnsi"/>
                <w:sz w:val="20"/>
                <w:lang w:val="fr-CA"/>
              </w:rPr>
            </w:pPr>
            <w:r w:rsidRPr="005F24CE">
              <w:rPr>
                <w:rFonts w:eastAsiaTheme="minorHAnsi"/>
                <w:sz w:val="20"/>
                <w:lang w:val="fr-CA"/>
              </w:rPr>
              <w:t>9 juin 2015</w:t>
            </w:r>
          </w:p>
          <w:p w:rsidR="005F24CE" w:rsidRPr="005F24CE" w:rsidRDefault="005F24CE" w:rsidP="005F24CE">
            <w:pPr>
              <w:jc w:val="both"/>
              <w:rPr>
                <w:rFonts w:eastAsiaTheme="minorHAnsi"/>
                <w:sz w:val="20"/>
                <w:lang w:val="fr-CA"/>
              </w:rPr>
            </w:pPr>
            <w:r w:rsidRPr="005F24CE">
              <w:rPr>
                <w:rFonts w:eastAsiaTheme="minorHAnsi"/>
                <w:sz w:val="20"/>
                <w:lang w:val="fr-CA"/>
              </w:rPr>
              <w:t xml:space="preserve">Cour d’appel de la Colombie-Britannique  </w:t>
            </w:r>
          </w:p>
          <w:p w:rsidR="005F24CE" w:rsidRPr="005F24CE" w:rsidRDefault="005F24CE" w:rsidP="005F24CE">
            <w:pPr>
              <w:jc w:val="both"/>
              <w:rPr>
                <w:rFonts w:eastAsiaTheme="minorHAnsi"/>
                <w:sz w:val="20"/>
                <w:lang w:val="fr-CA"/>
              </w:rPr>
            </w:pPr>
            <w:r w:rsidRPr="005F24CE">
              <w:rPr>
                <w:rFonts w:eastAsiaTheme="minorHAnsi"/>
                <w:sz w:val="20"/>
                <w:lang w:val="fr-CA"/>
              </w:rPr>
              <w:t>(Vancouver)</w:t>
            </w:r>
          </w:p>
          <w:p w:rsidR="005F24CE" w:rsidRPr="005F24CE" w:rsidRDefault="005F24CE" w:rsidP="005F24CE">
            <w:pPr>
              <w:jc w:val="both"/>
              <w:rPr>
                <w:rFonts w:eastAsiaTheme="minorHAnsi"/>
                <w:sz w:val="20"/>
                <w:lang w:val="fr-CA"/>
              </w:rPr>
            </w:pPr>
            <w:r w:rsidRPr="005F24CE">
              <w:rPr>
                <w:rFonts w:eastAsiaTheme="minorHAnsi"/>
                <w:sz w:val="20"/>
                <w:lang w:val="fr-CA"/>
              </w:rPr>
              <w:t xml:space="preserve">(Juges Lowry, </w:t>
            </w:r>
            <w:proofErr w:type="spellStart"/>
            <w:r w:rsidRPr="005F24CE">
              <w:rPr>
                <w:rFonts w:eastAsiaTheme="minorHAnsi"/>
                <w:sz w:val="20"/>
                <w:lang w:val="fr-CA"/>
              </w:rPr>
              <w:t>Groberman</w:t>
            </w:r>
            <w:proofErr w:type="spellEnd"/>
            <w:r w:rsidRPr="005F24CE">
              <w:rPr>
                <w:rFonts w:eastAsiaTheme="minorHAnsi"/>
                <w:sz w:val="20"/>
                <w:lang w:val="fr-CA"/>
              </w:rPr>
              <w:t xml:space="preserve"> et Bennett)</w:t>
            </w:r>
          </w:p>
          <w:p w:rsidR="005F24CE" w:rsidRPr="005F24CE" w:rsidRDefault="00006AE1" w:rsidP="005F24CE">
            <w:pPr>
              <w:jc w:val="both"/>
              <w:rPr>
                <w:rFonts w:eastAsiaTheme="minorHAnsi"/>
                <w:sz w:val="20"/>
                <w:lang w:val="en-CA"/>
              </w:rPr>
            </w:pPr>
            <w:hyperlink r:id="rId33" w:history="1">
              <w:r w:rsidR="005F24CE" w:rsidRPr="005F24CE">
                <w:rPr>
                  <w:rFonts w:eastAsiaTheme="minorHAnsi"/>
                  <w:color w:val="0000FF" w:themeColor="hyperlink"/>
                  <w:sz w:val="20"/>
                  <w:u w:val="single"/>
                  <w:lang w:val="en-CA"/>
                </w:rPr>
                <w:t>2015 BCCA 260</w:t>
              </w:r>
            </w:hyperlink>
          </w:p>
          <w:p w:rsidR="005F24CE" w:rsidRPr="005F24CE" w:rsidRDefault="005F24CE" w:rsidP="005F24CE">
            <w:pPr>
              <w:jc w:val="both"/>
              <w:rPr>
                <w:rFonts w:eastAsiaTheme="minorHAnsi"/>
                <w:sz w:val="20"/>
                <w:lang w:val="fr-CA"/>
              </w:rPr>
            </w:pPr>
            <w:r w:rsidRPr="005F24CE">
              <w:rPr>
                <w:rFonts w:eastAsiaTheme="minorHAnsi"/>
                <w:sz w:val="20"/>
                <w:lang w:val="fr-CA"/>
              </w:rPr>
              <w:t>N</w:t>
            </w:r>
            <w:r w:rsidRPr="005F24CE">
              <w:rPr>
                <w:rFonts w:eastAsiaTheme="minorHAnsi"/>
                <w:sz w:val="20"/>
                <w:vertAlign w:val="superscript"/>
                <w:lang w:val="fr-CA"/>
              </w:rPr>
              <w:t>o</w:t>
            </w:r>
            <w:r w:rsidRPr="005F24CE">
              <w:rPr>
                <w:rFonts w:eastAsiaTheme="minorHAnsi"/>
                <w:sz w:val="20"/>
                <w:lang w:val="fr-CA"/>
              </w:rPr>
              <w:t xml:space="preserve"> de dossier : CA041916</w:t>
            </w:r>
          </w:p>
          <w:p w:rsidR="005F24CE" w:rsidRPr="005F24CE" w:rsidRDefault="005F24CE" w:rsidP="005F24CE">
            <w:pPr>
              <w:jc w:val="both"/>
              <w:rPr>
                <w:rFonts w:eastAsiaTheme="minorHAnsi"/>
                <w:sz w:val="20"/>
                <w:lang w:val="fr-CA"/>
              </w:rPr>
            </w:pPr>
          </w:p>
        </w:tc>
        <w:tc>
          <w:tcPr>
            <w:tcW w:w="243" w:type="pct"/>
          </w:tcPr>
          <w:p w:rsidR="005F24CE" w:rsidRPr="005F24CE" w:rsidRDefault="005F24CE" w:rsidP="005F24CE">
            <w:pPr>
              <w:jc w:val="both"/>
              <w:rPr>
                <w:rFonts w:eastAsiaTheme="minorHAnsi"/>
                <w:sz w:val="20"/>
                <w:lang w:val="fr-CA"/>
              </w:rPr>
            </w:pPr>
          </w:p>
        </w:tc>
        <w:tc>
          <w:tcPr>
            <w:tcW w:w="2330" w:type="pct"/>
          </w:tcPr>
          <w:p w:rsidR="005F24CE" w:rsidRPr="005F24CE" w:rsidRDefault="005F24CE" w:rsidP="005F24CE">
            <w:pPr>
              <w:jc w:val="both"/>
              <w:rPr>
                <w:rFonts w:eastAsiaTheme="minorHAnsi"/>
                <w:sz w:val="20"/>
                <w:lang w:val="en-CA"/>
              </w:rPr>
            </w:pPr>
            <w:proofErr w:type="spellStart"/>
            <w:r w:rsidRPr="005F24CE">
              <w:rPr>
                <w:rFonts w:eastAsiaTheme="minorHAnsi"/>
                <w:sz w:val="20"/>
                <w:lang w:val="en-CA"/>
              </w:rPr>
              <w:t>Rejet</w:t>
            </w:r>
            <w:proofErr w:type="spellEnd"/>
            <w:r w:rsidRPr="005F24CE">
              <w:rPr>
                <w:rFonts w:eastAsiaTheme="minorHAnsi"/>
                <w:sz w:val="20"/>
                <w:lang w:val="en-CA"/>
              </w:rPr>
              <w:t xml:space="preserve"> de </w:t>
            </w:r>
            <w:proofErr w:type="spellStart"/>
            <w:r w:rsidRPr="005F24CE">
              <w:rPr>
                <w:rFonts w:eastAsiaTheme="minorHAnsi"/>
                <w:sz w:val="20"/>
                <w:lang w:val="en-CA"/>
              </w:rPr>
              <w:t>l’appel</w:t>
            </w:r>
            <w:proofErr w:type="spellEnd"/>
            <w:r w:rsidRPr="005F24CE">
              <w:rPr>
                <w:rFonts w:eastAsiaTheme="minorHAnsi"/>
                <w:sz w:val="20"/>
                <w:lang w:val="en-CA"/>
              </w:rPr>
              <w:t>.</w:t>
            </w:r>
          </w:p>
          <w:p w:rsidR="005F24CE" w:rsidRPr="005F24CE" w:rsidRDefault="005F24CE" w:rsidP="005F24CE">
            <w:pPr>
              <w:jc w:val="both"/>
              <w:rPr>
                <w:rFonts w:eastAsiaTheme="minorHAnsi"/>
                <w:sz w:val="20"/>
                <w:lang w:val="en-CA"/>
              </w:rPr>
            </w:pPr>
          </w:p>
        </w:tc>
      </w:tr>
      <w:tr w:rsidR="005F24CE" w:rsidRPr="00A35BC1" w:rsidTr="008B2EB1">
        <w:tc>
          <w:tcPr>
            <w:tcW w:w="2427" w:type="pct"/>
            <w:gridSpan w:val="2"/>
          </w:tcPr>
          <w:p w:rsidR="005F24CE" w:rsidRPr="00A35BC1" w:rsidRDefault="005F24CE" w:rsidP="005F24CE">
            <w:pPr>
              <w:jc w:val="both"/>
              <w:rPr>
                <w:rFonts w:eastAsiaTheme="minorHAnsi"/>
                <w:sz w:val="20"/>
                <w:lang w:val="fr-CA"/>
              </w:rPr>
            </w:pPr>
            <w:r w:rsidRPr="00A35BC1">
              <w:rPr>
                <w:rFonts w:eastAsiaTheme="minorHAnsi"/>
                <w:sz w:val="20"/>
                <w:lang w:val="fr-CA"/>
              </w:rPr>
              <w:lastRenderedPageBreak/>
              <w:t>4 septembre 2015</w:t>
            </w:r>
          </w:p>
          <w:p w:rsidR="005F24CE" w:rsidRPr="00A35BC1" w:rsidRDefault="005F24CE" w:rsidP="00236277">
            <w:pPr>
              <w:jc w:val="both"/>
              <w:rPr>
                <w:rFonts w:eastAsiaTheme="minorHAnsi"/>
                <w:sz w:val="20"/>
                <w:lang w:val="fr-CA"/>
              </w:rPr>
            </w:pPr>
            <w:r w:rsidRPr="00A35BC1">
              <w:rPr>
                <w:rFonts w:eastAsiaTheme="minorHAnsi"/>
                <w:sz w:val="20"/>
                <w:lang w:val="fr-CA"/>
              </w:rPr>
              <w:t>Cour suprême du Canada</w:t>
            </w:r>
          </w:p>
        </w:tc>
        <w:tc>
          <w:tcPr>
            <w:tcW w:w="243" w:type="pct"/>
          </w:tcPr>
          <w:p w:rsidR="005F24CE" w:rsidRPr="00A35BC1" w:rsidRDefault="005F24CE" w:rsidP="005F24CE">
            <w:pPr>
              <w:jc w:val="both"/>
              <w:rPr>
                <w:rFonts w:eastAsiaTheme="minorHAnsi"/>
                <w:sz w:val="20"/>
                <w:lang w:val="fr-CA"/>
              </w:rPr>
            </w:pPr>
          </w:p>
        </w:tc>
        <w:tc>
          <w:tcPr>
            <w:tcW w:w="2330" w:type="pct"/>
          </w:tcPr>
          <w:p w:rsidR="005F24CE" w:rsidRPr="005F24CE" w:rsidRDefault="005F24CE" w:rsidP="005F24CE">
            <w:pPr>
              <w:jc w:val="both"/>
              <w:rPr>
                <w:rFonts w:eastAsiaTheme="minorHAnsi"/>
                <w:sz w:val="20"/>
                <w:lang w:val="fr-CA"/>
              </w:rPr>
            </w:pPr>
            <w:r w:rsidRPr="005F24CE">
              <w:rPr>
                <w:rFonts w:eastAsiaTheme="minorHAnsi"/>
                <w:sz w:val="20"/>
                <w:lang w:val="fr-CA"/>
              </w:rPr>
              <w:t>Dépôt de la demande d’autorisation d’appel.</w:t>
            </w:r>
          </w:p>
          <w:p w:rsidR="005F24CE" w:rsidRPr="005F24CE" w:rsidRDefault="005F24CE" w:rsidP="005F24CE">
            <w:pPr>
              <w:jc w:val="both"/>
              <w:rPr>
                <w:rFonts w:eastAsiaTheme="minorHAnsi"/>
                <w:sz w:val="20"/>
                <w:lang w:val="fr-CA"/>
              </w:rPr>
            </w:pPr>
          </w:p>
        </w:tc>
      </w:tr>
    </w:tbl>
    <w:p w:rsidR="005F24CE" w:rsidRPr="005F24CE" w:rsidRDefault="005F24CE" w:rsidP="005F24CE">
      <w:pPr>
        <w:jc w:val="both"/>
        <w:rPr>
          <w:rFonts w:eastAsiaTheme="minorHAnsi"/>
          <w:sz w:val="20"/>
          <w:lang w:val="fr-CA"/>
        </w:rPr>
      </w:pPr>
    </w:p>
    <w:p w:rsidR="00E47B45" w:rsidRPr="005F24CE" w:rsidRDefault="00E47B45" w:rsidP="00124EFD">
      <w:pPr>
        <w:jc w:val="both"/>
        <w:rPr>
          <w:i/>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F24CE" w:rsidRPr="005F24CE" w:rsidTr="008B2EB1">
        <w:tc>
          <w:tcPr>
            <w:tcW w:w="543" w:type="pct"/>
          </w:tcPr>
          <w:p w:rsidR="005F24CE" w:rsidRPr="005F24CE" w:rsidRDefault="005F24CE" w:rsidP="005F24CE">
            <w:pPr>
              <w:jc w:val="both"/>
              <w:rPr>
                <w:rFonts w:eastAsiaTheme="minorHAnsi"/>
                <w:sz w:val="20"/>
                <w:lang w:val="en-CA"/>
              </w:rPr>
            </w:pPr>
            <w:r w:rsidRPr="005F24CE">
              <w:rPr>
                <w:rFonts w:eastAsiaTheme="minorHAnsi"/>
                <w:b/>
                <w:sz w:val="20"/>
                <w:lang w:val="fr-CA"/>
              </w:rPr>
              <w:t>36530</w:t>
            </w:r>
          </w:p>
        </w:tc>
        <w:tc>
          <w:tcPr>
            <w:tcW w:w="4457" w:type="pct"/>
            <w:gridSpan w:val="3"/>
          </w:tcPr>
          <w:p w:rsidR="005F24CE" w:rsidRPr="005F24CE" w:rsidRDefault="005F24CE" w:rsidP="005F24CE">
            <w:pPr>
              <w:jc w:val="both"/>
              <w:rPr>
                <w:rFonts w:eastAsiaTheme="minorHAnsi"/>
                <w:b/>
                <w:sz w:val="20"/>
                <w:lang w:val="en-CA"/>
              </w:rPr>
            </w:pPr>
            <w:r w:rsidRPr="005F24CE">
              <w:rPr>
                <w:rFonts w:eastAsiaTheme="minorHAnsi"/>
                <w:b/>
                <w:sz w:val="20"/>
                <w:lang w:val="en-CA"/>
              </w:rPr>
              <w:t>Her Majesty the Queen v. Daniel Patry</w:t>
            </w:r>
          </w:p>
          <w:p w:rsidR="005F24CE" w:rsidRPr="005F24CE" w:rsidRDefault="005F24CE" w:rsidP="005F24CE">
            <w:pPr>
              <w:jc w:val="both"/>
              <w:rPr>
                <w:rFonts w:eastAsiaTheme="minorHAnsi"/>
                <w:sz w:val="20"/>
                <w:lang w:val="en-CA"/>
              </w:rPr>
            </w:pPr>
            <w:r w:rsidRPr="005F24CE">
              <w:rPr>
                <w:rFonts w:eastAsiaTheme="minorHAnsi"/>
                <w:sz w:val="20"/>
                <w:lang w:val="en-CA"/>
              </w:rPr>
              <w:t>(Que.) (Criminal) (By Leave)</w:t>
            </w:r>
          </w:p>
        </w:tc>
      </w:tr>
      <w:tr w:rsidR="005F24CE" w:rsidRPr="005F24CE" w:rsidTr="008B2EB1">
        <w:tc>
          <w:tcPr>
            <w:tcW w:w="5000" w:type="pct"/>
            <w:gridSpan w:val="4"/>
          </w:tcPr>
          <w:p w:rsidR="005F24CE" w:rsidRPr="005F24CE" w:rsidRDefault="005F24CE" w:rsidP="005F24CE">
            <w:pPr>
              <w:jc w:val="both"/>
              <w:rPr>
                <w:rFonts w:eastAsiaTheme="minorHAnsi"/>
                <w:sz w:val="20"/>
                <w:lang w:val="en-CA"/>
              </w:rPr>
            </w:pPr>
          </w:p>
          <w:p w:rsidR="005F24CE" w:rsidRPr="005F24CE" w:rsidRDefault="005F24CE" w:rsidP="005F24CE">
            <w:pPr>
              <w:jc w:val="both"/>
              <w:rPr>
                <w:rFonts w:eastAsiaTheme="minorHAnsi"/>
                <w:sz w:val="20"/>
                <w:lang w:val="en-CA"/>
              </w:rPr>
            </w:pPr>
            <w:proofErr w:type="gramStart"/>
            <w:r w:rsidRPr="005F24CE">
              <w:rPr>
                <w:rFonts w:eastAsiaTheme="minorHAnsi"/>
                <w:sz w:val="20"/>
                <w:lang w:val="en-CA"/>
              </w:rPr>
              <w:t xml:space="preserve">Criminal law – Charge to jury – </w:t>
            </w:r>
            <w:proofErr w:type="spellStart"/>
            <w:r w:rsidRPr="005F24CE">
              <w:rPr>
                <w:rFonts w:eastAsiaTheme="minorHAnsi"/>
                <w:i/>
                <w:sz w:val="20"/>
                <w:lang w:val="en-CA"/>
              </w:rPr>
              <w:t>Vetrovec</w:t>
            </w:r>
            <w:proofErr w:type="spellEnd"/>
            <w:r w:rsidRPr="005F24CE">
              <w:rPr>
                <w:rFonts w:eastAsiaTheme="minorHAnsi"/>
                <w:i/>
                <w:sz w:val="20"/>
                <w:lang w:val="en-CA"/>
              </w:rPr>
              <w:t xml:space="preserve"> </w:t>
            </w:r>
            <w:r w:rsidRPr="005F24CE">
              <w:rPr>
                <w:rFonts w:eastAsiaTheme="minorHAnsi"/>
                <w:sz w:val="20"/>
                <w:lang w:val="en-CA"/>
              </w:rPr>
              <w:t xml:space="preserve">warning – Curative proviso – Fresh evidence – Whether Court of Appeal could order new trial by overriding trial judge’s discretion regarding need for </w:t>
            </w:r>
            <w:proofErr w:type="spellStart"/>
            <w:r w:rsidRPr="005F24CE">
              <w:rPr>
                <w:rFonts w:eastAsiaTheme="minorHAnsi"/>
                <w:i/>
                <w:sz w:val="20"/>
                <w:lang w:val="en-CA"/>
              </w:rPr>
              <w:t>Vetrovec</w:t>
            </w:r>
            <w:proofErr w:type="spellEnd"/>
            <w:r w:rsidRPr="005F24CE">
              <w:rPr>
                <w:rFonts w:eastAsiaTheme="minorHAnsi"/>
                <w:sz w:val="20"/>
                <w:lang w:val="en-CA"/>
              </w:rPr>
              <w:t xml:space="preserve"> instruction without paying particular attention to minor role played by witness in determination of guilt – Whether Court of Appeal erred in law in declining to apply curative proviso of s. 686(1)(</w:t>
            </w:r>
            <w:r w:rsidRPr="005F24CE">
              <w:rPr>
                <w:rFonts w:eastAsiaTheme="minorHAnsi"/>
                <w:i/>
                <w:sz w:val="20"/>
                <w:lang w:val="en-CA"/>
              </w:rPr>
              <w:t>b</w:t>
            </w:r>
            <w:r w:rsidRPr="005F24CE">
              <w:rPr>
                <w:rFonts w:eastAsiaTheme="minorHAnsi"/>
                <w:sz w:val="20"/>
                <w:lang w:val="en-CA"/>
              </w:rPr>
              <w:t xml:space="preserve">)(iii) of </w:t>
            </w:r>
            <w:r w:rsidRPr="005F24CE">
              <w:rPr>
                <w:rFonts w:eastAsiaTheme="minorHAnsi"/>
                <w:i/>
                <w:sz w:val="20"/>
                <w:lang w:val="en-CA"/>
              </w:rPr>
              <w:t>Criminal Code</w:t>
            </w:r>
            <w:r w:rsidRPr="005F24CE">
              <w:rPr>
                <w:rFonts w:eastAsiaTheme="minorHAnsi"/>
                <w:sz w:val="20"/>
                <w:lang w:val="en-CA"/>
              </w:rPr>
              <w:t xml:space="preserve"> without giving reasons – Whether, in context of application of curative proviso of s. 686(1)(</w:t>
            </w:r>
            <w:r w:rsidRPr="005F24CE">
              <w:rPr>
                <w:rFonts w:eastAsiaTheme="minorHAnsi"/>
                <w:i/>
                <w:sz w:val="20"/>
                <w:lang w:val="en-CA"/>
              </w:rPr>
              <w:t>b</w:t>
            </w:r>
            <w:r w:rsidRPr="005F24CE">
              <w:rPr>
                <w:rFonts w:eastAsiaTheme="minorHAnsi"/>
                <w:sz w:val="20"/>
                <w:lang w:val="en-CA"/>
              </w:rPr>
              <w:t xml:space="preserve">)(iii) of </w:t>
            </w:r>
            <w:r w:rsidRPr="005F24CE">
              <w:rPr>
                <w:rFonts w:eastAsiaTheme="minorHAnsi"/>
                <w:i/>
                <w:sz w:val="20"/>
                <w:lang w:val="en-CA"/>
              </w:rPr>
              <w:t>Criminal Code</w:t>
            </w:r>
            <w:r w:rsidRPr="005F24CE">
              <w:rPr>
                <w:rFonts w:eastAsiaTheme="minorHAnsi"/>
                <w:sz w:val="20"/>
                <w:lang w:val="en-CA"/>
              </w:rPr>
              <w:t>, this Court should grant leave to appeal in order to consider effect of exceptional fresh evidence, since that evidence, sworn statements by his spouse, had already resulted in respondent’s conviction.</w:t>
            </w:r>
            <w:proofErr w:type="gramEnd"/>
            <w:r w:rsidRPr="005F24CE">
              <w:rPr>
                <w:rFonts w:eastAsiaTheme="minorHAnsi"/>
                <w:sz w:val="20"/>
                <w:lang w:val="en-CA"/>
              </w:rPr>
              <w:t xml:space="preserve"> </w:t>
            </w:r>
          </w:p>
        </w:tc>
      </w:tr>
      <w:tr w:rsidR="005F24CE" w:rsidRPr="005F24CE" w:rsidTr="008B2EB1">
        <w:tc>
          <w:tcPr>
            <w:tcW w:w="5000" w:type="pct"/>
            <w:gridSpan w:val="4"/>
          </w:tcPr>
          <w:p w:rsidR="005F24CE" w:rsidRPr="005F24CE" w:rsidRDefault="005F24CE" w:rsidP="005F24CE">
            <w:pPr>
              <w:jc w:val="both"/>
              <w:rPr>
                <w:rFonts w:eastAsiaTheme="minorHAnsi"/>
                <w:sz w:val="20"/>
                <w:lang w:val="en-CA"/>
              </w:rPr>
            </w:pPr>
          </w:p>
        </w:tc>
      </w:tr>
      <w:tr w:rsidR="005F24CE" w:rsidRPr="005F24CE" w:rsidTr="008B2EB1">
        <w:tc>
          <w:tcPr>
            <w:tcW w:w="5000" w:type="pct"/>
            <w:gridSpan w:val="4"/>
          </w:tcPr>
          <w:p w:rsidR="005F24CE" w:rsidRPr="005F24CE" w:rsidRDefault="005F24CE" w:rsidP="005F24CE">
            <w:pPr>
              <w:jc w:val="both"/>
              <w:rPr>
                <w:rFonts w:eastAsiaTheme="minorHAnsi"/>
                <w:sz w:val="20"/>
                <w:lang w:val="en-CA"/>
              </w:rPr>
            </w:pPr>
            <w:r w:rsidRPr="005F24CE">
              <w:rPr>
                <w:rFonts w:eastAsiaTheme="minorHAnsi"/>
                <w:sz w:val="20"/>
                <w:lang w:val="en-CA"/>
              </w:rPr>
              <w:t xml:space="preserve">A jury found the respondent, Daniel Patry, guilty of the </w:t>
            </w:r>
            <w:proofErr w:type="gramStart"/>
            <w:r w:rsidRPr="005F24CE">
              <w:rPr>
                <w:rFonts w:eastAsiaTheme="minorHAnsi"/>
                <w:sz w:val="20"/>
                <w:lang w:val="en-CA"/>
              </w:rPr>
              <w:t>second degree</w:t>
            </w:r>
            <w:proofErr w:type="gramEnd"/>
            <w:r w:rsidRPr="005F24CE">
              <w:rPr>
                <w:rFonts w:eastAsiaTheme="minorHAnsi"/>
                <w:sz w:val="20"/>
                <w:lang w:val="en-CA"/>
              </w:rPr>
              <w:t xml:space="preserve"> murder of Pierre </w:t>
            </w:r>
            <w:proofErr w:type="spellStart"/>
            <w:r w:rsidRPr="005F24CE">
              <w:rPr>
                <w:rFonts w:eastAsiaTheme="minorHAnsi"/>
                <w:sz w:val="20"/>
                <w:lang w:val="en-CA"/>
              </w:rPr>
              <w:t>Régimbald</w:t>
            </w:r>
            <w:proofErr w:type="spellEnd"/>
            <w:r w:rsidRPr="005F24CE">
              <w:rPr>
                <w:rFonts w:eastAsiaTheme="minorHAnsi"/>
                <w:sz w:val="20"/>
                <w:lang w:val="en-CA"/>
              </w:rPr>
              <w:t xml:space="preserve"> after two successive trials. </w:t>
            </w:r>
          </w:p>
          <w:p w:rsidR="005F24CE" w:rsidRPr="005F24CE" w:rsidRDefault="005F24CE" w:rsidP="005F24CE">
            <w:pPr>
              <w:jc w:val="both"/>
              <w:rPr>
                <w:rFonts w:eastAsiaTheme="minorHAnsi"/>
                <w:sz w:val="20"/>
                <w:lang w:val="en-CA"/>
              </w:rPr>
            </w:pPr>
          </w:p>
          <w:p w:rsidR="005F24CE" w:rsidRPr="005F24CE" w:rsidRDefault="005F24CE" w:rsidP="005F24CE">
            <w:pPr>
              <w:jc w:val="both"/>
              <w:rPr>
                <w:rFonts w:eastAsiaTheme="minorHAnsi"/>
                <w:sz w:val="20"/>
                <w:lang w:val="en-CA"/>
              </w:rPr>
            </w:pPr>
            <w:proofErr w:type="gramStart"/>
            <w:r w:rsidRPr="005F24CE">
              <w:rPr>
                <w:rFonts w:eastAsiaTheme="minorHAnsi"/>
                <w:sz w:val="20"/>
                <w:lang w:val="en-CA"/>
              </w:rPr>
              <w:t>A first conviction had been set aside by the Court of Appeal on the basis that statements made to the police by Mr. </w:t>
            </w:r>
            <w:proofErr w:type="spellStart"/>
            <w:r w:rsidRPr="005F24CE">
              <w:rPr>
                <w:rFonts w:eastAsiaTheme="minorHAnsi"/>
                <w:sz w:val="20"/>
                <w:lang w:val="en-CA"/>
              </w:rPr>
              <w:t>Patry’s</w:t>
            </w:r>
            <w:proofErr w:type="spellEnd"/>
            <w:r w:rsidRPr="005F24CE">
              <w:rPr>
                <w:rFonts w:eastAsiaTheme="minorHAnsi"/>
                <w:sz w:val="20"/>
                <w:lang w:val="en-CA"/>
              </w:rPr>
              <w:t xml:space="preserve"> spouse should have been excluded, and a new trial was ordered</w:t>
            </w:r>
            <w:proofErr w:type="gramEnd"/>
            <w:r w:rsidRPr="005F24CE">
              <w:rPr>
                <w:rFonts w:eastAsiaTheme="minorHAnsi"/>
                <w:sz w:val="20"/>
                <w:lang w:val="en-CA"/>
              </w:rPr>
              <w:t xml:space="preserve">. </w:t>
            </w:r>
            <w:proofErr w:type="gramStart"/>
            <w:r w:rsidRPr="005F24CE">
              <w:rPr>
                <w:rFonts w:eastAsiaTheme="minorHAnsi"/>
                <w:sz w:val="20"/>
                <w:lang w:val="en-CA"/>
              </w:rPr>
              <w:t>An application by the Crown for leave to appeal from that decision of the Court of Appeal was dismissed by this Court</w:t>
            </w:r>
            <w:proofErr w:type="gramEnd"/>
            <w:r w:rsidRPr="005F24CE">
              <w:rPr>
                <w:rFonts w:eastAsiaTheme="minorHAnsi"/>
                <w:sz w:val="20"/>
                <w:lang w:val="en-CA"/>
              </w:rPr>
              <w:t xml:space="preserve">. </w:t>
            </w:r>
          </w:p>
          <w:p w:rsidR="005F24CE" w:rsidRPr="005F24CE" w:rsidRDefault="005F24CE" w:rsidP="005F24CE">
            <w:pPr>
              <w:jc w:val="both"/>
              <w:rPr>
                <w:rFonts w:eastAsiaTheme="minorHAnsi"/>
                <w:sz w:val="20"/>
                <w:lang w:val="en-CA"/>
              </w:rPr>
            </w:pPr>
          </w:p>
          <w:p w:rsidR="005F24CE" w:rsidRPr="005F24CE" w:rsidRDefault="005F24CE" w:rsidP="005F24CE">
            <w:pPr>
              <w:jc w:val="both"/>
              <w:rPr>
                <w:rFonts w:eastAsiaTheme="minorHAnsi"/>
                <w:sz w:val="20"/>
                <w:lang w:val="en-CA"/>
              </w:rPr>
            </w:pPr>
            <w:r w:rsidRPr="005F24CE">
              <w:rPr>
                <w:rFonts w:eastAsiaTheme="minorHAnsi"/>
                <w:sz w:val="20"/>
                <w:lang w:val="en-CA"/>
              </w:rPr>
              <w:t xml:space="preserve">The Court of Appeal set aside the second conviction as well, because it was of the opinion that the trial judge’s instruction to the jury regarding a tainted witness had been insufficient. The Court of Appeal ordered a new trial. The Crown now seeks to appeal against that decision. </w:t>
            </w:r>
          </w:p>
          <w:p w:rsidR="005F24CE" w:rsidRPr="005F24CE" w:rsidRDefault="005F24CE" w:rsidP="005F24CE">
            <w:pPr>
              <w:jc w:val="both"/>
              <w:rPr>
                <w:rFonts w:eastAsiaTheme="minorHAnsi"/>
                <w:sz w:val="20"/>
                <w:lang w:val="en-CA"/>
              </w:rPr>
            </w:pPr>
          </w:p>
        </w:tc>
      </w:tr>
      <w:tr w:rsidR="005F24CE" w:rsidRPr="005F24CE" w:rsidTr="008B2EB1">
        <w:tc>
          <w:tcPr>
            <w:tcW w:w="2427" w:type="pct"/>
            <w:gridSpan w:val="2"/>
          </w:tcPr>
          <w:p w:rsidR="005F24CE" w:rsidRPr="005F24CE" w:rsidRDefault="005F24CE" w:rsidP="005F24CE">
            <w:pPr>
              <w:jc w:val="both"/>
              <w:rPr>
                <w:rFonts w:eastAsiaTheme="minorHAnsi"/>
                <w:sz w:val="20"/>
                <w:lang w:val="en-CA"/>
              </w:rPr>
            </w:pPr>
            <w:r w:rsidRPr="005F24CE">
              <w:rPr>
                <w:rFonts w:eastAsiaTheme="minorHAnsi"/>
                <w:sz w:val="20"/>
                <w:lang w:val="en-CA"/>
              </w:rPr>
              <w:t>December 21, 2011</w:t>
            </w:r>
          </w:p>
          <w:p w:rsidR="005F24CE" w:rsidRPr="005F24CE" w:rsidRDefault="005F24CE" w:rsidP="005F24CE">
            <w:pPr>
              <w:jc w:val="both"/>
              <w:rPr>
                <w:rFonts w:eastAsiaTheme="minorHAnsi"/>
                <w:sz w:val="20"/>
                <w:lang w:val="en-CA"/>
              </w:rPr>
            </w:pPr>
            <w:r w:rsidRPr="005F24CE">
              <w:rPr>
                <w:rFonts w:eastAsiaTheme="minorHAnsi"/>
                <w:sz w:val="20"/>
                <w:lang w:val="en-CA"/>
              </w:rPr>
              <w:t>Quebec Superior Court</w:t>
            </w:r>
          </w:p>
          <w:p w:rsidR="005F24CE" w:rsidRPr="005F24CE" w:rsidRDefault="005F24CE" w:rsidP="005F24CE">
            <w:pPr>
              <w:jc w:val="both"/>
              <w:rPr>
                <w:rFonts w:eastAsiaTheme="minorHAnsi"/>
                <w:sz w:val="20"/>
                <w:lang w:val="en-CA"/>
              </w:rPr>
            </w:pPr>
            <w:r w:rsidRPr="005F24CE">
              <w:rPr>
                <w:rFonts w:eastAsiaTheme="minorHAnsi"/>
                <w:sz w:val="20"/>
                <w:lang w:val="en-CA"/>
              </w:rPr>
              <w:t>(Paul J.)</w:t>
            </w:r>
          </w:p>
          <w:p w:rsidR="005F24CE" w:rsidRPr="005F24CE" w:rsidRDefault="005F24CE" w:rsidP="005F24CE">
            <w:pPr>
              <w:jc w:val="both"/>
              <w:rPr>
                <w:rFonts w:eastAsiaTheme="minorHAnsi"/>
                <w:sz w:val="20"/>
                <w:lang w:val="en-CA"/>
              </w:rPr>
            </w:pPr>
          </w:p>
        </w:tc>
        <w:tc>
          <w:tcPr>
            <w:tcW w:w="243" w:type="pct"/>
          </w:tcPr>
          <w:p w:rsidR="005F24CE" w:rsidRPr="005F24CE" w:rsidRDefault="005F24CE" w:rsidP="005F24CE">
            <w:pPr>
              <w:jc w:val="both"/>
              <w:rPr>
                <w:rFonts w:eastAsiaTheme="minorHAnsi"/>
                <w:sz w:val="20"/>
                <w:lang w:val="en-CA"/>
              </w:rPr>
            </w:pPr>
          </w:p>
        </w:tc>
        <w:tc>
          <w:tcPr>
            <w:tcW w:w="2330" w:type="pct"/>
          </w:tcPr>
          <w:p w:rsidR="005F24CE" w:rsidRPr="005F24CE" w:rsidRDefault="005F24CE" w:rsidP="005F24CE">
            <w:pPr>
              <w:jc w:val="both"/>
              <w:rPr>
                <w:rFonts w:eastAsiaTheme="minorHAnsi"/>
                <w:sz w:val="20"/>
                <w:lang w:val="en-CA"/>
              </w:rPr>
            </w:pPr>
            <w:r w:rsidRPr="005F24CE">
              <w:rPr>
                <w:rFonts w:eastAsiaTheme="minorHAnsi"/>
                <w:sz w:val="20"/>
                <w:lang w:val="en-CA"/>
              </w:rPr>
              <w:t>Respondent found guilty of second degree murder</w:t>
            </w:r>
          </w:p>
          <w:p w:rsidR="005F24CE" w:rsidRPr="005F24CE" w:rsidRDefault="005F24CE" w:rsidP="005F24CE">
            <w:pPr>
              <w:jc w:val="both"/>
              <w:rPr>
                <w:rFonts w:eastAsiaTheme="minorHAnsi"/>
                <w:sz w:val="20"/>
                <w:lang w:val="en-CA"/>
              </w:rPr>
            </w:pPr>
          </w:p>
        </w:tc>
      </w:tr>
      <w:tr w:rsidR="005F24CE" w:rsidRPr="005F24CE" w:rsidTr="008B2EB1">
        <w:tc>
          <w:tcPr>
            <w:tcW w:w="2427" w:type="pct"/>
            <w:gridSpan w:val="2"/>
          </w:tcPr>
          <w:p w:rsidR="005F24CE" w:rsidRPr="005F24CE" w:rsidRDefault="005F24CE" w:rsidP="005F24CE">
            <w:pPr>
              <w:jc w:val="both"/>
              <w:rPr>
                <w:rFonts w:eastAsiaTheme="minorHAnsi"/>
                <w:sz w:val="20"/>
                <w:lang w:val="en-CA"/>
              </w:rPr>
            </w:pPr>
            <w:r w:rsidRPr="005F24CE">
              <w:rPr>
                <w:rFonts w:eastAsiaTheme="minorHAnsi"/>
                <w:sz w:val="20"/>
                <w:lang w:val="en-CA"/>
              </w:rPr>
              <w:t>May 7, 2015</w:t>
            </w:r>
          </w:p>
          <w:p w:rsidR="005F24CE" w:rsidRPr="005F24CE" w:rsidRDefault="005F24CE" w:rsidP="005F24CE">
            <w:pPr>
              <w:jc w:val="both"/>
              <w:rPr>
                <w:rFonts w:eastAsiaTheme="minorHAnsi"/>
                <w:sz w:val="20"/>
                <w:lang w:val="en-CA"/>
              </w:rPr>
            </w:pPr>
            <w:r w:rsidRPr="005F24CE">
              <w:rPr>
                <w:rFonts w:eastAsiaTheme="minorHAnsi"/>
                <w:sz w:val="20"/>
                <w:lang w:val="en-CA"/>
              </w:rPr>
              <w:t>Quebec Court of Appeal (Montréal)</w:t>
            </w:r>
          </w:p>
          <w:p w:rsidR="005F24CE" w:rsidRPr="005F24CE" w:rsidRDefault="005F24CE" w:rsidP="005F24CE">
            <w:pPr>
              <w:jc w:val="both"/>
              <w:rPr>
                <w:rFonts w:eastAsiaTheme="minorHAnsi"/>
                <w:sz w:val="20"/>
                <w:lang w:val="en-CA"/>
              </w:rPr>
            </w:pPr>
            <w:r w:rsidRPr="005F24CE">
              <w:rPr>
                <w:rFonts w:eastAsiaTheme="minorHAnsi"/>
                <w:sz w:val="20"/>
                <w:lang w:val="en-CA"/>
              </w:rPr>
              <w:t>(</w:t>
            </w:r>
            <w:proofErr w:type="spellStart"/>
            <w:r w:rsidRPr="005F24CE">
              <w:rPr>
                <w:rFonts w:eastAsiaTheme="minorHAnsi"/>
                <w:sz w:val="20"/>
                <w:lang w:val="en-CA"/>
              </w:rPr>
              <w:t>Dutil</w:t>
            </w:r>
            <w:proofErr w:type="spellEnd"/>
            <w:r w:rsidRPr="005F24CE">
              <w:rPr>
                <w:rFonts w:eastAsiaTheme="minorHAnsi"/>
                <w:sz w:val="20"/>
                <w:lang w:val="en-CA"/>
              </w:rPr>
              <w:t xml:space="preserve">, Levesque and </w:t>
            </w:r>
            <w:proofErr w:type="spellStart"/>
            <w:r w:rsidRPr="005F24CE">
              <w:rPr>
                <w:rFonts w:eastAsiaTheme="minorHAnsi"/>
                <w:sz w:val="20"/>
                <w:lang w:val="en-CA"/>
              </w:rPr>
              <w:t>Émond</w:t>
            </w:r>
            <w:proofErr w:type="spellEnd"/>
            <w:r w:rsidRPr="005F24CE">
              <w:rPr>
                <w:rFonts w:eastAsiaTheme="minorHAnsi"/>
                <w:sz w:val="20"/>
                <w:lang w:val="en-CA"/>
              </w:rPr>
              <w:t> JJ.A.)</w:t>
            </w:r>
          </w:p>
          <w:p w:rsidR="005F24CE" w:rsidRPr="005F24CE" w:rsidRDefault="00006AE1" w:rsidP="005F24CE">
            <w:pPr>
              <w:jc w:val="both"/>
              <w:rPr>
                <w:rFonts w:eastAsiaTheme="minorHAnsi"/>
                <w:sz w:val="20"/>
                <w:lang w:val="en-CA"/>
              </w:rPr>
            </w:pPr>
            <w:hyperlink r:id="rId34" w:history="1">
              <w:r w:rsidR="005F24CE" w:rsidRPr="005F24CE">
                <w:rPr>
                  <w:rFonts w:eastAsiaTheme="minorHAnsi"/>
                  <w:color w:val="0000FF" w:themeColor="hyperlink"/>
                  <w:sz w:val="20"/>
                  <w:u w:val="single"/>
                  <w:lang w:val="en-CA"/>
                </w:rPr>
                <w:t>2015 QCCA 845</w:t>
              </w:r>
            </w:hyperlink>
          </w:p>
          <w:p w:rsidR="005F24CE" w:rsidRPr="005F24CE" w:rsidRDefault="005F24CE" w:rsidP="005F24CE">
            <w:pPr>
              <w:jc w:val="both"/>
              <w:rPr>
                <w:rFonts w:eastAsiaTheme="minorHAnsi"/>
                <w:sz w:val="20"/>
                <w:lang w:val="en-CA"/>
              </w:rPr>
            </w:pPr>
          </w:p>
        </w:tc>
        <w:tc>
          <w:tcPr>
            <w:tcW w:w="243" w:type="pct"/>
          </w:tcPr>
          <w:p w:rsidR="005F24CE" w:rsidRPr="005F24CE" w:rsidRDefault="005F24CE" w:rsidP="005F24CE">
            <w:pPr>
              <w:jc w:val="both"/>
              <w:rPr>
                <w:rFonts w:eastAsiaTheme="minorHAnsi"/>
                <w:sz w:val="20"/>
                <w:lang w:val="en-CA"/>
              </w:rPr>
            </w:pPr>
          </w:p>
        </w:tc>
        <w:tc>
          <w:tcPr>
            <w:tcW w:w="2330" w:type="pct"/>
          </w:tcPr>
          <w:p w:rsidR="005F24CE" w:rsidRPr="005F24CE" w:rsidRDefault="005F24CE" w:rsidP="005F24CE">
            <w:pPr>
              <w:jc w:val="both"/>
              <w:rPr>
                <w:rFonts w:eastAsiaTheme="minorHAnsi"/>
                <w:sz w:val="20"/>
                <w:lang w:val="en-CA"/>
              </w:rPr>
            </w:pPr>
            <w:r w:rsidRPr="005F24CE">
              <w:rPr>
                <w:rFonts w:eastAsiaTheme="minorHAnsi"/>
                <w:sz w:val="20"/>
                <w:lang w:val="en-CA"/>
              </w:rPr>
              <w:t>Appeal allowed: guilty verdict set aside and new trial ordered</w:t>
            </w:r>
          </w:p>
          <w:p w:rsidR="005F24CE" w:rsidRPr="005F24CE" w:rsidRDefault="005F24CE" w:rsidP="005F24CE">
            <w:pPr>
              <w:jc w:val="both"/>
              <w:rPr>
                <w:rFonts w:eastAsiaTheme="minorHAnsi"/>
                <w:sz w:val="20"/>
                <w:lang w:val="en-CA"/>
              </w:rPr>
            </w:pPr>
          </w:p>
        </w:tc>
      </w:tr>
      <w:tr w:rsidR="005F24CE" w:rsidRPr="005F24CE" w:rsidTr="008B2EB1">
        <w:tc>
          <w:tcPr>
            <w:tcW w:w="2427" w:type="pct"/>
            <w:gridSpan w:val="2"/>
          </w:tcPr>
          <w:p w:rsidR="005F24CE" w:rsidRPr="005F24CE" w:rsidRDefault="005F24CE" w:rsidP="005F24CE">
            <w:pPr>
              <w:jc w:val="both"/>
              <w:rPr>
                <w:rFonts w:eastAsiaTheme="minorHAnsi"/>
                <w:sz w:val="20"/>
                <w:lang w:val="en-CA"/>
              </w:rPr>
            </w:pPr>
            <w:r w:rsidRPr="005F24CE">
              <w:rPr>
                <w:rFonts w:eastAsiaTheme="minorHAnsi"/>
                <w:sz w:val="20"/>
                <w:lang w:val="en-CA"/>
              </w:rPr>
              <w:t>December 14, 2015</w:t>
            </w:r>
          </w:p>
          <w:p w:rsidR="005F24CE" w:rsidRPr="005F24CE" w:rsidRDefault="005F24CE" w:rsidP="005F24CE">
            <w:pPr>
              <w:jc w:val="both"/>
              <w:rPr>
                <w:rFonts w:eastAsiaTheme="minorHAnsi"/>
                <w:sz w:val="20"/>
                <w:lang w:val="en-CA"/>
              </w:rPr>
            </w:pPr>
            <w:r w:rsidRPr="005F24CE">
              <w:rPr>
                <w:rFonts w:eastAsiaTheme="minorHAnsi"/>
                <w:sz w:val="20"/>
                <w:lang w:val="en-CA"/>
              </w:rPr>
              <w:t>Supreme Court of Canada</w:t>
            </w:r>
          </w:p>
          <w:p w:rsidR="005F24CE" w:rsidRPr="005F24CE" w:rsidRDefault="005F24CE" w:rsidP="005F24CE">
            <w:pPr>
              <w:jc w:val="both"/>
              <w:rPr>
                <w:rFonts w:eastAsiaTheme="minorHAnsi"/>
                <w:sz w:val="20"/>
                <w:lang w:val="en-CA"/>
              </w:rPr>
            </w:pPr>
          </w:p>
        </w:tc>
        <w:tc>
          <w:tcPr>
            <w:tcW w:w="243" w:type="pct"/>
          </w:tcPr>
          <w:p w:rsidR="005F24CE" w:rsidRPr="005F24CE" w:rsidRDefault="005F24CE" w:rsidP="005F24CE">
            <w:pPr>
              <w:jc w:val="both"/>
              <w:rPr>
                <w:rFonts w:eastAsiaTheme="minorHAnsi"/>
                <w:sz w:val="20"/>
                <w:lang w:val="en-CA"/>
              </w:rPr>
            </w:pPr>
          </w:p>
        </w:tc>
        <w:tc>
          <w:tcPr>
            <w:tcW w:w="2330" w:type="pct"/>
          </w:tcPr>
          <w:p w:rsidR="005F24CE" w:rsidRPr="005F24CE" w:rsidRDefault="005F24CE" w:rsidP="005F24CE">
            <w:pPr>
              <w:jc w:val="both"/>
              <w:rPr>
                <w:rFonts w:eastAsiaTheme="minorHAnsi"/>
                <w:sz w:val="20"/>
                <w:lang w:val="en-CA"/>
              </w:rPr>
            </w:pPr>
            <w:r w:rsidRPr="005F24CE">
              <w:rPr>
                <w:rFonts w:eastAsiaTheme="minorHAnsi"/>
                <w:sz w:val="20"/>
                <w:lang w:val="en-CA"/>
              </w:rPr>
              <w:t>Application for leave to appeal filed</w:t>
            </w:r>
          </w:p>
          <w:p w:rsidR="005F24CE" w:rsidRPr="005F24CE" w:rsidRDefault="005F24CE" w:rsidP="005F24CE">
            <w:pPr>
              <w:jc w:val="both"/>
              <w:rPr>
                <w:rFonts w:eastAsiaTheme="minorHAnsi"/>
                <w:sz w:val="20"/>
                <w:lang w:val="en-CA"/>
              </w:rPr>
            </w:pPr>
          </w:p>
        </w:tc>
      </w:tr>
      <w:tr w:rsidR="005F24CE" w:rsidRPr="005F24CE" w:rsidTr="008B2EB1">
        <w:tc>
          <w:tcPr>
            <w:tcW w:w="2427" w:type="pct"/>
            <w:gridSpan w:val="2"/>
          </w:tcPr>
          <w:p w:rsidR="005F24CE" w:rsidRPr="005F24CE" w:rsidRDefault="005F24CE" w:rsidP="005F24CE">
            <w:pPr>
              <w:jc w:val="both"/>
              <w:rPr>
                <w:rFonts w:eastAsiaTheme="minorHAnsi"/>
                <w:sz w:val="20"/>
                <w:lang w:val="en-CA"/>
              </w:rPr>
            </w:pPr>
            <w:r w:rsidRPr="005F24CE">
              <w:rPr>
                <w:rFonts w:eastAsiaTheme="minorHAnsi"/>
                <w:sz w:val="20"/>
                <w:lang w:val="en-CA"/>
              </w:rPr>
              <w:t>December 14, 2015</w:t>
            </w:r>
          </w:p>
          <w:p w:rsidR="005F24CE" w:rsidRPr="005F24CE" w:rsidRDefault="005F24CE" w:rsidP="004758E9">
            <w:pPr>
              <w:jc w:val="both"/>
              <w:rPr>
                <w:rFonts w:eastAsiaTheme="minorHAnsi"/>
                <w:sz w:val="20"/>
                <w:lang w:val="en-CA"/>
              </w:rPr>
            </w:pPr>
            <w:r w:rsidRPr="005F24CE">
              <w:rPr>
                <w:rFonts w:eastAsiaTheme="minorHAnsi"/>
                <w:sz w:val="20"/>
                <w:lang w:val="en-CA"/>
              </w:rPr>
              <w:t>Supreme Court of Canada</w:t>
            </w:r>
          </w:p>
        </w:tc>
        <w:tc>
          <w:tcPr>
            <w:tcW w:w="243" w:type="pct"/>
          </w:tcPr>
          <w:p w:rsidR="005F24CE" w:rsidRPr="005F24CE" w:rsidRDefault="005F24CE" w:rsidP="005F24CE">
            <w:pPr>
              <w:jc w:val="both"/>
              <w:rPr>
                <w:rFonts w:eastAsiaTheme="minorHAnsi"/>
                <w:sz w:val="20"/>
                <w:lang w:val="en-CA"/>
              </w:rPr>
            </w:pPr>
          </w:p>
        </w:tc>
        <w:tc>
          <w:tcPr>
            <w:tcW w:w="2330" w:type="pct"/>
          </w:tcPr>
          <w:p w:rsidR="005F24CE" w:rsidRPr="005F24CE" w:rsidRDefault="005F24CE" w:rsidP="005F24CE">
            <w:pPr>
              <w:jc w:val="both"/>
              <w:rPr>
                <w:rFonts w:eastAsiaTheme="minorHAnsi"/>
                <w:sz w:val="20"/>
                <w:lang w:val="en-CA"/>
              </w:rPr>
            </w:pPr>
            <w:r w:rsidRPr="005F24CE">
              <w:rPr>
                <w:rFonts w:eastAsiaTheme="minorHAnsi"/>
                <w:sz w:val="20"/>
                <w:lang w:val="en-CA"/>
              </w:rPr>
              <w:t>Motion for extension of time to file notice of application for leave to appeal filed</w:t>
            </w:r>
          </w:p>
        </w:tc>
      </w:tr>
    </w:tbl>
    <w:p w:rsidR="005F24CE" w:rsidRPr="005F24CE" w:rsidRDefault="005F24CE" w:rsidP="005F24CE">
      <w:pPr>
        <w:jc w:val="both"/>
        <w:rPr>
          <w:rFonts w:eastAsiaTheme="minorHAnsi"/>
          <w:sz w:val="20"/>
          <w:lang w:val="en-CA"/>
        </w:rPr>
      </w:pPr>
    </w:p>
    <w:p w:rsidR="005F24CE" w:rsidRPr="005F24CE" w:rsidRDefault="005F24CE" w:rsidP="00124EFD">
      <w:pPr>
        <w:jc w:val="both"/>
        <w:rPr>
          <w:i/>
          <w:sz w:val="20"/>
          <w:lang w:val="en-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F24CE" w:rsidRPr="005F24CE" w:rsidTr="008B2EB1">
        <w:tc>
          <w:tcPr>
            <w:tcW w:w="543" w:type="pct"/>
          </w:tcPr>
          <w:p w:rsidR="005F24CE" w:rsidRPr="005F24CE" w:rsidRDefault="005F24CE" w:rsidP="005F24CE">
            <w:pPr>
              <w:jc w:val="both"/>
              <w:rPr>
                <w:rFonts w:eastAsiaTheme="minorHAnsi"/>
                <w:sz w:val="20"/>
                <w:lang w:val="fr-CA"/>
              </w:rPr>
            </w:pPr>
            <w:r w:rsidRPr="005F24CE">
              <w:rPr>
                <w:rFonts w:eastAsiaTheme="minorHAnsi"/>
                <w:b/>
                <w:sz w:val="20"/>
                <w:lang w:val="fr-CA"/>
              </w:rPr>
              <w:t>36530</w:t>
            </w:r>
          </w:p>
        </w:tc>
        <w:tc>
          <w:tcPr>
            <w:tcW w:w="4457" w:type="pct"/>
            <w:gridSpan w:val="3"/>
          </w:tcPr>
          <w:p w:rsidR="005F24CE" w:rsidRPr="005F24CE" w:rsidRDefault="005F24CE" w:rsidP="005F24CE">
            <w:pPr>
              <w:jc w:val="both"/>
              <w:rPr>
                <w:rFonts w:eastAsiaTheme="minorHAnsi"/>
                <w:b/>
                <w:sz w:val="20"/>
                <w:lang w:val="fr-CA"/>
              </w:rPr>
            </w:pPr>
            <w:r w:rsidRPr="005F24CE">
              <w:rPr>
                <w:rFonts w:eastAsiaTheme="minorHAnsi"/>
                <w:b/>
                <w:sz w:val="20"/>
                <w:lang w:val="fr-CA"/>
              </w:rPr>
              <w:t>Sa Majesté la Reine c. Daniel Patry</w:t>
            </w:r>
          </w:p>
          <w:p w:rsidR="005F24CE" w:rsidRPr="005F24CE" w:rsidRDefault="005F24CE" w:rsidP="005F24CE">
            <w:pPr>
              <w:jc w:val="both"/>
              <w:rPr>
                <w:rFonts w:eastAsiaTheme="minorHAnsi"/>
                <w:sz w:val="20"/>
                <w:lang w:val="fr-CA"/>
              </w:rPr>
            </w:pPr>
            <w:r w:rsidRPr="005F24CE">
              <w:rPr>
                <w:rFonts w:eastAsiaTheme="minorHAnsi"/>
                <w:sz w:val="20"/>
                <w:lang w:val="fr-CA"/>
              </w:rPr>
              <w:t>(</w:t>
            </w:r>
            <w:proofErr w:type="spellStart"/>
            <w:r w:rsidRPr="005F24CE">
              <w:rPr>
                <w:rFonts w:eastAsiaTheme="minorHAnsi"/>
                <w:sz w:val="20"/>
                <w:lang w:val="fr-CA"/>
              </w:rPr>
              <w:t>Qc</w:t>
            </w:r>
            <w:proofErr w:type="spellEnd"/>
            <w:r w:rsidRPr="005F24CE">
              <w:rPr>
                <w:rFonts w:eastAsiaTheme="minorHAnsi"/>
                <w:sz w:val="20"/>
                <w:lang w:val="fr-CA"/>
              </w:rPr>
              <w:t>) (Criminelle) (Autorisation)</w:t>
            </w:r>
          </w:p>
        </w:tc>
      </w:tr>
      <w:tr w:rsidR="005F24CE" w:rsidRPr="00A35BC1" w:rsidTr="008B2EB1">
        <w:tc>
          <w:tcPr>
            <w:tcW w:w="5000" w:type="pct"/>
            <w:gridSpan w:val="4"/>
          </w:tcPr>
          <w:p w:rsidR="005F24CE" w:rsidRPr="005F24CE" w:rsidRDefault="005F24CE" w:rsidP="005F24CE">
            <w:pPr>
              <w:jc w:val="both"/>
              <w:rPr>
                <w:rFonts w:eastAsiaTheme="minorHAnsi"/>
                <w:sz w:val="20"/>
                <w:lang w:val="fr-CA"/>
              </w:rPr>
            </w:pPr>
          </w:p>
          <w:p w:rsidR="005F24CE" w:rsidRPr="005F24CE" w:rsidRDefault="005F24CE" w:rsidP="005F24CE">
            <w:pPr>
              <w:jc w:val="both"/>
              <w:rPr>
                <w:rFonts w:eastAsiaTheme="minorHAnsi"/>
                <w:sz w:val="20"/>
                <w:lang w:val="fr-CA"/>
              </w:rPr>
            </w:pPr>
            <w:r w:rsidRPr="005F24CE">
              <w:rPr>
                <w:rFonts w:eastAsiaTheme="minorHAnsi"/>
                <w:sz w:val="20"/>
                <w:lang w:val="fr-CA"/>
              </w:rPr>
              <w:t xml:space="preserve">Droit criminel – Exposé au jury – Mise en garde de type </w:t>
            </w:r>
            <w:proofErr w:type="spellStart"/>
            <w:r w:rsidRPr="005F24CE">
              <w:rPr>
                <w:rFonts w:eastAsiaTheme="minorHAnsi"/>
                <w:i/>
                <w:sz w:val="20"/>
                <w:lang w:val="fr-CA"/>
              </w:rPr>
              <w:t>Vetrovec</w:t>
            </w:r>
            <w:proofErr w:type="spellEnd"/>
            <w:r w:rsidRPr="005F24CE">
              <w:rPr>
                <w:rFonts w:eastAsiaTheme="minorHAnsi"/>
                <w:i/>
                <w:sz w:val="20"/>
                <w:lang w:val="fr-CA"/>
              </w:rPr>
              <w:t xml:space="preserve"> </w:t>
            </w:r>
            <w:r w:rsidRPr="005F24CE">
              <w:rPr>
                <w:rFonts w:eastAsiaTheme="minorHAnsi"/>
                <w:sz w:val="20"/>
                <w:lang w:val="fr-CA"/>
              </w:rPr>
              <w:t xml:space="preserve">– Disposition réparatrice – Nouvel élément de preuve – La Cour d’appel pouvait-elle ordonner un nouveau procès en écartant la discrétion du juge de procès quant à la nécessité d’une directive de type </w:t>
            </w:r>
            <w:proofErr w:type="spellStart"/>
            <w:r w:rsidRPr="005F24CE">
              <w:rPr>
                <w:rFonts w:eastAsiaTheme="minorHAnsi"/>
                <w:i/>
                <w:sz w:val="20"/>
                <w:lang w:val="fr-CA"/>
              </w:rPr>
              <w:t>Vetrovec</w:t>
            </w:r>
            <w:proofErr w:type="spellEnd"/>
            <w:r w:rsidRPr="005F24CE">
              <w:rPr>
                <w:rFonts w:eastAsiaTheme="minorHAnsi"/>
                <w:sz w:val="20"/>
                <w:lang w:val="fr-CA"/>
              </w:rPr>
              <w:t xml:space="preserve">, sans porter une attention particulière au rôle mineur que jouait le </w:t>
            </w:r>
            <w:r w:rsidRPr="005F24CE">
              <w:rPr>
                <w:rFonts w:eastAsiaTheme="minorHAnsi"/>
                <w:sz w:val="20"/>
                <w:lang w:val="fr-CA"/>
              </w:rPr>
              <w:lastRenderedPageBreak/>
              <w:t>témoin dans la détermination de la culpabilité? – La Cour d’appel a-t-elle erré en droit en écartant sans motif l’application de la disposition réparatrice prévue à l’art. 686(1)</w:t>
            </w:r>
            <w:r w:rsidRPr="005F24CE">
              <w:rPr>
                <w:rFonts w:eastAsiaTheme="minorHAnsi"/>
                <w:i/>
                <w:sz w:val="20"/>
                <w:lang w:val="fr-CA"/>
              </w:rPr>
              <w:t>b</w:t>
            </w:r>
            <w:proofErr w:type="gramStart"/>
            <w:r w:rsidRPr="005F24CE">
              <w:rPr>
                <w:rFonts w:eastAsiaTheme="minorHAnsi"/>
                <w:sz w:val="20"/>
                <w:lang w:val="fr-CA"/>
              </w:rPr>
              <w:t>)(</w:t>
            </w:r>
            <w:proofErr w:type="gramEnd"/>
            <w:r w:rsidRPr="005F24CE">
              <w:rPr>
                <w:rFonts w:eastAsiaTheme="minorHAnsi"/>
                <w:sz w:val="20"/>
                <w:lang w:val="fr-CA"/>
              </w:rPr>
              <w:t xml:space="preserve">iii)du </w:t>
            </w:r>
            <w:r w:rsidRPr="005F24CE">
              <w:rPr>
                <w:rFonts w:eastAsiaTheme="minorHAnsi"/>
                <w:i/>
                <w:sz w:val="20"/>
                <w:lang w:val="fr-CA"/>
              </w:rPr>
              <w:t>Code criminel</w:t>
            </w:r>
            <w:r w:rsidRPr="005F24CE">
              <w:rPr>
                <w:rFonts w:eastAsiaTheme="minorHAnsi"/>
                <w:sz w:val="20"/>
                <w:lang w:val="fr-CA"/>
              </w:rPr>
              <w:t>? – Dans le cadre de l’application de la disposition réparatrice prévue à l’art. 686(1)</w:t>
            </w:r>
            <w:r w:rsidRPr="005F24CE">
              <w:rPr>
                <w:rFonts w:eastAsiaTheme="minorHAnsi"/>
                <w:i/>
                <w:sz w:val="20"/>
                <w:lang w:val="fr-CA"/>
              </w:rPr>
              <w:t>b</w:t>
            </w:r>
            <w:proofErr w:type="gramStart"/>
            <w:r w:rsidRPr="005F24CE">
              <w:rPr>
                <w:rFonts w:eastAsiaTheme="minorHAnsi"/>
                <w:sz w:val="20"/>
                <w:lang w:val="fr-CA"/>
              </w:rPr>
              <w:t>)(</w:t>
            </w:r>
            <w:proofErr w:type="gramEnd"/>
            <w:r w:rsidRPr="005F24CE">
              <w:rPr>
                <w:rFonts w:eastAsiaTheme="minorHAnsi"/>
                <w:sz w:val="20"/>
                <w:lang w:val="fr-CA"/>
              </w:rPr>
              <w:t xml:space="preserve">iii) du </w:t>
            </w:r>
            <w:r w:rsidRPr="005F24CE">
              <w:rPr>
                <w:rFonts w:eastAsiaTheme="minorHAnsi"/>
                <w:i/>
                <w:sz w:val="20"/>
                <w:lang w:val="fr-CA"/>
              </w:rPr>
              <w:t>Code criminel</w:t>
            </w:r>
            <w:r w:rsidRPr="005F24CE">
              <w:rPr>
                <w:rFonts w:eastAsiaTheme="minorHAnsi"/>
                <w:sz w:val="20"/>
                <w:lang w:val="fr-CA"/>
              </w:rPr>
              <w:t>, y aurait-il lieu que cette Cour autorise le pourvoi afin de considérer l’effet d’une preuve nouvelle exceptionnelle puisqu’elle a déjà conduit à la déclaration de culpabilité de l’intimé, soit les déclarations assermentées de son épouse?</w:t>
            </w:r>
          </w:p>
        </w:tc>
      </w:tr>
      <w:tr w:rsidR="005F24CE" w:rsidRPr="00A35BC1" w:rsidTr="008B2EB1">
        <w:tc>
          <w:tcPr>
            <w:tcW w:w="5000" w:type="pct"/>
            <w:gridSpan w:val="4"/>
          </w:tcPr>
          <w:p w:rsidR="005F24CE" w:rsidRPr="005F24CE" w:rsidRDefault="005F24CE" w:rsidP="005F24CE">
            <w:pPr>
              <w:jc w:val="both"/>
              <w:rPr>
                <w:rFonts w:eastAsiaTheme="minorHAnsi"/>
                <w:sz w:val="20"/>
                <w:lang w:val="fr-CA"/>
              </w:rPr>
            </w:pPr>
          </w:p>
        </w:tc>
      </w:tr>
      <w:tr w:rsidR="005F24CE" w:rsidRPr="00A35BC1" w:rsidTr="008B2EB1">
        <w:tc>
          <w:tcPr>
            <w:tcW w:w="5000" w:type="pct"/>
            <w:gridSpan w:val="4"/>
          </w:tcPr>
          <w:p w:rsidR="005F24CE" w:rsidRPr="005F24CE" w:rsidRDefault="005F24CE" w:rsidP="005F24CE">
            <w:pPr>
              <w:jc w:val="both"/>
              <w:rPr>
                <w:rFonts w:eastAsiaTheme="minorHAnsi"/>
                <w:sz w:val="20"/>
                <w:lang w:val="fr-CA"/>
              </w:rPr>
            </w:pPr>
            <w:r w:rsidRPr="005F24CE">
              <w:rPr>
                <w:rFonts w:eastAsiaTheme="minorHAnsi"/>
                <w:sz w:val="20"/>
                <w:lang w:val="fr-CA"/>
              </w:rPr>
              <w:t xml:space="preserve">L’intimé, Daniel Patry, a été déclaré coupable par un jury du meurtre au deuxième degré de Pierre </w:t>
            </w:r>
            <w:proofErr w:type="spellStart"/>
            <w:r w:rsidRPr="005F24CE">
              <w:rPr>
                <w:rFonts w:eastAsiaTheme="minorHAnsi"/>
                <w:sz w:val="20"/>
                <w:lang w:val="fr-CA"/>
              </w:rPr>
              <w:t>Régimbald</w:t>
            </w:r>
            <w:proofErr w:type="spellEnd"/>
            <w:r w:rsidRPr="005F24CE">
              <w:rPr>
                <w:rFonts w:eastAsiaTheme="minorHAnsi"/>
                <w:sz w:val="20"/>
                <w:lang w:val="fr-CA"/>
              </w:rPr>
              <w:t xml:space="preserve"> à l’issue de deux procès subséquents. </w:t>
            </w:r>
          </w:p>
          <w:p w:rsidR="005F24CE" w:rsidRPr="005F24CE" w:rsidRDefault="005F24CE" w:rsidP="005F24CE">
            <w:pPr>
              <w:jc w:val="both"/>
              <w:rPr>
                <w:rFonts w:eastAsiaTheme="minorHAnsi"/>
                <w:sz w:val="20"/>
                <w:lang w:val="fr-CA"/>
              </w:rPr>
            </w:pPr>
          </w:p>
          <w:p w:rsidR="005F24CE" w:rsidRPr="005F24CE" w:rsidRDefault="005F24CE" w:rsidP="005F24CE">
            <w:pPr>
              <w:jc w:val="both"/>
              <w:rPr>
                <w:rFonts w:eastAsiaTheme="minorHAnsi"/>
                <w:sz w:val="20"/>
                <w:lang w:val="fr-CA"/>
              </w:rPr>
            </w:pPr>
            <w:r w:rsidRPr="005F24CE">
              <w:rPr>
                <w:rFonts w:eastAsiaTheme="minorHAnsi"/>
                <w:sz w:val="20"/>
                <w:lang w:val="fr-CA"/>
              </w:rPr>
              <w:t>La première déclaration de culpabilité a été annulée par la Cour d’appel en raison du fait que les déclarations de la conjointe de M. Patry aux policiers auraient dû être exclues, et un nouveau procès a été ordonné. Une demande d’autorisation d’appel par la Couronne de cette décision de la Cour d’appel a été rejetée par cette Cour.</w:t>
            </w:r>
          </w:p>
          <w:p w:rsidR="005F24CE" w:rsidRPr="005F24CE" w:rsidRDefault="005F24CE" w:rsidP="005F24CE">
            <w:pPr>
              <w:jc w:val="both"/>
              <w:rPr>
                <w:rFonts w:eastAsiaTheme="minorHAnsi"/>
                <w:sz w:val="20"/>
                <w:lang w:val="fr-CA"/>
              </w:rPr>
            </w:pPr>
          </w:p>
          <w:p w:rsidR="005F24CE" w:rsidRPr="005F24CE" w:rsidRDefault="005F24CE" w:rsidP="005F24CE">
            <w:pPr>
              <w:jc w:val="both"/>
              <w:rPr>
                <w:rFonts w:eastAsiaTheme="minorHAnsi"/>
                <w:sz w:val="20"/>
                <w:lang w:val="fr-CA"/>
              </w:rPr>
            </w:pPr>
            <w:r w:rsidRPr="005F24CE">
              <w:rPr>
                <w:rFonts w:eastAsiaTheme="minorHAnsi"/>
                <w:sz w:val="20"/>
                <w:lang w:val="fr-CA"/>
              </w:rPr>
              <w:t>La deuxième déclaration de culpabilité a également été annulée par la Cour d’appel, celle-ci étant d’avis que la directive donnée par le premier juge au jury à propos d’un témoin taré était insuffisante. Un nouveau procès a été ordonné par la Cour d’appel. La Couronne tente maintenant de se pourvoir de cette décision.</w:t>
            </w:r>
          </w:p>
          <w:p w:rsidR="005F24CE" w:rsidRPr="005F24CE" w:rsidRDefault="005F24CE" w:rsidP="005F24CE">
            <w:pPr>
              <w:jc w:val="both"/>
              <w:rPr>
                <w:rFonts w:eastAsiaTheme="minorHAnsi"/>
                <w:sz w:val="20"/>
                <w:lang w:val="fr-CA"/>
              </w:rPr>
            </w:pPr>
          </w:p>
        </w:tc>
      </w:tr>
      <w:tr w:rsidR="005F24CE" w:rsidRPr="00A35BC1" w:rsidTr="008B2EB1">
        <w:tc>
          <w:tcPr>
            <w:tcW w:w="2427" w:type="pct"/>
            <w:gridSpan w:val="2"/>
          </w:tcPr>
          <w:p w:rsidR="005F24CE" w:rsidRPr="005F24CE" w:rsidRDefault="005F24CE" w:rsidP="005F24CE">
            <w:pPr>
              <w:jc w:val="both"/>
              <w:rPr>
                <w:rFonts w:eastAsiaTheme="minorHAnsi"/>
                <w:sz w:val="20"/>
                <w:lang w:val="fr-CA"/>
              </w:rPr>
            </w:pPr>
            <w:r w:rsidRPr="005F24CE">
              <w:rPr>
                <w:rFonts w:eastAsiaTheme="minorHAnsi"/>
                <w:sz w:val="20"/>
                <w:lang w:val="fr-CA"/>
              </w:rPr>
              <w:t>Le 21 décembre 2011</w:t>
            </w:r>
          </w:p>
          <w:p w:rsidR="005F24CE" w:rsidRPr="005F24CE" w:rsidRDefault="005F24CE" w:rsidP="005F24CE">
            <w:pPr>
              <w:jc w:val="both"/>
              <w:rPr>
                <w:rFonts w:eastAsiaTheme="minorHAnsi"/>
                <w:sz w:val="20"/>
                <w:lang w:val="fr-CA"/>
              </w:rPr>
            </w:pPr>
            <w:r w:rsidRPr="005F24CE">
              <w:rPr>
                <w:rFonts w:eastAsiaTheme="minorHAnsi"/>
                <w:sz w:val="20"/>
                <w:lang w:val="fr-CA"/>
              </w:rPr>
              <w:t>Cour supérieure du Québec</w:t>
            </w:r>
          </w:p>
          <w:p w:rsidR="005F24CE" w:rsidRPr="005F24CE" w:rsidRDefault="005F24CE" w:rsidP="005F24CE">
            <w:pPr>
              <w:jc w:val="both"/>
              <w:rPr>
                <w:rFonts w:eastAsiaTheme="minorHAnsi"/>
                <w:sz w:val="20"/>
                <w:lang w:val="fr-CA"/>
              </w:rPr>
            </w:pPr>
            <w:r w:rsidRPr="005F24CE">
              <w:rPr>
                <w:rFonts w:eastAsiaTheme="minorHAnsi"/>
                <w:sz w:val="20"/>
                <w:lang w:val="fr-CA"/>
              </w:rPr>
              <w:t>(Le juge Paul)</w:t>
            </w:r>
          </w:p>
          <w:p w:rsidR="005F24CE" w:rsidRPr="005F24CE" w:rsidRDefault="005F24CE" w:rsidP="005F24CE">
            <w:pPr>
              <w:jc w:val="both"/>
              <w:rPr>
                <w:rFonts w:eastAsiaTheme="minorHAnsi"/>
                <w:sz w:val="20"/>
                <w:lang w:val="fr-CA"/>
              </w:rPr>
            </w:pPr>
          </w:p>
        </w:tc>
        <w:tc>
          <w:tcPr>
            <w:tcW w:w="243" w:type="pct"/>
          </w:tcPr>
          <w:p w:rsidR="005F24CE" w:rsidRPr="005F24CE" w:rsidRDefault="005F24CE" w:rsidP="005F24CE">
            <w:pPr>
              <w:jc w:val="both"/>
              <w:rPr>
                <w:rFonts w:eastAsiaTheme="minorHAnsi"/>
                <w:sz w:val="20"/>
                <w:lang w:val="fr-CA"/>
              </w:rPr>
            </w:pPr>
          </w:p>
        </w:tc>
        <w:tc>
          <w:tcPr>
            <w:tcW w:w="2330" w:type="pct"/>
          </w:tcPr>
          <w:p w:rsidR="005F24CE" w:rsidRPr="005F24CE" w:rsidRDefault="005F24CE" w:rsidP="005F24CE">
            <w:pPr>
              <w:jc w:val="both"/>
              <w:rPr>
                <w:rFonts w:eastAsiaTheme="minorHAnsi"/>
                <w:sz w:val="20"/>
                <w:lang w:val="fr-CA"/>
              </w:rPr>
            </w:pPr>
            <w:r w:rsidRPr="005F24CE">
              <w:rPr>
                <w:rFonts w:eastAsiaTheme="minorHAnsi"/>
                <w:sz w:val="20"/>
                <w:lang w:val="fr-CA"/>
              </w:rPr>
              <w:t>Intimé déclaré coupable de meurtre au deuxième degré</w:t>
            </w:r>
          </w:p>
          <w:p w:rsidR="005F24CE" w:rsidRPr="005F24CE" w:rsidRDefault="005F24CE" w:rsidP="005F24CE">
            <w:pPr>
              <w:jc w:val="both"/>
              <w:rPr>
                <w:rFonts w:eastAsiaTheme="minorHAnsi"/>
                <w:sz w:val="20"/>
                <w:lang w:val="fr-CA"/>
              </w:rPr>
            </w:pPr>
          </w:p>
        </w:tc>
      </w:tr>
      <w:tr w:rsidR="005F24CE" w:rsidRPr="00A35BC1" w:rsidTr="008B2EB1">
        <w:tc>
          <w:tcPr>
            <w:tcW w:w="2427" w:type="pct"/>
            <w:gridSpan w:val="2"/>
          </w:tcPr>
          <w:p w:rsidR="005F24CE" w:rsidRPr="005F24CE" w:rsidRDefault="005F24CE" w:rsidP="005F24CE">
            <w:pPr>
              <w:jc w:val="both"/>
              <w:rPr>
                <w:rFonts w:eastAsiaTheme="minorHAnsi"/>
                <w:sz w:val="20"/>
                <w:lang w:val="fr-CA"/>
              </w:rPr>
            </w:pPr>
            <w:r w:rsidRPr="005F24CE">
              <w:rPr>
                <w:rFonts w:eastAsiaTheme="minorHAnsi"/>
                <w:sz w:val="20"/>
                <w:lang w:val="fr-CA"/>
              </w:rPr>
              <w:t>Le 7 mai 2015</w:t>
            </w:r>
          </w:p>
          <w:p w:rsidR="005F24CE" w:rsidRPr="005F24CE" w:rsidRDefault="005F24CE" w:rsidP="005F24CE">
            <w:pPr>
              <w:jc w:val="both"/>
              <w:rPr>
                <w:rFonts w:eastAsiaTheme="minorHAnsi"/>
                <w:sz w:val="20"/>
                <w:lang w:val="fr-CA"/>
              </w:rPr>
            </w:pPr>
            <w:r w:rsidRPr="005F24CE">
              <w:rPr>
                <w:rFonts w:eastAsiaTheme="minorHAnsi"/>
                <w:sz w:val="20"/>
                <w:lang w:val="fr-CA"/>
              </w:rPr>
              <w:t>Cour d’appel du Québec (Montréal)</w:t>
            </w:r>
          </w:p>
          <w:p w:rsidR="005F24CE" w:rsidRPr="005F24CE" w:rsidRDefault="005F24CE" w:rsidP="005F24CE">
            <w:pPr>
              <w:jc w:val="both"/>
              <w:rPr>
                <w:rFonts w:eastAsiaTheme="minorHAnsi"/>
                <w:sz w:val="20"/>
                <w:lang w:val="fr-CA"/>
              </w:rPr>
            </w:pPr>
            <w:r w:rsidRPr="005F24CE">
              <w:rPr>
                <w:rFonts w:eastAsiaTheme="minorHAnsi"/>
                <w:sz w:val="20"/>
                <w:lang w:val="fr-CA"/>
              </w:rPr>
              <w:t xml:space="preserve">(Les juges </w:t>
            </w:r>
            <w:proofErr w:type="spellStart"/>
            <w:r w:rsidRPr="005F24CE">
              <w:rPr>
                <w:rFonts w:eastAsiaTheme="minorHAnsi"/>
                <w:sz w:val="20"/>
                <w:lang w:val="fr-CA"/>
              </w:rPr>
              <w:t>Dutil</w:t>
            </w:r>
            <w:proofErr w:type="spellEnd"/>
            <w:r w:rsidRPr="005F24CE">
              <w:rPr>
                <w:rFonts w:eastAsiaTheme="minorHAnsi"/>
                <w:sz w:val="20"/>
                <w:lang w:val="fr-CA"/>
              </w:rPr>
              <w:t xml:space="preserve">, Levesque et </w:t>
            </w:r>
            <w:proofErr w:type="spellStart"/>
            <w:r w:rsidRPr="005F24CE">
              <w:rPr>
                <w:rFonts w:eastAsiaTheme="minorHAnsi"/>
                <w:sz w:val="20"/>
                <w:lang w:val="fr-CA"/>
              </w:rPr>
              <w:t>Émond</w:t>
            </w:r>
            <w:proofErr w:type="spellEnd"/>
            <w:r w:rsidRPr="005F24CE">
              <w:rPr>
                <w:rFonts w:eastAsiaTheme="minorHAnsi"/>
                <w:sz w:val="20"/>
                <w:lang w:val="fr-CA"/>
              </w:rPr>
              <w:t>)</w:t>
            </w:r>
          </w:p>
          <w:p w:rsidR="005F24CE" w:rsidRPr="005F24CE" w:rsidRDefault="00006AE1" w:rsidP="005F24CE">
            <w:pPr>
              <w:jc w:val="both"/>
              <w:rPr>
                <w:rFonts w:eastAsiaTheme="minorHAnsi"/>
                <w:sz w:val="20"/>
                <w:lang w:val="fr-CA"/>
              </w:rPr>
            </w:pPr>
            <w:hyperlink r:id="rId35" w:history="1">
              <w:r w:rsidR="005F24CE" w:rsidRPr="005F24CE">
                <w:rPr>
                  <w:rFonts w:eastAsiaTheme="minorHAnsi"/>
                  <w:color w:val="0000FF" w:themeColor="hyperlink"/>
                  <w:sz w:val="20"/>
                  <w:u w:val="single"/>
                  <w:lang w:val="fr-CA"/>
                </w:rPr>
                <w:t>2015 QCCA 845</w:t>
              </w:r>
            </w:hyperlink>
          </w:p>
          <w:p w:rsidR="005F24CE" w:rsidRPr="005F24CE" w:rsidRDefault="005F24CE" w:rsidP="005F24CE">
            <w:pPr>
              <w:jc w:val="both"/>
              <w:rPr>
                <w:rFonts w:eastAsiaTheme="minorHAnsi"/>
                <w:sz w:val="20"/>
                <w:lang w:val="fr-CA"/>
              </w:rPr>
            </w:pPr>
          </w:p>
        </w:tc>
        <w:tc>
          <w:tcPr>
            <w:tcW w:w="243" w:type="pct"/>
          </w:tcPr>
          <w:p w:rsidR="005F24CE" w:rsidRPr="005F24CE" w:rsidRDefault="005F24CE" w:rsidP="005F24CE">
            <w:pPr>
              <w:jc w:val="both"/>
              <w:rPr>
                <w:rFonts w:eastAsiaTheme="minorHAnsi"/>
                <w:sz w:val="20"/>
                <w:lang w:val="fr-CA"/>
              </w:rPr>
            </w:pPr>
          </w:p>
        </w:tc>
        <w:tc>
          <w:tcPr>
            <w:tcW w:w="2330" w:type="pct"/>
          </w:tcPr>
          <w:p w:rsidR="005F24CE" w:rsidRPr="005F24CE" w:rsidRDefault="005F24CE" w:rsidP="005F24CE">
            <w:pPr>
              <w:jc w:val="both"/>
              <w:rPr>
                <w:rFonts w:eastAsiaTheme="minorHAnsi"/>
                <w:sz w:val="20"/>
                <w:lang w:val="fr-CA"/>
              </w:rPr>
            </w:pPr>
            <w:r w:rsidRPr="005F24CE">
              <w:rPr>
                <w:rFonts w:eastAsiaTheme="minorHAnsi"/>
                <w:sz w:val="20"/>
                <w:lang w:val="fr-CA"/>
              </w:rPr>
              <w:t>Appel accueilli : verdict de culpabilité annulé et nouveau procès ordonné</w:t>
            </w:r>
          </w:p>
          <w:p w:rsidR="005F24CE" w:rsidRPr="005F24CE" w:rsidRDefault="005F24CE" w:rsidP="005F24CE">
            <w:pPr>
              <w:jc w:val="both"/>
              <w:rPr>
                <w:rFonts w:eastAsiaTheme="minorHAnsi"/>
                <w:sz w:val="20"/>
                <w:lang w:val="fr-CA"/>
              </w:rPr>
            </w:pPr>
          </w:p>
        </w:tc>
      </w:tr>
      <w:tr w:rsidR="005F24CE" w:rsidRPr="005F24CE" w:rsidTr="008B2EB1">
        <w:tc>
          <w:tcPr>
            <w:tcW w:w="2427" w:type="pct"/>
            <w:gridSpan w:val="2"/>
          </w:tcPr>
          <w:p w:rsidR="005F24CE" w:rsidRPr="005F24CE" w:rsidRDefault="005F24CE" w:rsidP="005F24CE">
            <w:pPr>
              <w:jc w:val="both"/>
              <w:rPr>
                <w:rFonts w:eastAsiaTheme="minorHAnsi"/>
                <w:sz w:val="20"/>
                <w:lang w:val="fr-CA"/>
              </w:rPr>
            </w:pPr>
            <w:r w:rsidRPr="005F24CE">
              <w:rPr>
                <w:rFonts w:eastAsiaTheme="minorHAnsi"/>
                <w:sz w:val="20"/>
                <w:lang w:val="fr-CA"/>
              </w:rPr>
              <w:t>Le 14 décembre 2015</w:t>
            </w:r>
          </w:p>
          <w:p w:rsidR="005F24CE" w:rsidRPr="005F24CE" w:rsidRDefault="005F24CE" w:rsidP="005F24CE">
            <w:pPr>
              <w:jc w:val="both"/>
              <w:rPr>
                <w:rFonts w:eastAsiaTheme="minorHAnsi"/>
                <w:sz w:val="20"/>
                <w:lang w:val="fr-CA"/>
              </w:rPr>
            </w:pPr>
            <w:r w:rsidRPr="005F24CE">
              <w:rPr>
                <w:rFonts w:eastAsiaTheme="minorHAnsi"/>
                <w:sz w:val="20"/>
                <w:lang w:val="fr-CA"/>
              </w:rPr>
              <w:t>Cour suprême du Canada</w:t>
            </w:r>
          </w:p>
          <w:p w:rsidR="005F24CE" w:rsidRPr="005F24CE" w:rsidRDefault="005F24CE" w:rsidP="005F24CE">
            <w:pPr>
              <w:jc w:val="both"/>
              <w:rPr>
                <w:rFonts w:eastAsiaTheme="minorHAnsi"/>
                <w:sz w:val="20"/>
                <w:lang w:val="fr-CA"/>
              </w:rPr>
            </w:pPr>
          </w:p>
        </w:tc>
        <w:tc>
          <w:tcPr>
            <w:tcW w:w="243" w:type="pct"/>
          </w:tcPr>
          <w:p w:rsidR="005F24CE" w:rsidRPr="005F24CE" w:rsidRDefault="005F24CE" w:rsidP="005F24CE">
            <w:pPr>
              <w:jc w:val="both"/>
              <w:rPr>
                <w:rFonts w:eastAsiaTheme="minorHAnsi"/>
                <w:sz w:val="20"/>
                <w:lang w:val="fr-CA"/>
              </w:rPr>
            </w:pPr>
          </w:p>
        </w:tc>
        <w:tc>
          <w:tcPr>
            <w:tcW w:w="2330" w:type="pct"/>
          </w:tcPr>
          <w:p w:rsidR="005F24CE" w:rsidRPr="005F24CE" w:rsidRDefault="005F24CE" w:rsidP="005F24CE">
            <w:pPr>
              <w:jc w:val="both"/>
              <w:rPr>
                <w:rFonts w:eastAsiaTheme="minorHAnsi"/>
                <w:sz w:val="20"/>
                <w:lang w:val="fr-CA"/>
              </w:rPr>
            </w:pPr>
            <w:r w:rsidRPr="005F24CE">
              <w:rPr>
                <w:rFonts w:eastAsiaTheme="minorHAnsi"/>
                <w:sz w:val="20"/>
                <w:lang w:val="fr-CA"/>
              </w:rPr>
              <w:t>Demande d’autorisation d’appel déposée</w:t>
            </w:r>
          </w:p>
          <w:p w:rsidR="005F24CE" w:rsidRPr="005F24CE" w:rsidRDefault="005F24CE" w:rsidP="005F24CE">
            <w:pPr>
              <w:jc w:val="both"/>
              <w:rPr>
                <w:rFonts w:eastAsiaTheme="minorHAnsi"/>
                <w:sz w:val="20"/>
                <w:lang w:val="fr-CA"/>
              </w:rPr>
            </w:pPr>
          </w:p>
        </w:tc>
      </w:tr>
      <w:tr w:rsidR="005F24CE" w:rsidRPr="00A35BC1" w:rsidTr="008B2EB1">
        <w:tc>
          <w:tcPr>
            <w:tcW w:w="2427" w:type="pct"/>
            <w:gridSpan w:val="2"/>
          </w:tcPr>
          <w:p w:rsidR="005F24CE" w:rsidRPr="005F24CE" w:rsidRDefault="005F24CE" w:rsidP="005F24CE">
            <w:pPr>
              <w:jc w:val="both"/>
              <w:rPr>
                <w:rFonts w:eastAsiaTheme="minorHAnsi"/>
                <w:sz w:val="20"/>
                <w:lang w:val="fr-CA"/>
              </w:rPr>
            </w:pPr>
            <w:r w:rsidRPr="005F24CE">
              <w:rPr>
                <w:rFonts w:eastAsiaTheme="minorHAnsi"/>
                <w:sz w:val="20"/>
                <w:lang w:val="fr-CA"/>
              </w:rPr>
              <w:t>Le 14 décembre 2015</w:t>
            </w:r>
          </w:p>
          <w:p w:rsidR="005F24CE" w:rsidRPr="005F24CE" w:rsidRDefault="005F24CE" w:rsidP="004758E9">
            <w:pPr>
              <w:jc w:val="both"/>
              <w:rPr>
                <w:rFonts w:eastAsiaTheme="minorHAnsi"/>
                <w:sz w:val="20"/>
                <w:lang w:val="fr-CA"/>
              </w:rPr>
            </w:pPr>
            <w:r w:rsidRPr="005F24CE">
              <w:rPr>
                <w:rFonts w:eastAsiaTheme="minorHAnsi"/>
                <w:sz w:val="20"/>
                <w:lang w:val="fr-CA"/>
              </w:rPr>
              <w:t>Cour suprême du Canada</w:t>
            </w:r>
          </w:p>
        </w:tc>
        <w:tc>
          <w:tcPr>
            <w:tcW w:w="243" w:type="pct"/>
          </w:tcPr>
          <w:p w:rsidR="005F24CE" w:rsidRPr="005F24CE" w:rsidRDefault="005F24CE" w:rsidP="005F24CE">
            <w:pPr>
              <w:jc w:val="both"/>
              <w:rPr>
                <w:rFonts w:eastAsiaTheme="minorHAnsi"/>
                <w:sz w:val="20"/>
                <w:lang w:val="fr-CA"/>
              </w:rPr>
            </w:pPr>
          </w:p>
        </w:tc>
        <w:tc>
          <w:tcPr>
            <w:tcW w:w="2330" w:type="pct"/>
          </w:tcPr>
          <w:p w:rsidR="005F24CE" w:rsidRPr="005F24CE" w:rsidRDefault="005F24CE" w:rsidP="005F24CE">
            <w:pPr>
              <w:jc w:val="both"/>
              <w:rPr>
                <w:rFonts w:eastAsiaTheme="minorHAnsi"/>
                <w:sz w:val="20"/>
                <w:lang w:val="fr-CA"/>
              </w:rPr>
            </w:pPr>
            <w:r w:rsidRPr="005F24CE">
              <w:rPr>
                <w:rFonts w:eastAsiaTheme="minorHAnsi"/>
                <w:sz w:val="20"/>
                <w:lang w:val="fr-CA"/>
              </w:rPr>
              <w:t>Requête en prorogation du délai de dépôt de l’avis de demande d’autorisation d’appel déposée</w:t>
            </w:r>
          </w:p>
        </w:tc>
      </w:tr>
    </w:tbl>
    <w:p w:rsidR="005F24CE" w:rsidRPr="005F24CE" w:rsidRDefault="005F24CE" w:rsidP="005F24CE">
      <w:pPr>
        <w:jc w:val="both"/>
        <w:rPr>
          <w:rFonts w:eastAsiaTheme="minorHAnsi"/>
          <w:sz w:val="20"/>
          <w:lang w:val="fr-CA"/>
        </w:rPr>
      </w:pPr>
    </w:p>
    <w:p w:rsidR="00E47B45" w:rsidRPr="005F24CE" w:rsidRDefault="00E47B45" w:rsidP="00124EFD">
      <w:pPr>
        <w:jc w:val="both"/>
        <w:rPr>
          <w:i/>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8263"/>
      </w:tblGrid>
      <w:tr w:rsidR="005F24CE" w:rsidRPr="005F24CE" w:rsidTr="008B2EB1">
        <w:tc>
          <w:tcPr>
            <w:tcW w:w="543" w:type="pct"/>
          </w:tcPr>
          <w:p w:rsidR="005F24CE" w:rsidRPr="005F24CE" w:rsidRDefault="005F24CE" w:rsidP="005F24CE">
            <w:pPr>
              <w:jc w:val="both"/>
              <w:rPr>
                <w:rFonts w:eastAsiaTheme="minorHAnsi"/>
                <w:sz w:val="20"/>
                <w:lang w:val="en-CA"/>
              </w:rPr>
            </w:pPr>
            <w:r w:rsidRPr="005F24CE">
              <w:rPr>
                <w:rFonts w:eastAsiaTheme="minorHAnsi"/>
                <w:b/>
                <w:sz w:val="20"/>
                <w:lang w:val="en-CA"/>
              </w:rPr>
              <w:t>36541</w:t>
            </w:r>
          </w:p>
        </w:tc>
        <w:tc>
          <w:tcPr>
            <w:tcW w:w="4457" w:type="pct"/>
          </w:tcPr>
          <w:p w:rsidR="005F24CE" w:rsidRPr="005F24CE" w:rsidRDefault="005F24CE" w:rsidP="005F24CE">
            <w:pPr>
              <w:jc w:val="both"/>
              <w:rPr>
                <w:rFonts w:eastAsiaTheme="minorHAnsi"/>
                <w:b/>
                <w:sz w:val="20"/>
                <w:lang w:val="en-CA"/>
              </w:rPr>
            </w:pPr>
            <w:r w:rsidRPr="005F24CE">
              <w:rPr>
                <w:rFonts w:eastAsiaTheme="minorHAnsi"/>
                <w:b/>
                <w:sz w:val="20"/>
                <w:lang w:val="en-CA"/>
              </w:rPr>
              <w:t xml:space="preserve">Castor </w:t>
            </w:r>
            <w:proofErr w:type="spellStart"/>
            <w:r w:rsidRPr="005F24CE">
              <w:rPr>
                <w:rFonts w:eastAsiaTheme="minorHAnsi"/>
                <w:b/>
                <w:sz w:val="20"/>
                <w:lang w:val="en-CA"/>
              </w:rPr>
              <w:t>D'or</w:t>
            </w:r>
            <w:proofErr w:type="spellEnd"/>
            <w:r w:rsidRPr="005F24CE">
              <w:rPr>
                <w:rFonts w:eastAsiaTheme="minorHAnsi"/>
                <w:b/>
                <w:sz w:val="20"/>
                <w:lang w:val="en-CA"/>
              </w:rPr>
              <w:t xml:space="preserve"> Maritime LTÉE/Beaver Express Container Line Limited v. Royal Bank of Canada</w:t>
            </w:r>
          </w:p>
          <w:p w:rsidR="005F24CE" w:rsidRPr="005F24CE" w:rsidRDefault="005F24CE" w:rsidP="005F24CE">
            <w:pPr>
              <w:jc w:val="both"/>
              <w:rPr>
                <w:rFonts w:eastAsiaTheme="minorHAnsi"/>
                <w:sz w:val="20"/>
                <w:lang w:val="en-CA"/>
              </w:rPr>
            </w:pPr>
            <w:r w:rsidRPr="005F24CE">
              <w:rPr>
                <w:rFonts w:eastAsiaTheme="minorHAnsi"/>
                <w:sz w:val="20"/>
                <w:lang w:val="en-CA"/>
              </w:rPr>
              <w:t>(Que.) (Civil) (By Leave)</w:t>
            </w:r>
          </w:p>
        </w:tc>
      </w:tr>
      <w:tr w:rsidR="005F24CE" w:rsidRPr="005F24CE" w:rsidTr="008B2EB1">
        <w:tc>
          <w:tcPr>
            <w:tcW w:w="5000" w:type="pct"/>
            <w:gridSpan w:val="2"/>
          </w:tcPr>
          <w:p w:rsidR="005F24CE" w:rsidRPr="005F24CE" w:rsidRDefault="005F24CE" w:rsidP="005F24CE">
            <w:pPr>
              <w:jc w:val="both"/>
              <w:rPr>
                <w:rFonts w:eastAsiaTheme="minorHAnsi"/>
                <w:smallCaps/>
                <w:sz w:val="20"/>
                <w:lang w:val="en-CA"/>
              </w:rPr>
            </w:pPr>
          </w:p>
          <w:p w:rsidR="005F24CE" w:rsidRPr="005F24CE" w:rsidRDefault="005F24CE" w:rsidP="005F24CE">
            <w:pPr>
              <w:jc w:val="both"/>
              <w:rPr>
                <w:rFonts w:eastAsiaTheme="minorHAnsi"/>
                <w:sz w:val="20"/>
                <w:lang w:val="en-CA"/>
              </w:rPr>
            </w:pPr>
            <w:r w:rsidRPr="005F24CE">
              <w:rPr>
                <w:rFonts w:eastAsiaTheme="minorHAnsi"/>
                <w:sz w:val="20"/>
                <w:lang w:val="en-CA"/>
              </w:rPr>
              <w:t>Commercial law – Financial institution – Banks – Conflict of interests – Duty to disclose – Obligation to act in good faith – Whether Financial institutions have the obligation to divulge conflicts of interest arising from their business with other corporate entities – What are the duties of banks towards their customers?</w:t>
            </w:r>
          </w:p>
        </w:tc>
      </w:tr>
      <w:tr w:rsidR="005F24CE" w:rsidRPr="005F24CE" w:rsidTr="008B2EB1">
        <w:tc>
          <w:tcPr>
            <w:tcW w:w="5000" w:type="pct"/>
            <w:gridSpan w:val="2"/>
          </w:tcPr>
          <w:p w:rsidR="005F24CE" w:rsidRPr="005F24CE" w:rsidRDefault="005F24CE" w:rsidP="005F24CE">
            <w:pPr>
              <w:jc w:val="both"/>
              <w:rPr>
                <w:rFonts w:eastAsiaTheme="minorHAnsi"/>
                <w:sz w:val="20"/>
                <w:lang w:val="en-CA"/>
              </w:rPr>
            </w:pPr>
          </w:p>
        </w:tc>
      </w:tr>
      <w:tr w:rsidR="005F24CE" w:rsidRPr="005F24CE" w:rsidTr="008B2EB1">
        <w:tc>
          <w:tcPr>
            <w:tcW w:w="5000" w:type="pct"/>
            <w:gridSpan w:val="2"/>
          </w:tcPr>
          <w:p w:rsidR="005F24CE" w:rsidRPr="005F24CE" w:rsidRDefault="005F24CE" w:rsidP="005F24CE">
            <w:pPr>
              <w:jc w:val="both"/>
              <w:rPr>
                <w:rFonts w:eastAsiaTheme="minorHAnsi"/>
                <w:sz w:val="20"/>
                <w:lang w:val="en-CA"/>
              </w:rPr>
            </w:pPr>
            <w:r w:rsidRPr="005F24CE">
              <w:rPr>
                <w:rFonts w:eastAsiaTheme="minorHAnsi"/>
                <w:sz w:val="20"/>
                <w:lang w:val="en-CA"/>
              </w:rPr>
              <w:t xml:space="preserve">The applicants, Castor </w:t>
            </w:r>
            <w:proofErr w:type="spellStart"/>
            <w:r w:rsidRPr="005F24CE">
              <w:rPr>
                <w:rFonts w:eastAsiaTheme="minorHAnsi"/>
                <w:sz w:val="20"/>
                <w:lang w:val="en-CA"/>
              </w:rPr>
              <w:t>D’or</w:t>
            </w:r>
            <w:proofErr w:type="spellEnd"/>
            <w:r w:rsidRPr="005F24CE">
              <w:rPr>
                <w:rFonts w:eastAsiaTheme="minorHAnsi"/>
                <w:sz w:val="20"/>
                <w:lang w:val="en-CA"/>
              </w:rPr>
              <w:t xml:space="preserve"> Maritime </w:t>
            </w:r>
            <w:proofErr w:type="spellStart"/>
            <w:r w:rsidRPr="005F24CE">
              <w:rPr>
                <w:rFonts w:eastAsiaTheme="minorHAnsi"/>
                <w:sz w:val="20"/>
                <w:lang w:val="en-CA"/>
              </w:rPr>
              <w:t>Ltée</w:t>
            </w:r>
            <w:proofErr w:type="spellEnd"/>
            <w:r w:rsidRPr="005F24CE">
              <w:rPr>
                <w:rFonts w:eastAsiaTheme="minorHAnsi"/>
                <w:sz w:val="20"/>
                <w:lang w:val="en-CA"/>
              </w:rPr>
              <w:t xml:space="preserve"> and Beaver Express Container Line Limited are suing the respondent, the Royal Bank of Canada, for not having disclosed an alleged conflict of interest due to their involvement with a competitor and for having made false representations with respect to the availability of a line of credit. The refusal of the line of credit by the Royal Bank of Canada led, at the time, to the end of the applicant’s operation. </w:t>
            </w:r>
          </w:p>
          <w:p w:rsidR="005F24CE" w:rsidRPr="005F24CE" w:rsidRDefault="005F24CE" w:rsidP="005F24CE">
            <w:pPr>
              <w:jc w:val="both"/>
              <w:rPr>
                <w:rFonts w:eastAsiaTheme="minorHAnsi"/>
                <w:sz w:val="20"/>
                <w:lang w:val="en-CA"/>
              </w:rPr>
            </w:pPr>
          </w:p>
        </w:tc>
      </w:tr>
    </w:tbl>
    <w:p w:rsidR="005F24CE" w:rsidRPr="005F24CE" w:rsidRDefault="005F24CE" w:rsidP="005F24CE">
      <w:pPr>
        <w:jc w:val="both"/>
        <w:rPr>
          <w:rFonts w:eastAsiaTheme="minorHAnsi"/>
          <w:sz w:val="20"/>
          <w:lang w:val="en-CA"/>
        </w:rPr>
      </w:pPr>
    </w:p>
    <w:tbl>
      <w:tblPr>
        <w:tblW w:w="4952" w:type="pct"/>
        <w:tblLayout w:type="fixed"/>
        <w:tblCellMar>
          <w:left w:w="0" w:type="dxa"/>
          <w:right w:w="0" w:type="dxa"/>
        </w:tblCellMar>
        <w:tblLook w:val="04A0" w:firstRow="1" w:lastRow="0" w:firstColumn="1" w:lastColumn="0" w:noHBand="0" w:noVBand="1"/>
      </w:tblPr>
      <w:tblGrid>
        <w:gridCol w:w="4431"/>
        <w:gridCol w:w="501"/>
        <w:gridCol w:w="4338"/>
      </w:tblGrid>
      <w:tr w:rsidR="005F24CE" w:rsidRPr="005F24CE" w:rsidTr="008B2EB1">
        <w:tc>
          <w:tcPr>
            <w:tcW w:w="2390" w:type="pct"/>
          </w:tcPr>
          <w:p w:rsidR="005F24CE" w:rsidRPr="005F24CE" w:rsidRDefault="005F24CE" w:rsidP="005F24CE">
            <w:pPr>
              <w:jc w:val="both"/>
              <w:rPr>
                <w:rFonts w:eastAsiaTheme="minorHAnsi"/>
                <w:sz w:val="20"/>
                <w:lang w:val="en-CA"/>
              </w:rPr>
            </w:pPr>
            <w:r w:rsidRPr="005F24CE">
              <w:rPr>
                <w:rFonts w:eastAsiaTheme="minorHAnsi"/>
                <w:sz w:val="20"/>
                <w:lang w:val="en-CA"/>
              </w:rPr>
              <w:t>February 13, 2015</w:t>
            </w:r>
          </w:p>
          <w:p w:rsidR="005F24CE" w:rsidRPr="005F24CE" w:rsidRDefault="005F24CE" w:rsidP="005F24CE">
            <w:pPr>
              <w:jc w:val="both"/>
              <w:rPr>
                <w:rFonts w:eastAsiaTheme="minorHAnsi"/>
                <w:sz w:val="20"/>
                <w:lang w:val="en-CA"/>
              </w:rPr>
            </w:pPr>
            <w:r w:rsidRPr="005F24CE">
              <w:rPr>
                <w:rFonts w:eastAsiaTheme="minorHAnsi"/>
                <w:sz w:val="20"/>
                <w:lang w:val="en-CA"/>
              </w:rPr>
              <w:t>Superior Court of Quebec</w:t>
            </w:r>
          </w:p>
          <w:p w:rsidR="005F24CE" w:rsidRPr="005F24CE" w:rsidRDefault="005F24CE" w:rsidP="005F24CE">
            <w:pPr>
              <w:jc w:val="both"/>
              <w:rPr>
                <w:rFonts w:eastAsiaTheme="minorHAnsi"/>
                <w:sz w:val="20"/>
                <w:lang w:val="en-CA"/>
              </w:rPr>
            </w:pPr>
            <w:r w:rsidRPr="005F24CE">
              <w:rPr>
                <w:rFonts w:eastAsiaTheme="minorHAnsi"/>
                <w:sz w:val="20"/>
                <w:lang w:val="en-CA"/>
              </w:rPr>
              <w:t>(Paquette J.)</w:t>
            </w:r>
          </w:p>
          <w:p w:rsidR="005F24CE" w:rsidRPr="005F24CE" w:rsidRDefault="00006AE1" w:rsidP="005F24CE">
            <w:pPr>
              <w:jc w:val="both"/>
              <w:rPr>
                <w:rFonts w:eastAsiaTheme="minorHAnsi"/>
                <w:sz w:val="20"/>
                <w:lang w:val="en-CA"/>
              </w:rPr>
            </w:pPr>
            <w:hyperlink r:id="rId36" w:history="1">
              <w:r w:rsidR="005F24CE" w:rsidRPr="005F24CE">
                <w:rPr>
                  <w:rFonts w:eastAsiaTheme="minorHAnsi"/>
                  <w:color w:val="0000FF" w:themeColor="hyperlink"/>
                  <w:sz w:val="20"/>
                  <w:u w:val="single"/>
                  <w:lang w:val="en-CA"/>
                </w:rPr>
                <w:t>2015 QCCS 476</w:t>
              </w:r>
            </w:hyperlink>
          </w:p>
          <w:p w:rsidR="005F24CE" w:rsidRPr="005F24CE" w:rsidRDefault="005F24CE" w:rsidP="005F24CE">
            <w:pPr>
              <w:jc w:val="both"/>
              <w:rPr>
                <w:rFonts w:eastAsiaTheme="minorHAnsi"/>
                <w:sz w:val="20"/>
                <w:lang w:val="en-CA"/>
              </w:rPr>
            </w:pPr>
          </w:p>
        </w:tc>
        <w:tc>
          <w:tcPr>
            <w:tcW w:w="270" w:type="pct"/>
          </w:tcPr>
          <w:p w:rsidR="005F24CE" w:rsidRPr="005F24CE" w:rsidRDefault="005F24CE" w:rsidP="005F24CE">
            <w:pPr>
              <w:jc w:val="both"/>
              <w:rPr>
                <w:rFonts w:eastAsiaTheme="minorHAnsi"/>
                <w:sz w:val="20"/>
                <w:lang w:val="en-CA"/>
              </w:rPr>
            </w:pPr>
          </w:p>
        </w:tc>
        <w:tc>
          <w:tcPr>
            <w:tcW w:w="2340" w:type="pct"/>
          </w:tcPr>
          <w:p w:rsidR="005F24CE" w:rsidRPr="005F24CE" w:rsidRDefault="005F24CE" w:rsidP="005F24CE">
            <w:pPr>
              <w:jc w:val="both"/>
              <w:rPr>
                <w:rFonts w:eastAsiaTheme="minorHAnsi"/>
                <w:sz w:val="20"/>
                <w:lang w:val="en-CA"/>
              </w:rPr>
            </w:pPr>
            <w:r w:rsidRPr="005F24CE">
              <w:rPr>
                <w:rFonts w:eastAsiaTheme="minorHAnsi"/>
                <w:sz w:val="20"/>
                <w:lang w:val="en-CA"/>
              </w:rPr>
              <w:t>Action dismissed; Bank’s liability not established</w:t>
            </w:r>
          </w:p>
          <w:p w:rsidR="005F24CE" w:rsidRPr="005F24CE" w:rsidRDefault="005F24CE" w:rsidP="005F24CE">
            <w:pPr>
              <w:jc w:val="both"/>
              <w:rPr>
                <w:rFonts w:eastAsiaTheme="minorHAnsi"/>
                <w:sz w:val="20"/>
                <w:lang w:val="en-CA"/>
              </w:rPr>
            </w:pPr>
          </w:p>
        </w:tc>
      </w:tr>
      <w:tr w:rsidR="005F24CE" w:rsidRPr="005F24CE" w:rsidTr="008B2EB1">
        <w:tc>
          <w:tcPr>
            <w:tcW w:w="2390" w:type="pct"/>
          </w:tcPr>
          <w:p w:rsidR="005F24CE" w:rsidRPr="005F24CE" w:rsidRDefault="005F24CE" w:rsidP="005F24CE">
            <w:pPr>
              <w:jc w:val="both"/>
              <w:rPr>
                <w:rFonts w:eastAsiaTheme="minorHAnsi"/>
                <w:sz w:val="20"/>
                <w:lang w:val="en-CA"/>
              </w:rPr>
            </w:pPr>
            <w:r w:rsidRPr="005F24CE">
              <w:rPr>
                <w:rFonts w:eastAsiaTheme="minorHAnsi"/>
                <w:sz w:val="20"/>
                <w:lang w:val="en-CA"/>
              </w:rPr>
              <w:lastRenderedPageBreak/>
              <w:t>May 11, 2015</w:t>
            </w:r>
          </w:p>
          <w:p w:rsidR="005F24CE" w:rsidRPr="005F24CE" w:rsidRDefault="005F24CE" w:rsidP="005F24CE">
            <w:pPr>
              <w:jc w:val="both"/>
              <w:rPr>
                <w:rFonts w:eastAsiaTheme="minorHAnsi"/>
                <w:sz w:val="20"/>
                <w:lang w:val="en-CA"/>
              </w:rPr>
            </w:pPr>
            <w:r w:rsidRPr="005F24CE">
              <w:rPr>
                <w:rFonts w:eastAsiaTheme="minorHAnsi"/>
                <w:sz w:val="20"/>
                <w:lang w:val="en-CA"/>
              </w:rPr>
              <w:t>Court of Appeal of Quebec (Montréal)</w:t>
            </w:r>
          </w:p>
          <w:p w:rsidR="005F24CE" w:rsidRPr="005F24CE" w:rsidRDefault="005F24CE" w:rsidP="005F24CE">
            <w:pPr>
              <w:jc w:val="both"/>
              <w:rPr>
                <w:rFonts w:eastAsiaTheme="minorHAnsi"/>
                <w:sz w:val="20"/>
                <w:lang w:val="en-CA"/>
              </w:rPr>
            </w:pPr>
            <w:r w:rsidRPr="005F24CE">
              <w:rPr>
                <w:rFonts w:eastAsiaTheme="minorHAnsi"/>
                <w:sz w:val="20"/>
                <w:lang w:val="en-CA"/>
              </w:rPr>
              <w:t>(Doyon, Giroux and Bouchard JJ.A.)</w:t>
            </w:r>
          </w:p>
          <w:p w:rsidR="005F24CE" w:rsidRPr="005F24CE" w:rsidRDefault="00006AE1" w:rsidP="005F24CE">
            <w:pPr>
              <w:jc w:val="both"/>
              <w:rPr>
                <w:rFonts w:eastAsiaTheme="minorHAnsi"/>
                <w:sz w:val="20"/>
                <w:lang w:val="en-CA"/>
              </w:rPr>
            </w:pPr>
            <w:hyperlink r:id="rId37" w:history="1">
              <w:r w:rsidR="005F24CE" w:rsidRPr="005F24CE">
                <w:rPr>
                  <w:rFonts w:eastAsiaTheme="minorHAnsi"/>
                  <w:color w:val="0000FF" w:themeColor="hyperlink"/>
                  <w:sz w:val="20"/>
                  <w:u w:val="single"/>
                  <w:lang w:val="en-CA"/>
                </w:rPr>
                <w:t>2015 QCCA 895</w:t>
              </w:r>
            </w:hyperlink>
          </w:p>
          <w:p w:rsidR="005F24CE" w:rsidRPr="005F24CE" w:rsidRDefault="005F24CE" w:rsidP="005F24CE">
            <w:pPr>
              <w:jc w:val="both"/>
              <w:rPr>
                <w:rFonts w:eastAsiaTheme="minorHAnsi"/>
                <w:sz w:val="20"/>
                <w:lang w:val="en-CA"/>
              </w:rPr>
            </w:pPr>
          </w:p>
        </w:tc>
        <w:tc>
          <w:tcPr>
            <w:tcW w:w="270" w:type="pct"/>
          </w:tcPr>
          <w:p w:rsidR="005F24CE" w:rsidRPr="005F24CE" w:rsidRDefault="005F24CE" w:rsidP="005F24CE">
            <w:pPr>
              <w:jc w:val="both"/>
              <w:rPr>
                <w:rFonts w:eastAsiaTheme="minorHAnsi"/>
                <w:sz w:val="20"/>
                <w:lang w:val="en-CA"/>
              </w:rPr>
            </w:pPr>
          </w:p>
        </w:tc>
        <w:tc>
          <w:tcPr>
            <w:tcW w:w="2340" w:type="pct"/>
          </w:tcPr>
          <w:p w:rsidR="005F24CE" w:rsidRPr="005F24CE" w:rsidRDefault="005F24CE" w:rsidP="005F24CE">
            <w:pPr>
              <w:jc w:val="both"/>
              <w:rPr>
                <w:rFonts w:eastAsiaTheme="minorHAnsi"/>
                <w:sz w:val="20"/>
                <w:lang w:val="en-CA"/>
              </w:rPr>
            </w:pPr>
            <w:r w:rsidRPr="005F24CE">
              <w:rPr>
                <w:rFonts w:eastAsiaTheme="minorHAnsi"/>
                <w:sz w:val="20"/>
                <w:lang w:val="en-CA"/>
              </w:rPr>
              <w:t>Motion for the dismissal of the appeal; Appeal dismissed</w:t>
            </w:r>
          </w:p>
          <w:p w:rsidR="005F24CE" w:rsidRPr="005F24CE" w:rsidRDefault="005F24CE" w:rsidP="005F24CE">
            <w:pPr>
              <w:jc w:val="both"/>
              <w:rPr>
                <w:rFonts w:eastAsiaTheme="minorHAnsi"/>
                <w:sz w:val="20"/>
                <w:lang w:val="en-CA"/>
              </w:rPr>
            </w:pPr>
          </w:p>
        </w:tc>
      </w:tr>
      <w:tr w:rsidR="005F24CE" w:rsidRPr="005F24CE" w:rsidTr="008B2EB1">
        <w:trPr>
          <w:trHeight w:val="642"/>
        </w:trPr>
        <w:tc>
          <w:tcPr>
            <w:tcW w:w="2390" w:type="pct"/>
          </w:tcPr>
          <w:p w:rsidR="005F24CE" w:rsidRPr="005F24CE" w:rsidRDefault="005F24CE" w:rsidP="005F24CE">
            <w:pPr>
              <w:jc w:val="both"/>
              <w:rPr>
                <w:rFonts w:eastAsiaTheme="minorHAnsi"/>
                <w:sz w:val="20"/>
                <w:lang w:val="en-CA"/>
              </w:rPr>
            </w:pPr>
            <w:r w:rsidRPr="005F24CE">
              <w:rPr>
                <w:rFonts w:eastAsiaTheme="minorHAnsi"/>
                <w:sz w:val="20"/>
                <w:lang w:val="en-CA"/>
              </w:rPr>
              <w:t>August 5, 2015</w:t>
            </w:r>
          </w:p>
          <w:p w:rsidR="005F24CE" w:rsidRPr="005F24CE" w:rsidRDefault="005F24CE" w:rsidP="004758E9">
            <w:pPr>
              <w:tabs>
                <w:tab w:val="left" w:pos="2959"/>
              </w:tabs>
              <w:jc w:val="both"/>
              <w:rPr>
                <w:rFonts w:eastAsiaTheme="minorHAnsi"/>
                <w:sz w:val="20"/>
                <w:lang w:val="en-CA"/>
              </w:rPr>
            </w:pPr>
            <w:r w:rsidRPr="005F24CE">
              <w:rPr>
                <w:rFonts w:eastAsiaTheme="minorHAnsi"/>
                <w:sz w:val="20"/>
                <w:lang w:val="en-CA"/>
              </w:rPr>
              <w:t>Supreme Court of Canada</w:t>
            </w:r>
          </w:p>
        </w:tc>
        <w:tc>
          <w:tcPr>
            <w:tcW w:w="270" w:type="pct"/>
          </w:tcPr>
          <w:p w:rsidR="005F24CE" w:rsidRPr="005F24CE" w:rsidRDefault="005F24CE" w:rsidP="005F24CE">
            <w:pPr>
              <w:jc w:val="both"/>
              <w:rPr>
                <w:rFonts w:eastAsiaTheme="minorHAnsi"/>
                <w:sz w:val="20"/>
                <w:lang w:val="en-CA"/>
              </w:rPr>
            </w:pPr>
          </w:p>
        </w:tc>
        <w:tc>
          <w:tcPr>
            <w:tcW w:w="2340" w:type="pct"/>
          </w:tcPr>
          <w:p w:rsidR="005F24CE" w:rsidRPr="005F24CE" w:rsidRDefault="005F24CE" w:rsidP="005F24CE">
            <w:pPr>
              <w:jc w:val="both"/>
              <w:rPr>
                <w:rFonts w:eastAsiaTheme="minorHAnsi"/>
                <w:sz w:val="20"/>
                <w:lang w:val="en-CA"/>
              </w:rPr>
            </w:pPr>
            <w:r w:rsidRPr="005F24CE">
              <w:rPr>
                <w:rFonts w:eastAsiaTheme="minorHAnsi"/>
                <w:sz w:val="20"/>
                <w:lang w:val="en-CA"/>
              </w:rPr>
              <w:t>Application for leave to appeal filed</w:t>
            </w:r>
          </w:p>
        </w:tc>
      </w:tr>
    </w:tbl>
    <w:p w:rsidR="005F24CE" w:rsidRPr="005F24CE" w:rsidRDefault="005F24CE" w:rsidP="005F24CE">
      <w:pPr>
        <w:jc w:val="both"/>
        <w:rPr>
          <w:rFonts w:eastAsiaTheme="minorHAnsi"/>
          <w:sz w:val="20"/>
          <w:lang w:val="en-CA"/>
        </w:rPr>
      </w:pPr>
    </w:p>
    <w:p w:rsidR="005F24CE" w:rsidRPr="005F24CE" w:rsidRDefault="005F24CE" w:rsidP="00124EFD">
      <w:pPr>
        <w:jc w:val="both"/>
        <w:rPr>
          <w:i/>
          <w:sz w:val="20"/>
          <w:lang w:val="en-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8263"/>
      </w:tblGrid>
      <w:tr w:rsidR="005F24CE" w:rsidRPr="00A35BC1" w:rsidTr="008B2EB1">
        <w:tc>
          <w:tcPr>
            <w:tcW w:w="543" w:type="pct"/>
          </w:tcPr>
          <w:p w:rsidR="005F24CE" w:rsidRPr="005F24CE" w:rsidRDefault="005F24CE" w:rsidP="008B2EB1">
            <w:pPr>
              <w:rPr>
                <w:sz w:val="20"/>
              </w:rPr>
            </w:pPr>
            <w:r w:rsidRPr="005F24CE">
              <w:rPr>
                <w:rStyle w:val="SCCFileNumberChar"/>
                <w:sz w:val="20"/>
                <w:szCs w:val="20"/>
              </w:rPr>
              <w:t>36541</w:t>
            </w:r>
          </w:p>
        </w:tc>
        <w:tc>
          <w:tcPr>
            <w:tcW w:w="4457" w:type="pct"/>
          </w:tcPr>
          <w:p w:rsidR="005F24CE" w:rsidRPr="005F24CE" w:rsidRDefault="005F24CE" w:rsidP="00236277">
            <w:pPr>
              <w:pStyle w:val="SCCLsocParty"/>
              <w:jc w:val="left"/>
              <w:rPr>
                <w:sz w:val="20"/>
                <w:szCs w:val="20"/>
              </w:rPr>
            </w:pPr>
            <w:r w:rsidRPr="005F24CE">
              <w:rPr>
                <w:sz w:val="20"/>
                <w:szCs w:val="20"/>
              </w:rPr>
              <w:t>Castor D'or Maritime Ltée/Beaver Express Container Line Limited c. Banque Royale du Canada</w:t>
            </w:r>
          </w:p>
          <w:p w:rsidR="005F24CE" w:rsidRPr="005F24CE" w:rsidRDefault="005F24CE" w:rsidP="008B2EB1">
            <w:pPr>
              <w:rPr>
                <w:sz w:val="20"/>
                <w:lang w:val="fr-CA"/>
              </w:rPr>
            </w:pPr>
            <w:r w:rsidRPr="005F24CE">
              <w:rPr>
                <w:sz w:val="20"/>
                <w:lang w:val="fr-CA"/>
              </w:rPr>
              <w:t>(</w:t>
            </w:r>
            <w:proofErr w:type="spellStart"/>
            <w:r w:rsidRPr="005F24CE">
              <w:rPr>
                <w:sz w:val="20"/>
                <w:lang w:val="fr-CA"/>
              </w:rPr>
              <w:t>Qc</w:t>
            </w:r>
            <w:proofErr w:type="spellEnd"/>
            <w:r w:rsidRPr="005F24CE">
              <w:rPr>
                <w:sz w:val="20"/>
                <w:lang w:val="fr-CA"/>
              </w:rPr>
              <w:t>) (Civile) (Sur autorisation)</w:t>
            </w:r>
          </w:p>
        </w:tc>
      </w:tr>
      <w:tr w:rsidR="005F24CE" w:rsidRPr="00A35BC1" w:rsidTr="008B2EB1">
        <w:tc>
          <w:tcPr>
            <w:tcW w:w="5000" w:type="pct"/>
            <w:gridSpan w:val="2"/>
          </w:tcPr>
          <w:p w:rsidR="005F24CE" w:rsidRPr="005F24CE" w:rsidRDefault="005F24CE" w:rsidP="00236277">
            <w:pPr>
              <w:pStyle w:val="SCCBanSummary"/>
              <w:rPr>
                <w:sz w:val="20"/>
                <w:szCs w:val="20"/>
                <w:lang w:val="fr-CA"/>
              </w:rPr>
            </w:pPr>
          </w:p>
          <w:p w:rsidR="005F24CE" w:rsidRPr="005F24CE" w:rsidRDefault="005F24CE" w:rsidP="00236277">
            <w:pPr>
              <w:jc w:val="both"/>
              <w:rPr>
                <w:sz w:val="20"/>
                <w:lang w:val="fr-CA"/>
              </w:rPr>
            </w:pPr>
            <w:r w:rsidRPr="005F24CE">
              <w:rPr>
                <w:sz w:val="20"/>
                <w:lang w:val="fr-CA"/>
              </w:rPr>
              <w:t>Droit commercial – Institution financière – Banques – Conflit d’intérêts – Obligation de communication – Obligation d’agir de bonne foi – Les institutions financières sont-elles tenues de divulguer les conflits d’intérêts découlant de leurs rapports avec d’autres sociétés? – Quelles sont les obligations des banques envers leurs clients?</w:t>
            </w:r>
          </w:p>
        </w:tc>
      </w:tr>
      <w:tr w:rsidR="005F24CE" w:rsidRPr="00A35BC1" w:rsidTr="008B2EB1">
        <w:tc>
          <w:tcPr>
            <w:tcW w:w="5000" w:type="pct"/>
            <w:gridSpan w:val="2"/>
          </w:tcPr>
          <w:p w:rsidR="005F24CE" w:rsidRPr="005F24CE" w:rsidRDefault="005F24CE" w:rsidP="00236277">
            <w:pPr>
              <w:jc w:val="both"/>
              <w:rPr>
                <w:sz w:val="20"/>
                <w:lang w:val="fr-CA"/>
              </w:rPr>
            </w:pPr>
          </w:p>
        </w:tc>
      </w:tr>
      <w:tr w:rsidR="005F24CE" w:rsidRPr="00A35BC1" w:rsidTr="008B2EB1">
        <w:tc>
          <w:tcPr>
            <w:tcW w:w="5000" w:type="pct"/>
            <w:gridSpan w:val="2"/>
          </w:tcPr>
          <w:p w:rsidR="005F24CE" w:rsidRPr="005F24CE" w:rsidRDefault="005F24CE" w:rsidP="00236277">
            <w:pPr>
              <w:jc w:val="both"/>
              <w:rPr>
                <w:sz w:val="20"/>
                <w:lang w:val="fr-CA"/>
              </w:rPr>
            </w:pPr>
            <w:r w:rsidRPr="005F24CE">
              <w:rPr>
                <w:sz w:val="20"/>
                <w:lang w:val="fr-CA"/>
              </w:rPr>
              <w:t>Les demanderesses, Castor D’or Maritime Ltée et Beaver Express Container Line Limited, poursuivent l’intimée, la Banque Royale du Canada, pour ne pas avoir divulgué un conflit d’intérêts qui découlerait de ses rapports avec un concurrent et pour avoir fait des déclarations inexactes concernant la possibilité d’obtenir une marge de crédit. Le refus de la marge de crédit par la Banque Royale du Canada avait alors entraîné la fin des opérations des demanderesses.</w:t>
            </w:r>
          </w:p>
          <w:p w:rsidR="005F24CE" w:rsidRPr="005F24CE" w:rsidRDefault="005F24CE" w:rsidP="00236277">
            <w:pPr>
              <w:jc w:val="both"/>
              <w:rPr>
                <w:sz w:val="20"/>
                <w:lang w:val="fr-CA"/>
              </w:rPr>
            </w:pPr>
          </w:p>
        </w:tc>
      </w:tr>
    </w:tbl>
    <w:p w:rsidR="005F24CE" w:rsidRPr="005F24CE" w:rsidRDefault="005F24CE" w:rsidP="005F24CE">
      <w:pPr>
        <w:rPr>
          <w:sz w:val="20"/>
          <w:lang w:val="fr-CA"/>
        </w:rPr>
      </w:pPr>
    </w:p>
    <w:tbl>
      <w:tblPr>
        <w:tblW w:w="4952" w:type="pct"/>
        <w:tblLayout w:type="fixed"/>
        <w:tblCellMar>
          <w:left w:w="0" w:type="dxa"/>
          <w:right w:w="0" w:type="dxa"/>
        </w:tblCellMar>
        <w:tblLook w:val="04A0" w:firstRow="1" w:lastRow="0" w:firstColumn="1" w:lastColumn="0" w:noHBand="0" w:noVBand="1"/>
      </w:tblPr>
      <w:tblGrid>
        <w:gridCol w:w="4431"/>
        <w:gridCol w:w="501"/>
        <w:gridCol w:w="4338"/>
      </w:tblGrid>
      <w:tr w:rsidR="005F24CE" w:rsidRPr="00A35BC1" w:rsidTr="008B2EB1">
        <w:tc>
          <w:tcPr>
            <w:tcW w:w="2390" w:type="pct"/>
          </w:tcPr>
          <w:p w:rsidR="005F24CE" w:rsidRPr="005F24CE" w:rsidRDefault="005F24CE" w:rsidP="008B2EB1">
            <w:pPr>
              <w:rPr>
                <w:sz w:val="20"/>
                <w:lang w:val="fr-CA"/>
              </w:rPr>
            </w:pPr>
            <w:r w:rsidRPr="005F24CE">
              <w:rPr>
                <w:sz w:val="20"/>
                <w:lang w:val="fr-CA"/>
              </w:rPr>
              <w:t>13 février 2015</w:t>
            </w:r>
          </w:p>
          <w:p w:rsidR="005F24CE" w:rsidRPr="005F24CE" w:rsidRDefault="005F24CE" w:rsidP="008B2EB1">
            <w:pPr>
              <w:rPr>
                <w:sz w:val="20"/>
                <w:lang w:val="fr-CA"/>
              </w:rPr>
            </w:pPr>
            <w:r w:rsidRPr="005F24CE">
              <w:rPr>
                <w:sz w:val="20"/>
                <w:lang w:val="fr-CA"/>
              </w:rPr>
              <w:t>Cour supérieure du Québec</w:t>
            </w:r>
          </w:p>
          <w:p w:rsidR="005F24CE" w:rsidRPr="005F24CE" w:rsidRDefault="005F24CE" w:rsidP="008B2EB1">
            <w:pPr>
              <w:rPr>
                <w:sz w:val="20"/>
                <w:lang w:val="fr-CA"/>
              </w:rPr>
            </w:pPr>
            <w:r w:rsidRPr="005F24CE">
              <w:rPr>
                <w:sz w:val="20"/>
                <w:lang w:val="fr-CA"/>
              </w:rPr>
              <w:t>(Juge Paquette)</w:t>
            </w:r>
          </w:p>
          <w:p w:rsidR="005F24CE" w:rsidRPr="005F24CE" w:rsidRDefault="00006AE1" w:rsidP="008B2EB1">
            <w:pPr>
              <w:rPr>
                <w:sz w:val="20"/>
              </w:rPr>
            </w:pPr>
            <w:hyperlink r:id="rId38" w:history="1">
              <w:r w:rsidR="005F24CE" w:rsidRPr="005F24CE">
                <w:rPr>
                  <w:rStyle w:val="Hyperlink"/>
                  <w:sz w:val="20"/>
                </w:rPr>
                <w:t>2015 QCCS 476</w:t>
              </w:r>
            </w:hyperlink>
          </w:p>
          <w:p w:rsidR="005F24CE" w:rsidRPr="005F24CE" w:rsidRDefault="005F24CE" w:rsidP="008B2EB1">
            <w:pPr>
              <w:rPr>
                <w:sz w:val="20"/>
              </w:rPr>
            </w:pPr>
          </w:p>
        </w:tc>
        <w:tc>
          <w:tcPr>
            <w:tcW w:w="270" w:type="pct"/>
          </w:tcPr>
          <w:p w:rsidR="005F24CE" w:rsidRPr="005F24CE" w:rsidRDefault="005F24CE" w:rsidP="008B2EB1">
            <w:pPr>
              <w:rPr>
                <w:sz w:val="20"/>
              </w:rPr>
            </w:pPr>
          </w:p>
        </w:tc>
        <w:tc>
          <w:tcPr>
            <w:tcW w:w="2340" w:type="pct"/>
          </w:tcPr>
          <w:p w:rsidR="005F24CE" w:rsidRPr="005F24CE" w:rsidRDefault="005F24CE" w:rsidP="008B2EB1">
            <w:pPr>
              <w:rPr>
                <w:sz w:val="20"/>
                <w:lang w:val="fr-CA"/>
              </w:rPr>
            </w:pPr>
            <w:r w:rsidRPr="005F24CE">
              <w:rPr>
                <w:sz w:val="20"/>
                <w:lang w:val="fr-CA"/>
              </w:rPr>
              <w:t>Rejet de l’action; responsabilité de la Banque pas établie</w:t>
            </w:r>
          </w:p>
          <w:p w:rsidR="005F24CE" w:rsidRPr="005F24CE" w:rsidRDefault="005F24CE" w:rsidP="008B2EB1">
            <w:pPr>
              <w:rPr>
                <w:sz w:val="20"/>
                <w:lang w:val="fr-CA"/>
              </w:rPr>
            </w:pPr>
          </w:p>
        </w:tc>
      </w:tr>
      <w:tr w:rsidR="005F24CE" w:rsidRPr="00A35BC1" w:rsidTr="008B2EB1">
        <w:tc>
          <w:tcPr>
            <w:tcW w:w="2390" w:type="pct"/>
          </w:tcPr>
          <w:p w:rsidR="005F24CE" w:rsidRPr="005F24CE" w:rsidRDefault="005F24CE" w:rsidP="008B2EB1">
            <w:pPr>
              <w:rPr>
                <w:sz w:val="20"/>
                <w:lang w:val="fr-CA"/>
              </w:rPr>
            </w:pPr>
            <w:r w:rsidRPr="005F24CE">
              <w:rPr>
                <w:sz w:val="20"/>
                <w:lang w:val="fr-CA"/>
              </w:rPr>
              <w:t>11 mai 2015</w:t>
            </w:r>
          </w:p>
          <w:p w:rsidR="005F24CE" w:rsidRPr="005F24CE" w:rsidRDefault="005F24CE" w:rsidP="008B2EB1">
            <w:pPr>
              <w:rPr>
                <w:sz w:val="20"/>
                <w:lang w:val="fr-CA"/>
              </w:rPr>
            </w:pPr>
            <w:r w:rsidRPr="005F24CE">
              <w:rPr>
                <w:sz w:val="20"/>
                <w:lang w:val="fr-CA"/>
              </w:rPr>
              <w:t>Cour d’appel du Québec (Montréal)</w:t>
            </w:r>
          </w:p>
          <w:p w:rsidR="005F24CE" w:rsidRPr="005F24CE" w:rsidRDefault="005F24CE" w:rsidP="008B2EB1">
            <w:pPr>
              <w:rPr>
                <w:sz w:val="20"/>
                <w:lang w:val="fr-CA"/>
              </w:rPr>
            </w:pPr>
            <w:r w:rsidRPr="005F24CE">
              <w:rPr>
                <w:sz w:val="20"/>
                <w:lang w:val="fr-CA"/>
              </w:rPr>
              <w:t>(Juges Doyon, Giroux et Bouchard)</w:t>
            </w:r>
          </w:p>
          <w:p w:rsidR="005F24CE" w:rsidRPr="005F24CE" w:rsidRDefault="00006AE1" w:rsidP="008B2EB1">
            <w:pPr>
              <w:rPr>
                <w:sz w:val="20"/>
              </w:rPr>
            </w:pPr>
            <w:hyperlink r:id="rId39" w:history="1">
              <w:r w:rsidR="005F24CE" w:rsidRPr="005F24CE">
                <w:rPr>
                  <w:rStyle w:val="Hyperlink"/>
                  <w:sz w:val="20"/>
                </w:rPr>
                <w:t>2015 QCCA 895</w:t>
              </w:r>
            </w:hyperlink>
          </w:p>
          <w:p w:rsidR="005F24CE" w:rsidRPr="005F24CE" w:rsidRDefault="005F24CE" w:rsidP="008B2EB1">
            <w:pPr>
              <w:rPr>
                <w:sz w:val="20"/>
              </w:rPr>
            </w:pPr>
          </w:p>
        </w:tc>
        <w:tc>
          <w:tcPr>
            <w:tcW w:w="270" w:type="pct"/>
          </w:tcPr>
          <w:p w:rsidR="005F24CE" w:rsidRPr="005F24CE" w:rsidRDefault="005F24CE" w:rsidP="008B2EB1">
            <w:pPr>
              <w:rPr>
                <w:sz w:val="20"/>
              </w:rPr>
            </w:pPr>
          </w:p>
        </w:tc>
        <w:tc>
          <w:tcPr>
            <w:tcW w:w="2340" w:type="pct"/>
          </w:tcPr>
          <w:p w:rsidR="005F24CE" w:rsidRPr="005F24CE" w:rsidRDefault="005F24CE" w:rsidP="008B2EB1">
            <w:pPr>
              <w:rPr>
                <w:sz w:val="20"/>
                <w:lang w:val="fr-CA"/>
              </w:rPr>
            </w:pPr>
            <w:r w:rsidRPr="005F24CE">
              <w:rPr>
                <w:sz w:val="20"/>
                <w:lang w:val="fr-CA"/>
              </w:rPr>
              <w:t>Requête en rejet de l’appel; rejet de l’appel</w:t>
            </w:r>
          </w:p>
          <w:p w:rsidR="005F24CE" w:rsidRPr="005F24CE" w:rsidRDefault="005F24CE" w:rsidP="008B2EB1">
            <w:pPr>
              <w:rPr>
                <w:sz w:val="20"/>
                <w:lang w:val="fr-CA"/>
              </w:rPr>
            </w:pPr>
          </w:p>
        </w:tc>
      </w:tr>
      <w:tr w:rsidR="005F24CE" w:rsidRPr="00A35BC1" w:rsidTr="008B2EB1">
        <w:trPr>
          <w:trHeight w:val="642"/>
        </w:trPr>
        <w:tc>
          <w:tcPr>
            <w:tcW w:w="2390" w:type="pct"/>
          </w:tcPr>
          <w:p w:rsidR="005F24CE" w:rsidRPr="005F24CE" w:rsidRDefault="005F24CE" w:rsidP="008B2EB1">
            <w:pPr>
              <w:rPr>
                <w:sz w:val="20"/>
                <w:lang w:val="fr-CA"/>
              </w:rPr>
            </w:pPr>
            <w:r w:rsidRPr="005F24CE">
              <w:rPr>
                <w:sz w:val="20"/>
                <w:lang w:val="fr-CA"/>
              </w:rPr>
              <w:t>5 août 2015</w:t>
            </w:r>
          </w:p>
          <w:p w:rsidR="005F24CE" w:rsidRPr="005F24CE" w:rsidRDefault="005F24CE" w:rsidP="004758E9">
            <w:pPr>
              <w:tabs>
                <w:tab w:val="left" w:pos="2959"/>
              </w:tabs>
              <w:rPr>
                <w:sz w:val="20"/>
                <w:lang w:val="fr-CA"/>
              </w:rPr>
            </w:pPr>
            <w:r w:rsidRPr="005F24CE">
              <w:rPr>
                <w:sz w:val="20"/>
                <w:lang w:val="fr-CA"/>
              </w:rPr>
              <w:t>Cour suprême du Canada</w:t>
            </w:r>
          </w:p>
        </w:tc>
        <w:tc>
          <w:tcPr>
            <w:tcW w:w="270" w:type="pct"/>
          </w:tcPr>
          <w:p w:rsidR="005F24CE" w:rsidRPr="005F24CE" w:rsidRDefault="005F24CE" w:rsidP="008B2EB1">
            <w:pPr>
              <w:rPr>
                <w:sz w:val="20"/>
                <w:lang w:val="fr-CA"/>
              </w:rPr>
            </w:pPr>
          </w:p>
        </w:tc>
        <w:tc>
          <w:tcPr>
            <w:tcW w:w="2340" w:type="pct"/>
          </w:tcPr>
          <w:p w:rsidR="005F24CE" w:rsidRPr="005F24CE" w:rsidRDefault="005F24CE" w:rsidP="008B2EB1">
            <w:pPr>
              <w:rPr>
                <w:sz w:val="20"/>
                <w:lang w:val="fr-CA"/>
              </w:rPr>
            </w:pPr>
            <w:r w:rsidRPr="005F24CE">
              <w:rPr>
                <w:sz w:val="20"/>
                <w:lang w:val="fr-CA"/>
              </w:rPr>
              <w:t>Dépôt de la demande d’autorisation d’appel</w:t>
            </w:r>
          </w:p>
        </w:tc>
      </w:tr>
    </w:tbl>
    <w:p w:rsidR="005F24CE" w:rsidRPr="005F24CE" w:rsidRDefault="005F24CE" w:rsidP="005F24CE">
      <w:pPr>
        <w:rPr>
          <w:sz w:val="20"/>
          <w:lang w:val="fr-CA"/>
        </w:rPr>
      </w:pPr>
    </w:p>
    <w:p w:rsidR="005F24CE" w:rsidRPr="005F24CE" w:rsidRDefault="005F24CE" w:rsidP="005F24CE">
      <w:pPr>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F24CE" w:rsidRPr="005F24CE" w:rsidTr="008B2EB1">
        <w:tc>
          <w:tcPr>
            <w:tcW w:w="543" w:type="pct"/>
          </w:tcPr>
          <w:p w:rsidR="005F24CE" w:rsidRPr="005F24CE" w:rsidRDefault="005F24CE" w:rsidP="005F24CE">
            <w:pPr>
              <w:jc w:val="both"/>
              <w:rPr>
                <w:rFonts w:eastAsiaTheme="minorHAnsi"/>
                <w:sz w:val="20"/>
                <w:lang w:val="en-CA"/>
              </w:rPr>
            </w:pPr>
            <w:r w:rsidRPr="005F24CE">
              <w:rPr>
                <w:rFonts w:eastAsiaTheme="minorHAnsi"/>
                <w:b/>
                <w:sz w:val="20"/>
                <w:lang w:val="en-CA"/>
              </w:rPr>
              <w:t>36629</w:t>
            </w:r>
          </w:p>
        </w:tc>
        <w:tc>
          <w:tcPr>
            <w:tcW w:w="4457" w:type="pct"/>
            <w:gridSpan w:val="3"/>
          </w:tcPr>
          <w:p w:rsidR="005F24CE" w:rsidRPr="005F24CE" w:rsidRDefault="005F24CE" w:rsidP="005F24CE">
            <w:pPr>
              <w:jc w:val="both"/>
              <w:rPr>
                <w:rFonts w:eastAsiaTheme="minorHAnsi"/>
                <w:b/>
                <w:sz w:val="20"/>
                <w:lang w:val="en-CA"/>
              </w:rPr>
            </w:pPr>
            <w:r w:rsidRPr="005F24CE">
              <w:rPr>
                <w:rFonts w:eastAsiaTheme="minorHAnsi"/>
                <w:b/>
                <w:sz w:val="20"/>
                <w:lang w:val="en-CA"/>
              </w:rPr>
              <w:t>Wright Medical Technology Canada Ltd., Wright Medical Technology, Inc. and Wright Medical Group, Inc. v. Ken Taylor</w:t>
            </w:r>
          </w:p>
          <w:p w:rsidR="005F24CE" w:rsidRPr="005F24CE" w:rsidRDefault="005F24CE" w:rsidP="005F24CE">
            <w:pPr>
              <w:jc w:val="both"/>
              <w:rPr>
                <w:rFonts w:eastAsiaTheme="minorHAnsi"/>
                <w:sz w:val="20"/>
                <w:lang w:val="en-CA"/>
              </w:rPr>
            </w:pPr>
            <w:r w:rsidRPr="005F24CE">
              <w:rPr>
                <w:rFonts w:eastAsiaTheme="minorHAnsi"/>
                <w:sz w:val="20"/>
                <w:lang w:val="en-CA"/>
              </w:rPr>
              <w:t>(N.S.) (Civil) (By Leave)</w:t>
            </w:r>
          </w:p>
        </w:tc>
      </w:tr>
      <w:tr w:rsidR="005F24CE" w:rsidRPr="005F24CE" w:rsidTr="008B2EB1">
        <w:tc>
          <w:tcPr>
            <w:tcW w:w="5000" w:type="pct"/>
            <w:gridSpan w:val="4"/>
          </w:tcPr>
          <w:p w:rsidR="005F24CE" w:rsidRPr="005F24CE" w:rsidRDefault="005F24CE" w:rsidP="005F24CE">
            <w:pPr>
              <w:jc w:val="both"/>
              <w:rPr>
                <w:rFonts w:eastAsiaTheme="minorHAnsi"/>
                <w:sz w:val="20"/>
                <w:lang w:val="en-CA"/>
              </w:rPr>
            </w:pPr>
          </w:p>
          <w:p w:rsidR="005F24CE" w:rsidRPr="005F24CE" w:rsidRDefault="005F24CE" w:rsidP="005F24CE">
            <w:pPr>
              <w:jc w:val="both"/>
              <w:rPr>
                <w:rFonts w:eastAsiaTheme="minorHAnsi"/>
                <w:sz w:val="20"/>
                <w:lang w:val="en-CA"/>
              </w:rPr>
            </w:pPr>
            <w:proofErr w:type="gramStart"/>
            <w:r w:rsidRPr="005F24CE">
              <w:rPr>
                <w:rFonts w:eastAsiaTheme="minorHAnsi"/>
                <w:iCs/>
                <w:sz w:val="20"/>
                <w:lang w:val="en-CA"/>
              </w:rPr>
              <w:t xml:space="preserve">Civil procedure — Class actions — Certification — Products liability — Respondent suing applicants for </w:t>
            </w:r>
            <w:r w:rsidRPr="005F24CE">
              <w:rPr>
                <w:rFonts w:eastAsiaTheme="minorHAnsi"/>
                <w:sz w:val="20"/>
              </w:rPr>
              <w:t>alleging negligence in the design and manufacture of hip implant system</w:t>
            </w:r>
            <w:r w:rsidRPr="005F24CE">
              <w:rPr>
                <w:rFonts w:eastAsiaTheme="minorHAnsi"/>
                <w:iCs/>
                <w:sz w:val="20"/>
                <w:lang w:val="en-CA"/>
              </w:rPr>
              <w:t xml:space="preserve"> — Respondent seeking certification of action as class proceeding under provincial class action legislation — How can defendant lead evidence to rebut inference of “some basis in fact” raised by the plaintiff’s evidence</w:t>
            </w:r>
            <w:r w:rsidRPr="005F24CE">
              <w:rPr>
                <w:rFonts w:eastAsiaTheme="minorHAnsi"/>
                <w:sz w:val="20"/>
                <w:lang w:val="en-CA"/>
              </w:rPr>
              <w:t xml:space="preserve"> o</w:t>
            </w:r>
            <w:r w:rsidRPr="005F24CE">
              <w:rPr>
                <w:rFonts w:eastAsiaTheme="minorHAnsi"/>
                <w:iCs/>
                <w:sz w:val="20"/>
                <w:lang w:val="en-CA"/>
              </w:rPr>
              <w:t xml:space="preserve">n common issues criterion ― How does the certification judge assess the “some basis in fact” standard in relation to common issues criterion — </w:t>
            </w:r>
            <w:r w:rsidRPr="005F24CE">
              <w:rPr>
                <w:rFonts w:eastAsiaTheme="minorHAnsi"/>
                <w:i/>
                <w:sz w:val="20"/>
              </w:rPr>
              <w:t>Class Proceedings Act</w:t>
            </w:r>
            <w:r w:rsidRPr="005F24CE">
              <w:rPr>
                <w:rFonts w:eastAsiaTheme="minorHAnsi"/>
                <w:sz w:val="20"/>
              </w:rPr>
              <w:t>, S.N.S. 2007, c. 28.</w:t>
            </w:r>
            <w:proofErr w:type="gramEnd"/>
          </w:p>
          <w:p w:rsidR="005F24CE" w:rsidRPr="005F24CE" w:rsidRDefault="005F24CE" w:rsidP="005F24CE">
            <w:pPr>
              <w:jc w:val="both"/>
              <w:rPr>
                <w:rFonts w:eastAsiaTheme="minorHAnsi"/>
                <w:sz w:val="20"/>
                <w:lang w:val="en-CA"/>
              </w:rPr>
            </w:pPr>
          </w:p>
        </w:tc>
      </w:tr>
      <w:tr w:rsidR="005F24CE" w:rsidRPr="005F24CE" w:rsidTr="00A35BC1">
        <w:trPr>
          <w:trHeight w:val="1800"/>
        </w:trPr>
        <w:tc>
          <w:tcPr>
            <w:tcW w:w="5000" w:type="pct"/>
            <w:gridSpan w:val="4"/>
          </w:tcPr>
          <w:tbl>
            <w:tblPr>
              <w:tblW w:w="5000" w:type="pct"/>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9270"/>
            </w:tblGrid>
            <w:tr w:rsidR="005F24CE" w:rsidRPr="005F24CE" w:rsidTr="008B2EB1">
              <w:trPr>
                <w:trHeight w:val="288"/>
              </w:trPr>
              <w:tc>
                <w:tcPr>
                  <w:tcW w:w="3861" w:type="pct"/>
                  <w:tcBorders>
                    <w:top w:val="nil"/>
                    <w:left w:val="nil"/>
                    <w:bottom w:val="nil"/>
                    <w:right w:val="nil"/>
                  </w:tcBorders>
                  <w:tcMar>
                    <w:top w:w="120" w:type="dxa"/>
                    <w:left w:w="120" w:type="dxa"/>
                    <w:bottom w:w="58" w:type="dxa"/>
                    <w:right w:w="120" w:type="dxa"/>
                  </w:tcMar>
                </w:tcPr>
                <w:p w:rsidR="005F24CE" w:rsidRPr="005F24CE" w:rsidRDefault="005F24CE" w:rsidP="00236277">
                  <w:pPr>
                    <w:ind w:left="-120"/>
                    <w:jc w:val="both"/>
                    <w:rPr>
                      <w:rFonts w:eastAsiaTheme="minorHAnsi"/>
                      <w:sz w:val="20"/>
                    </w:rPr>
                  </w:pPr>
                  <w:r w:rsidRPr="005F24CE">
                    <w:rPr>
                      <w:rFonts w:eastAsiaTheme="minorHAnsi"/>
                      <w:sz w:val="20"/>
                    </w:rPr>
                    <w:lastRenderedPageBreak/>
                    <w:t xml:space="preserve">In June 2007, the respondent Mr. Kenneth Taylor had his left hip replaced on account of osteoarthritis. His attending surgeon used a Wright </w:t>
                  </w:r>
                  <w:proofErr w:type="spellStart"/>
                  <w:r w:rsidRPr="005F24CE">
                    <w:rPr>
                      <w:rFonts w:eastAsiaTheme="minorHAnsi"/>
                      <w:sz w:val="20"/>
                    </w:rPr>
                    <w:t>Profemur</w:t>
                  </w:r>
                  <w:proofErr w:type="spellEnd"/>
                  <w:r w:rsidRPr="005F24CE">
                    <w:rPr>
                      <w:rFonts w:eastAsiaTheme="minorHAnsi"/>
                      <w:sz w:val="20"/>
                    </w:rPr>
                    <w:t xml:space="preserve"> Hip Implant System conceived and produced by the applicants. Two years later the device failed. Mr. Taylor sued, alleging negligence in the design and manufacture of the implant system. He applied to have his action certified as a class proceeding under the </w:t>
                  </w:r>
                  <w:r w:rsidRPr="005F24CE">
                    <w:rPr>
                      <w:rFonts w:eastAsiaTheme="minorHAnsi"/>
                      <w:i/>
                      <w:sz w:val="20"/>
                    </w:rPr>
                    <w:t>Class Proceedings Act</w:t>
                  </w:r>
                  <w:r w:rsidRPr="005F24CE">
                    <w:rPr>
                      <w:rFonts w:eastAsiaTheme="minorHAnsi"/>
                      <w:sz w:val="20"/>
                    </w:rPr>
                    <w:t xml:space="preserve">, S.N.S. 2007, </w:t>
                  </w:r>
                  <w:proofErr w:type="gramStart"/>
                  <w:r w:rsidRPr="005F24CE">
                    <w:rPr>
                      <w:rFonts w:eastAsiaTheme="minorHAnsi"/>
                      <w:sz w:val="20"/>
                    </w:rPr>
                    <w:t>c</w:t>
                  </w:r>
                  <w:proofErr w:type="gramEnd"/>
                  <w:r w:rsidRPr="005F24CE">
                    <w:rPr>
                      <w:rFonts w:eastAsiaTheme="minorHAnsi"/>
                      <w:sz w:val="20"/>
                    </w:rPr>
                    <w:t>. 28.</w:t>
                  </w:r>
                </w:p>
              </w:tc>
            </w:tr>
            <w:tr w:rsidR="005F24CE" w:rsidRPr="005F24CE" w:rsidTr="008B2EB1">
              <w:trPr>
                <w:trHeight w:val="288"/>
              </w:trPr>
              <w:tc>
                <w:tcPr>
                  <w:tcW w:w="3861" w:type="pct"/>
                  <w:tcBorders>
                    <w:top w:val="nil"/>
                    <w:left w:val="nil"/>
                    <w:bottom w:val="nil"/>
                    <w:right w:val="nil"/>
                  </w:tcBorders>
                  <w:tcMar>
                    <w:top w:w="120" w:type="dxa"/>
                    <w:left w:w="120" w:type="dxa"/>
                    <w:bottom w:w="58" w:type="dxa"/>
                    <w:right w:w="120" w:type="dxa"/>
                  </w:tcMar>
                </w:tcPr>
                <w:p w:rsidR="005F24CE" w:rsidRPr="005F24CE" w:rsidRDefault="005F24CE" w:rsidP="005F24CE">
                  <w:pPr>
                    <w:ind w:left="-120"/>
                    <w:jc w:val="both"/>
                    <w:rPr>
                      <w:rFonts w:eastAsiaTheme="minorHAnsi"/>
                      <w:sz w:val="20"/>
                    </w:rPr>
                  </w:pPr>
                  <w:r w:rsidRPr="005F24CE">
                    <w:rPr>
                      <w:rFonts w:eastAsiaTheme="minorHAnsi"/>
                      <w:sz w:val="20"/>
                    </w:rPr>
                    <w:t>The motion judge certified the action as a class proceeding. The Court of Appeal dismissed the appeal.</w:t>
                  </w:r>
                </w:p>
              </w:tc>
            </w:tr>
          </w:tbl>
          <w:p w:rsidR="005F24CE" w:rsidRPr="005F24CE" w:rsidRDefault="005F24CE" w:rsidP="005F24CE">
            <w:pPr>
              <w:jc w:val="both"/>
              <w:rPr>
                <w:rFonts w:eastAsiaTheme="minorHAnsi"/>
                <w:sz w:val="20"/>
                <w:lang w:val="en-CA"/>
              </w:rPr>
            </w:pPr>
          </w:p>
        </w:tc>
      </w:tr>
      <w:tr w:rsidR="005F24CE" w:rsidRPr="005F24CE" w:rsidTr="008B2EB1">
        <w:tc>
          <w:tcPr>
            <w:tcW w:w="2427" w:type="pct"/>
            <w:gridSpan w:val="2"/>
          </w:tcPr>
          <w:p w:rsidR="005F24CE" w:rsidRPr="005F24CE" w:rsidRDefault="005F24CE" w:rsidP="005F24CE">
            <w:pPr>
              <w:jc w:val="both"/>
              <w:rPr>
                <w:rFonts w:eastAsiaTheme="minorHAnsi"/>
                <w:sz w:val="20"/>
                <w:lang w:val="en-CA"/>
              </w:rPr>
            </w:pPr>
            <w:r w:rsidRPr="005F24CE">
              <w:rPr>
                <w:rFonts w:eastAsiaTheme="minorHAnsi"/>
                <w:sz w:val="20"/>
                <w:lang w:val="en-CA"/>
              </w:rPr>
              <w:t>March 7, 2014</w:t>
            </w:r>
          </w:p>
          <w:p w:rsidR="005F24CE" w:rsidRPr="005F24CE" w:rsidRDefault="005F24CE" w:rsidP="005F24CE">
            <w:pPr>
              <w:jc w:val="both"/>
              <w:rPr>
                <w:rFonts w:eastAsiaTheme="minorHAnsi"/>
                <w:sz w:val="20"/>
                <w:lang w:val="en-CA"/>
              </w:rPr>
            </w:pPr>
            <w:r w:rsidRPr="005F24CE">
              <w:rPr>
                <w:rFonts w:eastAsiaTheme="minorHAnsi"/>
                <w:sz w:val="20"/>
                <w:lang w:val="en-CA"/>
              </w:rPr>
              <w:t>Supreme Court of Nova Scotia, Trial Division</w:t>
            </w:r>
          </w:p>
          <w:p w:rsidR="005F24CE" w:rsidRPr="005F24CE" w:rsidRDefault="005F24CE" w:rsidP="005F24CE">
            <w:pPr>
              <w:jc w:val="both"/>
              <w:rPr>
                <w:rFonts w:eastAsiaTheme="minorHAnsi"/>
                <w:sz w:val="20"/>
                <w:lang w:val="en-CA"/>
              </w:rPr>
            </w:pPr>
            <w:r w:rsidRPr="005F24CE">
              <w:rPr>
                <w:rFonts w:eastAsiaTheme="minorHAnsi"/>
                <w:sz w:val="20"/>
                <w:lang w:val="en-CA"/>
              </w:rPr>
              <w:t>(Wood J.)</w:t>
            </w:r>
          </w:p>
          <w:p w:rsidR="005F24CE" w:rsidRPr="005F24CE" w:rsidRDefault="00006AE1" w:rsidP="005F24CE">
            <w:pPr>
              <w:jc w:val="both"/>
              <w:rPr>
                <w:rFonts w:eastAsiaTheme="minorHAnsi"/>
                <w:sz w:val="20"/>
                <w:lang w:val="en-CA"/>
              </w:rPr>
            </w:pPr>
            <w:hyperlink r:id="rId40" w:history="1">
              <w:r w:rsidR="005F24CE" w:rsidRPr="005F24CE">
                <w:rPr>
                  <w:rFonts w:eastAsiaTheme="minorHAnsi"/>
                  <w:color w:val="0000FF" w:themeColor="hyperlink"/>
                  <w:sz w:val="20"/>
                  <w:u w:val="single"/>
                  <w:lang w:val="en-CA"/>
                </w:rPr>
                <w:t>2014 NSSC 89</w:t>
              </w:r>
            </w:hyperlink>
          </w:p>
          <w:p w:rsidR="005F24CE" w:rsidRPr="005F24CE" w:rsidRDefault="005F24CE" w:rsidP="005F24CE">
            <w:pPr>
              <w:jc w:val="both"/>
              <w:rPr>
                <w:rFonts w:eastAsiaTheme="minorHAnsi"/>
                <w:sz w:val="20"/>
                <w:lang w:val="en-CA"/>
              </w:rPr>
            </w:pPr>
          </w:p>
        </w:tc>
        <w:tc>
          <w:tcPr>
            <w:tcW w:w="243" w:type="pct"/>
          </w:tcPr>
          <w:p w:rsidR="005F24CE" w:rsidRPr="005F24CE" w:rsidRDefault="005F24CE" w:rsidP="005F24CE">
            <w:pPr>
              <w:jc w:val="both"/>
              <w:rPr>
                <w:rFonts w:eastAsiaTheme="minorHAnsi"/>
                <w:sz w:val="20"/>
                <w:lang w:val="en-CA"/>
              </w:rPr>
            </w:pPr>
          </w:p>
        </w:tc>
        <w:tc>
          <w:tcPr>
            <w:tcW w:w="2330" w:type="pct"/>
          </w:tcPr>
          <w:p w:rsidR="005F24CE" w:rsidRPr="005F24CE" w:rsidRDefault="005F24CE" w:rsidP="005F24CE">
            <w:pPr>
              <w:jc w:val="both"/>
              <w:rPr>
                <w:rFonts w:eastAsiaTheme="minorHAnsi"/>
                <w:sz w:val="20"/>
                <w:lang w:val="en-CA"/>
              </w:rPr>
            </w:pPr>
            <w:r w:rsidRPr="005F24CE">
              <w:rPr>
                <w:rFonts w:eastAsiaTheme="minorHAnsi"/>
                <w:sz w:val="20"/>
                <w:lang w:val="en-CA"/>
              </w:rPr>
              <w:t>Order certifying action as class proceeding.</w:t>
            </w:r>
          </w:p>
          <w:p w:rsidR="005F24CE" w:rsidRPr="005F24CE" w:rsidRDefault="005F24CE" w:rsidP="005F24CE">
            <w:pPr>
              <w:jc w:val="both"/>
              <w:rPr>
                <w:rFonts w:eastAsiaTheme="minorHAnsi"/>
                <w:sz w:val="20"/>
                <w:lang w:val="en-CA"/>
              </w:rPr>
            </w:pPr>
          </w:p>
        </w:tc>
      </w:tr>
      <w:tr w:rsidR="005F24CE" w:rsidRPr="005F24CE" w:rsidTr="008B2EB1">
        <w:tc>
          <w:tcPr>
            <w:tcW w:w="2427" w:type="pct"/>
            <w:gridSpan w:val="2"/>
          </w:tcPr>
          <w:p w:rsidR="005F24CE" w:rsidRPr="005F24CE" w:rsidRDefault="005F24CE" w:rsidP="005F24CE">
            <w:pPr>
              <w:jc w:val="both"/>
              <w:rPr>
                <w:rFonts w:eastAsiaTheme="minorHAnsi"/>
                <w:sz w:val="20"/>
                <w:lang w:val="en-CA"/>
              </w:rPr>
            </w:pPr>
            <w:r w:rsidRPr="005F24CE">
              <w:rPr>
                <w:rFonts w:eastAsiaTheme="minorHAnsi"/>
                <w:sz w:val="20"/>
                <w:lang w:val="en-CA"/>
              </w:rPr>
              <w:t>July 7, 2015</w:t>
            </w:r>
          </w:p>
          <w:p w:rsidR="005F24CE" w:rsidRPr="005F24CE" w:rsidRDefault="005F24CE" w:rsidP="005F24CE">
            <w:pPr>
              <w:jc w:val="both"/>
              <w:rPr>
                <w:rFonts w:eastAsiaTheme="minorHAnsi"/>
                <w:sz w:val="20"/>
                <w:lang w:val="en-CA"/>
              </w:rPr>
            </w:pPr>
            <w:r w:rsidRPr="005F24CE">
              <w:rPr>
                <w:rFonts w:eastAsiaTheme="minorHAnsi"/>
                <w:sz w:val="20"/>
                <w:lang w:val="en-CA"/>
              </w:rPr>
              <w:t>Nova Scotia Court of Appeal</w:t>
            </w:r>
          </w:p>
          <w:p w:rsidR="005F24CE" w:rsidRPr="005F24CE" w:rsidRDefault="005F24CE" w:rsidP="005F24CE">
            <w:pPr>
              <w:jc w:val="both"/>
              <w:rPr>
                <w:rFonts w:eastAsiaTheme="minorHAnsi"/>
                <w:sz w:val="20"/>
                <w:lang w:val="en-CA"/>
              </w:rPr>
            </w:pPr>
            <w:r w:rsidRPr="005F24CE">
              <w:rPr>
                <w:rFonts w:eastAsiaTheme="minorHAnsi"/>
                <w:sz w:val="20"/>
                <w:lang w:val="en-CA"/>
              </w:rPr>
              <w:t xml:space="preserve">(Farrar David P.S., Saunders Jamie W.S., </w:t>
            </w:r>
          </w:p>
          <w:p w:rsidR="005F24CE" w:rsidRPr="005F24CE" w:rsidRDefault="005F24CE" w:rsidP="005F24CE">
            <w:pPr>
              <w:jc w:val="both"/>
              <w:rPr>
                <w:rFonts w:eastAsiaTheme="minorHAnsi"/>
                <w:sz w:val="20"/>
                <w:lang w:val="en-CA"/>
              </w:rPr>
            </w:pPr>
            <w:r w:rsidRPr="005F24CE">
              <w:rPr>
                <w:rFonts w:eastAsiaTheme="minorHAnsi"/>
                <w:sz w:val="20"/>
                <w:lang w:val="en-CA"/>
              </w:rPr>
              <w:t>Bryson Peter M. S.)</w:t>
            </w:r>
          </w:p>
          <w:p w:rsidR="005F24CE" w:rsidRPr="005F24CE" w:rsidRDefault="00006AE1" w:rsidP="005F24CE">
            <w:pPr>
              <w:jc w:val="both"/>
              <w:rPr>
                <w:rFonts w:eastAsiaTheme="minorHAnsi"/>
                <w:sz w:val="20"/>
                <w:lang w:val="en-CA"/>
              </w:rPr>
            </w:pPr>
            <w:hyperlink r:id="rId41" w:history="1">
              <w:r w:rsidR="005F24CE" w:rsidRPr="005F24CE">
                <w:rPr>
                  <w:rFonts w:eastAsiaTheme="minorHAnsi"/>
                  <w:color w:val="0000FF" w:themeColor="hyperlink"/>
                  <w:sz w:val="20"/>
                  <w:u w:val="single"/>
                  <w:lang w:val="en-CA"/>
                </w:rPr>
                <w:t>2015 NSCA 68</w:t>
              </w:r>
            </w:hyperlink>
          </w:p>
          <w:p w:rsidR="005F24CE" w:rsidRPr="005F24CE" w:rsidRDefault="005F24CE" w:rsidP="005F24CE">
            <w:pPr>
              <w:jc w:val="both"/>
              <w:rPr>
                <w:rFonts w:eastAsiaTheme="minorHAnsi"/>
                <w:sz w:val="20"/>
                <w:lang w:val="en-CA"/>
              </w:rPr>
            </w:pPr>
            <w:r w:rsidRPr="005F24CE">
              <w:rPr>
                <w:rFonts w:eastAsiaTheme="minorHAnsi"/>
                <w:sz w:val="20"/>
                <w:lang w:val="en-CA"/>
              </w:rPr>
              <w:t>CA429260</w:t>
            </w:r>
          </w:p>
          <w:p w:rsidR="005F24CE" w:rsidRPr="005F24CE" w:rsidRDefault="005F24CE" w:rsidP="005F24CE">
            <w:pPr>
              <w:jc w:val="both"/>
              <w:rPr>
                <w:rFonts w:eastAsiaTheme="minorHAnsi"/>
                <w:sz w:val="20"/>
                <w:lang w:val="en-CA"/>
              </w:rPr>
            </w:pPr>
          </w:p>
        </w:tc>
        <w:tc>
          <w:tcPr>
            <w:tcW w:w="243" w:type="pct"/>
          </w:tcPr>
          <w:p w:rsidR="005F24CE" w:rsidRPr="005F24CE" w:rsidRDefault="005F24CE" w:rsidP="005F24CE">
            <w:pPr>
              <w:jc w:val="both"/>
              <w:rPr>
                <w:rFonts w:eastAsiaTheme="minorHAnsi"/>
                <w:sz w:val="20"/>
                <w:lang w:val="en-CA"/>
              </w:rPr>
            </w:pPr>
          </w:p>
        </w:tc>
        <w:tc>
          <w:tcPr>
            <w:tcW w:w="2330" w:type="pct"/>
          </w:tcPr>
          <w:p w:rsidR="005F24CE" w:rsidRPr="005F24CE" w:rsidRDefault="005F24CE" w:rsidP="005F24CE">
            <w:pPr>
              <w:jc w:val="both"/>
              <w:rPr>
                <w:rFonts w:eastAsiaTheme="minorHAnsi"/>
                <w:sz w:val="20"/>
                <w:lang w:val="en-CA"/>
              </w:rPr>
            </w:pPr>
            <w:r w:rsidRPr="005F24CE">
              <w:rPr>
                <w:rFonts w:eastAsiaTheme="minorHAnsi"/>
                <w:sz w:val="20"/>
                <w:lang w:val="en-CA"/>
              </w:rPr>
              <w:t xml:space="preserve">Appeal dismissed.  </w:t>
            </w:r>
          </w:p>
          <w:p w:rsidR="005F24CE" w:rsidRPr="005F24CE" w:rsidRDefault="005F24CE" w:rsidP="005F24CE">
            <w:pPr>
              <w:jc w:val="both"/>
              <w:rPr>
                <w:rFonts w:eastAsiaTheme="minorHAnsi"/>
                <w:sz w:val="20"/>
                <w:lang w:val="en-CA"/>
              </w:rPr>
            </w:pPr>
          </w:p>
        </w:tc>
      </w:tr>
      <w:tr w:rsidR="005F24CE" w:rsidRPr="005F24CE" w:rsidTr="008B2EB1">
        <w:tc>
          <w:tcPr>
            <w:tcW w:w="2427" w:type="pct"/>
            <w:gridSpan w:val="2"/>
          </w:tcPr>
          <w:p w:rsidR="005F24CE" w:rsidRPr="005F24CE" w:rsidRDefault="005F24CE" w:rsidP="005F24CE">
            <w:pPr>
              <w:jc w:val="both"/>
              <w:rPr>
                <w:rFonts w:eastAsiaTheme="minorHAnsi"/>
                <w:sz w:val="20"/>
                <w:lang w:val="en-CA"/>
              </w:rPr>
            </w:pPr>
            <w:r w:rsidRPr="005F24CE">
              <w:rPr>
                <w:rFonts w:eastAsiaTheme="minorHAnsi"/>
                <w:sz w:val="20"/>
                <w:lang w:val="en-CA"/>
              </w:rPr>
              <w:t>September 24, 2015</w:t>
            </w:r>
          </w:p>
          <w:p w:rsidR="005F24CE" w:rsidRPr="005F24CE" w:rsidRDefault="005F24CE" w:rsidP="004758E9">
            <w:pPr>
              <w:jc w:val="both"/>
              <w:rPr>
                <w:rFonts w:eastAsiaTheme="minorHAnsi"/>
                <w:sz w:val="20"/>
                <w:lang w:val="en-CA"/>
              </w:rPr>
            </w:pPr>
            <w:r w:rsidRPr="005F24CE">
              <w:rPr>
                <w:rFonts w:eastAsiaTheme="minorHAnsi"/>
                <w:sz w:val="20"/>
                <w:lang w:val="en-CA"/>
              </w:rPr>
              <w:t>Supreme Court of Canada</w:t>
            </w:r>
          </w:p>
        </w:tc>
        <w:tc>
          <w:tcPr>
            <w:tcW w:w="243" w:type="pct"/>
          </w:tcPr>
          <w:p w:rsidR="005F24CE" w:rsidRPr="005F24CE" w:rsidRDefault="005F24CE" w:rsidP="005F24CE">
            <w:pPr>
              <w:jc w:val="both"/>
              <w:rPr>
                <w:rFonts w:eastAsiaTheme="minorHAnsi"/>
                <w:sz w:val="20"/>
                <w:lang w:val="en-CA"/>
              </w:rPr>
            </w:pPr>
          </w:p>
        </w:tc>
        <w:tc>
          <w:tcPr>
            <w:tcW w:w="2330" w:type="pct"/>
          </w:tcPr>
          <w:p w:rsidR="005F24CE" w:rsidRPr="005F24CE" w:rsidRDefault="005F24CE" w:rsidP="005F24CE">
            <w:pPr>
              <w:jc w:val="both"/>
              <w:rPr>
                <w:rFonts w:eastAsiaTheme="minorHAnsi"/>
                <w:sz w:val="20"/>
                <w:lang w:val="en-CA"/>
              </w:rPr>
            </w:pPr>
            <w:r w:rsidRPr="005F24CE">
              <w:rPr>
                <w:rFonts w:eastAsiaTheme="minorHAnsi"/>
                <w:sz w:val="20"/>
                <w:lang w:val="en-CA"/>
              </w:rPr>
              <w:t>Application for leave to appeal filed.</w:t>
            </w:r>
          </w:p>
        </w:tc>
      </w:tr>
    </w:tbl>
    <w:p w:rsidR="005F24CE" w:rsidRPr="005F24CE" w:rsidRDefault="005F24CE" w:rsidP="005F24CE">
      <w:pPr>
        <w:jc w:val="both"/>
        <w:rPr>
          <w:rFonts w:eastAsiaTheme="minorHAnsi"/>
          <w:sz w:val="20"/>
          <w:lang w:val="en-CA"/>
        </w:rPr>
      </w:pPr>
    </w:p>
    <w:p w:rsidR="005F24CE" w:rsidRPr="005F24CE" w:rsidRDefault="005F24CE" w:rsidP="005F24CE">
      <w:pPr>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F24CE" w:rsidRPr="00A35BC1" w:rsidTr="008B2EB1">
        <w:tc>
          <w:tcPr>
            <w:tcW w:w="543" w:type="pct"/>
          </w:tcPr>
          <w:p w:rsidR="005F24CE" w:rsidRPr="005F24CE" w:rsidRDefault="005F24CE" w:rsidP="005F24CE">
            <w:pPr>
              <w:jc w:val="both"/>
              <w:rPr>
                <w:rFonts w:eastAsiaTheme="minorHAnsi"/>
                <w:sz w:val="20"/>
                <w:lang w:val="en-CA"/>
              </w:rPr>
            </w:pPr>
            <w:r w:rsidRPr="005F24CE">
              <w:rPr>
                <w:rFonts w:eastAsiaTheme="minorHAnsi"/>
                <w:b/>
                <w:sz w:val="20"/>
                <w:lang w:val="en-CA"/>
              </w:rPr>
              <w:t>36629</w:t>
            </w:r>
          </w:p>
        </w:tc>
        <w:tc>
          <w:tcPr>
            <w:tcW w:w="4457" w:type="pct"/>
            <w:gridSpan w:val="3"/>
          </w:tcPr>
          <w:p w:rsidR="005F24CE" w:rsidRPr="005F24CE" w:rsidRDefault="005F24CE" w:rsidP="005F24CE">
            <w:pPr>
              <w:jc w:val="both"/>
              <w:rPr>
                <w:rFonts w:eastAsiaTheme="minorHAnsi"/>
                <w:b/>
                <w:sz w:val="20"/>
                <w:lang w:val="en-CA"/>
              </w:rPr>
            </w:pPr>
            <w:r w:rsidRPr="005F24CE">
              <w:rPr>
                <w:rFonts w:eastAsiaTheme="minorHAnsi"/>
                <w:b/>
                <w:sz w:val="20"/>
                <w:lang w:val="en-CA"/>
              </w:rPr>
              <w:t>Wright Medical Technology Canada Ltd., Wright Medical Technology, Inc. et Wright Medical Group, Inc. c. Ken Taylor</w:t>
            </w:r>
          </w:p>
          <w:p w:rsidR="005F24CE" w:rsidRPr="005F24CE" w:rsidRDefault="005F24CE" w:rsidP="005F24CE">
            <w:pPr>
              <w:jc w:val="both"/>
              <w:rPr>
                <w:rFonts w:eastAsiaTheme="minorHAnsi"/>
                <w:sz w:val="20"/>
                <w:lang w:val="fr-CA"/>
              </w:rPr>
            </w:pPr>
            <w:r w:rsidRPr="005F24CE">
              <w:rPr>
                <w:rFonts w:eastAsiaTheme="minorHAnsi"/>
                <w:sz w:val="20"/>
                <w:lang w:val="fr-CA"/>
              </w:rPr>
              <w:t>(N.-É.) (Civile) (Sur autorisation)</w:t>
            </w:r>
          </w:p>
        </w:tc>
      </w:tr>
      <w:tr w:rsidR="005F24CE" w:rsidRPr="00A35BC1" w:rsidTr="008B2EB1">
        <w:tc>
          <w:tcPr>
            <w:tcW w:w="5000" w:type="pct"/>
            <w:gridSpan w:val="4"/>
          </w:tcPr>
          <w:p w:rsidR="005F24CE" w:rsidRPr="005F24CE" w:rsidRDefault="005F24CE" w:rsidP="005F24CE">
            <w:pPr>
              <w:jc w:val="both"/>
              <w:rPr>
                <w:rFonts w:eastAsiaTheme="minorHAnsi"/>
                <w:sz w:val="20"/>
                <w:lang w:val="fr-CA"/>
              </w:rPr>
            </w:pPr>
          </w:p>
          <w:p w:rsidR="005F24CE" w:rsidRPr="005F24CE" w:rsidRDefault="005F24CE" w:rsidP="004758E9">
            <w:pPr>
              <w:jc w:val="both"/>
              <w:rPr>
                <w:rFonts w:eastAsiaTheme="minorHAnsi"/>
                <w:sz w:val="20"/>
                <w:lang w:val="fr-CA"/>
              </w:rPr>
            </w:pPr>
            <w:r w:rsidRPr="005F24CE">
              <w:rPr>
                <w:rFonts w:eastAsiaTheme="minorHAnsi"/>
                <w:iCs/>
                <w:sz w:val="20"/>
                <w:lang w:val="fr-CA"/>
              </w:rPr>
              <w:t xml:space="preserve">Procédure civile — Recours collectifs — Certification — Responsabilité du fabricant — Demanderesses poursuivies par l’intimé pour avoir fait preuve de négligence dans la conception et la fabrication d’une prothèse de hanche — Certification d’une action comme recours collectif demandée par l’intimé en vertu de la loi provinciale sur les recours collectifs — De quelle manière la défenderesse peut-elle produire une preuve pour réfuter l’inférence d’un « certain fondement factuel » évoquée par la preuve du demandeur relative au critère des questions communes? ― Comment le juge saisi de la demande de certification évalue-t-il la norme d’un « certain fondement factuel » au regard du critère des questions communes? — </w:t>
            </w:r>
            <w:r w:rsidRPr="005F24CE">
              <w:rPr>
                <w:rFonts w:eastAsiaTheme="minorHAnsi"/>
                <w:i/>
                <w:sz w:val="20"/>
                <w:lang w:val="fr-CA"/>
              </w:rPr>
              <w:t xml:space="preserve">Class </w:t>
            </w:r>
            <w:proofErr w:type="spellStart"/>
            <w:r w:rsidRPr="005F24CE">
              <w:rPr>
                <w:rFonts w:eastAsiaTheme="minorHAnsi"/>
                <w:i/>
                <w:sz w:val="20"/>
                <w:lang w:val="fr-CA"/>
              </w:rPr>
              <w:t>Proceedings</w:t>
            </w:r>
            <w:proofErr w:type="spellEnd"/>
            <w:r w:rsidRPr="005F24CE">
              <w:rPr>
                <w:rFonts w:eastAsiaTheme="minorHAnsi"/>
                <w:i/>
                <w:sz w:val="20"/>
                <w:lang w:val="fr-CA"/>
              </w:rPr>
              <w:t xml:space="preserve"> </w:t>
            </w:r>
            <w:proofErr w:type="spellStart"/>
            <w:r w:rsidRPr="005F24CE">
              <w:rPr>
                <w:rFonts w:eastAsiaTheme="minorHAnsi"/>
                <w:i/>
                <w:sz w:val="20"/>
                <w:lang w:val="fr-CA"/>
              </w:rPr>
              <w:t>Act</w:t>
            </w:r>
            <w:proofErr w:type="spellEnd"/>
            <w:r w:rsidRPr="005F24CE">
              <w:rPr>
                <w:rFonts w:eastAsiaTheme="minorHAnsi"/>
                <w:sz w:val="20"/>
                <w:lang w:val="fr-CA"/>
              </w:rPr>
              <w:t>, S.N.S. 2007, c. 28.</w:t>
            </w:r>
          </w:p>
        </w:tc>
      </w:tr>
      <w:tr w:rsidR="005F24CE" w:rsidRPr="005F24CE" w:rsidTr="00A35BC1">
        <w:trPr>
          <w:trHeight w:val="2034"/>
        </w:trPr>
        <w:tc>
          <w:tcPr>
            <w:tcW w:w="5000" w:type="pct"/>
            <w:gridSpan w:val="4"/>
          </w:tcPr>
          <w:tbl>
            <w:tblPr>
              <w:tblW w:w="5000" w:type="pct"/>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9270"/>
            </w:tblGrid>
            <w:tr w:rsidR="005F24CE" w:rsidRPr="00A35BC1" w:rsidTr="008B2EB1">
              <w:trPr>
                <w:trHeight w:val="288"/>
              </w:trPr>
              <w:tc>
                <w:tcPr>
                  <w:tcW w:w="3861" w:type="pct"/>
                  <w:tcBorders>
                    <w:top w:val="nil"/>
                    <w:left w:val="nil"/>
                    <w:bottom w:val="nil"/>
                    <w:right w:val="nil"/>
                  </w:tcBorders>
                  <w:tcMar>
                    <w:top w:w="120" w:type="dxa"/>
                    <w:left w:w="120" w:type="dxa"/>
                    <w:bottom w:w="58" w:type="dxa"/>
                    <w:right w:w="120" w:type="dxa"/>
                  </w:tcMar>
                </w:tcPr>
                <w:p w:rsidR="005F24CE" w:rsidRPr="005F24CE" w:rsidRDefault="005F24CE" w:rsidP="005F24CE">
                  <w:pPr>
                    <w:ind w:left="-120"/>
                    <w:jc w:val="both"/>
                    <w:rPr>
                      <w:rFonts w:eastAsiaTheme="minorHAnsi"/>
                      <w:sz w:val="20"/>
                      <w:lang w:val="fr-CA"/>
                    </w:rPr>
                  </w:pPr>
                  <w:r w:rsidRPr="005F24CE">
                    <w:rPr>
                      <w:rFonts w:eastAsiaTheme="minorHAnsi"/>
                      <w:sz w:val="20"/>
                      <w:lang w:val="fr-CA"/>
                    </w:rPr>
                    <w:t xml:space="preserve">En juin 2007, l’intimé Kenneth Taylor a subi un remplacement de la hanche gauche parce qu’il souffrait d’ostéo-arthrite. Son chirurgien a utilisé une prothèse de hanche Wright </w:t>
                  </w:r>
                  <w:proofErr w:type="spellStart"/>
                  <w:r w:rsidRPr="005F24CE">
                    <w:rPr>
                      <w:rFonts w:eastAsiaTheme="minorHAnsi"/>
                      <w:sz w:val="20"/>
                      <w:lang w:val="fr-CA"/>
                    </w:rPr>
                    <w:t>Profemur</w:t>
                  </w:r>
                  <w:proofErr w:type="spellEnd"/>
                  <w:r w:rsidRPr="005F24CE">
                    <w:rPr>
                      <w:rFonts w:eastAsiaTheme="minorHAnsi"/>
                      <w:sz w:val="20"/>
                      <w:lang w:val="fr-CA"/>
                    </w:rPr>
                    <w:t xml:space="preserve"> conçue et fabriquée par les demanderesses. La prothèse s’est brisée deux ans plus tard. Monsieur Taylor s’est pourvu en justice, reprochant aux demanderesses d’avoir fait preuve de négligence dans la conception et la fabrication de la prothèse. Il a demandé que son action soit certifiée comme recours collectif en vertu de la </w:t>
                  </w:r>
                  <w:r w:rsidRPr="005F24CE">
                    <w:rPr>
                      <w:rFonts w:eastAsiaTheme="minorHAnsi"/>
                      <w:i/>
                      <w:sz w:val="20"/>
                      <w:lang w:val="fr-CA"/>
                    </w:rPr>
                    <w:t xml:space="preserve">Class </w:t>
                  </w:r>
                  <w:proofErr w:type="spellStart"/>
                  <w:r w:rsidRPr="005F24CE">
                    <w:rPr>
                      <w:rFonts w:eastAsiaTheme="minorHAnsi"/>
                      <w:i/>
                      <w:sz w:val="20"/>
                      <w:lang w:val="fr-CA"/>
                    </w:rPr>
                    <w:t>Proceedings</w:t>
                  </w:r>
                  <w:proofErr w:type="spellEnd"/>
                  <w:r w:rsidRPr="005F24CE">
                    <w:rPr>
                      <w:rFonts w:eastAsiaTheme="minorHAnsi"/>
                      <w:i/>
                      <w:sz w:val="20"/>
                      <w:lang w:val="fr-CA"/>
                    </w:rPr>
                    <w:t xml:space="preserve"> </w:t>
                  </w:r>
                  <w:proofErr w:type="spellStart"/>
                  <w:r w:rsidRPr="005F24CE">
                    <w:rPr>
                      <w:rFonts w:eastAsiaTheme="minorHAnsi"/>
                      <w:i/>
                      <w:sz w:val="20"/>
                      <w:lang w:val="fr-CA"/>
                    </w:rPr>
                    <w:t>Act</w:t>
                  </w:r>
                  <w:proofErr w:type="spellEnd"/>
                  <w:r w:rsidRPr="005F24CE">
                    <w:rPr>
                      <w:rFonts w:eastAsiaTheme="minorHAnsi"/>
                      <w:sz w:val="20"/>
                      <w:lang w:val="fr-CA"/>
                    </w:rPr>
                    <w:t>, S.N.S. 2007, c. 28.</w:t>
                  </w:r>
                </w:p>
              </w:tc>
            </w:tr>
            <w:tr w:rsidR="005F24CE" w:rsidRPr="005F24CE" w:rsidTr="008B2EB1">
              <w:trPr>
                <w:trHeight w:val="288"/>
              </w:trPr>
              <w:tc>
                <w:tcPr>
                  <w:tcW w:w="3861" w:type="pct"/>
                  <w:tcBorders>
                    <w:top w:val="nil"/>
                    <w:left w:val="nil"/>
                    <w:bottom w:val="nil"/>
                    <w:right w:val="nil"/>
                  </w:tcBorders>
                  <w:tcMar>
                    <w:top w:w="120" w:type="dxa"/>
                    <w:left w:w="120" w:type="dxa"/>
                    <w:bottom w:w="58" w:type="dxa"/>
                    <w:right w:w="120" w:type="dxa"/>
                  </w:tcMar>
                </w:tcPr>
                <w:p w:rsidR="005F24CE" w:rsidRPr="005F24CE" w:rsidRDefault="005F24CE" w:rsidP="004758E9">
                  <w:pPr>
                    <w:ind w:left="-120"/>
                    <w:jc w:val="both"/>
                    <w:rPr>
                      <w:rFonts w:eastAsiaTheme="minorHAnsi"/>
                      <w:sz w:val="20"/>
                    </w:rPr>
                  </w:pPr>
                  <w:r w:rsidRPr="005F24CE">
                    <w:rPr>
                      <w:rFonts w:eastAsiaTheme="minorHAnsi"/>
                      <w:sz w:val="20"/>
                      <w:lang w:val="fr-CA"/>
                    </w:rPr>
                    <w:t>Le juge saisi de la requête a certifié l’action en tant que recours collectif. La Cour d’appel a rejeté l’appel</w:t>
                  </w:r>
                  <w:r w:rsidRPr="005F24CE">
                    <w:rPr>
                      <w:rFonts w:eastAsiaTheme="minorHAnsi"/>
                      <w:sz w:val="20"/>
                    </w:rPr>
                    <w:t>.</w:t>
                  </w:r>
                </w:p>
              </w:tc>
            </w:tr>
          </w:tbl>
          <w:p w:rsidR="005F24CE" w:rsidRPr="005F24CE" w:rsidRDefault="005F24CE" w:rsidP="005F24CE">
            <w:pPr>
              <w:jc w:val="both"/>
              <w:rPr>
                <w:rFonts w:eastAsiaTheme="minorHAnsi"/>
                <w:sz w:val="20"/>
                <w:lang w:val="en-CA"/>
              </w:rPr>
            </w:pPr>
          </w:p>
        </w:tc>
      </w:tr>
      <w:tr w:rsidR="005F24CE" w:rsidRPr="00A35BC1" w:rsidTr="008B2EB1">
        <w:tc>
          <w:tcPr>
            <w:tcW w:w="2427" w:type="pct"/>
            <w:gridSpan w:val="2"/>
          </w:tcPr>
          <w:p w:rsidR="005F24CE" w:rsidRPr="005F24CE" w:rsidRDefault="005F24CE" w:rsidP="005F24CE">
            <w:pPr>
              <w:jc w:val="both"/>
              <w:rPr>
                <w:rFonts w:eastAsiaTheme="minorHAnsi"/>
                <w:sz w:val="20"/>
                <w:lang w:val="fr-CA"/>
              </w:rPr>
            </w:pPr>
            <w:r w:rsidRPr="005F24CE">
              <w:rPr>
                <w:rFonts w:eastAsiaTheme="minorHAnsi"/>
                <w:sz w:val="20"/>
                <w:lang w:val="fr-CA"/>
              </w:rPr>
              <w:t>7 mars 2014</w:t>
            </w:r>
          </w:p>
          <w:p w:rsidR="005F24CE" w:rsidRPr="005F24CE" w:rsidRDefault="005F24CE" w:rsidP="005F24CE">
            <w:pPr>
              <w:jc w:val="both"/>
              <w:rPr>
                <w:rFonts w:eastAsiaTheme="minorHAnsi"/>
                <w:sz w:val="20"/>
                <w:lang w:val="fr-CA"/>
              </w:rPr>
            </w:pPr>
            <w:r w:rsidRPr="005F24CE">
              <w:rPr>
                <w:rFonts w:eastAsiaTheme="minorHAnsi"/>
                <w:sz w:val="20"/>
                <w:lang w:val="fr-CA"/>
              </w:rPr>
              <w:t>Cour suprême de la Nouvelle-Écosse, Section de première instance</w:t>
            </w:r>
          </w:p>
          <w:p w:rsidR="005F24CE" w:rsidRPr="005F24CE" w:rsidRDefault="005F24CE" w:rsidP="005F24CE">
            <w:pPr>
              <w:jc w:val="both"/>
              <w:rPr>
                <w:rFonts w:eastAsiaTheme="minorHAnsi"/>
                <w:sz w:val="20"/>
                <w:lang w:val="en-CA"/>
              </w:rPr>
            </w:pPr>
            <w:r w:rsidRPr="005F24CE">
              <w:rPr>
                <w:rFonts w:eastAsiaTheme="minorHAnsi"/>
                <w:sz w:val="20"/>
                <w:lang w:val="en-CA"/>
              </w:rPr>
              <w:t>(Juge Wood)</w:t>
            </w:r>
          </w:p>
          <w:p w:rsidR="005F24CE" w:rsidRPr="005F24CE" w:rsidRDefault="00006AE1" w:rsidP="005F24CE">
            <w:pPr>
              <w:jc w:val="both"/>
              <w:rPr>
                <w:rFonts w:eastAsiaTheme="minorHAnsi"/>
                <w:sz w:val="20"/>
                <w:lang w:val="en-CA"/>
              </w:rPr>
            </w:pPr>
            <w:hyperlink r:id="rId42" w:history="1">
              <w:r w:rsidR="005F24CE" w:rsidRPr="005F24CE">
                <w:rPr>
                  <w:rFonts w:eastAsiaTheme="minorHAnsi"/>
                  <w:color w:val="0000FF" w:themeColor="hyperlink"/>
                  <w:sz w:val="20"/>
                  <w:u w:val="single"/>
                  <w:lang w:val="en-CA"/>
                </w:rPr>
                <w:t>2014 NSSC 89</w:t>
              </w:r>
            </w:hyperlink>
          </w:p>
          <w:p w:rsidR="005F24CE" w:rsidRPr="005F24CE" w:rsidRDefault="005F24CE" w:rsidP="005F24CE">
            <w:pPr>
              <w:jc w:val="both"/>
              <w:rPr>
                <w:rFonts w:eastAsiaTheme="minorHAnsi"/>
                <w:sz w:val="20"/>
                <w:lang w:val="en-CA"/>
              </w:rPr>
            </w:pPr>
          </w:p>
        </w:tc>
        <w:tc>
          <w:tcPr>
            <w:tcW w:w="243" w:type="pct"/>
          </w:tcPr>
          <w:p w:rsidR="005F24CE" w:rsidRPr="005F24CE" w:rsidRDefault="005F24CE" w:rsidP="005F24CE">
            <w:pPr>
              <w:jc w:val="both"/>
              <w:rPr>
                <w:rFonts w:eastAsiaTheme="minorHAnsi"/>
                <w:sz w:val="20"/>
                <w:lang w:val="en-CA"/>
              </w:rPr>
            </w:pPr>
          </w:p>
        </w:tc>
        <w:tc>
          <w:tcPr>
            <w:tcW w:w="2330" w:type="pct"/>
          </w:tcPr>
          <w:p w:rsidR="005F24CE" w:rsidRPr="005F24CE" w:rsidRDefault="005F24CE" w:rsidP="005F24CE">
            <w:pPr>
              <w:jc w:val="both"/>
              <w:rPr>
                <w:rFonts w:eastAsiaTheme="minorHAnsi"/>
                <w:sz w:val="20"/>
                <w:lang w:val="fr-CA"/>
              </w:rPr>
            </w:pPr>
            <w:r w:rsidRPr="005F24CE">
              <w:rPr>
                <w:rFonts w:eastAsiaTheme="minorHAnsi"/>
                <w:sz w:val="20"/>
                <w:lang w:val="fr-CA"/>
              </w:rPr>
              <w:t>Ordonnance certifiant l’action en tant que recours collectif.</w:t>
            </w:r>
          </w:p>
          <w:p w:rsidR="005F24CE" w:rsidRPr="005F24CE" w:rsidRDefault="005F24CE" w:rsidP="005F24CE">
            <w:pPr>
              <w:jc w:val="both"/>
              <w:rPr>
                <w:rFonts w:eastAsiaTheme="minorHAnsi"/>
                <w:sz w:val="20"/>
                <w:lang w:val="fr-CA"/>
              </w:rPr>
            </w:pPr>
          </w:p>
        </w:tc>
      </w:tr>
      <w:tr w:rsidR="005F24CE" w:rsidRPr="005F24CE" w:rsidTr="008B2EB1">
        <w:tc>
          <w:tcPr>
            <w:tcW w:w="2427" w:type="pct"/>
            <w:gridSpan w:val="2"/>
          </w:tcPr>
          <w:p w:rsidR="005F24CE" w:rsidRPr="005F24CE" w:rsidRDefault="005F24CE" w:rsidP="005F24CE">
            <w:pPr>
              <w:jc w:val="both"/>
              <w:rPr>
                <w:rFonts w:eastAsiaTheme="minorHAnsi"/>
                <w:sz w:val="20"/>
                <w:lang w:val="fr-CA"/>
              </w:rPr>
            </w:pPr>
            <w:r w:rsidRPr="005F24CE">
              <w:rPr>
                <w:rFonts w:eastAsiaTheme="minorHAnsi"/>
                <w:sz w:val="20"/>
                <w:lang w:val="fr-CA"/>
              </w:rPr>
              <w:t>7 juillet 2015</w:t>
            </w:r>
          </w:p>
          <w:p w:rsidR="005F24CE" w:rsidRPr="005F24CE" w:rsidRDefault="005F24CE" w:rsidP="005F24CE">
            <w:pPr>
              <w:jc w:val="both"/>
              <w:rPr>
                <w:rFonts w:eastAsiaTheme="minorHAnsi"/>
                <w:sz w:val="20"/>
                <w:lang w:val="fr-CA"/>
              </w:rPr>
            </w:pPr>
            <w:r w:rsidRPr="005F24CE">
              <w:rPr>
                <w:rFonts w:eastAsiaTheme="minorHAnsi"/>
                <w:sz w:val="20"/>
                <w:lang w:val="fr-CA"/>
              </w:rPr>
              <w:t>Cour d’appel de la N</w:t>
            </w:r>
            <w:bookmarkStart w:id="1" w:name="_GoBack"/>
            <w:r w:rsidRPr="005F24CE">
              <w:rPr>
                <w:rFonts w:eastAsiaTheme="minorHAnsi"/>
                <w:sz w:val="20"/>
                <w:lang w:val="fr-CA"/>
              </w:rPr>
              <w:t>o</w:t>
            </w:r>
            <w:bookmarkEnd w:id="1"/>
            <w:r w:rsidRPr="005F24CE">
              <w:rPr>
                <w:rFonts w:eastAsiaTheme="minorHAnsi"/>
                <w:sz w:val="20"/>
                <w:lang w:val="fr-CA"/>
              </w:rPr>
              <w:t>uvelle-Écosse</w:t>
            </w:r>
          </w:p>
          <w:p w:rsidR="005F24CE" w:rsidRPr="005F24CE" w:rsidRDefault="005F24CE" w:rsidP="005F24CE">
            <w:pPr>
              <w:jc w:val="both"/>
              <w:rPr>
                <w:rFonts w:eastAsiaTheme="minorHAnsi"/>
                <w:sz w:val="20"/>
                <w:lang w:val="fr-CA"/>
              </w:rPr>
            </w:pPr>
            <w:r w:rsidRPr="005F24CE">
              <w:rPr>
                <w:rFonts w:eastAsiaTheme="minorHAnsi"/>
                <w:sz w:val="20"/>
                <w:lang w:val="fr-CA"/>
              </w:rPr>
              <w:lastRenderedPageBreak/>
              <w:t xml:space="preserve">(Juges David P.S. </w:t>
            </w:r>
            <w:proofErr w:type="spellStart"/>
            <w:r w:rsidRPr="005F24CE">
              <w:rPr>
                <w:rFonts w:eastAsiaTheme="minorHAnsi"/>
                <w:sz w:val="20"/>
                <w:lang w:val="fr-CA"/>
              </w:rPr>
              <w:t>Farrar</w:t>
            </w:r>
            <w:proofErr w:type="spellEnd"/>
            <w:r w:rsidRPr="005F24CE">
              <w:rPr>
                <w:rFonts w:eastAsiaTheme="minorHAnsi"/>
                <w:sz w:val="20"/>
                <w:lang w:val="fr-CA"/>
              </w:rPr>
              <w:t xml:space="preserve">, Jamie W.S. Saunders et Peter M.S. </w:t>
            </w:r>
            <w:proofErr w:type="spellStart"/>
            <w:r w:rsidRPr="005F24CE">
              <w:rPr>
                <w:rFonts w:eastAsiaTheme="minorHAnsi"/>
                <w:sz w:val="20"/>
                <w:lang w:val="fr-CA"/>
              </w:rPr>
              <w:t>Bryson</w:t>
            </w:r>
            <w:proofErr w:type="spellEnd"/>
            <w:r w:rsidRPr="005F24CE">
              <w:rPr>
                <w:rFonts w:eastAsiaTheme="minorHAnsi"/>
                <w:sz w:val="20"/>
                <w:lang w:val="fr-CA"/>
              </w:rPr>
              <w:t>)</w:t>
            </w:r>
          </w:p>
          <w:p w:rsidR="005F24CE" w:rsidRPr="005F24CE" w:rsidRDefault="00006AE1" w:rsidP="005F24CE">
            <w:pPr>
              <w:jc w:val="both"/>
              <w:rPr>
                <w:rFonts w:eastAsiaTheme="minorHAnsi"/>
                <w:sz w:val="20"/>
                <w:lang w:val="fr-CA"/>
              </w:rPr>
            </w:pPr>
            <w:hyperlink r:id="rId43" w:history="1">
              <w:r w:rsidR="005F24CE" w:rsidRPr="005F24CE">
                <w:rPr>
                  <w:rFonts w:eastAsiaTheme="minorHAnsi"/>
                  <w:color w:val="0000FF" w:themeColor="hyperlink"/>
                  <w:sz w:val="20"/>
                  <w:u w:val="single"/>
                  <w:lang w:val="fr-CA"/>
                </w:rPr>
                <w:t>2015 NSCA 68</w:t>
              </w:r>
            </w:hyperlink>
          </w:p>
          <w:p w:rsidR="005F24CE" w:rsidRPr="005F24CE" w:rsidRDefault="005F24CE" w:rsidP="005F24CE">
            <w:pPr>
              <w:jc w:val="both"/>
              <w:rPr>
                <w:rFonts w:eastAsiaTheme="minorHAnsi"/>
                <w:sz w:val="20"/>
                <w:lang w:val="fr-CA"/>
              </w:rPr>
            </w:pPr>
            <w:r w:rsidRPr="005F24CE">
              <w:rPr>
                <w:rFonts w:eastAsiaTheme="minorHAnsi"/>
                <w:sz w:val="20"/>
                <w:lang w:val="fr-CA"/>
              </w:rPr>
              <w:t>CA429260</w:t>
            </w:r>
          </w:p>
          <w:p w:rsidR="005F24CE" w:rsidRPr="005F24CE" w:rsidRDefault="005F24CE" w:rsidP="005F24CE">
            <w:pPr>
              <w:jc w:val="both"/>
              <w:rPr>
                <w:rFonts w:eastAsiaTheme="minorHAnsi"/>
                <w:sz w:val="20"/>
                <w:lang w:val="fr-CA"/>
              </w:rPr>
            </w:pPr>
          </w:p>
        </w:tc>
        <w:tc>
          <w:tcPr>
            <w:tcW w:w="243" w:type="pct"/>
          </w:tcPr>
          <w:p w:rsidR="005F24CE" w:rsidRPr="005F24CE" w:rsidRDefault="005F24CE" w:rsidP="005F24CE">
            <w:pPr>
              <w:jc w:val="both"/>
              <w:rPr>
                <w:rFonts w:eastAsiaTheme="minorHAnsi"/>
                <w:sz w:val="20"/>
                <w:lang w:val="fr-CA"/>
              </w:rPr>
            </w:pPr>
          </w:p>
        </w:tc>
        <w:tc>
          <w:tcPr>
            <w:tcW w:w="2330" w:type="pct"/>
          </w:tcPr>
          <w:p w:rsidR="005F24CE" w:rsidRPr="005F24CE" w:rsidRDefault="005F24CE" w:rsidP="005F24CE">
            <w:pPr>
              <w:jc w:val="both"/>
              <w:rPr>
                <w:rFonts w:eastAsiaTheme="minorHAnsi"/>
                <w:sz w:val="20"/>
                <w:lang w:val="en-CA"/>
              </w:rPr>
            </w:pPr>
            <w:proofErr w:type="spellStart"/>
            <w:r w:rsidRPr="005F24CE">
              <w:rPr>
                <w:rFonts w:eastAsiaTheme="minorHAnsi"/>
                <w:sz w:val="20"/>
                <w:lang w:val="en-CA"/>
              </w:rPr>
              <w:t>Rejet</w:t>
            </w:r>
            <w:proofErr w:type="spellEnd"/>
            <w:r w:rsidRPr="005F24CE">
              <w:rPr>
                <w:rFonts w:eastAsiaTheme="minorHAnsi"/>
                <w:sz w:val="20"/>
                <w:lang w:val="en-CA"/>
              </w:rPr>
              <w:t xml:space="preserve"> de </w:t>
            </w:r>
            <w:proofErr w:type="spellStart"/>
            <w:r w:rsidRPr="005F24CE">
              <w:rPr>
                <w:rFonts w:eastAsiaTheme="minorHAnsi"/>
                <w:sz w:val="20"/>
                <w:lang w:val="en-CA"/>
              </w:rPr>
              <w:t>l’appel</w:t>
            </w:r>
            <w:proofErr w:type="spellEnd"/>
            <w:r w:rsidRPr="005F24CE">
              <w:rPr>
                <w:rFonts w:eastAsiaTheme="minorHAnsi"/>
                <w:sz w:val="20"/>
                <w:lang w:val="en-CA"/>
              </w:rPr>
              <w:t xml:space="preserve">.  </w:t>
            </w:r>
          </w:p>
          <w:p w:rsidR="005F24CE" w:rsidRPr="005F24CE" w:rsidRDefault="005F24CE" w:rsidP="005F24CE">
            <w:pPr>
              <w:jc w:val="both"/>
              <w:rPr>
                <w:rFonts w:eastAsiaTheme="minorHAnsi"/>
                <w:sz w:val="20"/>
                <w:lang w:val="en-CA"/>
              </w:rPr>
            </w:pPr>
          </w:p>
        </w:tc>
      </w:tr>
      <w:tr w:rsidR="005F24CE" w:rsidRPr="00A35BC1" w:rsidTr="008B2EB1">
        <w:tc>
          <w:tcPr>
            <w:tcW w:w="2427" w:type="pct"/>
            <w:gridSpan w:val="2"/>
          </w:tcPr>
          <w:p w:rsidR="005F24CE" w:rsidRPr="005F24CE" w:rsidRDefault="005F24CE" w:rsidP="005F24CE">
            <w:pPr>
              <w:jc w:val="both"/>
              <w:rPr>
                <w:rFonts w:eastAsiaTheme="minorHAnsi"/>
                <w:sz w:val="20"/>
                <w:lang w:val="en-CA"/>
              </w:rPr>
            </w:pPr>
            <w:r w:rsidRPr="005F24CE">
              <w:rPr>
                <w:rFonts w:eastAsiaTheme="minorHAnsi"/>
                <w:sz w:val="20"/>
                <w:lang w:val="en-CA"/>
              </w:rPr>
              <w:lastRenderedPageBreak/>
              <w:t xml:space="preserve">24 </w:t>
            </w:r>
            <w:proofErr w:type="spellStart"/>
            <w:r w:rsidRPr="005F24CE">
              <w:rPr>
                <w:rFonts w:eastAsiaTheme="minorHAnsi"/>
                <w:sz w:val="20"/>
                <w:lang w:val="en-CA"/>
              </w:rPr>
              <w:t>septembre</w:t>
            </w:r>
            <w:proofErr w:type="spellEnd"/>
            <w:r w:rsidRPr="005F24CE">
              <w:rPr>
                <w:rFonts w:eastAsiaTheme="minorHAnsi"/>
                <w:sz w:val="20"/>
                <w:lang w:val="en-CA"/>
              </w:rPr>
              <w:t xml:space="preserve"> 2015</w:t>
            </w:r>
          </w:p>
          <w:p w:rsidR="005F24CE" w:rsidRPr="005F24CE" w:rsidRDefault="005F24CE" w:rsidP="005F24CE">
            <w:pPr>
              <w:jc w:val="both"/>
              <w:rPr>
                <w:rFonts w:eastAsiaTheme="minorHAnsi"/>
                <w:sz w:val="20"/>
                <w:lang w:val="en-CA"/>
              </w:rPr>
            </w:pPr>
            <w:proofErr w:type="spellStart"/>
            <w:r w:rsidRPr="005F24CE">
              <w:rPr>
                <w:rFonts w:eastAsiaTheme="minorHAnsi"/>
                <w:sz w:val="20"/>
                <w:lang w:val="en-CA"/>
              </w:rPr>
              <w:t>Cour</w:t>
            </w:r>
            <w:proofErr w:type="spellEnd"/>
            <w:r w:rsidRPr="005F24CE">
              <w:rPr>
                <w:rFonts w:eastAsiaTheme="minorHAnsi"/>
                <w:sz w:val="20"/>
                <w:lang w:val="en-CA"/>
              </w:rPr>
              <w:t xml:space="preserve"> </w:t>
            </w:r>
            <w:proofErr w:type="spellStart"/>
            <w:r w:rsidRPr="005F24CE">
              <w:rPr>
                <w:rFonts w:eastAsiaTheme="minorHAnsi"/>
                <w:sz w:val="20"/>
                <w:lang w:val="en-CA"/>
              </w:rPr>
              <w:t>suprême</w:t>
            </w:r>
            <w:proofErr w:type="spellEnd"/>
            <w:r w:rsidRPr="005F24CE">
              <w:rPr>
                <w:rFonts w:eastAsiaTheme="minorHAnsi"/>
                <w:sz w:val="20"/>
                <w:lang w:val="en-CA"/>
              </w:rPr>
              <w:t xml:space="preserve"> du Canada</w:t>
            </w:r>
          </w:p>
          <w:p w:rsidR="005F24CE" w:rsidRPr="005F24CE" w:rsidRDefault="005F24CE" w:rsidP="005F24CE">
            <w:pPr>
              <w:jc w:val="both"/>
              <w:rPr>
                <w:rFonts w:eastAsiaTheme="minorHAnsi"/>
                <w:sz w:val="20"/>
                <w:lang w:val="en-CA"/>
              </w:rPr>
            </w:pPr>
          </w:p>
        </w:tc>
        <w:tc>
          <w:tcPr>
            <w:tcW w:w="243" w:type="pct"/>
          </w:tcPr>
          <w:p w:rsidR="005F24CE" w:rsidRPr="005F24CE" w:rsidRDefault="005F24CE" w:rsidP="005F24CE">
            <w:pPr>
              <w:jc w:val="both"/>
              <w:rPr>
                <w:rFonts w:eastAsiaTheme="minorHAnsi"/>
                <w:sz w:val="20"/>
                <w:lang w:val="en-CA"/>
              </w:rPr>
            </w:pPr>
          </w:p>
        </w:tc>
        <w:tc>
          <w:tcPr>
            <w:tcW w:w="2330" w:type="pct"/>
          </w:tcPr>
          <w:p w:rsidR="005F24CE" w:rsidRPr="005F24CE" w:rsidRDefault="005F24CE" w:rsidP="005F24CE">
            <w:pPr>
              <w:jc w:val="both"/>
              <w:rPr>
                <w:rFonts w:eastAsiaTheme="minorHAnsi"/>
                <w:sz w:val="20"/>
                <w:lang w:val="fr-CA"/>
              </w:rPr>
            </w:pPr>
            <w:r w:rsidRPr="005F24CE">
              <w:rPr>
                <w:rFonts w:eastAsiaTheme="minorHAnsi"/>
                <w:sz w:val="20"/>
                <w:lang w:val="fr-CA"/>
              </w:rPr>
              <w:t>Dépôt de la demande d’autorisation d’appel.</w:t>
            </w:r>
          </w:p>
        </w:tc>
      </w:tr>
    </w:tbl>
    <w:p w:rsidR="005F24CE" w:rsidRPr="005F24CE" w:rsidRDefault="005F24CE" w:rsidP="005F24CE">
      <w:pPr>
        <w:jc w:val="both"/>
        <w:rPr>
          <w:rFonts w:eastAsiaTheme="minorHAnsi" w:cstheme="minorBidi"/>
          <w:szCs w:val="22"/>
          <w:lang w:val="fr-CA"/>
        </w:rPr>
      </w:pPr>
    </w:p>
    <w:p w:rsidR="00E47B45" w:rsidRDefault="00E47B45" w:rsidP="00124EFD">
      <w:pPr>
        <w:jc w:val="both"/>
        <w:rPr>
          <w:i/>
          <w:sz w:val="20"/>
          <w:lang w:val="fr-CA" w:eastAsia="en-CA"/>
        </w:rPr>
      </w:pPr>
    </w:p>
    <w:p w:rsidR="004758E9" w:rsidRPr="005F24CE" w:rsidRDefault="004758E9" w:rsidP="00124EFD">
      <w:pPr>
        <w:jc w:val="both"/>
        <w:rPr>
          <w:i/>
          <w:sz w:val="20"/>
          <w:lang w:val="fr-CA" w:eastAsia="en-CA"/>
        </w:rPr>
      </w:pPr>
    </w:p>
    <w:p w:rsidR="00C95234" w:rsidRPr="005F24CE" w:rsidRDefault="00C95234" w:rsidP="00D3344A">
      <w:pPr>
        <w:widowControl w:val="0"/>
        <w:outlineLvl w:val="0"/>
        <w:rPr>
          <w:lang w:val="fr-CA"/>
        </w:rPr>
      </w:pPr>
    </w:p>
    <w:p w:rsidR="00D3344A" w:rsidRPr="004B4D42" w:rsidRDefault="00D3344A" w:rsidP="00D3344A">
      <w:pPr>
        <w:widowControl w:val="0"/>
        <w:outlineLvl w:val="0"/>
      </w:pPr>
      <w:r w:rsidRPr="00E7483A">
        <w:t>Supreme</w:t>
      </w:r>
      <w:r w:rsidRPr="004B4D42">
        <w:t xml:space="preserve"> Court of Canada / </w:t>
      </w:r>
      <w:proofErr w:type="spellStart"/>
      <w:r w:rsidRPr="004B4D42">
        <w:t>Cour</w:t>
      </w:r>
      <w:proofErr w:type="spellEnd"/>
      <w:r w:rsidRPr="004B4D42">
        <w:t xml:space="preserve"> </w:t>
      </w:r>
      <w:proofErr w:type="spellStart"/>
      <w:r w:rsidRPr="004B4D42">
        <w:t>suprême</w:t>
      </w:r>
      <w:proofErr w:type="spellEnd"/>
      <w:r w:rsidRPr="004B4D42">
        <w:t xml:space="preserve"> du </w:t>
      </w:r>
      <w:proofErr w:type="gramStart"/>
      <w:r w:rsidRPr="004B4D42">
        <w:t>Canada :</w:t>
      </w:r>
      <w:proofErr w:type="gramEnd"/>
      <w:r w:rsidRPr="004B4D42">
        <w:t xml:space="preserve"> </w:t>
      </w:r>
    </w:p>
    <w:p w:rsidR="00D3344A" w:rsidRPr="004B4D42" w:rsidRDefault="00006AE1" w:rsidP="00D3344A">
      <w:pPr>
        <w:widowControl w:val="0"/>
        <w:outlineLvl w:val="0"/>
        <w:rPr>
          <w:u w:val="single"/>
        </w:rPr>
      </w:pPr>
      <w:hyperlink r:id="rId44" w:history="1">
        <w:r w:rsidR="00D3344A" w:rsidRPr="004B4D42">
          <w:rPr>
            <w:rStyle w:val="Hyperlink"/>
          </w:rPr>
          <w:t>comments-commentaires@scc-csc.ca</w:t>
        </w:r>
      </w:hyperlink>
    </w:p>
    <w:p w:rsidR="00F6251B" w:rsidRPr="00BC3EA9" w:rsidRDefault="0065588C" w:rsidP="00BC3EA9">
      <w:pPr>
        <w:widowControl w:val="0"/>
        <w:outlineLvl w:val="0"/>
      </w:pPr>
      <w:r w:rsidRPr="004B4D42">
        <w:t>613-</w:t>
      </w:r>
      <w:r w:rsidR="00D3344A" w:rsidRPr="004B4D42">
        <w:t>995-4330</w:t>
      </w:r>
    </w:p>
    <w:sectPr w:rsidR="00F6251B" w:rsidRPr="00BC3EA9" w:rsidSect="00524822">
      <w:headerReference w:type="even" r:id="rId45"/>
      <w:headerReference w:type="default" r:id="rId46"/>
      <w:footerReference w:type="even" r:id="rId47"/>
      <w:footerReference w:type="default" r:id="rId48"/>
      <w:headerReference w:type="first" r:id="rId49"/>
      <w:footerReference w:type="first" r:id="rId50"/>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EB1" w:rsidRDefault="008B2EB1" w:rsidP="0034178A">
      <w:r>
        <w:separator/>
      </w:r>
    </w:p>
  </w:endnote>
  <w:endnote w:type="continuationSeparator" w:id="0">
    <w:p w:rsidR="008B2EB1" w:rsidRDefault="008B2EB1"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EB1" w:rsidRDefault="008B2E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EB1" w:rsidRPr="00EF33BF" w:rsidRDefault="008B2EB1" w:rsidP="00EF33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EB1" w:rsidRDefault="008B2E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EB1" w:rsidRDefault="008B2EB1" w:rsidP="0034178A">
      <w:r>
        <w:separator/>
      </w:r>
    </w:p>
  </w:footnote>
  <w:footnote w:type="continuationSeparator" w:id="0">
    <w:p w:rsidR="008B2EB1" w:rsidRDefault="008B2EB1"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EB1" w:rsidRDefault="008B2E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EB1" w:rsidRDefault="008B2E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EB1" w:rsidRDefault="008B2E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11153"/>
    <w:multiLevelType w:val="hybridMultilevel"/>
    <w:tmpl w:val="49EA03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3D1251"/>
    <w:multiLevelType w:val="hybridMultilevel"/>
    <w:tmpl w:val="E946D5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9DC7B6B"/>
    <w:multiLevelType w:val="hybridMultilevel"/>
    <w:tmpl w:val="2F647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F7159"/>
    <w:multiLevelType w:val="hybridMultilevel"/>
    <w:tmpl w:val="E4F08F2E"/>
    <w:lvl w:ilvl="0" w:tplc="529EF38A">
      <w:start w:val="1"/>
      <w:numFmt w:val="decimal"/>
      <w:lvlText w:val="%1."/>
      <w:lvlJc w:val="left"/>
      <w:pPr>
        <w:ind w:left="720" w:hanging="360"/>
      </w:pPr>
      <w:rPr>
        <w:i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0F642EA3"/>
    <w:multiLevelType w:val="hybridMultilevel"/>
    <w:tmpl w:val="8DBA8A7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11FF0A29"/>
    <w:multiLevelType w:val="hybridMultilevel"/>
    <w:tmpl w:val="688C2EE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6AB4D74"/>
    <w:multiLevelType w:val="hybridMultilevel"/>
    <w:tmpl w:val="59EAD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A1329C"/>
    <w:multiLevelType w:val="hybridMultilevel"/>
    <w:tmpl w:val="8F6ED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D24C9D"/>
    <w:multiLevelType w:val="hybridMultilevel"/>
    <w:tmpl w:val="1B945A04"/>
    <w:lvl w:ilvl="0" w:tplc="CAC80DA6">
      <w:start w:val="5"/>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0370564"/>
    <w:multiLevelType w:val="hybridMultilevel"/>
    <w:tmpl w:val="1B84F0A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0" w15:restartNumberingAfterBreak="0">
    <w:nsid w:val="22624972"/>
    <w:multiLevelType w:val="hybridMultilevel"/>
    <w:tmpl w:val="24C4CEC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1" w15:restartNumberingAfterBreak="0">
    <w:nsid w:val="234841DA"/>
    <w:multiLevelType w:val="hybridMultilevel"/>
    <w:tmpl w:val="02A824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5E3244"/>
    <w:multiLevelType w:val="hybridMultilevel"/>
    <w:tmpl w:val="0A9689B0"/>
    <w:lvl w:ilvl="0" w:tplc="C79C3DF2">
      <w:start w:val="1"/>
      <w:numFmt w:val="decimal"/>
      <w:lvlText w:val="%1."/>
      <w:lvlJc w:val="left"/>
      <w:pPr>
        <w:ind w:left="720" w:hanging="360"/>
      </w:pPr>
      <w:rPr>
        <w:i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3" w15:restartNumberingAfterBreak="0">
    <w:nsid w:val="2C416E41"/>
    <w:multiLevelType w:val="hybridMultilevel"/>
    <w:tmpl w:val="C81C71C8"/>
    <w:lvl w:ilvl="0" w:tplc="6F0A33D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E84F6E"/>
    <w:multiLevelType w:val="hybridMultilevel"/>
    <w:tmpl w:val="01EC0B2C"/>
    <w:lvl w:ilvl="0" w:tplc="D2DE26C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0E4B0B"/>
    <w:multiLevelType w:val="hybridMultilevel"/>
    <w:tmpl w:val="CF36FE66"/>
    <w:lvl w:ilvl="0" w:tplc="21841D76">
      <w:start w:val="3"/>
      <w:numFmt w:val="decimal"/>
      <w:lvlText w:val="%1."/>
      <w:lvlJc w:val="left"/>
      <w:pPr>
        <w:ind w:left="720" w:hanging="360"/>
      </w:pPr>
      <w:rPr>
        <w:b w:val="0"/>
        <w:i w:val="0"/>
        <w:color w:val="auto"/>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6" w15:restartNumberingAfterBreak="0">
    <w:nsid w:val="318B7055"/>
    <w:multiLevelType w:val="hybridMultilevel"/>
    <w:tmpl w:val="7BFAB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8376DD"/>
    <w:multiLevelType w:val="hybridMultilevel"/>
    <w:tmpl w:val="0C7A1D2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39DF6904"/>
    <w:multiLevelType w:val="hybridMultilevel"/>
    <w:tmpl w:val="02086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C85F55"/>
    <w:multiLevelType w:val="hybridMultilevel"/>
    <w:tmpl w:val="D0027D34"/>
    <w:lvl w:ilvl="0" w:tplc="60922BE8">
      <w:start w:val="3"/>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E5F0E31"/>
    <w:multiLevelType w:val="hybridMultilevel"/>
    <w:tmpl w:val="8DBA8A7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1" w15:restartNumberingAfterBreak="0">
    <w:nsid w:val="3F5B3A30"/>
    <w:multiLevelType w:val="hybridMultilevel"/>
    <w:tmpl w:val="03ECE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B95DCA"/>
    <w:multiLevelType w:val="hybridMultilevel"/>
    <w:tmpl w:val="ACA85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F300FA"/>
    <w:multiLevelType w:val="hybridMultilevel"/>
    <w:tmpl w:val="F82A16FC"/>
    <w:lvl w:ilvl="0" w:tplc="00143EA0">
      <w:start w:val="1"/>
      <w:numFmt w:val="decimal"/>
      <w:lvlText w:val="%1."/>
      <w:lvlJc w:val="left"/>
      <w:pPr>
        <w:ind w:left="720" w:hanging="360"/>
      </w:pPr>
      <w:rPr>
        <w:i/>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4" w15:restartNumberingAfterBreak="0">
    <w:nsid w:val="48243DD3"/>
    <w:multiLevelType w:val="hybridMultilevel"/>
    <w:tmpl w:val="A1943EA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5" w15:restartNumberingAfterBreak="0">
    <w:nsid w:val="4B966E9D"/>
    <w:multiLevelType w:val="hybridMultilevel"/>
    <w:tmpl w:val="912EF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2A7BF1"/>
    <w:multiLevelType w:val="hybridMultilevel"/>
    <w:tmpl w:val="372CE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721385"/>
    <w:multiLevelType w:val="hybridMultilevel"/>
    <w:tmpl w:val="EDFEF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E617AA"/>
    <w:multiLevelType w:val="hybridMultilevel"/>
    <w:tmpl w:val="0C4CF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9D7C80"/>
    <w:multiLevelType w:val="hybridMultilevel"/>
    <w:tmpl w:val="3788BD2E"/>
    <w:lvl w:ilvl="0" w:tplc="529EF38A">
      <w:start w:val="1"/>
      <w:numFmt w:val="decimal"/>
      <w:lvlText w:val="%1."/>
      <w:lvlJc w:val="left"/>
      <w:pPr>
        <w:ind w:left="5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9A6025"/>
    <w:multiLevelType w:val="hybridMultilevel"/>
    <w:tmpl w:val="6FB6F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240684"/>
    <w:multiLevelType w:val="hybridMultilevel"/>
    <w:tmpl w:val="36B05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D63299"/>
    <w:multiLevelType w:val="hybridMultilevel"/>
    <w:tmpl w:val="8E9455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3F90E7E"/>
    <w:multiLevelType w:val="hybridMultilevel"/>
    <w:tmpl w:val="09B24AFC"/>
    <w:lvl w:ilvl="0" w:tplc="1009000F">
      <w:start w:val="1"/>
      <w:numFmt w:val="decimal"/>
      <w:lvlText w:val="%1."/>
      <w:lvlJc w:val="left"/>
      <w:pPr>
        <w:ind w:left="720" w:hanging="360"/>
      </w:pPr>
      <w:rPr>
        <w:rFonts w:eastAsia="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6BA3741"/>
    <w:multiLevelType w:val="hybridMultilevel"/>
    <w:tmpl w:val="CFB61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58161A"/>
    <w:multiLevelType w:val="hybridMultilevel"/>
    <w:tmpl w:val="C5968F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98D24D5"/>
    <w:multiLevelType w:val="hybridMultilevel"/>
    <w:tmpl w:val="44A6E290"/>
    <w:lvl w:ilvl="0" w:tplc="549AE956">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A797C07"/>
    <w:multiLevelType w:val="hybridMultilevel"/>
    <w:tmpl w:val="574A03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8" w15:restartNumberingAfterBreak="0">
    <w:nsid w:val="6BD92951"/>
    <w:multiLevelType w:val="hybridMultilevel"/>
    <w:tmpl w:val="ECA63B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E017142"/>
    <w:multiLevelType w:val="hybridMultilevel"/>
    <w:tmpl w:val="7E2CF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B61BF0"/>
    <w:multiLevelType w:val="hybridMultilevel"/>
    <w:tmpl w:val="2004AFDE"/>
    <w:lvl w:ilvl="0" w:tplc="A81E30C4">
      <w:start w:val="1"/>
      <w:numFmt w:val="decimal"/>
      <w:lvlText w:val="%1."/>
      <w:lvlJc w:val="left"/>
      <w:pPr>
        <w:ind w:left="720" w:hanging="360"/>
      </w:pPr>
      <w:rPr>
        <w:i/>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1" w15:restartNumberingAfterBreak="0">
    <w:nsid w:val="757972ED"/>
    <w:multiLevelType w:val="hybridMultilevel"/>
    <w:tmpl w:val="7EC6F3E6"/>
    <w:lvl w:ilvl="0" w:tplc="529EF38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B12864"/>
    <w:multiLevelType w:val="hybridMultilevel"/>
    <w:tmpl w:val="8DBA8A7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3" w15:restartNumberingAfterBreak="0">
    <w:nsid w:val="7B6F3781"/>
    <w:multiLevelType w:val="hybridMultilevel"/>
    <w:tmpl w:val="4170F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8677C8"/>
    <w:multiLevelType w:val="hybridMultilevel"/>
    <w:tmpl w:val="FE00F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3202BB"/>
    <w:multiLevelType w:val="hybridMultilevel"/>
    <w:tmpl w:val="739235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22"/>
  </w:num>
  <w:num w:numId="2">
    <w:abstractNumId w:val="7"/>
  </w:num>
  <w:num w:numId="3">
    <w:abstractNumId w:val="0"/>
  </w:num>
  <w:num w:numId="4">
    <w:abstractNumId w:val="36"/>
  </w:num>
  <w:num w:numId="5">
    <w:abstractNumId w:val="1"/>
  </w:num>
  <w:num w:numId="6">
    <w:abstractNumId w:val="5"/>
  </w:num>
  <w:num w:numId="7">
    <w:abstractNumId w:val="6"/>
  </w:num>
  <w:num w:numId="8">
    <w:abstractNumId w:val="43"/>
  </w:num>
  <w:num w:numId="9">
    <w:abstractNumId w:val="39"/>
  </w:num>
  <w:num w:numId="10">
    <w:abstractNumId w:val="21"/>
  </w:num>
  <w:num w:numId="11">
    <w:abstractNumId w:val="32"/>
  </w:num>
  <w:num w:numId="12">
    <w:abstractNumId w:val="19"/>
  </w:num>
  <w:num w:numId="13">
    <w:abstractNumId w:val="8"/>
  </w:num>
  <w:num w:numId="14">
    <w:abstractNumId w:val="14"/>
  </w:num>
  <w:num w:numId="1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5"/>
  </w:num>
  <w:num w:numId="2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35"/>
  </w:num>
  <w:num w:numId="27">
    <w:abstractNumId w:val="30"/>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31"/>
  </w:num>
  <w:num w:numId="39">
    <w:abstractNumId w:val="38"/>
  </w:num>
  <w:num w:numId="40">
    <w:abstractNumId w:val="33"/>
  </w:num>
  <w:num w:numId="41">
    <w:abstractNumId w:val="2"/>
  </w:num>
  <w:num w:numId="42">
    <w:abstractNumId w:val="28"/>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num>
  <w:num w:numId="46">
    <w:abstractNumId w:val="41"/>
  </w:num>
  <w:num w:numId="47">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48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46"/>
    <w:rsid w:val="000018E3"/>
    <w:rsid w:val="00003A2D"/>
    <w:rsid w:val="000043C3"/>
    <w:rsid w:val="000128A2"/>
    <w:rsid w:val="000136CC"/>
    <w:rsid w:val="0001374A"/>
    <w:rsid w:val="00014C19"/>
    <w:rsid w:val="000164DB"/>
    <w:rsid w:val="00016D65"/>
    <w:rsid w:val="00016D95"/>
    <w:rsid w:val="0001736B"/>
    <w:rsid w:val="00020797"/>
    <w:rsid w:val="00020816"/>
    <w:rsid w:val="00020DAE"/>
    <w:rsid w:val="0002267C"/>
    <w:rsid w:val="00024962"/>
    <w:rsid w:val="000276EE"/>
    <w:rsid w:val="00033257"/>
    <w:rsid w:val="00033D1E"/>
    <w:rsid w:val="00033D28"/>
    <w:rsid w:val="0003496D"/>
    <w:rsid w:val="00034A7F"/>
    <w:rsid w:val="00035790"/>
    <w:rsid w:val="00041B58"/>
    <w:rsid w:val="00042069"/>
    <w:rsid w:val="00042390"/>
    <w:rsid w:val="0004298B"/>
    <w:rsid w:val="00043FDE"/>
    <w:rsid w:val="000467DE"/>
    <w:rsid w:val="00046CB2"/>
    <w:rsid w:val="00047CD6"/>
    <w:rsid w:val="00051DE6"/>
    <w:rsid w:val="00054F8E"/>
    <w:rsid w:val="000577D9"/>
    <w:rsid w:val="00061283"/>
    <w:rsid w:val="000627A2"/>
    <w:rsid w:val="0006417A"/>
    <w:rsid w:val="00065F8F"/>
    <w:rsid w:val="00066B80"/>
    <w:rsid w:val="00067F50"/>
    <w:rsid w:val="00070830"/>
    <w:rsid w:val="00077E16"/>
    <w:rsid w:val="000809B3"/>
    <w:rsid w:val="00080EAB"/>
    <w:rsid w:val="00082444"/>
    <w:rsid w:val="000825A5"/>
    <w:rsid w:val="00082D8D"/>
    <w:rsid w:val="0008327A"/>
    <w:rsid w:val="000843DB"/>
    <w:rsid w:val="00085D13"/>
    <w:rsid w:val="00086629"/>
    <w:rsid w:val="00087808"/>
    <w:rsid w:val="00093693"/>
    <w:rsid w:val="00095627"/>
    <w:rsid w:val="000A0444"/>
    <w:rsid w:val="000A152E"/>
    <w:rsid w:val="000A245A"/>
    <w:rsid w:val="000A4311"/>
    <w:rsid w:val="000A50F9"/>
    <w:rsid w:val="000A6C60"/>
    <w:rsid w:val="000A78FC"/>
    <w:rsid w:val="000A7C00"/>
    <w:rsid w:val="000B07FB"/>
    <w:rsid w:val="000B10DF"/>
    <w:rsid w:val="000B163F"/>
    <w:rsid w:val="000B46A2"/>
    <w:rsid w:val="000B6193"/>
    <w:rsid w:val="000B7258"/>
    <w:rsid w:val="000B754A"/>
    <w:rsid w:val="000B76DB"/>
    <w:rsid w:val="000B7CBE"/>
    <w:rsid w:val="000B7EF2"/>
    <w:rsid w:val="000C02C5"/>
    <w:rsid w:val="000C0E20"/>
    <w:rsid w:val="000C182C"/>
    <w:rsid w:val="000C18B8"/>
    <w:rsid w:val="000C236F"/>
    <w:rsid w:val="000C3667"/>
    <w:rsid w:val="000C41A6"/>
    <w:rsid w:val="000C41C9"/>
    <w:rsid w:val="000C4781"/>
    <w:rsid w:val="000C572E"/>
    <w:rsid w:val="000C61C7"/>
    <w:rsid w:val="000C6AA2"/>
    <w:rsid w:val="000C7BD5"/>
    <w:rsid w:val="000D1DDF"/>
    <w:rsid w:val="000D262B"/>
    <w:rsid w:val="000D2F5C"/>
    <w:rsid w:val="000D3129"/>
    <w:rsid w:val="000D4BBF"/>
    <w:rsid w:val="000D6FB8"/>
    <w:rsid w:val="000E1FB7"/>
    <w:rsid w:val="000E3195"/>
    <w:rsid w:val="000E35CD"/>
    <w:rsid w:val="000E4F1E"/>
    <w:rsid w:val="000E50F2"/>
    <w:rsid w:val="000E514D"/>
    <w:rsid w:val="000E51E9"/>
    <w:rsid w:val="000E5407"/>
    <w:rsid w:val="000F0595"/>
    <w:rsid w:val="000F233F"/>
    <w:rsid w:val="000F3118"/>
    <w:rsid w:val="000F3522"/>
    <w:rsid w:val="000F4C35"/>
    <w:rsid w:val="000F525E"/>
    <w:rsid w:val="000F5511"/>
    <w:rsid w:val="000F6CBD"/>
    <w:rsid w:val="00100C1C"/>
    <w:rsid w:val="00100CEE"/>
    <w:rsid w:val="001017D1"/>
    <w:rsid w:val="00101E4B"/>
    <w:rsid w:val="00102F8F"/>
    <w:rsid w:val="001033B2"/>
    <w:rsid w:val="001043C6"/>
    <w:rsid w:val="00105612"/>
    <w:rsid w:val="001068F5"/>
    <w:rsid w:val="00107219"/>
    <w:rsid w:val="00107DAF"/>
    <w:rsid w:val="00110FE1"/>
    <w:rsid w:val="001147A4"/>
    <w:rsid w:val="001170C6"/>
    <w:rsid w:val="00117137"/>
    <w:rsid w:val="00117AF3"/>
    <w:rsid w:val="001200D6"/>
    <w:rsid w:val="00120360"/>
    <w:rsid w:val="00120CA0"/>
    <w:rsid w:val="0012101A"/>
    <w:rsid w:val="0012202C"/>
    <w:rsid w:val="00122CE1"/>
    <w:rsid w:val="00123976"/>
    <w:rsid w:val="00124DEC"/>
    <w:rsid w:val="00124EFD"/>
    <w:rsid w:val="001262EF"/>
    <w:rsid w:val="0013159F"/>
    <w:rsid w:val="00131EB1"/>
    <w:rsid w:val="00132635"/>
    <w:rsid w:val="00134190"/>
    <w:rsid w:val="001354E7"/>
    <w:rsid w:val="00136710"/>
    <w:rsid w:val="00140982"/>
    <w:rsid w:val="00141200"/>
    <w:rsid w:val="0014243F"/>
    <w:rsid w:val="0014294E"/>
    <w:rsid w:val="00142C72"/>
    <w:rsid w:val="001432DF"/>
    <w:rsid w:val="00143519"/>
    <w:rsid w:val="00144111"/>
    <w:rsid w:val="00144A29"/>
    <w:rsid w:val="00147BE4"/>
    <w:rsid w:val="00147DE3"/>
    <w:rsid w:val="00150453"/>
    <w:rsid w:val="00150D1B"/>
    <w:rsid w:val="00151336"/>
    <w:rsid w:val="00152366"/>
    <w:rsid w:val="00152EC0"/>
    <w:rsid w:val="00153B85"/>
    <w:rsid w:val="00155FD8"/>
    <w:rsid w:val="0015605D"/>
    <w:rsid w:val="001560EC"/>
    <w:rsid w:val="00157B04"/>
    <w:rsid w:val="00160866"/>
    <w:rsid w:val="00161F83"/>
    <w:rsid w:val="00167721"/>
    <w:rsid w:val="0017098A"/>
    <w:rsid w:val="001716F7"/>
    <w:rsid w:val="001739C2"/>
    <w:rsid w:val="00173B3A"/>
    <w:rsid w:val="00174655"/>
    <w:rsid w:val="00176790"/>
    <w:rsid w:val="00176D8B"/>
    <w:rsid w:val="00181375"/>
    <w:rsid w:val="001813C3"/>
    <w:rsid w:val="001819DA"/>
    <w:rsid w:val="00182705"/>
    <w:rsid w:val="001838E0"/>
    <w:rsid w:val="00183A15"/>
    <w:rsid w:val="00185355"/>
    <w:rsid w:val="001866BF"/>
    <w:rsid w:val="00186884"/>
    <w:rsid w:val="0019000C"/>
    <w:rsid w:val="0019030D"/>
    <w:rsid w:val="0019092C"/>
    <w:rsid w:val="00190C7A"/>
    <w:rsid w:val="00190F7F"/>
    <w:rsid w:val="001947C1"/>
    <w:rsid w:val="001948EC"/>
    <w:rsid w:val="00194F2A"/>
    <w:rsid w:val="0019508F"/>
    <w:rsid w:val="001A06DE"/>
    <w:rsid w:val="001A08FF"/>
    <w:rsid w:val="001A1AE7"/>
    <w:rsid w:val="001A2314"/>
    <w:rsid w:val="001A3100"/>
    <w:rsid w:val="001A3A22"/>
    <w:rsid w:val="001A3AA1"/>
    <w:rsid w:val="001A4547"/>
    <w:rsid w:val="001A48FB"/>
    <w:rsid w:val="001A4C89"/>
    <w:rsid w:val="001A562F"/>
    <w:rsid w:val="001A646C"/>
    <w:rsid w:val="001B2704"/>
    <w:rsid w:val="001B3657"/>
    <w:rsid w:val="001B3EDD"/>
    <w:rsid w:val="001B4478"/>
    <w:rsid w:val="001B4569"/>
    <w:rsid w:val="001B4B99"/>
    <w:rsid w:val="001B68D3"/>
    <w:rsid w:val="001C0C39"/>
    <w:rsid w:val="001C0E0C"/>
    <w:rsid w:val="001C2F21"/>
    <w:rsid w:val="001C321B"/>
    <w:rsid w:val="001C3C19"/>
    <w:rsid w:val="001C3ED4"/>
    <w:rsid w:val="001C5E6C"/>
    <w:rsid w:val="001D0423"/>
    <w:rsid w:val="001D1020"/>
    <w:rsid w:val="001D1E16"/>
    <w:rsid w:val="001D235D"/>
    <w:rsid w:val="001D2555"/>
    <w:rsid w:val="001D337C"/>
    <w:rsid w:val="001D380D"/>
    <w:rsid w:val="001D65C6"/>
    <w:rsid w:val="001E3BCD"/>
    <w:rsid w:val="001F27B1"/>
    <w:rsid w:val="001F2F00"/>
    <w:rsid w:val="001F5B11"/>
    <w:rsid w:val="00200F31"/>
    <w:rsid w:val="0020221F"/>
    <w:rsid w:val="00203AEA"/>
    <w:rsid w:val="00205051"/>
    <w:rsid w:val="0020794A"/>
    <w:rsid w:val="00207A23"/>
    <w:rsid w:val="00207C7F"/>
    <w:rsid w:val="00210B48"/>
    <w:rsid w:val="0021175A"/>
    <w:rsid w:val="002120BD"/>
    <w:rsid w:val="00212962"/>
    <w:rsid w:val="00217135"/>
    <w:rsid w:val="0022132D"/>
    <w:rsid w:val="00221D16"/>
    <w:rsid w:val="00222CAE"/>
    <w:rsid w:val="00223622"/>
    <w:rsid w:val="00223B83"/>
    <w:rsid w:val="00225A53"/>
    <w:rsid w:val="002262C4"/>
    <w:rsid w:val="002264F4"/>
    <w:rsid w:val="00227A81"/>
    <w:rsid w:val="00231427"/>
    <w:rsid w:val="00231B27"/>
    <w:rsid w:val="00232934"/>
    <w:rsid w:val="00233057"/>
    <w:rsid w:val="00234A3D"/>
    <w:rsid w:val="00235ACB"/>
    <w:rsid w:val="00236277"/>
    <w:rsid w:val="00236EEA"/>
    <w:rsid w:val="002407C6"/>
    <w:rsid w:val="00241714"/>
    <w:rsid w:val="00243D06"/>
    <w:rsid w:val="00244CDD"/>
    <w:rsid w:val="00245302"/>
    <w:rsid w:val="00245D73"/>
    <w:rsid w:val="002472FE"/>
    <w:rsid w:val="00250F72"/>
    <w:rsid w:val="002514CA"/>
    <w:rsid w:val="00252FDB"/>
    <w:rsid w:val="002567CD"/>
    <w:rsid w:val="00257322"/>
    <w:rsid w:val="002613AC"/>
    <w:rsid w:val="00261D3C"/>
    <w:rsid w:val="00262C42"/>
    <w:rsid w:val="0026349D"/>
    <w:rsid w:val="00266E0E"/>
    <w:rsid w:val="00266FD4"/>
    <w:rsid w:val="002671CC"/>
    <w:rsid w:val="002676FA"/>
    <w:rsid w:val="0027099E"/>
    <w:rsid w:val="002709E7"/>
    <w:rsid w:val="0027369C"/>
    <w:rsid w:val="00274B8F"/>
    <w:rsid w:val="00276C42"/>
    <w:rsid w:val="002775A0"/>
    <w:rsid w:val="00280E55"/>
    <w:rsid w:val="00282FEC"/>
    <w:rsid w:val="00282FF3"/>
    <w:rsid w:val="0028364E"/>
    <w:rsid w:val="002848CB"/>
    <w:rsid w:val="002858BA"/>
    <w:rsid w:val="0028661B"/>
    <w:rsid w:val="0028686B"/>
    <w:rsid w:val="0029235D"/>
    <w:rsid w:val="00292574"/>
    <w:rsid w:val="0029396A"/>
    <w:rsid w:val="002A0621"/>
    <w:rsid w:val="002A17E0"/>
    <w:rsid w:val="002A4823"/>
    <w:rsid w:val="002A5245"/>
    <w:rsid w:val="002A55D1"/>
    <w:rsid w:val="002A5C41"/>
    <w:rsid w:val="002A5CF5"/>
    <w:rsid w:val="002A6EA4"/>
    <w:rsid w:val="002A7E9D"/>
    <w:rsid w:val="002B15AC"/>
    <w:rsid w:val="002B36C3"/>
    <w:rsid w:val="002B5525"/>
    <w:rsid w:val="002B5A2E"/>
    <w:rsid w:val="002B5A4B"/>
    <w:rsid w:val="002C10D1"/>
    <w:rsid w:val="002C239C"/>
    <w:rsid w:val="002C3A5F"/>
    <w:rsid w:val="002C5754"/>
    <w:rsid w:val="002D0C49"/>
    <w:rsid w:val="002D2553"/>
    <w:rsid w:val="002D43A1"/>
    <w:rsid w:val="002D63D6"/>
    <w:rsid w:val="002D6680"/>
    <w:rsid w:val="002E00CC"/>
    <w:rsid w:val="002E0473"/>
    <w:rsid w:val="002E1AF1"/>
    <w:rsid w:val="002E3911"/>
    <w:rsid w:val="002F06D0"/>
    <w:rsid w:val="002F2CF2"/>
    <w:rsid w:val="002F3830"/>
    <w:rsid w:val="002F38D7"/>
    <w:rsid w:val="002F4929"/>
    <w:rsid w:val="002F5989"/>
    <w:rsid w:val="002F7DDE"/>
    <w:rsid w:val="002F7E97"/>
    <w:rsid w:val="0030093A"/>
    <w:rsid w:val="003012A2"/>
    <w:rsid w:val="00304ACA"/>
    <w:rsid w:val="00313652"/>
    <w:rsid w:val="0031376D"/>
    <w:rsid w:val="003151B5"/>
    <w:rsid w:val="00315AF8"/>
    <w:rsid w:val="003175F3"/>
    <w:rsid w:val="00317835"/>
    <w:rsid w:val="00317C72"/>
    <w:rsid w:val="003235CC"/>
    <w:rsid w:val="00325668"/>
    <w:rsid w:val="00325823"/>
    <w:rsid w:val="0032752E"/>
    <w:rsid w:val="0033097A"/>
    <w:rsid w:val="00330DCC"/>
    <w:rsid w:val="003310D4"/>
    <w:rsid w:val="0033241A"/>
    <w:rsid w:val="00332627"/>
    <w:rsid w:val="00332E97"/>
    <w:rsid w:val="00332F1F"/>
    <w:rsid w:val="0033535C"/>
    <w:rsid w:val="0033625F"/>
    <w:rsid w:val="003379DC"/>
    <w:rsid w:val="00340D7B"/>
    <w:rsid w:val="00341556"/>
    <w:rsid w:val="0034178A"/>
    <w:rsid w:val="003429E0"/>
    <w:rsid w:val="00343A3B"/>
    <w:rsid w:val="00343C1E"/>
    <w:rsid w:val="003441F0"/>
    <w:rsid w:val="003509E6"/>
    <w:rsid w:val="00351946"/>
    <w:rsid w:val="0035210E"/>
    <w:rsid w:val="003521FD"/>
    <w:rsid w:val="00352802"/>
    <w:rsid w:val="00353085"/>
    <w:rsid w:val="003535EF"/>
    <w:rsid w:val="0035515E"/>
    <w:rsid w:val="00357828"/>
    <w:rsid w:val="00357895"/>
    <w:rsid w:val="00357B15"/>
    <w:rsid w:val="00360FCE"/>
    <w:rsid w:val="00362E82"/>
    <w:rsid w:val="00364001"/>
    <w:rsid w:val="00365DC3"/>
    <w:rsid w:val="0036633C"/>
    <w:rsid w:val="0036763E"/>
    <w:rsid w:val="0037013D"/>
    <w:rsid w:val="00370DA4"/>
    <w:rsid w:val="003710CD"/>
    <w:rsid w:val="00372FAD"/>
    <w:rsid w:val="00372FD5"/>
    <w:rsid w:val="0037633B"/>
    <w:rsid w:val="00376958"/>
    <w:rsid w:val="00376C1A"/>
    <w:rsid w:val="0037769F"/>
    <w:rsid w:val="0037792A"/>
    <w:rsid w:val="00377C17"/>
    <w:rsid w:val="00377C46"/>
    <w:rsid w:val="0038431A"/>
    <w:rsid w:val="0038547C"/>
    <w:rsid w:val="00385A88"/>
    <w:rsid w:val="00387900"/>
    <w:rsid w:val="00387AF8"/>
    <w:rsid w:val="00390065"/>
    <w:rsid w:val="00390A1E"/>
    <w:rsid w:val="00393660"/>
    <w:rsid w:val="003940A4"/>
    <w:rsid w:val="003957B6"/>
    <w:rsid w:val="003958AE"/>
    <w:rsid w:val="00395D43"/>
    <w:rsid w:val="0039618A"/>
    <w:rsid w:val="0039624A"/>
    <w:rsid w:val="0039709D"/>
    <w:rsid w:val="00397213"/>
    <w:rsid w:val="003A00C9"/>
    <w:rsid w:val="003A0258"/>
    <w:rsid w:val="003A11C4"/>
    <w:rsid w:val="003A1F69"/>
    <w:rsid w:val="003A58BA"/>
    <w:rsid w:val="003B00B8"/>
    <w:rsid w:val="003B0718"/>
    <w:rsid w:val="003B1455"/>
    <w:rsid w:val="003B1639"/>
    <w:rsid w:val="003B2AC6"/>
    <w:rsid w:val="003B2F30"/>
    <w:rsid w:val="003B3019"/>
    <w:rsid w:val="003B34C2"/>
    <w:rsid w:val="003B39D7"/>
    <w:rsid w:val="003B4B2E"/>
    <w:rsid w:val="003B61F0"/>
    <w:rsid w:val="003B64B3"/>
    <w:rsid w:val="003B693A"/>
    <w:rsid w:val="003B6E18"/>
    <w:rsid w:val="003B7053"/>
    <w:rsid w:val="003C0C25"/>
    <w:rsid w:val="003C2D62"/>
    <w:rsid w:val="003C5F5E"/>
    <w:rsid w:val="003C5FC2"/>
    <w:rsid w:val="003C6BB7"/>
    <w:rsid w:val="003D0A88"/>
    <w:rsid w:val="003D27BD"/>
    <w:rsid w:val="003D353C"/>
    <w:rsid w:val="003E29B3"/>
    <w:rsid w:val="003E36C0"/>
    <w:rsid w:val="003E3724"/>
    <w:rsid w:val="003E3957"/>
    <w:rsid w:val="003E7F59"/>
    <w:rsid w:val="003F0D8B"/>
    <w:rsid w:val="003F1E6F"/>
    <w:rsid w:val="003F1F9E"/>
    <w:rsid w:val="003F3BC1"/>
    <w:rsid w:val="003F43E6"/>
    <w:rsid w:val="003F4894"/>
    <w:rsid w:val="004000BE"/>
    <w:rsid w:val="004026BA"/>
    <w:rsid w:val="00403038"/>
    <w:rsid w:val="00406755"/>
    <w:rsid w:val="0040709C"/>
    <w:rsid w:val="00407F30"/>
    <w:rsid w:val="004116DA"/>
    <w:rsid w:val="004117D6"/>
    <w:rsid w:val="00411834"/>
    <w:rsid w:val="00412A23"/>
    <w:rsid w:val="004149DA"/>
    <w:rsid w:val="00415755"/>
    <w:rsid w:val="00416211"/>
    <w:rsid w:val="0042035D"/>
    <w:rsid w:val="00420841"/>
    <w:rsid w:val="00423732"/>
    <w:rsid w:val="00425B31"/>
    <w:rsid w:val="0042648D"/>
    <w:rsid w:val="00426976"/>
    <w:rsid w:val="00427722"/>
    <w:rsid w:val="00427F4F"/>
    <w:rsid w:val="00431731"/>
    <w:rsid w:val="00431779"/>
    <w:rsid w:val="00431A2A"/>
    <w:rsid w:val="00431CE6"/>
    <w:rsid w:val="00433C3E"/>
    <w:rsid w:val="00440246"/>
    <w:rsid w:val="00441588"/>
    <w:rsid w:val="00441CF2"/>
    <w:rsid w:val="00444072"/>
    <w:rsid w:val="00446BAE"/>
    <w:rsid w:val="0045044A"/>
    <w:rsid w:val="004511AB"/>
    <w:rsid w:val="0045235F"/>
    <w:rsid w:val="004533F1"/>
    <w:rsid w:val="00453797"/>
    <w:rsid w:val="00453ABE"/>
    <w:rsid w:val="004542A8"/>
    <w:rsid w:val="004576E8"/>
    <w:rsid w:val="00460794"/>
    <w:rsid w:val="00463731"/>
    <w:rsid w:val="00463A9F"/>
    <w:rsid w:val="00463CEF"/>
    <w:rsid w:val="00463DEF"/>
    <w:rsid w:val="00464FEE"/>
    <w:rsid w:val="004672B7"/>
    <w:rsid w:val="00467391"/>
    <w:rsid w:val="004706A0"/>
    <w:rsid w:val="00472190"/>
    <w:rsid w:val="004724BF"/>
    <w:rsid w:val="00472695"/>
    <w:rsid w:val="00474D9B"/>
    <w:rsid w:val="004758E9"/>
    <w:rsid w:val="004775E8"/>
    <w:rsid w:val="00481888"/>
    <w:rsid w:val="0048370B"/>
    <w:rsid w:val="00486750"/>
    <w:rsid w:val="00487EBC"/>
    <w:rsid w:val="00490DDC"/>
    <w:rsid w:val="00491D56"/>
    <w:rsid w:val="00491D60"/>
    <w:rsid w:val="00494CD1"/>
    <w:rsid w:val="004957BA"/>
    <w:rsid w:val="004963CC"/>
    <w:rsid w:val="004970C9"/>
    <w:rsid w:val="00497B5E"/>
    <w:rsid w:val="004A224A"/>
    <w:rsid w:val="004A28DD"/>
    <w:rsid w:val="004A3074"/>
    <w:rsid w:val="004A570E"/>
    <w:rsid w:val="004A59B2"/>
    <w:rsid w:val="004A7CEC"/>
    <w:rsid w:val="004B06E1"/>
    <w:rsid w:val="004B129A"/>
    <w:rsid w:val="004B31C7"/>
    <w:rsid w:val="004B4BDC"/>
    <w:rsid w:val="004B4D42"/>
    <w:rsid w:val="004B7E3E"/>
    <w:rsid w:val="004C0544"/>
    <w:rsid w:val="004C07ED"/>
    <w:rsid w:val="004C2585"/>
    <w:rsid w:val="004C281D"/>
    <w:rsid w:val="004C2E9D"/>
    <w:rsid w:val="004C4513"/>
    <w:rsid w:val="004C5A9B"/>
    <w:rsid w:val="004C7FC6"/>
    <w:rsid w:val="004D25B5"/>
    <w:rsid w:val="004D6E67"/>
    <w:rsid w:val="004E00B4"/>
    <w:rsid w:val="004E0963"/>
    <w:rsid w:val="004E0B2F"/>
    <w:rsid w:val="004E1B3F"/>
    <w:rsid w:val="004E2A8E"/>
    <w:rsid w:val="004F000D"/>
    <w:rsid w:val="004F0EC9"/>
    <w:rsid w:val="004F27DD"/>
    <w:rsid w:val="004F40AB"/>
    <w:rsid w:val="0050050B"/>
    <w:rsid w:val="0050132A"/>
    <w:rsid w:val="00502F3E"/>
    <w:rsid w:val="00503196"/>
    <w:rsid w:val="00503ADE"/>
    <w:rsid w:val="00504706"/>
    <w:rsid w:val="0050674F"/>
    <w:rsid w:val="00506A2E"/>
    <w:rsid w:val="00510BE0"/>
    <w:rsid w:val="00510C5C"/>
    <w:rsid w:val="00511E62"/>
    <w:rsid w:val="005208AC"/>
    <w:rsid w:val="00520B14"/>
    <w:rsid w:val="00521DC2"/>
    <w:rsid w:val="00521EFA"/>
    <w:rsid w:val="00523A16"/>
    <w:rsid w:val="00523D2D"/>
    <w:rsid w:val="00524822"/>
    <w:rsid w:val="005256DB"/>
    <w:rsid w:val="00525B79"/>
    <w:rsid w:val="005264A5"/>
    <w:rsid w:val="00526D01"/>
    <w:rsid w:val="00532EB0"/>
    <w:rsid w:val="00533CD5"/>
    <w:rsid w:val="00534871"/>
    <w:rsid w:val="00535069"/>
    <w:rsid w:val="00535A60"/>
    <w:rsid w:val="005372AF"/>
    <w:rsid w:val="00540D5C"/>
    <w:rsid w:val="00541FF9"/>
    <w:rsid w:val="00544481"/>
    <w:rsid w:val="0054689F"/>
    <w:rsid w:val="00546DAD"/>
    <w:rsid w:val="005542A1"/>
    <w:rsid w:val="00555A0C"/>
    <w:rsid w:val="00555A17"/>
    <w:rsid w:val="00555EC7"/>
    <w:rsid w:val="00557DCC"/>
    <w:rsid w:val="00561169"/>
    <w:rsid w:val="005617DA"/>
    <w:rsid w:val="00561B18"/>
    <w:rsid w:val="0056339B"/>
    <w:rsid w:val="00566C79"/>
    <w:rsid w:val="00570169"/>
    <w:rsid w:val="00571FF4"/>
    <w:rsid w:val="005748A1"/>
    <w:rsid w:val="005812EF"/>
    <w:rsid w:val="0058254B"/>
    <w:rsid w:val="0058351E"/>
    <w:rsid w:val="00587914"/>
    <w:rsid w:val="005925EC"/>
    <w:rsid w:val="0059611F"/>
    <w:rsid w:val="005964F5"/>
    <w:rsid w:val="00597224"/>
    <w:rsid w:val="005A1B7D"/>
    <w:rsid w:val="005A3592"/>
    <w:rsid w:val="005A4082"/>
    <w:rsid w:val="005B0AAB"/>
    <w:rsid w:val="005B4EB8"/>
    <w:rsid w:val="005B5497"/>
    <w:rsid w:val="005B5790"/>
    <w:rsid w:val="005B5E9D"/>
    <w:rsid w:val="005B6F1B"/>
    <w:rsid w:val="005B711B"/>
    <w:rsid w:val="005C1453"/>
    <w:rsid w:val="005C196C"/>
    <w:rsid w:val="005C2CA2"/>
    <w:rsid w:val="005C3064"/>
    <w:rsid w:val="005C3191"/>
    <w:rsid w:val="005C3C86"/>
    <w:rsid w:val="005C725E"/>
    <w:rsid w:val="005C7BBF"/>
    <w:rsid w:val="005D019B"/>
    <w:rsid w:val="005D3069"/>
    <w:rsid w:val="005D3730"/>
    <w:rsid w:val="005D3BD1"/>
    <w:rsid w:val="005E2F89"/>
    <w:rsid w:val="005E4545"/>
    <w:rsid w:val="005E4E13"/>
    <w:rsid w:val="005E5730"/>
    <w:rsid w:val="005E73A1"/>
    <w:rsid w:val="005E76FD"/>
    <w:rsid w:val="005F24CE"/>
    <w:rsid w:val="005F4197"/>
    <w:rsid w:val="005F4C67"/>
    <w:rsid w:val="005F5163"/>
    <w:rsid w:val="005F52C6"/>
    <w:rsid w:val="006067DB"/>
    <w:rsid w:val="006073F9"/>
    <w:rsid w:val="00607F86"/>
    <w:rsid w:val="00610BC0"/>
    <w:rsid w:val="0061157C"/>
    <w:rsid w:val="0061282A"/>
    <w:rsid w:val="006131E5"/>
    <w:rsid w:val="006132AE"/>
    <w:rsid w:val="006167B8"/>
    <w:rsid w:val="00617C22"/>
    <w:rsid w:val="00621A6D"/>
    <w:rsid w:val="00621F03"/>
    <w:rsid w:val="0062265E"/>
    <w:rsid w:val="00622F11"/>
    <w:rsid w:val="00623213"/>
    <w:rsid w:val="006251DE"/>
    <w:rsid w:val="006254EE"/>
    <w:rsid w:val="00625B63"/>
    <w:rsid w:val="00627517"/>
    <w:rsid w:val="00630B1A"/>
    <w:rsid w:val="00632A4A"/>
    <w:rsid w:val="00634573"/>
    <w:rsid w:val="00635A24"/>
    <w:rsid w:val="00636ADD"/>
    <w:rsid w:val="006406E5"/>
    <w:rsid w:val="00640B24"/>
    <w:rsid w:val="00641C9C"/>
    <w:rsid w:val="00642EB3"/>
    <w:rsid w:val="006441AD"/>
    <w:rsid w:val="006442C8"/>
    <w:rsid w:val="0065353F"/>
    <w:rsid w:val="00654B60"/>
    <w:rsid w:val="00655090"/>
    <w:rsid w:val="0065588C"/>
    <w:rsid w:val="00657727"/>
    <w:rsid w:val="0066366C"/>
    <w:rsid w:val="006648D1"/>
    <w:rsid w:val="00664E1D"/>
    <w:rsid w:val="00666BA1"/>
    <w:rsid w:val="00667D20"/>
    <w:rsid w:val="006700CB"/>
    <w:rsid w:val="00670428"/>
    <w:rsid w:val="006708BC"/>
    <w:rsid w:val="006721DF"/>
    <w:rsid w:val="00672A20"/>
    <w:rsid w:val="00674329"/>
    <w:rsid w:val="00674808"/>
    <w:rsid w:val="00674CE6"/>
    <w:rsid w:val="00676BB6"/>
    <w:rsid w:val="00677279"/>
    <w:rsid w:val="00677979"/>
    <w:rsid w:val="006803A0"/>
    <w:rsid w:val="0068141A"/>
    <w:rsid w:val="00682088"/>
    <w:rsid w:val="00683770"/>
    <w:rsid w:val="00683B58"/>
    <w:rsid w:val="006849D2"/>
    <w:rsid w:val="00686A7E"/>
    <w:rsid w:val="00686CAE"/>
    <w:rsid w:val="00690509"/>
    <w:rsid w:val="00690963"/>
    <w:rsid w:val="00690B95"/>
    <w:rsid w:val="00691156"/>
    <w:rsid w:val="00691FAB"/>
    <w:rsid w:val="00693751"/>
    <w:rsid w:val="00693795"/>
    <w:rsid w:val="006937ED"/>
    <w:rsid w:val="00693CE6"/>
    <w:rsid w:val="00695005"/>
    <w:rsid w:val="00696375"/>
    <w:rsid w:val="006965DF"/>
    <w:rsid w:val="00696CA3"/>
    <w:rsid w:val="006A09A4"/>
    <w:rsid w:val="006A21CC"/>
    <w:rsid w:val="006A3856"/>
    <w:rsid w:val="006A438F"/>
    <w:rsid w:val="006A503A"/>
    <w:rsid w:val="006A6750"/>
    <w:rsid w:val="006A7FA7"/>
    <w:rsid w:val="006B1C34"/>
    <w:rsid w:val="006B1FF1"/>
    <w:rsid w:val="006B293F"/>
    <w:rsid w:val="006B35F3"/>
    <w:rsid w:val="006B40C1"/>
    <w:rsid w:val="006B6A20"/>
    <w:rsid w:val="006C1EDD"/>
    <w:rsid w:val="006C2F5C"/>
    <w:rsid w:val="006C4010"/>
    <w:rsid w:val="006C477E"/>
    <w:rsid w:val="006C6D7A"/>
    <w:rsid w:val="006D0350"/>
    <w:rsid w:val="006D0C02"/>
    <w:rsid w:val="006D0F19"/>
    <w:rsid w:val="006D2B2B"/>
    <w:rsid w:val="006D3FB0"/>
    <w:rsid w:val="006D443D"/>
    <w:rsid w:val="006D614A"/>
    <w:rsid w:val="006D6B5E"/>
    <w:rsid w:val="006D6CA1"/>
    <w:rsid w:val="006D7DA7"/>
    <w:rsid w:val="006E27D1"/>
    <w:rsid w:val="006E2CD8"/>
    <w:rsid w:val="006E4462"/>
    <w:rsid w:val="006E465C"/>
    <w:rsid w:val="006E4B08"/>
    <w:rsid w:val="006E4EB7"/>
    <w:rsid w:val="006E7F81"/>
    <w:rsid w:val="006F1443"/>
    <w:rsid w:val="006F2579"/>
    <w:rsid w:val="006F2887"/>
    <w:rsid w:val="006F713E"/>
    <w:rsid w:val="006F750C"/>
    <w:rsid w:val="006F7EB1"/>
    <w:rsid w:val="00700AD5"/>
    <w:rsid w:val="00702D4F"/>
    <w:rsid w:val="00703D5F"/>
    <w:rsid w:val="007045FC"/>
    <w:rsid w:val="0070488F"/>
    <w:rsid w:val="00704CDE"/>
    <w:rsid w:val="00704CF9"/>
    <w:rsid w:val="0070582E"/>
    <w:rsid w:val="007073E2"/>
    <w:rsid w:val="00710713"/>
    <w:rsid w:val="007123C3"/>
    <w:rsid w:val="0071266E"/>
    <w:rsid w:val="007130F7"/>
    <w:rsid w:val="00714183"/>
    <w:rsid w:val="00721EC2"/>
    <w:rsid w:val="007226F3"/>
    <w:rsid w:val="0072344E"/>
    <w:rsid w:val="007240C3"/>
    <w:rsid w:val="007243CC"/>
    <w:rsid w:val="007301CB"/>
    <w:rsid w:val="00731957"/>
    <w:rsid w:val="00733EF3"/>
    <w:rsid w:val="007356BB"/>
    <w:rsid w:val="00735BED"/>
    <w:rsid w:val="0073666D"/>
    <w:rsid w:val="0073669E"/>
    <w:rsid w:val="0073707B"/>
    <w:rsid w:val="00737C67"/>
    <w:rsid w:val="00737D1D"/>
    <w:rsid w:val="00737F76"/>
    <w:rsid w:val="00741002"/>
    <w:rsid w:val="00741637"/>
    <w:rsid w:val="007418D4"/>
    <w:rsid w:val="00742121"/>
    <w:rsid w:val="00744F24"/>
    <w:rsid w:val="0074501E"/>
    <w:rsid w:val="00746472"/>
    <w:rsid w:val="00746CD0"/>
    <w:rsid w:val="00747C5A"/>
    <w:rsid w:val="00751DE7"/>
    <w:rsid w:val="00752CE8"/>
    <w:rsid w:val="00760A78"/>
    <w:rsid w:val="00764725"/>
    <w:rsid w:val="00764B6B"/>
    <w:rsid w:val="00764F0C"/>
    <w:rsid w:val="00766432"/>
    <w:rsid w:val="00766983"/>
    <w:rsid w:val="00767A28"/>
    <w:rsid w:val="007712C3"/>
    <w:rsid w:val="00771D33"/>
    <w:rsid w:val="00771F1C"/>
    <w:rsid w:val="007725DF"/>
    <w:rsid w:val="007736D0"/>
    <w:rsid w:val="007758CF"/>
    <w:rsid w:val="00775FEC"/>
    <w:rsid w:val="00776317"/>
    <w:rsid w:val="00776D06"/>
    <w:rsid w:val="007810BC"/>
    <w:rsid w:val="00781EB4"/>
    <w:rsid w:val="007823D7"/>
    <w:rsid w:val="00782E96"/>
    <w:rsid w:val="00785A39"/>
    <w:rsid w:val="0078776F"/>
    <w:rsid w:val="007900EA"/>
    <w:rsid w:val="007918A1"/>
    <w:rsid w:val="00795FC0"/>
    <w:rsid w:val="007975AC"/>
    <w:rsid w:val="007A0F7C"/>
    <w:rsid w:val="007A10D6"/>
    <w:rsid w:val="007A12A7"/>
    <w:rsid w:val="007A14FC"/>
    <w:rsid w:val="007A4A3D"/>
    <w:rsid w:val="007A5A11"/>
    <w:rsid w:val="007A6F16"/>
    <w:rsid w:val="007A7B6E"/>
    <w:rsid w:val="007A7F7F"/>
    <w:rsid w:val="007A7FD6"/>
    <w:rsid w:val="007B09DF"/>
    <w:rsid w:val="007B2DB6"/>
    <w:rsid w:val="007B300E"/>
    <w:rsid w:val="007B3A11"/>
    <w:rsid w:val="007B567F"/>
    <w:rsid w:val="007B57E8"/>
    <w:rsid w:val="007B65D4"/>
    <w:rsid w:val="007B67FE"/>
    <w:rsid w:val="007B7B2B"/>
    <w:rsid w:val="007B7B34"/>
    <w:rsid w:val="007C5323"/>
    <w:rsid w:val="007C6187"/>
    <w:rsid w:val="007C67EE"/>
    <w:rsid w:val="007C7A8C"/>
    <w:rsid w:val="007D05C7"/>
    <w:rsid w:val="007D07F8"/>
    <w:rsid w:val="007D1707"/>
    <w:rsid w:val="007D24AB"/>
    <w:rsid w:val="007D3405"/>
    <w:rsid w:val="007D41C2"/>
    <w:rsid w:val="007D42D5"/>
    <w:rsid w:val="007D4BFC"/>
    <w:rsid w:val="007D6193"/>
    <w:rsid w:val="007D6B1C"/>
    <w:rsid w:val="007D7A92"/>
    <w:rsid w:val="007E1C60"/>
    <w:rsid w:val="007E4A09"/>
    <w:rsid w:val="007E4C9C"/>
    <w:rsid w:val="007E5486"/>
    <w:rsid w:val="007E6196"/>
    <w:rsid w:val="007E6656"/>
    <w:rsid w:val="007E70BF"/>
    <w:rsid w:val="007E735A"/>
    <w:rsid w:val="007F0085"/>
    <w:rsid w:val="007F080F"/>
    <w:rsid w:val="007F0F01"/>
    <w:rsid w:val="007F155F"/>
    <w:rsid w:val="007F1A99"/>
    <w:rsid w:val="007F22ED"/>
    <w:rsid w:val="007F24DA"/>
    <w:rsid w:val="007F3253"/>
    <w:rsid w:val="007F4F42"/>
    <w:rsid w:val="007F536B"/>
    <w:rsid w:val="007F7F32"/>
    <w:rsid w:val="00800DF8"/>
    <w:rsid w:val="00801E32"/>
    <w:rsid w:val="008021FD"/>
    <w:rsid w:val="008026FA"/>
    <w:rsid w:val="008036BE"/>
    <w:rsid w:val="00803B18"/>
    <w:rsid w:val="00804BA2"/>
    <w:rsid w:val="00804FE6"/>
    <w:rsid w:val="0080556B"/>
    <w:rsid w:val="00807D00"/>
    <w:rsid w:val="00807EB6"/>
    <w:rsid w:val="008115B8"/>
    <w:rsid w:val="008115CF"/>
    <w:rsid w:val="00812315"/>
    <w:rsid w:val="00813018"/>
    <w:rsid w:val="00814DCA"/>
    <w:rsid w:val="0081539C"/>
    <w:rsid w:val="00815D1B"/>
    <w:rsid w:val="00816C1F"/>
    <w:rsid w:val="00820876"/>
    <w:rsid w:val="0082143F"/>
    <w:rsid w:val="00822064"/>
    <w:rsid w:val="008220AD"/>
    <w:rsid w:val="00823610"/>
    <w:rsid w:val="0083049A"/>
    <w:rsid w:val="008321A6"/>
    <w:rsid w:val="0083380F"/>
    <w:rsid w:val="00835FCE"/>
    <w:rsid w:val="008368DE"/>
    <w:rsid w:val="00840E25"/>
    <w:rsid w:val="0084161A"/>
    <w:rsid w:val="00841962"/>
    <w:rsid w:val="008424BB"/>
    <w:rsid w:val="008465CB"/>
    <w:rsid w:val="0085127E"/>
    <w:rsid w:val="008517C6"/>
    <w:rsid w:val="00852898"/>
    <w:rsid w:val="008534CC"/>
    <w:rsid w:val="00853C98"/>
    <w:rsid w:val="0085543E"/>
    <w:rsid w:val="008568B0"/>
    <w:rsid w:val="008578F2"/>
    <w:rsid w:val="008600ED"/>
    <w:rsid w:val="00860366"/>
    <w:rsid w:val="00861CAB"/>
    <w:rsid w:val="00862B21"/>
    <w:rsid w:val="00863E02"/>
    <w:rsid w:val="00865274"/>
    <w:rsid w:val="00865940"/>
    <w:rsid w:val="00865EEC"/>
    <w:rsid w:val="00866A27"/>
    <w:rsid w:val="008701DC"/>
    <w:rsid w:val="0087081B"/>
    <w:rsid w:val="008739F1"/>
    <w:rsid w:val="00874308"/>
    <w:rsid w:val="00877B13"/>
    <w:rsid w:val="00880AB5"/>
    <w:rsid w:val="00880AD5"/>
    <w:rsid w:val="00881457"/>
    <w:rsid w:val="00882802"/>
    <w:rsid w:val="008836A7"/>
    <w:rsid w:val="00884467"/>
    <w:rsid w:val="00887F03"/>
    <w:rsid w:val="00893B95"/>
    <w:rsid w:val="008941B2"/>
    <w:rsid w:val="008A1084"/>
    <w:rsid w:val="008A1DA7"/>
    <w:rsid w:val="008A3884"/>
    <w:rsid w:val="008A4ABF"/>
    <w:rsid w:val="008B0108"/>
    <w:rsid w:val="008B18E3"/>
    <w:rsid w:val="008B2EB1"/>
    <w:rsid w:val="008B3670"/>
    <w:rsid w:val="008B4157"/>
    <w:rsid w:val="008B4A24"/>
    <w:rsid w:val="008B5AFF"/>
    <w:rsid w:val="008B5E0B"/>
    <w:rsid w:val="008B758A"/>
    <w:rsid w:val="008B7CD2"/>
    <w:rsid w:val="008C0C4F"/>
    <w:rsid w:val="008C12F3"/>
    <w:rsid w:val="008C277A"/>
    <w:rsid w:val="008C561D"/>
    <w:rsid w:val="008C62EC"/>
    <w:rsid w:val="008D0BE4"/>
    <w:rsid w:val="008D19DB"/>
    <w:rsid w:val="008D41B5"/>
    <w:rsid w:val="008D5BE0"/>
    <w:rsid w:val="008D7B10"/>
    <w:rsid w:val="008D7C6B"/>
    <w:rsid w:val="008E0FD3"/>
    <w:rsid w:val="008E1DCB"/>
    <w:rsid w:val="008E5B3B"/>
    <w:rsid w:val="008E7C23"/>
    <w:rsid w:val="008E7F8D"/>
    <w:rsid w:val="008F06E9"/>
    <w:rsid w:val="008F2850"/>
    <w:rsid w:val="008F2FC2"/>
    <w:rsid w:val="008F302C"/>
    <w:rsid w:val="008F5D1E"/>
    <w:rsid w:val="008F7242"/>
    <w:rsid w:val="00901457"/>
    <w:rsid w:val="0090233F"/>
    <w:rsid w:val="009035A2"/>
    <w:rsid w:val="0090688C"/>
    <w:rsid w:val="009119D3"/>
    <w:rsid w:val="00922101"/>
    <w:rsid w:val="009244F7"/>
    <w:rsid w:val="00924C0D"/>
    <w:rsid w:val="0092587F"/>
    <w:rsid w:val="00925AA4"/>
    <w:rsid w:val="00932FE2"/>
    <w:rsid w:val="009340AB"/>
    <w:rsid w:val="00936192"/>
    <w:rsid w:val="0094066E"/>
    <w:rsid w:val="0094245B"/>
    <w:rsid w:val="00942A08"/>
    <w:rsid w:val="00942CAD"/>
    <w:rsid w:val="00943363"/>
    <w:rsid w:val="009434CF"/>
    <w:rsid w:val="00946910"/>
    <w:rsid w:val="00947C38"/>
    <w:rsid w:val="00953BFE"/>
    <w:rsid w:val="009550BB"/>
    <w:rsid w:val="00956067"/>
    <w:rsid w:val="00957342"/>
    <w:rsid w:val="009574F2"/>
    <w:rsid w:val="00957921"/>
    <w:rsid w:val="00957A76"/>
    <w:rsid w:val="00957C00"/>
    <w:rsid w:val="00960719"/>
    <w:rsid w:val="009619CF"/>
    <w:rsid w:val="00963502"/>
    <w:rsid w:val="00963C96"/>
    <w:rsid w:val="009648EF"/>
    <w:rsid w:val="0097114B"/>
    <w:rsid w:val="00971F36"/>
    <w:rsid w:val="00974614"/>
    <w:rsid w:val="0097588C"/>
    <w:rsid w:val="00976FE8"/>
    <w:rsid w:val="0097799A"/>
    <w:rsid w:val="00977C25"/>
    <w:rsid w:val="009807C9"/>
    <w:rsid w:val="00980CAF"/>
    <w:rsid w:val="0098122A"/>
    <w:rsid w:val="009816C8"/>
    <w:rsid w:val="00982327"/>
    <w:rsid w:val="009833CB"/>
    <w:rsid w:val="009836FB"/>
    <w:rsid w:val="009837A3"/>
    <w:rsid w:val="009843E2"/>
    <w:rsid w:val="009861EE"/>
    <w:rsid w:val="009912E2"/>
    <w:rsid w:val="00991536"/>
    <w:rsid w:val="009918AC"/>
    <w:rsid w:val="00993DAC"/>
    <w:rsid w:val="00996373"/>
    <w:rsid w:val="00996A23"/>
    <w:rsid w:val="00997705"/>
    <w:rsid w:val="009A0E19"/>
    <w:rsid w:val="009A1215"/>
    <w:rsid w:val="009A1416"/>
    <w:rsid w:val="009A20E4"/>
    <w:rsid w:val="009A2440"/>
    <w:rsid w:val="009A2448"/>
    <w:rsid w:val="009A3D15"/>
    <w:rsid w:val="009A3FD3"/>
    <w:rsid w:val="009A6007"/>
    <w:rsid w:val="009A6F9E"/>
    <w:rsid w:val="009A714A"/>
    <w:rsid w:val="009B0602"/>
    <w:rsid w:val="009B0987"/>
    <w:rsid w:val="009B121B"/>
    <w:rsid w:val="009B14F4"/>
    <w:rsid w:val="009B17DB"/>
    <w:rsid w:val="009B3199"/>
    <w:rsid w:val="009B38BC"/>
    <w:rsid w:val="009B4EC5"/>
    <w:rsid w:val="009B50CC"/>
    <w:rsid w:val="009B51A4"/>
    <w:rsid w:val="009B67B3"/>
    <w:rsid w:val="009B739B"/>
    <w:rsid w:val="009B7BAA"/>
    <w:rsid w:val="009C08E6"/>
    <w:rsid w:val="009C09D7"/>
    <w:rsid w:val="009C1B38"/>
    <w:rsid w:val="009C205F"/>
    <w:rsid w:val="009C3B2A"/>
    <w:rsid w:val="009C4C78"/>
    <w:rsid w:val="009C5124"/>
    <w:rsid w:val="009C5F2B"/>
    <w:rsid w:val="009C6454"/>
    <w:rsid w:val="009C78E3"/>
    <w:rsid w:val="009C7FFB"/>
    <w:rsid w:val="009D2D62"/>
    <w:rsid w:val="009D31CD"/>
    <w:rsid w:val="009D7121"/>
    <w:rsid w:val="009E01B8"/>
    <w:rsid w:val="009E0843"/>
    <w:rsid w:val="009E38AF"/>
    <w:rsid w:val="009E52A8"/>
    <w:rsid w:val="009E673E"/>
    <w:rsid w:val="009E7AD8"/>
    <w:rsid w:val="009F0D41"/>
    <w:rsid w:val="009F161C"/>
    <w:rsid w:val="009F1BC2"/>
    <w:rsid w:val="009F29A4"/>
    <w:rsid w:val="009F2F18"/>
    <w:rsid w:val="009F4EF8"/>
    <w:rsid w:val="009F4F1B"/>
    <w:rsid w:val="009F5872"/>
    <w:rsid w:val="009F740D"/>
    <w:rsid w:val="00A00F88"/>
    <w:rsid w:val="00A01AAA"/>
    <w:rsid w:val="00A02007"/>
    <w:rsid w:val="00A024F6"/>
    <w:rsid w:val="00A02A8B"/>
    <w:rsid w:val="00A041C7"/>
    <w:rsid w:val="00A06B3C"/>
    <w:rsid w:val="00A12CC9"/>
    <w:rsid w:val="00A20173"/>
    <w:rsid w:val="00A2060D"/>
    <w:rsid w:val="00A216B7"/>
    <w:rsid w:val="00A21708"/>
    <w:rsid w:val="00A242EA"/>
    <w:rsid w:val="00A2504D"/>
    <w:rsid w:val="00A271B3"/>
    <w:rsid w:val="00A272BE"/>
    <w:rsid w:val="00A2797C"/>
    <w:rsid w:val="00A309B7"/>
    <w:rsid w:val="00A322BE"/>
    <w:rsid w:val="00A33342"/>
    <w:rsid w:val="00A33719"/>
    <w:rsid w:val="00A35BC1"/>
    <w:rsid w:val="00A40262"/>
    <w:rsid w:val="00A41B5E"/>
    <w:rsid w:val="00A42042"/>
    <w:rsid w:val="00A422C2"/>
    <w:rsid w:val="00A4281A"/>
    <w:rsid w:val="00A44C41"/>
    <w:rsid w:val="00A45529"/>
    <w:rsid w:val="00A466AC"/>
    <w:rsid w:val="00A47031"/>
    <w:rsid w:val="00A4765E"/>
    <w:rsid w:val="00A50604"/>
    <w:rsid w:val="00A50E26"/>
    <w:rsid w:val="00A522C3"/>
    <w:rsid w:val="00A524A6"/>
    <w:rsid w:val="00A54818"/>
    <w:rsid w:val="00A55DD4"/>
    <w:rsid w:val="00A56859"/>
    <w:rsid w:val="00A569E0"/>
    <w:rsid w:val="00A60CA4"/>
    <w:rsid w:val="00A62285"/>
    <w:rsid w:val="00A65A66"/>
    <w:rsid w:val="00A66EE4"/>
    <w:rsid w:val="00A70197"/>
    <w:rsid w:val="00A715EF"/>
    <w:rsid w:val="00A71BDB"/>
    <w:rsid w:val="00A720B7"/>
    <w:rsid w:val="00A73387"/>
    <w:rsid w:val="00A745D3"/>
    <w:rsid w:val="00A7462D"/>
    <w:rsid w:val="00A8029C"/>
    <w:rsid w:val="00A8033D"/>
    <w:rsid w:val="00A826B4"/>
    <w:rsid w:val="00A82E1A"/>
    <w:rsid w:val="00A8395A"/>
    <w:rsid w:val="00A83C7E"/>
    <w:rsid w:val="00A8418C"/>
    <w:rsid w:val="00A84DA1"/>
    <w:rsid w:val="00A85812"/>
    <w:rsid w:val="00A864D8"/>
    <w:rsid w:val="00A871C9"/>
    <w:rsid w:val="00A87FE2"/>
    <w:rsid w:val="00A92AC2"/>
    <w:rsid w:val="00A95355"/>
    <w:rsid w:val="00A960E9"/>
    <w:rsid w:val="00A97B41"/>
    <w:rsid w:val="00A97F0C"/>
    <w:rsid w:val="00A97F93"/>
    <w:rsid w:val="00AA0E4D"/>
    <w:rsid w:val="00AA25C5"/>
    <w:rsid w:val="00AB05C9"/>
    <w:rsid w:val="00AB0BC7"/>
    <w:rsid w:val="00AB20AB"/>
    <w:rsid w:val="00AB2AAE"/>
    <w:rsid w:val="00AB2C0F"/>
    <w:rsid w:val="00AB40A0"/>
    <w:rsid w:val="00AB5528"/>
    <w:rsid w:val="00AB74C3"/>
    <w:rsid w:val="00AC0E72"/>
    <w:rsid w:val="00AC1250"/>
    <w:rsid w:val="00AC21C6"/>
    <w:rsid w:val="00AC3779"/>
    <w:rsid w:val="00AD0097"/>
    <w:rsid w:val="00AD020B"/>
    <w:rsid w:val="00AD0D5C"/>
    <w:rsid w:val="00AD1A96"/>
    <w:rsid w:val="00AD2A29"/>
    <w:rsid w:val="00AD52A6"/>
    <w:rsid w:val="00AD5AEC"/>
    <w:rsid w:val="00AD6AD0"/>
    <w:rsid w:val="00AD6D0B"/>
    <w:rsid w:val="00AE2C85"/>
    <w:rsid w:val="00AE42F5"/>
    <w:rsid w:val="00AE4721"/>
    <w:rsid w:val="00AE747B"/>
    <w:rsid w:val="00AE7DE5"/>
    <w:rsid w:val="00AF1653"/>
    <w:rsid w:val="00AF3BF4"/>
    <w:rsid w:val="00AF3F93"/>
    <w:rsid w:val="00AF50BF"/>
    <w:rsid w:val="00B02DE3"/>
    <w:rsid w:val="00B037AA"/>
    <w:rsid w:val="00B054BA"/>
    <w:rsid w:val="00B07908"/>
    <w:rsid w:val="00B1256E"/>
    <w:rsid w:val="00B13787"/>
    <w:rsid w:val="00B1445B"/>
    <w:rsid w:val="00B15801"/>
    <w:rsid w:val="00B1644E"/>
    <w:rsid w:val="00B17AAC"/>
    <w:rsid w:val="00B215D0"/>
    <w:rsid w:val="00B21F73"/>
    <w:rsid w:val="00B23A60"/>
    <w:rsid w:val="00B23D80"/>
    <w:rsid w:val="00B245B8"/>
    <w:rsid w:val="00B24ABA"/>
    <w:rsid w:val="00B25FB2"/>
    <w:rsid w:val="00B30861"/>
    <w:rsid w:val="00B33FC9"/>
    <w:rsid w:val="00B34D05"/>
    <w:rsid w:val="00B34E1F"/>
    <w:rsid w:val="00B35194"/>
    <w:rsid w:val="00B36C97"/>
    <w:rsid w:val="00B37AAA"/>
    <w:rsid w:val="00B37C41"/>
    <w:rsid w:val="00B4078C"/>
    <w:rsid w:val="00B4191E"/>
    <w:rsid w:val="00B42C6D"/>
    <w:rsid w:val="00B43418"/>
    <w:rsid w:val="00B437D7"/>
    <w:rsid w:val="00B4516E"/>
    <w:rsid w:val="00B45B27"/>
    <w:rsid w:val="00B46CB0"/>
    <w:rsid w:val="00B5139A"/>
    <w:rsid w:val="00B52315"/>
    <w:rsid w:val="00B52DAB"/>
    <w:rsid w:val="00B539BE"/>
    <w:rsid w:val="00B56011"/>
    <w:rsid w:val="00B56EF5"/>
    <w:rsid w:val="00B6070A"/>
    <w:rsid w:val="00B62043"/>
    <w:rsid w:val="00B63682"/>
    <w:rsid w:val="00B6581A"/>
    <w:rsid w:val="00B6639E"/>
    <w:rsid w:val="00B670E5"/>
    <w:rsid w:val="00B70890"/>
    <w:rsid w:val="00B71CAF"/>
    <w:rsid w:val="00B7320C"/>
    <w:rsid w:val="00B74DA0"/>
    <w:rsid w:val="00B7733B"/>
    <w:rsid w:val="00B80F85"/>
    <w:rsid w:val="00B824E7"/>
    <w:rsid w:val="00B829D3"/>
    <w:rsid w:val="00B83B7C"/>
    <w:rsid w:val="00B83EBF"/>
    <w:rsid w:val="00B84F90"/>
    <w:rsid w:val="00B85A66"/>
    <w:rsid w:val="00B86E92"/>
    <w:rsid w:val="00B90F3B"/>
    <w:rsid w:val="00B916F3"/>
    <w:rsid w:val="00B92397"/>
    <w:rsid w:val="00B92EEB"/>
    <w:rsid w:val="00B9309E"/>
    <w:rsid w:val="00B957C1"/>
    <w:rsid w:val="00B95A58"/>
    <w:rsid w:val="00B974A4"/>
    <w:rsid w:val="00B9752D"/>
    <w:rsid w:val="00BA01C1"/>
    <w:rsid w:val="00BA06FA"/>
    <w:rsid w:val="00BA0A23"/>
    <w:rsid w:val="00BA3460"/>
    <w:rsid w:val="00BA39C2"/>
    <w:rsid w:val="00BA5F1E"/>
    <w:rsid w:val="00BA6D44"/>
    <w:rsid w:val="00BA7782"/>
    <w:rsid w:val="00BB134D"/>
    <w:rsid w:val="00BB2F5F"/>
    <w:rsid w:val="00BB4B53"/>
    <w:rsid w:val="00BC0A42"/>
    <w:rsid w:val="00BC286A"/>
    <w:rsid w:val="00BC3EA9"/>
    <w:rsid w:val="00BC45E1"/>
    <w:rsid w:val="00BC471A"/>
    <w:rsid w:val="00BC52D2"/>
    <w:rsid w:val="00BC5FEE"/>
    <w:rsid w:val="00BC6152"/>
    <w:rsid w:val="00BC6C9D"/>
    <w:rsid w:val="00BC6F58"/>
    <w:rsid w:val="00BD07C7"/>
    <w:rsid w:val="00BD14CE"/>
    <w:rsid w:val="00BD2421"/>
    <w:rsid w:val="00BD3541"/>
    <w:rsid w:val="00BD4652"/>
    <w:rsid w:val="00BD4A8F"/>
    <w:rsid w:val="00BD62A2"/>
    <w:rsid w:val="00BD6A96"/>
    <w:rsid w:val="00BD6BF0"/>
    <w:rsid w:val="00BD74B1"/>
    <w:rsid w:val="00BE037A"/>
    <w:rsid w:val="00BE112A"/>
    <w:rsid w:val="00BE17E6"/>
    <w:rsid w:val="00BE1D6C"/>
    <w:rsid w:val="00BE27CF"/>
    <w:rsid w:val="00BE2D7E"/>
    <w:rsid w:val="00BE4426"/>
    <w:rsid w:val="00BE540B"/>
    <w:rsid w:val="00BE6364"/>
    <w:rsid w:val="00BE6576"/>
    <w:rsid w:val="00BF048F"/>
    <w:rsid w:val="00BF1FCA"/>
    <w:rsid w:val="00C00650"/>
    <w:rsid w:val="00C021BB"/>
    <w:rsid w:val="00C037A3"/>
    <w:rsid w:val="00C03932"/>
    <w:rsid w:val="00C06B98"/>
    <w:rsid w:val="00C06DE4"/>
    <w:rsid w:val="00C15480"/>
    <w:rsid w:val="00C204EF"/>
    <w:rsid w:val="00C21013"/>
    <w:rsid w:val="00C23824"/>
    <w:rsid w:val="00C23B84"/>
    <w:rsid w:val="00C264D9"/>
    <w:rsid w:val="00C2655A"/>
    <w:rsid w:val="00C269D6"/>
    <w:rsid w:val="00C26F6A"/>
    <w:rsid w:val="00C31354"/>
    <w:rsid w:val="00C319FB"/>
    <w:rsid w:val="00C31C5A"/>
    <w:rsid w:val="00C31EAC"/>
    <w:rsid w:val="00C3269C"/>
    <w:rsid w:val="00C342CA"/>
    <w:rsid w:val="00C34515"/>
    <w:rsid w:val="00C34D9A"/>
    <w:rsid w:val="00C36C08"/>
    <w:rsid w:val="00C36CF8"/>
    <w:rsid w:val="00C36FF2"/>
    <w:rsid w:val="00C373FF"/>
    <w:rsid w:val="00C412AD"/>
    <w:rsid w:val="00C419F7"/>
    <w:rsid w:val="00C4313B"/>
    <w:rsid w:val="00C45F01"/>
    <w:rsid w:val="00C4698C"/>
    <w:rsid w:val="00C5207F"/>
    <w:rsid w:val="00C52D21"/>
    <w:rsid w:val="00C5543B"/>
    <w:rsid w:val="00C573B1"/>
    <w:rsid w:val="00C600EE"/>
    <w:rsid w:val="00C64192"/>
    <w:rsid w:val="00C67D33"/>
    <w:rsid w:val="00C72D39"/>
    <w:rsid w:val="00C7351D"/>
    <w:rsid w:val="00C752EB"/>
    <w:rsid w:val="00C75878"/>
    <w:rsid w:val="00C76BBB"/>
    <w:rsid w:val="00C779D4"/>
    <w:rsid w:val="00C77C0E"/>
    <w:rsid w:val="00C81430"/>
    <w:rsid w:val="00C86829"/>
    <w:rsid w:val="00C935F6"/>
    <w:rsid w:val="00C95234"/>
    <w:rsid w:val="00C9788C"/>
    <w:rsid w:val="00C97C59"/>
    <w:rsid w:val="00CA0C2B"/>
    <w:rsid w:val="00CA418B"/>
    <w:rsid w:val="00CB1766"/>
    <w:rsid w:val="00CB1E90"/>
    <w:rsid w:val="00CB1EB4"/>
    <w:rsid w:val="00CB328F"/>
    <w:rsid w:val="00CB3A38"/>
    <w:rsid w:val="00CB3B10"/>
    <w:rsid w:val="00CB4831"/>
    <w:rsid w:val="00CB5DBA"/>
    <w:rsid w:val="00CB5FBD"/>
    <w:rsid w:val="00CB7F2D"/>
    <w:rsid w:val="00CC21F6"/>
    <w:rsid w:val="00CC4B0F"/>
    <w:rsid w:val="00CC71C7"/>
    <w:rsid w:val="00CC759C"/>
    <w:rsid w:val="00CD0363"/>
    <w:rsid w:val="00CD171A"/>
    <w:rsid w:val="00CD2B43"/>
    <w:rsid w:val="00CD33A6"/>
    <w:rsid w:val="00CD4E01"/>
    <w:rsid w:val="00CD4F9A"/>
    <w:rsid w:val="00CD6935"/>
    <w:rsid w:val="00CD6C36"/>
    <w:rsid w:val="00CE0A6E"/>
    <w:rsid w:val="00CE113C"/>
    <w:rsid w:val="00CE42F4"/>
    <w:rsid w:val="00CE6C1C"/>
    <w:rsid w:val="00CE7B3F"/>
    <w:rsid w:val="00CF0EF2"/>
    <w:rsid w:val="00CF47E5"/>
    <w:rsid w:val="00CF732A"/>
    <w:rsid w:val="00D00533"/>
    <w:rsid w:val="00D01406"/>
    <w:rsid w:val="00D015A7"/>
    <w:rsid w:val="00D0250E"/>
    <w:rsid w:val="00D04A90"/>
    <w:rsid w:val="00D06EF2"/>
    <w:rsid w:val="00D07131"/>
    <w:rsid w:val="00D07526"/>
    <w:rsid w:val="00D07E3B"/>
    <w:rsid w:val="00D1308F"/>
    <w:rsid w:val="00D17F23"/>
    <w:rsid w:val="00D207B2"/>
    <w:rsid w:val="00D220F4"/>
    <w:rsid w:val="00D22B49"/>
    <w:rsid w:val="00D23F60"/>
    <w:rsid w:val="00D240C0"/>
    <w:rsid w:val="00D24A6C"/>
    <w:rsid w:val="00D24AC2"/>
    <w:rsid w:val="00D25A76"/>
    <w:rsid w:val="00D2692A"/>
    <w:rsid w:val="00D27E31"/>
    <w:rsid w:val="00D308D8"/>
    <w:rsid w:val="00D318AF"/>
    <w:rsid w:val="00D3344A"/>
    <w:rsid w:val="00D3355A"/>
    <w:rsid w:val="00D362BE"/>
    <w:rsid w:val="00D36BE9"/>
    <w:rsid w:val="00D3722A"/>
    <w:rsid w:val="00D43F58"/>
    <w:rsid w:val="00D4457A"/>
    <w:rsid w:val="00D45734"/>
    <w:rsid w:val="00D46172"/>
    <w:rsid w:val="00D47829"/>
    <w:rsid w:val="00D47E7C"/>
    <w:rsid w:val="00D50AD1"/>
    <w:rsid w:val="00D542A9"/>
    <w:rsid w:val="00D5501F"/>
    <w:rsid w:val="00D55807"/>
    <w:rsid w:val="00D604C4"/>
    <w:rsid w:val="00D63929"/>
    <w:rsid w:val="00D63C1C"/>
    <w:rsid w:val="00D6421D"/>
    <w:rsid w:val="00D645E0"/>
    <w:rsid w:val="00D65124"/>
    <w:rsid w:val="00D65507"/>
    <w:rsid w:val="00D6599A"/>
    <w:rsid w:val="00D669A4"/>
    <w:rsid w:val="00D66E91"/>
    <w:rsid w:val="00D7143F"/>
    <w:rsid w:val="00D73621"/>
    <w:rsid w:val="00D7507B"/>
    <w:rsid w:val="00D7557F"/>
    <w:rsid w:val="00D75794"/>
    <w:rsid w:val="00D75BC9"/>
    <w:rsid w:val="00D77153"/>
    <w:rsid w:val="00D81BB1"/>
    <w:rsid w:val="00D84F6A"/>
    <w:rsid w:val="00D8506B"/>
    <w:rsid w:val="00D86ADC"/>
    <w:rsid w:val="00D90791"/>
    <w:rsid w:val="00D90F27"/>
    <w:rsid w:val="00D90F8B"/>
    <w:rsid w:val="00D91524"/>
    <w:rsid w:val="00D95433"/>
    <w:rsid w:val="00D95F43"/>
    <w:rsid w:val="00D9772E"/>
    <w:rsid w:val="00DA17B0"/>
    <w:rsid w:val="00DA2C00"/>
    <w:rsid w:val="00DA33EC"/>
    <w:rsid w:val="00DA3F09"/>
    <w:rsid w:val="00DA5E1F"/>
    <w:rsid w:val="00DA6D82"/>
    <w:rsid w:val="00DB169C"/>
    <w:rsid w:val="00DB180E"/>
    <w:rsid w:val="00DB21E9"/>
    <w:rsid w:val="00DB27AF"/>
    <w:rsid w:val="00DB292F"/>
    <w:rsid w:val="00DB3966"/>
    <w:rsid w:val="00DB3F0F"/>
    <w:rsid w:val="00DB5A3F"/>
    <w:rsid w:val="00DB78EC"/>
    <w:rsid w:val="00DC124A"/>
    <w:rsid w:val="00DC2AD7"/>
    <w:rsid w:val="00DC6EBF"/>
    <w:rsid w:val="00DD4D17"/>
    <w:rsid w:val="00DD5846"/>
    <w:rsid w:val="00DD620A"/>
    <w:rsid w:val="00DD7392"/>
    <w:rsid w:val="00DE11D6"/>
    <w:rsid w:val="00DE2212"/>
    <w:rsid w:val="00DE2457"/>
    <w:rsid w:val="00DE2C8D"/>
    <w:rsid w:val="00DE5E69"/>
    <w:rsid w:val="00DE610C"/>
    <w:rsid w:val="00DE7CEB"/>
    <w:rsid w:val="00DE7F13"/>
    <w:rsid w:val="00DF06C4"/>
    <w:rsid w:val="00DF2C09"/>
    <w:rsid w:val="00DF3A31"/>
    <w:rsid w:val="00DF3DDB"/>
    <w:rsid w:val="00DF563C"/>
    <w:rsid w:val="00DF631D"/>
    <w:rsid w:val="00DF6C2D"/>
    <w:rsid w:val="00DF6D88"/>
    <w:rsid w:val="00E010DC"/>
    <w:rsid w:val="00E02941"/>
    <w:rsid w:val="00E03081"/>
    <w:rsid w:val="00E04119"/>
    <w:rsid w:val="00E04A8B"/>
    <w:rsid w:val="00E05B90"/>
    <w:rsid w:val="00E06224"/>
    <w:rsid w:val="00E06B80"/>
    <w:rsid w:val="00E10F8D"/>
    <w:rsid w:val="00E114D9"/>
    <w:rsid w:val="00E126BB"/>
    <w:rsid w:val="00E134A9"/>
    <w:rsid w:val="00E135F9"/>
    <w:rsid w:val="00E14D31"/>
    <w:rsid w:val="00E150E0"/>
    <w:rsid w:val="00E2108D"/>
    <w:rsid w:val="00E21F9F"/>
    <w:rsid w:val="00E220EA"/>
    <w:rsid w:val="00E2262C"/>
    <w:rsid w:val="00E23054"/>
    <w:rsid w:val="00E237A8"/>
    <w:rsid w:val="00E24F7C"/>
    <w:rsid w:val="00E25852"/>
    <w:rsid w:val="00E25FDB"/>
    <w:rsid w:val="00E26DDA"/>
    <w:rsid w:val="00E30009"/>
    <w:rsid w:val="00E30FF3"/>
    <w:rsid w:val="00E31BA9"/>
    <w:rsid w:val="00E31E1C"/>
    <w:rsid w:val="00E337E8"/>
    <w:rsid w:val="00E33A8F"/>
    <w:rsid w:val="00E34AA2"/>
    <w:rsid w:val="00E37FAF"/>
    <w:rsid w:val="00E41F06"/>
    <w:rsid w:val="00E42B30"/>
    <w:rsid w:val="00E42DA2"/>
    <w:rsid w:val="00E45E6B"/>
    <w:rsid w:val="00E47B45"/>
    <w:rsid w:val="00E50167"/>
    <w:rsid w:val="00E5097C"/>
    <w:rsid w:val="00E51DDA"/>
    <w:rsid w:val="00E5361B"/>
    <w:rsid w:val="00E54925"/>
    <w:rsid w:val="00E604A4"/>
    <w:rsid w:val="00E61C4E"/>
    <w:rsid w:val="00E63F87"/>
    <w:rsid w:val="00E6527E"/>
    <w:rsid w:val="00E65A41"/>
    <w:rsid w:val="00E710C9"/>
    <w:rsid w:val="00E71666"/>
    <w:rsid w:val="00E724E4"/>
    <w:rsid w:val="00E73312"/>
    <w:rsid w:val="00E735D4"/>
    <w:rsid w:val="00E73AFD"/>
    <w:rsid w:val="00E7411D"/>
    <w:rsid w:val="00E7483A"/>
    <w:rsid w:val="00E76439"/>
    <w:rsid w:val="00E80317"/>
    <w:rsid w:val="00E80877"/>
    <w:rsid w:val="00E829FE"/>
    <w:rsid w:val="00E82B62"/>
    <w:rsid w:val="00E841D8"/>
    <w:rsid w:val="00E850A8"/>
    <w:rsid w:val="00E858D9"/>
    <w:rsid w:val="00E85DC1"/>
    <w:rsid w:val="00E862F4"/>
    <w:rsid w:val="00E9032B"/>
    <w:rsid w:val="00E90B5E"/>
    <w:rsid w:val="00E92DE1"/>
    <w:rsid w:val="00E93717"/>
    <w:rsid w:val="00E95563"/>
    <w:rsid w:val="00E97E2B"/>
    <w:rsid w:val="00EA0D5B"/>
    <w:rsid w:val="00EA3FF6"/>
    <w:rsid w:val="00EA6DC0"/>
    <w:rsid w:val="00EB2033"/>
    <w:rsid w:val="00EB2481"/>
    <w:rsid w:val="00EB257B"/>
    <w:rsid w:val="00EB2D88"/>
    <w:rsid w:val="00EB404A"/>
    <w:rsid w:val="00EB5234"/>
    <w:rsid w:val="00EB610E"/>
    <w:rsid w:val="00EB722E"/>
    <w:rsid w:val="00EC0E72"/>
    <w:rsid w:val="00EC2028"/>
    <w:rsid w:val="00EC2317"/>
    <w:rsid w:val="00EC2990"/>
    <w:rsid w:val="00EC2A4D"/>
    <w:rsid w:val="00EC43F0"/>
    <w:rsid w:val="00EC4BBD"/>
    <w:rsid w:val="00EC4FBB"/>
    <w:rsid w:val="00EC61E5"/>
    <w:rsid w:val="00EC6654"/>
    <w:rsid w:val="00ED11BA"/>
    <w:rsid w:val="00ED1764"/>
    <w:rsid w:val="00ED200B"/>
    <w:rsid w:val="00ED2520"/>
    <w:rsid w:val="00ED2E12"/>
    <w:rsid w:val="00ED4F03"/>
    <w:rsid w:val="00ED52B2"/>
    <w:rsid w:val="00EE0A57"/>
    <w:rsid w:val="00EE0ADC"/>
    <w:rsid w:val="00EE173D"/>
    <w:rsid w:val="00EE24D6"/>
    <w:rsid w:val="00EE59C6"/>
    <w:rsid w:val="00EF1864"/>
    <w:rsid w:val="00EF26B4"/>
    <w:rsid w:val="00EF33BF"/>
    <w:rsid w:val="00EF6E6D"/>
    <w:rsid w:val="00EF775A"/>
    <w:rsid w:val="00F00020"/>
    <w:rsid w:val="00F02E36"/>
    <w:rsid w:val="00F04707"/>
    <w:rsid w:val="00F04ACD"/>
    <w:rsid w:val="00F0571B"/>
    <w:rsid w:val="00F107A8"/>
    <w:rsid w:val="00F10F01"/>
    <w:rsid w:val="00F110F6"/>
    <w:rsid w:val="00F122E7"/>
    <w:rsid w:val="00F13D28"/>
    <w:rsid w:val="00F152B2"/>
    <w:rsid w:val="00F17D2D"/>
    <w:rsid w:val="00F20894"/>
    <w:rsid w:val="00F22AFE"/>
    <w:rsid w:val="00F237A4"/>
    <w:rsid w:val="00F24087"/>
    <w:rsid w:val="00F24A5E"/>
    <w:rsid w:val="00F265F6"/>
    <w:rsid w:val="00F26653"/>
    <w:rsid w:val="00F27291"/>
    <w:rsid w:val="00F314C0"/>
    <w:rsid w:val="00F32569"/>
    <w:rsid w:val="00F33889"/>
    <w:rsid w:val="00F35C22"/>
    <w:rsid w:val="00F41337"/>
    <w:rsid w:val="00F41940"/>
    <w:rsid w:val="00F44405"/>
    <w:rsid w:val="00F46255"/>
    <w:rsid w:val="00F47DC5"/>
    <w:rsid w:val="00F50A23"/>
    <w:rsid w:val="00F518F3"/>
    <w:rsid w:val="00F5367B"/>
    <w:rsid w:val="00F54B12"/>
    <w:rsid w:val="00F5608F"/>
    <w:rsid w:val="00F6027C"/>
    <w:rsid w:val="00F60DAD"/>
    <w:rsid w:val="00F60DE0"/>
    <w:rsid w:val="00F6194D"/>
    <w:rsid w:val="00F61F8E"/>
    <w:rsid w:val="00F6251B"/>
    <w:rsid w:val="00F626C6"/>
    <w:rsid w:val="00F63405"/>
    <w:rsid w:val="00F64156"/>
    <w:rsid w:val="00F70C8A"/>
    <w:rsid w:val="00F71087"/>
    <w:rsid w:val="00F73A04"/>
    <w:rsid w:val="00F74DE7"/>
    <w:rsid w:val="00F76A83"/>
    <w:rsid w:val="00F81D96"/>
    <w:rsid w:val="00F826E7"/>
    <w:rsid w:val="00F82C6C"/>
    <w:rsid w:val="00F83978"/>
    <w:rsid w:val="00F83ED3"/>
    <w:rsid w:val="00F857B4"/>
    <w:rsid w:val="00F86C88"/>
    <w:rsid w:val="00F86D13"/>
    <w:rsid w:val="00F87535"/>
    <w:rsid w:val="00F91915"/>
    <w:rsid w:val="00F921C0"/>
    <w:rsid w:val="00F92282"/>
    <w:rsid w:val="00F9337A"/>
    <w:rsid w:val="00F962B4"/>
    <w:rsid w:val="00F972B0"/>
    <w:rsid w:val="00FA0210"/>
    <w:rsid w:val="00FA2BF8"/>
    <w:rsid w:val="00FA3AA3"/>
    <w:rsid w:val="00FA4324"/>
    <w:rsid w:val="00FA538C"/>
    <w:rsid w:val="00FA5D62"/>
    <w:rsid w:val="00FA6040"/>
    <w:rsid w:val="00FA6293"/>
    <w:rsid w:val="00FA6373"/>
    <w:rsid w:val="00FB08CC"/>
    <w:rsid w:val="00FB1304"/>
    <w:rsid w:val="00FB3686"/>
    <w:rsid w:val="00FB4545"/>
    <w:rsid w:val="00FB56BD"/>
    <w:rsid w:val="00FB578C"/>
    <w:rsid w:val="00FB58BB"/>
    <w:rsid w:val="00FB597D"/>
    <w:rsid w:val="00FC0D59"/>
    <w:rsid w:val="00FC1A5C"/>
    <w:rsid w:val="00FC2D4C"/>
    <w:rsid w:val="00FC39EA"/>
    <w:rsid w:val="00FC4943"/>
    <w:rsid w:val="00FC60B8"/>
    <w:rsid w:val="00FD15AF"/>
    <w:rsid w:val="00FD2F1A"/>
    <w:rsid w:val="00FD4EC8"/>
    <w:rsid w:val="00FD5E81"/>
    <w:rsid w:val="00FD7F01"/>
    <w:rsid w:val="00FE0775"/>
    <w:rsid w:val="00FE0F88"/>
    <w:rsid w:val="00FE3782"/>
    <w:rsid w:val="00FE3AC5"/>
    <w:rsid w:val="00FE44CF"/>
    <w:rsid w:val="00FE4721"/>
    <w:rsid w:val="00FE4D2A"/>
    <w:rsid w:val="00FE4FD0"/>
    <w:rsid w:val="00FE5839"/>
    <w:rsid w:val="00FF2F3F"/>
    <w:rsid w:val="00FF58F3"/>
    <w:rsid w:val="00FF5AA4"/>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8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93345320">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58805505">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81755197">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0744006">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cc-csc.ca/case-dossier/info/sum-som-eng.aspx?cas=36541" TargetMode="External"/><Relationship Id="rId18" Type="http://schemas.openxmlformats.org/officeDocument/2006/relationships/hyperlink" Target="http://www.canlii.org/en/ca/laws/stat/rsc-1985-c-s-18/latest/rsc-1985-c-s-18.html" TargetMode="External"/><Relationship Id="rId26" Type="http://schemas.openxmlformats.org/officeDocument/2006/relationships/hyperlink" Target="http://www.canlii.org/en/bc/laws/stat/sbc-2004-c-2/latest/sbc-2004-c-2.html" TargetMode="External"/><Relationship Id="rId39" Type="http://schemas.openxmlformats.org/officeDocument/2006/relationships/hyperlink" Target="https://www.canlii.org/fr/qc/qcca/doc/2015/2015qcca895/2015qcca895.html?autocompleteStr=2015%20QCCA%20895&amp;autocompletePos=1" TargetMode="External"/><Relationship Id="rId3" Type="http://schemas.openxmlformats.org/officeDocument/2006/relationships/styles" Target="styles.xml"/><Relationship Id="rId21" Type="http://schemas.openxmlformats.org/officeDocument/2006/relationships/hyperlink" Target="http://www.canlii.org/en/on/onca/doc/2015/2015onca447/2015onca447.html" TargetMode="External"/><Relationship Id="rId34" Type="http://schemas.openxmlformats.org/officeDocument/2006/relationships/hyperlink" Target="http://www.canlii.org/fr/qc/qcca/doc/2015/2015qcca845/2015qcca845.html" TargetMode="External"/><Relationship Id="rId42" Type="http://schemas.openxmlformats.org/officeDocument/2006/relationships/hyperlink" Target="http://www.canlii.org/en/ns/nssc/doc/2014/2014nssc89/2014nssc89.html?autocompleteStr=2014%20NSSC%2089&amp;autocompletePos=1"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scc-csc.ca/case-dossier/info/sum-som-fra.aspx?cas=36530" TargetMode="External"/><Relationship Id="rId17" Type="http://schemas.openxmlformats.org/officeDocument/2006/relationships/hyperlink" Target="http://www.canlii.org/en/ca/laws/stat/rsc-1985-c-s-18/latest/rsc-1985-c-s-18.html" TargetMode="External"/><Relationship Id="rId25" Type="http://schemas.openxmlformats.org/officeDocument/2006/relationships/hyperlink" Target="http://www.canlii.org/en/on/onca/doc/2015/2015onca447/2015onca447.html" TargetMode="External"/><Relationship Id="rId33" Type="http://schemas.openxmlformats.org/officeDocument/2006/relationships/hyperlink" Target="http://www.canlii.org/en/bc/bcca/doc/2015/2015bcca260/2015bcca260.html?autocompleteStr=2015%20BCCA%20260&amp;autocompletePos=1" TargetMode="External"/><Relationship Id="rId38" Type="http://schemas.openxmlformats.org/officeDocument/2006/relationships/hyperlink" Target="https://www.canlii.org/fr/qc/qccs/doc/2015/2015qccs476/2015qccs476.html?autocompleteStr=2015%20qccs%20476&amp;autocompletePos=1"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anlii.org/en/on/onca/doc/2015/2015onca370/2015onca370.html?resultIndex=1" TargetMode="External"/><Relationship Id="rId20" Type="http://schemas.openxmlformats.org/officeDocument/2006/relationships/hyperlink" Target="http://www.canlii.org/en/on/onsc/doc/2014/2014onsc2407/2014onsc2407.html" TargetMode="External"/><Relationship Id="rId29" Type="http://schemas.openxmlformats.org/officeDocument/2006/relationships/hyperlink" Target="http://www.canlii.org/en/bc/bcsc/doc/2014/2014bcsc1002/2014bcsc1002.html?autocompleteStr=2014%20BCSC%201002&amp;autocompletePos=1" TargetMode="External"/><Relationship Id="rId41" Type="http://schemas.openxmlformats.org/officeDocument/2006/relationships/hyperlink" Target="http://www.canlii.org/en/ns/nsca/doc/2015/2015nsca68/2015nsca68.html?autocompleteStr=2015%20NSCA%2068&amp;autocompletePos=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c-csc.ca/case-dossier/info/sum-som-eng.aspx?cas=36600" TargetMode="External"/><Relationship Id="rId24" Type="http://schemas.openxmlformats.org/officeDocument/2006/relationships/hyperlink" Target="http://www.canlii.org/en/on/onsc/doc/2014/2014onsc2407/2014onsc2407.html" TargetMode="External"/><Relationship Id="rId32" Type="http://schemas.openxmlformats.org/officeDocument/2006/relationships/hyperlink" Target="http://www.canlii.org/en/bc/bcsc/doc/2014/2014bcsc1002/2014bcsc1002.html?autocompleteStr=2014%20BCSC%201002&amp;autocompletePos=1" TargetMode="External"/><Relationship Id="rId37" Type="http://schemas.openxmlformats.org/officeDocument/2006/relationships/hyperlink" Target="https://www.canlii.org/fr/qc/qcca/doc/2015/2015qcca895/2015qcca895.html?autocompleteStr=2015%20QCCA%20895&amp;autocompletePos=1" TargetMode="External"/><Relationship Id="rId40" Type="http://schemas.openxmlformats.org/officeDocument/2006/relationships/hyperlink" Target="http://www.canlii.org/en/ns/nssc/doc/2014/2014nssc89/2014nssc89.html?autocompleteStr=2014%20NSSC%2089&amp;autocompletePos=1"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anlii.org/en/on/onca/doc/2015/2015onca370/2015onca370.html?resultIndex=1" TargetMode="External"/><Relationship Id="rId23" Type="http://schemas.openxmlformats.org/officeDocument/2006/relationships/hyperlink" Target="http://www.canlii.org/en/ca/laws/stat/rsc-1985-c-s-18/latest/rsc-1985-c-s-18.html" TargetMode="External"/><Relationship Id="rId28" Type="http://schemas.openxmlformats.org/officeDocument/2006/relationships/hyperlink" Target="http://www.canlii.org/en/bc/laws/stat/sbc-2004-c-2/latest/sbc-2004-c-2.html" TargetMode="External"/><Relationship Id="rId36" Type="http://schemas.openxmlformats.org/officeDocument/2006/relationships/hyperlink" Target="https://www.canlii.org/fr/qc/qccs/doc/2015/2015qccs476/2015qccs476.html?autocompleteStr=2015%20qccs%20476&amp;autocompletePos=1" TargetMode="External"/><Relationship Id="rId49" Type="http://schemas.openxmlformats.org/officeDocument/2006/relationships/header" Target="header3.xml"/><Relationship Id="rId10" Type="http://schemas.openxmlformats.org/officeDocument/2006/relationships/hyperlink" Target="http://www.scc-csc.ca/case-dossier/info/sum-som-eng.aspx?cas=36671" TargetMode="External"/><Relationship Id="rId19" Type="http://schemas.openxmlformats.org/officeDocument/2006/relationships/hyperlink" Target="http://www.canlii.org/en/ca/laws/stat/rsc-1985-c-s-18/latest/rsc-1985-c-s-18.html" TargetMode="External"/><Relationship Id="rId31" Type="http://schemas.openxmlformats.org/officeDocument/2006/relationships/hyperlink" Target="http://www.canlii.org/en/bc/laws/stat/sbc-2004-c-2/latest/sbc-2004-c-2.html" TargetMode="External"/><Relationship Id="rId44" Type="http://schemas.openxmlformats.org/officeDocument/2006/relationships/hyperlink" Target="mailto:comments-commentaires@scc-csc.ca"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c-csc.ca/case-dossier/info/sum-som-eng.aspx?cas=36601" TargetMode="External"/><Relationship Id="rId14" Type="http://schemas.openxmlformats.org/officeDocument/2006/relationships/hyperlink" Target="http://www.scc-csc.ca/case-dossier/info/sum-som-eng.aspx?cas=36629" TargetMode="External"/><Relationship Id="rId22" Type="http://schemas.openxmlformats.org/officeDocument/2006/relationships/hyperlink" Target="http://www.canlii.org/en/ca/laws/stat/rsc-1985-c-s-18/latest/rsc-1985-c-s-18.html" TargetMode="External"/><Relationship Id="rId27" Type="http://schemas.openxmlformats.org/officeDocument/2006/relationships/hyperlink" Target="http://www.canlii.org/en/bc/laws/stat/sbc-2004-c-2/latest/sbc-2004-c-2.html" TargetMode="External"/><Relationship Id="rId30" Type="http://schemas.openxmlformats.org/officeDocument/2006/relationships/hyperlink" Target="http://www.canlii.org/en/bc/bcca/doc/2015/2015bcca260/2015bcca260.html?autocompleteStr=2015%20BCCA%20260&amp;autocompletePos=1" TargetMode="External"/><Relationship Id="rId35" Type="http://schemas.openxmlformats.org/officeDocument/2006/relationships/hyperlink" Target="http://www.canlii.org/fr/qc/qcca/doc/2015/2015qcca845/2015qcca845.html" TargetMode="External"/><Relationship Id="rId43" Type="http://schemas.openxmlformats.org/officeDocument/2006/relationships/hyperlink" Target="http://www.canlii.org/en/ns/nsca/doc/2015/2015nsca68/2015nsca68.html?autocompleteStr=2015%20NSCA%2068&amp;autocompletePos=1" TargetMode="External"/><Relationship Id="rId48" Type="http://schemas.openxmlformats.org/officeDocument/2006/relationships/footer" Target="footer2.xml"/><Relationship Id="rId8" Type="http://schemas.openxmlformats.org/officeDocument/2006/relationships/hyperlink" Target="http://www.scc-csc.ca/case-dossier/info/sum-som-eng.aspx?cas=36572"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3D36F1-792F-4016-8181-71C7F7219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5054</Words>
  <Characters>28813</Characters>
  <Application>Microsoft Office Word</Application>
  <DocSecurity>4</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33800</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2016-02-08T13:21:00Z</dcterms:created>
  <dcterms:modified xsi:type="dcterms:W3CDTF">2016-02-08T13:21:00Z</dcterms:modified>
</cp:coreProperties>
</file>