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55E2C" w:rsidRDefault="003F43E6" w:rsidP="00122CE1">
      <w:pPr>
        <w:pStyle w:val="Header"/>
        <w:tabs>
          <w:tab w:val="left" w:pos="1620"/>
          <w:tab w:val="left" w:pos="1710"/>
        </w:tabs>
        <w:jc w:val="center"/>
        <w:rPr>
          <w:b/>
          <w:sz w:val="32"/>
        </w:rPr>
      </w:pPr>
      <w:r w:rsidRPr="00355E2C">
        <w:rPr>
          <w:b/>
          <w:sz w:val="32"/>
        </w:rPr>
        <w:t>Supreme Court of Canada / Cour suprême du Canada</w:t>
      </w:r>
    </w:p>
    <w:p w:rsidR="003F43E6" w:rsidRPr="00355E2C" w:rsidRDefault="003F43E6" w:rsidP="006F2579">
      <w:pPr>
        <w:widowControl w:val="0"/>
        <w:rPr>
          <w:i/>
        </w:rPr>
      </w:pPr>
    </w:p>
    <w:p w:rsidR="006F2579" w:rsidRPr="00355E2C" w:rsidRDefault="006F2579" w:rsidP="006F2579">
      <w:pPr>
        <w:widowControl w:val="0"/>
        <w:rPr>
          <w:i/>
        </w:rPr>
      </w:pPr>
      <w:r w:rsidRPr="00355E2C">
        <w:rPr>
          <w:i/>
        </w:rPr>
        <w:t>(le français suit)</w:t>
      </w:r>
    </w:p>
    <w:p w:rsidR="006F2579" w:rsidRPr="00355E2C" w:rsidRDefault="006F2579" w:rsidP="006F2579">
      <w:pPr>
        <w:widowControl w:val="0"/>
      </w:pPr>
    </w:p>
    <w:p w:rsidR="006F2579" w:rsidRPr="00355E2C" w:rsidRDefault="00B07908" w:rsidP="006F2579">
      <w:pPr>
        <w:widowControl w:val="0"/>
        <w:jc w:val="center"/>
        <w:rPr>
          <w:b/>
        </w:rPr>
      </w:pPr>
      <w:r w:rsidRPr="00355E2C">
        <w:fldChar w:fldCharType="begin"/>
      </w:r>
      <w:r w:rsidR="006F2579" w:rsidRPr="00355E2C">
        <w:instrText xml:space="preserve"> SEQ CHAPTER \h \r 1</w:instrText>
      </w:r>
      <w:r w:rsidRPr="00355E2C">
        <w:fldChar w:fldCharType="end"/>
      </w:r>
      <w:r w:rsidR="006F2579" w:rsidRPr="00355E2C">
        <w:rPr>
          <w:b/>
        </w:rPr>
        <w:t>JUDGMENT</w:t>
      </w:r>
      <w:r w:rsidR="00B17AAC" w:rsidRPr="00355E2C">
        <w:rPr>
          <w:b/>
        </w:rPr>
        <w:t>S</w:t>
      </w:r>
      <w:r w:rsidR="006F2579" w:rsidRPr="00355E2C">
        <w:rPr>
          <w:b/>
        </w:rPr>
        <w:t xml:space="preserve"> TO B</w:t>
      </w:r>
      <w:r w:rsidR="00001846" w:rsidRPr="00355E2C">
        <w:rPr>
          <w:b/>
        </w:rPr>
        <w:t>E RENDERED IN LEAVE APPLICATION</w:t>
      </w:r>
      <w:r w:rsidR="00AE4C09" w:rsidRPr="00355E2C">
        <w:rPr>
          <w:b/>
        </w:rPr>
        <w:t>S</w:t>
      </w:r>
    </w:p>
    <w:p w:rsidR="006F2579" w:rsidRPr="00A32C42" w:rsidRDefault="006F2579" w:rsidP="006F2579">
      <w:pPr>
        <w:widowControl w:val="0"/>
      </w:pPr>
    </w:p>
    <w:p w:rsidR="006F2579" w:rsidRPr="00355E2C" w:rsidRDefault="00DA48B0" w:rsidP="006F2579">
      <w:pPr>
        <w:widowControl w:val="0"/>
        <w:rPr>
          <w:b/>
        </w:rPr>
      </w:pPr>
      <w:r w:rsidRPr="00355E2C">
        <w:rPr>
          <w:b/>
        </w:rPr>
        <w:t>Ju</w:t>
      </w:r>
      <w:r w:rsidR="006546B9" w:rsidRPr="00355E2C">
        <w:rPr>
          <w:b/>
        </w:rPr>
        <w:t>ly</w:t>
      </w:r>
      <w:r w:rsidR="003817A9" w:rsidRPr="00355E2C">
        <w:rPr>
          <w:b/>
        </w:rPr>
        <w:t xml:space="preserve"> </w:t>
      </w:r>
      <w:r w:rsidR="00A40A77">
        <w:rPr>
          <w:b/>
        </w:rPr>
        <w:t>25</w:t>
      </w:r>
      <w:r w:rsidR="00AB5538" w:rsidRPr="00355E2C">
        <w:rPr>
          <w:b/>
        </w:rPr>
        <w:t>,</w:t>
      </w:r>
      <w:r w:rsidR="006F2579" w:rsidRPr="00355E2C">
        <w:rPr>
          <w:b/>
        </w:rPr>
        <w:t xml:space="preserve"> </w:t>
      </w:r>
      <w:r w:rsidR="0054689F" w:rsidRPr="00355E2C">
        <w:rPr>
          <w:b/>
        </w:rPr>
        <w:t>201</w:t>
      </w:r>
      <w:r w:rsidR="00674329" w:rsidRPr="00355E2C">
        <w:rPr>
          <w:b/>
        </w:rPr>
        <w:t>6</w:t>
      </w:r>
    </w:p>
    <w:p w:rsidR="006F2579" w:rsidRPr="00355E2C" w:rsidRDefault="006F2579" w:rsidP="006F2579">
      <w:pPr>
        <w:widowControl w:val="0"/>
        <w:rPr>
          <w:b/>
        </w:rPr>
      </w:pPr>
      <w:r w:rsidRPr="00355E2C">
        <w:rPr>
          <w:b/>
        </w:rPr>
        <w:t>For immediate release</w:t>
      </w:r>
    </w:p>
    <w:p w:rsidR="006F2579" w:rsidRPr="00355E2C" w:rsidRDefault="006F2579" w:rsidP="006F2579">
      <w:pPr>
        <w:widowControl w:val="0"/>
      </w:pPr>
    </w:p>
    <w:p w:rsidR="006F2579" w:rsidRPr="00A61EAA" w:rsidRDefault="006F2579" w:rsidP="006F2579">
      <w:pPr>
        <w:widowControl w:val="0"/>
        <w:rPr>
          <w:lang w:val="fr-CA"/>
        </w:rPr>
      </w:pPr>
      <w:r w:rsidRPr="00355E2C">
        <w:rPr>
          <w:b/>
        </w:rPr>
        <w:t>OTTAWA</w:t>
      </w:r>
      <w:r w:rsidRPr="00355E2C">
        <w:t xml:space="preserve"> – The Supreme Court of Canada announced today that judgment in the following application</w:t>
      </w:r>
      <w:r w:rsidR="008600ED" w:rsidRPr="00355E2C">
        <w:t>s</w:t>
      </w:r>
      <w:r w:rsidRPr="00355E2C">
        <w:t xml:space="preserve"> for leave to appeal will be delivered at 9:45 a.m. E</w:t>
      </w:r>
      <w:r w:rsidR="003817A9" w:rsidRPr="00355E2C">
        <w:t>D</w:t>
      </w:r>
      <w:r w:rsidRPr="00355E2C">
        <w:t xml:space="preserve">T on Thursday, </w:t>
      </w:r>
      <w:r w:rsidR="00647687" w:rsidRPr="00355E2C">
        <w:t>Ju</w:t>
      </w:r>
      <w:r w:rsidR="006546B9" w:rsidRPr="00355E2C">
        <w:t>ly</w:t>
      </w:r>
      <w:r w:rsidR="007E112F" w:rsidRPr="00355E2C">
        <w:t xml:space="preserve"> </w:t>
      </w:r>
      <w:r w:rsidR="00A40A77">
        <w:t>28</w:t>
      </w:r>
      <w:r w:rsidR="007E112F" w:rsidRPr="00355E2C">
        <w:t>,</w:t>
      </w:r>
      <w:r w:rsidR="002F38D7" w:rsidRPr="00355E2C">
        <w:t xml:space="preserve"> </w:t>
      </w:r>
      <w:r w:rsidR="006648D1" w:rsidRPr="00355E2C">
        <w:t>201</w:t>
      </w:r>
      <w:r w:rsidR="00674329" w:rsidRPr="00355E2C">
        <w:t>6</w:t>
      </w:r>
      <w:r w:rsidRPr="00355E2C">
        <w:t xml:space="preserve">.  </w:t>
      </w:r>
      <w:r w:rsidRPr="00A61EAA">
        <w:rPr>
          <w:lang w:val="fr-CA"/>
        </w:rPr>
        <w:t>This list is subject to change.</w:t>
      </w:r>
    </w:p>
    <w:p w:rsidR="00FF5AA4" w:rsidRPr="00A61EAA" w:rsidRDefault="00FF5AA4" w:rsidP="006F2579">
      <w:pPr>
        <w:widowControl w:val="0"/>
        <w:rPr>
          <w:lang w:val="fr-CA"/>
        </w:rPr>
      </w:pPr>
    </w:p>
    <w:p w:rsidR="00B43418" w:rsidRPr="00A61EAA" w:rsidRDefault="00B43418" w:rsidP="006F2579">
      <w:pPr>
        <w:widowControl w:val="0"/>
        <w:rPr>
          <w:lang w:val="fr-CA"/>
        </w:rPr>
      </w:pPr>
    </w:p>
    <w:p w:rsidR="006F2579" w:rsidRPr="00355E2C" w:rsidRDefault="006F2579" w:rsidP="006F2579">
      <w:pPr>
        <w:widowControl w:val="0"/>
        <w:jc w:val="center"/>
        <w:rPr>
          <w:lang w:val="fr-CA"/>
        </w:rPr>
      </w:pPr>
      <w:r w:rsidRPr="00355E2C">
        <w:rPr>
          <w:b/>
          <w:lang w:val="fr-CA"/>
        </w:rPr>
        <w:t>PROCHAIN</w:t>
      </w:r>
      <w:r w:rsidR="00B17AAC" w:rsidRPr="00355E2C">
        <w:rPr>
          <w:b/>
          <w:lang w:val="fr-CA"/>
        </w:rPr>
        <w:t>S</w:t>
      </w:r>
      <w:r w:rsidRPr="00355E2C">
        <w:rPr>
          <w:b/>
          <w:lang w:val="fr-CA"/>
        </w:rPr>
        <w:t xml:space="preserve"> JUGEMENT</w:t>
      </w:r>
      <w:r w:rsidR="00B17AAC" w:rsidRPr="00355E2C">
        <w:rPr>
          <w:b/>
          <w:lang w:val="fr-CA"/>
        </w:rPr>
        <w:t>S</w:t>
      </w:r>
      <w:r w:rsidR="00001846" w:rsidRPr="00355E2C">
        <w:rPr>
          <w:b/>
          <w:lang w:val="fr-CA"/>
        </w:rPr>
        <w:t xml:space="preserve"> SUR DEMANDE</w:t>
      </w:r>
      <w:r w:rsidR="00B17AAC" w:rsidRPr="00355E2C">
        <w:rPr>
          <w:b/>
          <w:lang w:val="fr-CA"/>
        </w:rPr>
        <w:t>S</w:t>
      </w:r>
      <w:r w:rsidRPr="00355E2C">
        <w:rPr>
          <w:b/>
          <w:lang w:val="fr-CA"/>
        </w:rPr>
        <w:t xml:space="preserve"> D’AUTORISATION</w:t>
      </w:r>
    </w:p>
    <w:p w:rsidR="006F2579" w:rsidRPr="00355E2C" w:rsidRDefault="006F2579" w:rsidP="006F2579">
      <w:pPr>
        <w:widowControl w:val="0"/>
        <w:rPr>
          <w:lang w:val="fr-CA"/>
        </w:rPr>
      </w:pPr>
    </w:p>
    <w:p w:rsidR="006F2579" w:rsidRPr="00355E2C" w:rsidRDefault="006F2579" w:rsidP="006F2579">
      <w:pPr>
        <w:widowControl w:val="0"/>
        <w:rPr>
          <w:b/>
          <w:lang w:val="fr-CA"/>
        </w:rPr>
      </w:pPr>
      <w:r w:rsidRPr="00355E2C">
        <w:rPr>
          <w:b/>
          <w:lang w:val="fr-CA"/>
        </w:rPr>
        <w:t>Le</w:t>
      </w:r>
      <w:r w:rsidR="00957A76" w:rsidRPr="00355E2C">
        <w:rPr>
          <w:b/>
          <w:lang w:val="fr-CA"/>
        </w:rPr>
        <w:t xml:space="preserve"> </w:t>
      </w:r>
      <w:r w:rsidR="00A40A77">
        <w:rPr>
          <w:b/>
          <w:lang w:val="fr-CA"/>
        </w:rPr>
        <w:t>25</w:t>
      </w:r>
      <w:r w:rsidR="004C4BEC" w:rsidRPr="00355E2C">
        <w:rPr>
          <w:b/>
          <w:lang w:val="fr-CA"/>
        </w:rPr>
        <w:t xml:space="preserve"> </w:t>
      </w:r>
      <w:r w:rsidR="00DA48B0" w:rsidRPr="00355E2C">
        <w:rPr>
          <w:b/>
          <w:lang w:val="fr-CA"/>
        </w:rPr>
        <w:t>jui</w:t>
      </w:r>
      <w:r w:rsidR="006546B9" w:rsidRPr="00355E2C">
        <w:rPr>
          <w:b/>
          <w:lang w:val="fr-CA"/>
        </w:rPr>
        <w:t>llet</w:t>
      </w:r>
      <w:r w:rsidR="00674329" w:rsidRPr="00355E2C">
        <w:rPr>
          <w:b/>
          <w:lang w:val="fr-CA"/>
        </w:rPr>
        <w:t xml:space="preserve"> 2016</w:t>
      </w:r>
    </w:p>
    <w:p w:rsidR="006F2579" w:rsidRPr="00355E2C" w:rsidRDefault="006F2579" w:rsidP="006F2579">
      <w:pPr>
        <w:widowControl w:val="0"/>
        <w:rPr>
          <w:b/>
          <w:lang w:val="fr-CA"/>
        </w:rPr>
      </w:pPr>
      <w:r w:rsidRPr="00355E2C">
        <w:rPr>
          <w:b/>
          <w:lang w:val="fr-CA"/>
        </w:rPr>
        <w:t>Pour diffusion immédiate</w:t>
      </w:r>
    </w:p>
    <w:p w:rsidR="006F2579" w:rsidRPr="00A32C42" w:rsidRDefault="006F2579" w:rsidP="006F2579">
      <w:pPr>
        <w:widowControl w:val="0"/>
        <w:rPr>
          <w:lang w:val="fr-CA"/>
        </w:rPr>
      </w:pPr>
    </w:p>
    <w:p w:rsidR="006F2579" w:rsidRPr="00355E2C" w:rsidRDefault="006F2579" w:rsidP="006F2579">
      <w:pPr>
        <w:widowControl w:val="0"/>
        <w:rPr>
          <w:lang w:val="fr-CA"/>
        </w:rPr>
      </w:pPr>
      <w:r w:rsidRPr="00355E2C">
        <w:rPr>
          <w:b/>
          <w:lang w:val="fr-CA"/>
        </w:rPr>
        <w:t>OTTAWA</w:t>
      </w:r>
      <w:r w:rsidRPr="00355E2C">
        <w:rPr>
          <w:lang w:val="fr-CA"/>
        </w:rPr>
        <w:t xml:space="preserve"> – La Cour suprême du Canada annonce que jugement ser</w:t>
      </w:r>
      <w:r w:rsidR="004259F9" w:rsidRPr="00355E2C">
        <w:rPr>
          <w:lang w:val="fr-CA"/>
        </w:rPr>
        <w:t>a</w:t>
      </w:r>
      <w:r w:rsidRPr="00355E2C">
        <w:rPr>
          <w:lang w:val="fr-CA"/>
        </w:rPr>
        <w:t xml:space="preserve"> rendu dans l</w:t>
      </w:r>
      <w:r w:rsidR="008600ED" w:rsidRPr="00355E2C">
        <w:rPr>
          <w:lang w:val="fr-CA"/>
        </w:rPr>
        <w:t>es</w:t>
      </w:r>
      <w:r w:rsidRPr="00355E2C">
        <w:rPr>
          <w:lang w:val="fr-CA"/>
        </w:rPr>
        <w:t xml:space="preserve"> demande</w:t>
      </w:r>
      <w:r w:rsidR="008600ED" w:rsidRPr="00355E2C">
        <w:rPr>
          <w:lang w:val="fr-CA"/>
        </w:rPr>
        <w:t>s</w:t>
      </w:r>
      <w:r w:rsidRPr="00355E2C">
        <w:rPr>
          <w:lang w:val="fr-CA"/>
        </w:rPr>
        <w:t xml:space="preserve"> d</w:t>
      </w:r>
      <w:r w:rsidR="00001846" w:rsidRPr="00355E2C">
        <w:rPr>
          <w:lang w:val="fr-CA"/>
        </w:rPr>
        <w:t>’autorisation d’appel suivante</w:t>
      </w:r>
      <w:r w:rsidR="008600ED" w:rsidRPr="00355E2C">
        <w:rPr>
          <w:lang w:val="fr-CA"/>
        </w:rPr>
        <w:t>s</w:t>
      </w:r>
      <w:r w:rsidRPr="00355E2C">
        <w:rPr>
          <w:lang w:val="fr-CA"/>
        </w:rPr>
        <w:t xml:space="preserve"> le jeudi </w:t>
      </w:r>
      <w:r w:rsidR="00A40A77">
        <w:rPr>
          <w:lang w:val="fr-CA"/>
        </w:rPr>
        <w:t>28</w:t>
      </w:r>
      <w:r w:rsidR="007E112F" w:rsidRPr="00355E2C">
        <w:rPr>
          <w:lang w:val="fr-CA"/>
        </w:rPr>
        <w:t xml:space="preserve"> </w:t>
      </w:r>
      <w:r w:rsidR="00647687" w:rsidRPr="00355E2C">
        <w:rPr>
          <w:lang w:val="fr-CA"/>
        </w:rPr>
        <w:t>jui</w:t>
      </w:r>
      <w:r w:rsidR="006546B9" w:rsidRPr="00355E2C">
        <w:rPr>
          <w:lang w:val="fr-CA"/>
        </w:rPr>
        <w:t>llet</w:t>
      </w:r>
      <w:r w:rsidR="00674329" w:rsidRPr="00355E2C">
        <w:rPr>
          <w:lang w:val="fr-CA"/>
        </w:rPr>
        <w:t xml:space="preserve"> </w:t>
      </w:r>
      <w:r w:rsidR="006648D1" w:rsidRPr="00355E2C">
        <w:rPr>
          <w:lang w:val="fr-CA"/>
        </w:rPr>
        <w:t>201</w:t>
      </w:r>
      <w:r w:rsidR="00674329" w:rsidRPr="00355E2C">
        <w:rPr>
          <w:lang w:val="fr-CA"/>
        </w:rPr>
        <w:t>6</w:t>
      </w:r>
      <w:r w:rsidRPr="00355E2C">
        <w:rPr>
          <w:lang w:val="fr-CA"/>
        </w:rPr>
        <w:t xml:space="preserve">, à 9 h 45 </w:t>
      </w:r>
      <w:r w:rsidR="000627A2" w:rsidRPr="00355E2C">
        <w:rPr>
          <w:lang w:val="fr-CA"/>
        </w:rPr>
        <w:t>H</w:t>
      </w:r>
      <w:r w:rsidR="003817A9" w:rsidRPr="00355E2C">
        <w:rPr>
          <w:lang w:val="fr-CA"/>
        </w:rPr>
        <w:t>A</w:t>
      </w:r>
      <w:r w:rsidRPr="00355E2C">
        <w:rPr>
          <w:lang w:val="fr-CA"/>
        </w:rPr>
        <w:t>E.  Cette liste est sujette à modifications.</w:t>
      </w:r>
    </w:p>
    <w:p w:rsidR="0080556B" w:rsidRPr="00355E2C" w:rsidRDefault="0080556B" w:rsidP="009B14F4">
      <w:pPr>
        <w:widowControl w:val="0"/>
        <w:jc w:val="both"/>
        <w:rPr>
          <w:sz w:val="20"/>
          <w:lang w:val="fr-CA"/>
        </w:rPr>
      </w:pPr>
    </w:p>
    <w:p w:rsidR="001838E0" w:rsidRPr="00355E2C" w:rsidRDefault="003D353C" w:rsidP="009B14F4">
      <w:pPr>
        <w:widowControl w:val="0"/>
        <w:jc w:val="both"/>
        <w:rPr>
          <w:sz w:val="20"/>
          <w:lang w:val="fr-CA"/>
        </w:rPr>
      </w:pPr>
      <w:r w:rsidRPr="00355E2C">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Default="00BE2C4B" w:rsidP="009A5F3F">
      <w:pPr>
        <w:widowControl w:val="0"/>
        <w:autoSpaceDE w:val="0"/>
        <w:autoSpaceDN w:val="0"/>
        <w:adjustRightInd w:val="0"/>
        <w:ind w:left="360" w:hanging="360"/>
        <w:rPr>
          <w:rFonts w:eastAsiaTheme="minorEastAsia"/>
          <w:sz w:val="20"/>
          <w:lang w:val="en-CA" w:eastAsia="en-CA"/>
        </w:rPr>
      </w:pPr>
    </w:p>
    <w:p w:rsidR="00A40A77" w:rsidRPr="00A40A77" w:rsidRDefault="00A40A77" w:rsidP="00A40A77">
      <w:pPr>
        <w:pStyle w:val="ListParagraph"/>
        <w:numPr>
          <w:ilvl w:val="0"/>
          <w:numId w:val="47"/>
        </w:numPr>
        <w:ind w:left="360"/>
        <w:rPr>
          <w:rFonts w:eastAsiaTheme="minorEastAsia"/>
          <w:sz w:val="20"/>
          <w:szCs w:val="20"/>
          <w:lang w:val="en-CA" w:eastAsia="en-CA"/>
        </w:rPr>
      </w:pPr>
      <w:r w:rsidRPr="00A40A77">
        <w:rPr>
          <w:i/>
          <w:sz w:val="20"/>
          <w:szCs w:val="20"/>
          <w:lang w:val="en-CA"/>
        </w:rPr>
        <w:t>Camarin Limited v. Swiss Reinsurance Company et al.</w:t>
      </w:r>
      <w:r w:rsidRPr="00A40A77">
        <w:rPr>
          <w:sz w:val="20"/>
          <w:szCs w:val="20"/>
          <w:lang w:val="en-CA"/>
        </w:rPr>
        <w:t xml:space="preserve"> (B.C.) (Civil) (By Leave)</w:t>
      </w:r>
      <w:r w:rsidRPr="00A40A77">
        <w:rPr>
          <w:sz w:val="20"/>
          <w:lang w:val="en-CA"/>
        </w:rPr>
        <w:t xml:space="preserve"> </w:t>
      </w:r>
      <w:r w:rsidRPr="00A40A77">
        <w:rPr>
          <w:sz w:val="20"/>
        </w:rPr>
        <w:t>(</w:t>
      </w:r>
      <w:hyperlink r:id="rId8" w:history="1">
        <w:r w:rsidRPr="00A40A77">
          <w:rPr>
            <w:rStyle w:val="Hyperlink"/>
            <w:sz w:val="20"/>
          </w:rPr>
          <w:t>36967</w:t>
        </w:r>
      </w:hyperlink>
      <w:r w:rsidRPr="00A40A77">
        <w:rPr>
          <w:sz w:val="20"/>
        </w:rPr>
        <w:t>)</w:t>
      </w:r>
    </w:p>
    <w:p w:rsidR="00A40A77" w:rsidRPr="008106E3" w:rsidRDefault="00A40A77" w:rsidP="008106E3">
      <w:pPr>
        <w:widowControl w:val="0"/>
        <w:autoSpaceDE w:val="0"/>
        <w:autoSpaceDN w:val="0"/>
        <w:adjustRightInd w:val="0"/>
        <w:ind w:left="360" w:hanging="360"/>
        <w:rPr>
          <w:rFonts w:eastAsiaTheme="minorEastAsia"/>
          <w:sz w:val="20"/>
          <w:lang w:val="en-CA" w:eastAsia="en-CA"/>
        </w:rPr>
      </w:pPr>
    </w:p>
    <w:p w:rsidR="008106E3" w:rsidRPr="008106E3" w:rsidRDefault="008106E3" w:rsidP="008106E3">
      <w:pPr>
        <w:pStyle w:val="ListParagraph"/>
        <w:numPr>
          <w:ilvl w:val="0"/>
          <w:numId w:val="47"/>
        </w:numPr>
        <w:ind w:left="360"/>
        <w:rPr>
          <w:sz w:val="20"/>
          <w:lang w:val="en-CA"/>
        </w:rPr>
      </w:pPr>
      <w:r w:rsidRPr="008106E3">
        <w:rPr>
          <w:i/>
          <w:sz w:val="20"/>
        </w:rPr>
        <w:t>Joey John Toutsaint v. Her Majesty the Queen</w:t>
      </w:r>
      <w:r w:rsidRPr="008106E3">
        <w:rPr>
          <w:sz w:val="20"/>
        </w:rPr>
        <w:t xml:space="preserve"> (Sask.) (Criminal) (By Leave)</w:t>
      </w:r>
      <w:r w:rsidR="00880C01">
        <w:rPr>
          <w:sz w:val="20"/>
        </w:rPr>
        <w:t xml:space="preserve"> </w:t>
      </w:r>
      <w:r w:rsidR="00880C01" w:rsidRPr="00A40A77">
        <w:rPr>
          <w:sz w:val="20"/>
        </w:rPr>
        <w:t>(</w:t>
      </w:r>
      <w:hyperlink r:id="rId9" w:history="1">
        <w:r w:rsidR="00880C01" w:rsidRPr="00A40A77">
          <w:rPr>
            <w:rStyle w:val="Hyperlink"/>
            <w:sz w:val="20"/>
          </w:rPr>
          <w:t>369</w:t>
        </w:r>
        <w:r w:rsidR="00880C01">
          <w:rPr>
            <w:rStyle w:val="Hyperlink"/>
            <w:sz w:val="20"/>
          </w:rPr>
          <w:t>43</w:t>
        </w:r>
      </w:hyperlink>
      <w:r w:rsidR="00880C01" w:rsidRPr="00A40A77">
        <w:rPr>
          <w:sz w:val="20"/>
        </w:rPr>
        <w:t>)</w:t>
      </w:r>
    </w:p>
    <w:p w:rsidR="008106E3" w:rsidRPr="008106E3" w:rsidRDefault="008106E3" w:rsidP="008106E3">
      <w:pPr>
        <w:widowControl w:val="0"/>
        <w:ind w:left="360" w:hanging="360"/>
        <w:rPr>
          <w:sz w:val="20"/>
          <w:lang w:val="en-CA"/>
        </w:rPr>
      </w:pPr>
    </w:p>
    <w:p w:rsidR="008106E3" w:rsidRPr="008106E3" w:rsidRDefault="008106E3" w:rsidP="008106E3">
      <w:pPr>
        <w:pStyle w:val="ListParagraph"/>
        <w:numPr>
          <w:ilvl w:val="0"/>
          <w:numId w:val="47"/>
        </w:numPr>
        <w:ind w:left="360"/>
        <w:rPr>
          <w:sz w:val="20"/>
          <w:lang w:val="en-CA"/>
        </w:rPr>
      </w:pPr>
      <w:r w:rsidRPr="008106E3">
        <w:rPr>
          <w:i/>
          <w:sz w:val="20"/>
        </w:rPr>
        <w:t>Jaamiah Al Uloom Al Islamiyyah Ontario v. Minister of National Revenue (Canada Revenue Agency)</w:t>
      </w:r>
      <w:r w:rsidRPr="008106E3">
        <w:rPr>
          <w:sz w:val="20"/>
        </w:rPr>
        <w:t xml:space="preserve"> (F</w:t>
      </w:r>
      <w:r w:rsidR="006327BE">
        <w:rPr>
          <w:sz w:val="20"/>
        </w:rPr>
        <w:t>.</w:t>
      </w:r>
      <w:r w:rsidRPr="008106E3">
        <w:rPr>
          <w:sz w:val="20"/>
        </w:rPr>
        <w:t>C</w:t>
      </w:r>
      <w:r w:rsidR="006327BE">
        <w:rPr>
          <w:sz w:val="20"/>
        </w:rPr>
        <w:t>.</w:t>
      </w:r>
      <w:r w:rsidRPr="008106E3">
        <w:rPr>
          <w:sz w:val="20"/>
        </w:rPr>
        <w:t>) (Civil) (By Leave)</w:t>
      </w:r>
      <w:r w:rsidR="006327BE">
        <w:rPr>
          <w:sz w:val="20"/>
        </w:rPr>
        <w:t xml:space="preserve"> </w:t>
      </w:r>
      <w:r w:rsidR="006327BE" w:rsidRPr="00A40A77">
        <w:rPr>
          <w:sz w:val="20"/>
        </w:rPr>
        <w:t>(</w:t>
      </w:r>
      <w:hyperlink r:id="rId10" w:history="1">
        <w:r w:rsidR="006327BE" w:rsidRPr="00A40A77">
          <w:rPr>
            <w:rStyle w:val="Hyperlink"/>
            <w:sz w:val="20"/>
          </w:rPr>
          <w:t>369</w:t>
        </w:r>
        <w:r w:rsidR="006327BE">
          <w:rPr>
            <w:rStyle w:val="Hyperlink"/>
            <w:sz w:val="20"/>
          </w:rPr>
          <w:t>4</w:t>
        </w:r>
        <w:r w:rsidR="006327BE" w:rsidRPr="00A40A77">
          <w:rPr>
            <w:rStyle w:val="Hyperlink"/>
            <w:sz w:val="20"/>
          </w:rPr>
          <w:t>6</w:t>
        </w:r>
      </w:hyperlink>
      <w:r w:rsidR="006327BE" w:rsidRPr="00A40A77">
        <w:rPr>
          <w:sz w:val="20"/>
        </w:rPr>
        <w:t>)</w:t>
      </w:r>
    </w:p>
    <w:p w:rsidR="008106E3" w:rsidRPr="008106E3" w:rsidRDefault="008106E3" w:rsidP="008106E3">
      <w:pPr>
        <w:widowControl w:val="0"/>
        <w:ind w:left="360" w:hanging="360"/>
        <w:rPr>
          <w:sz w:val="20"/>
          <w:lang w:val="en-GB"/>
        </w:rPr>
      </w:pPr>
    </w:p>
    <w:p w:rsidR="008106E3" w:rsidRPr="008106E3" w:rsidRDefault="008106E3" w:rsidP="008106E3">
      <w:pPr>
        <w:pStyle w:val="ListParagraph"/>
        <w:numPr>
          <w:ilvl w:val="0"/>
          <w:numId w:val="47"/>
        </w:numPr>
        <w:ind w:left="360"/>
        <w:rPr>
          <w:sz w:val="20"/>
          <w:lang w:val="en-CA"/>
        </w:rPr>
      </w:pPr>
      <w:r w:rsidRPr="008106E3">
        <w:rPr>
          <w:i/>
          <w:sz w:val="20"/>
        </w:rPr>
        <w:t>Rocco Galati et al. v. Right Honourable Stephen Harper et al.</w:t>
      </w:r>
      <w:r w:rsidRPr="008106E3">
        <w:rPr>
          <w:sz w:val="20"/>
        </w:rPr>
        <w:t xml:space="preserve"> (F</w:t>
      </w:r>
      <w:r w:rsidR="005E7458">
        <w:rPr>
          <w:sz w:val="20"/>
        </w:rPr>
        <w:t>.</w:t>
      </w:r>
      <w:r w:rsidRPr="008106E3">
        <w:rPr>
          <w:sz w:val="20"/>
        </w:rPr>
        <w:t>C</w:t>
      </w:r>
      <w:r w:rsidR="005E7458">
        <w:rPr>
          <w:sz w:val="20"/>
        </w:rPr>
        <w:t>.</w:t>
      </w:r>
      <w:r w:rsidRPr="008106E3">
        <w:rPr>
          <w:sz w:val="20"/>
        </w:rPr>
        <w:t>) (Civil) (By Leave)</w:t>
      </w:r>
      <w:r w:rsidR="005E7458">
        <w:rPr>
          <w:sz w:val="20"/>
        </w:rPr>
        <w:t xml:space="preserve"> </w:t>
      </w:r>
      <w:r w:rsidR="005E7458" w:rsidRPr="00A40A77">
        <w:rPr>
          <w:sz w:val="20"/>
        </w:rPr>
        <w:t>(</w:t>
      </w:r>
      <w:hyperlink r:id="rId11" w:history="1">
        <w:r w:rsidR="005E7458" w:rsidRPr="00A40A77">
          <w:rPr>
            <w:rStyle w:val="Hyperlink"/>
            <w:sz w:val="20"/>
          </w:rPr>
          <w:t>369</w:t>
        </w:r>
        <w:r w:rsidR="005E7458">
          <w:rPr>
            <w:rStyle w:val="Hyperlink"/>
            <w:sz w:val="20"/>
          </w:rPr>
          <w:t>33</w:t>
        </w:r>
      </w:hyperlink>
      <w:r w:rsidR="005E7458" w:rsidRPr="00A40A77">
        <w:rPr>
          <w:sz w:val="20"/>
        </w:rPr>
        <w:t>)</w:t>
      </w:r>
    </w:p>
    <w:p w:rsidR="008106E3" w:rsidRPr="008106E3" w:rsidRDefault="008106E3" w:rsidP="008106E3">
      <w:pPr>
        <w:widowControl w:val="0"/>
        <w:ind w:left="360" w:hanging="360"/>
        <w:rPr>
          <w:sz w:val="20"/>
          <w:lang w:val="en-CA"/>
        </w:rPr>
      </w:pPr>
    </w:p>
    <w:p w:rsidR="008106E3" w:rsidRPr="008106E3" w:rsidRDefault="008106E3" w:rsidP="008106E3">
      <w:pPr>
        <w:pStyle w:val="ListParagraph"/>
        <w:numPr>
          <w:ilvl w:val="0"/>
          <w:numId w:val="47"/>
        </w:numPr>
        <w:ind w:left="360"/>
        <w:rPr>
          <w:sz w:val="20"/>
          <w:lang w:val="en-CA"/>
        </w:rPr>
      </w:pPr>
      <w:r w:rsidRPr="008106E3">
        <w:rPr>
          <w:i/>
          <w:sz w:val="20"/>
        </w:rPr>
        <w:t>Wayne Ferron v. Peel Regional Police Services et al.</w:t>
      </w:r>
      <w:r w:rsidRPr="008106E3">
        <w:rPr>
          <w:sz w:val="20"/>
        </w:rPr>
        <w:t xml:space="preserve"> (Ont.) (Civil) (By Leave)</w:t>
      </w:r>
      <w:r w:rsidR="006055FE">
        <w:rPr>
          <w:sz w:val="20"/>
        </w:rPr>
        <w:t xml:space="preserve"> </w:t>
      </w:r>
      <w:r w:rsidR="006055FE" w:rsidRPr="00A40A77">
        <w:rPr>
          <w:sz w:val="20"/>
        </w:rPr>
        <w:t>(</w:t>
      </w:r>
      <w:hyperlink r:id="rId12" w:history="1">
        <w:r w:rsidR="006055FE" w:rsidRPr="00A40A77">
          <w:rPr>
            <w:rStyle w:val="Hyperlink"/>
            <w:sz w:val="20"/>
          </w:rPr>
          <w:t>36</w:t>
        </w:r>
        <w:r w:rsidR="006055FE">
          <w:rPr>
            <w:rStyle w:val="Hyperlink"/>
            <w:sz w:val="20"/>
          </w:rPr>
          <w:t>881</w:t>
        </w:r>
      </w:hyperlink>
      <w:r w:rsidR="006055FE" w:rsidRPr="00A40A77">
        <w:rPr>
          <w:sz w:val="20"/>
        </w:rPr>
        <w:t>)</w:t>
      </w:r>
    </w:p>
    <w:p w:rsidR="008106E3" w:rsidRPr="008106E3" w:rsidRDefault="008106E3" w:rsidP="008106E3">
      <w:pPr>
        <w:widowControl w:val="0"/>
        <w:ind w:left="360" w:hanging="360"/>
        <w:rPr>
          <w:sz w:val="20"/>
        </w:rPr>
      </w:pPr>
    </w:p>
    <w:p w:rsidR="008106E3" w:rsidRPr="008106E3" w:rsidRDefault="008106E3" w:rsidP="008106E3">
      <w:pPr>
        <w:pStyle w:val="ListParagraph"/>
        <w:numPr>
          <w:ilvl w:val="0"/>
          <w:numId w:val="47"/>
        </w:numPr>
        <w:ind w:left="360"/>
        <w:rPr>
          <w:sz w:val="20"/>
          <w:lang w:val="en-CA"/>
        </w:rPr>
      </w:pPr>
      <w:r w:rsidRPr="008106E3">
        <w:rPr>
          <w:i/>
          <w:sz w:val="20"/>
        </w:rPr>
        <w:t>Ting-Sheng Chao c. Chi-Wei Lin</w:t>
      </w:r>
      <w:r w:rsidRPr="008106E3">
        <w:rPr>
          <w:sz w:val="20"/>
        </w:rPr>
        <w:t xml:space="preserve"> (Qc) (Civile) (Autorisation)</w:t>
      </w:r>
      <w:r w:rsidR="00225C88">
        <w:rPr>
          <w:sz w:val="20"/>
        </w:rPr>
        <w:t xml:space="preserve"> </w:t>
      </w:r>
      <w:r w:rsidR="00225C88" w:rsidRPr="00A40A77">
        <w:rPr>
          <w:sz w:val="20"/>
        </w:rPr>
        <w:t>(</w:t>
      </w:r>
      <w:hyperlink r:id="rId13" w:history="1">
        <w:r w:rsidR="00225C88" w:rsidRPr="00A40A77">
          <w:rPr>
            <w:rStyle w:val="Hyperlink"/>
            <w:sz w:val="20"/>
          </w:rPr>
          <w:t>36</w:t>
        </w:r>
        <w:r w:rsidR="00225C88">
          <w:rPr>
            <w:rStyle w:val="Hyperlink"/>
            <w:sz w:val="20"/>
          </w:rPr>
          <w:t>83</w:t>
        </w:r>
        <w:r w:rsidR="00225C88" w:rsidRPr="00A40A77">
          <w:rPr>
            <w:rStyle w:val="Hyperlink"/>
            <w:sz w:val="20"/>
          </w:rPr>
          <w:t>7</w:t>
        </w:r>
      </w:hyperlink>
      <w:r w:rsidR="00225C88" w:rsidRPr="00A40A77">
        <w:rPr>
          <w:sz w:val="20"/>
        </w:rPr>
        <w:t>)</w:t>
      </w:r>
    </w:p>
    <w:p w:rsidR="008106E3" w:rsidRPr="008106E3" w:rsidRDefault="008106E3" w:rsidP="008106E3">
      <w:pPr>
        <w:widowControl w:val="0"/>
        <w:ind w:left="360" w:hanging="360"/>
        <w:rPr>
          <w:sz w:val="20"/>
          <w:lang w:val="en-CA"/>
        </w:rPr>
      </w:pPr>
    </w:p>
    <w:p w:rsidR="008106E3" w:rsidRPr="008106E3" w:rsidRDefault="008106E3" w:rsidP="008106E3">
      <w:pPr>
        <w:pStyle w:val="ListParagraph"/>
        <w:numPr>
          <w:ilvl w:val="0"/>
          <w:numId w:val="47"/>
        </w:numPr>
        <w:ind w:left="360"/>
        <w:rPr>
          <w:sz w:val="20"/>
          <w:lang w:val="en-CA"/>
        </w:rPr>
      </w:pPr>
      <w:r w:rsidRPr="008106E3">
        <w:rPr>
          <w:i/>
          <w:sz w:val="20"/>
          <w:lang w:val="en-CA"/>
        </w:rPr>
        <w:t>Jamil Jacek Haidari v. Her Majesty the Queen</w:t>
      </w:r>
      <w:r w:rsidRPr="008106E3">
        <w:rPr>
          <w:sz w:val="20"/>
          <w:lang w:val="en-CA"/>
        </w:rPr>
        <w:t xml:space="preserve"> (F</w:t>
      </w:r>
      <w:r w:rsidR="009241BB">
        <w:rPr>
          <w:sz w:val="20"/>
          <w:lang w:val="en-CA"/>
        </w:rPr>
        <w:t>.</w:t>
      </w:r>
      <w:r w:rsidRPr="008106E3">
        <w:rPr>
          <w:sz w:val="20"/>
          <w:lang w:val="en-CA"/>
        </w:rPr>
        <w:t>C</w:t>
      </w:r>
      <w:r w:rsidR="009241BB">
        <w:rPr>
          <w:sz w:val="20"/>
          <w:lang w:val="en-CA"/>
        </w:rPr>
        <w:t>.</w:t>
      </w:r>
      <w:r w:rsidRPr="008106E3">
        <w:rPr>
          <w:sz w:val="20"/>
          <w:lang w:val="en-CA"/>
        </w:rPr>
        <w:t>) (Civil) (By Leave)</w:t>
      </w:r>
      <w:r w:rsidR="009241BB">
        <w:rPr>
          <w:sz w:val="20"/>
          <w:lang w:val="en-CA"/>
        </w:rPr>
        <w:t xml:space="preserve"> </w:t>
      </w:r>
      <w:r w:rsidR="009241BB" w:rsidRPr="00A40A77">
        <w:rPr>
          <w:sz w:val="20"/>
        </w:rPr>
        <w:t>(</w:t>
      </w:r>
      <w:hyperlink r:id="rId14" w:history="1">
        <w:r w:rsidR="009241BB" w:rsidRPr="00A40A77">
          <w:rPr>
            <w:rStyle w:val="Hyperlink"/>
            <w:sz w:val="20"/>
          </w:rPr>
          <w:t>3696</w:t>
        </w:r>
        <w:r w:rsidR="009241BB">
          <w:rPr>
            <w:rStyle w:val="Hyperlink"/>
            <w:sz w:val="20"/>
          </w:rPr>
          <w:t>4</w:t>
        </w:r>
      </w:hyperlink>
      <w:r w:rsidR="009241BB" w:rsidRPr="00A40A77">
        <w:rPr>
          <w:sz w:val="20"/>
        </w:rPr>
        <w:t>)</w:t>
      </w:r>
    </w:p>
    <w:p w:rsidR="002B61A8" w:rsidRPr="00A110A3" w:rsidRDefault="002B61A8" w:rsidP="00A110A3">
      <w:pPr>
        <w:widowControl w:val="0"/>
        <w:autoSpaceDE w:val="0"/>
        <w:autoSpaceDN w:val="0"/>
        <w:adjustRightInd w:val="0"/>
        <w:ind w:left="360" w:hanging="360"/>
        <w:jc w:val="both"/>
        <w:rPr>
          <w:rFonts w:eastAsiaTheme="minorEastAsia"/>
          <w:sz w:val="20"/>
          <w:lang w:val="en-CA" w:eastAsia="en-CA"/>
        </w:rPr>
      </w:pPr>
    </w:p>
    <w:p w:rsidR="00A32C42" w:rsidRPr="00A110A3" w:rsidRDefault="00A32C42" w:rsidP="00A110A3">
      <w:pPr>
        <w:widowControl w:val="0"/>
        <w:autoSpaceDE w:val="0"/>
        <w:autoSpaceDN w:val="0"/>
        <w:adjustRightInd w:val="0"/>
        <w:ind w:left="360" w:hanging="360"/>
        <w:jc w:val="both"/>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110A3" w:rsidRPr="00A110A3" w:rsidTr="0062360E">
        <w:trPr>
          <w:gridAfter w:val="1"/>
          <w:wAfter w:w="48" w:type="pct"/>
        </w:trPr>
        <w:tc>
          <w:tcPr>
            <w:tcW w:w="538" w:type="pct"/>
          </w:tcPr>
          <w:p w:rsidR="00A110A3" w:rsidRPr="00A110A3" w:rsidRDefault="00A110A3" w:rsidP="00A110A3">
            <w:pPr>
              <w:jc w:val="both"/>
              <w:rPr>
                <w:sz w:val="20"/>
              </w:rPr>
            </w:pPr>
            <w:r w:rsidRPr="00A110A3">
              <w:rPr>
                <w:rStyle w:val="SCCFileNumberChar"/>
                <w:sz w:val="20"/>
                <w:szCs w:val="20"/>
              </w:rPr>
              <w:t>36967</w:t>
            </w:r>
          </w:p>
        </w:tc>
        <w:tc>
          <w:tcPr>
            <w:tcW w:w="4414" w:type="pct"/>
            <w:gridSpan w:val="3"/>
          </w:tcPr>
          <w:p w:rsidR="00A110A3" w:rsidRPr="00A61EAA" w:rsidRDefault="00A110A3" w:rsidP="00A110A3">
            <w:pPr>
              <w:pStyle w:val="SCCLsocParty"/>
              <w:jc w:val="both"/>
              <w:rPr>
                <w:b/>
                <w:sz w:val="20"/>
                <w:szCs w:val="20"/>
                <w:lang w:val="en-US"/>
              </w:rPr>
            </w:pPr>
            <w:r w:rsidRPr="00A61EAA">
              <w:rPr>
                <w:b/>
                <w:sz w:val="20"/>
                <w:szCs w:val="20"/>
                <w:lang w:val="en-US"/>
              </w:rPr>
              <w:t>Camarin Limited v. Swiss Reinsurance Company, Aon Reed Stenhouse Inc., Aon Limited, Aon Global Risk Consultants Limited and Alexander Howden Limited</w:t>
            </w:r>
          </w:p>
          <w:p w:rsidR="00A110A3" w:rsidRPr="00A110A3" w:rsidRDefault="00A110A3" w:rsidP="00A110A3">
            <w:pPr>
              <w:pStyle w:val="SCCLsocSubfileSeparator"/>
              <w:rPr>
                <w:sz w:val="20"/>
                <w:szCs w:val="20"/>
              </w:rPr>
            </w:pPr>
            <w:r w:rsidRPr="00A110A3">
              <w:rPr>
                <w:sz w:val="20"/>
                <w:szCs w:val="20"/>
              </w:rPr>
              <w:t>- and between -</w:t>
            </w:r>
          </w:p>
          <w:p w:rsidR="00A110A3" w:rsidRPr="00A61EAA" w:rsidRDefault="00A110A3" w:rsidP="00A110A3">
            <w:pPr>
              <w:pStyle w:val="SCCLsocParty"/>
              <w:jc w:val="both"/>
              <w:rPr>
                <w:b/>
                <w:sz w:val="20"/>
                <w:szCs w:val="20"/>
                <w:lang w:val="en-US"/>
              </w:rPr>
            </w:pPr>
            <w:r w:rsidRPr="00A61EAA">
              <w:rPr>
                <w:b/>
                <w:sz w:val="20"/>
                <w:szCs w:val="20"/>
                <w:lang w:val="en-US"/>
              </w:rPr>
              <w:t>Camarin Limited v. Swiss Reinsurance Company, Aon Reed Stenhouse Inc., Aon Limited, Aon Global Risk Consultants Limited and Alexander Howden Limited</w:t>
            </w:r>
          </w:p>
          <w:p w:rsidR="00A110A3" w:rsidRPr="00A110A3" w:rsidRDefault="00A110A3" w:rsidP="00A110A3">
            <w:pPr>
              <w:jc w:val="both"/>
              <w:rPr>
                <w:sz w:val="20"/>
              </w:rPr>
            </w:pPr>
            <w:r w:rsidRPr="00A110A3">
              <w:rPr>
                <w:sz w:val="20"/>
              </w:rPr>
              <w:t>(B.C.) (Civil) (By Leave)</w:t>
            </w:r>
          </w:p>
        </w:tc>
      </w:tr>
      <w:tr w:rsidR="00A110A3" w:rsidRPr="00A110A3" w:rsidTr="0062360E">
        <w:trPr>
          <w:gridAfter w:val="1"/>
          <w:wAfter w:w="48" w:type="pct"/>
        </w:trPr>
        <w:tc>
          <w:tcPr>
            <w:tcW w:w="4952" w:type="pct"/>
            <w:gridSpan w:val="4"/>
          </w:tcPr>
          <w:p w:rsidR="00A110A3" w:rsidRPr="00A110A3" w:rsidRDefault="00A110A3" w:rsidP="00A110A3">
            <w:pPr>
              <w:jc w:val="both"/>
              <w:rPr>
                <w:sz w:val="20"/>
              </w:rPr>
            </w:pPr>
            <w:r w:rsidRPr="00A110A3">
              <w:rPr>
                <w:sz w:val="20"/>
              </w:rPr>
              <w:t xml:space="preserve">Insurance – Liability insurance – Reinsured seeking indemnity for settlement in product liability class actions from reinsurer – Reinsurer declining indemnity and claiming rescission of reinsurance policies for original insured’s failure to disclose information material to risk – Reinsured commencing counterclaim and third party claim – Trial judge </w:t>
            </w:r>
            <w:r w:rsidRPr="00A110A3">
              <w:rPr>
                <w:sz w:val="20"/>
              </w:rPr>
              <w:lastRenderedPageBreak/>
              <w:t>dismissing rescission claims, giving judgment on counterclaim and conditional judgment on third party claim – Court of Appeal ordering new trial of all claims – Does the principle of proportionality apply to an appellate court when it directs a new trial and, if so, what considerations are to be applied in exercising the court’s discretion to determine the scope of the retrial?</w:t>
            </w:r>
          </w:p>
          <w:p w:rsidR="00A110A3" w:rsidRPr="00A110A3" w:rsidRDefault="00A110A3" w:rsidP="00A110A3">
            <w:pPr>
              <w:jc w:val="both"/>
              <w:rPr>
                <w:sz w:val="20"/>
              </w:rPr>
            </w:pPr>
          </w:p>
          <w:p w:rsidR="00A110A3" w:rsidRPr="00A110A3" w:rsidRDefault="00A110A3" w:rsidP="00A110A3">
            <w:pPr>
              <w:jc w:val="both"/>
              <w:rPr>
                <w:sz w:val="20"/>
              </w:rPr>
            </w:pPr>
            <w:r w:rsidRPr="00A110A3">
              <w:rPr>
                <w:sz w:val="20"/>
              </w:rPr>
              <w:t xml:space="preserve">The applicant </w:t>
            </w:r>
            <w:proofErr w:type="spellStart"/>
            <w:r w:rsidRPr="00A110A3">
              <w:rPr>
                <w:sz w:val="20"/>
              </w:rPr>
              <w:t>Camarin</w:t>
            </w:r>
            <w:proofErr w:type="spellEnd"/>
            <w:r w:rsidRPr="00A110A3">
              <w:rPr>
                <w:sz w:val="20"/>
              </w:rPr>
              <w:t xml:space="preserve"> Limited (“</w:t>
            </w:r>
            <w:proofErr w:type="spellStart"/>
            <w:r w:rsidRPr="00A110A3">
              <w:rPr>
                <w:sz w:val="20"/>
              </w:rPr>
              <w:t>Camarin</w:t>
            </w:r>
            <w:proofErr w:type="spellEnd"/>
            <w:r w:rsidRPr="00A110A3">
              <w:rPr>
                <w:sz w:val="20"/>
              </w:rPr>
              <w:t xml:space="preserve">”) reinsured 50 percent of an umbrella policy issued to the insured by the main insurer. The respondent Swiss Reinsurance Company (“Swiss Re”), in turn, reinsured one hundred percent of </w:t>
            </w:r>
            <w:proofErr w:type="spellStart"/>
            <w:r w:rsidRPr="00A110A3">
              <w:rPr>
                <w:sz w:val="20"/>
              </w:rPr>
              <w:t>Camarin’s</w:t>
            </w:r>
            <w:proofErr w:type="spellEnd"/>
            <w:r w:rsidRPr="00A110A3">
              <w:rPr>
                <w:sz w:val="20"/>
              </w:rPr>
              <w:t xml:space="preserve"> limits.  </w:t>
            </w:r>
          </w:p>
          <w:p w:rsidR="00A110A3" w:rsidRPr="00A110A3" w:rsidRDefault="00A110A3" w:rsidP="00A110A3">
            <w:pPr>
              <w:jc w:val="both"/>
              <w:rPr>
                <w:sz w:val="20"/>
              </w:rPr>
            </w:pPr>
          </w:p>
          <w:p w:rsidR="00A110A3" w:rsidRPr="00A110A3" w:rsidRDefault="00A110A3" w:rsidP="00A110A3">
            <w:pPr>
              <w:jc w:val="both"/>
              <w:rPr>
                <w:sz w:val="20"/>
              </w:rPr>
            </w:pPr>
            <w:r w:rsidRPr="00A110A3">
              <w:rPr>
                <w:sz w:val="20"/>
              </w:rPr>
              <w:t xml:space="preserve">The main insurer contributed to settlement in a product liability class action against the insured and sought contribution from </w:t>
            </w:r>
            <w:proofErr w:type="spellStart"/>
            <w:r w:rsidRPr="00A110A3">
              <w:rPr>
                <w:sz w:val="20"/>
              </w:rPr>
              <w:t>Camarin</w:t>
            </w:r>
            <w:proofErr w:type="spellEnd"/>
            <w:r w:rsidRPr="00A110A3">
              <w:rPr>
                <w:sz w:val="20"/>
              </w:rPr>
              <w:t xml:space="preserve"> for the excess liability. When </w:t>
            </w:r>
            <w:proofErr w:type="spellStart"/>
            <w:r w:rsidRPr="00A110A3">
              <w:rPr>
                <w:sz w:val="20"/>
              </w:rPr>
              <w:t>Camarin</w:t>
            </w:r>
            <w:proofErr w:type="spellEnd"/>
            <w:r w:rsidRPr="00A110A3">
              <w:rPr>
                <w:sz w:val="20"/>
              </w:rPr>
              <w:t xml:space="preserve"> turned to Swiss Re for an indemnity, Swiss Re declined to indemnify </w:t>
            </w:r>
            <w:proofErr w:type="spellStart"/>
            <w:r w:rsidRPr="00A110A3">
              <w:rPr>
                <w:sz w:val="20"/>
              </w:rPr>
              <w:t>Camarin</w:t>
            </w:r>
            <w:proofErr w:type="spellEnd"/>
            <w:r w:rsidRPr="00A110A3">
              <w:rPr>
                <w:sz w:val="20"/>
              </w:rPr>
              <w:t xml:space="preserve"> and commenced an action seeking rescission of the reinsurance policies with </w:t>
            </w:r>
            <w:proofErr w:type="spellStart"/>
            <w:r w:rsidRPr="00A110A3">
              <w:rPr>
                <w:sz w:val="20"/>
              </w:rPr>
              <w:t>Camarin</w:t>
            </w:r>
            <w:proofErr w:type="spellEnd"/>
            <w:r w:rsidRPr="00A110A3">
              <w:rPr>
                <w:sz w:val="20"/>
              </w:rPr>
              <w:t xml:space="preserve">. Swiss Re asserted that the insured failed to disclose material information about its knowledge of resulting damage claims in each policy year. Swiss Re asserted that such information was material to the risk it had insured, and if disclosed, would have rendered the policy voidable. </w:t>
            </w:r>
            <w:proofErr w:type="spellStart"/>
            <w:r w:rsidRPr="00A110A3">
              <w:rPr>
                <w:sz w:val="20"/>
              </w:rPr>
              <w:t>Camarin</w:t>
            </w:r>
            <w:proofErr w:type="spellEnd"/>
            <w:r w:rsidRPr="00A110A3">
              <w:rPr>
                <w:sz w:val="20"/>
              </w:rPr>
              <w:t xml:space="preserve"> counterclaimed for judgment on the policies and sued Aon Reed </w:t>
            </w:r>
            <w:proofErr w:type="spellStart"/>
            <w:r w:rsidRPr="00A110A3">
              <w:rPr>
                <w:sz w:val="20"/>
              </w:rPr>
              <w:t>Stenhouse</w:t>
            </w:r>
            <w:proofErr w:type="spellEnd"/>
            <w:r w:rsidRPr="00A110A3">
              <w:rPr>
                <w:sz w:val="20"/>
              </w:rPr>
              <w:t xml:space="preserve"> Inc. (“Aon”) by way of a third party claim. </w:t>
            </w:r>
            <w:proofErr w:type="spellStart"/>
            <w:r w:rsidRPr="00A110A3">
              <w:rPr>
                <w:sz w:val="20"/>
              </w:rPr>
              <w:t>Camarin</w:t>
            </w:r>
            <w:proofErr w:type="spellEnd"/>
            <w:r w:rsidRPr="00A110A3">
              <w:rPr>
                <w:sz w:val="20"/>
              </w:rPr>
              <w:t xml:space="preserve"> asserted that Aon was negligent in placing the reinsurance policies with Swiss Re without a “follow the settlements” clause.</w:t>
            </w:r>
          </w:p>
        </w:tc>
      </w:tr>
      <w:tr w:rsidR="00A110A3" w:rsidRPr="00A110A3" w:rsidTr="0062360E">
        <w:trPr>
          <w:gridAfter w:val="1"/>
          <w:wAfter w:w="48" w:type="pct"/>
        </w:trPr>
        <w:tc>
          <w:tcPr>
            <w:tcW w:w="4952" w:type="pct"/>
            <w:gridSpan w:val="4"/>
          </w:tcPr>
          <w:p w:rsidR="00A110A3" w:rsidRPr="00A110A3" w:rsidRDefault="00A110A3" w:rsidP="00A110A3">
            <w:pPr>
              <w:jc w:val="both"/>
              <w:rPr>
                <w:sz w:val="20"/>
              </w:rPr>
            </w:pPr>
          </w:p>
        </w:tc>
      </w:tr>
      <w:tr w:rsidR="00A110A3" w:rsidRPr="00A110A3" w:rsidTr="0062360E">
        <w:tblPrEx>
          <w:tblCellMar>
            <w:bottom w:w="0" w:type="dxa"/>
          </w:tblCellMar>
        </w:tblPrEx>
        <w:tc>
          <w:tcPr>
            <w:tcW w:w="2367" w:type="pct"/>
            <w:gridSpan w:val="2"/>
          </w:tcPr>
          <w:p w:rsidR="00A110A3" w:rsidRPr="00A110A3" w:rsidRDefault="00A110A3" w:rsidP="00A110A3">
            <w:pPr>
              <w:jc w:val="both"/>
              <w:rPr>
                <w:sz w:val="20"/>
              </w:rPr>
            </w:pPr>
            <w:r w:rsidRPr="00A110A3">
              <w:rPr>
                <w:sz w:val="20"/>
              </w:rPr>
              <w:t>July 9, 2012</w:t>
            </w:r>
          </w:p>
          <w:p w:rsidR="00A110A3" w:rsidRPr="00A110A3" w:rsidRDefault="00A110A3" w:rsidP="00A110A3">
            <w:pPr>
              <w:jc w:val="both"/>
              <w:rPr>
                <w:sz w:val="20"/>
              </w:rPr>
            </w:pPr>
            <w:r w:rsidRPr="00A110A3">
              <w:rPr>
                <w:sz w:val="20"/>
              </w:rPr>
              <w:t>Supreme Court of British Columbia</w:t>
            </w:r>
          </w:p>
          <w:p w:rsidR="00A110A3" w:rsidRPr="00A110A3" w:rsidRDefault="00A110A3" w:rsidP="00A110A3">
            <w:pPr>
              <w:jc w:val="both"/>
              <w:rPr>
                <w:sz w:val="20"/>
              </w:rPr>
            </w:pPr>
            <w:r w:rsidRPr="00A110A3">
              <w:rPr>
                <w:sz w:val="20"/>
              </w:rPr>
              <w:t>(</w:t>
            </w:r>
            <w:proofErr w:type="spellStart"/>
            <w:r w:rsidRPr="00A110A3">
              <w:rPr>
                <w:sz w:val="20"/>
              </w:rPr>
              <w:t>Burnyeat</w:t>
            </w:r>
            <w:proofErr w:type="spellEnd"/>
            <w:r w:rsidRPr="00A110A3">
              <w:rPr>
                <w:sz w:val="20"/>
              </w:rPr>
              <w:t xml:space="preserve"> J.)</w:t>
            </w:r>
          </w:p>
          <w:p w:rsidR="00A110A3" w:rsidRPr="00A110A3" w:rsidRDefault="00A61EAA" w:rsidP="00A110A3">
            <w:pPr>
              <w:jc w:val="both"/>
              <w:rPr>
                <w:sz w:val="20"/>
              </w:rPr>
            </w:pPr>
            <w:hyperlink r:id="rId15" w:history="1">
              <w:r w:rsidR="00A110A3" w:rsidRPr="00A110A3">
                <w:rPr>
                  <w:rStyle w:val="Hyperlink"/>
                  <w:sz w:val="20"/>
                </w:rPr>
                <w:t>2012 BCSC 1006</w:t>
              </w:r>
            </w:hyperlink>
          </w:p>
          <w:p w:rsidR="00A110A3" w:rsidRPr="00A110A3" w:rsidRDefault="00A110A3" w:rsidP="00A110A3">
            <w:pPr>
              <w:jc w:val="both"/>
              <w:rPr>
                <w:sz w:val="20"/>
              </w:rPr>
            </w:pPr>
          </w:p>
        </w:tc>
        <w:tc>
          <w:tcPr>
            <w:tcW w:w="267" w:type="pct"/>
          </w:tcPr>
          <w:p w:rsidR="00A110A3" w:rsidRPr="00A110A3" w:rsidRDefault="00A110A3" w:rsidP="00A110A3">
            <w:pPr>
              <w:jc w:val="both"/>
              <w:rPr>
                <w:sz w:val="20"/>
              </w:rPr>
            </w:pPr>
          </w:p>
        </w:tc>
        <w:tc>
          <w:tcPr>
            <w:tcW w:w="2366" w:type="pct"/>
            <w:gridSpan w:val="2"/>
          </w:tcPr>
          <w:p w:rsidR="00A110A3" w:rsidRPr="00A110A3" w:rsidRDefault="00A110A3" w:rsidP="00A110A3">
            <w:pPr>
              <w:jc w:val="both"/>
              <w:rPr>
                <w:sz w:val="20"/>
              </w:rPr>
            </w:pPr>
            <w:r w:rsidRPr="00A110A3">
              <w:rPr>
                <w:sz w:val="20"/>
              </w:rPr>
              <w:t xml:space="preserve">Main claim dismissed, counter-claim allowed, third-party claim conditionally allowed </w:t>
            </w:r>
          </w:p>
          <w:p w:rsidR="00A110A3" w:rsidRPr="00A110A3" w:rsidRDefault="00A110A3" w:rsidP="00A110A3">
            <w:pPr>
              <w:jc w:val="both"/>
              <w:rPr>
                <w:sz w:val="20"/>
              </w:rPr>
            </w:pPr>
          </w:p>
        </w:tc>
      </w:tr>
      <w:tr w:rsidR="00A110A3" w:rsidRPr="00A110A3" w:rsidTr="0062360E">
        <w:tblPrEx>
          <w:tblCellMar>
            <w:bottom w:w="0" w:type="dxa"/>
          </w:tblCellMar>
        </w:tblPrEx>
        <w:tc>
          <w:tcPr>
            <w:tcW w:w="2367" w:type="pct"/>
            <w:gridSpan w:val="2"/>
          </w:tcPr>
          <w:p w:rsidR="00A110A3" w:rsidRPr="00A110A3" w:rsidRDefault="00A110A3" w:rsidP="00A110A3">
            <w:pPr>
              <w:jc w:val="both"/>
              <w:rPr>
                <w:sz w:val="20"/>
              </w:rPr>
            </w:pPr>
            <w:r w:rsidRPr="00A110A3">
              <w:rPr>
                <w:sz w:val="20"/>
              </w:rPr>
              <w:t>November 13, 2015</w:t>
            </w:r>
          </w:p>
          <w:p w:rsidR="00A110A3" w:rsidRPr="00A110A3" w:rsidRDefault="00A110A3" w:rsidP="00A110A3">
            <w:pPr>
              <w:jc w:val="both"/>
              <w:rPr>
                <w:sz w:val="20"/>
              </w:rPr>
            </w:pPr>
            <w:r w:rsidRPr="00A110A3">
              <w:rPr>
                <w:sz w:val="20"/>
              </w:rPr>
              <w:t xml:space="preserve">Court of Appeal for British Columbia </w:t>
            </w:r>
          </w:p>
          <w:p w:rsidR="00A110A3" w:rsidRPr="00A110A3" w:rsidRDefault="00A110A3" w:rsidP="00A110A3">
            <w:pPr>
              <w:jc w:val="both"/>
              <w:rPr>
                <w:sz w:val="20"/>
              </w:rPr>
            </w:pPr>
            <w:r w:rsidRPr="00A110A3">
              <w:rPr>
                <w:sz w:val="20"/>
              </w:rPr>
              <w:t>(Vancouver)</w:t>
            </w:r>
          </w:p>
          <w:p w:rsidR="00A110A3" w:rsidRPr="00A110A3" w:rsidRDefault="00A110A3" w:rsidP="00A110A3">
            <w:pPr>
              <w:jc w:val="both"/>
              <w:rPr>
                <w:sz w:val="20"/>
              </w:rPr>
            </w:pPr>
            <w:r w:rsidRPr="00A110A3">
              <w:rPr>
                <w:sz w:val="20"/>
              </w:rPr>
              <w:t xml:space="preserve">(Garson, </w:t>
            </w:r>
            <w:proofErr w:type="spellStart"/>
            <w:r w:rsidRPr="00A110A3">
              <w:rPr>
                <w:sz w:val="20"/>
              </w:rPr>
              <w:t>Willcock</w:t>
            </w:r>
            <w:proofErr w:type="spellEnd"/>
            <w:r w:rsidRPr="00A110A3">
              <w:rPr>
                <w:sz w:val="20"/>
              </w:rPr>
              <w:t xml:space="preserve"> and </w:t>
            </w:r>
            <w:proofErr w:type="spellStart"/>
            <w:r w:rsidRPr="00A110A3">
              <w:rPr>
                <w:sz w:val="20"/>
              </w:rPr>
              <w:t>Goepel</w:t>
            </w:r>
            <w:proofErr w:type="spellEnd"/>
            <w:r w:rsidRPr="00A110A3">
              <w:rPr>
                <w:sz w:val="20"/>
              </w:rPr>
              <w:t xml:space="preserve"> JJ.A.)</w:t>
            </w:r>
          </w:p>
          <w:p w:rsidR="00A110A3" w:rsidRPr="00A110A3" w:rsidRDefault="00A61EAA" w:rsidP="00A110A3">
            <w:pPr>
              <w:jc w:val="both"/>
              <w:rPr>
                <w:sz w:val="20"/>
              </w:rPr>
            </w:pPr>
            <w:hyperlink r:id="rId16" w:history="1">
              <w:r w:rsidR="00A110A3" w:rsidRPr="00A110A3">
                <w:rPr>
                  <w:rStyle w:val="Hyperlink"/>
                  <w:sz w:val="20"/>
                </w:rPr>
                <w:t>2015 BCCA 466</w:t>
              </w:r>
            </w:hyperlink>
          </w:p>
          <w:p w:rsidR="00A110A3" w:rsidRPr="00A110A3" w:rsidRDefault="00A110A3" w:rsidP="00A110A3">
            <w:pPr>
              <w:jc w:val="both"/>
              <w:rPr>
                <w:sz w:val="20"/>
              </w:rPr>
            </w:pPr>
          </w:p>
        </w:tc>
        <w:tc>
          <w:tcPr>
            <w:tcW w:w="267" w:type="pct"/>
          </w:tcPr>
          <w:p w:rsidR="00A110A3" w:rsidRPr="00A110A3" w:rsidRDefault="00A110A3" w:rsidP="00A110A3">
            <w:pPr>
              <w:jc w:val="both"/>
              <w:rPr>
                <w:sz w:val="20"/>
              </w:rPr>
            </w:pPr>
          </w:p>
        </w:tc>
        <w:tc>
          <w:tcPr>
            <w:tcW w:w="2366" w:type="pct"/>
            <w:gridSpan w:val="2"/>
          </w:tcPr>
          <w:p w:rsidR="00A110A3" w:rsidRPr="00A110A3" w:rsidRDefault="00A110A3" w:rsidP="00A110A3">
            <w:pPr>
              <w:jc w:val="both"/>
              <w:rPr>
                <w:sz w:val="20"/>
              </w:rPr>
            </w:pPr>
            <w:r w:rsidRPr="00A110A3">
              <w:rPr>
                <w:sz w:val="20"/>
              </w:rPr>
              <w:t>Appeal allowed, new trial ordered</w:t>
            </w:r>
          </w:p>
          <w:p w:rsidR="00A110A3" w:rsidRPr="00A110A3" w:rsidRDefault="00A110A3" w:rsidP="00A110A3">
            <w:pPr>
              <w:jc w:val="both"/>
              <w:rPr>
                <w:sz w:val="20"/>
              </w:rPr>
            </w:pPr>
          </w:p>
        </w:tc>
      </w:tr>
      <w:tr w:rsidR="00A110A3" w:rsidRPr="00A110A3" w:rsidTr="0062360E">
        <w:tblPrEx>
          <w:tblCellMar>
            <w:bottom w:w="0" w:type="dxa"/>
          </w:tblCellMar>
        </w:tblPrEx>
        <w:tc>
          <w:tcPr>
            <w:tcW w:w="2367" w:type="pct"/>
            <w:gridSpan w:val="2"/>
          </w:tcPr>
          <w:p w:rsidR="00A110A3" w:rsidRPr="00A110A3" w:rsidRDefault="00A110A3" w:rsidP="00A110A3">
            <w:pPr>
              <w:jc w:val="both"/>
              <w:rPr>
                <w:sz w:val="20"/>
              </w:rPr>
            </w:pPr>
            <w:r w:rsidRPr="00A110A3">
              <w:rPr>
                <w:sz w:val="20"/>
              </w:rPr>
              <w:t>February 25, 2016</w:t>
            </w:r>
          </w:p>
          <w:p w:rsidR="00A110A3" w:rsidRPr="00A110A3" w:rsidRDefault="00A110A3" w:rsidP="00A110A3">
            <w:pPr>
              <w:jc w:val="both"/>
              <w:rPr>
                <w:sz w:val="20"/>
              </w:rPr>
            </w:pPr>
            <w:r w:rsidRPr="00A110A3">
              <w:rPr>
                <w:sz w:val="20"/>
              </w:rPr>
              <w:t xml:space="preserve">Court of Appeal for British Columbia </w:t>
            </w:r>
          </w:p>
          <w:p w:rsidR="00A110A3" w:rsidRPr="00A110A3" w:rsidRDefault="00A110A3" w:rsidP="00A110A3">
            <w:pPr>
              <w:jc w:val="both"/>
              <w:rPr>
                <w:sz w:val="20"/>
              </w:rPr>
            </w:pPr>
            <w:r w:rsidRPr="00A110A3">
              <w:rPr>
                <w:sz w:val="20"/>
              </w:rPr>
              <w:t>(Vancouver)</w:t>
            </w:r>
          </w:p>
          <w:p w:rsidR="00A110A3" w:rsidRPr="00A110A3" w:rsidRDefault="00A110A3" w:rsidP="00A110A3">
            <w:pPr>
              <w:jc w:val="both"/>
              <w:rPr>
                <w:sz w:val="20"/>
              </w:rPr>
            </w:pPr>
            <w:r w:rsidRPr="00A110A3">
              <w:rPr>
                <w:sz w:val="20"/>
              </w:rPr>
              <w:t xml:space="preserve">(Garson, </w:t>
            </w:r>
            <w:proofErr w:type="spellStart"/>
            <w:r w:rsidRPr="00A110A3">
              <w:rPr>
                <w:sz w:val="20"/>
              </w:rPr>
              <w:t>Willcock</w:t>
            </w:r>
            <w:proofErr w:type="spellEnd"/>
            <w:r w:rsidRPr="00A110A3">
              <w:rPr>
                <w:sz w:val="20"/>
              </w:rPr>
              <w:t xml:space="preserve"> and </w:t>
            </w:r>
            <w:proofErr w:type="spellStart"/>
            <w:r w:rsidRPr="00A110A3">
              <w:rPr>
                <w:sz w:val="20"/>
              </w:rPr>
              <w:t>Goepel</w:t>
            </w:r>
            <w:proofErr w:type="spellEnd"/>
            <w:r w:rsidRPr="00A110A3">
              <w:rPr>
                <w:sz w:val="20"/>
              </w:rPr>
              <w:t xml:space="preserve"> JJ.A.)</w:t>
            </w:r>
          </w:p>
          <w:p w:rsidR="00A110A3" w:rsidRPr="00A110A3" w:rsidRDefault="00A61EAA" w:rsidP="00A110A3">
            <w:pPr>
              <w:jc w:val="both"/>
              <w:rPr>
                <w:sz w:val="20"/>
              </w:rPr>
            </w:pPr>
            <w:hyperlink r:id="rId17" w:history="1">
              <w:r w:rsidR="00A110A3" w:rsidRPr="00A110A3">
                <w:rPr>
                  <w:rStyle w:val="Hyperlink"/>
                  <w:sz w:val="20"/>
                </w:rPr>
                <w:t>2016 BCCA 92</w:t>
              </w:r>
            </w:hyperlink>
          </w:p>
          <w:p w:rsidR="00A110A3" w:rsidRPr="00A110A3" w:rsidRDefault="00A110A3" w:rsidP="00A110A3">
            <w:pPr>
              <w:jc w:val="both"/>
              <w:rPr>
                <w:sz w:val="20"/>
              </w:rPr>
            </w:pPr>
          </w:p>
        </w:tc>
        <w:tc>
          <w:tcPr>
            <w:tcW w:w="267" w:type="pct"/>
          </w:tcPr>
          <w:p w:rsidR="00A110A3" w:rsidRPr="00A110A3" w:rsidRDefault="00A110A3" w:rsidP="00A110A3">
            <w:pPr>
              <w:jc w:val="both"/>
              <w:rPr>
                <w:sz w:val="20"/>
              </w:rPr>
            </w:pPr>
          </w:p>
        </w:tc>
        <w:tc>
          <w:tcPr>
            <w:tcW w:w="2366" w:type="pct"/>
            <w:gridSpan w:val="2"/>
          </w:tcPr>
          <w:p w:rsidR="00A110A3" w:rsidRPr="00A110A3" w:rsidRDefault="00A110A3" w:rsidP="00A110A3">
            <w:pPr>
              <w:jc w:val="both"/>
              <w:rPr>
                <w:sz w:val="20"/>
              </w:rPr>
            </w:pPr>
            <w:r w:rsidRPr="00A110A3">
              <w:rPr>
                <w:sz w:val="20"/>
              </w:rPr>
              <w:t xml:space="preserve">Application for reconsideration dismissed </w:t>
            </w:r>
          </w:p>
          <w:p w:rsidR="00A110A3" w:rsidRPr="00A110A3" w:rsidRDefault="00A110A3" w:rsidP="00A110A3">
            <w:pPr>
              <w:jc w:val="both"/>
              <w:rPr>
                <w:sz w:val="20"/>
              </w:rPr>
            </w:pPr>
          </w:p>
        </w:tc>
      </w:tr>
      <w:tr w:rsidR="00A110A3" w:rsidRPr="00A110A3" w:rsidTr="0062360E">
        <w:tblPrEx>
          <w:tblCellMar>
            <w:bottom w:w="0" w:type="dxa"/>
          </w:tblCellMar>
        </w:tblPrEx>
        <w:tc>
          <w:tcPr>
            <w:tcW w:w="2367" w:type="pct"/>
            <w:gridSpan w:val="2"/>
          </w:tcPr>
          <w:p w:rsidR="00A110A3" w:rsidRPr="00A110A3" w:rsidRDefault="00A110A3" w:rsidP="00A110A3">
            <w:pPr>
              <w:jc w:val="both"/>
              <w:rPr>
                <w:sz w:val="20"/>
              </w:rPr>
            </w:pPr>
            <w:r w:rsidRPr="00A110A3">
              <w:rPr>
                <w:sz w:val="20"/>
              </w:rPr>
              <w:t>April 21, 2016</w:t>
            </w:r>
          </w:p>
          <w:p w:rsidR="00A110A3" w:rsidRPr="00A110A3" w:rsidRDefault="00A110A3" w:rsidP="00A110A3">
            <w:pPr>
              <w:jc w:val="both"/>
              <w:rPr>
                <w:sz w:val="20"/>
              </w:rPr>
            </w:pPr>
            <w:r w:rsidRPr="00A110A3">
              <w:rPr>
                <w:sz w:val="20"/>
              </w:rPr>
              <w:t>Supreme Court of Canada</w:t>
            </w:r>
          </w:p>
          <w:p w:rsidR="00A110A3" w:rsidRPr="00A110A3" w:rsidRDefault="00A110A3" w:rsidP="00A110A3">
            <w:pPr>
              <w:jc w:val="both"/>
              <w:rPr>
                <w:sz w:val="20"/>
              </w:rPr>
            </w:pPr>
          </w:p>
        </w:tc>
        <w:tc>
          <w:tcPr>
            <w:tcW w:w="267" w:type="pct"/>
          </w:tcPr>
          <w:p w:rsidR="00A110A3" w:rsidRPr="00A110A3" w:rsidRDefault="00A110A3" w:rsidP="00A110A3">
            <w:pPr>
              <w:jc w:val="both"/>
              <w:rPr>
                <w:sz w:val="20"/>
              </w:rPr>
            </w:pPr>
          </w:p>
        </w:tc>
        <w:tc>
          <w:tcPr>
            <w:tcW w:w="2366" w:type="pct"/>
            <w:gridSpan w:val="2"/>
          </w:tcPr>
          <w:p w:rsidR="00A110A3" w:rsidRPr="00A110A3" w:rsidRDefault="00A110A3" w:rsidP="00A110A3">
            <w:pPr>
              <w:jc w:val="both"/>
              <w:rPr>
                <w:sz w:val="20"/>
              </w:rPr>
            </w:pPr>
            <w:r w:rsidRPr="00A110A3">
              <w:rPr>
                <w:sz w:val="20"/>
              </w:rPr>
              <w:t>Application for leave to appeal filed</w:t>
            </w:r>
          </w:p>
          <w:p w:rsidR="00A110A3" w:rsidRPr="00A110A3" w:rsidRDefault="00A110A3" w:rsidP="00A110A3">
            <w:pPr>
              <w:jc w:val="both"/>
              <w:rPr>
                <w:sz w:val="20"/>
              </w:rPr>
            </w:pPr>
          </w:p>
        </w:tc>
      </w:tr>
      <w:tr w:rsidR="00A110A3" w:rsidRPr="00A110A3" w:rsidTr="0062360E">
        <w:tblPrEx>
          <w:tblCellMar>
            <w:bottom w:w="0" w:type="dxa"/>
          </w:tblCellMar>
        </w:tblPrEx>
        <w:tc>
          <w:tcPr>
            <w:tcW w:w="2367" w:type="pct"/>
            <w:gridSpan w:val="2"/>
          </w:tcPr>
          <w:p w:rsidR="00A110A3" w:rsidRPr="00A110A3" w:rsidRDefault="00A110A3" w:rsidP="00A110A3">
            <w:pPr>
              <w:jc w:val="both"/>
              <w:rPr>
                <w:sz w:val="20"/>
              </w:rPr>
            </w:pPr>
            <w:r w:rsidRPr="00A110A3">
              <w:rPr>
                <w:sz w:val="20"/>
              </w:rPr>
              <w:t>May 19, 2015</w:t>
            </w:r>
          </w:p>
          <w:p w:rsidR="00A110A3" w:rsidRPr="00A110A3" w:rsidRDefault="00A110A3" w:rsidP="00A110A3">
            <w:pPr>
              <w:jc w:val="both"/>
              <w:rPr>
                <w:sz w:val="20"/>
              </w:rPr>
            </w:pPr>
            <w:r w:rsidRPr="00A110A3">
              <w:rPr>
                <w:sz w:val="20"/>
              </w:rPr>
              <w:t>Supreme Court of Canada</w:t>
            </w:r>
          </w:p>
        </w:tc>
        <w:tc>
          <w:tcPr>
            <w:tcW w:w="267" w:type="pct"/>
          </w:tcPr>
          <w:p w:rsidR="00A110A3" w:rsidRPr="00A110A3" w:rsidRDefault="00A110A3" w:rsidP="00A110A3">
            <w:pPr>
              <w:jc w:val="both"/>
              <w:rPr>
                <w:sz w:val="20"/>
              </w:rPr>
            </w:pPr>
          </w:p>
        </w:tc>
        <w:tc>
          <w:tcPr>
            <w:tcW w:w="2366" w:type="pct"/>
            <w:gridSpan w:val="2"/>
          </w:tcPr>
          <w:p w:rsidR="00A110A3" w:rsidRPr="00A110A3" w:rsidRDefault="00A110A3" w:rsidP="00A110A3">
            <w:pPr>
              <w:jc w:val="both"/>
              <w:rPr>
                <w:sz w:val="20"/>
              </w:rPr>
            </w:pPr>
            <w:r w:rsidRPr="00A110A3">
              <w:rPr>
                <w:sz w:val="20"/>
              </w:rPr>
              <w:t>Conditional application for leave to cross-appeal filed</w:t>
            </w:r>
          </w:p>
        </w:tc>
      </w:tr>
    </w:tbl>
    <w:p w:rsidR="00A110A3" w:rsidRDefault="00A110A3" w:rsidP="00A110A3">
      <w:pPr>
        <w:jc w:val="both"/>
        <w:rPr>
          <w:sz w:val="20"/>
        </w:rPr>
      </w:pPr>
    </w:p>
    <w:p w:rsidR="00A110A3" w:rsidRPr="00A110A3" w:rsidRDefault="00A110A3" w:rsidP="00A110A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110A3" w:rsidRPr="00A61EAA" w:rsidTr="0062360E">
        <w:trPr>
          <w:gridAfter w:val="1"/>
          <w:wAfter w:w="48" w:type="pct"/>
        </w:trPr>
        <w:tc>
          <w:tcPr>
            <w:tcW w:w="538" w:type="pct"/>
          </w:tcPr>
          <w:p w:rsidR="00A110A3" w:rsidRPr="00A110A3" w:rsidRDefault="00A110A3" w:rsidP="00A110A3">
            <w:pPr>
              <w:jc w:val="both"/>
              <w:rPr>
                <w:sz w:val="20"/>
                <w:lang w:val="fr-CA"/>
              </w:rPr>
            </w:pPr>
            <w:r w:rsidRPr="00A110A3">
              <w:rPr>
                <w:rStyle w:val="SCCFileNumberChar"/>
                <w:sz w:val="20"/>
                <w:szCs w:val="20"/>
                <w:lang w:val="fr-CA"/>
              </w:rPr>
              <w:t>36967</w:t>
            </w:r>
          </w:p>
        </w:tc>
        <w:tc>
          <w:tcPr>
            <w:tcW w:w="4414" w:type="pct"/>
            <w:gridSpan w:val="3"/>
          </w:tcPr>
          <w:p w:rsidR="00A110A3" w:rsidRPr="00A110A3" w:rsidRDefault="00A110A3" w:rsidP="00A110A3">
            <w:pPr>
              <w:pStyle w:val="SCCLsocParty"/>
              <w:jc w:val="both"/>
              <w:rPr>
                <w:b/>
                <w:sz w:val="20"/>
                <w:szCs w:val="20"/>
                <w:lang w:val="en-US"/>
              </w:rPr>
            </w:pPr>
            <w:proofErr w:type="spellStart"/>
            <w:r w:rsidRPr="00A110A3">
              <w:rPr>
                <w:b/>
                <w:sz w:val="20"/>
                <w:szCs w:val="20"/>
                <w:lang w:val="en-US"/>
              </w:rPr>
              <w:t>Camarin</w:t>
            </w:r>
            <w:proofErr w:type="spellEnd"/>
            <w:r w:rsidRPr="00A110A3">
              <w:rPr>
                <w:b/>
                <w:sz w:val="20"/>
                <w:szCs w:val="20"/>
                <w:lang w:val="en-US"/>
              </w:rPr>
              <w:t xml:space="preserve"> Limited c. Swiss Reinsurance Company, Aon Reed </w:t>
            </w:r>
            <w:proofErr w:type="spellStart"/>
            <w:r w:rsidRPr="00A110A3">
              <w:rPr>
                <w:b/>
                <w:sz w:val="20"/>
                <w:szCs w:val="20"/>
                <w:lang w:val="en-US"/>
              </w:rPr>
              <w:t>Stenhouse</w:t>
            </w:r>
            <w:proofErr w:type="spellEnd"/>
            <w:r w:rsidRPr="00A110A3">
              <w:rPr>
                <w:b/>
                <w:sz w:val="20"/>
                <w:szCs w:val="20"/>
                <w:lang w:val="en-US"/>
              </w:rPr>
              <w:t xml:space="preserve"> Inc., Aon Limited, Aon Global Risk Consultants Limited and Alexander </w:t>
            </w:r>
            <w:proofErr w:type="spellStart"/>
            <w:r w:rsidRPr="00A110A3">
              <w:rPr>
                <w:b/>
                <w:sz w:val="20"/>
                <w:szCs w:val="20"/>
                <w:lang w:val="en-US"/>
              </w:rPr>
              <w:t>Howden</w:t>
            </w:r>
            <w:proofErr w:type="spellEnd"/>
            <w:r w:rsidRPr="00A110A3">
              <w:rPr>
                <w:b/>
                <w:sz w:val="20"/>
                <w:szCs w:val="20"/>
                <w:lang w:val="en-US"/>
              </w:rPr>
              <w:t xml:space="preserve"> Limited</w:t>
            </w:r>
          </w:p>
          <w:p w:rsidR="00A110A3" w:rsidRPr="00A110A3" w:rsidRDefault="00A110A3" w:rsidP="00A110A3">
            <w:pPr>
              <w:pStyle w:val="SCCLsocSubfileSeparator"/>
              <w:rPr>
                <w:sz w:val="20"/>
                <w:szCs w:val="20"/>
                <w:lang w:val="en-US"/>
              </w:rPr>
            </w:pPr>
            <w:r w:rsidRPr="00A110A3">
              <w:rPr>
                <w:sz w:val="20"/>
                <w:szCs w:val="20"/>
                <w:lang w:val="en-US"/>
              </w:rPr>
              <w:t>-et entre-</w:t>
            </w:r>
          </w:p>
          <w:p w:rsidR="00A110A3" w:rsidRPr="00A110A3" w:rsidRDefault="00A110A3" w:rsidP="00A110A3">
            <w:pPr>
              <w:pStyle w:val="SCCLsocParty"/>
              <w:jc w:val="both"/>
              <w:rPr>
                <w:b/>
                <w:sz w:val="20"/>
                <w:szCs w:val="20"/>
                <w:lang w:val="en-US"/>
              </w:rPr>
            </w:pPr>
            <w:proofErr w:type="spellStart"/>
            <w:r w:rsidRPr="00A110A3">
              <w:rPr>
                <w:b/>
                <w:sz w:val="20"/>
                <w:szCs w:val="20"/>
                <w:lang w:val="en-US"/>
              </w:rPr>
              <w:t>Camarin</w:t>
            </w:r>
            <w:proofErr w:type="spellEnd"/>
            <w:r w:rsidRPr="00A110A3">
              <w:rPr>
                <w:b/>
                <w:sz w:val="20"/>
                <w:szCs w:val="20"/>
                <w:lang w:val="en-US"/>
              </w:rPr>
              <w:t xml:space="preserve"> Limited c. Swiss Reinsurance Company, Aon Reed </w:t>
            </w:r>
            <w:proofErr w:type="spellStart"/>
            <w:r w:rsidRPr="00A110A3">
              <w:rPr>
                <w:b/>
                <w:sz w:val="20"/>
                <w:szCs w:val="20"/>
                <w:lang w:val="en-US"/>
              </w:rPr>
              <w:t>Stenhouse</w:t>
            </w:r>
            <w:proofErr w:type="spellEnd"/>
            <w:r w:rsidRPr="00A110A3">
              <w:rPr>
                <w:b/>
                <w:sz w:val="20"/>
                <w:szCs w:val="20"/>
                <w:lang w:val="en-US"/>
              </w:rPr>
              <w:t xml:space="preserve"> Inc., Aon Limited, Aon Global Risk Consultants Limited and Alexander </w:t>
            </w:r>
            <w:proofErr w:type="spellStart"/>
            <w:r w:rsidRPr="00A110A3">
              <w:rPr>
                <w:b/>
                <w:sz w:val="20"/>
                <w:szCs w:val="20"/>
                <w:lang w:val="en-US"/>
              </w:rPr>
              <w:t>Howden</w:t>
            </w:r>
            <w:proofErr w:type="spellEnd"/>
            <w:r w:rsidRPr="00A110A3">
              <w:rPr>
                <w:b/>
                <w:sz w:val="20"/>
                <w:szCs w:val="20"/>
                <w:lang w:val="en-US"/>
              </w:rPr>
              <w:t xml:space="preserve"> Limited</w:t>
            </w:r>
          </w:p>
          <w:p w:rsidR="00A110A3" w:rsidRPr="00A110A3" w:rsidRDefault="00A110A3" w:rsidP="00A110A3">
            <w:pPr>
              <w:jc w:val="both"/>
              <w:rPr>
                <w:sz w:val="20"/>
                <w:lang w:val="fr-CA"/>
              </w:rPr>
            </w:pPr>
            <w:r w:rsidRPr="00A110A3">
              <w:rPr>
                <w:sz w:val="20"/>
                <w:lang w:val="fr-CA"/>
              </w:rPr>
              <w:t>(C.-B.) (Civile) (Sur autorisation)</w:t>
            </w:r>
          </w:p>
        </w:tc>
      </w:tr>
      <w:tr w:rsidR="00A110A3" w:rsidRPr="00A61EAA" w:rsidTr="0062360E">
        <w:trPr>
          <w:gridAfter w:val="1"/>
          <w:wAfter w:w="48" w:type="pct"/>
        </w:trPr>
        <w:tc>
          <w:tcPr>
            <w:tcW w:w="4952" w:type="pct"/>
            <w:gridSpan w:val="4"/>
          </w:tcPr>
          <w:p w:rsidR="00A110A3" w:rsidRPr="00A110A3" w:rsidRDefault="00A110A3" w:rsidP="00A110A3">
            <w:pPr>
              <w:jc w:val="both"/>
              <w:rPr>
                <w:sz w:val="20"/>
                <w:lang w:val="fr-CA"/>
              </w:rPr>
            </w:pPr>
            <w:r w:rsidRPr="00A110A3">
              <w:rPr>
                <w:sz w:val="20"/>
                <w:lang w:val="fr-CA"/>
              </w:rPr>
              <w:t xml:space="preserve">Assurance – Assurance de responsabilité – Le réassuré demande au réassureur de l’indemniser pour le règlement de recours collectifs en responsabilité du fait d’un produit – Le réassureur refuse d’indemniser et demande l’annulation des polices de réassurance au motif que l’assuré initial aurait omis de divulguer des renseignements importants relatifs au risque – Le réassuré a introduit une demande reconventionnelle et une mise en cause – Le juge de première instance a rejeté les demandes d’annulation, rendant jugement sur la demande reconventionnelle et un jugement conditionnel sur la mise en cause – La Cour d’appel a ordonné la tenue d’un nouveau procès relativement à toutes </w:t>
            </w:r>
            <w:r w:rsidRPr="00A110A3">
              <w:rPr>
                <w:sz w:val="20"/>
                <w:lang w:val="fr-CA"/>
              </w:rPr>
              <w:lastRenderedPageBreak/>
              <w:t>les demandes – Le principe de proportionnalité s’applique-t-il à un tribunal d’appel lorsqu’il ordonne la tenue d’un nouveau procès et, dans l’affirmative, quels facteurs le tribunal doit-il prendre en considération dans l’exercice de son pouvoir discrétionnaire de déterminer la portée du nouveau procès?</w:t>
            </w:r>
          </w:p>
          <w:p w:rsidR="00A110A3" w:rsidRPr="00A110A3" w:rsidRDefault="00A110A3" w:rsidP="00A110A3">
            <w:pPr>
              <w:jc w:val="both"/>
              <w:rPr>
                <w:sz w:val="20"/>
                <w:lang w:val="fr-CA"/>
              </w:rPr>
            </w:pPr>
          </w:p>
          <w:p w:rsidR="00A110A3" w:rsidRPr="00A110A3" w:rsidRDefault="00A110A3" w:rsidP="00A110A3">
            <w:pPr>
              <w:jc w:val="both"/>
              <w:rPr>
                <w:sz w:val="20"/>
                <w:lang w:val="fr-CA"/>
              </w:rPr>
            </w:pPr>
            <w:r w:rsidRPr="00A110A3">
              <w:rPr>
                <w:sz w:val="20"/>
                <w:lang w:val="fr-CA"/>
              </w:rPr>
              <w:t xml:space="preserve">La demanderesse Camarin Limited (« Camarin ») réassurait 50 pour cent d’une police d’assurance responsabilité complémentaire établie en faveur de l’assurée par l’assureur principal. L’intimée, Swiss Reinsurance Company (« Swiss Re »), réassurait à son tour cent pour cent des montants d’assurance de Camarin.  </w:t>
            </w:r>
          </w:p>
          <w:p w:rsidR="00A110A3" w:rsidRPr="00A110A3" w:rsidRDefault="00A110A3" w:rsidP="00A110A3">
            <w:pPr>
              <w:jc w:val="both"/>
              <w:rPr>
                <w:sz w:val="20"/>
                <w:lang w:val="fr-CA"/>
              </w:rPr>
            </w:pPr>
          </w:p>
          <w:p w:rsidR="00A110A3" w:rsidRPr="00A110A3" w:rsidRDefault="00A110A3" w:rsidP="00A110A3">
            <w:pPr>
              <w:jc w:val="both"/>
              <w:rPr>
                <w:sz w:val="20"/>
                <w:lang w:val="fr-CA"/>
              </w:rPr>
            </w:pPr>
            <w:r w:rsidRPr="00A110A3">
              <w:rPr>
                <w:sz w:val="20"/>
                <w:lang w:val="fr-CA"/>
              </w:rPr>
              <w:t>L’assureur principal a contribué au règlement d’un recours collectif en responsabilité du fait d’un produit contre l’assurée et a demandé une contribution de Camarin pour la responsabilité complémentaire. Lorsque Camarin s’est adressée à Swiss Re pour une indemnité, Swiss Re a refusé d’indemniser Camarin et a intenté une action en annulation des polices de réassurance avec Camarin. Swiss Re a allégué que l’assurée avait omis de divulguer des renseignements importants sur sa connaissance des actions en dommages-intérêts qui ont résulté dans chaque année de la police. Swiss Re a affirmé que ces renseignements étaient importants quant au risque qu’elle avait assuré et que s’ils avaient été divulgués, ils auraient eu pour effet de rendre la police annulable. Camarin a introduit une demande reconventionnelle pour obtenir un jugement sur les polices et a mis en cause Aon Reed Stenhouse Inc. (« Aon »). Camarin a allégué qu’Aon avait fait preuve de négligence en faisant établir des polices de réassurance par Swiss Re sans prévoir de clause d’attribution de la responsabilité à l’égard des règlements (clause de type « </w:t>
            </w:r>
            <w:proofErr w:type="spellStart"/>
            <w:r w:rsidRPr="00A110A3">
              <w:rPr>
                <w:i/>
                <w:sz w:val="20"/>
                <w:lang w:val="fr-CA"/>
              </w:rPr>
              <w:t>follow</w:t>
            </w:r>
            <w:proofErr w:type="spellEnd"/>
            <w:r w:rsidRPr="00A110A3">
              <w:rPr>
                <w:i/>
                <w:sz w:val="20"/>
                <w:lang w:val="fr-CA"/>
              </w:rPr>
              <w:t xml:space="preserve"> the </w:t>
            </w:r>
            <w:proofErr w:type="spellStart"/>
            <w:r w:rsidRPr="00A110A3">
              <w:rPr>
                <w:i/>
                <w:sz w:val="20"/>
                <w:lang w:val="fr-CA"/>
              </w:rPr>
              <w:t>settlements</w:t>
            </w:r>
            <w:proofErr w:type="spellEnd"/>
            <w:r w:rsidRPr="00A110A3">
              <w:rPr>
                <w:sz w:val="20"/>
                <w:lang w:val="fr-CA"/>
              </w:rPr>
              <w:t> »).</w:t>
            </w:r>
          </w:p>
        </w:tc>
      </w:tr>
      <w:tr w:rsidR="00A110A3" w:rsidRPr="00A61EAA" w:rsidTr="0062360E">
        <w:trPr>
          <w:gridAfter w:val="1"/>
          <w:wAfter w:w="48" w:type="pct"/>
        </w:trPr>
        <w:tc>
          <w:tcPr>
            <w:tcW w:w="4952" w:type="pct"/>
            <w:gridSpan w:val="4"/>
          </w:tcPr>
          <w:p w:rsidR="00A110A3" w:rsidRPr="00A110A3" w:rsidRDefault="00A110A3" w:rsidP="00A110A3">
            <w:pPr>
              <w:jc w:val="both"/>
              <w:rPr>
                <w:sz w:val="20"/>
                <w:lang w:val="fr-CA"/>
              </w:rPr>
            </w:pPr>
          </w:p>
        </w:tc>
      </w:tr>
      <w:tr w:rsidR="00A110A3" w:rsidRPr="00A61EAA" w:rsidTr="0062360E">
        <w:tblPrEx>
          <w:tblCellMar>
            <w:bottom w:w="0" w:type="dxa"/>
          </w:tblCellMar>
        </w:tblPrEx>
        <w:tc>
          <w:tcPr>
            <w:tcW w:w="2367" w:type="pct"/>
            <w:gridSpan w:val="2"/>
          </w:tcPr>
          <w:p w:rsidR="00A110A3" w:rsidRPr="00A110A3" w:rsidRDefault="00A110A3" w:rsidP="00A110A3">
            <w:pPr>
              <w:jc w:val="both"/>
              <w:rPr>
                <w:sz w:val="20"/>
                <w:lang w:val="fr-CA"/>
              </w:rPr>
            </w:pPr>
            <w:r w:rsidRPr="00A110A3">
              <w:rPr>
                <w:sz w:val="20"/>
                <w:lang w:val="fr-CA"/>
              </w:rPr>
              <w:t>9 juillet 2012</w:t>
            </w:r>
          </w:p>
          <w:p w:rsidR="00A110A3" w:rsidRPr="00A110A3" w:rsidRDefault="00A110A3" w:rsidP="00A110A3">
            <w:pPr>
              <w:jc w:val="both"/>
              <w:rPr>
                <w:sz w:val="20"/>
                <w:lang w:val="fr-CA"/>
              </w:rPr>
            </w:pPr>
            <w:r w:rsidRPr="00A110A3">
              <w:rPr>
                <w:sz w:val="20"/>
                <w:lang w:val="fr-CA"/>
              </w:rPr>
              <w:t xml:space="preserve">Cour suprême de la Colombie-Britannique </w:t>
            </w:r>
          </w:p>
          <w:p w:rsidR="00A110A3" w:rsidRPr="00A110A3" w:rsidRDefault="00A110A3" w:rsidP="00A110A3">
            <w:pPr>
              <w:jc w:val="both"/>
              <w:rPr>
                <w:sz w:val="20"/>
                <w:lang w:val="fr-CA"/>
              </w:rPr>
            </w:pPr>
            <w:r w:rsidRPr="00A110A3">
              <w:rPr>
                <w:sz w:val="20"/>
                <w:lang w:val="fr-CA"/>
              </w:rPr>
              <w:t>(Juge Burnyeat)</w:t>
            </w:r>
          </w:p>
          <w:p w:rsidR="00A110A3" w:rsidRPr="00A110A3" w:rsidRDefault="00A61EAA" w:rsidP="00A110A3">
            <w:pPr>
              <w:jc w:val="both"/>
              <w:rPr>
                <w:sz w:val="20"/>
                <w:lang w:val="fr-CA"/>
              </w:rPr>
            </w:pPr>
            <w:hyperlink r:id="rId18" w:history="1">
              <w:r w:rsidR="00A110A3" w:rsidRPr="00A110A3">
                <w:rPr>
                  <w:rStyle w:val="Hyperlink"/>
                  <w:sz w:val="20"/>
                  <w:lang w:val="fr-CA"/>
                </w:rPr>
                <w:t>2012 BCSC 1006</w:t>
              </w:r>
            </w:hyperlink>
          </w:p>
          <w:p w:rsidR="00A110A3" w:rsidRPr="00A110A3" w:rsidRDefault="00A110A3" w:rsidP="00A110A3">
            <w:pPr>
              <w:jc w:val="both"/>
              <w:rPr>
                <w:sz w:val="20"/>
                <w:lang w:val="fr-CA"/>
              </w:rPr>
            </w:pPr>
          </w:p>
        </w:tc>
        <w:tc>
          <w:tcPr>
            <w:tcW w:w="267" w:type="pct"/>
          </w:tcPr>
          <w:p w:rsidR="00A110A3" w:rsidRPr="00A110A3" w:rsidRDefault="00A110A3" w:rsidP="00A110A3">
            <w:pPr>
              <w:jc w:val="both"/>
              <w:rPr>
                <w:sz w:val="20"/>
                <w:lang w:val="fr-CA"/>
              </w:rPr>
            </w:pPr>
          </w:p>
        </w:tc>
        <w:tc>
          <w:tcPr>
            <w:tcW w:w="2366" w:type="pct"/>
            <w:gridSpan w:val="2"/>
          </w:tcPr>
          <w:p w:rsidR="00A110A3" w:rsidRPr="00A110A3" w:rsidRDefault="00A110A3" w:rsidP="00A110A3">
            <w:pPr>
              <w:jc w:val="both"/>
              <w:rPr>
                <w:sz w:val="20"/>
                <w:lang w:val="fr-CA"/>
              </w:rPr>
            </w:pPr>
            <w:r w:rsidRPr="00A110A3">
              <w:rPr>
                <w:sz w:val="20"/>
                <w:lang w:val="fr-CA"/>
              </w:rPr>
              <w:t>Jugement rejetant la demande principale, accueillant la demande reconventionnelle et accueillant conditionnellement le recours de mise en cause</w:t>
            </w:r>
          </w:p>
          <w:p w:rsidR="00A110A3" w:rsidRPr="00A110A3" w:rsidRDefault="00A110A3" w:rsidP="00A110A3">
            <w:pPr>
              <w:jc w:val="both"/>
              <w:rPr>
                <w:sz w:val="20"/>
                <w:lang w:val="fr-CA"/>
              </w:rPr>
            </w:pPr>
          </w:p>
        </w:tc>
      </w:tr>
      <w:tr w:rsidR="00A110A3" w:rsidRPr="00A61EAA" w:rsidTr="0062360E">
        <w:tblPrEx>
          <w:tblCellMar>
            <w:bottom w:w="0" w:type="dxa"/>
          </w:tblCellMar>
        </w:tblPrEx>
        <w:tc>
          <w:tcPr>
            <w:tcW w:w="2367" w:type="pct"/>
            <w:gridSpan w:val="2"/>
          </w:tcPr>
          <w:p w:rsidR="00A110A3" w:rsidRPr="00A110A3" w:rsidRDefault="00A110A3" w:rsidP="00A110A3">
            <w:pPr>
              <w:jc w:val="both"/>
              <w:rPr>
                <w:sz w:val="20"/>
                <w:lang w:val="fr-CA"/>
              </w:rPr>
            </w:pPr>
            <w:r w:rsidRPr="00A110A3">
              <w:rPr>
                <w:sz w:val="20"/>
                <w:lang w:val="fr-CA"/>
              </w:rPr>
              <w:t>13 novembre 2015</w:t>
            </w:r>
          </w:p>
          <w:p w:rsidR="00A110A3" w:rsidRPr="00A110A3" w:rsidRDefault="00A110A3" w:rsidP="00A110A3">
            <w:pPr>
              <w:jc w:val="both"/>
              <w:rPr>
                <w:sz w:val="20"/>
                <w:lang w:val="fr-CA"/>
              </w:rPr>
            </w:pPr>
            <w:r w:rsidRPr="00A110A3">
              <w:rPr>
                <w:sz w:val="20"/>
                <w:lang w:val="fr-CA"/>
              </w:rPr>
              <w:t xml:space="preserve">Cour d’appel de la Colombie-Britannique </w:t>
            </w:r>
          </w:p>
          <w:p w:rsidR="00A110A3" w:rsidRPr="00A110A3" w:rsidRDefault="00A110A3" w:rsidP="00A110A3">
            <w:pPr>
              <w:jc w:val="both"/>
              <w:rPr>
                <w:sz w:val="20"/>
                <w:lang w:val="fr-CA"/>
              </w:rPr>
            </w:pPr>
            <w:r w:rsidRPr="00A110A3">
              <w:rPr>
                <w:sz w:val="20"/>
                <w:lang w:val="fr-CA"/>
              </w:rPr>
              <w:t>(Vancouver)</w:t>
            </w:r>
          </w:p>
          <w:p w:rsidR="00A110A3" w:rsidRPr="00A110A3" w:rsidRDefault="00A110A3" w:rsidP="00A110A3">
            <w:pPr>
              <w:jc w:val="both"/>
              <w:rPr>
                <w:sz w:val="20"/>
                <w:lang w:val="fr-CA"/>
              </w:rPr>
            </w:pPr>
            <w:r w:rsidRPr="00A110A3">
              <w:rPr>
                <w:sz w:val="20"/>
                <w:lang w:val="fr-CA"/>
              </w:rPr>
              <w:t>(Juges Garson, Willcock et Goepel)</w:t>
            </w:r>
          </w:p>
          <w:p w:rsidR="00A110A3" w:rsidRPr="00A110A3" w:rsidRDefault="00A61EAA" w:rsidP="00A110A3">
            <w:pPr>
              <w:jc w:val="both"/>
              <w:rPr>
                <w:sz w:val="20"/>
                <w:lang w:val="fr-CA"/>
              </w:rPr>
            </w:pPr>
            <w:hyperlink r:id="rId19" w:history="1">
              <w:r w:rsidR="00A110A3" w:rsidRPr="00A110A3">
                <w:rPr>
                  <w:rStyle w:val="Hyperlink"/>
                  <w:sz w:val="20"/>
                  <w:lang w:val="fr-CA"/>
                </w:rPr>
                <w:t>2015 BCCA 466</w:t>
              </w:r>
            </w:hyperlink>
          </w:p>
          <w:p w:rsidR="00A110A3" w:rsidRPr="00A110A3" w:rsidRDefault="00A110A3" w:rsidP="00A110A3">
            <w:pPr>
              <w:jc w:val="both"/>
              <w:rPr>
                <w:sz w:val="20"/>
                <w:lang w:val="fr-CA"/>
              </w:rPr>
            </w:pPr>
          </w:p>
        </w:tc>
        <w:tc>
          <w:tcPr>
            <w:tcW w:w="267" w:type="pct"/>
          </w:tcPr>
          <w:p w:rsidR="00A110A3" w:rsidRPr="00A110A3" w:rsidRDefault="00A110A3" w:rsidP="00A110A3">
            <w:pPr>
              <w:jc w:val="both"/>
              <w:rPr>
                <w:sz w:val="20"/>
                <w:lang w:val="fr-CA"/>
              </w:rPr>
            </w:pPr>
          </w:p>
        </w:tc>
        <w:tc>
          <w:tcPr>
            <w:tcW w:w="2366" w:type="pct"/>
            <w:gridSpan w:val="2"/>
          </w:tcPr>
          <w:p w:rsidR="00A110A3" w:rsidRPr="00A110A3" w:rsidRDefault="00A110A3" w:rsidP="00A110A3">
            <w:pPr>
              <w:jc w:val="both"/>
              <w:rPr>
                <w:sz w:val="20"/>
                <w:lang w:val="fr-CA"/>
              </w:rPr>
            </w:pPr>
            <w:r w:rsidRPr="00A110A3">
              <w:rPr>
                <w:sz w:val="20"/>
                <w:lang w:val="fr-CA"/>
              </w:rPr>
              <w:t>Arrêt accueillant l’appel et ordonnant la tenue d’un nouveau procès</w:t>
            </w:r>
          </w:p>
          <w:p w:rsidR="00A110A3" w:rsidRPr="00A110A3" w:rsidRDefault="00A110A3" w:rsidP="00A110A3">
            <w:pPr>
              <w:jc w:val="both"/>
              <w:rPr>
                <w:sz w:val="20"/>
                <w:lang w:val="fr-CA"/>
              </w:rPr>
            </w:pPr>
          </w:p>
        </w:tc>
      </w:tr>
      <w:tr w:rsidR="00A110A3" w:rsidRPr="00A61EAA" w:rsidTr="0062360E">
        <w:tblPrEx>
          <w:tblCellMar>
            <w:bottom w:w="0" w:type="dxa"/>
          </w:tblCellMar>
        </w:tblPrEx>
        <w:tc>
          <w:tcPr>
            <w:tcW w:w="2367" w:type="pct"/>
            <w:gridSpan w:val="2"/>
          </w:tcPr>
          <w:p w:rsidR="00A110A3" w:rsidRPr="00A110A3" w:rsidRDefault="00A110A3" w:rsidP="00A110A3">
            <w:pPr>
              <w:jc w:val="both"/>
              <w:rPr>
                <w:sz w:val="20"/>
                <w:lang w:val="fr-CA"/>
              </w:rPr>
            </w:pPr>
            <w:r w:rsidRPr="00A110A3">
              <w:rPr>
                <w:sz w:val="20"/>
                <w:lang w:val="fr-CA"/>
              </w:rPr>
              <w:t>25 février 2016</w:t>
            </w:r>
          </w:p>
          <w:p w:rsidR="00A110A3" w:rsidRPr="00A110A3" w:rsidRDefault="00A110A3" w:rsidP="00A110A3">
            <w:pPr>
              <w:jc w:val="both"/>
              <w:rPr>
                <w:sz w:val="20"/>
                <w:lang w:val="fr-CA"/>
              </w:rPr>
            </w:pPr>
            <w:r w:rsidRPr="00A110A3">
              <w:rPr>
                <w:sz w:val="20"/>
                <w:lang w:val="fr-CA"/>
              </w:rPr>
              <w:t xml:space="preserve">Cour d’appel de la Colombie-Britannique </w:t>
            </w:r>
          </w:p>
          <w:p w:rsidR="00A110A3" w:rsidRPr="00A110A3" w:rsidRDefault="00A110A3" w:rsidP="00A110A3">
            <w:pPr>
              <w:jc w:val="both"/>
              <w:rPr>
                <w:sz w:val="20"/>
                <w:lang w:val="fr-CA"/>
              </w:rPr>
            </w:pPr>
            <w:r w:rsidRPr="00A110A3">
              <w:rPr>
                <w:sz w:val="20"/>
                <w:lang w:val="fr-CA"/>
              </w:rPr>
              <w:t>(Vancouver)</w:t>
            </w:r>
          </w:p>
          <w:p w:rsidR="00A110A3" w:rsidRPr="00A110A3" w:rsidRDefault="00A110A3" w:rsidP="00A110A3">
            <w:pPr>
              <w:jc w:val="both"/>
              <w:rPr>
                <w:sz w:val="20"/>
                <w:lang w:val="fr-CA"/>
              </w:rPr>
            </w:pPr>
            <w:r w:rsidRPr="00A110A3">
              <w:rPr>
                <w:sz w:val="20"/>
                <w:lang w:val="fr-CA"/>
              </w:rPr>
              <w:t>(Juges Garson, Willcock et Goepel)</w:t>
            </w:r>
          </w:p>
          <w:p w:rsidR="00A110A3" w:rsidRPr="00A110A3" w:rsidRDefault="00A61EAA" w:rsidP="00A110A3">
            <w:pPr>
              <w:jc w:val="both"/>
              <w:rPr>
                <w:sz w:val="20"/>
                <w:lang w:val="fr-CA"/>
              </w:rPr>
            </w:pPr>
            <w:hyperlink r:id="rId20" w:history="1">
              <w:r w:rsidR="00A110A3" w:rsidRPr="00A110A3">
                <w:rPr>
                  <w:rStyle w:val="Hyperlink"/>
                  <w:sz w:val="20"/>
                  <w:lang w:val="fr-CA"/>
                </w:rPr>
                <w:t>2016 BCCA 92</w:t>
              </w:r>
            </w:hyperlink>
          </w:p>
          <w:p w:rsidR="00A110A3" w:rsidRPr="00A110A3" w:rsidRDefault="00A110A3" w:rsidP="00A110A3">
            <w:pPr>
              <w:jc w:val="both"/>
              <w:rPr>
                <w:sz w:val="20"/>
                <w:lang w:val="fr-CA"/>
              </w:rPr>
            </w:pPr>
          </w:p>
        </w:tc>
        <w:tc>
          <w:tcPr>
            <w:tcW w:w="267" w:type="pct"/>
          </w:tcPr>
          <w:p w:rsidR="00A110A3" w:rsidRPr="00A110A3" w:rsidRDefault="00A110A3" w:rsidP="00A110A3">
            <w:pPr>
              <w:jc w:val="both"/>
              <w:rPr>
                <w:sz w:val="20"/>
                <w:lang w:val="fr-CA"/>
              </w:rPr>
            </w:pPr>
          </w:p>
        </w:tc>
        <w:tc>
          <w:tcPr>
            <w:tcW w:w="2366" w:type="pct"/>
            <w:gridSpan w:val="2"/>
          </w:tcPr>
          <w:p w:rsidR="00A110A3" w:rsidRPr="00A110A3" w:rsidRDefault="00A110A3" w:rsidP="00A110A3">
            <w:pPr>
              <w:jc w:val="both"/>
              <w:rPr>
                <w:sz w:val="20"/>
                <w:lang w:val="fr-CA"/>
              </w:rPr>
            </w:pPr>
            <w:r w:rsidRPr="00A110A3">
              <w:rPr>
                <w:sz w:val="20"/>
                <w:lang w:val="fr-CA"/>
              </w:rPr>
              <w:t>Rejet de la demande de réexamen</w:t>
            </w:r>
          </w:p>
          <w:p w:rsidR="00A110A3" w:rsidRPr="00A110A3" w:rsidRDefault="00A110A3" w:rsidP="00A110A3">
            <w:pPr>
              <w:jc w:val="both"/>
              <w:rPr>
                <w:sz w:val="20"/>
                <w:lang w:val="fr-CA"/>
              </w:rPr>
            </w:pPr>
          </w:p>
        </w:tc>
      </w:tr>
      <w:tr w:rsidR="00A110A3" w:rsidRPr="00A61EAA" w:rsidTr="0062360E">
        <w:tblPrEx>
          <w:tblCellMar>
            <w:bottom w:w="0" w:type="dxa"/>
          </w:tblCellMar>
        </w:tblPrEx>
        <w:tc>
          <w:tcPr>
            <w:tcW w:w="2367" w:type="pct"/>
            <w:gridSpan w:val="2"/>
          </w:tcPr>
          <w:p w:rsidR="00A110A3" w:rsidRPr="00A110A3" w:rsidRDefault="00A110A3" w:rsidP="00A110A3">
            <w:pPr>
              <w:jc w:val="both"/>
              <w:rPr>
                <w:sz w:val="20"/>
                <w:lang w:val="fr-CA"/>
              </w:rPr>
            </w:pPr>
            <w:r w:rsidRPr="00A110A3">
              <w:rPr>
                <w:sz w:val="20"/>
                <w:lang w:val="fr-CA"/>
              </w:rPr>
              <w:t>21 avril 2016</w:t>
            </w:r>
          </w:p>
          <w:p w:rsidR="00A110A3" w:rsidRPr="00A110A3" w:rsidRDefault="00A110A3" w:rsidP="00A110A3">
            <w:pPr>
              <w:jc w:val="both"/>
              <w:rPr>
                <w:sz w:val="20"/>
                <w:lang w:val="fr-CA"/>
              </w:rPr>
            </w:pPr>
            <w:r w:rsidRPr="00A110A3">
              <w:rPr>
                <w:sz w:val="20"/>
                <w:lang w:val="fr-CA"/>
              </w:rPr>
              <w:t>Cour suprême du Canada</w:t>
            </w:r>
          </w:p>
          <w:p w:rsidR="00A110A3" w:rsidRPr="00A110A3" w:rsidRDefault="00A110A3" w:rsidP="00A110A3">
            <w:pPr>
              <w:jc w:val="both"/>
              <w:rPr>
                <w:sz w:val="20"/>
                <w:lang w:val="fr-CA"/>
              </w:rPr>
            </w:pPr>
          </w:p>
        </w:tc>
        <w:tc>
          <w:tcPr>
            <w:tcW w:w="267" w:type="pct"/>
          </w:tcPr>
          <w:p w:rsidR="00A110A3" w:rsidRPr="00A110A3" w:rsidRDefault="00A110A3" w:rsidP="00A110A3">
            <w:pPr>
              <w:jc w:val="both"/>
              <w:rPr>
                <w:sz w:val="20"/>
                <w:lang w:val="fr-CA"/>
              </w:rPr>
            </w:pPr>
          </w:p>
        </w:tc>
        <w:tc>
          <w:tcPr>
            <w:tcW w:w="2366" w:type="pct"/>
            <w:gridSpan w:val="2"/>
          </w:tcPr>
          <w:p w:rsidR="00A110A3" w:rsidRPr="00A110A3" w:rsidRDefault="00A110A3" w:rsidP="00A110A3">
            <w:pPr>
              <w:jc w:val="both"/>
              <w:rPr>
                <w:sz w:val="20"/>
                <w:lang w:val="fr-CA"/>
              </w:rPr>
            </w:pPr>
            <w:r w:rsidRPr="00A110A3">
              <w:rPr>
                <w:sz w:val="20"/>
                <w:lang w:val="fr-CA"/>
              </w:rPr>
              <w:t>Dépôt de la demande d’autorisation d’appel</w:t>
            </w:r>
          </w:p>
          <w:p w:rsidR="00A110A3" w:rsidRPr="00A110A3" w:rsidRDefault="00A110A3" w:rsidP="00A110A3">
            <w:pPr>
              <w:jc w:val="both"/>
              <w:rPr>
                <w:sz w:val="20"/>
                <w:lang w:val="fr-CA"/>
              </w:rPr>
            </w:pPr>
          </w:p>
        </w:tc>
      </w:tr>
      <w:tr w:rsidR="00A110A3" w:rsidRPr="00A61EAA" w:rsidTr="0062360E">
        <w:tblPrEx>
          <w:tblCellMar>
            <w:bottom w:w="0" w:type="dxa"/>
          </w:tblCellMar>
        </w:tblPrEx>
        <w:tc>
          <w:tcPr>
            <w:tcW w:w="2367" w:type="pct"/>
            <w:gridSpan w:val="2"/>
          </w:tcPr>
          <w:p w:rsidR="00A110A3" w:rsidRPr="00A110A3" w:rsidRDefault="00A110A3" w:rsidP="00A110A3">
            <w:pPr>
              <w:jc w:val="both"/>
              <w:rPr>
                <w:sz w:val="20"/>
                <w:lang w:val="fr-CA"/>
              </w:rPr>
            </w:pPr>
            <w:r w:rsidRPr="00A110A3">
              <w:rPr>
                <w:sz w:val="20"/>
                <w:lang w:val="fr-CA"/>
              </w:rPr>
              <w:t>19 mai 2015</w:t>
            </w:r>
          </w:p>
          <w:p w:rsidR="00A110A3" w:rsidRPr="00A110A3" w:rsidRDefault="00A110A3" w:rsidP="00A110A3">
            <w:pPr>
              <w:jc w:val="both"/>
              <w:rPr>
                <w:sz w:val="20"/>
                <w:lang w:val="fr-CA"/>
              </w:rPr>
            </w:pPr>
            <w:r w:rsidRPr="00A110A3">
              <w:rPr>
                <w:sz w:val="20"/>
                <w:lang w:val="fr-CA"/>
              </w:rPr>
              <w:t>Cour suprême du Canada</w:t>
            </w:r>
          </w:p>
        </w:tc>
        <w:tc>
          <w:tcPr>
            <w:tcW w:w="267" w:type="pct"/>
          </w:tcPr>
          <w:p w:rsidR="00A110A3" w:rsidRPr="00A110A3" w:rsidRDefault="00A110A3" w:rsidP="00A110A3">
            <w:pPr>
              <w:jc w:val="both"/>
              <w:rPr>
                <w:sz w:val="20"/>
                <w:lang w:val="fr-CA"/>
              </w:rPr>
            </w:pPr>
          </w:p>
        </w:tc>
        <w:tc>
          <w:tcPr>
            <w:tcW w:w="2366" w:type="pct"/>
            <w:gridSpan w:val="2"/>
          </w:tcPr>
          <w:p w:rsidR="00A110A3" w:rsidRPr="00A110A3" w:rsidRDefault="00A110A3" w:rsidP="00A110A3">
            <w:pPr>
              <w:jc w:val="both"/>
              <w:rPr>
                <w:sz w:val="20"/>
                <w:lang w:val="fr-CA"/>
              </w:rPr>
            </w:pPr>
            <w:r w:rsidRPr="00A110A3">
              <w:rPr>
                <w:sz w:val="20"/>
                <w:lang w:val="fr-CA"/>
              </w:rPr>
              <w:t>Dépôt de la demande conditionnelle d’autorisation d’appel incident</w:t>
            </w:r>
          </w:p>
        </w:tc>
      </w:tr>
    </w:tbl>
    <w:p w:rsidR="00A110A3" w:rsidRPr="009C4471" w:rsidRDefault="00A110A3" w:rsidP="009C4471">
      <w:pPr>
        <w:jc w:val="both"/>
        <w:rPr>
          <w:sz w:val="20"/>
          <w:lang w:val="fr-CA"/>
        </w:rPr>
      </w:pPr>
    </w:p>
    <w:p w:rsidR="00A32C42" w:rsidRPr="00A61EAA" w:rsidRDefault="00A32C42" w:rsidP="009C4471">
      <w:pPr>
        <w:widowControl w:val="0"/>
        <w:autoSpaceDE w:val="0"/>
        <w:autoSpaceDN w:val="0"/>
        <w:adjustRightInd w:val="0"/>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C4471" w:rsidRPr="009C4471" w:rsidTr="00E95A6A">
        <w:tc>
          <w:tcPr>
            <w:tcW w:w="543" w:type="pct"/>
          </w:tcPr>
          <w:p w:rsidR="009C4471" w:rsidRPr="009C4471" w:rsidRDefault="009C4471" w:rsidP="009C4471">
            <w:pPr>
              <w:jc w:val="both"/>
              <w:rPr>
                <w:sz w:val="20"/>
              </w:rPr>
            </w:pPr>
            <w:r w:rsidRPr="009C4471">
              <w:rPr>
                <w:rStyle w:val="SCCFileNumberChar"/>
                <w:sz w:val="20"/>
                <w:szCs w:val="20"/>
              </w:rPr>
              <w:t>36943</w:t>
            </w:r>
          </w:p>
        </w:tc>
        <w:tc>
          <w:tcPr>
            <w:tcW w:w="4457" w:type="pct"/>
            <w:gridSpan w:val="3"/>
          </w:tcPr>
          <w:p w:rsidR="009C4471" w:rsidRPr="00A61EAA" w:rsidRDefault="009C4471" w:rsidP="009C4471">
            <w:pPr>
              <w:pStyle w:val="SCCLsocParty"/>
              <w:jc w:val="both"/>
              <w:rPr>
                <w:b/>
                <w:sz w:val="20"/>
                <w:szCs w:val="20"/>
                <w:lang w:val="en-US"/>
              </w:rPr>
            </w:pPr>
            <w:r w:rsidRPr="00A61EAA">
              <w:rPr>
                <w:b/>
                <w:sz w:val="20"/>
                <w:szCs w:val="20"/>
                <w:lang w:val="en-US"/>
              </w:rPr>
              <w:t>Joey John Toutsaint v. Her Majesty the Queen</w:t>
            </w:r>
          </w:p>
          <w:p w:rsidR="009C4471" w:rsidRPr="009C4471" w:rsidRDefault="009C4471" w:rsidP="009C4471">
            <w:pPr>
              <w:jc w:val="both"/>
              <w:rPr>
                <w:sz w:val="20"/>
              </w:rPr>
            </w:pPr>
            <w:r w:rsidRPr="009C4471">
              <w:rPr>
                <w:sz w:val="20"/>
              </w:rPr>
              <w:t>(Sask.) (Criminal) (By Leave)</w:t>
            </w:r>
          </w:p>
        </w:tc>
      </w:tr>
      <w:tr w:rsidR="009C4471" w:rsidRPr="009C4471" w:rsidTr="00E95A6A">
        <w:tc>
          <w:tcPr>
            <w:tcW w:w="5000" w:type="pct"/>
            <w:gridSpan w:val="4"/>
          </w:tcPr>
          <w:p w:rsidR="009C4471" w:rsidRPr="009C4471" w:rsidRDefault="009C4471" w:rsidP="009C4471">
            <w:pPr>
              <w:jc w:val="both"/>
              <w:rPr>
                <w:sz w:val="20"/>
              </w:rPr>
            </w:pPr>
            <w:r w:rsidRPr="009C4471">
              <w:rPr>
                <w:sz w:val="20"/>
              </w:rPr>
              <w:t xml:space="preserve">Criminal law – Sentencing – Application by the Crown for a dangerous offender designation – Whether the Court of Appeal erred by failing to give adequate weight to factors enumerated in  ss. 718.1 and 718.2 of the </w:t>
            </w:r>
            <w:r w:rsidRPr="009C4471">
              <w:rPr>
                <w:i/>
                <w:sz w:val="20"/>
              </w:rPr>
              <w:t>Criminal Code</w:t>
            </w:r>
            <w:r w:rsidRPr="009C4471">
              <w:rPr>
                <w:sz w:val="20"/>
              </w:rPr>
              <w:t xml:space="preserve">, and in failing to give proper weight and effect to </w:t>
            </w:r>
            <w:r w:rsidRPr="009C4471">
              <w:rPr>
                <w:i/>
                <w:sz w:val="20"/>
              </w:rPr>
              <w:t xml:space="preserve">R. v. </w:t>
            </w:r>
            <w:proofErr w:type="spellStart"/>
            <w:r w:rsidRPr="009C4471">
              <w:rPr>
                <w:i/>
                <w:sz w:val="20"/>
              </w:rPr>
              <w:t>Gladue</w:t>
            </w:r>
            <w:proofErr w:type="spellEnd"/>
            <w:r w:rsidRPr="009C4471">
              <w:rPr>
                <w:sz w:val="20"/>
              </w:rPr>
              <w:t xml:space="preserve"> ([1999] 1 S.C.R. 688) and </w:t>
            </w:r>
            <w:r w:rsidRPr="009C4471">
              <w:rPr>
                <w:i/>
                <w:sz w:val="20"/>
              </w:rPr>
              <w:t>R. v.</w:t>
            </w:r>
            <w:r w:rsidRPr="009C4471">
              <w:rPr>
                <w:sz w:val="20"/>
              </w:rPr>
              <w:t xml:space="preserve"> </w:t>
            </w:r>
            <w:proofErr w:type="spellStart"/>
            <w:r w:rsidRPr="009C4471">
              <w:rPr>
                <w:i/>
                <w:sz w:val="20"/>
              </w:rPr>
              <w:t>Ipeelee</w:t>
            </w:r>
            <w:proofErr w:type="spellEnd"/>
            <w:r w:rsidRPr="009C4471">
              <w:rPr>
                <w:sz w:val="20"/>
              </w:rPr>
              <w:t xml:space="preserve"> (2012 SCC 13) considerations, and in erroneously concluding there was no “reasonable expectation” for protection of the public from the applicant – Whether the Court of Appeal erred by not considering s. 753 of the </w:t>
            </w:r>
            <w:r w:rsidRPr="009C4471">
              <w:rPr>
                <w:i/>
                <w:sz w:val="20"/>
              </w:rPr>
              <w:t>Criminal Code</w:t>
            </w:r>
            <w:r w:rsidRPr="009C4471">
              <w:rPr>
                <w:sz w:val="20"/>
              </w:rPr>
              <w:t xml:space="preserve"> dealing with long term offenders and not following the Supreme Court of Canada’s decision in </w:t>
            </w:r>
            <w:r w:rsidRPr="009C4471">
              <w:rPr>
                <w:i/>
                <w:sz w:val="20"/>
              </w:rPr>
              <w:t>R. v. Johnson</w:t>
            </w:r>
            <w:r w:rsidRPr="009C4471">
              <w:rPr>
                <w:sz w:val="20"/>
              </w:rPr>
              <w:t xml:space="preserve">, 2003 SCC 46, [2003] 2 S.C.R. 357, which determined that the trial courts must consider long term offender provisions prior to imposing an indeterminate sentence – Whether the Court of Appeal erred in failing to apply the principles of </w:t>
            </w:r>
            <w:r w:rsidRPr="009C4471">
              <w:rPr>
                <w:sz w:val="20"/>
              </w:rPr>
              <w:lastRenderedPageBreak/>
              <w:t xml:space="preserve">proportionality in the analysis under s. 753(1) of the </w:t>
            </w:r>
            <w:r w:rsidRPr="009C4471">
              <w:rPr>
                <w:i/>
                <w:sz w:val="20"/>
              </w:rPr>
              <w:t>Criminal Code</w:t>
            </w:r>
            <w:r w:rsidRPr="009C4471">
              <w:rPr>
                <w:sz w:val="20"/>
              </w:rPr>
              <w:t xml:space="preserve"> resulting in a grossly disproportionate and unconstitutional treatment of the applicant – Whether the Court of Appeal erred in failing to order a new hearing – Whether the Court of Appeal erred by substituting its own decision and imposing an indeterminate sentence.</w:t>
            </w:r>
          </w:p>
        </w:tc>
      </w:tr>
      <w:tr w:rsidR="009C4471" w:rsidRPr="009C4471" w:rsidTr="003E7D5B">
        <w:trPr>
          <w:trHeight w:val="80"/>
        </w:trPr>
        <w:tc>
          <w:tcPr>
            <w:tcW w:w="5000" w:type="pct"/>
            <w:gridSpan w:val="4"/>
          </w:tcPr>
          <w:p w:rsidR="009C4471" w:rsidRPr="009C4471" w:rsidRDefault="009C4471" w:rsidP="009C4471">
            <w:pPr>
              <w:jc w:val="both"/>
              <w:rPr>
                <w:sz w:val="20"/>
              </w:rPr>
            </w:pPr>
          </w:p>
        </w:tc>
      </w:tr>
      <w:tr w:rsidR="009C4471" w:rsidRPr="009C4471" w:rsidTr="00E95A6A">
        <w:tc>
          <w:tcPr>
            <w:tcW w:w="5000" w:type="pct"/>
            <w:gridSpan w:val="4"/>
          </w:tcPr>
          <w:p w:rsidR="009C4471" w:rsidRPr="009C4471" w:rsidRDefault="009C4471" w:rsidP="009C4471">
            <w:pPr>
              <w:jc w:val="both"/>
              <w:rPr>
                <w:sz w:val="20"/>
              </w:rPr>
            </w:pPr>
            <w:r w:rsidRPr="009C4471">
              <w:rPr>
                <w:sz w:val="20"/>
              </w:rPr>
              <w:t xml:space="preserve">The parties agreed that the offence of robbery pursuant to s. 344 of the </w:t>
            </w:r>
            <w:r w:rsidRPr="009C4471">
              <w:rPr>
                <w:i/>
                <w:sz w:val="20"/>
              </w:rPr>
              <w:t>Criminal Code</w:t>
            </w:r>
            <w:r w:rsidRPr="009C4471">
              <w:rPr>
                <w:sz w:val="20"/>
              </w:rPr>
              <w:t xml:space="preserve"> for which Mr. Toutsaint was convicted is a “serious personal injury offence.” The Crown applied to have the applicant declared a dangerous offender under s. 753(1) of the </w:t>
            </w:r>
            <w:r w:rsidRPr="009C4471">
              <w:rPr>
                <w:i/>
                <w:sz w:val="20"/>
              </w:rPr>
              <w:t>Criminal Code</w:t>
            </w:r>
            <w:r w:rsidRPr="009C4471">
              <w:rPr>
                <w:sz w:val="20"/>
              </w:rPr>
              <w:t>. The sentencing judge found that the statutory criteria were met. The applicant was declared a dangerous offender and was sentenced to a determinate sentence of three years and a long-term supervision order of five years. The Crown appeal was allowed and an indeterminate sentence was imposed.</w:t>
            </w:r>
          </w:p>
          <w:p w:rsidR="009C4471" w:rsidRPr="009C4471" w:rsidRDefault="009C4471" w:rsidP="009C4471">
            <w:pPr>
              <w:jc w:val="both"/>
              <w:rPr>
                <w:sz w:val="20"/>
              </w:rPr>
            </w:pPr>
          </w:p>
        </w:tc>
      </w:tr>
      <w:tr w:rsidR="009C4471" w:rsidRPr="009C4471" w:rsidTr="00E95A6A">
        <w:tc>
          <w:tcPr>
            <w:tcW w:w="2427" w:type="pct"/>
            <w:gridSpan w:val="2"/>
          </w:tcPr>
          <w:p w:rsidR="009C4471" w:rsidRPr="009C4471" w:rsidRDefault="009C4471" w:rsidP="009C4471">
            <w:pPr>
              <w:jc w:val="both"/>
              <w:rPr>
                <w:sz w:val="20"/>
              </w:rPr>
            </w:pPr>
            <w:r w:rsidRPr="009C4471">
              <w:rPr>
                <w:sz w:val="20"/>
              </w:rPr>
              <w:t>October 7, 2014</w:t>
            </w:r>
          </w:p>
          <w:p w:rsidR="009C4471" w:rsidRPr="009C4471" w:rsidRDefault="009C4471" w:rsidP="009C4471">
            <w:pPr>
              <w:jc w:val="both"/>
              <w:rPr>
                <w:sz w:val="20"/>
              </w:rPr>
            </w:pPr>
            <w:r w:rsidRPr="009C4471">
              <w:rPr>
                <w:sz w:val="20"/>
              </w:rPr>
              <w:t>Provincial Court of Saskatchewan</w:t>
            </w:r>
          </w:p>
          <w:p w:rsidR="009C4471" w:rsidRPr="009C4471" w:rsidRDefault="009C4471" w:rsidP="009C4471">
            <w:pPr>
              <w:jc w:val="both"/>
              <w:rPr>
                <w:sz w:val="20"/>
              </w:rPr>
            </w:pPr>
            <w:r w:rsidRPr="009C4471">
              <w:rPr>
                <w:sz w:val="20"/>
              </w:rPr>
              <w:t>(</w:t>
            </w:r>
            <w:proofErr w:type="spellStart"/>
            <w:r w:rsidRPr="009C4471">
              <w:rPr>
                <w:sz w:val="20"/>
              </w:rPr>
              <w:t>Klause</w:t>
            </w:r>
            <w:proofErr w:type="spellEnd"/>
            <w:r w:rsidRPr="009C4471">
              <w:rPr>
                <w:sz w:val="20"/>
              </w:rPr>
              <w:t xml:space="preserve"> J.)</w:t>
            </w:r>
          </w:p>
          <w:p w:rsidR="009C4471" w:rsidRPr="009C4471" w:rsidRDefault="009C4471" w:rsidP="009C4471">
            <w:pPr>
              <w:jc w:val="both"/>
              <w:rPr>
                <w:sz w:val="20"/>
              </w:rPr>
            </w:pPr>
            <w:r w:rsidRPr="009C4471">
              <w:rPr>
                <w:sz w:val="20"/>
              </w:rPr>
              <w:t>2014 SKPC 172</w:t>
            </w:r>
          </w:p>
          <w:p w:rsidR="009C4471" w:rsidRPr="009C4471" w:rsidRDefault="00A61EAA" w:rsidP="009C4471">
            <w:pPr>
              <w:jc w:val="both"/>
              <w:rPr>
                <w:rStyle w:val="Hyperlink"/>
                <w:rFonts w:eastAsiaTheme="majorEastAsia"/>
                <w:sz w:val="20"/>
              </w:rPr>
            </w:pPr>
            <w:hyperlink r:id="rId21" w:history="1">
              <w:r w:rsidR="009C4471" w:rsidRPr="009C4471">
                <w:rPr>
                  <w:rStyle w:val="Hyperlink"/>
                  <w:rFonts w:eastAsiaTheme="majorEastAsia"/>
                  <w:sz w:val="20"/>
                </w:rPr>
                <w:t>http://canlii.ca/t/gf14p</w:t>
              </w:r>
            </w:hyperlink>
          </w:p>
          <w:p w:rsidR="009C4471" w:rsidRPr="009C4471" w:rsidRDefault="009C4471" w:rsidP="009C4471">
            <w:pPr>
              <w:jc w:val="both"/>
              <w:rPr>
                <w:sz w:val="20"/>
              </w:rPr>
            </w:pPr>
          </w:p>
        </w:tc>
        <w:tc>
          <w:tcPr>
            <w:tcW w:w="243" w:type="pct"/>
          </w:tcPr>
          <w:p w:rsidR="009C4471" w:rsidRPr="009C4471" w:rsidRDefault="009C4471" w:rsidP="009C4471">
            <w:pPr>
              <w:jc w:val="both"/>
              <w:rPr>
                <w:sz w:val="20"/>
              </w:rPr>
            </w:pPr>
          </w:p>
        </w:tc>
        <w:tc>
          <w:tcPr>
            <w:tcW w:w="2330" w:type="pct"/>
          </w:tcPr>
          <w:p w:rsidR="009C4471" w:rsidRPr="009C4471" w:rsidRDefault="009C4471" w:rsidP="009C4471">
            <w:pPr>
              <w:jc w:val="both"/>
              <w:rPr>
                <w:sz w:val="20"/>
              </w:rPr>
            </w:pPr>
            <w:r w:rsidRPr="009C4471">
              <w:rPr>
                <w:sz w:val="20"/>
              </w:rPr>
              <w:t>Sentence imposed: applicant declared a dangerous offender and sentenced to a determinate sentence of three years and a long-term supervision order of five years</w:t>
            </w:r>
          </w:p>
          <w:p w:rsidR="009C4471" w:rsidRPr="009C4471" w:rsidRDefault="009C4471" w:rsidP="009C4471">
            <w:pPr>
              <w:jc w:val="both"/>
              <w:rPr>
                <w:sz w:val="20"/>
              </w:rPr>
            </w:pPr>
          </w:p>
          <w:p w:rsidR="009C4471" w:rsidRPr="009C4471" w:rsidRDefault="009C4471" w:rsidP="009C4471">
            <w:pPr>
              <w:jc w:val="both"/>
              <w:rPr>
                <w:sz w:val="20"/>
              </w:rPr>
            </w:pPr>
          </w:p>
        </w:tc>
      </w:tr>
      <w:tr w:rsidR="009C4471" w:rsidRPr="009C4471" w:rsidTr="00E95A6A">
        <w:tc>
          <w:tcPr>
            <w:tcW w:w="2427" w:type="pct"/>
            <w:gridSpan w:val="2"/>
          </w:tcPr>
          <w:p w:rsidR="009C4471" w:rsidRPr="009C4471" w:rsidRDefault="009C4471" w:rsidP="009C4471">
            <w:pPr>
              <w:jc w:val="both"/>
              <w:rPr>
                <w:sz w:val="20"/>
              </w:rPr>
            </w:pPr>
            <w:r w:rsidRPr="009C4471">
              <w:rPr>
                <w:sz w:val="20"/>
              </w:rPr>
              <w:t>November 17, 2015</w:t>
            </w:r>
          </w:p>
          <w:p w:rsidR="009C4471" w:rsidRPr="009C4471" w:rsidRDefault="009C4471" w:rsidP="009C4471">
            <w:pPr>
              <w:jc w:val="both"/>
              <w:rPr>
                <w:sz w:val="20"/>
              </w:rPr>
            </w:pPr>
            <w:r w:rsidRPr="009C4471">
              <w:rPr>
                <w:sz w:val="20"/>
              </w:rPr>
              <w:t>Court of Appeal for Saskatchewan</w:t>
            </w:r>
          </w:p>
          <w:p w:rsidR="009C4471" w:rsidRPr="009C4471" w:rsidRDefault="009C4471" w:rsidP="009C4471">
            <w:pPr>
              <w:jc w:val="both"/>
              <w:rPr>
                <w:sz w:val="20"/>
              </w:rPr>
            </w:pPr>
            <w:r w:rsidRPr="009C4471">
              <w:rPr>
                <w:sz w:val="20"/>
              </w:rPr>
              <w:t>(Richards, Caldwell, Whitmore JJ.A.)</w:t>
            </w:r>
          </w:p>
          <w:p w:rsidR="009C4471" w:rsidRPr="009C4471" w:rsidRDefault="009C4471" w:rsidP="009C4471">
            <w:pPr>
              <w:jc w:val="both"/>
              <w:rPr>
                <w:sz w:val="20"/>
              </w:rPr>
            </w:pPr>
            <w:r w:rsidRPr="009C4471">
              <w:rPr>
                <w:sz w:val="20"/>
              </w:rPr>
              <w:t>2017 SKCA 117; CACR2519</w:t>
            </w:r>
          </w:p>
          <w:p w:rsidR="009C4471" w:rsidRPr="009C4471" w:rsidRDefault="00A61EAA" w:rsidP="009C4471">
            <w:pPr>
              <w:jc w:val="both"/>
              <w:rPr>
                <w:sz w:val="20"/>
              </w:rPr>
            </w:pPr>
            <w:hyperlink r:id="rId22" w:history="1">
              <w:r w:rsidR="009C4471" w:rsidRPr="009C4471">
                <w:rPr>
                  <w:rStyle w:val="Hyperlink"/>
                  <w:rFonts w:eastAsiaTheme="majorEastAsia"/>
                  <w:sz w:val="20"/>
                </w:rPr>
                <w:t>http://canlii.ca/t/gm8j9</w:t>
              </w:r>
            </w:hyperlink>
          </w:p>
          <w:p w:rsidR="009C4471" w:rsidRPr="009C4471" w:rsidRDefault="009C4471" w:rsidP="009C4471">
            <w:pPr>
              <w:jc w:val="both"/>
              <w:rPr>
                <w:sz w:val="20"/>
              </w:rPr>
            </w:pPr>
          </w:p>
        </w:tc>
        <w:tc>
          <w:tcPr>
            <w:tcW w:w="243" w:type="pct"/>
          </w:tcPr>
          <w:p w:rsidR="009C4471" w:rsidRPr="009C4471" w:rsidRDefault="009C4471" w:rsidP="009C4471">
            <w:pPr>
              <w:jc w:val="both"/>
              <w:rPr>
                <w:sz w:val="20"/>
              </w:rPr>
            </w:pPr>
          </w:p>
        </w:tc>
        <w:tc>
          <w:tcPr>
            <w:tcW w:w="2330" w:type="pct"/>
          </w:tcPr>
          <w:p w:rsidR="009C4471" w:rsidRPr="009C4471" w:rsidRDefault="009C4471" w:rsidP="009C4471">
            <w:pPr>
              <w:jc w:val="both"/>
              <w:rPr>
                <w:sz w:val="20"/>
              </w:rPr>
            </w:pPr>
            <w:r w:rsidRPr="009C4471">
              <w:rPr>
                <w:sz w:val="20"/>
              </w:rPr>
              <w:t>Appeal allowed: indeterminate sentence imposed</w:t>
            </w:r>
          </w:p>
          <w:p w:rsidR="009C4471" w:rsidRPr="009C4471" w:rsidRDefault="009C4471" w:rsidP="009C4471">
            <w:pPr>
              <w:jc w:val="both"/>
              <w:rPr>
                <w:sz w:val="20"/>
              </w:rPr>
            </w:pPr>
          </w:p>
          <w:p w:rsidR="009C4471" w:rsidRPr="009C4471" w:rsidRDefault="009C4471" w:rsidP="009C4471">
            <w:pPr>
              <w:jc w:val="both"/>
              <w:rPr>
                <w:sz w:val="20"/>
              </w:rPr>
            </w:pPr>
          </w:p>
        </w:tc>
      </w:tr>
      <w:tr w:rsidR="009C4471" w:rsidRPr="009C4471" w:rsidTr="00E95A6A">
        <w:tc>
          <w:tcPr>
            <w:tcW w:w="2427" w:type="pct"/>
            <w:gridSpan w:val="2"/>
          </w:tcPr>
          <w:p w:rsidR="009C4471" w:rsidRPr="009C4471" w:rsidRDefault="009C4471" w:rsidP="009C4471">
            <w:pPr>
              <w:jc w:val="both"/>
              <w:rPr>
                <w:sz w:val="20"/>
              </w:rPr>
            </w:pPr>
            <w:r w:rsidRPr="009C4471">
              <w:rPr>
                <w:sz w:val="20"/>
              </w:rPr>
              <w:t>April 8, 2016</w:t>
            </w:r>
          </w:p>
          <w:p w:rsidR="009C4471" w:rsidRPr="009C4471" w:rsidRDefault="009C4471" w:rsidP="009C4471">
            <w:pPr>
              <w:jc w:val="both"/>
              <w:rPr>
                <w:sz w:val="20"/>
              </w:rPr>
            </w:pPr>
            <w:r w:rsidRPr="009C4471">
              <w:rPr>
                <w:sz w:val="20"/>
              </w:rPr>
              <w:t>Supreme Court of Canada</w:t>
            </w:r>
          </w:p>
        </w:tc>
        <w:tc>
          <w:tcPr>
            <w:tcW w:w="243" w:type="pct"/>
          </w:tcPr>
          <w:p w:rsidR="009C4471" w:rsidRPr="009C4471" w:rsidRDefault="009C4471" w:rsidP="009C4471">
            <w:pPr>
              <w:jc w:val="both"/>
              <w:rPr>
                <w:sz w:val="20"/>
              </w:rPr>
            </w:pPr>
          </w:p>
        </w:tc>
        <w:tc>
          <w:tcPr>
            <w:tcW w:w="2330" w:type="pct"/>
          </w:tcPr>
          <w:p w:rsidR="009C4471" w:rsidRPr="009C4471" w:rsidRDefault="009C4471" w:rsidP="009C4471">
            <w:pPr>
              <w:jc w:val="both"/>
              <w:rPr>
                <w:sz w:val="20"/>
              </w:rPr>
            </w:pPr>
            <w:r w:rsidRPr="009C4471">
              <w:rPr>
                <w:sz w:val="20"/>
              </w:rPr>
              <w:t>Motion for an extension of time to serve and file the application for leave to appeal and application for leave to appeal filed</w:t>
            </w:r>
          </w:p>
        </w:tc>
      </w:tr>
    </w:tbl>
    <w:p w:rsidR="009C4471" w:rsidRDefault="009C4471" w:rsidP="009C4471">
      <w:pPr>
        <w:jc w:val="both"/>
        <w:rPr>
          <w:sz w:val="20"/>
        </w:rPr>
      </w:pPr>
    </w:p>
    <w:p w:rsidR="009C4471" w:rsidRPr="009C4471" w:rsidRDefault="009C4471" w:rsidP="009C447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C4471" w:rsidRPr="009C4471" w:rsidTr="00E95A6A">
        <w:tc>
          <w:tcPr>
            <w:tcW w:w="543" w:type="pct"/>
          </w:tcPr>
          <w:p w:rsidR="009C4471" w:rsidRPr="009C4471" w:rsidRDefault="009C4471" w:rsidP="009C4471">
            <w:pPr>
              <w:jc w:val="both"/>
              <w:rPr>
                <w:sz w:val="20"/>
                <w:lang w:val="fr-CA"/>
              </w:rPr>
            </w:pPr>
            <w:r w:rsidRPr="009C4471">
              <w:rPr>
                <w:rStyle w:val="SCCFileNumberChar"/>
                <w:sz w:val="20"/>
                <w:szCs w:val="20"/>
                <w:lang w:val="fr-CA"/>
              </w:rPr>
              <w:t>36943</w:t>
            </w:r>
          </w:p>
        </w:tc>
        <w:tc>
          <w:tcPr>
            <w:tcW w:w="4457" w:type="pct"/>
            <w:gridSpan w:val="3"/>
          </w:tcPr>
          <w:p w:rsidR="009C4471" w:rsidRPr="009C4471" w:rsidRDefault="009C4471" w:rsidP="009C4471">
            <w:pPr>
              <w:pStyle w:val="SCCLsocParty"/>
              <w:jc w:val="both"/>
              <w:rPr>
                <w:b/>
                <w:sz w:val="20"/>
                <w:szCs w:val="20"/>
              </w:rPr>
            </w:pPr>
            <w:r w:rsidRPr="009C4471">
              <w:rPr>
                <w:b/>
                <w:sz w:val="20"/>
                <w:szCs w:val="20"/>
              </w:rPr>
              <w:t>Joey John Toutsaint c. Sa Majesté la Reine</w:t>
            </w:r>
          </w:p>
          <w:p w:rsidR="009C4471" w:rsidRPr="009C4471" w:rsidRDefault="009C4471" w:rsidP="009C4471">
            <w:pPr>
              <w:jc w:val="both"/>
              <w:rPr>
                <w:sz w:val="20"/>
                <w:lang w:val="fr-CA"/>
              </w:rPr>
            </w:pPr>
            <w:r w:rsidRPr="009C4471">
              <w:rPr>
                <w:sz w:val="20"/>
                <w:lang w:val="fr-CA"/>
              </w:rPr>
              <w:t>(Sask.) (Criminelle) (Sur autorisation)</w:t>
            </w:r>
          </w:p>
        </w:tc>
      </w:tr>
      <w:tr w:rsidR="009C4471" w:rsidRPr="00A61EAA" w:rsidTr="00E95A6A">
        <w:tc>
          <w:tcPr>
            <w:tcW w:w="5000" w:type="pct"/>
            <w:gridSpan w:val="4"/>
          </w:tcPr>
          <w:p w:rsidR="009C4471" w:rsidRPr="009C4471" w:rsidRDefault="009C4471" w:rsidP="009C4471">
            <w:pPr>
              <w:jc w:val="both"/>
              <w:rPr>
                <w:sz w:val="20"/>
                <w:lang w:val="fr-CA"/>
              </w:rPr>
            </w:pPr>
            <w:r w:rsidRPr="009C4471">
              <w:rPr>
                <w:sz w:val="20"/>
                <w:lang w:val="fr-CA"/>
              </w:rPr>
              <w:t xml:space="preserve">Droit criminel – Détermination de la peine – Demande du ministère public en vue d’obtenir une déclaration de délinquant dangereux – La Cour d’appel a-t-elle eu tort de confirmer la décision du juge du procès de déclarer le demandeur délinquant dangereux? – La Cour d’appel a-t-elle eu tort de ne pas avoir tenu dûment compte des facteurs énumérés </w:t>
            </w:r>
            <w:proofErr w:type="gramStart"/>
            <w:r w:rsidRPr="009C4471">
              <w:rPr>
                <w:sz w:val="20"/>
                <w:lang w:val="fr-CA"/>
              </w:rPr>
              <w:t>aux art</w:t>
            </w:r>
            <w:proofErr w:type="gramEnd"/>
            <w:r w:rsidRPr="009C4471">
              <w:rPr>
                <w:sz w:val="20"/>
                <w:lang w:val="fr-CA"/>
              </w:rPr>
              <w:t xml:space="preserve">. 718.1 et 718.2 du </w:t>
            </w:r>
            <w:r w:rsidRPr="009C4471">
              <w:rPr>
                <w:i/>
                <w:sz w:val="20"/>
                <w:lang w:val="fr-CA"/>
              </w:rPr>
              <w:t>Code criminel</w:t>
            </w:r>
            <w:r w:rsidRPr="009C4471">
              <w:rPr>
                <w:sz w:val="20"/>
                <w:lang w:val="fr-CA"/>
              </w:rPr>
              <w:t xml:space="preserve"> et de ne pas avoir tenu dûment compte des considérations mentionnées dans les arrêts </w:t>
            </w:r>
            <w:r w:rsidRPr="009C4471">
              <w:rPr>
                <w:i/>
                <w:sz w:val="20"/>
                <w:lang w:val="fr-CA"/>
              </w:rPr>
              <w:t>R. c.</w:t>
            </w:r>
            <w:r w:rsidRPr="009C4471">
              <w:rPr>
                <w:sz w:val="20"/>
                <w:lang w:val="fr-CA"/>
              </w:rPr>
              <w:t xml:space="preserve"> </w:t>
            </w:r>
            <w:r w:rsidRPr="009C4471">
              <w:rPr>
                <w:i/>
                <w:sz w:val="20"/>
                <w:lang w:val="fr-CA"/>
              </w:rPr>
              <w:t>Gladue</w:t>
            </w:r>
            <w:r w:rsidRPr="009C4471">
              <w:rPr>
                <w:sz w:val="20"/>
                <w:lang w:val="fr-CA"/>
              </w:rPr>
              <w:t xml:space="preserve">, [1999] 1 R.C.S. 688 et </w:t>
            </w:r>
            <w:r w:rsidRPr="009C4471">
              <w:rPr>
                <w:i/>
                <w:sz w:val="20"/>
                <w:lang w:val="fr-CA"/>
              </w:rPr>
              <w:t>R. c.</w:t>
            </w:r>
            <w:r w:rsidRPr="009C4471">
              <w:rPr>
                <w:sz w:val="20"/>
                <w:lang w:val="fr-CA"/>
              </w:rPr>
              <w:t xml:space="preserve"> </w:t>
            </w:r>
            <w:proofErr w:type="spellStart"/>
            <w:r w:rsidRPr="009C4471">
              <w:rPr>
                <w:i/>
                <w:sz w:val="20"/>
                <w:lang w:val="fr-CA"/>
              </w:rPr>
              <w:t>Ipeelee</w:t>
            </w:r>
            <w:proofErr w:type="spellEnd"/>
            <w:r w:rsidRPr="009C4471">
              <w:rPr>
                <w:sz w:val="20"/>
                <w:lang w:val="fr-CA"/>
              </w:rPr>
              <w:t xml:space="preserve"> (2012 CSC 13) et a-t-elle commis une erreur en concluant à tort que l’on ne pouvait pas « vraisemblablement s’attendre » à ce que le public soit protégé contre le demandeur? – La Cour d’appel a-t-elle eu tort de ne pas avoir tenu compte de l’art. 753 of the</w:t>
            </w:r>
            <w:r w:rsidRPr="009C4471">
              <w:rPr>
                <w:i/>
                <w:sz w:val="20"/>
                <w:lang w:val="fr-CA"/>
              </w:rPr>
              <w:t xml:space="preserve"> Code criminel</w:t>
            </w:r>
            <w:r w:rsidRPr="009C4471">
              <w:rPr>
                <w:sz w:val="20"/>
                <w:lang w:val="fr-CA"/>
              </w:rPr>
              <w:t xml:space="preserve"> portant sur les délinquants à contrôler et de ne pas avoir suivi l’arrêt </w:t>
            </w:r>
            <w:r w:rsidRPr="009C4471">
              <w:rPr>
                <w:i/>
                <w:sz w:val="20"/>
                <w:lang w:val="fr-CA"/>
              </w:rPr>
              <w:t>R. c. Johnson</w:t>
            </w:r>
            <w:r w:rsidRPr="009C4471">
              <w:rPr>
                <w:sz w:val="20"/>
                <w:lang w:val="fr-CA"/>
              </w:rPr>
              <w:t>, 2003 SCC 46, [2003] 2 R.C.S. 357, dans lequel la Cour suprême du Canada a statué que les tribunaux de première instance devaient tenir compte des dispositions applicables aux délinquants à contrôler avant d’imposer une peine de détention d’une durée indéterminée? – La Cour d’appel a-t-elle eu tort de ne pas avoir appliqué les principes de proportionnalité dans l’analyse fondée sur le par. 753(1) du</w:t>
            </w:r>
            <w:r w:rsidRPr="009C4471">
              <w:rPr>
                <w:i/>
                <w:sz w:val="20"/>
                <w:lang w:val="fr-CA"/>
              </w:rPr>
              <w:t xml:space="preserve"> Code criminel</w:t>
            </w:r>
            <w:r w:rsidRPr="009C4471">
              <w:rPr>
                <w:sz w:val="20"/>
                <w:lang w:val="fr-CA"/>
              </w:rPr>
              <w:t>, ce qui a donné lieu à un traitement totalement disproportionné et inconstitutionnel du demandeur? – La Cour d’appel a-t-elle eu tort de ne pas avoir ordonné la tenue d’une nouvelle audience? – La Cour d’appel a-t-elle eu tort de substituer sa propre décision et d’imposer une peine de détention d’une durée indéterminée?</w:t>
            </w:r>
          </w:p>
        </w:tc>
      </w:tr>
      <w:tr w:rsidR="009C4471" w:rsidRPr="00A61EAA" w:rsidTr="003E7D5B">
        <w:trPr>
          <w:trHeight w:val="80"/>
        </w:trPr>
        <w:tc>
          <w:tcPr>
            <w:tcW w:w="5000" w:type="pct"/>
            <w:gridSpan w:val="4"/>
          </w:tcPr>
          <w:p w:rsidR="009C4471" w:rsidRPr="009C4471" w:rsidRDefault="009C4471" w:rsidP="009C4471">
            <w:pPr>
              <w:jc w:val="both"/>
              <w:rPr>
                <w:sz w:val="20"/>
                <w:lang w:val="fr-CA"/>
              </w:rPr>
            </w:pPr>
          </w:p>
        </w:tc>
      </w:tr>
      <w:tr w:rsidR="009C4471" w:rsidRPr="00A61EAA" w:rsidTr="00E95A6A">
        <w:tc>
          <w:tcPr>
            <w:tcW w:w="5000" w:type="pct"/>
            <w:gridSpan w:val="4"/>
          </w:tcPr>
          <w:p w:rsidR="009C4471" w:rsidRPr="009C4471" w:rsidRDefault="009C4471" w:rsidP="009C4471">
            <w:pPr>
              <w:jc w:val="both"/>
              <w:rPr>
                <w:sz w:val="20"/>
                <w:lang w:val="fr-CA"/>
              </w:rPr>
            </w:pPr>
            <w:r w:rsidRPr="009C4471">
              <w:rPr>
                <w:sz w:val="20"/>
                <w:lang w:val="fr-CA"/>
              </w:rPr>
              <w:t>Les parties ont convenu que l’infraction de vol qualifié prévue à l’art. 344 du</w:t>
            </w:r>
            <w:r w:rsidRPr="009C4471">
              <w:rPr>
                <w:i/>
                <w:sz w:val="20"/>
                <w:lang w:val="fr-CA"/>
              </w:rPr>
              <w:t xml:space="preserve"> Code criminel</w:t>
            </w:r>
            <w:r w:rsidRPr="009C4471">
              <w:rPr>
                <w:sz w:val="20"/>
                <w:lang w:val="fr-CA"/>
              </w:rPr>
              <w:t xml:space="preserve"> (l’infraction dont M. </w:t>
            </w:r>
            <w:proofErr w:type="spellStart"/>
            <w:r w:rsidRPr="009C4471">
              <w:rPr>
                <w:sz w:val="20"/>
                <w:lang w:val="fr-CA"/>
              </w:rPr>
              <w:t>Toutsaint</w:t>
            </w:r>
            <w:proofErr w:type="spellEnd"/>
            <w:r w:rsidRPr="009C4471">
              <w:rPr>
                <w:sz w:val="20"/>
                <w:lang w:val="fr-CA"/>
              </w:rPr>
              <w:t xml:space="preserve"> a été déclaré coupable) constituait des « sévices graves à la personne. » Le ministère public a demandé que le demandeur soit déclaré délinquant dangereux en application du par. 753(1) du </w:t>
            </w:r>
            <w:r w:rsidRPr="009C4471">
              <w:rPr>
                <w:i/>
                <w:sz w:val="20"/>
                <w:lang w:val="fr-CA"/>
              </w:rPr>
              <w:t>Code criminel</w:t>
            </w:r>
            <w:r w:rsidRPr="009C4471">
              <w:rPr>
                <w:sz w:val="20"/>
                <w:lang w:val="fr-CA"/>
              </w:rPr>
              <w:t>. Le juge chargé de la détermination de la peine a conclu que les critères prévus dans la loi avaient été remplis. Le demandeur a été déclaré délinquant dangereux et condamné à une peine de détention d’une durée déterminée de trois ans et à une surveillance de longue durée de cinq ans. L’appel du ministère public a été accueilli et une peine de détention d’une durée indéterminée a été imposée.</w:t>
            </w:r>
          </w:p>
          <w:p w:rsidR="009C4471" w:rsidRPr="009C4471" w:rsidRDefault="009C4471" w:rsidP="009C4471">
            <w:pPr>
              <w:jc w:val="both"/>
              <w:rPr>
                <w:sz w:val="20"/>
                <w:lang w:val="fr-CA"/>
              </w:rPr>
            </w:pPr>
          </w:p>
        </w:tc>
      </w:tr>
      <w:tr w:rsidR="009C4471" w:rsidRPr="00A61EAA" w:rsidTr="00E95A6A">
        <w:tc>
          <w:tcPr>
            <w:tcW w:w="2427" w:type="pct"/>
            <w:gridSpan w:val="2"/>
          </w:tcPr>
          <w:p w:rsidR="009C4471" w:rsidRPr="009C4471" w:rsidRDefault="009C4471" w:rsidP="009C4471">
            <w:pPr>
              <w:jc w:val="both"/>
              <w:rPr>
                <w:sz w:val="20"/>
                <w:lang w:val="fr-CA"/>
              </w:rPr>
            </w:pPr>
            <w:r w:rsidRPr="009C4471">
              <w:rPr>
                <w:sz w:val="20"/>
                <w:lang w:val="fr-CA"/>
              </w:rPr>
              <w:lastRenderedPageBreak/>
              <w:t>7 octobre 2014</w:t>
            </w:r>
          </w:p>
          <w:p w:rsidR="009C4471" w:rsidRPr="009C4471" w:rsidRDefault="009C4471" w:rsidP="009C4471">
            <w:pPr>
              <w:jc w:val="both"/>
              <w:rPr>
                <w:sz w:val="20"/>
                <w:lang w:val="fr-CA"/>
              </w:rPr>
            </w:pPr>
            <w:r w:rsidRPr="009C4471">
              <w:rPr>
                <w:sz w:val="20"/>
                <w:lang w:val="fr-CA"/>
              </w:rPr>
              <w:t xml:space="preserve">Cour provinciale de la Saskatchewan </w:t>
            </w:r>
          </w:p>
          <w:p w:rsidR="009C4471" w:rsidRPr="009C4471" w:rsidRDefault="009C4471" w:rsidP="009C4471">
            <w:pPr>
              <w:jc w:val="both"/>
              <w:rPr>
                <w:sz w:val="20"/>
                <w:lang w:val="fr-CA"/>
              </w:rPr>
            </w:pPr>
            <w:r w:rsidRPr="009C4471">
              <w:rPr>
                <w:sz w:val="20"/>
                <w:lang w:val="fr-CA"/>
              </w:rPr>
              <w:t>(Juge Klause)</w:t>
            </w:r>
          </w:p>
          <w:p w:rsidR="009C4471" w:rsidRPr="009C4471" w:rsidRDefault="009C4471" w:rsidP="009C4471">
            <w:pPr>
              <w:jc w:val="both"/>
              <w:rPr>
                <w:sz w:val="20"/>
                <w:lang w:val="fr-CA"/>
              </w:rPr>
            </w:pPr>
            <w:r w:rsidRPr="009C4471">
              <w:rPr>
                <w:sz w:val="20"/>
                <w:lang w:val="fr-CA"/>
              </w:rPr>
              <w:t>2014 SKPC 172</w:t>
            </w:r>
          </w:p>
          <w:p w:rsidR="009C4471" w:rsidRPr="00A61EAA" w:rsidRDefault="00A61EAA" w:rsidP="009C4471">
            <w:pPr>
              <w:jc w:val="both"/>
              <w:rPr>
                <w:rStyle w:val="Hyperlink"/>
                <w:rFonts w:eastAsiaTheme="majorEastAsia"/>
                <w:sz w:val="20"/>
                <w:lang w:val="fr-CA"/>
              </w:rPr>
            </w:pPr>
            <w:r>
              <w:fldChar w:fldCharType="begin"/>
            </w:r>
            <w:r w:rsidRPr="00A61EAA">
              <w:rPr>
                <w:lang w:val="fr-CA"/>
              </w:rPr>
              <w:instrText xml:space="preserve"> </w:instrText>
            </w:r>
            <w:r w:rsidRPr="00A61EAA">
              <w:rPr>
                <w:lang w:val="fr-CA"/>
              </w:rPr>
              <w:instrText xml:space="preserve">HYPERLINK "http://canlii.ca/t/gf14p" </w:instrText>
            </w:r>
            <w:r>
              <w:fldChar w:fldCharType="separate"/>
            </w:r>
            <w:r w:rsidR="009C4471" w:rsidRPr="00A61EAA">
              <w:rPr>
                <w:rStyle w:val="Hyperlink"/>
                <w:rFonts w:eastAsiaTheme="majorEastAsia"/>
                <w:sz w:val="20"/>
                <w:lang w:val="fr-CA"/>
              </w:rPr>
              <w:t>http://canlii.ca/t/gf14p</w:t>
            </w:r>
            <w:r>
              <w:rPr>
                <w:rStyle w:val="Hyperlink"/>
                <w:rFonts w:eastAsiaTheme="majorEastAsia"/>
                <w:sz w:val="20"/>
              </w:rPr>
              <w:fldChar w:fldCharType="end"/>
            </w:r>
          </w:p>
          <w:p w:rsidR="009C4471" w:rsidRPr="009C4471" w:rsidRDefault="009C4471" w:rsidP="009C4471">
            <w:pPr>
              <w:jc w:val="both"/>
              <w:rPr>
                <w:sz w:val="20"/>
                <w:lang w:val="fr-CA"/>
              </w:rPr>
            </w:pPr>
          </w:p>
        </w:tc>
        <w:tc>
          <w:tcPr>
            <w:tcW w:w="243" w:type="pct"/>
          </w:tcPr>
          <w:p w:rsidR="009C4471" w:rsidRPr="009C4471" w:rsidRDefault="009C4471" w:rsidP="009C4471">
            <w:pPr>
              <w:jc w:val="both"/>
              <w:rPr>
                <w:sz w:val="20"/>
                <w:lang w:val="fr-CA"/>
              </w:rPr>
            </w:pPr>
          </w:p>
        </w:tc>
        <w:tc>
          <w:tcPr>
            <w:tcW w:w="2330" w:type="pct"/>
          </w:tcPr>
          <w:p w:rsidR="009C4471" w:rsidRPr="009C4471" w:rsidRDefault="009C4471" w:rsidP="009C4471">
            <w:pPr>
              <w:jc w:val="both"/>
              <w:rPr>
                <w:sz w:val="20"/>
                <w:lang w:val="fr-CA"/>
              </w:rPr>
            </w:pPr>
            <w:r w:rsidRPr="009C4471">
              <w:rPr>
                <w:sz w:val="20"/>
                <w:lang w:val="fr-CA"/>
              </w:rPr>
              <w:t>Imposition de la peine : déclaration de délinquant dangereux, peine d’une durée déterminée de trois ans et ordonnance de surveillance de longue durée (cinq ans)</w:t>
            </w:r>
          </w:p>
          <w:p w:rsidR="009C4471" w:rsidRPr="009C4471" w:rsidRDefault="009C4471" w:rsidP="009C4471">
            <w:pPr>
              <w:jc w:val="both"/>
              <w:rPr>
                <w:sz w:val="20"/>
                <w:lang w:val="fr-CA"/>
              </w:rPr>
            </w:pPr>
          </w:p>
          <w:p w:rsidR="009C4471" w:rsidRPr="009C4471" w:rsidRDefault="009C4471" w:rsidP="009C4471">
            <w:pPr>
              <w:jc w:val="both"/>
              <w:rPr>
                <w:sz w:val="20"/>
                <w:lang w:val="fr-CA"/>
              </w:rPr>
            </w:pPr>
          </w:p>
        </w:tc>
      </w:tr>
      <w:tr w:rsidR="009C4471" w:rsidRPr="00A61EAA" w:rsidTr="00E95A6A">
        <w:tc>
          <w:tcPr>
            <w:tcW w:w="2427" w:type="pct"/>
            <w:gridSpan w:val="2"/>
          </w:tcPr>
          <w:p w:rsidR="009C4471" w:rsidRPr="009C4471" w:rsidRDefault="009C4471" w:rsidP="009C4471">
            <w:pPr>
              <w:jc w:val="both"/>
              <w:rPr>
                <w:sz w:val="20"/>
                <w:lang w:val="fr-CA"/>
              </w:rPr>
            </w:pPr>
            <w:r w:rsidRPr="009C4471">
              <w:rPr>
                <w:sz w:val="20"/>
                <w:lang w:val="fr-CA"/>
              </w:rPr>
              <w:t>17 novembre 2015</w:t>
            </w:r>
          </w:p>
          <w:p w:rsidR="009C4471" w:rsidRPr="009C4471" w:rsidRDefault="009C4471" w:rsidP="009C4471">
            <w:pPr>
              <w:jc w:val="both"/>
              <w:rPr>
                <w:sz w:val="20"/>
                <w:lang w:val="fr-CA"/>
              </w:rPr>
            </w:pPr>
            <w:r w:rsidRPr="009C4471">
              <w:rPr>
                <w:sz w:val="20"/>
                <w:lang w:val="fr-CA"/>
              </w:rPr>
              <w:t>Cour d’appel de la Saskatchewan</w:t>
            </w:r>
          </w:p>
          <w:p w:rsidR="009C4471" w:rsidRPr="009C4471" w:rsidRDefault="009C4471" w:rsidP="009C4471">
            <w:pPr>
              <w:jc w:val="both"/>
              <w:rPr>
                <w:sz w:val="20"/>
              </w:rPr>
            </w:pPr>
            <w:r w:rsidRPr="009C4471">
              <w:rPr>
                <w:sz w:val="20"/>
              </w:rPr>
              <w:t>(</w:t>
            </w:r>
            <w:proofErr w:type="spellStart"/>
            <w:r w:rsidRPr="009C4471">
              <w:rPr>
                <w:sz w:val="20"/>
              </w:rPr>
              <w:t>Juges</w:t>
            </w:r>
            <w:proofErr w:type="spellEnd"/>
            <w:r w:rsidRPr="009C4471">
              <w:rPr>
                <w:sz w:val="20"/>
              </w:rPr>
              <w:t xml:space="preserve"> Richards, Caldwell et Whitmore)</w:t>
            </w:r>
          </w:p>
          <w:p w:rsidR="009C4471" w:rsidRPr="009C4471" w:rsidRDefault="009C4471" w:rsidP="009C4471">
            <w:pPr>
              <w:jc w:val="both"/>
              <w:rPr>
                <w:sz w:val="20"/>
              </w:rPr>
            </w:pPr>
            <w:r w:rsidRPr="009C4471">
              <w:rPr>
                <w:sz w:val="20"/>
              </w:rPr>
              <w:t>2017 SKCA 117; CACR2519</w:t>
            </w:r>
          </w:p>
          <w:p w:rsidR="009C4471" w:rsidRPr="009C4471" w:rsidRDefault="00A61EAA" w:rsidP="009C4471">
            <w:pPr>
              <w:jc w:val="both"/>
              <w:rPr>
                <w:sz w:val="20"/>
              </w:rPr>
            </w:pPr>
            <w:hyperlink r:id="rId23" w:history="1">
              <w:r w:rsidR="009C4471" w:rsidRPr="009C4471">
                <w:rPr>
                  <w:rStyle w:val="Hyperlink"/>
                  <w:rFonts w:eastAsiaTheme="majorEastAsia"/>
                  <w:sz w:val="20"/>
                </w:rPr>
                <w:t>http://canlii.ca/t/gm8j9</w:t>
              </w:r>
            </w:hyperlink>
          </w:p>
          <w:p w:rsidR="009C4471" w:rsidRPr="009C4471" w:rsidRDefault="009C4471" w:rsidP="009C4471">
            <w:pPr>
              <w:jc w:val="both"/>
              <w:rPr>
                <w:sz w:val="20"/>
              </w:rPr>
            </w:pPr>
          </w:p>
        </w:tc>
        <w:tc>
          <w:tcPr>
            <w:tcW w:w="243" w:type="pct"/>
          </w:tcPr>
          <w:p w:rsidR="009C4471" w:rsidRPr="009C4471" w:rsidRDefault="009C4471" w:rsidP="009C4471">
            <w:pPr>
              <w:jc w:val="both"/>
              <w:rPr>
                <w:sz w:val="20"/>
              </w:rPr>
            </w:pPr>
          </w:p>
        </w:tc>
        <w:tc>
          <w:tcPr>
            <w:tcW w:w="2330" w:type="pct"/>
          </w:tcPr>
          <w:p w:rsidR="009C4471" w:rsidRPr="009C4471" w:rsidRDefault="009C4471" w:rsidP="009C4471">
            <w:pPr>
              <w:jc w:val="both"/>
              <w:rPr>
                <w:sz w:val="20"/>
                <w:lang w:val="fr-CA"/>
              </w:rPr>
            </w:pPr>
            <w:r w:rsidRPr="009C4471">
              <w:rPr>
                <w:sz w:val="20"/>
                <w:lang w:val="fr-CA"/>
              </w:rPr>
              <w:t>Arrêt accueillant l’appel et imposant une peine d’une durée indéterminée</w:t>
            </w:r>
          </w:p>
          <w:p w:rsidR="009C4471" w:rsidRPr="009C4471" w:rsidRDefault="009C4471" w:rsidP="009C4471">
            <w:pPr>
              <w:jc w:val="both"/>
              <w:rPr>
                <w:sz w:val="20"/>
                <w:lang w:val="fr-CA"/>
              </w:rPr>
            </w:pPr>
          </w:p>
          <w:p w:rsidR="009C4471" w:rsidRPr="009C4471" w:rsidRDefault="009C4471" w:rsidP="009C4471">
            <w:pPr>
              <w:jc w:val="both"/>
              <w:rPr>
                <w:sz w:val="20"/>
                <w:lang w:val="fr-CA"/>
              </w:rPr>
            </w:pPr>
          </w:p>
        </w:tc>
      </w:tr>
      <w:tr w:rsidR="009C4471" w:rsidRPr="00A61EAA" w:rsidTr="00E95A6A">
        <w:tc>
          <w:tcPr>
            <w:tcW w:w="2427" w:type="pct"/>
            <w:gridSpan w:val="2"/>
          </w:tcPr>
          <w:p w:rsidR="009C4471" w:rsidRPr="009C4471" w:rsidRDefault="009C4471" w:rsidP="009C4471">
            <w:pPr>
              <w:jc w:val="both"/>
              <w:rPr>
                <w:sz w:val="20"/>
                <w:lang w:val="fr-CA"/>
              </w:rPr>
            </w:pPr>
            <w:r w:rsidRPr="009C4471">
              <w:rPr>
                <w:sz w:val="20"/>
                <w:lang w:val="fr-CA"/>
              </w:rPr>
              <w:t>8 avril 2016</w:t>
            </w:r>
          </w:p>
          <w:p w:rsidR="009C4471" w:rsidRPr="009C4471" w:rsidRDefault="009C4471" w:rsidP="009C4471">
            <w:pPr>
              <w:jc w:val="both"/>
              <w:rPr>
                <w:sz w:val="20"/>
                <w:lang w:val="fr-CA"/>
              </w:rPr>
            </w:pPr>
            <w:r w:rsidRPr="009C4471">
              <w:rPr>
                <w:sz w:val="20"/>
                <w:lang w:val="fr-CA"/>
              </w:rPr>
              <w:t>Cour suprême du Canada</w:t>
            </w:r>
          </w:p>
        </w:tc>
        <w:tc>
          <w:tcPr>
            <w:tcW w:w="243" w:type="pct"/>
          </w:tcPr>
          <w:p w:rsidR="009C4471" w:rsidRPr="009C4471" w:rsidRDefault="009C4471" w:rsidP="009C4471">
            <w:pPr>
              <w:jc w:val="both"/>
              <w:rPr>
                <w:sz w:val="20"/>
                <w:lang w:val="fr-CA"/>
              </w:rPr>
            </w:pPr>
          </w:p>
        </w:tc>
        <w:tc>
          <w:tcPr>
            <w:tcW w:w="2330" w:type="pct"/>
          </w:tcPr>
          <w:p w:rsidR="009C4471" w:rsidRPr="009C4471" w:rsidRDefault="009C4471" w:rsidP="009C4471">
            <w:pPr>
              <w:jc w:val="both"/>
              <w:rPr>
                <w:sz w:val="20"/>
                <w:lang w:val="fr-CA"/>
              </w:rPr>
            </w:pPr>
            <w:r w:rsidRPr="009C4471">
              <w:rPr>
                <w:sz w:val="20"/>
                <w:lang w:val="fr-CA"/>
              </w:rPr>
              <w:t>Dépôt de la requête en prorogation du délai de signification et de dépôt de la demande d’autorisation d’appel et de la demande d’autorisation d’appel</w:t>
            </w:r>
          </w:p>
        </w:tc>
      </w:tr>
    </w:tbl>
    <w:p w:rsidR="009C4471" w:rsidRPr="009C4471" w:rsidRDefault="009C4471" w:rsidP="009C4471">
      <w:pPr>
        <w:jc w:val="both"/>
        <w:rPr>
          <w:sz w:val="20"/>
          <w:lang w:val="fr-CA"/>
        </w:rPr>
      </w:pPr>
    </w:p>
    <w:p w:rsidR="00A32C42" w:rsidRPr="00A61EAA" w:rsidRDefault="00A32C42" w:rsidP="009C273F">
      <w:pPr>
        <w:widowControl w:val="0"/>
        <w:autoSpaceDE w:val="0"/>
        <w:autoSpaceDN w:val="0"/>
        <w:adjustRightInd w:val="0"/>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C273F" w:rsidRPr="009C273F" w:rsidTr="00E95A6A">
        <w:tc>
          <w:tcPr>
            <w:tcW w:w="543" w:type="pct"/>
          </w:tcPr>
          <w:p w:rsidR="009C273F" w:rsidRPr="009C273F" w:rsidRDefault="009C273F" w:rsidP="009C273F">
            <w:pPr>
              <w:jc w:val="both"/>
              <w:rPr>
                <w:sz w:val="20"/>
              </w:rPr>
            </w:pPr>
            <w:r w:rsidRPr="009C273F">
              <w:rPr>
                <w:rStyle w:val="SCCFileNumberChar"/>
                <w:sz w:val="20"/>
                <w:szCs w:val="20"/>
              </w:rPr>
              <w:t>36946</w:t>
            </w:r>
          </w:p>
        </w:tc>
        <w:tc>
          <w:tcPr>
            <w:tcW w:w="4457" w:type="pct"/>
            <w:gridSpan w:val="3"/>
          </w:tcPr>
          <w:p w:rsidR="009C273F" w:rsidRPr="00A61EAA" w:rsidRDefault="009C273F" w:rsidP="009C273F">
            <w:pPr>
              <w:pStyle w:val="SCCLsocParty"/>
              <w:jc w:val="both"/>
              <w:rPr>
                <w:b/>
                <w:sz w:val="20"/>
                <w:szCs w:val="20"/>
                <w:lang w:val="en-US"/>
              </w:rPr>
            </w:pPr>
            <w:r w:rsidRPr="00A61EAA">
              <w:rPr>
                <w:b/>
                <w:sz w:val="20"/>
                <w:szCs w:val="20"/>
                <w:lang w:val="en-US"/>
              </w:rPr>
              <w:t>Jaamiah Al Uloom Al Islamiyyah Ontario v. Minister of National Revenue (Canada Revenue Agency)</w:t>
            </w:r>
          </w:p>
          <w:p w:rsidR="009C273F" w:rsidRPr="009C273F" w:rsidRDefault="009C273F" w:rsidP="009C273F">
            <w:pPr>
              <w:jc w:val="both"/>
              <w:rPr>
                <w:sz w:val="20"/>
              </w:rPr>
            </w:pPr>
            <w:r w:rsidRPr="009C273F">
              <w:rPr>
                <w:sz w:val="20"/>
              </w:rPr>
              <w:t>(FC) (Civil) (By Leave)</w:t>
            </w:r>
          </w:p>
        </w:tc>
      </w:tr>
      <w:tr w:rsidR="009C273F" w:rsidRPr="009C273F" w:rsidTr="00E95A6A">
        <w:tc>
          <w:tcPr>
            <w:tcW w:w="5000" w:type="pct"/>
            <w:gridSpan w:val="4"/>
          </w:tcPr>
          <w:p w:rsidR="009C273F" w:rsidRPr="009C273F" w:rsidRDefault="009C273F" w:rsidP="009C273F">
            <w:pPr>
              <w:jc w:val="both"/>
              <w:rPr>
                <w:sz w:val="20"/>
              </w:rPr>
            </w:pPr>
            <w:r w:rsidRPr="009C273F">
              <w:rPr>
                <w:sz w:val="20"/>
              </w:rPr>
              <w:t xml:space="preserve">Taxation – Charitable status – Minister of National Revenue revoking applicant’s charitable status after audit revealed applicant failed to comply with requirements necessary to maintain its registration under </w:t>
            </w:r>
            <w:r w:rsidRPr="009C273F">
              <w:rPr>
                <w:i/>
                <w:sz w:val="20"/>
              </w:rPr>
              <w:t>Income Tax Act</w:t>
            </w:r>
            <w:r w:rsidRPr="009C273F">
              <w:rPr>
                <w:sz w:val="20"/>
              </w:rPr>
              <w:t>, R.S.C. 1985, c. 1 (5</w:t>
            </w:r>
            <w:r w:rsidRPr="009C273F">
              <w:rPr>
                <w:sz w:val="20"/>
                <w:vertAlign w:val="superscript"/>
              </w:rPr>
              <w:t>th</w:t>
            </w:r>
            <w:r w:rsidRPr="009C273F">
              <w:rPr>
                <w:sz w:val="20"/>
              </w:rPr>
              <w:t xml:space="preserve"> Supp.) – Whether Court of Appeal justices acted in fair and unbiased manner – Whether respondent provided court with inaccurate information – Whether proper sanction was imposed on applicant</w:t>
            </w:r>
          </w:p>
        </w:tc>
      </w:tr>
      <w:tr w:rsidR="009C273F" w:rsidRPr="009C273F" w:rsidTr="00E95A6A">
        <w:tc>
          <w:tcPr>
            <w:tcW w:w="5000" w:type="pct"/>
            <w:gridSpan w:val="4"/>
          </w:tcPr>
          <w:p w:rsidR="009C273F" w:rsidRPr="009C273F" w:rsidRDefault="009C273F" w:rsidP="009C273F">
            <w:pPr>
              <w:jc w:val="both"/>
              <w:rPr>
                <w:sz w:val="20"/>
              </w:rPr>
            </w:pPr>
          </w:p>
        </w:tc>
      </w:tr>
      <w:tr w:rsidR="009C273F" w:rsidRPr="009C273F" w:rsidTr="00E95A6A">
        <w:tc>
          <w:tcPr>
            <w:tcW w:w="5000" w:type="pct"/>
            <w:gridSpan w:val="4"/>
          </w:tcPr>
          <w:p w:rsidR="009C273F" w:rsidRPr="009C273F" w:rsidRDefault="009C273F" w:rsidP="009C273F">
            <w:pPr>
              <w:jc w:val="both"/>
              <w:rPr>
                <w:sz w:val="20"/>
              </w:rPr>
            </w:pPr>
            <w:r w:rsidRPr="009C273F">
              <w:rPr>
                <w:sz w:val="20"/>
              </w:rPr>
              <w:t>The applicant is an Islamic organization that runs a secular and religious boarding school and a mosque that had been registered as a charity since 1992. It was audited for its 2007 and 2008 taxation years. The Minister of National Revenue (“Minister”) issued a Notice of Intention to Revoke (“NIR”) the registration of the applicant under the Act on the basis that it had failed to comply with the necessary requirements to maintain its registration. The Minister found that the applicant had failed to maintain adequate books, records and source documents to support its revenue, expenditures, liabilities, donation receipts, allocation amount for school fees and reimbursement claims. Further the applicant was found to have improperly issued receipts for gifts and failed to file information returns, T-4s and T-4As as and when required. The applicant objected to the NIR and made submissions to the Appeals Division. The NIR was confirmed. The applicant appealed that decision.</w:t>
            </w:r>
          </w:p>
          <w:p w:rsidR="009C273F" w:rsidRPr="009C273F" w:rsidRDefault="009C273F" w:rsidP="009C273F">
            <w:pPr>
              <w:jc w:val="both"/>
              <w:rPr>
                <w:sz w:val="20"/>
              </w:rPr>
            </w:pPr>
          </w:p>
        </w:tc>
      </w:tr>
      <w:tr w:rsidR="009C273F" w:rsidRPr="009C273F" w:rsidTr="00E95A6A">
        <w:tc>
          <w:tcPr>
            <w:tcW w:w="2427" w:type="pct"/>
            <w:gridSpan w:val="2"/>
          </w:tcPr>
          <w:p w:rsidR="009C273F" w:rsidRPr="009C273F" w:rsidRDefault="009C273F" w:rsidP="009C273F">
            <w:pPr>
              <w:jc w:val="both"/>
              <w:rPr>
                <w:sz w:val="20"/>
              </w:rPr>
            </w:pPr>
            <w:r w:rsidRPr="009C273F">
              <w:rPr>
                <w:sz w:val="20"/>
              </w:rPr>
              <w:t>February 10, 2016</w:t>
            </w:r>
          </w:p>
          <w:p w:rsidR="009C273F" w:rsidRPr="009C273F" w:rsidRDefault="009C273F" w:rsidP="009C273F">
            <w:pPr>
              <w:jc w:val="both"/>
              <w:rPr>
                <w:sz w:val="20"/>
              </w:rPr>
            </w:pPr>
            <w:r w:rsidRPr="009C273F">
              <w:rPr>
                <w:sz w:val="20"/>
              </w:rPr>
              <w:t>Federal Court of Appeal</w:t>
            </w:r>
          </w:p>
          <w:p w:rsidR="009C273F" w:rsidRPr="009C273F" w:rsidRDefault="009C273F" w:rsidP="009C273F">
            <w:pPr>
              <w:jc w:val="both"/>
              <w:rPr>
                <w:sz w:val="20"/>
              </w:rPr>
            </w:pPr>
            <w:r w:rsidRPr="009C273F">
              <w:rPr>
                <w:sz w:val="20"/>
              </w:rPr>
              <w:t>(</w:t>
            </w:r>
            <w:proofErr w:type="spellStart"/>
            <w:r w:rsidRPr="009C273F">
              <w:rPr>
                <w:sz w:val="20"/>
              </w:rPr>
              <w:t>Ryer</w:t>
            </w:r>
            <w:proofErr w:type="spellEnd"/>
            <w:r w:rsidRPr="009C273F">
              <w:rPr>
                <w:sz w:val="20"/>
              </w:rPr>
              <w:t>, Webb and Rennie JJ.A.)</w:t>
            </w:r>
          </w:p>
          <w:p w:rsidR="009C273F" w:rsidRPr="009C273F" w:rsidRDefault="00A61EAA" w:rsidP="009C273F">
            <w:pPr>
              <w:jc w:val="both"/>
              <w:rPr>
                <w:sz w:val="20"/>
              </w:rPr>
            </w:pPr>
            <w:hyperlink r:id="rId24" w:history="1">
              <w:r w:rsidR="009C273F" w:rsidRPr="009C273F">
                <w:rPr>
                  <w:rStyle w:val="Hyperlink"/>
                  <w:sz w:val="20"/>
                </w:rPr>
                <w:t>2016 FCA 49</w:t>
              </w:r>
            </w:hyperlink>
          </w:p>
          <w:p w:rsidR="009C273F" w:rsidRPr="009C273F" w:rsidRDefault="009C273F" w:rsidP="009C273F">
            <w:pPr>
              <w:jc w:val="both"/>
              <w:rPr>
                <w:sz w:val="20"/>
              </w:rPr>
            </w:pPr>
          </w:p>
        </w:tc>
        <w:tc>
          <w:tcPr>
            <w:tcW w:w="243" w:type="pct"/>
          </w:tcPr>
          <w:p w:rsidR="009C273F" w:rsidRPr="009C273F" w:rsidRDefault="009C273F" w:rsidP="009C273F">
            <w:pPr>
              <w:jc w:val="both"/>
              <w:rPr>
                <w:sz w:val="20"/>
              </w:rPr>
            </w:pPr>
          </w:p>
        </w:tc>
        <w:tc>
          <w:tcPr>
            <w:tcW w:w="2330" w:type="pct"/>
          </w:tcPr>
          <w:p w:rsidR="009C273F" w:rsidRPr="009C273F" w:rsidRDefault="009C273F" w:rsidP="009C273F">
            <w:pPr>
              <w:jc w:val="both"/>
              <w:rPr>
                <w:sz w:val="20"/>
              </w:rPr>
            </w:pPr>
            <w:r w:rsidRPr="009C273F">
              <w:rPr>
                <w:sz w:val="20"/>
              </w:rPr>
              <w:t>Applicant’s appeal from confirmation decision of Canada Revenue Agency Appeals Division dismissed</w:t>
            </w:r>
          </w:p>
          <w:p w:rsidR="009C273F" w:rsidRPr="009C273F" w:rsidRDefault="009C273F" w:rsidP="009C273F">
            <w:pPr>
              <w:jc w:val="both"/>
              <w:rPr>
                <w:sz w:val="20"/>
              </w:rPr>
            </w:pPr>
          </w:p>
          <w:p w:rsidR="009C273F" w:rsidRPr="009C273F" w:rsidRDefault="009C273F" w:rsidP="009C273F">
            <w:pPr>
              <w:jc w:val="both"/>
              <w:rPr>
                <w:sz w:val="20"/>
              </w:rPr>
            </w:pPr>
          </w:p>
        </w:tc>
      </w:tr>
      <w:tr w:rsidR="009C273F" w:rsidRPr="009C273F" w:rsidTr="00E95A6A">
        <w:tc>
          <w:tcPr>
            <w:tcW w:w="2427" w:type="pct"/>
            <w:gridSpan w:val="2"/>
          </w:tcPr>
          <w:p w:rsidR="009C273F" w:rsidRPr="009C273F" w:rsidRDefault="009C273F" w:rsidP="009C273F">
            <w:pPr>
              <w:jc w:val="both"/>
              <w:rPr>
                <w:sz w:val="20"/>
              </w:rPr>
            </w:pPr>
            <w:r w:rsidRPr="009C273F">
              <w:rPr>
                <w:sz w:val="20"/>
              </w:rPr>
              <w:t>April 7, 2016</w:t>
            </w:r>
          </w:p>
          <w:p w:rsidR="009C273F" w:rsidRPr="009C273F" w:rsidRDefault="009C273F" w:rsidP="009C273F">
            <w:pPr>
              <w:jc w:val="both"/>
              <w:rPr>
                <w:sz w:val="20"/>
              </w:rPr>
            </w:pPr>
            <w:r w:rsidRPr="009C273F">
              <w:rPr>
                <w:sz w:val="20"/>
              </w:rPr>
              <w:t>Supreme Court of Canada</w:t>
            </w:r>
          </w:p>
          <w:p w:rsidR="009C273F" w:rsidRPr="009C273F" w:rsidRDefault="009C273F" w:rsidP="009C273F">
            <w:pPr>
              <w:jc w:val="both"/>
              <w:rPr>
                <w:sz w:val="20"/>
              </w:rPr>
            </w:pPr>
          </w:p>
        </w:tc>
        <w:tc>
          <w:tcPr>
            <w:tcW w:w="243" w:type="pct"/>
          </w:tcPr>
          <w:p w:rsidR="009C273F" w:rsidRPr="009C273F" w:rsidRDefault="009C273F" w:rsidP="009C273F">
            <w:pPr>
              <w:jc w:val="both"/>
              <w:rPr>
                <w:sz w:val="20"/>
              </w:rPr>
            </w:pPr>
          </w:p>
        </w:tc>
        <w:tc>
          <w:tcPr>
            <w:tcW w:w="2330" w:type="pct"/>
          </w:tcPr>
          <w:p w:rsidR="009C273F" w:rsidRPr="009C273F" w:rsidRDefault="009C273F" w:rsidP="009C273F">
            <w:pPr>
              <w:jc w:val="both"/>
              <w:rPr>
                <w:sz w:val="20"/>
              </w:rPr>
            </w:pPr>
            <w:r w:rsidRPr="009C273F">
              <w:rPr>
                <w:sz w:val="20"/>
              </w:rPr>
              <w:t>Application for leave to appeal filed</w:t>
            </w:r>
          </w:p>
          <w:p w:rsidR="009C273F" w:rsidRPr="009C273F" w:rsidRDefault="009C273F" w:rsidP="009C273F">
            <w:pPr>
              <w:jc w:val="both"/>
              <w:rPr>
                <w:sz w:val="20"/>
              </w:rPr>
            </w:pPr>
          </w:p>
        </w:tc>
      </w:tr>
    </w:tbl>
    <w:p w:rsidR="009C273F" w:rsidRDefault="009C273F" w:rsidP="009C273F">
      <w:pPr>
        <w:jc w:val="both"/>
        <w:rPr>
          <w:sz w:val="20"/>
        </w:rPr>
      </w:pPr>
    </w:p>
    <w:p w:rsidR="009C273F" w:rsidRPr="009C273F" w:rsidRDefault="009C273F" w:rsidP="009C27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C273F" w:rsidRPr="009C273F" w:rsidTr="00E95A6A">
        <w:tc>
          <w:tcPr>
            <w:tcW w:w="543" w:type="pct"/>
          </w:tcPr>
          <w:p w:rsidR="009C273F" w:rsidRPr="009C273F" w:rsidRDefault="009C273F" w:rsidP="009C273F">
            <w:pPr>
              <w:jc w:val="both"/>
              <w:rPr>
                <w:sz w:val="20"/>
                <w:lang w:val="fr-CA"/>
              </w:rPr>
            </w:pPr>
            <w:r w:rsidRPr="009C273F">
              <w:rPr>
                <w:rStyle w:val="SCCFileNumberChar"/>
                <w:sz w:val="20"/>
                <w:szCs w:val="20"/>
                <w:lang w:val="fr-CA"/>
              </w:rPr>
              <w:t>36946</w:t>
            </w:r>
          </w:p>
        </w:tc>
        <w:tc>
          <w:tcPr>
            <w:tcW w:w="4457" w:type="pct"/>
            <w:gridSpan w:val="3"/>
          </w:tcPr>
          <w:p w:rsidR="009C273F" w:rsidRPr="009C273F" w:rsidRDefault="009C273F" w:rsidP="009C273F">
            <w:pPr>
              <w:pStyle w:val="SCCLsocParty"/>
              <w:jc w:val="both"/>
              <w:rPr>
                <w:b/>
                <w:sz w:val="20"/>
                <w:szCs w:val="20"/>
              </w:rPr>
            </w:pPr>
            <w:r w:rsidRPr="009C273F">
              <w:rPr>
                <w:b/>
                <w:sz w:val="20"/>
                <w:szCs w:val="20"/>
              </w:rPr>
              <w:t>Jaamiah Al Uloom Al Islamiyyah Ontario c. Ministre du Revenu national (Agence du revenu du Canada)</w:t>
            </w:r>
          </w:p>
          <w:p w:rsidR="009C273F" w:rsidRPr="009C273F" w:rsidRDefault="009C273F" w:rsidP="009C273F">
            <w:pPr>
              <w:jc w:val="both"/>
              <w:rPr>
                <w:sz w:val="20"/>
                <w:lang w:val="fr-CA"/>
              </w:rPr>
            </w:pPr>
            <w:r w:rsidRPr="009C273F">
              <w:rPr>
                <w:sz w:val="20"/>
                <w:lang w:val="fr-CA"/>
              </w:rPr>
              <w:t>(CF) (Civile) (Sur autorisation)</w:t>
            </w:r>
          </w:p>
        </w:tc>
      </w:tr>
      <w:tr w:rsidR="009C273F" w:rsidRPr="00A61EAA" w:rsidTr="00E95A6A">
        <w:tc>
          <w:tcPr>
            <w:tcW w:w="5000" w:type="pct"/>
            <w:gridSpan w:val="4"/>
          </w:tcPr>
          <w:p w:rsidR="009C273F" w:rsidRPr="009C273F" w:rsidRDefault="009C273F" w:rsidP="009C273F">
            <w:pPr>
              <w:jc w:val="both"/>
              <w:rPr>
                <w:sz w:val="20"/>
                <w:lang w:val="fr-CA"/>
              </w:rPr>
            </w:pPr>
            <w:r w:rsidRPr="009C273F">
              <w:rPr>
                <w:sz w:val="20"/>
                <w:lang w:val="fr-CA"/>
              </w:rPr>
              <w:t xml:space="preserve">Droit fiscal – Statut d’organisme de bienfaisance – Le ministre du Revenu national a révoqué le statut d’organisme de bienfaisance de la demanderesse après qu’une vérification a révélé que la demanderesse ne remplissait pas les </w:t>
            </w:r>
            <w:r w:rsidRPr="009C273F">
              <w:rPr>
                <w:sz w:val="20"/>
                <w:lang w:val="fr-CA"/>
              </w:rPr>
              <w:lastRenderedPageBreak/>
              <w:t xml:space="preserve">conditions nécessaires au maintien de son enregistrement sous le régime de la </w:t>
            </w:r>
            <w:r w:rsidRPr="009C273F">
              <w:rPr>
                <w:i/>
                <w:sz w:val="20"/>
                <w:lang w:val="fr-CA"/>
              </w:rPr>
              <w:t>Loi de l’impôt sur le revenu</w:t>
            </w:r>
            <w:r w:rsidRPr="009C273F">
              <w:rPr>
                <w:sz w:val="20"/>
                <w:lang w:val="fr-CA"/>
              </w:rPr>
              <w:t>, L.R.C. 1985, ch. 1 (5</w:t>
            </w:r>
            <w:r w:rsidRPr="009C273F">
              <w:rPr>
                <w:sz w:val="20"/>
                <w:vertAlign w:val="superscript"/>
                <w:lang w:val="fr-CA"/>
              </w:rPr>
              <w:t>e</w:t>
            </w:r>
            <w:r w:rsidRPr="009C273F">
              <w:rPr>
                <w:sz w:val="20"/>
                <w:lang w:val="fr-CA"/>
              </w:rPr>
              <w:t xml:space="preserve"> suppl.) – Les juges de la Cour d’appel ont-ils agi de façon juste et impartiale? – L’intimé a-t-il fourni des renseignements inexacts à la cour? – La bonne sanction a-t-elle été imposée à la demanderesse? </w:t>
            </w:r>
          </w:p>
        </w:tc>
      </w:tr>
      <w:tr w:rsidR="009C273F" w:rsidRPr="00A61EAA" w:rsidTr="00E95A6A">
        <w:tc>
          <w:tcPr>
            <w:tcW w:w="5000" w:type="pct"/>
            <w:gridSpan w:val="4"/>
          </w:tcPr>
          <w:p w:rsidR="009C273F" w:rsidRPr="009C273F" w:rsidRDefault="009C273F" w:rsidP="009C273F">
            <w:pPr>
              <w:jc w:val="both"/>
              <w:rPr>
                <w:sz w:val="20"/>
                <w:lang w:val="fr-CA"/>
              </w:rPr>
            </w:pPr>
          </w:p>
        </w:tc>
      </w:tr>
      <w:tr w:rsidR="009C273F" w:rsidRPr="00A61EAA" w:rsidTr="00E95A6A">
        <w:tc>
          <w:tcPr>
            <w:tcW w:w="5000" w:type="pct"/>
            <w:gridSpan w:val="4"/>
          </w:tcPr>
          <w:p w:rsidR="009C273F" w:rsidRPr="009C273F" w:rsidRDefault="009C273F" w:rsidP="009C273F">
            <w:pPr>
              <w:jc w:val="both"/>
              <w:rPr>
                <w:sz w:val="20"/>
                <w:lang w:val="fr-CA"/>
              </w:rPr>
            </w:pPr>
            <w:r w:rsidRPr="009C273F">
              <w:rPr>
                <w:sz w:val="20"/>
                <w:lang w:val="fr-CA"/>
              </w:rPr>
              <w:t xml:space="preserve">La demanderesse est un organisme islamique qui administre un pensionnat </w:t>
            </w:r>
            <w:proofErr w:type="gramStart"/>
            <w:r w:rsidRPr="009C273F">
              <w:rPr>
                <w:sz w:val="20"/>
                <w:lang w:val="fr-CA"/>
              </w:rPr>
              <w:t>laïque</w:t>
            </w:r>
            <w:proofErr w:type="gramEnd"/>
            <w:r w:rsidRPr="009C273F">
              <w:rPr>
                <w:sz w:val="20"/>
                <w:lang w:val="fr-CA"/>
              </w:rPr>
              <w:t xml:space="preserve"> et religieux et une mosquée et qui est enregistré en tant qu’organisme de bienfaisance depuis 1992. Elle a fait l’objet d’une vérification pour ses années d’imposition 2007 et 2008. Le ministre du Revenu national (le « ministre ») a délivré un Avis d’intention de révoquer (« AIR ») l’enregistrement de la demanderesse sous le régime de la loi parce que l’organisme n’avait pas respecté les conditions nécessaires au maintien de son enregistrement. Le ministre a conclu que le demandeur avait omis de tenir des livres, des registres et des documents-sources adéquats pour justifier ses recettes, ses dépenses, ses dettes, ses reçus de dons, le montant d’allocation des frais de scolarité et ses demandes de remboursement. De plus, le ministre a conclu que la demanderesse avait irrégulièrement remis des reçus pour des dons et avait omis de produire des déclarations de renseignements T-4 et T-4A de la manière et dans les délais prescrits. La demanderesse s’est opposée à l’AIR et a présenté des observations à la Division des appels. L’AIR a été confirmé. La demanderesse a interjeté appel de cette décision.</w:t>
            </w:r>
          </w:p>
          <w:p w:rsidR="009C273F" w:rsidRPr="009C273F" w:rsidRDefault="009C273F" w:rsidP="009C273F">
            <w:pPr>
              <w:jc w:val="both"/>
              <w:rPr>
                <w:sz w:val="20"/>
                <w:lang w:val="fr-CA"/>
              </w:rPr>
            </w:pPr>
          </w:p>
        </w:tc>
      </w:tr>
      <w:tr w:rsidR="009C273F" w:rsidRPr="00A61EAA" w:rsidTr="00E95A6A">
        <w:tc>
          <w:tcPr>
            <w:tcW w:w="2427" w:type="pct"/>
            <w:gridSpan w:val="2"/>
          </w:tcPr>
          <w:p w:rsidR="009C273F" w:rsidRPr="009C273F" w:rsidRDefault="009C273F" w:rsidP="009C273F">
            <w:pPr>
              <w:jc w:val="both"/>
              <w:rPr>
                <w:sz w:val="20"/>
                <w:lang w:val="fr-CA"/>
              </w:rPr>
            </w:pPr>
            <w:r w:rsidRPr="009C273F">
              <w:rPr>
                <w:sz w:val="20"/>
                <w:lang w:val="fr-CA"/>
              </w:rPr>
              <w:t>10 février 2016</w:t>
            </w:r>
          </w:p>
          <w:p w:rsidR="009C273F" w:rsidRPr="009C273F" w:rsidRDefault="009C273F" w:rsidP="009C273F">
            <w:pPr>
              <w:jc w:val="both"/>
              <w:rPr>
                <w:sz w:val="20"/>
                <w:lang w:val="fr-CA"/>
              </w:rPr>
            </w:pPr>
            <w:r w:rsidRPr="009C273F">
              <w:rPr>
                <w:sz w:val="20"/>
                <w:lang w:val="fr-CA"/>
              </w:rPr>
              <w:t>Cour d’appel fédérale</w:t>
            </w:r>
          </w:p>
          <w:p w:rsidR="009C273F" w:rsidRPr="009C273F" w:rsidRDefault="009C273F" w:rsidP="009C273F">
            <w:pPr>
              <w:jc w:val="both"/>
              <w:rPr>
                <w:sz w:val="20"/>
                <w:lang w:val="fr-CA"/>
              </w:rPr>
            </w:pPr>
            <w:r w:rsidRPr="009C273F">
              <w:rPr>
                <w:sz w:val="20"/>
                <w:lang w:val="fr-CA"/>
              </w:rPr>
              <w:t>(Juges Ryer, Webb et Rennie)</w:t>
            </w:r>
          </w:p>
          <w:p w:rsidR="009C273F" w:rsidRPr="009C273F" w:rsidRDefault="00A61EAA" w:rsidP="009C273F">
            <w:pPr>
              <w:jc w:val="both"/>
              <w:rPr>
                <w:sz w:val="20"/>
                <w:lang w:val="fr-CA"/>
              </w:rPr>
            </w:pPr>
            <w:hyperlink r:id="rId25" w:history="1">
              <w:r w:rsidR="009C273F" w:rsidRPr="009C273F">
                <w:rPr>
                  <w:rStyle w:val="Hyperlink"/>
                  <w:sz w:val="20"/>
                  <w:lang w:val="fr-CA"/>
                </w:rPr>
                <w:t>2016 FCA 49</w:t>
              </w:r>
            </w:hyperlink>
          </w:p>
          <w:p w:rsidR="009C273F" w:rsidRPr="009C273F" w:rsidRDefault="009C273F" w:rsidP="009C273F">
            <w:pPr>
              <w:jc w:val="both"/>
              <w:rPr>
                <w:sz w:val="20"/>
                <w:lang w:val="fr-CA"/>
              </w:rPr>
            </w:pPr>
          </w:p>
        </w:tc>
        <w:tc>
          <w:tcPr>
            <w:tcW w:w="243" w:type="pct"/>
          </w:tcPr>
          <w:p w:rsidR="009C273F" w:rsidRPr="009C273F" w:rsidRDefault="009C273F" w:rsidP="009C273F">
            <w:pPr>
              <w:jc w:val="both"/>
              <w:rPr>
                <w:sz w:val="20"/>
                <w:lang w:val="fr-CA"/>
              </w:rPr>
            </w:pPr>
          </w:p>
        </w:tc>
        <w:tc>
          <w:tcPr>
            <w:tcW w:w="2330" w:type="pct"/>
          </w:tcPr>
          <w:p w:rsidR="009C273F" w:rsidRPr="009C273F" w:rsidRDefault="009C273F" w:rsidP="009C273F">
            <w:pPr>
              <w:jc w:val="both"/>
              <w:rPr>
                <w:sz w:val="20"/>
                <w:lang w:val="fr-CA"/>
              </w:rPr>
            </w:pPr>
            <w:r w:rsidRPr="009C273F">
              <w:rPr>
                <w:sz w:val="20"/>
                <w:lang w:val="fr-CA"/>
              </w:rPr>
              <w:t>Rejet de l’appel de la demanderesse de la confirmation de la décision de la Division des appels de l’Agence du revenu du Canada</w:t>
            </w:r>
          </w:p>
          <w:p w:rsidR="009C273F" w:rsidRPr="009C273F" w:rsidRDefault="009C273F" w:rsidP="009C273F">
            <w:pPr>
              <w:jc w:val="both"/>
              <w:rPr>
                <w:sz w:val="20"/>
                <w:lang w:val="fr-CA"/>
              </w:rPr>
            </w:pPr>
          </w:p>
          <w:p w:rsidR="009C273F" w:rsidRPr="009C273F" w:rsidRDefault="009C273F" w:rsidP="009C273F">
            <w:pPr>
              <w:jc w:val="both"/>
              <w:rPr>
                <w:sz w:val="20"/>
                <w:lang w:val="fr-CA"/>
              </w:rPr>
            </w:pPr>
          </w:p>
        </w:tc>
      </w:tr>
      <w:tr w:rsidR="009C273F" w:rsidRPr="00A61EAA" w:rsidTr="00E95A6A">
        <w:tc>
          <w:tcPr>
            <w:tcW w:w="2427" w:type="pct"/>
            <w:gridSpan w:val="2"/>
          </w:tcPr>
          <w:p w:rsidR="009C273F" w:rsidRPr="009C273F" w:rsidRDefault="009C273F" w:rsidP="009C273F">
            <w:pPr>
              <w:jc w:val="both"/>
              <w:rPr>
                <w:sz w:val="20"/>
                <w:lang w:val="fr-CA"/>
              </w:rPr>
            </w:pPr>
            <w:r w:rsidRPr="009C273F">
              <w:rPr>
                <w:sz w:val="20"/>
                <w:lang w:val="fr-CA"/>
              </w:rPr>
              <w:t>7 avril 2016</w:t>
            </w:r>
          </w:p>
          <w:p w:rsidR="009C273F" w:rsidRPr="009C273F" w:rsidRDefault="009C273F" w:rsidP="009C273F">
            <w:pPr>
              <w:jc w:val="both"/>
              <w:rPr>
                <w:sz w:val="20"/>
                <w:lang w:val="fr-CA"/>
              </w:rPr>
            </w:pPr>
            <w:r w:rsidRPr="009C273F">
              <w:rPr>
                <w:sz w:val="20"/>
                <w:lang w:val="fr-CA"/>
              </w:rPr>
              <w:t>Cour suprême du Canada</w:t>
            </w:r>
          </w:p>
        </w:tc>
        <w:tc>
          <w:tcPr>
            <w:tcW w:w="243" w:type="pct"/>
          </w:tcPr>
          <w:p w:rsidR="009C273F" w:rsidRPr="009C273F" w:rsidRDefault="009C273F" w:rsidP="009C273F">
            <w:pPr>
              <w:jc w:val="both"/>
              <w:rPr>
                <w:sz w:val="20"/>
                <w:lang w:val="fr-CA"/>
              </w:rPr>
            </w:pPr>
          </w:p>
        </w:tc>
        <w:tc>
          <w:tcPr>
            <w:tcW w:w="2330" w:type="pct"/>
          </w:tcPr>
          <w:p w:rsidR="009C273F" w:rsidRPr="009C273F" w:rsidRDefault="009C273F" w:rsidP="009C273F">
            <w:pPr>
              <w:jc w:val="both"/>
              <w:rPr>
                <w:sz w:val="20"/>
                <w:lang w:val="fr-CA"/>
              </w:rPr>
            </w:pPr>
            <w:r w:rsidRPr="009C273F">
              <w:rPr>
                <w:sz w:val="20"/>
                <w:lang w:val="fr-CA"/>
              </w:rPr>
              <w:t>Dépôt de la demande d’autorisation d’appel</w:t>
            </w:r>
          </w:p>
          <w:p w:rsidR="009C273F" w:rsidRPr="009C273F" w:rsidRDefault="009C273F" w:rsidP="009C273F">
            <w:pPr>
              <w:jc w:val="both"/>
              <w:rPr>
                <w:sz w:val="20"/>
                <w:lang w:val="fr-CA"/>
              </w:rPr>
            </w:pPr>
          </w:p>
        </w:tc>
      </w:tr>
    </w:tbl>
    <w:p w:rsidR="009C273F" w:rsidRPr="009C273F" w:rsidRDefault="009C273F" w:rsidP="009C273F">
      <w:pPr>
        <w:jc w:val="both"/>
        <w:rPr>
          <w:sz w:val="20"/>
          <w:lang w:val="fr-CA"/>
        </w:rPr>
      </w:pPr>
    </w:p>
    <w:p w:rsidR="009C273F" w:rsidRPr="00A61EAA" w:rsidRDefault="009C273F" w:rsidP="00FB7725">
      <w:pPr>
        <w:widowControl w:val="0"/>
        <w:autoSpaceDE w:val="0"/>
        <w:autoSpaceDN w:val="0"/>
        <w:adjustRightInd w:val="0"/>
        <w:ind w:left="360" w:hanging="360"/>
        <w:jc w:val="both"/>
        <w:rPr>
          <w:rFonts w:eastAsiaTheme="minorEastAsia"/>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FB7725" w:rsidRPr="00FB7725" w:rsidTr="00FB7725">
        <w:trPr>
          <w:gridAfter w:val="1"/>
          <w:wAfter w:w="48" w:type="pct"/>
        </w:trPr>
        <w:tc>
          <w:tcPr>
            <w:tcW w:w="538" w:type="pct"/>
          </w:tcPr>
          <w:p w:rsidR="00FB7725" w:rsidRPr="00FB7725" w:rsidRDefault="00FB7725" w:rsidP="00FB7725">
            <w:pPr>
              <w:jc w:val="both"/>
              <w:rPr>
                <w:sz w:val="20"/>
              </w:rPr>
            </w:pPr>
            <w:r w:rsidRPr="00FB7725">
              <w:rPr>
                <w:rStyle w:val="SCCFileNumberChar"/>
                <w:sz w:val="20"/>
                <w:szCs w:val="20"/>
              </w:rPr>
              <w:t>36933</w:t>
            </w:r>
          </w:p>
        </w:tc>
        <w:tc>
          <w:tcPr>
            <w:tcW w:w="4414" w:type="pct"/>
            <w:gridSpan w:val="3"/>
          </w:tcPr>
          <w:p w:rsidR="00FB7725" w:rsidRPr="00A61EAA" w:rsidRDefault="00FB7725" w:rsidP="00FB7725">
            <w:pPr>
              <w:pStyle w:val="SCCLsocParty"/>
              <w:jc w:val="both"/>
              <w:rPr>
                <w:b/>
                <w:sz w:val="20"/>
                <w:szCs w:val="20"/>
                <w:lang w:val="en-US"/>
              </w:rPr>
            </w:pPr>
            <w:r w:rsidRPr="00A61EAA">
              <w:rPr>
                <w:b/>
                <w:sz w:val="20"/>
                <w:szCs w:val="20"/>
                <w:lang w:val="en-US"/>
              </w:rPr>
              <w:t>Rocco Galati v. Right Honourable Stephen Harper, His Excellency the Right Honourable Governor General David Johnston, the Honourable Marc Nadon, Judge of the Federal Court of Appeal, Attorney General of Canada and the Minister of Justice</w:t>
            </w:r>
          </w:p>
          <w:p w:rsidR="00FB7725" w:rsidRPr="00FB7725" w:rsidRDefault="00FB7725" w:rsidP="00FB7725">
            <w:pPr>
              <w:pStyle w:val="SCCLsocSubfileSeparator"/>
              <w:rPr>
                <w:sz w:val="20"/>
                <w:szCs w:val="20"/>
              </w:rPr>
            </w:pPr>
            <w:r w:rsidRPr="00FB7725">
              <w:rPr>
                <w:sz w:val="20"/>
                <w:szCs w:val="20"/>
              </w:rPr>
              <w:t>- and between -</w:t>
            </w:r>
          </w:p>
          <w:p w:rsidR="00FB7725" w:rsidRPr="00A61EAA" w:rsidRDefault="00FB7725" w:rsidP="00FB7725">
            <w:pPr>
              <w:pStyle w:val="SCCLsocParty"/>
              <w:jc w:val="both"/>
              <w:rPr>
                <w:b/>
                <w:sz w:val="20"/>
                <w:szCs w:val="20"/>
                <w:lang w:val="en-US"/>
              </w:rPr>
            </w:pPr>
            <w:r w:rsidRPr="00A61EAA">
              <w:rPr>
                <w:b/>
                <w:sz w:val="20"/>
                <w:szCs w:val="20"/>
                <w:lang w:val="en-US"/>
              </w:rPr>
              <w:t>Constitutional Rights Centre Inc. v. Right Honourable Stephen Harper, His Excellency the Right Honourable Governor General David Johnston, the Honourable Marc Nadon, Judge of the Federal Court of Appeal, Attorney General of Canada and the Minister of Justice</w:t>
            </w:r>
          </w:p>
          <w:p w:rsidR="00FB7725" w:rsidRPr="00FB7725" w:rsidRDefault="00FB7725" w:rsidP="00FB7725">
            <w:pPr>
              <w:jc w:val="both"/>
              <w:rPr>
                <w:sz w:val="20"/>
              </w:rPr>
            </w:pPr>
            <w:r w:rsidRPr="00FB7725">
              <w:rPr>
                <w:sz w:val="20"/>
              </w:rPr>
              <w:t>(FC) (Civil) (By Leave)</w:t>
            </w:r>
          </w:p>
        </w:tc>
      </w:tr>
      <w:tr w:rsidR="00FB7725" w:rsidRPr="00FB7725" w:rsidTr="00FB7725">
        <w:trPr>
          <w:gridAfter w:val="1"/>
          <w:wAfter w:w="48" w:type="pct"/>
        </w:trPr>
        <w:tc>
          <w:tcPr>
            <w:tcW w:w="4952" w:type="pct"/>
            <w:gridSpan w:val="4"/>
          </w:tcPr>
          <w:p w:rsidR="00FB7725" w:rsidRPr="00FB7725" w:rsidRDefault="00FB7725" w:rsidP="00FB7725">
            <w:pPr>
              <w:jc w:val="both"/>
              <w:rPr>
                <w:sz w:val="20"/>
              </w:rPr>
            </w:pPr>
            <w:r w:rsidRPr="00FB7725">
              <w:rPr>
                <w:sz w:val="20"/>
              </w:rPr>
              <w:t xml:space="preserve">Constitutional law – Civil procedure – Costs – Applicants seeking solicitor-client costs of application in Federal Court challenging appointment of </w:t>
            </w:r>
            <w:proofErr w:type="spellStart"/>
            <w:r w:rsidRPr="00FB7725">
              <w:rPr>
                <w:sz w:val="20"/>
              </w:rPr>
              <w:t>Honourable</w:t>
            </w:r>
            <w:proofErr w:type="spellEnd"/>
            <w:r w:rsidRPr="00FB7725">
              <w:rPr>
                <w:sz w:val="20"/>
              </w:rPr>
              <w:t xml:space="preserve"> Marc </w:t>
            </w:r>
            <w:proofErr w:type="spellStart"/>
            <w:r w:rsidRPr="00FB7725">
              <w:rPr>
                <w:sz w:val="20"/>
              </w:rPr>
              <w:t>Nadon</w:t>
            </w:r>
            <w:proofErr w:type="spellEnd"/>
            <w:r w:rsidRPr="00FB7725">
              <w:rPr>
                <w:sz w:val="20"/>
              </w:rPr>
              <w:t xml:space="preserve"> to Supreme Court of Canada – Solicitor-client costs denied – Whether there is a constitutional right to </w:t>
            </w:r>
            <w:r w:rsidRPr="00FB7725">
              <w:rPr>
                <w:rFonts w:eastAsia="HiddenHorzOCR"/>
                <w:sz w:val="20"/>
              </w:rPr>
              <w:t xml:space="preserve">solicitor-client </w:t>
            </w:r>
            <w:r w:rsidRPr="00FB7725">
              <w:rPr>
                <w:sz w:val="20"/>
              </w:rPr>
              <w:t xml:space="preserve">costs, in the limited circumstances advanced, where there is a novel and important issue in respect of constitutional public interest litigation – Whether the award of solicitor-client costs is warranted, absent constitutional consideration – Whether the approach of the Federal Court of Appeal to the issue of “success” for purposes of costs orders is too rigid and inflexible and is contrary to the previous approach in the Federal Court and contrary to the present approach in the Provinces – Whether an appellate court exceeds jurisdiction in writing the reasons of a lower court, to justify the result of the lower court, when those appellate reasons were absent from the lower court decision? – </w:t>
            </w:r>
            <w:r w:rsidRPr="00FB7725">
              <w:rPr>
                <w:i/>
                <w:sz w:val="20"/>
              </w:rPr>
              <w:t>Federal Courts Rules</w:t>
            </w:r>
            <w:r w:rsidRPr="00FB7725">
              <w:rPr>
                <w:sz w:val="20"/>
              </w:rPr>
              <w:t xml:space="preserve">, </w:t>
            </w:r>
            <w:r w:rsidRPr="00FB7725">
              <w:rPr>
                <w:sz w:val="20"/>
                <w:lang w:val="en"/>
              </w:rPr>
              <w:t>SOR/98-106, r. </w:t>
            </w:r>
            <w:r w:rsidRPr="00FB7725">
              <w:rPr>
                <w:sz w:val="20"/>
              </w:rPr>
              <w:t>400.</w:t>
            </w:r>
          </w:p>
          <w:p w:rsidR="00FB7725" w:rsidRPr="00FB7725" w:rsidRDefault="00FB7725" w:rsidP="00FB7725">
            <w:pPr>
              <w:jc w:val="both"/>
              <w:rPr>
                <w:sz w:val="20"/>
              </w:rPr>
            </w:pPr>
          </w:p>
        </w:tc>
      </w:tr>
      <w:tr w:rsidR="00FB7725" w:rsidRPr="00FB7725" w:rsidTr="00FB7725">
        <w:trPr>
          <w:gridAfter w:val="1"/>
          <w:wAfter w:w="48" w:type="pct"/>
        </w:trPr>
        <w:tc>
          <w:tcPr>
            <w:tcW w:w="4952" w:type="pct"/>
            <w:gridSpan w:val="4"/>
          </w:tcPr>
          <w:p w:rsidR="00FB7725" w:rsidRPr="00FB7725" w:rsidRDefault="00FB7725" w:rsidP="00FB7725">
            <w:pPr>
              <w:jc w:val="both"/>
              <w:rPr>
                <w:sz w:val="20"/>
              </w:rPr>
            </w:pPr>
            <w:r w:rsidRPr="00FB7725">
              <w:rPr>
                <w:sz w:val="20"/>
              </w:rPr>
              <w:t xml:space="preserve">The applicants, Rocco Galati and the Constitutional Rights Centre Inc., brought an application in the Federal Court to challenge the appointment of the </w:t>
            </w:r>
            <w:proofErr w:type="spellStart"/>
            <w:r w:rsidRPr="00FB7725">
              <w:rPr>
                <w:sz w:val="20"/>
              </w:rPr>
              <w:t>Honourable</w:t>
            </w:r>
            <w:proofErr w:type="spellEnd"/>
            <w:r w:rsidRPr="00FB7725">
              <w:rPr>
                <w:sz w:val="20"/>
              </w:rPr>
              <w:t xml:space="preserve"> Marc </w:t>
            </w:r>
            <w:proofErr w:type="spellStart"/>
            <w:r w:rsidRPr="00FB7725">
              <w:rPr>
                <w:sz w:val="20"/>
              </w:rPr>
              <w:t>Nadon</w:t>
            </w:r>
            <w:proofErr w:type="spellEnd"/>
            <w:r w:rsidRPr="00FB7725">
              <w:rPr>
                <w:sz w:val="20"/>
              </w:rPr>
              <w:t xml:space="preserve"> to the Supreme Court of Canada. Shortly thereafter, the Governor in Council referred two questions relating to the challenged appointment to this Court. On motion by the Attorney General of Canada, the application was stayed on consent, pending the release of this Court’s decision in </w:t>
            </w:r>
            <w:r w:rsidRPr="00FB7725">
              <w:rPr>
                <w:i/>
                <w:sz w:val="20"/>
              </w:rPr>
              <w:t>Reference re Supreme Court Act</w:t>
            </w:r>
            <w:r w:rsidRPr="00FB7725">
              <w:rPr>
                <w:sz w:val="20"/>
              </w:rPr>
              <w:t xml:space="preserve">, </w:t>
            </w:r>
            <w:r w:rsidRPr="00FB7725">
              <w:rPr>
                <w:i/>
                <w:sz w:val="20"/>
              </w:rPr>
              <w:t>ss. 5 and 6</w:t>
            </w:r>
            <w:r w:rsidRPr="00FB7725">
              <w:rPr>
                <w:sz w:val="20"/>
              </w:rPr>
              <w:t xml:space="preserve">, 2014 </w:t>
            </w:r>
            <w:r w:rsidRPr="00FB7725">
              <w:rPr>
                <w:sz w:val="20"/>
                <w:lang w:val="en"/>
              </w:rPr>
              <w:t>SCC 21, [2014] 1 S.C.R. 433.</w:t>
            </w:r>
            <w:r w:rsidRPr="00FB7725">
              <w:rPr>
                <w:sz w:val="20"/>
              </w:rPr>
              <w:t xml:space="preserve"> Both applicants were granted intervener status and appeared at the hearing of the </w:t>
            </w:r>
            <w:r w:rsidRPr="00FB7725">
              <w:rPr>
                <w:i/>
                <w:sz w:val="20"/>
              </w:rPr>
              <w:t>Reference</w:t>
            </w:r>
            <w:r w:rsidRPr="00FB7725">
              <w:rPr>
                <w:sz w:val="20"/>
              </w:rPr>
              <w:t>.</w:t>
            </w:r>
          </w:p>
          <w:p w:rsidR="00FB7725" w:rsidRPr="00FB7725" w:rsidRDefault="00FB7725" w:rsidP="00FB7725">
            <w:pPr>
              <w:jc w:val="both"/>
              <w:rPr>
                <w:sz w:val="20"/>
              </w:rPr>
            </w:pPr>
          </w:p>
          <w:p w:rsidR="00FB7725" w:rsidRDefault="00FB7725" w:rsidP="00FB7725">
            <w:pPr>
              <w:jc w:val="both"/>
              <w:rPr>
                <w:sz w:val="20"/>
              </w:rPr>
            </w:pPr>
            <w:r w:rsidRPr="00FB7725">
              <w:rPr>
                <w:sz w:val="20"/>
              </w:rPr>
              <w:t xml:space="preserve">Following the release of this Court’s decision in the </w:t>
            </w:r>
            <w:r w:rsidRPr="00FB7725">
              <w:rPr>
                <w:i/>
                <w:sz w:val="20"/>
              </w:rPr>
              <w:t>Reference</w:t>
            </w:r>
            <w:r w:rsidRPr="00FB7725">
              <w:rPr>
                <w:sz w:val="20"/>
              </w:rPr>
              <w:t xml:space="preserve">, the applicants brought identical motions seeking a declaration that where a private citizen brings a constitutional challenge to legislation and/or executive action, going </w:t>
            </w:r>
            <w:r w:rsidRPr="00FB7725">
              <w:rPr>
                <w:sz w:val="20"/>
              </w:rPr>
              <w:lastRenderedPageBreak/>
              <w:t>to the “architecture of the Constitution”, from which he/she derives no personal benefit, per se, and is successful on the constitutional challenge, that he/she is entitled to solicitor-client costs of those proceedings, as to deny those costs constitutes a breach of the constitutional right to a fair and independent judiciary.</w:t>
            </w:r>
          </w:p>
          <w:p w:rsidR="00FB7725" w:rsidRPr="00FB7725" w:rsidRDefault="00FB7725" w:rsidP="00FB7725">
            <w:pPr>
              <w:jc w:val="both"/>
              <w:rPr>
                <w:sz w:val="20"/>
              </w:rPr>
            </w:pPr>
          </w:p>
        </w:tc>
      </w:tr>
      <w:tr w:rsidR="00FB7725" w:rsidRPr="00FB7725" w:rsidTr="00FB7725">
        <w:tblPrEx>
          <w:tblCellMar>
            <w:bottom w:w="0" w:type="dxa"/>
          </w:tblCellMar>
        </w:tblPrEx>
        <w:tc>
          <w:tcPr>
            <w:tcW w:w="2367" w:type="pct"/>
            <w:gridSpan w:val="2"/>
          </w:tcPr>
          <w:p w:rsidR="00FB7725" w:rsidRPr="00FB7725" w:rsidRDefault="00FB7725" w:rsidP="00FB7725">
            <w:pPr>
              <w:jc w:val="both"/>
              <w:rPr>
                <w:sz w:val="20"/>
              </w:rPr>
            </w:pPr>
            <w:r w:rsidRPr="00FB7725">
              <w:rPr>
                <w:sz w:val="20"/>
              </w:rPr>
              <w:lastRenderedPageBreak/>
              <w:t>November 20, 2014</w:t>
            </w:r>
          </w:p>
          <w:p w:rsidR="00FB7725" w:rsidRPr="00FB7725" w:rsidRDefault="00FB7725" w:rsidP="00FB7725">
            <w:pPr>
              <w:jc w:val="both"/>
              <w:rPr>
                <w:sz w:val="20"/>
              </w:rPr>
            </w:pPr>
            <w:r w:rsidRPr="00FB7725">
              <w:rPr>
                <w:sz w:val="20"/>
              </w:rPr>
              <w:t>Federal Court</w:t>
            </w:r>
          </w:p>
          <w:p w:rsidR="00FB7725" w:rsidRPr="00FB7725" w:rsidRDefault="00FB7725" w:rsidP="00FB7725">
            <w:pPr>
              <w:jc w:val="both"/>
              <w:rPr>
                <w:sz w:val="20"/>
              </w:rPr>
            </w:pPr>
            <w:r w:rsidRPr="00FB7725">
              <w:rPr>
                <w:sz w:val="20"/>
              </w:rPr>
              <w:t>(Zinn J.)</w:t>
            </w:r>
          </w:p>
          <w:p w:rsidR="00FB7725" w:rsidRPr="00FB7725" w:rsidRDefault="00A61EAA" w:rsidP="00FB7725">
            <w:pPr>
              <w:jc w:val="both"/>
              <w:rPr>
                <w:sz w:val="20"/>
              </w:rPr>
            </w:pPr>
            <w:hyperlink r:id="rId26" w:history="1">
              <w:r w:rsidR="00FB7725" w:rsidRPr="00FB7725">
                <w:rPr>
                  <w:rStyle w:val="Hyperlink"/>
                  <w:sz w:val="20"/>
                </w:rPr>
                <w:t>2014 FC 1088</w:t>
              </w:r>
            </w:hyperlink>
          </w:p>
          <w:p w:rsidR="00FB7725" w:rsidRPr="00FB7725" w:rsidRDefault="00FB7725" w:rsidP="00FB7725">
            <w:pPr>
              <w:jc w:val="both"/>
              <w:rPr>
                <w:sz w:val="20"/>
              </w:rPr>
            </w:pPr>
          </w:p>
        </w:tc>
        <w:tc>
          <w:tcPr>
            <w:tcW w:w="267" w:type="pct"/>
          </w:tcPr>
          <w:p w:rsidR="00FB7725" w:rsidRPr="00FB7725" w:rsidRDefault="00FB7725" w:rsidP="00FB7725">
            <w:pPr>
              <w:jc w:val="both"/>
              <w:rPr>
                <w:sz w:val="20"/>
              </w:rPr>
            </w:pPr>
          </w:p>
        </w:tc>
        <w:tc>
          <w:tcPr>
            <w:tcW w:w="2366" w:type="pct"/>
            <w:gridSpan w:val="2"/>
          </w:tcPr>
          <w:p w:rsidR="00FB7725" w:rsidRPr="00FB7725" w:rsidRDefault="00FB7725" w:rsidP="00FB7725">
            <w:pPr>
              <w:jc w:val="both"/>
              <w:rPr>
                <w:sz w:val="20"/>
              </w:rPr>
            </w:pPr>
            <w:r w:rsidRPr="00FB7725">
              <w:rPr>
                <w:sz w:val="20"/>
              </w:rPr>
              <w:t xml:space="preserve">Application dismissed, cost motions dismissed </w:t>
            </w:r>
          </w:p>
          <w:p w:rsidR="00FB7725" w:rsidRPr="00FB7725" w:rsidRDefault="00FB7725" w:rsidP="00FB7725">
            <w:pPr>
              <w:jc w:val="both"/>
              <w:rPr>
                <w:sz w:val="20"/>
              </w:rPr>
            </w:pPr>
          </w:p>
        </w:tc>
      </w:tr>
      <w:tr w:rsidR="00FB7725" w:rsidRPr="00FB7725" w:rsidTr="00FB7725">
        <w:tblPrEx>
          <w:tblCellMar>
            <w:bottom w:w="0" w:type="dxa"/>
          </w:tblCellMar>
        </w:tblPrEx>
        <w:tc>
          <w:tcPr>
            <w:tcW w:w="2367" w:type="pct"/>
            <w:gridSpan w:val="2"/>
          </w:tcPr>
          <w:p w:rsidR="00FB7725" w:rsidRPr="00FB7725" w:rsidRDefault="00FB7725" w:rsidP="00FB7725">
            <w:pPr>
              <w:jc w:val="both"/>
              <w:rPr>
                <w:sz w:val="20"/>
              </w:rPr>
            </w:pPr>
            <w:r w:rsidRPr="00FB7725">
              <w:rPr>
                <w:sz w:val="20"/>
              </w:rPr>
              <w:t>February 8, 2016</w:t>
            </w:r>
          </w:p>
          <w:p w:rsidR="00FB7725" w:rsidRPr="00FB7725" w:rsidRDefault="00FB7725" w:rsidP="00FB7725">
            <w:pPr>
              <w:jc w:val="both"/>
              <w:rPr>
                <w:sz w:val="20"/>
              </w:rPr>
            </w:pPr>
            <w:r w:rsidRPr="00FB7725">
              <w:rPr>
                <w:sz w:val="20"/>
              </w:rPr>
              <w:t>Federal Court of Appeal</w:t>
            </w:r>
          </w:p>
          <w:p w:rsidR="00FB7725" w:rsidRPr="00FB7725" w:rsidRDefault="00FB7725" w:rsidP="00FB7725">
            <w:pPr>
              <w:jc w:val="both"/>
              <w:rPr>
                <w:sz w:val="20"/>
              </w:rPr>
            </w:pPr>
            <w:r w:rsidRPr="00FB7725">
              <w:rPr>
                <w:sz w:val="20"/>
              </w:rPr>
              <w:t xml:space="preserve">(Pelletier, </w:t>
            </w:r>
            <w:proofErr w:type="spellStart"/>
            <w:r w:rsidRPr="00FB7725">
              <w:rPr>
                <w:sz w:val="20"/>
              </w:rPr>
              <w:t>Stratas</w:t>
            </w:r>
            <w:proofErr w:type="spellEnd"/>
            <w:r w:rsidRPr="00FB7725">
              <w:rPr>
                <w:sz w:val="20"/>
              </w:rPr>
              <w:t xml:space="preserve"> and Gleason JJ.A.)</w:t>
            </w:r>
          </w:p>
          <w:p w:rsidR="00FB7725" w:rsidRPr="00FB7725" w:rsidRDefault="00A61EAA" w:rsidP="00FB7725">
            <w:pPr>
              <w:jc w:val="both"/>
              <w:rPr>
                <w:sz w:val="20"/>
              </w:rPr>
            </w:pPr>
            <w:hyperlink r:id="rId27" w:history="1">
              <w:r w:rsidR="00FB7725" w:rsidRPr="00FB7725">
                <w:rPr>
                  <w:rStyle w:val="Hyperlink"/>
                  <w:sz w:val="20"/>
                </w:rPr>
                <w:t>2016 FCA 39</w:t>
              </w:r>
            </w:hyperlink>
            <w:r w:rsidR="00FB7725" w:rsidRPr="00FB7725">
              <w:rPr>
                <w:sz w:val="20"/>
              </w:rPr>
              <w:t xml:space="preserve"> </w:t>
            </w:r>
          </w:p>
          <w:p w:rsidR="00FB7725" w:rsidRPr="00FB7725" w:rsidRDefault="00FB7725" w:rsidP="00FB7725">
            <w:pPr>
              <w:jc w:val="both"/>
              <w:rPr>
                <w:sz w:val="20"/>
              </w:rPr>
            </w:pPr>
          </w:p>
        </w:tc>
        <w:tc>
          <w:tcPr>
            <w:tcW w:w="267" w:type="pct"/>
          </w:tcPr>
          <w:p w:rsidR="00FB7725" w:rsidRPr="00FB7725" w:rsidRDefault="00FB7725" w:rsidP="00FB7725">
            <w:pPr>
              <w:jc w:val="both"/>
              <w:rPr>
                <w:sz w:val="20"/>
              </w:rPr>
            </w:pPr>
          </w:p>
        </w:tc>
        <w:tc>
          <w:tcPr>
            <w:tcW w:w="2366" w:type="pct"/>
            <w:gridSpan w:val="2"/>
          </w:tcPr>
          <w:p w:rsidR="00FB7725" w:rsidRPr="00FB7725" w:rsidRDefault="00FB7725" w:rsidP="00FB7725">
            <w:pPr>
              <w:jc w:val="both"/>
              <w:rPr>
                <w:sz w:val="20"/>
              </w:rPr>
            </w:pPr>
            <w:r w:rsidRPr="00FB7725">
              <w:rPr>
                <w:sz w:val="20"/>
              </w:rPr>
              <w:t xml:space="preserve">Appeal dismissed </w:t>
            </w:r>
          </w:p>
          <w:p w:rsidR="00FB7725" w:rsidRPr="00FB7725" w:rsidRDefault="00FB7725" w:rsidP="00FB7725">
            <w:pPr>
              <w:jc w:val="both"/>
              <w:rPr>
                <w:sz w:val="20"/>
              </w:rPr>
            </w:pPr>
          </w:p>
        </w:tc>
      </w:tr>
      <w:tr w:rsidR="00FB7725" w:rsidRPr="00FB7725" w:rsidTr="00FB7725">
        <w:tblPrEx>
          <w:tblCellMar>
            <w:bottom w:w="0" w:type="dxa"/>
          </w:tblCellMar>
        </w:tblPrEx>
        <w:tc>
          <w:tcPr>
            <w:tcW w:w="2367" w:type="pct"/>
            <w:gridSpan w:val="2"/>
          </w:tcPr>
          <w:p w:rsidR="00FB7725" w:rsidRPr="00FB7725" w:rsidRDefault="00FB7725" w:rsidP="00FB7725">
            <w:pPr>
              <w:jc w:val="both"/>
              <w:rPr>
                <w:sz w:val="20"/>
              </w:rPr>
            </w:pPr>
            <w:r w:rsidRPr="00FB7725">
              <w:rPr>
                <w:sz w:val="20"/>
              </w:rPr>
              <w:t>April 7, 2016</w:t>
            </w:r>
          </w:p>
          <w:p w:rsidR="00FB7725" w:rsidRPr="00FB7725" w:rsidRDefault="00FB7725" w:rsidP="00FB7725">
            <w:pPr>
              <w:jc w:val="both"/>
              <w:rPr>
                <w:sz w:val="20"/>
              </w:rPr>
            </w:pPr>
            <w:r w:rsidRPr="00FB7725">
              <w:rPr>
                <w:sz w:val="20"/>
              </w:rPr>
              <w:t>Supreme Court of Canada</w:t>
            </w:r>
          </w:p>
        </w:tc>
        <w:tc>
          <w:tcPr>
            <w:tcW w:w="267" w:type="pct"/>
          </w:tcPr>
          <w:p w:rsidR="00FB7725" w:rsidRPr="00FB7725" w:rsidRDefault="00FB7725" w:rsidP="00FB7725">
            <w:pPr>
              <w:jc w:val="both"/>
              <w:rPr>
                <w:sz w:val="20"/>
              </w:rPr>
            </w:pPr>
          </w:p>
        </w:tc>
        <w:tc>
          <w:tcPr>
            <w:tcW w:w="2366" w:type="pct"/>
            <w:gridSpan w:val="2"/>
          </w:tcPr>
          <w:p w:rsidR="00FB7725" w:rsidRPr="00FB7725" w:rsidRDefault="00FB7725" w:rsidP="00FB7725">
            <w:pPr>
              <w:jc w:val="both"/>
              <w:rPr>
                <w:sz w:val="20"/>
              </w:rPr>
            </w:pPr>
            <w:r w:rsidRPr="00FB7725">
              <w:rPr>
                <w:sz w:val="20"/>
              </w:rPr>
              <w:t>Applications for leave to appeal filed</w:t>
            </w:r>
          </w:p>
          <w:p w:rsidR="00FB7725" w:rsidRPr="00FB7725" w:rsidRDefault="00FB7725" w:rsidP="00FB7725">
            <w:pPr>
              <w:jc w:val="both"/>
              <w:rPr>
                <w:sz w:val="20"/>
              </w:rPr>
            </w:pPr>
          </w:p>
        </w:tc>
      </w:tr>
    </w:tbl>
    <w:p w:rsidR="00FB7725" w:rsidRDefault="00FB7725" w:rsidP="00FB7725">
      <w:pPr>
        <w:jc w:val="both"/>
        <w:rPr>
          <w:sz w:val="20"/>
        </w:rPr>
      </w:pPr>
    </w:p>
    <w:p w:rsidR="00FB7725" w:rsidRPr="00FB7725" w:rsidRDefault="00FB7725" w:rsidP="00FB7725">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FB7725" w:rsidRPr="00FB7725" w:rsidTr="00FB7725">
        <w:trPr>
          <w:gridAfter w:val="1"/>
          <w:wAfter w:w="48" w:type="pct"/>
        </w:trPr>
        <w:tc>
          <w:tcPr>
            <w:tcW w:w="538" w:type="pct"/>
          </w:tcPr>
          <w:p w:rsidR="00FB7725" w:rsidRPr="00FB7725" w:rsidRDefault="00FB7725" w:rsidP="00FB7725">
            <w:pPr>
              <w:jc w:val="both"/>
              <w:rPr>
                <w:sz w:val="20"/>
                <w:lang w:val="fr-CA"/>
              </w:rPr>
            </w:pPr>
            <w:r w:rsidRPr="00FB7725">
              <w:rPr>
                <w:rStyle w:val="SCCFileNumberChar"/>
                <w:sz w:val="20"/>
                <w:szCs w:val="20"/>
                <w:lang w:val="fr-CA"/>
              </w:rPr>
              <w:t>36933</w:t>
            </w:r>
          </w:p>
        </w:tc>
        <w:tc>
          <w:tcPr>
            <w:tcW w:w="4414" w:type="pct"/>
            <w:gridSpan w:val="3"/>
          </w:tcPr>
          <w:p w:rsidR="00FB7725" w:rsidRPr="00FB7725" w:rsidRDefault="00FB7725" w:rsidP="00FB7725">
            <w:pPr>
              <w:pStyle w:val="SCCLsocParty"/>
              <w:jc w:val="both"/>
              <w:rPr>
                <w:b/>
                <w:sz w:val="20"/>
                <w:szCs w:val="20"/>
              </w:rPr>
            </w:pPr>
            <w:r w:rsidRPr="00FB7725">
              <w:rPr>
                <w:b/>
                <w:sz w:val="20"/>
                <w:szCs w:val="20"/>
              </w:rPr>
              <w:t>Rocco Galati c. Le très honorable Stephen Harper, Son Excellence le très honorable gouverneur général David Johnston, l’honorable Marc Nadon, juge de la Cour d’appel fédérale, le procureur général du Canada et le ministre de la Justice</w:t>
            </w:r>
          </w:p>
          <w:p w:rsidR="00FB7725" w:rsidRPr="00FB7725" w:rsidRDefault="00FB7725" w:rsidP="00FB7725">
            <w:pPr>
              <w:pStyle w:val="SCCLsocSubfileSeparator"/>
              <w:rPr>
                <w:sz w:val="20"/>
                <w:szCs w:val="20"/>
                <w:lang w:val="fr-CA"/>
              </w:rPr>
            </w:pPr>
            <w:r w:rsidRPr="00FB7725">
              <w:rPr>
                <w:sz w:val="20"/>
                <w:szCs w:val="20"/>
                <w:lang w:val="fr-CA"/>
              </w:rPr>
              <w:t>- et entre -</w:t>
            </w:r>
          </w:p>
          <w:p w:rsidR="00FB7725" w:rsidRPr="00FB7725" w:rsidRDefault="00FB7725" w:rsidP="00FB7725">
            <w:pPr>
              <w:pStyle w:val="SCCLsocParty"/>
              <w:jc w:val="both"/>
              <w:rPr>
                <w:b/>
                <w:sz w:val="20"/>
                <w:szCs w:val="20"/>
              </w:rPr>
            </w:pPr>
            <w:r w:rsidRPr="00FB7725">
              <w:rPr>
                <w:b/>
                <w:sz w:val="20"/>
                <w:szCs w:val="20"/>
              </w:rPr>
              <w:t>Constitutional Rights Centre Inc. c. Le très honorable Stephen Harper, Son Excellence le très honorable gouverneur général David Johnston, l’honorable Marc Nadon, juge de la Cour d’appel fédérale, le procureur général du Canada et le ministre de la Justice</w:t>
            </w:r>
          </w:p>
          <w:p w:rsidR="00FB7725" w:rsidRPr="00FB7725" w:rsidRDefault="00FB7725" w:rsidP="00FB7725">
            <w:pPr>
              <w:jc w:val="both"/>
              <w:rPr>
                <w:sz w:val="20"/>
                <w:lang w:val="fr-CA"/>
              </w:rPr>
            </w:pPr>
            <w:r w:rsidRPr="00FB7725">
              <w:rPr>
                <w:sz w:val="20"/>
                <w:lang w:val="fr-CA"/>
              </w:rPr>
              <w:t>(CF) (Civile) (Sur autorisation)</w:t>
            </w:r>
          </w:p>
        </w:tc>
      </w:tr>
      <w:tr w:rsidR="00FB7725" w:rsidRPr="00FB7725" w:rsidTr="00FB7725">
        <w:trPr>
          <w:gridAfter w:val="1"/>
          <w:wAfter w:w="48" w:type="pct"/>
        </w:trPr>
        <w:tc>
          <w:tcPr>
            <w:tcW w:w="4952" w:type="pct"/>
            <w:gridSpan w:val="4"/>
          </w:tcPr>
          <w:p w:rsidR="00FB7725" w:rsidRPr="00FB7725" w:rsidRDefault="00FB7725" w:rsidP="00FB7725">
            <w:pPr>
              <w:jc w:val="both"/>
              <w:rPr>
                <w:sz w:val="20"/>
                <w:lang w:val="fr-CA"/>
              </w:rPr>
            </w:pPr>
            <w:r w:rsidRPr="00FB7725">
              <w:rPr>
                <w:sz w:val="20"/>
                <w:lang w:val="fr-CA"/>
              </w:rPr>
              <w:t xml:space="preserve">Droit constitutionnel – Procédure civile – Dépens – Les demandeurs sollicitent les dépens entre avocat et client dans le cadre d’une demande en Cour fédérale contestant la nomination de l’honorable Marc Nadon à la Cour suprême du Canada – Les dépens entre avocat et client ont été refusés – Existe-t-il un droit constitutionnel aux dépens entre avocat et client dans la situation particulière invoquée, où il se pose une question nouvelle et importante relative à un litige constitutionnel d’intérêt public? – Un jugement accordant des dépens entre avocat et client est-il justifié, en l’absence de considérations constitutionnelles? – L’approche de la Cour d’appel fédérale sur la question du « succès » aux fins des ordonnances portant sur les dépens est-elle trop stricte et rigide et est-elle contraire à l’approche adoptée précédemment par la Cour fédérale et contraire à l’approche actuelle dans les provinces? – La Cour d’appel a-t-elle outrepassé ses pouvoirs en rédigeant les motifs d’une juridiction inférieure pour justifier le résultat de la juridiction inférieure, alors que les motifs d’appel étaient absents du jugement de la juridiction inférieure? – </w:t>
            </w:r>
            <w:r w:rsidRPr="00FB7725">
              <w:rPr>
                <w:i/>
                <w:sz w:val="20"/>
                <w:lang w:val="fr-CA"/>
              </w:rPr>
              <w:t>Règles de la Cour fédérale</w:t>
            </w:r>
            <w:r w:rsidRPr="00FB7725">
              <w:rPr>
                <w:sz w:val="20"/>
                <w:lang w:val="fr-CA"/>
              </w:rPr>
              <w:t>, DORS/98-106, règl. 400.</w:t>
            </w:r>
          </w:p>
          <w:p w:rsidR="00FB7725" w:rsidRPr="00FB7725" w:rsidRDefault="00FB7725" w:rsidP="00FB7725">
            <w:pPr>
              <w:jc w:val="both"/>
              <w:rPr>
                <w:sz w:val="20"/>
                <w:lang w:val="fr-CA"/>
              </w:rPr>
            </w:pPr>
          </w:p>
        </w:tc>
      </w:tr>
      <w:tr w:rsidR="00FB7725" w:rsidRPr="00A61EAA" w:rsidTr="00FB7725">
        <w:trPr>
          <w:gridAfter w:val="1"/>
          <w:wAfter w:w="48" w:type="pct"/>
        </w:trPr>
        <w:tc>
          <w:tcPr>
            <w:tcW w:w="4952" w:type="pct"/>
            <w:gridSpan w:val="4"/>
          </w:tcPr>
          <w:p w:rsidR="00FB7725" w:rsidRPr="00FB7725" w:rsidRDefault="00FB7725" w:rsidP="00FB7725">
            <w:pPr>
              <w:jc w:val="both"/>
              <w:rPr>
                <w:sz w:val="20"/>
                <w:lang w:val="fr-CA"/>
              </w:rPr>
            </w:pPr>
            <w:r w:rsidRPr="00FB7725">
              <w:rPr>
                <w:sz w:val="20"/>
                <w:lang w:val="fr-CA"/>
              </w:rPr>
              <w:t xml:space="preserve">Les demandeurs, Rocco Galati et Constitutional Rights Centre Inc., ont présenté une demande à la Cour fédérale pour contester la nomination de l’honorable Marc Nadon à la Cour suprême du Canada. Peu de temps après, le gouverneur en conseil a soumis deux questions à la Cour concernant la nomination contestée. À la demande du procureur général du Canada, la demande a été suspendue de consentement, dans l’attente de l’arrêt de la Cour dans le </w:t>
            </w:r>
            <w:r w:rsidRPr="00FB7725">
              <w:rPr>
                <w:i/>
                <w:sz w:val="20"/>
                <w:lang w:val="fr-CA"/>
              </w:rPr>
              <w:t>Renvoi relatif à la Loi sur la Cour suprême</w:t>
            </w:r>
            <w:r w:rsidRPr="00FB7725">
              <w:rPr>
                <w:sz w:val="20"/>
                <w:lang w:val="fr-CA"/>
              </w:rPr>
              <w:t xml:space="preserve">, </w:t>
            </w:r>
            <w:r w:rsidRPr="00FB7725">
              <w:rPr>
                <w:i/>
                <w:sz w:val="20"/>
                <w:lang w:val="fr-CA"/>
              </w:rPr>
              <w:t>art. 5 et 6</w:t>
            </w:r>
            <w:r w:rsidRPr="00FB7725">
              <w:rPr>
                <w:sz w:val="20"/>
                <w:lang w:val="fr-CA"/>
              </w:rPr>
              <w:t xml:space="preserve">, 2014 CSC 21, [2014] 1 R.C.S. 433. Les deux demandeurs ont obtenu le statut d’intervenants et ils ont comparu à l’audition du </w:t>
            </w:r>
            <w:r w:rsidRPr="00FB7725">
              <w:rPr>
                <w:i/>
                <w:sz w:val="20"/>
                <w:lang w:val="fr-CA"/>
              </w:rPr>
              <w:t>Renvoi</w:t>
            </w:r>
            <w:r w:rsidRPr="00FB7725">
              <w:rPr>
                <w:sz w:val="20"/>
                <w:lang w:val="fr-CA"/>
              </w:rPr>
              <w:t>.</w:t>
            </w:r>
          </w:p>
          <w:p w:rsidR="00FB7725" w:rsidRPr="00FB7725" w:rsidRDefault="00FB7725" w:rsidP="00FB7725">
            <w:pPr>
              <w:jc w:val="both"/>
              <w:rPr>
                <w:sz w:val="20"/>
                <w:lang w:val="fr-CA"/>
              </w:rPr>
            </w:pPr>
          </w:p>
          <w:p w:rsidR="00FB7725" w:rsidRDefault="00FB7725" w:rsidP="00FB7725">
            <w:pPr>
              <w:jc w:val="both"/>
              <w:rPr>
                <w:sz w:val="20"/>
                <w:lang w:val="fr-CA"/>
              </w:rPr>
            </w:pPr>
            <w:r w:rsidRPr="00FB7725">
              <w:rPr>
                <w:sz w:val="20"/>
                <w:lang w:val="fr-CA"/>
              </w:rPr>
              <w:t xml:space="preserve">Après la publication de l’arrêt de notre Cour dans le </w:t>
            </w:r>
            <w:r w:rsidRPr="00FB7725">
              <w:rPr>
                <w:i/>
                <w:sz w:val="20"/>
                <w:lang w:val="fr-CA"/>
              </w:rPr>
              <w:t>Renvoi</w:t>
            </w:r>
            <w:r w:rsidRPr="00FB7725">
              <w:rPr>
                <w:sz w:val="20"/>
                <w:lang w:val="fr-CA"/>
              </w:rPr>
              <w:t>, les demandeurs ont présenté des requêtes identiques sollicitant un jugement déclaratoire portant que lorsqu’un simple citoyen conteste la validité constitutionnelle de dispositions législatives ou de mesures prises par le pouvoir exécutif, touchant à l’« architecture même de la Constitution », sans en tirer d’avantages personnels, et que sa contestation est couronnée de succès, ce citoyen a droit à des dépens entre avocat et client dans le cadre de cette instance, car l’en priver équivaudrait à une violation du droit garanti par la constitution à un système judiciaire équitable et indépendant.</w:t>
            </w:r>
          </w:p>
          <w:p w:rsidR="00FB7725" w:rsidRPr="00FB7725" w:rsidRDefault="00FB7725" w:rsidP="00FB7725">
            <w:pPr>
              <w:jc w:val="both"/>
              <w:rPr>
                <w:sz w:val="20"/>
                <w:lang w:val="fr-CA"/>
              </w:rPr>
            </w:pPr>
          </w:p>
        </w:tc>
      </w:tr>
      <w:tr w:rsidR="00FB7725" w:rsidRPr="00A61EAA" w:rsidTr="00FB7725">
        <w:tblPrEx>
          <w:tblCellMar>
            <w:bottom w:w="0" w:type="dxa"/>
          </w:tblCellMar>
        </w:tblPrEx>
        <w:tc>
          <w:tcPr>
            <w:tcW w:w="2367" w:type="pct"/>
            <w:gridSpan w:val="2"/>
          </w:tcPr>
          <w:p w:rsidR="00FB7725" w:rsidRPr="00FB7725" w:rsidRDefault="00FB7725" w:rsidP="00FB7725">
            <w:pPr>
              <w:jc w:val="both"/>
              <w:rPr>
                <w:sz w:val="20"/>
                <w:lang w:val="fr-CA"/>
              </w:rPr>
            </w:pPr>
            <w:r w:rsidRPr="00FB7725">
              <w:rPr>
                <w:sz w:val="20"/>
                <w:lang w:val="fr-CA"/>
              </w:rPr>
              <w:t>20 novembre 2014</w:t>
            </w:r>
          </w:p>
          <w:p w:rsidR="00FB7725" w:rsidRPr="00FB7725" w:rsidRDefault="00FB7725" w:rsidP="00FB7725">
            <w:pPr>
              <w:jc w:val="both"/>
              <w:rPr>
                <w:sz w:val="20"/>
                <w:lang w:val="fr-CA"/>
              </w:rPr>
            </w:pPr>
            <w:r w:rsidRPr="00FB7725">
              <w:rPr>
                <w:sz w:val="20"/>
                <w:lang w:val="fr-CA"/>
              </w:rPr>
              <w:t xml:space="preserve">Cour fédérale </w:t>
            </w:r>
          </w:p>
          <w:p w:rsidR="00FB7725" w:rsidRPr="00FB7725" w:rsidRDefault="00FB7725" w:rsidP="00FB7725">
            <w:pPr>
              <w:jc w:val="both"/>
              <w:rPr>
                <w:sz w:val="20"/>
                <w:lang w:val="fr-CA"/>
              </w:rPr>
            </w:pPr>
            <w:r w:rsidRPr="00FB7725">
              <w:rPr>
                <w:sz w:val="20"/>
                <w:lang w:val="fr-CA"/>
              </w:rPr>
              <w:lastRenderedPageBreak/>
              <w:t>(Juge Zinn)</w:t>
            </w:r>
          </w:p>
          <w:p w:rsidR="00FB7725" w:rsidRPr="00FB7725" w:rsidRDefault="00A61EAA" w:rsidP="00FB7725">
            <w:pPr>
              <w:jc w:val="both"/>
              <w:rPr>
                <w:sz w:val="20"/>
                <w:lang w:val="fr-CA"/>
              </w:rPr>
            </w:pPr>
            <w:hyperlink r:id="rId28" w:history="1">
              <w:r w:rsidR="00FB7725" w:rsidRPr="00FB7725">
                <w:rPr>
                  <w:rStyle w:val="Hyperlink"/>
                  <w:sz w:val="20"/>
                  <w:lang w:val="fr-CA"/>
                </w:rPr>
                <w:t>2014 FC 1088</w:t>
              </w:r>
            </w:hyperlink>
          </w:p>
          <w:p w:rsidR="00FB7725" w:rsidRPr="00FB7725" w:rsidRDefault="00FB7725" w:rsidP="00FB7725">
            <w:pPr>
              <w:jc w:val="both"/>
              <w:rPr>
                <w:sz w:val="20"/>
                <w:lang w:val="fr-CA"/>
              </w:rPr>
            </w:pPr>
          </w:p>
        </w:tc>
        <w:tc>
          <w:tcPr>
            <w:tcW w:w="267" w:type="pct"/>
          </w:tcPr>
          <w:p w:rsidR="00FB7725" w:rsidRPr="00FB7725" w:rsidRDefault="00FB7725" w:rsidP="00FB7725">
            <w:pPr>
              <w:jc w:val="both"/>
              <w:rPr>
                <w:sz w:val="20"/>
                <w:lang w:val="fr-CA"/>
              </w:rPr>
            </w:pPr>
          </w:p>
        </w:tc>
        <w:tc>
          <w:tcPr>
            <w:tcW w:w="2366" w:type="pct"/>
            <w:gridSpan w:val="2"/>
          </w:tcPr>
          <w:p w:rsidR="00FB7725" w:rsidRPr="00FB7725" w:rsidRDefault="00FB7725" w:rsidP="00FB7725">
            <w:pPr>
              <w:jc w:val="both"/>
              <w:rPr>
                <w:sz w:val="20"/>
                <w:lang w:val="fr-CA"/>
              </w:rPr>
            </w:pPr>
            <w:r w:rsidRPr="00FB7725">
              <w:rPr>
                <w:sz w:val="20"/>
                <w:lang w:val="fr-CA"/>
              </w:rPr>
              <w:t>Rejet de la demande et des requêtes portant sur les dépens</w:t>
            </w:r>
          </w:p>
          <w:p w:rsidR="00FB7725" w:rsidRPr="00FB7725" w:rsidRDefault="00FB7725" w:rsidP="00FB7725">
            <w:pPr>
              <w:jc w:val="both"/>
              <w:rPr>
                <w:sz w:val="20"/>
                <w:lang w:val="fr-CA"/>
              </w:rPr>
            </w:pPr>
          </w:p>
        </w:tc>
      </w:tr>
      <w:tr w:rsidR="00FB7725" w:rsidRPr="00FB7725" w:rsidTr="00FB7725">
        <w:tblPrEx>
          <w:tblCellMar>
            <w:bottom w:w="0" w:type="dxa"/>
          </w:tblCellMar>
        </w:tblPrEx>
        <w:tc>
          <w:tcPr>
            <w:tcW w:w="2367" w:type="pct"/>
            <w:gridSpan w:val="2"/>
          </w:tcPr>
          <w:p w:rsidR="00FB7725" w:rsidRPr="00FB7725" w:rsidRDefault="00FB7725" w:rsidP="00FB7725">
            <w:pPr>
              <w:jc w:val="both"/>
              <w:rPr>
                <w:sz w:val="20"/>
                <w:lang w:val="fr-CA"/>
              </w:rPr>
            </w:pPr>
            <w:r w:rsidRPr="00FB7725">
              <w:rPr>
                <w:sz w:val="20"/>
                <w:lang w:val="fr-CA"/>
              </w:rPr>
              <w:lastRenderedPageBreak/>
              <w:t>8 février 2016</w:t>
            </w:r>
          </w:p>
          <w:p w:rsidR="00FB7725" w:rsidRPr="00FB7725" w:rsidRDefault="00FB7725" w:rsidP="00FB7725">
            <w:pPr>
              <w:jc w:val="both"/>
              <w:rPr>
                <w:sz w:val="20"/>
                <w:lang w:val="fr-CA"/>
              </w:rPr>
            </w:pPr>
            <w:r w:rsidRPr="00FB7725">
              <w:rPr>
                <w:sz w:val="20"/>
                <w:lang w:val="fr-CA"/>
              </w:rPr>
              <w:t xml:space="preserve">Cour d’appel fédérale </w:t>
            </w:r>
          </w:p>
          <w:p w:rsidR="00FB7725" w:rsidRPr="00FB7725" w:rsidRDefault="00FB7725" w:rsidP="00FB7725">
            <w:pPr>
              <w:jc w:val="both"/>
              <w:rPr>
                <w:sz w:val="20"/>
                <w:lang w:val="fr-CA"/>
              </w:rPr>
            </w:pPr>
            <w:r w:rsidRPr="00FB7725">
              <w:rPr>
                <w:sz w:val="20"/>
                <w:lang w:val="fr-CA"/>
              </w:rPr>
              <w:t>(Juges Pelletier, Stratas et Gleason)</w:t>
            </w:r>
          </w:p>
          <w:p w:rsidR="00FB7725" w:rsidRPr="00FB7725" w:rsidRDefault="00A61EAA" w:rsidP="00FB7725">
            <w:pPr>
              <w:jc w:val="both"/>
              <w:rPr>
                <w:sz w:val="20"/>
                <w:lang w:val="fr-CA"/>
              </w:rPr>
            </w:pPr>
            <w:hyperlink r:id="rId29" w:history="1">
              <w:r w:rsidR="00FB7725" w:rsidRPr="00FB7725">
                <w:rPr>
                  <w:rStyle w:val="Hyperlink"/>
                  <w:sz w:val="20"/>
                  <w:lang w:val="fr-CA"/>
                </w:rPr>
                <w:t>2016 FCA 39</w:t>
              </w:r>
            </w:hyperlink>
            <w:r w:rsidR="00FB7725" w:rsidRPr="00FB7725">
              <w:rPr>
                <w:sz w:val="20"/>
                <w:lang w:val="fr-CA"/>
              </w:rPr>
              <w:t xml:space="preserve"> </w:t>
            </w:r>
          </w:p>
          <w:p w:rsidR="00FB7725" w:rsidRPr="00FB7725" w:rsidRDefault="00FB7725" w:rsidP="00FB7725">
            <w:pPr>
              <w:jc w:val="both"/>
              <w:rPr>
                <w:sz w:val="20"/>
                <w:lang w:val="fr-CA"/>
              </w:rPr>
            </w:pPr>
          </w:p>
        </w:tc>
        <w:tc>
          <w:tcPr>
            <w:tcW w:w="267" w:type="pct"/>
          </w:tcPr>
          <w:p w:rsidR="00FB7725" w:rsidRPr="00FB7725" w:rsidRDefault="00FB7725" w:rsidP="00FB7725">
            <w:pPr>
              <w:jc w:val="both"/>
              <w:rPr>
                <w:sz w:val="20"/>
                <w:lang w:val="fr-CA"/>
              </w:rPr>
            </w:pPr>
          </w:p>
        </w:tc>
        <w:tc>
          <w:tcPr>
            <w:tcW w:w="2366" w:type="pct"/>
            <w:gridSpan w:val="2"/>
          </w:tcPr>
          <w:p w:rsidR="00FB7725" w:rsidRPr="00FB7725" w:rsidRDefault="00FB7725" w:rsidP="00FB7725">
            <w:pPr>
              <w:jc w:val="both"/>
              <w:rPr>
                <w:sz w:val="20"/>
                <w:lang w:val="fr-CA"/>
              </w:rPr>
            </w:pPr>
            <w:r w:rsidRPr="00FB7725">
              <w:rPr>
                <w:sz w:val="20"/>
                <w:lang w:val="fr-CA"/>
              </w:rPr>
              <w:t>Rejet de l’appel</w:t>
            </w:r>
          </w:p>
          <w:p w:rsidR="00FB7725" w:rsidRPr="00FB7725" w:rsidRDefault="00FB7725" w:rsidP="00FB7725">
            <w:pPr>
              <w:jc w:val="both"/>
              <w:rPr>
                <w:sz w:val="20"/>
                <w:lang w:val="fr-CA"/>
              </w:rPr>
            </w:pPr>
          </w:p>
        </w:tc>
      </w:tr>
      <w:tr w:rsidR="00FB7725" w:rsidRPr="00A61EAA" w:rsidTr="00FB7725">
        <w:tblPrEx>
          <w:tblCellMar>
            <w:bottom w:w="0" w:type="dxa"/>
          </w:tblCellMar>
        </w:tblPrEx>
        <w:tc>
          <w:tcPr>
            <w:tcW w:w="2367" w:type="pct"/>
            <w:gridSpan w:val="2"/>
          </w:tcPr>
          <w:p w:rsidR="00FB7725" w:rsidRPr="00FB7725" w:rsidRDefault="00FB7725" w:rsidP="00FB7725">
            <w:pPr>
              <w:jc w:val="both"/>
              <w:rPr>
                <w:sz w:val="20"/>
                <w:lang w:val="fr-CA"/>
              </w:rPr>
            </w:pPr>
            <w:r w:rsidRPr="00FB7725">
              <w:rPr>
                <w:sz w:val="20"/>
                <w:lang w:val="fr-CA"/>
              </w:rPr>
              <w:t>7 avril 2016</w:t>
            </w:r>
          </w:p>
          <w:p w:rsidR="00FB7725" w:rsidRPr="00FB7725" w:rsidRDefault="00FB7725" w:rsidP="00FB7725">
            <w:pPr>
              <w:jc w:val="both"/>
              <w:rPr>
                <w:sz w:val="20"/>
                <w:lang w:val="fr-CA"/>
              </w:rPr>
            </w:pPr>
            <w:r w:rsidRPr="00FB7725">
              <w:rPr>
                <w:sz w:val="20"/>
                <w:lang w:val="fr-CA"/>
              </w:rPr>
              <w:t>Cour suprême du Canada</w:t>
            </w:r>
          </w:p>
        </w:tc>
        <w:tc>
          <w:tcPr>
            <w:tcW w:w="267" w:type="pct"/>
          </w:tcPr>
          <w:p w:rsidR="00FB7725" w:rsidRPr="00FB7725" w:rsidRDefault="00FB7725" w:rsidP="00FB7725">
            <w:pPr>
              <w:jc w:val="both"/>
              <w:rPr>
                <w:sz w:val="20"/>
                <w:lang w:val="fr-CA"/>
              </w:rPr>
            </w:pPr>
          </w:p>
        </w:tc>
        <w:tc>
          <w:tcPr>
            <w:tcW w:w="2366" w:type="pct"/>
            <w:gridSpan w:val="2"/>
          </w:tcPr>
          <w:p w:rsidR="00FB7725" w:rsidRPr="00FB7725" w:rsidRDefault="00FB7725" w:rsidP="00FB7725">
            <w:pPr>
              <w:jc w:val="both"/>
              <w:rPr>
                <w:sz w:val="20"/>
                <w:lang w:val="fr-CA"/>
              </w:rPr>
            </w:pPr>
            <w:r w:rsidRPr="00FB7725">
              <w:rPr>
                <w:sz w:val="20"/>
                <w:lang w:val="fr-CA"/>
              </w:rPr>
              <w:t>Dépôt des demandes d’autorisation d’appel</w:t>
            </w:r>
          </w:p>
        </w:tc>
      </w:tr>
    </w:tbl>
    <w:p w:rsidR="00FB7725" w:rsidRPr="001F33CE" w:rsidRDefault="00FB7725" w:rsidP="001F33CE">
      <w:pPr>
        <w:jc w:val="both"/>
        <w:rPr>
          <w:sz w:val="20"/>
          <w:lang w:val="fr-CA"/>
        </w:rPr>
      </w:pPr>
    </w:p>
    <w:p w:rsidR="009C273F" w:rsidRPr="00A61EAA" w:rsidRDefault="009C273F" w:rsidP="001F33CE">
      <w:pPr>
        <w:widowControl w:val="0"/>
        <w:autoSpaceDE w:val="0"/>
        <w:autoSpaceDN w:val="0"/>
        <w:adjustRightInd w:val="0"/>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3CE" w:rsidRPr="001F33CE" w:rsidTr="00E95A6A">
        <w:tc>
          <w:tcPr>
            <w:tcW w:w="543" w:type="pct"/>
          </w:tcPr>
          <w:p w:rsidR="001F33CE" w:rsidRPr="001F33CE" w:rsidRDefault="001F33CE" w:rsidP="001F33CE">
            <w:pPr>
              <w:jc w:val="both"/>
              <w:rPr>
                <w:sz w:val="20"/>
              </w:rPr>
            </w:pPr>
            <w:r w:rsidRPr="001F33CE">
              <w:rPr>
                <w:rStyle w:val="SCCFileNumberChar"/>
                <w:sz w:val="20"/>
                <w:szCs w:val="20"/>
              </w:rPr>
              <w:t>36881</w:t>
            </w:r>
          </w:p>
        </w:tc>
        <w:tc>
          <w:tcPr>
            <w:tcW w:w="4457" w:type="pct"/>
            <w:gridSpan w:val="3"/>
          </w:tcPr>
          <w:p w:rsidR="001F33CE" w:rsidRPr="00A61EAA" w:rsidRDefault="001F33CE" w:rsidP="001F33CE">
            <w:pPr>
              <w:pStyle w:val="SCCLsocParty"/>
              <w:jc w:val="both"/>
              <w:rPr>
                <w:b/>
                <w:sz w:val="20"/>
                <w:szCs w:val="20"/>
                <w:lang w:val="en-US"/>
              </w:rPr>
            </w:pPr>
            <w:r w:rsidRPr="00A61EAA">
              <w:rPr>
                <w:b/>
                <w:sz w:val="20"/>
                <w:szCs w:val="20"/>
                <w:lang w:val="en-US"/>
              </w:rPr>
              <w:t>Wayne Ferron v. Peel Regional Police Services</w:t>
            </w:r>
          </w:p>
          <w:p w:rsidR="001F33CE" w:rsidRPr="001F33CE" w:rsidRDefault="001F33CE" w:rsidP="001F33CE">
            <w:pPr>
              <w:pStyle w:val="SCCLsocSubfileSeparator"/>
              <w:rPr>
                <w:sz w:val="20"/>
                <w:szCs w:val="20"/>
              </w:rPr>
            </w:pPr>
            <w:r w:rsidRPr="001F33CE">
              <w:rPr>
                <w:sz w:val="20"/>
                <w:szCs w:val="20"/>
              </w:rPr>
              <w:t>- and between -</w:t>
            </w:r>
          </w:p>
          <w:p w:rsidR="001F33CE" w:rsidRPr="00A61EAA" w:rsidRDefault="001F33CE" w:rsidP="001F33CE">
            <w:pPr>
              <w:pStyle w:val="SCCLsocParty"/>
              <w:jc w:val="both"/>
              <w:rPr>
                <w:b/>
                <w:sz w:val="20"/>
                <w:szCs w:val="20"/>
                <w:lang w:val="en-US"/>
              </w:rPr>
            </w:pPr>
            <w:r w:rsidRPr="00A61EAA">
              <w:rPr>
                <w:b/>
                <w:sz w:val="20"/>
                <w:szCs w:val="20"/>
                <w:lang w:val="en-US"/>
              </w:rPr>
              <w:t>Wayne Ferron v. Ministry of the Attorney General, John Gerretsen, Arlene Gorewicz, Santiago Orbe, Joy Webster</w:t>
            </w:r>
          </w:p>
          <w:p w:rsidR="001F33CE" w:rsidRPr="001F33CE" w:rsidRDefault="001F33CE" w:rsidP="001F33CE">
            <w:pPr>
              <w:pStyle w:val="SCCLsocSubfileSeparator"/>
              <w:rPr>
                <w:sz w:val="20"/>
                <w:szCs w:val="20"/>
              </w:rPr>
            </w:pPr>
            <w:r w:rsidRPr="001F33CE">
              <w:rPr>
                <w:sz w:val="20"/>
                <w:szCs w:val="20"/>
              </w:rPr>
              <w:t>- and between -</w:t>
            </w:r>
          </w:p>
          <w:p w:rsidR="001F33CE" w:rsidRPr="00A61EAA" w:rsidRDefault="001F33CE" w:rsidP="001F33CE">
            <w:pPr>
              <w:pStyle w:val="SCCLsocParty"/>
              <w:jc w:val="both"/>
              <w:rPr>
                <w:b/>
                <w:sz w:val="20"/>
                <w:szCs w:val="20"/>
                <w:lang w:val="en-US"/>
              </w:rPr>
            </w:pPr>
            <w:r w:rsidRPr="00A61EAA">
              <w:rPr>
                <w:b/>
                <w:sz w:val="20"/>
                <w:szCs w:val="20"/>
                <w:lang w:val="en-US"/>
              </w:rPr>
              <w:t>Wayne Ferron v. Ministry of the Attorney General, John Gerretsen, Sandra Theroulde, Gail Hugh, Desire Viceral</w:t>
            </w:r>
          </w:p>
          <w:p w:rsidR="001F33CE" w:rsidRPr="001F33CE" w:rsidRDefault="001F33CE" w:rsidP="001F33CE">
            <w:pPr>
              <w:jc w:val="both"/>
              <w:rPr>
                <w:sz w:val="20"/>
              </w:rPr>
            </w:pPr>
            <w:r w:rsidRPr="001F33CE">
              <w:rPr>
                <w:sz w:val="20"/>
              </w:rPr>
              <w:t>(Ont.) (Civil) (By Leave)</w:t>
            </w:r>
          </w:p>
        </w:tc>
      </w:tr>
      <w:tr w:rsidR="001F33CE" w:rsidRPr="001F33CE" w:rsidTr="00E95A6A">
        <w:tc>
          <w:tcPr>
            <w:tcW w:w="5000" w:type="pct"/>
            <w:gridSpan w:val="4"/>
          </w:tcPr>
          <w:p w:rsidR="001F33CE" w:rsidRPr="001F33CE" w:rsidRDefault="001F33CE" w:rsidP="001F33CE">
            <w:pPr>
              <w:jc w:val="both"/>
              <w:rPr>
                <w:sz w:val="20"/>
              </w:rPr>
            </w:pPr>
            <w:r w:rsidRPr="001F33CE">
              <w:rPr>
                <w:sz w:val="20"/>
              </w:rPr>
              <w:t>Appeals — Boards and tribunals — Human Rights Tribunal of Ontario —Applicant alleging he was denied services at respondents’ emergency shelter as retaliation for civil action against them for earlier events — Application deferred pending completion of civil action — Request to reactivate application denied because of lengthy delay and application dismissed — Request for reconsideration dismissed — Whether issue of public importance raised.</w:t>
            </w:r>
          </w:p>
        </w:tc>
      </w:tr>
      <w:tr w:rsidR="001F33CE" w:rsidRPr="001F33CE" w:rsidTr="00E95A6A">
        <w:tc>
          <w:tcPr>
            <w:tcW w:w="5000" w:type="pct"/>
            <w:gridSpan w:val="4"/>
          </w:tcPr>
          <w:p w:rsidR="001F33CE" w:rsidRPr="001F33CE" w:rsidRDefault="001F33CE" w:rsidP="001F33CE">
            <w:pPr>
              <w:jc w:val="both"/>
              <w:rPr>
                <w:sz w:val="20"/>
              </w:rPr>
            </w:pPr>
          </w:p>
        </w:tc>
      </w:tr>
      <w:tr w:rsidR="001F33CE" w:rsidRPr="001F33CE" w:rsidTr="00E95A6A">
        <w:tc>
          <w:tcPr>
            <w:tcW w:w="5000" w:type="pct"/>
            <w:gridSpan w:val="4"/>
          </w:tcPr>
          <w:p w:rsidR="001F33CE" w:rsidRPr="001F33CE" w:rsidRDefault="001F33CE" w:rsidP="001F33CE">
            <w:pPr>
              <w:jc w:val="both"/>
              <w:rPr>
                <w:sz w:val="20"/>
              </w:rPr>
            </w:pPr>
            <w:r w:rsidRPr="001F33CE">
              <w:rPr>
                <w:sz w:val="20"/>
              </w:rPr>
              <w:t>On September 20, 2012, Mr. Ferron filed an application before the Ontario Human Rights Tribunal alleging that he was denied services at the respondents’ emergency shelter as retaliation for a civil action against them for earlier events. In an Interim Decision, dated September 13, 2013, the Tribunal deferred the application pending the conclusion of the civil action finding that the two proceedings were inter-related. On July 17 and on October 14, 2014, the Tribunal wrote to Mr. Ferron asking him to confirm the status of the civil action. He did not respond to this correspondence. On October 21, 2014, the Tribunal wrote to the parties to confirm that Mr. Ferron had attended at the Tribunal’s offices and advised that the civil action was ongoing and accordingly, the Tribunal would continue to defer the application. Months later, on March 21, 2015, Mr. Ferron filed a request for the Tribunal to reactivate the application. On August 7, 2015, the Tribunal denied the request because of the lengthy delay and dismissed the application. Mr. Ferron filed a request for reconsideration, which the Tribunal dismissed on October 29, 2015.</w:t>
            </w:r>
            <w:r w:rsidRPr="001F33CE">
              <w:rPr>
                <w:sz w:val="20"/>
                <w:highlight w:val="yellow"/>
              </w:rPr>
              <w:t xml:space="preserve"> </w:t>
            </w:r>
          </w:p>
          <w:p w:rsidR="001F33CE" w:rsidRPr="001F33CE" w:rsidRDefault="001F33CE" w:rsidP="001F33CE">
            <w:pPr>
              <w:jc w:val="both"/>
              <w:rPr>
                <w:sz w:val="20"/>
              </w:rPr>
            </w:pPr>
          </w:p>
        </w:tc>
      </w:tr>
      <w:tr w:rsidR="001F33CE" w:rsidRPr="001F33CE" w:rsidTr="00E95A6A">
        <w:tc>
          <w:tcPr>
            <w:tcW w:w="2427" w:type="pct"/>
            <w:gridSpan w:val="2"/>
          </w:tcPr>
          <w:p w:rsidR="001F33CE" w:rsidRPr="001F33CE" w:rsidRDefault="001F33CE" w:rsidP="001F33CE">
            <w:pPr>
              <w:jc w:val="both"/>
              <w:rPr>
                <w:sz w:val="20"/>
              </w:rPr>
            </w:pPr>
            <w:r w:rsidRPr="001F33CE">
              <w:rPr>
                <w:sz w:val="20"/>
              </w:rPr>
              <w:t>September 13, 2013</w:t>
            </w:r>
          </w:p>
          <w:p w:rsidR="001F33CE" w:rsidRPr="001F33CE" w:rsidRDefault="001F33CE" w:rsidP="001F33CE">
            <w:pPr>
              <w:jc w:val="both"/>
              <w:rPr>
                <w:sz w:val="20"/>
              </w:rPr>
            </w:pPr>
            <w:r w:rsidRPr="001F33CE">
              <w:rPr>
                <w:sz w:val="20"/>
              </w:rPr>
              <w:t>Human Rights Tribunal of Ontario</w:t>
            </w:r>
          </w:p>
          <w:p w:rsidR="001F33CE" w:rsidRPr="001F33CE" w:rsidRDefault="001F33CE" w:rsidP="001F33CE">
            <w:pPr>
              <w:jc w:val="both"/>
              <w:rPr>
                <w:sz w:val="20"/>
              </w:rPr>
            </w:pPr>
            <w:r w:rsidRPr="001F33CE">
              <w:rPr>
                <w:sz w:val="20"/>
              </w:rPr>
              <w:t>(E. Chadha)</w:t>
            </w:r>
          </w:p>
          <w:p w:rsidR="001F33CE" w:rsidRPr="001F33CE" w:rsidRDefault="00A61EAA" w:rsidP="001F33CE">
            <w:pPr>
              <w:jc w:val="both"/>
              <w:rPr>
                <w:sz w:val="20"/>
              </w:rPr>
            </w:pPr>
            <w:hyperlink r:id="rId30" w:history="1">
              <w:r w:rsidR="001F33CE" w:rsidRPr="001F33CE">
                <w:rPr>
                  <w:rStyle w:val="Hyperlink"/>
                  <w:sz w:val="20"/>
                </w:rPr>
                <w:t>2013 HRTO 1544</w:t>
              </w:r>
            </w:hyperlink>
          </w:p>
          <w:p w:rsidR="001F33CE" w:rsidRPr="001F33CE" w:rsidRDefault="001F33CE" w:rsidP="001F33CE">
            <w:pPr>
              <w:jc w:val="both"/>
              <w:rPr>
                <w:sz w:val="20"/>
              </w:rPr>
            </w:pPr>
          </w:p>
        </w:tc>
        <w:tc>
          <w:tcPr>
            <w:tcW w:w="243" w:type="pct"/>
          </w:tcPr>
          <w:p w:rsidR="001F33CE" w:rsidRPr="001F33CE" w:rsidRDefault="001F33CE" w:rsidP="001F33CE">
            <w:pPr>
              <w:jc w:val="both"/>
              <w:rPr>
                <w:sz w:val="20"/>
              </w:rPr>
            </w:pPr>
          </w:p>
        </w:tc>
        <w:tc>
          <w:tcPr>
            <w:tcW w:w="2330" w:type="pct"/>
          </w:tcPr>
          <w:p w:rsidR="001F33CE" w:rsidRPr="001F33CE" w:rsidRDefault="001F33CE" w:rsidP="001F33CE">
            <w:pPr>
              <w:jc w:val="both"/>
              <w:rPr>
                <w:sz w:val="20"/>
              </w:rPr>
            </w:pPr>
            <w:r w:rsidRPr="001F33CE">
              <w:rPr>
                <w:sz w:val="20"/>
              </w:rPr>
              <w:t>Application alleging reprisal with respect to services, goods and facilities at emergency shelter deferred pending completion of applicant’s civil action.</w:t>
            </w:r>
          </w:p>
          <w:p w:rsidR="001F33CE" w:rsidRPr="001F33CE" w:rsidRDefault="001F33CE" w:rsidP="001F33CE">
            <w:pPr>
              <w:jc w:val="both"/>
              <w:rPr>
                <w:sz w:val="20"/>
              </w:rPr>
            </w:pPr>
          </w:p>
        </w:tc>
      </w:tr>
      <w:tr w:rsidR="001F33CE" w:rsidRPr="001F33CE" w:rsidTr="00E95A6A">
        <w:tc>
          <w:tcPr>
            <w:tcW w:w="2427" w:type="pct"/>
            <w:gridSpan w:val="2"/>
          </w:tcPr>
          <w:p w:rsidR="001F33CE" w:rsidRPr="001F33CE" w:rsidRDefault="001F33CE" w:rsidP="001F33CE">
            <w:pPr>
              <w:jc w:val="both"/>
              <w:rPr>
                <w:sz w:val="20"/>
              </w:rPr>
            </w:pPr>
            <w:r w:rsidRPr="001F33CE">
              <w:rPr>
                <w:sz w:val="20"/>
              </w:rPr>
              <w:t>August 7, 2015</w:t>
            </w:r>
          </w:p>
          <w:p w:rsidR="001F33CE" w:rsidRPr="001F33CE" w:rsidRDefault="001F33CE" w:rsidP="001F33CE">
            <w:pPr>
              <w:jc w:val="both"/>
              <w:rPr>
                <w:sz w:val="20"/>
              </w:rPr>
            </w:pPr>
            <w:r w:rsidRPr="001F33CE">
              <w:rPr>
                <w:sz w:val="20"/>
              </w:rPr>
              <w:t>Human Rights Tribunal of Ontario</w:t>
            </w:r>
          </w:p>
          <w:p w:rsidR="001F33CE" w:rsidRPr="001F33CE" w:rsidRDefault="001F33CE" w:rsidP="001F33CE">
            <w:pPr>
              <w:jc w:val="both"/>
              <w:rPr>
                <w:sz w:val="20"/>
              </w:rPr>
            </w:pPr>
            <w:r w:rsidRPr="001F33CE">
              <w:rPr>
                <w:sz w:val="20"/>
              </w:rPr>
              <w:t>(D. Muir, Vice-chair)</w:t>
            </w:r>
          </w:p>
          <w:p w:rsidR="001F33CE" w:rsidRPr="001F33CE" w:rsidRDefault="00A61EAA" w:rsidP="001F33CE">
            <w:pPr>
              <w:jc w:val="both"/>
              <w:rPr>
                <w:sz w:val="20"/>
              </w:rPr>
            </w:pPr>
            <w:hyperlink r:id="rId31" w:history="1">
              <w:r w:rsidR="001F33CE" w:rsidRPr="001F33CE">
                <w:rPr>
                  <w:rStyle w:val="Hyperlink"/>
                  <w:sz w:val="20"/>
                </w:rPr>
                <w:t>2015 HRTO 1056</w:t>
              </w:r>
            </w:hyperlink>
          </w:p>
          <w:p w:rsidR="001F33CE" w:rsidRPr="001F33CE" w:rsidRDefault="001F33CE" w:rsidP="001F33CE">
            <w:pPr>
              <w:jc w:val="both"/>
              <w:rPr>
                <w:sz w:val="20"/>
              </w:rPr>
            </w:pPr>
          </w:p>
        </w:tc>
        <w:tc>
          <w:tcPr>
            <w:tcW w:w="243" w:type="pct"/>
          </w:tcPr>
          <w:p w:rsidR="001F33CE" w:rsidRPr="001F33CE" w:rsidRDefault="001F33CE" w:rsidP="001F33CE">
            <w:pPr>
              <w:jc w:val="both"/>
              <w:rPr>
                <w:sz w:val="20"/>
              </w:rPr>
            </w:pPr>
          </w:p>
        </w:tc>
        <w:tc>
          <w:tcPr>
            <w:tcW w:w="2330" w:type="pct"/>
          </w:tcPr>
          <w:p w:rsidR="001F33CE" w:rsidRPr="001F33CE" w:rsidRDefault="001F33CE" w:rsidP="001F33CE">
            <w:pPr>
              <w:jc w:val="both"/>
              <w:rPr>
                <w:sz w:val="20"/>
              </w:rPr>
            </w:pPr>
            <w:r w:rsidRPr="001F33CE">
              <w:rPr>
                <w:sz w:val="20"/>
              </w:rPr>
              <w:t>Request to reactivate application denied because of lengthy delay and application dismissed.</w:t>
            </w:r>
          </w:p>
        </w:tc>
      </w:tr>
      <w:tr w:rsidR="001F33CE" w:rsidRPr="001F33CE" w:rsidTr="00E95A6A">
        <w:tc>
          <w:tcPr>
            <w:tcW w:w="2427" w:type="pct"/>
            <w:gridSpan w:val="2"/>
          </w:tcPr>
          <w:p w:rsidR="001F33CE" w:rsidRPr="001F33CE" w:rsidRDefault="001F33CE" w:rsidP="001F33CE">
            <w:pPr>
              <w:jc w:val="both"/>
              <w:rPr>
                <w:sz w:val="20"/>
              </w:rPr>
            </w:pPr>
            <w:r w:rsidRPr="001F33CE">
              <w:rPr>
                <w:sz w:val="20"/>
              </w:rPr>
              <w:t>October 29, 2015</w:t>
            </w:r>
          </w:p>
          <w:p w:rsidR="001F33CE" w:rsidRPr="001F33CE" w:rsidRDefault="001F33CE" w:rsidP="001F33CE">
            <w:pPr>
              <w:jc w:val="both"/>
              <w:rPr>
                <w:sz w:val="20"/>
              </w:rPr>
            </w:pPr>
            <w:r w:rsidRPr="001F33CE">
              <w:rPr>
                <w:sz w:val="20"/>
              </w:rPr>
              <w:t>Human Rights Tribunal of Ontario</w:t>
            </w:r>
          </w:p>
          <w:p w:rsidR="001F33CE" w:rsidRPr="001F33CE" w:rsidRDefault="001F33CE" w:rsidP="001F33CE">
            <w:pPr>
              <w:jc w:val="both"/>
              <w:rPr>
                <w:sz w:val="20"/>
              </w:rPr>
            </w:pPr>
          </w:p>
        </w:tc>
        <w:tc>
          <w:tcPr>
            <w:tcW w:w="243" w:type="pct"/>
          </w:tcPr>
          <w:p w:rsidR="001F33CE" w:rsidRPr="001F33CE" w:rsidRDefault="001F33CE" w:rsidP="001F33CE">
            <w:pPr>
              <w:jc w:val="both"/>
              <w:rPr>
                <w:sz w:val="20"/>
              </w:rPr>
            </w:pPr>
          </w:p>
        </w:tc>
        <w:tc>
          <w:tcPr>
            <w:tcW w:w="2330" w:type="pct"/>
          </w:tcPr>
          <w:p w:rsidR="001F33CE" w:rsidRPr="001F33CE" w:rsidRDefault="001F33CE" w:rsidP="001F33CE">
            <w:pPr>
              <w:jc w:val="both"/>
              <w:rPr>
                <w:sz w:val="20"/>
                <w:highlight w:val="yellow"/>
              </w:rPr>
            </w:pPr>
            <w:r w:rsidRPr="001F33CE">
              <w:rPr>
                <w:sz w:val="20"/>
              </w:rPr>
              <w:t>Request for reconsideration dismissed.</w:t>
            </w:r>
            <w:r w:rsidRPr="001F33CE">
              <w:rPr>
                <w:sz w:val="20"/>
                <w:highlight w:val="yellow"/>
              </w:rPr>
              <w:t xml:space="preserve"> </w:t>
            </w:r>
          </w:p>
          <w:p w:rsidR="001F33CE" w:rsidRPr="001F33CE" w:rsidRDefault="001F33CE" w:rsidP="001F33CE">
            <w:pPr>
              <w:jc w:val="both"/>
              <w:rPr>
                <w:sz w:val="20"/>
              </w:rPr>
            </w:pPr>
          </w:p>
        </w:tc>
      </w:tr>
      <w:tr w:rsidR="001F33CE" w:rsidRPr="001F33CE" w:rsidTr="00B504B9">
        <w:trPr>
          <w:trHeight w:val="504"/>
        </w:trPr>
        <w:tc>
          <w:tcPr>
            <w:tcW w:w="2427" w:type="pct"/>
            <w:gridSpan w:val="2"/>
          </w:tcPr>
          <w:p w:rsidR="001F33CE" w:rsidRPr="001F33CE" w:rsidRDefault="001F33CE" w:rsidP="001F33CE">
            <w:pPr>
              <w:jc w:val="both"/>
              <w:rPr>
                <w:sz w:val="20"/>
              </w:rPr>
            </w:pPr>
            <w:r w:rsidRPr="001F33CE">
              <w:rPr>
                <w:sz w:val="20"/>
              </w:rPr>
              <w:t>December 7, 2015</w:t>
            </w:r>
          </w:p>
          <w:p w:rsidR="001F33CE" w:rsidRDefault="001F33CE" w:rsidP="001F33CE">
            <w:pPr>
              <w:jc w:val="both"/>
              <w:rPr>
                <w:sz w:val="20"/>
              </w:rPr>
            </w:pPr>
            <w:r w:rsidRPr="001F33CE">
              <w:rPr>
                <w:sz w:val="20"/>
              </w:rPr>
              <w:t>Supreme Court of Canada</w:t>
            </w:r>
          </w:p>
          <w:p w:rsidR="001F33CE" w:rsidRPr="001F33CE" w:rsidRDefault="001F33CE" w:rsidP="001F33CE">
            <w:pPr>
              <w:jc w:val="both"/>
              <w:rPr>
                <w:sz w:val="20"/>
              </w:rPr>
            </w:pPr>
          </w:p>
        </w:tc>
        <w:tc>
          <w:tcPr>
            <w:tcW w:w="243" w:type="pct"/>
          </w:tcPr>
          <w:p w:rsidR="001F33CE" w:rsidRPr="001F33CE" w:rsidRDefault="001F33CE" w:rsidP="001F33CE">
            <w:pPr>
              <w:jc w:val="both"/>
              <w:rPr>
                <w:sz w:val="20"/>
              </w:rPr>
            </w:pPr>
          </w:p>
        </w:tc>
        <w:tc>
          <w:tcPr>
            <w:tcW w:w="2330" w:type="pct"/>
          </w:tcPr>
          <w:p w:rsidR="001F33CE" w:rsidRPr="001F33CE" w:rsidRDefault="001F33CE" w:rsidP="001F33CE">
            <w:pPr>
              <w:jc w:val="both"/>
              <w:rPr>
                <w:sz w:val="20"/>
              </w:rPr>
            </w:pPr>
            <w:r w:rsidRPr="001F33CE">
              <w:rPr>
                <w:sz w:val="20"/>
              </w:rPr>
              <w:t>Application for leave to appeal filed.</w:t>
            </w:r>
          </w:p>
          <w:p w:rsidR="001F33CE" w:rsidRPr="001F33CE" w:rsidRDefault="001F33CE" w:rsidP="001F33CE">
            <w:pPr>
              <w:jc w:val="both"/>
              <w:rPr>
                <w:sz w:val="20"/>
              </w:rPr>
            </w:pPr>
          </w:p>
        </w:tc>
      </w:tr>
      <w:tr w:rsidR="001F33CE" w:rsidRPr="001F33CE" w:rsidTr="00B504B9">
        <w:trPr>
          <w:trHeight w:val="504"/>
        </w:trPr>
        <w:tc>
          <w:tcPr>
            <w:tcW w:w="2427" w:type="pct"/>
            <w:gridSpan w:val="2"/>
          </w:tcPr>
          <w:p w:rsidR="001F33CE" w:rsidRPr="001F33CE" w:rsidRDefault="001F33CE" w:rsidP="001F33CE">
            <w:pPr>
              <w:jc w:val="both"/>
              <w:rPr>
                <w:sz w:val="20"/>
              </w:rPr>
            </w:pPr>
            <w:r w:rsidRPr="001F33CE">
              <w:rPr>
                <w:sz w:val="20"/>
              </w:rPr>
              <w:lastRenderedPageBreak/>
              <w:t>March 1, 2016</w:t>
            </w:r>
          </w:p>
          <w:p w:rsidR="001F33CE" w:rsidRPr="001F33CE" w:rsidRDefault="001F33CE" w:rsidP="001F33CE">
            <w:pPr>
              <w:jc w:val="both"/>
              <w:rPr>
                <w:sz w:val="20"/>
              </w:rPr>
            </w:pPr>
            <w:r w:rsidRPr="001F33CE">
              <w:rPr>
                <w:sz w:val="20"/>
              </w:rPr>
              <w:t>Supreme Court of Canada</w:t>
            </w:r>
          </w:p>
        </w:tc>
        <w:tc>
          <w:tcPr>
            <w:tcW w:w="243" w:type="pct"/>
          </w:tcPr>
          <w:p w:rsidR="001F33CE" w:rsidRPr="001F33CE" w:rsidRDefault="001F33CE" w:rsidP="001F33CE">
            <w:pPr>
              <w:jc w:val="both"/>
              <w:rPr>
                <w:sz w:val="20"/>
              </w:rPr>
            </w:pPr>
          </w:p>
        </w:tc>
        <w:tc>
          <w:tcPr>
            <w:tcW w:w="2330" w:type="pct"/>
          </w:tcPr>
          <w:p w:rsidR="001F33CE" w:rsidRPr="001F33CE" w:rsidRDefault="001F33CE" w:rsidP="001F33CE">
            <w:pPr>
              <w:jc w:val="both"/>
              <w:rPr>
                <w:sz w:val="20"/>
              </w:rPr>
            </w:pPr>
            <w:r w:rsidRPr="001F33CE">
              <w:rPr>
                <w:sz w:val="20"/>
              </w:rPr>
              <w:t>Amended notice of application for leave to appeal filed.</w:t>
            </w:r>
          </w:p>
        </w:tc>
      </w:tr>
    </w:tbl>
    <w:p w:rsidR="001F33CE" w:rsidRDefault="001F33CE" w:rsidP="001F33CE">
      <w:pPr>
        <w:jc w:val="both"/>
        <w:rPr>
          <w:sz w:val="20"/>
        </w:rPr>
      </w:pPr>
    </w:p>
    <w:p w:rsidR="001F33CE" w:rsidRPr="001F33CE" w:rsidRDefault="001F33CE" w:rsidP="001F33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3CE" w:rsidRPr="001F33CE" w:rsidTr="00E95A6A">
        <w:tc>
          <w:tcPr>
            <w:tcW w:w="543" w:type="pct"/>
          </w:tcPr>
          <w:p w:rsidR="001F33CE" w:rsidRPr="001F33CE" w:rsidRDefault="001F33CE" w:rsidP="001F33CE">
            <w:pPr>
              <w:jc w:val="both"/>
              <w:rPr>
                <w:sz w:val="20"/>
                <w:lang w:val="fr-CA"/>
              </w:rPr>
            </w:pPr>
            <w:r w:rsidRPr="001F33CE">
              <w:rPr>
                <w:rStyle w:val="SCCFileNumberChar"/>
                <w:sz w:val="20"/>
                <w:szCs w:val="20"/>
                <w:lang w:val="fr-CA"/>
              </w:rPr>
              <w:t>36881</w:t>
            </w:r>
          </w:p>
        </w:tc>
        <w:tc>
          <w:tcPr>
            <w:tcW w:w="4457" w:type="pct"/>
            <w:gridSpan w:val="3"/>
          </w:tcPr>
          <w:p w:rsidR="001F33CE" w:rsidRPr="001F33CE" w:rsidRDefault="001F33CE" w:rsidP="001F33CE">
            <w:pPr>
              <w:pStyle w:val="SCCLsocParty"/>
              <w:jc w:val="both"/>
              <w:rPr>
                <w:b/>
                <w:sz w:val="20"/>
                <w:szCs w:val="20"/>
              </w:rPr>
            </w:pPr>
            <w:r w:rsidRPr="001F33CE">
              <w:rPr>
                <w:b/>
                <w:sz w:val="20"/>
                <w:szCs w:val="20"/>
              </w:rPr>
              <w:t>Wayne Ferron c. Peel Regional Police Services</w:t>
            </w:r>
          </w:p>
          <w:p w:rsidR="001F33CE" w:rsidRPr="001F33CE" w:rsidRDefault="001F33CE" w:rsidP="001F33CE">
            <w:pPr>
              <w:pStyle w:val="SCCLsocSubfileSeparator"/>
              <w:rPr>
                <w:sz w:val="20"/>
                <w:szCs w:val="20"/>
                <w:lang w:val="fr-CA"/>
              </w:rPr>
            </w:pPr>
            <w:r w:rsidRPr="001F33CE">
              <w:rPr>
                <w:sz w:val="20"/>
                <w:szCs w:val="20"/>
                <w:lang w:val="fr-CA"/>
              </w:rPr>
              <w:t>-et entre-</w:t>
            </w:r>
          </w:p>
          <w:p w:rsidR="001F33CE" w:rsidRPr="001F33CE" w:rsidRDefault="001F33CE" w:rsidP="001F33CE">
            <w:pPr>
              <w:pStyle w:val="SCCLsocParty"/>
              <w:jc w:val="both"/>
              <w:rPr>
                <w:b/>
                <w:sz w:val="20"/>
                <w:szCs w:val="20"/>
              </w:rPr>
            </w:pPr>
            <w:r w:rsidRPr="001F33CE">
              <w:rPr>
                <w:b/>
                <w:sz w:val="20"/>
                <w:szCs w:val="20"/>
              </w:rPr>
              <w:t>Wayne Ferron c. Ministère du Procureur général, John Gerretsen, Arlene Gorewicz, Santiago Orbe, Joy Webster</w:t>
            </w:r>
          </w:p>
          <w:p w:rsidR="001F33CE" w:rsidRPr="001F33CE" w:rsidRDefault="001F33CE" w:rsidP="001F33CE">
            <w:pPr>
              <w:pStyle w:val="SCCLsocSubfileSeparator"/>
              <w:rPr>
                <w:sz w:val="20"/>
                <w:szCs w:val="20"/>
                <w:lang w:val="fr-CA"/>
              </w:rPr>
            </w:pPr>
            <w:r w:rsidRPr="001F33CE">
              <w:rPr>
                <w:sz w:val="20"/>
                <w:szCs w:val="20"/>
                <w:lang w:val="fr-CA"/>
              </w:rPr>
              <w:t>-et entre-</w:t>
            </w:r>
          </w:p>
          <w:p w:rsidR="001F33CE" w:rsidRPr="001F33CE" w:rsidRDefault="001F33CE" w:rsidP="001F33CE">
            <w:pPr>
              <w:pStyle w:val="SCCLsocParty"/>
              <w:jc w:val="both"/>
              <w:rPr>
                <w:b/>
                <w:sz w:val="20"/>
                <w:szCs w:val="20"/>
              </w:rPr>
            </w:pPr>
            <w:r w:rsidRPr="001F33CE">
              <w:rPr>
                <w:b/>
                <w:sz w:val="20"/>
                <w:szCs w:val="20"/>
              </w:rPr>
              <w:t>Wayne Ferron c. Ministère du Procureur général, John Gerretsen, Sandra Theroulde, Gail Hugh, Desire Viceral</w:t>
            </w:r>
          </w:p>
          <w:p w:rsidR="001F33CE" w:rsidRPr="001F33CE" w:rsidRDefault="001F33CE" w:rsidP="001F33CE">
            <w:pPr>
              <w:jc w:val="both"/>
              <w:rPr>
                <w:sz w:val="20"/>
                <w:lang w:val="fr-CA"/>
              </w:rPr>
            </w:pPr>
            <w:r w:rsidRPr="001F33CE">
              <w:rPr>
                <w:sz w:val="20"/>
                <w:lang w:val="fr-CA"/>
              </w:rPr>
              <w:t>(Ont.) (Civile) (Sur autorisation)</w:t>
            </w:r>
          </w:p>
        </w:tc>
      </w:tr>
      <w:tr w:rsidR="001F33CE" w:rsidRPr="00A61EAA" w:rsidTr="00E95A6A">
        <w:tc>
          <w:tcPr>
            <w:tcW w:w="5000" w:type="pct"/>
            <w:gridSpan w:val="4"/>
          </w:tcPr>
          <w:p w:rsidR="001F33CE" w:rsidRPr="001F33CE" w:rsidRDefault="001F33CE" w:rsidP="001F33CE">
            <w:pPr>
              <w:jc w:val="both"/>
              <w:rPr>
                <w:sz w:val="20"/>
                <w:lang w:val="fr-CA"/>
              </w:rPr>
            </w:pPr>
            <w:r w:rsidRPr="001F33CE">
              <w:rPr>
                <w:sz w:val="20"/>
                <w:lang w:val="fr-CA"/>
              </w:rPr>
              <w:t>Appels — Organismes et tribunaux administratifs — Tribunal des droits de la personne de l’Ontario — Le demandeur allègue s’être vu refuser des services au refuge d’urgence des intimés en guise de représailles pour une action au civil intentée contre eux et fondée sur des événements antérieurs — La demande a été reportée en attendant qu’il soit statué sur l’action au civil — La requête en réactivation la demande a été rejetée en raison du long délai écoulé et la demande a été rejetée — La requête en réexamen a été rejetée — L’affaire soulève-t-elle des questions d’importance pour le public?</w:t>
            </w:r>
          </w:p>
        </w:tc>
      </w:tr>
      <w:tr w:rsidR="001F33CE" w:rsidRPr="00A61EAA" w:rsidTr="00E95A6A">
        <w:tc>
          <w:tcPr>
            <w:tcW w:w="5000" w:type="pct"/>
            <w:gridSpan w:val="4"/>
          </w:tcPr>
          <w:p w:rsidR="001F33CE" w:rsidRPr="001F33CE" w:rsidRDefault="001F33CE" w:rsidP="001F33CE">
            <w:pPr>
              <w:jc w:val="both"/>
              <w:rPr>
                <w:sz w:val="20"/>
                <w:lang w:val="fr-CA"/>
              </w:rPr>
            </w:pPr>
          </w:p>
        </w:tc>
      </w:tr>
      <w:tr w:rsidR="001F33CE" w:rsidRPr="00A61EAA" w:rsidTr="00E95A6A">
        <w:tc>
          <w:tcPr>
            <w:tcW w:w="5000" w:type="pct"/>
            <w:gridSpan w:val="4"/>
          </w:tcPr>
          <w:p w:rsidR="001F33CE" w:rsidRPr="001F33CE" w:rsidRDefault="001F33CE" w:rsidP="001F33CE">
            <w:pPr>
              <w:jc w:val="both"/>
              <w:rPr>
                <w:sz w:val="20"/>
                <w:lang w:val="fr-CA"/>
              </w:rPr>
            </w:pPr>
            <w:r w:rsidRPr="001F33CE">
              <w:rPr>
                <w:sz w:val="20"/>
                <w:lang w:val="fr-CA"/>
              </w:rPr>
              <w:t>Le 20 septembre 2012, M. </w:t>
            </w:r>
            <w:proofErr w:type="spellStart"/>
            <w:r w:rsidRPr="001F33CE">
              <w:rPr>
                <w:sz w:val="20"/>
                <w:lang w:val="fr-CA"/>
              </w:rPr>
              <w:t>Ferron</w:t>
            </w:r>
            <w:proofErr w:type="spellEnd"/>
            <w:r w:rsidRPr="001F33CE">
              <w:rPr>
                <w:sz w:val="20"/>
                <w:lang w:val="fr-CA"/>
              </w:rPr>
              <w:t xml:space="preserve"> a déposé une demande au Tribunal des droits de la personne de l’Ontario, alléguant qu’il s’était vu refuser des services au refuge d’urgence des intimés en guise de représailles pour une action au civil intentée contre eux et fondée sur des événements antérieurs. Dans une décision provisoire, datée du 13 septembre 2013, le Tribunal a reporté la demande dont il était saisi en attendant qu’il soit statué sur l’action au civil, concluant que les deux instances étaient liées. Le 17 juillet et le 14 octobre 2014, le Tribunal a écrit à M. </w:t>
            </w:r>
            <w:proofErr w:type="spellStart"/>
            <w:r w:rsidRPr="001F33CE">
              <w:rPr>
                <w:sz w:val="20"/>
                <w:lang w:val="fr-CA"/>
              </w:rPr>
              <w:t>Ferron</w:t>
            </w:r>
            <w:proofErr w:type="spellEnd"/>
            <w:r w:rsidRPr="001F33CE">
              <w:rPr>
                <w:sz w:val="20"/>
                <w:lang w:val="fr-CA"/>
              </w:rPr>
              <w:t>, lui demandant de confirmer l’état de l’action au civil. Monsieur Ferron n’a pas répondu à cette lettre. Le 21 octobre 2014, le Tribunal a écrit aux parties pour confirmer que M. Ferron s’était présenté aux bureaux du Tribunal et l’avait informé que l’action au civil suivait son cours, si bien que le Tribunal continuerait de reporterait la demande dont il était saisi. Quelques mois plus tard, soit le 21 mars 2015, M. </w:t>
            </w:r>
            <w:proofErr w:type="spellStart"/>
            <w:r w:rsidRPr="001F33CE">
              <w:rPr>
                <w:sz w:val="20"/>
                <w:lang w:val="fr-CA"/>
              </w:rPr>
              <w:t>Ferron</w:t>
            </w:r>
            <w:proofErr w:type="spellEnd"/>
            <w:r w:rsidRPr="001F33CE">
              <w:rPr>
                <w:sz w:val="20"/>
                <w:lang w:val="fr-CA"/>
              </w:rPr>
              <w:t xml:space="preserve"> a déposé une requête au Tribunal pour réactiver la demande. Le 7 août 2015, le Tribunal a rejeté la requête en raison du long délai qui s’était écoulé et a rejeté la demande dont il était saisi. Monsieur Ferron a déposé une requête en réexamen que le tribunal a rejetée le 29 octobre 2015.</w:t>
            </w:r>
            <w:r w:rsidRPr="001F33CE">
              <w:rPr>
                <w:sz w:val="20"/>
                <w:highlight w:val="yellow"/>
                <w:lang w:val="fr-CA"/>
              </w:rPr>
              <w:t xml:space="preserve"> </w:t>
            </w:r>
          </w:p>
          <w:p w:rsidR="001F33CE" w:rsidRPr="001F33CE" w:rsidRDefault="001F33CE" w:rsidP="001F33CE">
            <w:pPr>
              <w:jc w:val="both"/>
              <w:rPr>
                <w:sz w:val="20"/>
                <w:lang w:val="fr-CA"/>
              </w:rPr>
            </w:pPr>
          </w:p>
        </w:tc>
      </w:tr>
      <w:tr w:rsidR="001F33CE" w:rsidRPr="00A61EAA" w:rsidTr="00E95A6A">
        <w:tc>
          <w:tcPr>
            <w:tcW w:w="2427" w:type="pct"/>
            <w:gridSpan w:val="2"/>
          </w:tcPr>
          <w:p w:rsidR="001F33CE" w:rsidRPr="001F33CE" w:rsidRDefault="001F33CE" w:rsidP="001F33CE">
            <w:pPr>
              <w:jc w:val="both"/>
              <w:rPr>
                <w:sz w:val="20"/>
                <w:lang w:val="fr-CA"/>
              </w:rPr>
            </w:pPr>
            <w:r w:rsidRPr="001F33CE">
              <w:rPr>
                <w:sz w:val="20"/>
                <w:lang w:val="fr-CA"/>
              </w:rPr>
              <w:t>13 septembre 2013</w:t>
            </w:r>
          </w:p>
          <w:p w:rsidR="001F33CE" w:rsidRPr="001F33CE" w:rsidRDefault="001F33CE" w:rsidP="001F33CE">
            <w:pPr>
              <w:jc w:val="both"/>
              <w:rPr>
                <w:sz w:val="20"/>
                <w:lang w:val="fr-CA"/>
              </w:rPr>
            </w:pPr>
            <w:r w:rsidRPr="001F33CE">
              <w:rPr>
                <w:sz w:val="20"/>
                <w:lang w:val="fr-CA"/>
              </w:rPr>
              <w:t xml:space="preserve">Tribunal des droits de la personne de l’Ontario </w:t>
            </w:r>
          </w:p>
          <w:p w:rsidR="001F33CE" w:rsidRPr="001F33CE" w:rsidRDefault="001F33CE" w:rsidP="001F33CE">
            <w:pPr>
              <w:jc w:val="both"/>
              <w:rPr>
                <w:sz w:val="20"/>
                <w:lang w:val="fr-CA"/>
              </w:rPr>
            </w:pPr>
            <w:r w:rsidRPr="001F33CE">
              <w:rPr>
                <w:sz w:val="20"/>
                <w:lang w:val="fr-CA"/>
              </w:rPr>
              <w:t>(Vice-présidente Chadha)</w:t>
            </w:r>
          </w:p>
          <w:p w:rsidR="001F33CE" w:rsidRPr="001F33CE" w:rsidRDefault="00A61EAA" w:rsidP="001F33CE">
            <w:pPr>
              <w:jc w:val="both"/>
              <w:rPr>
                <w:sz w:val="20"/>
                <w:lang w:val="fr-CA"/>
              </w:rPr>
            </w:pPr>
            <w:hyperlink r:id="rId32" w:history="1">
              <w:r w:rsidR="001F33CE" w:rsidRPr="001F33CE">
                <w:rPr>
                  <w:rStyle w:val="Hyperlink"/>
                  <w:sz w:val="20"/>
                  <w:lang w:val="fr-CA"/>
                </w:rPr>
                <w:t>2013 HRTO 1544</w:t>
              </w:r>
            </w:hyperlink>
          </w:p>
          <w:p w:rsidR="001F33CE" w:rsidRPr="001F33CE" w:rsidRDefault="001F33CE" w:rsidP="001F33CE">
            <w:pPr>
              <w:jc w:val="both"/>
              <w:rPr>
                <w:sz w:val="20"/>
                <w:lang w:val="fr-CA"/>
              </w:rPr>
            </w:pPr>
          </w:p>
        </w:tc>
        <w:tc>
          <w:tcPr>
            <w:tcW w:w="243" w:type="pct"/>
          </w:tcPr>
          <w:p w:rsidR="001F33CE" w:rsidRPr="001F33CE" w:rsidRDefault="001F33CE" w:rsidP="001F33CE">
            <w:pPr>
              <w:jc w:val="both"/>
              <w:rPr>
                <w:sz w:val="20"/>
                <w:lang w:val="fr-CA"/>
              </w:rPr>
            </w:pPr>
          </w:p>
        </w:tc>
        <w:tc>
          <w:tcPr>
            <w:tcW w:w="2330" w:type="pct"/>
          </w:tcPr>
          <w:p w:rsidR="001F33CE" w:rsidRPr="001F33CE" w:rsidRDefault="001F33CE" w:rsidP="001F33CE">
            <w:pPr>
              <w:jc w:val="both"/>
              <w:rPr>
                <w:sz w:val="20"/>
                <w:lang w:val="fr-CA"/>
              </w:rPr>
            </w:pPr>
            <w:r w:rsidRPr="001F33CE">
              <w:rPr>
                <w:sz w:val="20"/>
                <w:lang w:val="fr-CA"/>
              </w:rPr>
              <w:t>Report de la demande alléguant des représailles à l’égard de services, de biens et d’installations à un refuge d’urgence en attendant qu’il soit statué sur l’action au civil du demandeur.</w:t>
            </w:r>
          </w:p>
          <w:p w:rsidR="001F33CE" w:rsidRPr="001F33CE" w:rsidRDefault="001F33CE" w:rsidP="001F33CE">
            <w:pPr>
              <w:jc w:val="both"/>
              <w:rPr>
                <w:sz w:val="20"/>
                <w:lang w:val="fr-CA"/>
              </w:rPr>
            </w:pPr>
          </w:p>
        </w:tc>
      </w:tr>
      <w:tr w:rsidR="001F33CE" w:rsidRPr="00A61EAA" w:rsidTr="00E95A6A">
        <w:tc>
          <w:tcPr>
            <w:tcW w:w="2427" w:type="pct"/>
            <w:gridSpan w:val="2"/>
          </w:tcPr>
          <w:p w:rsidR="001F33CE" w:rsidRPr="001F33CE" w:rsidRDefault="001F33CE" w:rsidP="001F33CE">
            <w:pPr>
              <w:jc w:val="both"/>
              <w:rPr>
                <w:sz w:val="20"/>
                <w:lang w:val="fr-CA"/>
              </w:rPr>
            </w:pPr>
            <w:r w:rsidRPr="001F33CE">
              <w:rPr>
                <w:sz w:val="20"/>
                <w:lang w:val="fr-CA"/>
              </w:rPr>
              <w:t>7 août 2015</w:t>
            </w:r>
          </w:p>
          <w:p w:rsidR="001F33CE" w:rsidRPr="001F33CE" w:rsidRDefault="001F33CE" w:rsidP="001F33CE">
            <w:pPr>
              <w:jc w:val="both"/>
              <w:rPr>
                <w:sz w:val="20"/>
                <w:lang w:val="fr-CA"/>
              </w:rPr>
            </w:pPr>
            <w:r w:rsidRPr="001F33CE">
              <w:rPr>
                <w:sz w:val="20"/>
                <w:lang w:val="fr-CA"/>
              </w:rPr>
              <w:t xml:space="preserve">Tribunal des droits de la personne de l’Ontario </w:t>
            </w:r>
          </w:p>
          <w:p w:rsidR="001F33CE" w:rsidRPr="001F33CE" w:rsidRDefault="001F33CE" w:rsidP="001F33CE">
            <w:pPr>
              <w:jc w:val="both"/>
              <w:rPr>
                <w:sz w:val="20"/>
                <w:lang w:val="fr-CA"/>
              </w:rPr>
            </w:pPr>
            <w:r w:rsidRPr="001F33CE">
              <w:rPr>
                <w:sz w:val="20"/>
                <w:lang w:val="fr-CA"/>
              </w:rPr>
              <w:t>(Vice-président Muir)</w:t>
            </w:r>
          </w:p>
          <w:p w:rsidR="001F33CE" w:rsidRPr="001F33CE" w:rsidRDefault="00A61EAA" w:rsidP="001F33CE">
            <w:pPr>
              <w:jc w:val="both"/>
              <w:rPr>
                <w:sz w:val="20"/>
                <w:lang w:val="fr-CA"/>
              </w:rPr>
            </w:pPr>
            <w:hyperlink r:id="rId33" w:history="1">
              <w:r w:rsidR="001F33CE" w:rsidRPr="001F33CE">
                <w:rPr>
                  <w:rStyle w:val="Hyperlink"/>
                  <w:sz w:val="20"/>
                  <w:lang w:val="fr-CA"/>
                </w:rPr>
                <w:t>2015 HRTO 1056</w:t>
              </w:r>
            </w:hyperlink>
          </w:p>
          <w:p w:rsidR="001F33CE" w:rsidRPr="001F33CE" w:rsidRDefault="001F33CE" w:rsidP="001F33CE">
            <w:pPr>
              <w:jc w:val="both"/>
              <w:rPr>
                <w:sz w:val="20"/>
                <w:lang w:val="fr-CA"/>
              </w:rPr>
            </w:pPr>
          </w:p>
        </w:tc>
        <w:tc>
          <w:tcPr>
            <w:tcW w:w="243" w:type="pct"/>
          </w:tcPr>
          <w:p w:rsidR="001F33CE" w:rsidRPr="001F33CE" w:rsidRDefault="001F33CE" w:rsidP="001F33CE">
            <w:pPr>
              <w:jc w:val="both"/>
              <w:rPr>
                <w:sz w:val="20"/>
                <w:lang w:val="fr-CA"/>
              </w:rPr>
            </w:pPr>
          </w:p>
        </w:tc>
        <w:tc>
          <w:tcPr>
            <w:tcW w:w="2330" w:type="pct"/>
          </w:tcPr>
          <w:p w:rsidR="001F33CE" w:rsidRPr="001F33CE" w:rsidRDefault="001F33CE" w:rsidP="001F33CE">
            <w:pPr>
              <w:jc w:val="both"/>
              <w:rPr>
                <w:sz w:val="20"/>
                <w:lang w:val="fr-CA"/>
              </w:rPr>
            </w:pPr>
            <w:r w:rsidRPr="001F33CE">
              <w:rPr>
                <w:sz w:val="20"/>
                <w:lang w:val="fr-CA"/>
              </w:rPr>
              <w:t>Rejet de la requête en réactivation de la demande en raison du long délai écoulé et rejet de la demande.</w:t>
            </w:r>
          </w:p>
        </w:tc>
      </w:tr>
      <w:tr w:rsidR="001F33CE" w:rsidRPr="00A61EAA" w:rsidTr="00E95A6A">
        <w:tc>
          <w:tcPr>
            <w:tcW w:w="2427" w:type="pct"/>
            <w:gridSpan w:val="2"/>
          </w:tcPr>
          <w:p w:rsidR="001F33CE" w:rsidRPr="001F33CE" w:rsidRDefault="001F33CE" w:rsidP="001F33CE">
            <w:pPr>
              <w:jc w:val="both"/>
              <w:rPr>
                <w:sz w:val="20"/>
                <w:lang w:val="fr-CA"/>
              </w:rPr>
            </w:pPr>
            <w:r w:rsidRPr="001F33CE">
              <w:rPr>
                <w:sz w:val="20"/>
                <w:lang w:val="fr-CA"/>
              </w:rPr>
              <w:t>29 octobre 2015</w:t>
            </w:r>
          </w:p>
          <w:p w:rsidR="001F33CE" w:rsidRPr="001F33CE" w:rsidRDefault="001F33CE" w:rsidP="001F33CE">
            <w:pPr>
              <w:jc w:val="both"/>
              <w:rPr>
                <w:sz w:val="20"/>
                <w:lang w:val="fr-CA"/>
              </w:rPr>
            </w:pPr>
            <w:r w:rsidRPr="001F33CE">
              <w:rPr>
                <w:sz w:val="20"/>
                <w:lang w:val="fr-CA"/>
              </w:rPr>
              <w:t>Tribunal des droits de la personne de l’Ontario</w:t>
            </w:r>
          </w:p>
          <w:p w:rsidR="001F33CE" w:rsidRPr="001F33CE" w:rsidRDefault="001F33CE" w:rsidP="001F33CE">
            <w:pPr>
              <w:jc w:val="both"/>
              <w:rPr>
                <w:sz w:val="20"/>
                <w:lang w:val="fr-CA"/>
              </w:rPr>
            </w:pPr>
          </w:p>
        </w:tc>
        <w:tc>
          <w:tcPr>
            <w:tcW w:w="243" w:type="pct"/>
          </w:tcPr>
          <w:p w:rsidR="001F33CE" w:rsidRPr="001F33CE" w:rsidRDefault="001F33CE" w:rsidP="001F33CE">
            <w:pPr>
              <w:jc w:val="both"/>
              <w:rPr>
                <w:sz w:val="20"/>
                <w:lang w:val="fr-CA"/>
              </w:rPr>
            </w:pPr>
          </w:p>
        </w:tc>
        <w:tc>
          <w:tcPr>
            <w:tcW w:w="2330" w:type="pct"/>
          </w:tcPr>
          <w:p w:rsidR="001F33CE" w:rsidRPr="001F33CE" w:rsidRDefault="001F33CE" w:rsidP="001F33CE">
            <w:pPr>
              <w:jc w:val="both"/>
              <w:rPr>
                <w:sz w:val="20"/>
                <w:highlight w:val="yellow"/>
                <w:lang w:val="fr-CA"/>
              </w:rPr>
            </w:pPr>
            <w:r w:rsidRPr="001F33CE">
              <w:rPr>
                <w:sz w:val="20"/>
                <w:lang w:val="fr-CA"/>
              </w:rPr>
              <w:t>Rejet de la requête en réexamen.</w:t>
            </w:r>
            <w:r w:rsidRPr="001F33CE">
              <w:rPr>
                <w:sz w:val="20"/>
                <w:highlight w:val="yellow"/>
                <w:lang w:val="fr-CA"/>
              </w:rPr>
              <w:t xml:space="preserve"> </w:t>
            </w:r>
          </w:p>
          <w:p w:rsidR="001F33CE" w:rsidRPr="001F33CE" w:rsidRDefault="001F33CE" w:rsidP="001F33CE">
            <w:pPr>
              <w:jc w:val="both"/>
              <w:rPr>
                <w:sz w:val="20"/>
                <w:lang w:val="fr-CA"/>
              </w:rPr>
            </w:pPr>
          </w:p>
        </w:tc>
      </w:tr>
      <w:tr w:rsidR="001F33CE" w:rsidRPr="00A61EAA" w:rsidTr="00B504B9">
        <w:trPr>
          <w:trHeight w:val="504"/>
        </w:trPr>
        <w:tc>
          <w:tcPr>
            <w:tcW w:w="2427" w:type="pct"/>
            <w:gridSpan w:val="2"/>
          </w:tcPr>
          <w:p w:rsidR="001F33CE" w:rsidRPr="001F33CE" w:rsidRDefault="001F33CE" w:rsidP="001F33CE">
            <w:pPr>
              <w:jc w:val="both"/>
              <w:rPr>
                <w:sz w:val="20"/>
                <w:lang w:val="fr-CA"/>
              </w:rPr>
            </w:pPr>
            <w:r w:rsidRPr="001F33CE">
              <w:rPr>
                <w:sz w:val="20"/>
                <w:lang w:val="fr-CA"/>
              </w:rPr>
              <w:t>7 décembre 2015</w:t>
            </w:r>
          </w:p>
          <w:p w:rsidR="001F33CE" w:rsidRPr="001F33CE" w:rsidRDefault="001F33CE" w:rsidP="001F33CE">
            <w:pPr>
              <w:jc w:val="both"/>
              <w:rPr>
                <w:sz w:val="20"/>
                <w:lang w:val="fr-CA"/>
              </w:rPr>
            </w:pPr>
            <w:r w:rsidRPr="001F33CE">
              <w:rPr>
                <w:sz w:val="20"/>
                <w:lang w:val="fr-CA"/>
              </w:rPr>
              <w:t>Cour suprême du Canada</w:t>
            </w:r>
          </w:p>
          <w:p w:rsidR="001F33CE" w:rsidRPr="001F33CE" w:rsidRDefault="001F33CE" w:rsidP="001F33CE">
            <w:pPr>
              <w:jc w:val="both"/>
              <w:rPr>
                <w:sz w:val="20"/>
                <w:lang w:val="fr-CA"/>
              </w:rPr>
            </w:pPr>
          </w:p>
        </w:tc>
        <w:tc>
          <w:tcPr>
            <w:tcW w:w="243" w:type="pct"/>
          </w:tcPr>
          <w:p w:rsidR="001F33CE" w:rsidRPr="001F33CE" w:rsidRDefault="001F33CE" w:rsidP="001F33CE">
            <w:pPr>
              <w:jc w:val="both"/>
              <w:rPr>
                <w:sz w:val="20"/>
                <w:lang w:val="fr-CA"/>
              </w:rPr>
            </w:pPr>
          </w:p>
        </w:tc>
        <w:tc>
          <w:tcPr>
            <w:tcW w:w="2330" w:type="pct"/>
          </w:tcPr>
          <w:p w:rsidR="001F33CE" w:rsidRPr="001F33CE" w:rsidRDefault="001F33CE" w:rsidP="001F33CE">
            <w:pPr>
              <w:jc w:val="both"/>
              <w:rPr>
                <w:sz w:val="20"/>
                <w:lang w:val="fr-CA"/>
              </w:rPr>
            </w:pPr>
            <w:r w:rsidRPr="001F33CE">
              <w:rPr>
                <w:sz w:val="20"/>
                <w:lang w:val="fr-CA"/>
              </w:rPr>
              <w:t>Dépôt de la demande d’autorisation d’appel.</w:t>
            </w:r>
          </w:p>
          <w:p w:rsidR="001F33CE" w:rsidRPr="001F33CE" w:rsidRDefault="001F33CE" w:rsidP="001F33CE">
            <w:pPr>
              <w:jc w:val="both"/>
              <w:rPr>
                <w:sz w:val="20"/>
                <w:lang w:val="fr-CA"/>
              </w:rPr>
            </w:pPr>
          </w:p>
        </w:tc>
      </w:tr>
      <w:tr w:rsidR="001F33CE" w:rsidRPr="00A61EAA" w:rsidTr="00B504B9">
        <w:trPr>
          <w:trHeight w:val="504"/>
        </w:trPr>
        <w:tc>
          <w:tcPr>
            <w:tcW w:w="2427" w:type="pct"/>
            <w:gridSpan w:val="2"/>
          </w:tcPr>
          <w:p w:rsidR="001F33CE" w:rsidRPr="001F33CE" w:rsidRDefault="001F33CE" w:rsidP="001F33CE">
            <w:pPr>
              <w:jc w:val="both"/>
              <w:rPr>
                <w:sz w:val="20"/>
                <w:lang w:val="fr-CA"/>
              </w:rPr>
            </w:pPr>
            <w:r w:rsidRPr="001F33CE">
              <w:rPr>
                <w:sz w:val="20"/>
                <w:lang w:val="fr-CA"/>
              </w:rPr>
              <w:t>1</w:t>
            </w:r>
            <w:r w:rsidRPr="001F33CE">
              <w:rPr>
                <w:sz w:val="20"/>
                <w:vertAlign w:val="superscript"/>
                <w:lang w:val="fr-CA"/>
              </w:rPr>
              <w:t>er</w:t>
            </w:r>
            <w:r w:rsidRPr="001F33CE">
              <w:rPr>
                <w:sz w:val="20"/>
                <w:lang w:val="fr-CA"/>
              </w:rPr>
              <w:t xml:space="preserve"> mars 2016</w:t>
            </w:r>
          </w:p>
          <w:p w:rsidR="001F33CE" w:rsidRPr="001F33CE" w:rsidRDefault="001F33CE" w:rsidP="001F33CE">
            <w:pPr>
              <w:jc w:val="both"/>
              <w:rPr>
                <w:sz w:val="20"/>
                <w:lang w:val="fr-CA"/>
              </w:rPr>
            </w:pPr>
            <w:r w:rsidRPr="001F33CE">
              <w:rPr>
                <w:sz w:val="20"/>
                <w:lang w:val="fr-CA"/>
              </w:rPr>
              <w:t>Cour suprême du Canada</w:t>
            </w:r>
          </w:p>
        </w:tc>
        <w:tc>
          <w:tcPr>
            <w:tcW w:w="243" w:type="pct"/>
          </w:tcPr>
          <w:p w:rsidR="001F33CE" w:rsidRPr="001F33CE" w:rsidRDefault="001F33CE" w:rsidP="001F33CE">
            <w:pPr>
              <w:jc w:val="both"/>
              <w:rPr>
                <w:sz w:val="20"/>
                <w:lang w:val="fr-CA"/>
              </w:rPr>
            </w:pPr>
          </w:p>
        </w:tc>
        <w:tc>
          <w:tcPr>
            <w:tcW w:w="2330" w:type="pct"/>
          </w:tcPr>
          <w:p w:rsidR="001F33CE" w:rsidRPr="001F33CE" w:rsidRDefault="001F33CE" w:rsidP="001F33CE">
            <w:pPr>
              <w:jc w:val="both"/>
              <w:rPr>
                <w:sz w:val="20"/>
                <w:lang w:val="fr-CA"/>
              </w:rPr>
            </w:pPr>
            <w:r w:rsidRPr="001F33CE">
              <w:rPr>
                <w:sz w:val="20"/>
                <w:lang w:val="fr-CA"/>
              </w:rPr>
              <w:t>Dépôt de l’avis modifié de la demande d’autorisation d’appel.</w:t>
            </w:r>
          </w:p>
        </w:tc>
      </w:tr>
    </w:tbl>
    <w:p w:rsidR="001F33CE" w:rsidRPr="00761450" w:rsidRDefault="001F33CE" w:rsidP="00761450">
      <w:pPr>
        <w:jc w:val="both"/>
        <w:rPr>
          <w:sz w:val="20"/>
          <w:lang w:val="fr-CA"/>
        </w:rPr>
      </w:pPr>
    </w:p>
    <w:p w:rsidR="009C273F" w:rsidRPr="00A61EAA" w:rsidRDefault="009C273F" w:rsidP="00761450">
      <w:pPr>
        <w:widowControl w:val="0"/>
        <w:autoSpaceDE w:val="0"/>
        <w:autoSpaceDN w:val="0"/>
        <w:adjustRightInd w:val="0"/>
        <w:ind w:left="360" w:hanging="360"/>
        <w:jc w:val="both"/>
        <w:rPr>
          <w:rFonts w:eastAsiaTheme="minorEastAsia"/>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61450" w:rsidRPr="00761450" w:rsidTr="007044EE">
        <w:tc>
          <w:tcPr>
            <w:tcW w:w="538" w:type="pct"/>
          </w:tcPr>
          <w:p w:rsidR="00761450" w:rsidRPr="00761450" w:rsidRDefault="00761450" w:rsidP="00761450">
            <w:pPr>
              <w:jc w:val="both"/>
              <w:rPr>
                <w:sz w:val="20"/>
                <w:lang w:val="en-CA"/>
              </w:rPr>
            </w:pPr>
            <w:r w:rsidRPr="00761450">
              <w:rPr>
                <w:rStyle w:val="SCCFileNumberChar"/>
                <w:sz w:val="20"/>
                <w:szCs w:val="20"/>
              </w:rPr>
              <w:lastRenderedPageBreak/>
              <w:t>36837</w:t>
            </w:r>
          </w:p>
        </w:tc>
        <w:tc>
          <w:tcPr>
            <w:tcW w:w="4462" w:type="pct"/>
            <w:gridSpan w:val="3"/>
          </w:tcPr>
          <w:p w:rsidR="00761450" w:rsidRPr="00761450" w:rsidRDefault="00761450" w:rsidP="00761450">
            <w:pPr>
              <w:pStyle w:val="SCCLsocParty"/>
              <w:jc w:val="both"/>
              <w:rPr>
                <w:b/>
                <w:sz w:val="20"/>
                <w:szCs w:val="20"/>
                <w:lang w:val="en-CA"/>
              </w:rPr>
            </w:pPr>
            <w:r w:rsidRPr="00761450">
              <w:rPr>
                <w:b/>
                <w:sz w:val="20"/>
                <w:szCs w:val="20"/>
                <w:lang w:val="en-CA"/>
              </w:rPr>
              <w:t>Ting-Sheng Chao v. Chi-Wei Lin</w:t>
            </w:r>
          </w:p>
          <w:p w:rsidR="00761450" w:rsidRPr="00761450" w:rsidRDefault="00761450" w:rsidP="00761450">
            <w:pPr>
              <w:jc w:val="both"/>
              <w:rPr>
                <w:sz w:val="20"/>
                <w:lang w:val="en-CA"/>
              </w:rPr>
            </w:pPr>
            <w:r w:rsidRPr="00761450">
              <w:rPr>
                <w:sz w:val="20"/>
                <w:lang w:val="en-CA"/>
              </w:rPr>
              <w:t>(Que.) (Civil) (By Leave)</w:t>
            </w:r>
          </w:p>
        </w:tc>
      </w:tr>
      <w:tr w:rsidR="00761450" w:rsidRPr="00761450" w:rsidTr="007044EE">
        <w:tc>
          <w:tcPr>
            <w:tcW w:w="5000" w:type="pct"/>
            <w:gridSpan w:val="4"/>
          </w:tcPr>
          <w:p w:rsidR="00761450" w:rsidRPr="00761450" w:rsidRDefault="00761450" w:rsidP="00761450">
            <w:pPr>
              <w:jc w:val="both"/>
              <w:rPr>
                <w:sz w:val="20"/>
                <w:lang w:val="en-CA"/>
              </w:rPr>
            </w:pPr>
            <w:r w:rsidRPr="00761450">
              <w:rPr>
                <w:sz w:val="20"/>
                <w:lang w:val="en-CA"/>
              </w:rPr>
              <w:t>Loans – Loan of money – Usurious interest rates – Consent – Loan of money followed by acknowledgment of debt signed by parties – Whether courts below erred in confirming acknowledgement of debt signed by parties.</w:t>
            </w:r>
          </w:p>
        </w:tc>
      </w:tr>
      <w:tr w:rsidR="00761450" w:rsidRPr="00761450" w:rsidTr="007044EE">
        <w:tc>
          <w:tcPr>
            <w:tcW w:w="5000" w:type="pct"/>
            <w:gridSpan w:val="4"/>
          </w:tcPr>
          <w:p w:rsidR="00761450" w:rsidRPr="00761450" w:rsidRDefault="00761450" w:rsidP="00761450">
            <w:pPr>
              <w:jc w:val="both"/>
              <w:rPr>
                <w:sz w:val="20"/>
                <w:lang w:val="en-CA"/>
              </w:rPr>
            </w:pPr>
          </w:p>
        </w:tc>
      </w:tr>
      <w:tr w:rsidR="00761450" w:rsidRPr="00761450" w:rsidTr="007044EE">
        <w:tc>
          <w:tcPr>
            <w:tcW w:w="5000" w:type="pct"/>
            <w:gridSpan w:val="4"/>
          </w:tcPr>
          <w:p w:rsidR="00761450" w:rsidRPr="00761450" w:rsidRDefault="00761450" w:rsidP="00761450">
            <w:pPr>
              <w:jc w:val="both"/>
              <w:rPr>
                <w:sz w:val="20"/>
                <w:lang w:val="en-CA"/>
              </w:rPr>
            </w:pPr>
            <w:r w:rsidRPr="00761450">
              <w:rPr>
                <w:sz w:val="20"/>
                <w:lang w:val="en-CA"/>
              </w:rPr>
              <w:t xml:space="preserve">The respondent loaned an amount of money to the applicant in 2007. In July 2008, an acknowledgement of debt </w:t>
            </w:r>
            <w:proofErr w:type="gramStart"/>
            <w:r w:rsidRPr="00761450">
              <w:rPr>
                <w:sz w:val="20"/>
                <w:lang w:val="en-CA"/>
              </w:rPr>
              <w:t>was signed</w:t>
            </w:r>
            <w:proofErr w:type="gramEnd"/>
            <w:r w:rsidRPr="00761450">
              <w:rPr>
                <w:sz w:val="20"/>
                <w:lang w:val="en-CA"/>
              </w:rPr>
              <w:t xml:space="preserve"> by both parties, in which it was acknowledged that the applicant owed the respondent $51,300.00. The courts below confirmed this debt and ordered the applicant to pay it. </w:t>
            </w:r>
          </w:p>
          <w:p w:rsidR="00761450" w:rsidRPr="00761450" w:rsidRDefault="00761450" w:rsidP="00761450">
            <w:pPr>
              <w:jc w:val="both"/>
              <w:rPr>
                <w:sz w:val="20"/>
                <w:lang w:val="en-CA"/>
              </w:rPr>
            </w:pPr>
          </w:p>
          <w:p w:rsidR="00761450" w:rsidRPr="00761450" w:rsidRDefault="00761450" w:rsidP="00761450">
            <w:pPr>
              <w:jc w:val="both"/>
              <w:rPr>
                <w:sz w:val="20"/>
                <w:lang w:val="en-CA"/>
              </w:rPr>
            </w:pPr>
            <w:r w:rsidRPr="00761450">
              <w:rPr>
                <w:sz w:val="20"/>
                <w:lang w:val="en-CA"/>
              </w:rPr>
              <w:t xml:space="preserve">The applicant disputes the validity of the loan on the basis that its interest rate is usurious. She also disputes the validity of the acknowledgement of debt on the basis that it </w:t>
            </w:r>
            <w:proofErr w:type="gramStart"/>
            <w:r w:rsidRPr="00761450">
              <w:rPr>
                <w:sz w:val="20"/>
                <w:lang w:val="en-CA"/>
              </w:rPr>
              <w:t>was signed</w:t>
            </w:r>
            <w:proofErr w:type="gramEnd"/>
            <w:r w:rsidRPr="00761450">
              <w:rPr>
                <w:sz w:val="20"/>
                <w:lang w:val="en-CA"/>
              </w:rPr>
              <w:t xml:space="preserve"> under compulsion and therefore without free and enlightened consent.</w:t>
            </w:r>
          </w:p>
          <w:p w:rsidR="00761450" w:rsidRPr="00761450" w:rsidRDefault="00761450" w:rsidP="00761450">
            <w:pPr>
              <w:jc w:val="both"/>
              <w:rPr>
                <w:sz w:val="20"/>
                <w:lang w:val="en-CA"/>
              </w:rPr>
            </w:pPr>
          </w:p>
        </w:tc>
      </w:tr>
      <w:tr w:rsidR="00761450" w:rsidRPr="00761450" w:rsidTr="00550A17">
        <w:tblPrEx>
          <w:tblCellMar>
            <w:bottom w:w="0" w:type="dxa"/>
          </w:tblCellMar>
        </w:tblPrEx>
        <w:tc>
          <w:tcPr>
            <w:tcW w:w="2367" w:type="pct"/>
            <w:gridSpan w:val="2"/>
          </w:tcPr>
          <w:p w:rsidR="00761450" w:rsidRPr="00761450" w:rsidRDefault="00761450" w:rsidP="00761450">
            <w:pPr>
              <w:jc w:val="both"/>
              <w:rPr>
                <w:sz w:val="20"/>
                <w:lang w:val="en-CA"/>
              </w:rPr>
            </w:pPr>
            <w:r w:rsidRPr="00761450">
              <w:rPr>
                <w:sz w:val="20"/>
                <w:lang w:val="en-CA"/>
              </w:rPr>
              <w:t>November 27, 2013</w:t>
            </w:r>
          </w:p>
          <w:p w:rsidR="00761450" w:rsidRPr="00761450" w:rsidRDefault="00761450" w:rsidP="00761450">
            <w:pPr>
              <w:jc w:val="both"/>
              <w:rPr>
                <w:sz w:val="20"/>
                <w:lang w:val="en-CA"/>
              </w:rPr>
            </w:pPr>
            <w:r w:rsidRPr="00761450">
              <w:rPr>
                <w:sz w:val="20"/>
                <w:lang w:val="en-CA"/>
              </w:rPr>
              <w:t xml:space="preserve">Quebec Superior Court </w:t>
            </w:r>
          </w:p>
          <w:p w:rsidR="00761450" w:rsidRPr="00761450" w:rsidRDefault="00761450" w:rsidP="00761450">
            <w:pPr>
              <w:jc w:val="both"/>
              <w:rPr>
                <w:sz w:val="20"/>
                <w:lang w:val="en-CA"/>
              </w:rPr>
            </w:pPr>
            <w:r w:rsidRPr="00761450">
              <w:rPr>
                <w:sz w:val="20"/>
                <w:lang w:val="en-CA"/>
              </w:rPr>
              <w:t>(Gibeau J.)</w:t>
            </w:r>
          </w:p>
          <w:p w:rsidR="00761450" w:rsidRPr="00761450" w:rsidRDefault="00A61EAA" w:rsidP="00761450">
            <w:pPr>
              <w:jc w:val="both"/>
              <w:rPr>
                <w:sz w:val="20"/>
                <w:lang w:val="en-CA"/>
              </w:rPr>
            </w:pPr>
            <w:hyperlink r:id="rId34" w:history="1">
              <w:r w:rsidR="00761450" w:rsidRPr="00761450">
                <w:rPr>
                  <w:rStyle w:val="Hyperlink"/>
                  <w:sz w:val="20"/>
                  <w:lang w:val="en-CA"/>
                </w:rPr>
                <w:t>2013 QCCS 5939</w:t>
              </w:r>
            </w:hyperlink>
          </w:p>
          <w:p w:rsidR="00761450" w:rsidRPr="00761450" w:rsidRDefault="00761450" w:rsidP="00761450">
            <w:pPr>
              <w:jc w:val="both"/>
              <w:rPr>
                <w:sz w:val="20"/>
                <w:lang w:val="en-CA"/>
              </w:rPr>
            </w:pPr>
          </w:p>
        </w:tc>
        <w:tc>
          <w:tcPr>
            <w:tcW w:w="267" w:type="pct"/>
          </w:tcPr>
          <w:p w:rsidR="00761450" w:rsidRPr="00761450" w:rsidRDefault="00761450" w:rsidP="00761450">
            <w:pPr>
              <w:jc w:val="both"/>
              <w:rPr>
                <w:sz w:val="20"/>
                <w:lang w:val="en-CA"/>
              </w:rPr>
            </w:pPr>
          </w:p>
        </w:tc>
        <w:tc>
          <w:tcPr>
            <w:tcW w:w="2366" w:type="pct"/>
          </w:tcPr>
          <w:p w:rsidR="00761450" w:rsidRPr="00761450" w:rsidRDefault="00761450" w:rsidP="00761450">
            <w:pPr>
              <w:jc w:val="both"/>
              <w:rPr>
                <w:sz w:val="20"/>
                <w:lang w:val="en-CA"/>
              </w:rPr>
            </w:pPr>
            <w:r w:rsidRPr="00761450">
              <w:rPr>
                <w:sz w:val="20"/>
                <w:lang w:val="en-CA"/>
              </w:rPr>
              <w:t xml:space="preserve">Motion to institute proceedings granted in part; Ting-Sheng Chao ordered to pay $49,300; Chi-Wei Lin’s motion based on s. 178(1) of </w:t>
            </w:r>
            <w:r w:rsidRPr="00761450">
              <w:rPr>
                <w:i/>
                <w:sz w:val="20"/>
                <w:lang w:val="en-CA"/>
              </w:rPr>
              <w:t xml:space="preserve">Bankruptcy and Insolvency Act </w:t>
            </w:r>
            <w:r w:rsidRPr="00761450">
              <w:rPr>
                <w:sz w:val="20"/>
                <w:lang w:val="en-CA"/>
              </w:rPr>
              <w:t>dismissed and Chi-Wei Lin’s claim for damages and punitive damages rejected</w:t>
            </w:r>
          </w:p>
          <w:p w:rsidR="00761450" w:rsidRPr="00761450" w:rsidRDefault="00761450" w:rsidP="00761450">
            <w:pPr>
              <w:jc w:val="both"/>
              <w:rPr>
                <w:sz w:val="20"/>
                <w:lang w:val="en-CA"/>
              </w:rPr>
            </w:pPr>
          </w:p>
        </w:tc>
      </w:tr>
      <w:tr w:rsidR="00761450" w:rsidRPr="00761450" w:rsidTr="00550A17">
        <w:tblPrEx>
          <w:tblCellMar>
            <w:bottom w:w="0" w:type="dxa"/>
          </w:tblCellMar>
        </w:tblPrEx>
        <w:tc>
          <w:tcPr>
            <w:tcW w:w="2367" w:type="pct"/>
            <w:gridSpan w:val="2"/>
          </w:tcPr>
          <w:p w:rsidR="00761450" w:rsidRPr="00761450" w:rsidRDefault="00761450" w:rsidP="00761450">
            <w:pPr>
              <w:jc w:val="both"/>
              <w:rPr>
                <w:sz w:val="20"/>
                <w:lang w:val="en-CA"/>
              </w:rPr>
            </w:pPr>
            <w:r w:rsidRPr="00761450">
              <w:rPr>
                <w:sz w:val="20"/>
                <w:lang w:val="en-CA"/>
              </w:rPr>
              <w:t>November 3, 2015</w:t>
            </w:r>
          </w:p>
          <w:p w:rsidR="00761450" w:rsidRPr="00761450" w:rsidRDefault="00761450" w:rsidP="00761450">
            <w:pPr>
              <w:jc w:val="both"/>
              <w:rPr>
                <w:sz w:val="20"/>
                <w:lang w:val="en-CA"/>
              </w:rPr>
            </w:pPr>
            <w:r w:rsidRPr="00761450">
              <w:rPr>
                <w:sz w:val="20"/>
                <w:lang w:val="en-CA"/>
              </w:rPr>
              <w:t>Quebec Court of Appeal (Montréal)</w:t>
            </w:r>
          </w:p>
          <w:p w:rsidR="00761450" w:rsidRPr="00761450" w:rsidRDefault="00761450" w:rsidP="00761450">
            <w:pPr>
              <w:jc w:val="both"/>
              <w:rPr>
                <w:sz w:val="20"/>
                <w:lang w:val="en-CA"/>
              </w:rPr>
            </w:pPr>
            <w:r w:rsidRPr="00761450">
              <w:rPr>
                <w:sz w:val="20"/>
                <w:lang w:val="en-CA"/>
              </w:rPr>
              <w:t xml:space="preserve">(Dufresne, </w:t>
            </w:r>
            <w:proofErr w:type="spellStart"/>
            <w:r w:rsidRPr="00761450">
              <w:rPr>
                <w:sz w:val="20"/>
                <w:lang w:val="en-CA"/>
              </w:rPr>
              <w:t>Marcotte</w:t>
            </w:r>
            <w:proofErr w:type="spellEnd"/>
            <w:r w:rsidRPr="00761450">
              <w:rPr>
                <w:sz w:val="20"/>
                <w:lang w:val="en-CA"/>
              </w:rPr>
              <w:t xml:space="preserve"> and Hogue JJ.A.)</w:t>
            </w:r>
          </w:p>
          <w:p w:rsidR="00761450" w:rsidRPr="00761450" w:rsidRDefault="00A61EAA" w:rsidP="00761450">
            <w:pPr>
              <w:jc w:val="both"/>
              <w:rPr>
                <w:sz w:val="20"/>
                <w:lang w:val="en-CA"/>
              </w:rPr>
            </w:pPr>
            <w:hyperlink r:id="rId35" w:history="1">
              <w:r w:rsidR="00761450" w:rsidRPr="00761450">
                <w:rPr>
                  <w:rStyle w:val="Hyperlink"/>
                  <w:sz w:val="20"/>
                  <w:lang w:val="en-CA"/>
                </w:rPr>
                <w:t>2015 QCCA 1853</w:t>
              </w:r>
            </w:hyperlink>
            <w:r w:rsidR="00761450" w:rsidRPr="00761450">
              <w:rPr>
                <w:sz w:val="20"/>
                <w:lang w:val="en-CA"/>
              </w:rPr>
              <w:t xml:space="preserve"> </w:t>
            </w:r>
          </w:p>
          <w:p w:rsidR="00761450" w:rsidRPr="00761450" w:rsidRDefault="00761450" w:rsidP="00761450">
            <w:pPr>
              <w:jc w:val="both"/>
              <w:rPr>
                <w:sz w:val="20"/>
                <w:lang w:val="en-CA"/>
              </w:rPr>
            </w:pPr>
          </w:p>
        </w:tc>
        <w:tc>
          <w:tcPr>
            <w:tcW w:w="267" w:type="pct"/>
          </w:tcPr>
          <w:p w:rsidR="00761450" w:rsidRPr="00761450" w:rsidRDefault="00761450" w:rsidP="00761450">
            <w:pPr>
              <w:jc w:val="both"/>
              <w:rPr>
                <w:sz w:val="20"/>
                <w:lang w:val="en-CA"/>
              </w:rPr>
            </w:pPr>
          </w:p>
        </w:tc>
        <w:tc>
          <w:tcPr>
            <w:tcW w:w="2366" w:type="pct"/>
          </w:tcPr>
          <w:p w:rsidR="00761450" w:rsidRPr="00761450" w:rsidRDefault="00761450" w:rsidP="00761450">
            <w:pPr>
              <w:jc w:val="both"/>
              <w:rPr>
                <w:sz w:val="20"/>
                <w:lang w:val="en-CA"/>
              </w:rPr>
            </w:pPr>
            <w:r w:rsidRPr="00761450">
              <w:rPr>
                <w:sz w:val="20"/>
                <w:lang w:val="en-CA"/>
              </w:rPr>
              <w:t>Appeal dismissed</w:t>
            </w:r>
          </w:p>
          <w:p w:rsidR="00761450" w:rsidRPr="00761450" w:rsidRDefault="00761450" w:rsidP="00761450">
            <w:pPr>
              <w:jc w:val="both"/>
              <w:rPr>
                <w:sz w:val="20"/>
                <w:lang w:val="en-CA"/>
              </w:rPr>
            </w:pPr>
          </w:p>
        </w:tc>
      </w:tr>
      <w:tr w:rsidR="00761450" w:rsidRPr="00761450" w:rsidTr="00550A17">
        <w:tblPrEx>
          <w:tblCellMar>
            <w:bottom w:w="0" w:type="dxa"/>
          </w:tblCellMar>
        </w:tblPrEx>
        <w:tc>
          <w:tcPr>
            <w:tcW w:w="2367" w:type="pct"/>
            <w:gridSpan w:val="2"/>
          </w:tcPr>
          <w:p w:rsidR="00761450" w:rsidRPr="00761450" w:rsidRDefault="00761450" w:rsidP="00761450">
            <w:pPr>
              <w:jc w:val="both"/>
              <w:rPr>
                <w:sz w:val="20"/>
                <w:lang w:val="en-CA"/>
              </w:rPr>
            </w:pPr>
            <w:r w:rsidRPr="00761450">
              <w:rPr>
                <w:sz w:val="20"/>
                <w:lang w:val="en-CA"/>
              </w:rPr>
              <w:t>January 5, 2016</w:t>
            </w:r>
          </w:p>
          <w:p w:rsidR="00761450" w:rsidRPr="00761450" w:rsidRDefault="00761450" w:rsidP="00761450">
            <w:pPr>
              <w:jc w:val="both"/>
              <w:rPr>
                <w:sz w:val="20"/>
                <w:lang w:val="en-CA"/>
              </w:rPr>
            </w:pPr>
            <w:r w:rsidRPr="00761450">
              <w:rPr>
                <w:sz w:val="20"/>
                <w:lang w:val="en-CA"/>
              </w:rPr>
              <w:t>Supreme Court of Canada</w:t>
            </w:r>
          </w:p>
          <w:p w:rsidR="00761450" w:rsidRPr="00761450" w:rsidRDefault="00761450" w:rsidP="00761450">
            <w:pPr>
              <w:jc w:val="both"/>
              <w:rPr>
                <w:sz w:val="20"/>
                <w:lang w:val="en-CA"/>
              </w:rPr>
            </w:pPr>
          </w:p>
        </w:tc>
        <w:tc>
          <w:tcPr>
            <w:tcW w:w="267" w:type="pct"/>
          </w:tcPr>
          <w:p w:rsidR="00761450" w:rsidRPr="00761450" w:rsidRDefault="00761450" w:rsidP="00761450">
            <w:pPr>
              <w:jc w:val="both"/>
              <w:rPr>
                <w:sz w:val="20"/>
                <w:lang w:val="en-CA"/>
              </w:rPr>
            </w:pPr>
          </w:p>
        </w:tc>
        <w:tc>
          <w:tcPr>
            <w:tcW w:w="2366" w:type="pct"/>
          </w:tcPr>
          <w:p w:rsidR="00761450" w:rsidRPr="00761450" w:rsidRDefault="00761450" w:rsidP="00761450">
            <w:pPr>
              <w:jc w:val="both"/>
              <w:rPr>
                <w:sz w:val="20"/>
                <w:lang w:val="en-CA"/>
              </w:rPr>
            </w:pPr>
            <w:r w:rsidRPr="00761450">
              <w:rPr>
                <w:sz w:val="20"/>
                <w:lang w:val="en-CA"/>
              </w:rPr>
              <w:t>Motion to extend time in which to serve and file application for leave to appeal and application for leave to appeal filed</w:t>
            </w:r>
          </w:p>
        </w:tc>
      </w:tr>
    </w:tbl>
    <w:p w:rsidR="00761450" w:rsidRDefault="00761450" w:rsidP="00761450">
      <w:pPr>
        <w:jc w:val="both"/>
        <w:rPr>
          <w:sz w:val="20"/>
          <w:lang w:val="en-CA"/>
        </w:rPr>
      </w:pPr>
    </w:p>
    <w:p w:rsidR="00761450" w:rsidRPr="00761450" w:rsidRDefault="00761450" w:rsidP="00761450">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61450" w:rsidRPr="00761450" w:rsidTr="007044EE">
        <w:tc>
          <w:tcPr>
            <w:tcW w:w="538" w:type="pct"/>
          </w:tcPr>
          <w:p w:rsidR="00761450" w:rsidRPr="00761450" w:rsidRDefault="00761450" w:rsidP="00761450">
            <w:pPr>
              <w:jc w:val="both"/>
              <w:rPr>
                <w:sz w:val="20"/>
              </w:rPr>
            </w:pPr>
            <w:r w:rsidRPr="00761450">
              <w:rPr>
                <w:rStyle w:val="SCCFileNumberChar"/>
                <w:sz w:val="20"/>
                <w:szCs w:val="20"/>
              </w:rPr>
              <w:t>36837</w:t>
            </w:r>
          </w:p>
        </w:tc>
        <w:tc>
          <w:tcPr>
            <w:tcW w:w="4462" w:type="pct"/>
            <w:gridSpan w:val="3"/>
          </w:tcPr>
          <w:p w:rsidR="00761450" w:rsidRPr="00761450" w:rsidRDefault="00761450" w:rsidP="00761450">
            <w:pPr>
              <w:pStyle w:val="SCCLsocParty"/>
              <w:jc w:val="both"/>
              <w:rPr>
                <w:b/>
                <w:sz w:val="20"/>
                <w:szCs w:val="20"/>
                <w:lang w:val="en-US"/>
              </w:rPr>
            </w:pPr>
            <w:r w:rsidRPr="00761450">
              <w:rPr>
                <w:b/>
                <w:sz w:val="20"/>
                <w:szCs w:val="20"/>
                <w:lang w:val="en-US"/>
              </w:rPr>
              <w:t>Ting-Sheng Chao c. Chi-Wei Lin</w:t>
            </w:r>
          </w:p>
          <w:p w:rsidR="00761450" w:rsidRPr="00761450" w:rsidRDefault="00761450" w:rsidP="00761450">
            <w:pPr>
              <w:jc w:val="both"/>
              <w:rPr>
                <w:sz w:val="20"/>
              </w:rPr>
            </w:pPr>
            <w:r w:rsidRPr="00761450">
              <w:rPr>
                <w:sz w:val="20"/>
              </w:rPr>
              <w:t>(Qc) (Civile) (Autorisation)</w:t>
            </w:r>
          </w:p>
        </w:tc>
      </w:tr>
      <w:tr w:rsidR="00761450" w:rsidRPr="00A61EAA" w:rsidTr="007044EE">
        <w:tc>
          <w:tcPr>
            <w:tcW w:w="5000" w:type="pct"/>
            <w:gridSpan w:val="4"/>
          </w:tcPr>
          <w:p w:rsidR="00761450" w:rsidRPr="00A61EAA" w:rsidRDefault="00761450" w:rsidP="00761450">
            <w:pPr>
              <w:jc w:val="both"/>
              <w:rPr>
                <w:sz w:val="20"/>
                <w:lang w:val="fr-CA"/>
              </w:rPr>
            </w:pPr>
            <w:r w:rsidRPr="00A61EAA">
              <w:rPr>
                <w:sz w:val="20"/>
                <w:lang w:val="fr-CA"/>
              </w:rPr>
              <w:t>Prêts – Prêt d’argent – Taux d’intérêt usuraire – Consentement – Prêt d’argent suivit d’une  reconnaissance de dette signée par les parties – Les instances inférieures ont-elles commis des erreurs en confirmant la reconnaissance de dette signée par les parties?</w:t>
            </w:r>
          </w:p>
        </w:tc>
      </w:tr>
      <w:tr w:rsidR="00761450" w:rsidRPr="00A61EAA" w:rsidTr="007044EE">
        <w:tc>
          <w:tcPr>
            <w:tcW w:w="5000" w:type="pct"/>
            <w:gridSpan w:val="4"/>
          </w:tcPr>
          <w:p w:rsidR="00761450" w:rsidRPr="00A61EAA" w:rsidRDefault="00761450" w:rsidP="00761450">
            <w:pPr>
              <w:jc w:val="both"/>
              <w:rPr>
                <w:sz w:val="20"/>
                <w:lang w:val="fr-CA"/>
              </w:rPr>
            </w:pPr>
          </w:p>
        </w:tc>
      </w:tr>
      <w:tr w:rsidR="00761450" w:rsidRPr="00A61EAA" w:rsidTr="007044EE">
        <w:tc>
          <w:tcPr>
            <w:tcW w:w="5000" w:type="pct"/>
            <w:gridSpan w:val="4"/>
          </w:tcPr>
          <w:p w:rsidR="00761450" w:rsidRPr="00A61EAA" w:rsidRDefault="00761450" w:rsidP="00761450">
            <w:pPr>
              <w:jc w:val="both"/>
              <w:rPr>
                <w:sz w:val="20"/>
                <w:lang w:val="fr-CA"/>
              </w:rPr>
            </w:pPr>
            <w:r w:rsidRPr="00A61EAA">
              <w:rPr>
                <w:sz w:val="20"/>
                <w:lang w:val="fr-CA"/>
              </w:rPr>
              <w:t xml:space="preserve">L’intimé a prêté une somme d’argent à la demanderesse en 2007. En juillet 2008, une reconnaissance de dettes est signée par les deux parties, dans lequel il est reconnu que la demanderesse doit à l’intimé 51,300.00 $. Les tribunaux inférieurs reconnaissent cette dette et condamne la demanderesse au remboursement de celle-ci. </w:t>
            </w:r>
          </w:p>
          <w:p w:rsidR="00761450" w:rsidRPr="00A61EAA" w:rsidRDefault="00761450" w:rsidP="00761450">
            <w:pPr>
              <w:jc w:val="both"/>
              <w:rPr>
                <w:sz w:val="20"/>
                <w:lang w:val="fr-CA"/>
              </w:rPr>
            </w:pPr>
          </w:p>
          <w:p w:rsidR="00761450" w:rsidRPr="00A61EAA" w:rsidRDefault="00761450" w:rsidP="00761450">
            <w:pPr>
              <w:jc w:val="both"/>
              <w:rPr>
                <w:sz w:val="20"/>
                <w:lang w:val="fr-CA"/>
              </w:rPr>
            </w:pPr>
            <w:r w:rsidRPr="00A61EAA">
              <w:rPr>
                <w:sz w:val="20"/>
                <w:lang w:val="fr-CA"/>
              </w:rPr>
              <w:t>La demanderesse conteste la validité du prêt sur la base qu’il prévoyait un taux d’intérêt usuraire. Elle conteste également la validité de la reconnaissance de dette, puisque ce document aurait été signé sous la contrainte et donc, sans véritable consentement.</w:t>
            </w:r>
          </w:p>
          <w:p w:rsidR="00761450" w:rsidRPr="00A61EAA" w:rsidRDefault="00761450" w:rsidP="00761450">
            <w:pPr>
              <w:jc w:val="both"/>
              <w:rPr>
                <w:sz w:val="20"/>
                <w:lang w:val="fr-CA"/>
              </w:rPr>
            </w:pPr>
          </w:p>
        </w:tc>
      </w:tr>
      <w:tr w:rsidR="00761450" w:rsidRPr="00A61EAA" w:rsidTr="00550A17">
        <w:tblPrEx>
          <w:tblCellMar>
            <w:bottom w:w="0" w:type="dxa"/>
          </w:tblCellMar>
        </w:tblPrEx>
        <w:tc>
          <w:tcPr>
            <w:tcW w:w="2367" w:type="pct"/>
            <w:gridSpan w:val="2"/>
          </w:tcPr>
          <w:p w:rsidR="00761450" w:rsidRPr="00A61EAA" w:rsidRDefault="00761450" w:rsidP="00761450">
            <w:pPr>
              <w:jc w:val="both"/>
              <w:rPr>
                <w:sz w:val="20"/>
                <w:lang w:val="fr-CA"/>
              </w:rPr>
            </w:pPr>
            <w:r w:rsidRPr="00A61EAA">
              <w:rPr>
                <w:sz w:val="20"/>
                <w:lang w:val="fr-CA"/>
              </w:rPr>
              <w:t>Le 27 novembre 2013</w:t>
            </w:r>
          </w:p>
          <w:p w:rsidR="00761450" w:rsidRPr="00A61EAA" w:rsidRDefault="00761450" w:rsidP="00761450">
            <w:pPr>
              <w:jc w:val="both"/>
              <w:rPr>
                <w:sz w:val="20"/>
                <w:lang w:val="fr-CA"/>
              </w:rPr>
            </w:pPr>
            <w:r w:rsidRPr="00A61EAA">
              <w:rPr>
                <w:sz w:val="20"/>
                <w:lang w:val="fr-CA"/>
              </w:rPr>
              <w:t>Cour supérieure du Québec</w:t>
            </w:r>
          </w:p>
          <w:p w:rsidR="00761450" w:rsidRPr="00761450" w:rsidRDefault="00761450" w:rsidP="00761450">
            <w:pPr>
              <w:jc w:val="both"/>
              <w:rPr>
                <w:sz w:val="20"/>
              </w:rPr>
            </w:pPr>
            <w:r w:rsidRPr="00761450">
              <w:rPr>
                <w:sz w:val="20"/>
              </w:rPr>
              <w:t xml:space="preserve">(La </w:t>
            </w:r>
            <w:proofErr w:type="spellStart"/>
            <w:r w:rsidRPr="00761450">
              <w:rPr>
                <w:sz w:val="20"/>
              </w:rPr>
              <w:t>juge</w:t>
            </w:r>
            <w:proofErr w:type="spellEnd"/>
            <w:r w:rsidRPr="00761450">
              <w:rPr>
                <w:sz w:val="20"/>
              </w:rPr>
              <w:t xml:space="preserve"> </w:t>
            </w:r>
            <w:proofErr w:type="spellStart"/>
            <w:r w:rsidRPr="00761450">
              <w:rPr>
                <w:sz w:val="20"/>
              </w:rPr>
              <w:t>Gibeau</w:t>
            </w:r>
            <w:proofErr w:type="spellEnd"/>
            <w:r w:rsidRPr="00761450">
              <w:rPr>
                <w:sz w:val="20"/>
              </w:rPr>
              <w:t>)</w:t>
            </w:r>
          </w:p>
          <w:p w:rsidR="00761450" w:rsidRPr="00761450" w:rsidRDefault="00A61EAA" w:rsidP="00761450">
            <w:pPr>
              <w:jc w:val="both"/>
              <w:rPr>
                <w:sz w:val="20"/>
              </w:rPr>
            </w:pPr>
            <w:hyperlink r:id="rId36" w:history="1">
              <w:r w:rsidR="00761450" w:rsidRPr="00761450">
                <w:rPr>
                  <w:rStyle w:val="Hyperlink"/>
                  <w:sz w:val="20"/>
                </w:rPr>
                <w:t>2013 QCCS 5939</w:t>
              </w:r>
            </w:hyperlink>
          </w:p>
          <w:p w:rsidR="00761450" w:rsidRPr="00761450" w:rsidRDefault="00761450" w:rsidP="00761450">
            <w:pPr>
              <w:jc w:val="both"/>
              <w:rPr>
                <w:sz w:val="20"/>
              </w:rPr>
            </w:pPr>
          </w:p>
        </w:tc>
        <w:tc>
          <w:tcPr>
            <w:tcW w:w="267" w:type="pct"/>
          </w:tcPr>
          <w:p w:rsidR="00761450" w:rsidRPr="00761450" w:rsidRDefault="00761450" w:rsidP="00761450">
            <w:pPr>
              <w:jc w:val="both"/>
              <w:rPr>
                <w:sz w:val="20"/>
              </w:rPr>
            </w:pPr>
          </w:p>
        </w:tc>
        <w:tc>
          <w:tcPr>
            <w:tcW w:w="2366" w:type="pct"/>
          </w:tcPr>
          <w:p w:rsidR="00761450" w:rsidRPr="00A61EAA" w:rsidRDefault="00761450" w:rsidP="00761450">
            <w:pPr>
              <w:jc w:val="both"/>
              <w:rPr>
                <w:sz w:val="20"/>
                <w:lang w:val="fr-CA"/>
              </w:rPr>
            </w:pPr>
            <w:r w:rsidRPr="00A61EAA">
              <w:rPr>
                <w:sz w:val="20"/>
                <w:lang w:val="fr-CA"/>
              </w:rPr>
              <w:t xml:space="preserve">Requête introductive d’instance accueillie en partie; Condamne Ting-Seng Chao a payé une somme d’argent de 49 300 $; Rejette la demande de Chi-Wei Lin fondée sur l’article 178 (1) de la </w:t>
            </w:r>
            <w:r w:rsidRPr="00A61EAA">
              <w:rPr>
                <w:i/>
                <w:sz w:val="20"/>
                <w:lang w:val="fr-CA"/>
              </w:rPr>
              <w:t xml:space="preserve">Loi sur la faillite et l’insolvabilité </w:t>
            </w:r>
            <w:r w:rsidRPr="00A61EAA">
              <w:rPr>
                <w:sz w:val="20"/>
                <w:lang w:val="fr-CA"/>
              </w:rPr>
              <w:t>et rejette la requête de Chi-Wei Lin en réclamation de dommages-intérêts et de dommages punitifs</w:t>
            </w:r>
          </w:p>
          <w:p w:rsidR="00761450" w:rsidRPr="00A61EAA" w:rsidRDefault="00761450" w:rsidP="00761450">
            <w:pPr>
              <w:jc w:val="both"/>
              <w:rPr>
                <w:sz w:val="20"/>
                <w:lang w:val="fr-CA"/>
              </w:rPr>
            </w:pPr>
          </w:p>
        </w:tc>
      </w:tr>
      <w:tr w:rsidR="00761450" w:rsidRPr="00761450" w:rsidTr="00550A17">
        <w:tblPrEx>
          <w:tblCellMar>
            <w:bottom w:w="0" w:type="dxa"/>
          </w:tblCellMar>
        </w:tblPrEx>
        <w:tc>
          <w:tcPr>
            <w:tcW w:w="2367" w:type="pct"/>
            <w:gridSpan w:val="2"/>
          </w:tcPr>
          <w:p w:rsidR="00761450" w:rsidRPr="00A61EAA" w:rsidRDefault="00761450" w:rsidP="00761450">
            <w:pPr>
              <w:jc w:val="both"/>
              <w:rPr>
                <w:sz w:val="20"/>
                <w:lang w:val="fr-CA"/>
              </w:rPr>
            </w:pPr>
            <w:r w:rsidRPr="00A61EAA">
              <w:rPr>
                <w:sz w:val="20"/>
                <w:lang w:val="fr-CA"/>
              </w:rPr>
              <w:t>Le 3 novembre 2015</w:t>
            </w:r>
          </w:p>
          <w:p w:rsidR="00761450" w:rsidRPr="00A61EAA" w:rsidRDefault="00761450" w:rsidP="00761450">
            <w:pPr>
              <w:jc w:val="both"/>
              <w:rPr>
                <w:sz w:val="20"/>
                <w:lang w:val="fr-CA"/>
              </w:rPr>
            </w:pPr>
            <w:r w:rsidRPr="00A61EAA">
              <w:rPr>
                <w:sz w:val="20"/>
                <w:lang w:val="fr-CA"/>
              </w:rPr>
              <w:lastRenderedPageBreak/>
              <w:t>Cour d’appel du Québec (Montréal)</w:t>
            </w:r>
          </w:p>
          <w:p w:rsidR="00761450" w:rsidRPr="00A61EAA" w:rsidRDefault="00761450" w:rsidP="00761450">
            <w:pPr>
              <w:jc w:val="both"/>
              <w:rPr>
                <w:sz w:val="20"/>
                <w:lang w:val="fr-CA"/>
              </w:rPr>
            </w:pPr>
            <w:r w:rsidRPr="00A61EAA">
              <w:rPr>
                <w:sz w:val="20"/>
                <w:lang w:val="fr-CA"/>
              </w:rPr>
              <w:t>(Les juges Dufresne, Marcotte et Hogue)</w:t>
            </w:r>
          </w:p>
          <w:p w:rsidR="00761450" w:rsidRPr="00761450" w:rsidRDefault="00A61EAA" w:rsidP="00761450">
            <w:pPr>
              <w:jc w:val="both"/>
              <w:rPr>
                <w:sz w:val="20"/>
              </w:rPr>
            </w:pPr>
            <w:r>
              <w:fldChar w:fldCharType="begin"/>
            </w:r>
            <w:r>
              <w:instrText xml:space="preserve"> HYPERLINK "http://www.</w:instrText>
            </w:r>
            <w:r>
              <w:instrText xml:space="preserve">canlii.org/fr/qc/qcca/doc/2015/2015qcca1853/2015qcca1853.html" </w:instrText>
            </w:r>
            <w:r>
              <w:fldChar w:fldCharType="separate"/>
            </w:r>
            <w:r w:rsidR="00761450" w:rsidRPr="00761450">
              <w:rPr>
                <w:rStyle w:val="Hyperlink"/>
                <w:sz w:val="20"/>
              </w:rPr>
              <w:t>2015 QCCA 1853</w:t>
            </w:r>
            <w:r>
              <w:rPr>
                <w:rStyle w:val="Hyperlink"/>
                <w:sz w:val="20"/>
              </w:rPr>
              <w:fldChar w:fldCharType="end"/>
            </w:r>
            <w:r w:rsidR="00761450" w:rsidRPr="00761450">
              <w:rPr>
                <w:sz w:val="20"/>
              </w:rPr>
              <w:t xml:space="preserve"> </w:t>
            </w:r>
          </w:p>
          <w:p w:rsidR="00761450" w:rsidRPr="00761450" w:rsidRDefault="00761450" w:rsidP="00761450">
            <w:pPr>
              <w:jc w:val="both"/>
              <w:rPr>
                <w:sz w:val="20"/>
              </w:rPr>
            </w:pPr>
          </w:p>
        </w:tc>
        <w:tc>
          <w:tcPr>
            <w:tcW w:w="267" w:type="pct"/>
          </w:tcPr>
          <w:p w:rsidR="00761450" w:rsidRPr="00761450" w:rsidRDefault="00761450" w:rsidP="00761450">
            <w:pPr>
              <w:jc w:val="both"/>
              <w:rPr>
                <w:sz w:val="20"/>
              </w:rPr>
            </w:pPr>
          </w:p>
        </w:tc>
        <w:tc>
          <w:tcPr>
            <w:tcW w:w="2366" w:type="pct"/>
          </w:tcPr>
          <w:p w:rsidR="00761450" w:rsidRPr="00761450" w:rsidRDefault="00761450" w:rsidP="00761450">
            <w:pPr>
              <w:jc w:val="both"/>
              <w:rPr>
                <w:sz w:val="20"/>
              </w:rPr>
            </w:pPr>
            <w:r w:rsidRPr="00761450">
              <w:rPr>
                <w:sz w:val="20"/>
              </w:rPr>
              <w:t>Appel rejeté</w:t>
            </w:r>
          </w:p>
          <w:p w:rsidR="00761450" w:rsidRPr="00761450" w:rsidRDefault="00761450" w:rsidP="00761450">
            <w:pPr>
              <w:jc w:val="both"/>
              <w:rPr>
                <w:sz w:val="20"/>
              </w:rPr>
            </w:pPr>
          </w:p>
        </w:tc>
      </w:tr>
      <w:tr w:rsidR="00761450" w:rsidRPr="00A61EAA" w:rsidTr="00550A17">
        <w:tblPrEx>
          <w:tblCellMar>
            <w:bottom w:w="0" w:type="dxa"/>
          </w:tblCellMar>
        </w:tblPrEx>
        <w:tc>
          <w:tcPr>
            <w:tcW w:w="2367" w:type="pct"/>
            <w:gridSpan w:val="2"/>
          </w:tcPr>
          <w:p w:rsidR="00761450" w:rsidRPr="00A61EAA" w:rsidRDefault="00761450" w:rsidP="00761450">
            <w:pPr>
              <w:jc w:val="both"/>
              <w:rPr>
                <w:sz w:val="20"/>
                <w:lang w:val="fr-CA"/>
              </w:rPr>
            </w:pPr>
            <w:r w:rsidRPr="00A61EAA">
              <w:rPr>
                <w:sz w:val="20"/>
                <w:lang w:val="fr-CA"/>
              </w:rPr>
              <w:lastRenderedPageBreak/>
              <w:t>Le 5 janvier 2016</w:t>
            </w:r>
          </w:p>
          <w:p w:rsidR="00761450" w:rsidRPr="00A61EAA" w:rsidRDefault="00761450" w:rsidP="00761450">
            <w:pPr>
              <w:jc w:val="both"/>
              <w:rPr>
                <w:sz w:val="20"/>
                <w:lang w:val="fr-CA"/>
              </w:rPr>
            </w:pPr>
            <w:r w:rsidRPr="00A61EAA">
              <w:rPr>
                <w:sz w:val="20"/>
                <w:lang w:val="fr-CA"/>
              </w:rPr>
              <w:t>Cour suprême du Canada</w:t>
            </w:r>
          </w:p>
        </w:tc>
        <w:tc>
          <w:tcPr>
            <w:tcW w:w="267" w:type="pct"/>
          </w:tcPr>
          <w:p w:rsidR="00761450" w:rsidRPr="00A61EAA" w:rsidRDefault="00761450" w:rsidP="00761450">
            <w:pPr>
              <w:jc w:val="both"/>
              <w:rPr>
                <w:sz w:val="20"/>
                <w:lang w:val="fr-CA"/>
              </w:rPr>
            </w:pPr>
          </w:p>
        </w:tc>
        <w:tc>
          <w:tcPr>
            <w:tcW w:w="2366" w:type="pct"/>
          </w:tcPr>
          <w:p w:rsidR="00761450" w:rsidRPr="00A61EAA" w:rsidRDefault="00761450" w:rsidP="00761450">
            <w:pPr>
              <w:jc w:val="both"/>
              <w:rPr>
                <w:sz w:val="20"/>
                <w:lang w:val="fr-CA"/>
              </w:rPr>
            </w:pPr>
            <w:r w:rsidRPr="00A61EAA">
              <w:rPr>
                <w:sz w:val="20"/>
                <w:lang w:val="fr-CA"/>
              </w:rPr>
              <w:t>Requête en prorogation du délai de signification et dépôt d’une demande d’autorisation d’appel et demande d’autorisation d’appel déposées</w:t>
            </w:r>
          </w:p>
        </w:tc>
      </w:tr>
    </w:tbl>
    <w:p w:rsidR="00761450" w:rsidRPr="00A61EAA" w:rsidRDefault="00761450" w:rsidP="007A5413">
      <w:pPr>
        <w:jc w:val="both"/>
        <w:rPr>
          <w:sz w:val="20"/>
          <w:lang w:val="fr-CA"/>
        </w:rPr>
      </w:pPr>
    </w:p>
    <w:p w:rsidR="009C273F" w:rsidRPr="00A61EAA" w:rsidRDefault="009C273F" w:rsidP="007A5413">
      <w:pPr>
        <w:widowControl w:val="0"/>
        <w:autoSpaceDE w:val="0"/>
        <w:autoSpaceDN w:val="0"/>
        <w:adjustRightInd w:val="0"/>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7A5413" w:rsidRPr="007A5413" w:rsidTr="00E95A6A">
        <w:tc>
          <w:tcPr>
            <w:tcW w:w="543" w:type="pct"/>
          </w:tcPr>
          <w:p w:rsidR="007A5413" w:rsidRPr="007A5413" w:rsidRDefault="007A5413" w:rsidP="007A5413">
            <w:pPr>
              <w:jc w:val="both"/>
              <w:rPr>
                <w:sz w:val="20"/>
              </w:rPr>
            </w:pPr>
            <w:r w:rsidRPr="007A5413">
              <w:rPr>
                <w:rStyle w:val="SCCFileNumberChar"/>
                <w:sz w:val="20"/>
                <w:szCs w:val="20"/>
              </w:rPr>
              <w:t>36964</w:t>
            </w:r>
          </w:p>
        </w:tc>
        <w:tc>
          <w:tcPr>
            <w:tcW w:w="4457" w:type="pct"/>
          </w:tcPr>
          <w:p w:rsidR="007A5413" w:rsidRPr="00A61EAA" w:rsidRDefault="007A5413" w:rsidP="007A5413">
            <w:pPr>
              <w:pStyle w:val="SCCLsocParty"/>
              <w:jc w:val="both"/>
              <w:rPr>
                <w:b/>
                <w:sz w:val="20"/>
                <w:szCs w:val="20"/>
                <w:lang w:val="en-US"/>
              </w:rPr>
            </w:pPr>
            <w:r w:rsidRPr="00A61EAA">
              <w:rPr>
                <w:b/>
                <w:sz w:val="20"/>
                <w:szCs w:val="20"/>
                <w:lang w:val="en-US"/>
              </w:rPr>
              <w:t>Jamil Jacek Haidari v. Her Majesty the Queen</w:t>
            </w:r>
          </w:p>
          <w:p w:rsidR="007A5413" w:rsidRPr="007A5413" w:rsidRDefault="007A5413" w:rsidP="007A5413">
            <w:pPr>
              <w:jc w:val="both"/>
              <w:rPr>
                <w:sz w:val="20"/>
              </w:rPr>
            </w:pPr>
            <w:r w:rsidRPr="007A5413">
              <w:rPr>
                <w:sz w:val="20"/>
              </w:rPr>
              <w:t>(FC) (Civil) (By Leave)</w:t>
            </w:r>
          </w:p>
        </w:tc>
      </w:tr>
      <w:tr w:rsidR="007A5413" w:rsidRPr="007A5413" w:rsidTr="00E95A6A">
        <w:tc>
          <w:tcPr>
            <w:tcW w:w="5000" w:type="pct"/>
            <w:gridSpan w:val="2"/>
          </w:tcPr>
          <w:p w:rsidR="007A5413" w:rsidRPr="007A5413" w:rsidRDefault="007A5413" w:rsidP="007A5413">
            <w:pPr>
              <w:pStyle w:val="SCCBanSummary"/>
              <w:rPr>
                <w:sz w:val="20"/>
                <w:szCs w:val="20"/>
              </w:rPr>
            </w:pPr>
            <w:r w:rsidRPr="007A5413">
              <w:rPr>
                <w:sz w:val="20"/>
                <w:szCs w:val="20"/>
              </w:rPr>
              <w:t>(Court file contains information that is not available for inspection by the public)</w:t>
            </w:r>
          </w:p>
          <w:p w:rsidR="007A5413" w:rsidRPr="007A5413" w:rsidRDefault="007A5413" w:rsidP="007A5413">
            <w:pPr>
              <w:jc w:val="both"/>
              <w:rPr>
                <w:sz w:val="20"/>
              </w:rPr>
            </w:pPr>
          </w:p>
          <w:p w:rsidR="007A5413" w:rsidRPr="007A5413" w:rsidRDefault="007A5413" w:rsidP="007A5413">
            <w:pPr>
              <w:jc w:val="both"/>
              <w:rPr>
                <w:sz w:val="20"/>
              </w:rPr>
            </w:pPr>
            <w:r w:rsidRPr="007A5413">
              <w:rPr>
                <w:sz w:val="20"/>
              </w:rPr>
              <w:t xml:space="preserve">Civil procedure – Pleadings – Time – Applicant’s statement of claim struck in its entirety for failure to disclose cause of action – Motion for extension of time to determine contents of appeal book and appeal dismissed – Whether the Federal Court and the Federal Court of Appeal have been granted equitable jurisdiction pursuant to ss. 3, 4 and 20 of the </w:t>
            </w:r>
            <w:r w:rsidRPr="007A5413">
              <w:rPr>
                <w:i/>
                <w:sz w:val="20"/>
              </w:rPr>
              <w:t>Federal Courts Act</w:t>
            </w:r>
            <w:r w:rsidRPr="007A5413">
              <w:rPr>
                <w:sz w:val="20"/>
              </w:rPr>
              <w:t xml:space="preserve">, R.S.C. 1985, c. F-7 – Whether applicant’s rights recognized at international law – </w:t>
            </w:r>
            <w:r w:rsidRPr="007A5413">
              <w:rPr>
                <w:i/>
                <w:sz w:val="20"/>
              </w:rPr>
              <w:t>Ontario Judicature Act, 1881</w:t>
            </w:r>
            <w:r w:rsidRPr="007A5413">
              <w:rPr>
                <w:sz w:val="20"/>
              </w:rPr>
              <w:t xml:space="preserve">, c. 223, s. 18(5). </w:t>
            </w:r>
          </w:p>
        </w:tc>
      </w:tr>
      <w:tr w:rsidR="007A5413" w:rsidRPr="007A5413" w:rsidTr="00E95A6A">
        <w:tc>
          <w:tcPr>
            <w:tcW w:w="5000" w:type="pct"/>
            <w:gridSpan w:val="2"/>
          </w:tcPr>
          <w:p w:rsidR="007A5413" w:rsidRPr="007A5413" w:rsidRDefault="007A5413" w:rsidP="007A5413">
            <w:pPr>
              <w:jc w:val="both"/>
              <w:rPr>
                <w:sz w:val="20"/>
              </w:rPr>
            </w:pPr>
          </w:p>
        </w:tc>
      </w:tr>
      <w:tr w:rsidR="007A5413" w:rsidRPr="007A5413" w:rsidTr="007A5413">
        <w:trPr>
          <w:trHeight w:val="4149"/>
        </w:trPr>
        <w:tc>
          <w:tcPr>
            <w:tcW w:w="5000" w:type="pct"/>
            <w:gridSpan w:val="2"/>
          </w:tcPr>
          <w:p w:rsidR="007A5413" w:rsidRPr="007A5413" w:rsidRDefault="007A5413" w:rsidP="007A5413">
            <w:pPr>
              <w:jc w:val="both"/>
              <w:rPr>
                <w:sz w:val="20"/>
              </w:rPr>
            </w:pPr>
            <w:r w:rsidRPr="007A5413">
              <w:rPr>
                <w:sz w:val="20"/>
              </w:rPr>
              <w:t>The applicant, Mr. Haidari, commenced an action in the Federal Court, asserting various claims against the respondent federal Crown. The respondent moved to strike Mr. Haidari’s statement of claim, without leave to amend.</w:t>
            </w:r>
          </w:p>
          <w:p w:rsidR="007A5413" w:rsidRPr="007A5413" w:rsidRDefault="007A5413" w:rsidP="007A5413">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7A5413" w:rsidRPr="007A5413" w:rsidTr="00EA525A">
              <w:tc>
                <w:tcPr>
                  <w:tcW w:w="2367" w:type="pct"/>
                </w:tcPr>
                <w:p w:rsidR="007A5413" w:rsidRPr="007A5413" w:rsidRDefault="007A5413" w:rsidP="007A5413">
                  <w:pPr>
                    <w:jc w:val="both"/>
                    <w:rPr>
                      <w:sz w:val="20"/>
                    </w:rPr>
                  </w:pPr>
                  <w:r w:rsidRPr="007A5413">
                    <w:rPr>
                      <w:sz w:val="20"/>
                    </w:rPr>
                    <w:t>November 3, 2015</w:t>
                  </w:r>
                </w:p>
                <w:p w:rsidR="007A5413" w:rsidRPr="007A5413" w:rsidRDefault="007A5413" w:rsidP="007A5413">
                  <w:pPr>
                    <w:jc w:val="both"/>
                    <w:rPr>
                      <w:sz w:val="20"/>
                    </w:rPr>
                  </w:pPr>
                  <w:r w:rsidRPr="007A5413">
                    <w:rPr>
                      <w:sz w:val="20"/>
                    </w:rPr>
                    <w:t>Federal Court</w:t>
                  </w:r>
                </w:p>
                <w:p w:rsidR="007A5413" w:rsidRPr="007A5413" w:rsidRDefault="007A5413" w:rsidP="007A5413">
                  <w:pPr>
                    <w:jc w:val="both"/>
                    <w:rPr>
                      <w:sz w:val="20"/>
                    </w:rPr>
                  </w:pPr>
                  <w:r w:rsidRPr="007A5413">
                    <w:rPr>
                      <w:sz w:val="20"/>
                    </w:rPr>
                    <w:t>(Hughes J.)</w:t>
                  </w:r>
                </w:p>
                <w:p w:rsidR="007A5413" w:rsidRPr="007A5413" w:rsidRDefault="007A5413" w:rsidP="007A5413">
                  <w:pPr>
                    <w:jc w:val="both"/>
                    <w:rPr>
                      <w:sz w:val="20"/>
                    </w:rPr>
                  </w:pPr>
                  <w:r w:rsidRPr="007A5413">
                    <w:rPr>
                      <w:sz w:val="20"/>
                    </w:rPr>
                    <w:t>T-1466-15 (unreported)</w:t>
                  </w:r>
                </w:p>
                <w:p w:rsidR="007A5413" w:rsidRPr="007A5413" w:rsidRDefault="007A5413" w:rsidP="007A5413">
                  <w:pPr>
                    <w:jc w:val="both"/>
                    <w:rPr>
                      <w:sz w:val="20"/>
                    </w:rPr>
                  </w:pPr>
                </w:p>
              </w:tc>
              <w:tc>
                <w:tcPr>
                  <w:tcW w:w="267" w:type="pct"/>
                </w:tcPr>
                <w:p w:rsidR="007A5413" w:rsidRPr="007A5413" w:rsidRDefault="007A5413" w:rsidP="007A5413">
                  <w:pPr>
                    <w:jc w:val="both"/>
                    <w:rPr>
                      <w:sz w:val="20"/>
                    </w:rPr>
                  </w:pPr>
                </w:p>
              </w:tc>
              <w:tc>
                <w:tcPr>
                  <w:tcW w:w="2366" w:type="pct"/>
                </w:tcPr>
                <w:p w:rsidR="007A5413" w:rsidRPr="007A5413" w:rsidRDefault="007A5413" w:rsidP="007A5413">
                  <w:pPr>
                    <w:jc w:val="both"/>
                    <w:rPr>
                      <w:sz w:val="20"/>
                    </w:rPr>
                  </w:pPr>
                  <w:r w:rsidRPr="007A5413">
                    <w:rPr>
                      <w:sz w:val="20"/>
                    </w:rPr>
                    <w:t>Motion to strike granted</w:t>
                  </w:r>
                </w:p>
                <w:p w:rsidR="007A5413" w:rsidRPr="007A5413" w:rsidRDefault="007A5413" w:rsidP="007A5413">
                  <w:pPr>
                    <w:jc w:val="both"/>
                    <w:rPr>
                      <w:sz w:val="20"/>
                    </w:rPr>
                  </w:pPr>
                </w:p>
              </w:tc>
            </w:tr>
            <w:tr w:rsidR="007A5413" w:rsidRPr="007A5413" w:rsidTr="00EA525A">
              <w:tc>
                <w:tcPr>
                  <w:tcW w:w="2367" w:type="pct"/>
                </w:tcPr>
                <w:p w:rsidR="007A5413" w:rsidRPr="007A5413" w:rsidRDefault="007A5413" w:rsidP="007A5413">
                  <w:pPr>
                    <w:jc w:val="both"/>
                    <w:rPr>
                      <w:sz w:val="20"/>
                    </w:rPr>
                  </w:pPr>
                  <w:r w:rsidRPr="007A5413">
                    <w:rPr>
                      <w:sz w:val="20"/>
                    </w:rPr>
                    <w:t>February 12, 2016</w:t>
                  </w:r>
                </w:p>
                <w:p w:rsidR="007A5413" w:rsidRPr="007A5413" w:rsidRDefault="007A5413" w:rsidP="007A5413">
                  <w:pPr>
                    <w:jc w:val="both"/>
                    <w:rPr>
                      <w:sz w:val="20"/>
                    </w:rPr>
                  </w:pPr>
                  <w:r w:rsidRPr="007A5413">
                    <w:rPr>
                      <w:sz w:val="20"/>
                    </w:rPr>
                    <w:t>Federal Court of Appeal</w:t>
                  </w:r>
                </w:p>
                <w:p w:rsidR="007A5413" w:rsidRPr="007A5413" w:rsidRDefault="007A5413" w:rsidP="007A5413">
                  <w:pPr>
                    <w:jc w:val="both"/>
                    <w:rPr>
                      <w:sz w:val="20"/>
                    </w:rPr>
                  </w:pPr>
                  <w:r w:rsidRPr="007A5413">
                    <w:rPr>
                      <w:sz w:val="20"/>
                    </w:rPr>
                    <w:t xml:space="preserve">(Webb, </w:t>
                  </w:r>
                  <w:proofErr w:type="spellStart"/>
                  <w:r w:rsidRPr="007A5413">
                    <w:rPr>
                      <w:sz w:val="20"/>
                    </w:rPr>
                    <w:t>Boivin</w:t>
                  </w:r>
                  <w:proofErr w:type="spellEnd"/>
                  <w:r w:rsidRPr="007A5413">
                    <w:rPr>
                      <w:sz w:val="20"/>
                    </w:rPr>
                    <w:t xml:space="preserve"> and De </w:t>
                  </w:r>
                  <w:proofErr w:type="spellStart"/>
                  <w:r w:rsidRPr="007A5413">
                    <w:rPr>
                      <w:sz w:val="20"/>
                    </w:rPr>
                    <w:t>Montigny</w:t>
                  </w:r>
                  <w:proofErr w:type="spellEnd"/>
                  <w:r w:rsidRPr="007A5413">
                    <w:rPr>
                      <w:sz w:val="20"/>
                    </w:rPr>
                    <w:t xml:space="preserve"> JJ.A.)</w:t>
                  </w:r>
                </w:p>
                <w:p w:rsidR="007A5413" w:rsidRPr="007A5413" w:rsidRDefault="007A5413" w:rsidP="007A5413">
                  <w:pPr>
                    <w:jc w:val="both"/>
                    <w:rPr>
                      <w:sz w:val="20"/>
                    </w:rPr>
                  </w:pPr>
                  <w:r w:rsidRPr="007A5413">
                    <w:rPr>
                      <w:sz w:val="20"/>
                    </w:rPr>
                    <w:t>A-486-15 (unreported)</w:t>
                  </w:r>
                </w:p>
                <w:p w:rsidR="007A5413" w:rsidRPr="007A5413" w:rsidRDefault="007A5413" w:rsidP="007A5413">
                  <w:pPr>
                    <w:jc w:val="both"/>
                    <w:rPr>
                      <w:sz w:val="20"/>
                    </w:rPr>
                  </w:pPr>
                </w:p>
              </w:tc>
              <w:tc>
                <w:tcPr>
                  <w:tcW w:w="267" w:type="pct"/>
                </w:tcPr>
                <w:p w:rsidR="007A5413" w:rsidRPr="007A5413" w:rsidRDefault="007A5413" w:rsidP="007A5413">
                  <w:pPr>
                    <w:jc w:val="both"/>
                    <w:rPr>
                      <w:sz w:val="20"/>
                    </w:rPr>
                  </w:pPr>
                </w:p>
              </w:tc>
              <w:tc>
                <w:tcPr>
                  <w:tcW w:w="2366" w:type="pct"/>
                </w:tcPr>
                <w:p w:rsidR="007A5413" w:rsidRPr="007A5413" w:rsidRDefault="007A5413" w:rsidP="007A5413">
                  <w:pPr>
                    <w:jc w:val="both"/>
                    <w:rPr>
                      <w:sz w:val="20"/>
                    </w:rPr>
                  </w:pPr>
                  <w:r w:rsidRPr="007A5413">
                    <w:rPr>
                      <w:sz w:val="20"/>
                    </w:rPr>
                    <w:t xml:space="preserve">Motion to extend time to determine contents of appeal book and appeal dismissed </w:t>
                  </w:r>
                </w:p>
                <w:p w:rsidR="007A5413" w:rsidRPr="007A5413" w:rsidRDefault="007A5413" w:rsidP="007A5413">
                  <w:pPr>
                    <w:jc w:val="both"/>
                    <w:rPr>
                      <w:sz w:val="20"/>
                    </w:rPr>
                  </w:pPr>
                </w:p>
              </w:tc>
            </w:tr>
            <w:tr w:rsidR="007A5413" w:rsidRPr="007A5413" w:rsidTr="00EA525A">
              <w:tc>
                <w:tcPr>
                  <w:tcW w:w="2367" w:type="pct"/>
                </w:tcPr>
                <w:p w:rsidR="007A5413" w:rsidRPr="007A5413" w:rsidRDefault="007A5413" w:rsidP="007A5413">
                  <w:pPr>
                    <w:jc w:val="both"/>
                    <w:rPr>
                      <w:sz w:val="20"/>
                    </w:rPr>
                  </w:pPr>
                  <w:r w:rsidRPr="007A5413">
                    <w:rPr>
                      <w:sz w:val="20"/>
                    </w:rPr>
                    <w:t>April 15, 2016</w:t>
                  </w:r>
                </w:p>
                <w:p w:rsidR="007A5413" w:rsidRPr="007A5413" w:rsidRDefault="007A5413" w:rsidP="007A5413">
                  <w:pPr>
                    <w:jc w:val="both"/>
                    <w:rPr>
                      <w:sz w:val="20"/>
                    </w:rPr>
                  </w:pPr>
                  <w:r w:rsidRPr="007A5413">
                    <w:rPr>
                      <w:sz w:val="20"/>
                    </w:rPr>
                    <w:t>Supreme Court of Canada</w:t>
                  </w:r>
                </w:p>
              </w:tc>
              <w:tc>
                <w:tcPr>
                  <w:tcW w:w="267" w:type="pct"/>
                </w:tcPr>
                <w:p w:rsidR="007A5413" w:rsidRPr="007A5413" w:rsidRDefault="007A5413" w:rsidP="007A5413">
                  <w:pPr>
                    <w:jc w:val="both"/>
                    <w:rPr>
                      <w:sz w:val="20"/>
                    </w:rPr>
                  </w:pPr>
                </w:p>
              </w:tc>
              <w:tc>
                <w:tcPr>
                  <w:tcW w:w="2366" w:type="pct"/>
                </w:tcPr>
                <w:p w:rsidR="007A5413" w:rsidRPr="007A5413" w:rsidRDefault="007A5413" w:rsidP="007A5413">
                  <w:pPr>
                    <w:jc w:val="both"/>
                    <w:rPr>
                      <w:sz w:val="20"/>
                    </w:rPr>
                  </w:pPr>
                  <w:r w:rsidRPr="007A5413">
                    <w:rPr>
                      <w:sz w:val="20"/>
                    </w:rPr>
                    <w:t>Application for leave to appeal filed</w:t>
                  </w:r>
                </w:p>
                <w:p w:rsidR="007A5413" w:rsidRPr="007A5413" w:rsidRDefault="007A5413" w:rsidP="007A5413">
                  <w:pPr>
                    <w:jc w:val="both"/>
                    <w:rPr>
                      <w:sz w:val="20"/>
                    </w:rPr>
                  </w:pPr>
                </w:p>
                <w:p w:rsidR="007A5413" w:rsidRPr="007A5413" w:rsidRDefault="007A5413" w:rsidP="007A5413">
                  <w:pPr>
                    <w:jc w:val="both"/>
                    <w:rPr>
                      <w:sz w:val="20"/>
                    </w:rPr>
                  </w:pPr>
                </w:p>
              </w:tc>
            </w:tr>
            <w:tr w:rsidR="007A5413" w:rsidRPr="007A5413" w:rsidTr="00EA525A">
              <w:tc>
                <w:tcPr>
                  <w:tcW w:w="2367" w:type="pct"/>
                </w:tcPr>
                <w:p w:rsidR="007A5413" w:rsidRPr="007A5413" w:rsidRDefault="007A5413" w:rsidP="007A5413">
                  <w:pPr>
                    <w:jc w:val="both"/>
                    <w:rPr>
                      <w:sz w:val="20"/>
                    </w:rPr>
                  </w:pPr>
                  <w:r w:rsidRPr="007A5413">
                    <w:rPr>
                      <w:sz w:val="20"/>
                    </w:rPr>
                    <w:t>April 20, 2016</w:t>
                  </w:r>
                </w:p>
                <w:p w:rsidR="007A5413" w:rsidRPr="007A5413" w:rsidRDefault="007A5413" w:rsidP="007A5413">
                  <w:pPr>
                    <w:jc w:val="both"/>
                    <w:rPr>
                      <w:sz w:val="20"/>
                    </w:rPr>
                  </w:pPr>
                  <w:r w:rsidRPr="007A5413">
                    <w:rPr>
                      <w:sz w:val="20"/>
                    </w:rPr>
                    <w:t>Supreme Court of Canada</w:t>
                  </w:r>
                </w:p>
              </w:tc>
              <w:tc>
                <w:tcPr>
                  <w:tcW w:w="267" w:type="pct"/>
                </w:tcPr>
                <w:p w:rsidR="007A5413" w:rsidRPr="007A5413" w:rsidRDefault="007A5413" w:rsidP="007A5413">
                  <w:pPr>
                    <w:jc w:val="both"/>
                    <w:rPr>
                      <w:sz w:val="20"/>
                    </w:rPr>
                  </w:pPr>
                </w:p>
              </w:tc>
              <w:tc>
                <w:tcPr>
                  <w:tcW w:w="2366" w:type="pct"/>
                </w:tcPr>
                <w:p w:rsidR="007A5413" w:rsidRPr="007A5413" w:rsidRDefault="007A5413" w:rsidP="007A5413">
                  <w:pPr>
                    <w:jc w:val="both"/>
                    <w:rPr>
                      <w:sz w:val="20"/>
                    </w:rPr>
                  </w:pPr>
                  <w:r w:rsidRPr="007A5413">
                    <w:rPr>
                      <w:sz w:val="20"/>
                    </w:rPr>
                    <w:t xml:space="preserve">Motion to extend time to serve and file application for leave to appeal filed </w:t>
                  </w:r>
                </w:p>
              </w:tc>
            </w:tr>
          </w:tbl>
          <w:p w:rsidR="007A5413" w:rsidRPr="007A5413" w:rsidRDefault="007A5413" w:rsidP="007A5413">
            <w:pPr>
              <w:jc w:val="both"/>
              <w:rPr>
                <w:sz w:val="20"/>
              </w:rPr>
            </w:pPr>
          </w:p>
        </w:tc>
      </w:tr>
    </w:tbl>
    <w:p w:rsidR="007A5413" w:rsidRDefault="007A5413" w:rsidP="007A5413">
      <w:pPr>
        <w:jc w:val="both"/>
        <w:rPr>
          <w:sz w:val="20"/>
        </w:rPr>
      </w:pPr>
    </w:p>
    <w:p w:rsidR="007A5413" w:rsidRPr="007A5413" w:rsidRDefault="007A5413" w:rsidP="007A541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7A5413" w:rsidRPr="007A5413" w:rsidTr="00E95A6A">
        <w:tc>
          <w:tcPr>
            <w:tcW w:w="543" w:type="pct"/>
          </w:tcPr>
          <w:p w:rsidR="007A5413" w:rsidRPr="007A5413" w:rsidRDefault="007A5413" w:rsidP="007A5413">
            <w:pPr>
              <w:jc w:val="both"/>
              <w:rPr>
                <w:sz w:val="20"/>
              </w:rPr>
            </w:pPr>
            <w:r w:rsidRPr="007A5413">
              <w:rPr>
                <w:rStyle w:val="SCCFileNumberChar"/>
                <w:sz w:val="20"/>
                <w:szCs w:val="20"/>
              </w:rPr>
              <w:t>36964</w:t>
            </w:r>
          </w:p>
        </w:tc>
        <w:tc>
          <w:tcPr>
            <w:tcW w:w="4457" w:type="pct"/>
          </w:tcPr>
          <w:p w:rsidR="007A5413" w:rsidRPr="007A5413" w:rsidRDefault="007A5413" w:rsidP="007A5413">
            <w:pPr>
              <w:pStyle w:val="SCCLsocParty"/>
              <w:jc w:val="both"/>
              <w:rPr>
                <w:b/>
                <w:sz w:val="20"/>
                <w:szCs w:val="20"/>
              </w:rPr>
            </w:pPr>
            <w:r w:rsidRPr="007A5413">
              <w:rPr>
                <w:b/>
                <w:sz w:val="20"/>
                <w:szCs w:val="20"/>
              </w:rPr>
              <w:t xml:space="preserve">Jamil Jacek </w:t>
            </w:r>
            <w:proofErr w:type="spellStart"/>
            <w:r w:rsidRPr="007A5413">
              <w:rPr>
                <w:b/>
                <w:sz w:val="20"/>
                <w:szCs w:val="20"/>
              </w:rPr>
              <w:t>Haidari</w:t>
            </w:r>
            <w:proofErr w:type="spellEnd"/>
            <w:r w:rsidRPr="007A5413">
              <w:rPr>
                <w:b/>
                <w:sz w:val="20"/>
                <w:szCs w:val="20"/>
              </w:rPr>
              <w:t xml:space="preserve"> c. Sa Majesté la Reine</w:t>
            </w:r>
          </w:p>
          <w:p w:rsidR="007A5413" w:rsidRPr="007A5413" w:rsidRDefault="007A5413" w:rsidP="007A5413">
            <w:pPr>
              <w:jc w:val="both"/>
              <w:rPr>
                <w:sz w:val="20"/>
              </w:rPr>
            </w:pPr>
            <w:r w:rsidRPr="007A5413">
              <w:rPr>
                <w:sz w:val="20"/>
              </w:rPr>
              <w:t>(CF) (</w:t>
            </w:r>
            <w:proofErr w:type="spellStart"/>
            <w:r w:rsidRPr="007A5413">
              <w:rPr>
                <w:sz w:val="20"/>
              </w:rPr>
              <w:t>Civile</w:t>
            </w:r>
            <w:proofErr w:type="spellEnd"/>
            <w:r w:rsidRPr="007A5413">
              <w:rPr>
                <w:sz w:val="20"/>
              </w:rPr>
              <w:t xml:space="preserve">) (Sur </w:t>
            </w:r>
            <w:proofErr w:type="spellStart"/>
            <w:r w:rsidRPr="007A5413">
              <w:rPr>
                <w:sz w:val="20"/>
              </w:rPr>
              <w:t>autorisation</w:t>
            </w:r>
            <w:proofErr w:type="spellEnd"/>
            <w:r w:rsidRPr="007A5413">
              <w:rPr>
                <w:sz w:val="20"/>
              </w:rPr>
              <w:t>)</w:t>
            </w:r>
          </w:p>
        </w:tc>
      </w:tr>
      <w:tr w:rsidR="007A5413" w:rsidRPr="00A61EAA" w:rsidTr="00E95A6A">
        <w:tc>
          <w:tcPr>
            <w:tcW w:w="5000" w:type="pct"/>
            <w:gridSpan w:val="2"/>
          </w:tcPr>
          <w:p w:rsidR="007A5413" w:rsidRPr="007A5413" w:rsidRDefault="007A5413" w:rsidP="007A5413">
            <w:pPr>
              <w:pStyle w:val="SCCBanSummary"/>
              <w:rPr>
                <w:sz w:val="20"/>
                <w:szCs w:val="20"/>
                <w:lang w:val="fr-CA"/>
              </w:rPr>
            </w:pPr>
            <w:r w:rsidRPr="007A5413">
              <w:rPr>
                <w:sz w:val="20"/>
                <w:szCs w:val="20"/>
                <w:lang w:val="fr-CA"/>
              </w:rPr>
              <w:t>(le dossier de la Cour contient des renseignements auxquels le public n’a pas accès)</w:t>
            </w:r>
          </w:p>
          <w:p w:rsidR="007A5413" w:rsidRPr="007A5413" w:rsidRDefault="007A5413" w:rsidP="007A5413">
            <w:pPr>
              <w:jc w:val="both"/>
              <w:rPr>
                <w:sz w:val="20"/>
                <w:lang w:val="fr-CA"/>
              </w:rPr>
            </w:pPr>
          </w:p>
          <w:p w:rsidR="007A5413" w:rsidRPr="007A5413" w:rsidRDefault="007A5413" w:rsidP="007A5413">
            <w:pPr>
              <w:jc w:val="both"/>
              <w:rPr>
                <w:sz w:val="20"/>
                <w:lang w:val="fr-CA"/>
              </w:rPr>
            </w:pPr>
            <w:r w:rsidRPr="007A5413">
              <w:rPr>
                <w:sz w:val="20"/>
                <w:lang w:val="fr-CA"/>
              </w:rPr>
              <w:t xml:space="preserve">Procédure civile – Actes de procédure – Délais – Déclaration du demandeur rejetée dans son intégralité parce qu’elle ne révèle pas de cause d’action – Rejet de la requête en prorogation du délai pour établir le contenu du recueil d’appel et de l’appel – Les art. 3, 4 et 20 de la </w:t>
            </w:r>
            <w:r w:rsidRPr="007A5413">
              <w:rPr>
                <w:i/>
                <w:sz w:val="20"/>
                <w:lang w:val="fr-CA"/>
              </w:rPr>
              <w:t>Loi sur les</w:t>
            </w:r>
            <w:r w:rsidRPr="007A5413">
              <w:rPr>
                <w:sz w:val="20"/>
                <w:lang w:val="fr-CA"/>
              </w:rPr>
              <w:t xml:space="preserve"> </w:t>
            </w:r>
            <w:r w:rsidRPr="007A5413">
              <w:rPr>
                <w:i/>
                <w:sz w:val="20"/>
                <w:lang w:val="fr-CA"/>
              </w:rPr>
              <w:t>Cours fédérales</w:t>
            </w:r>
            <w:r w:rsidRPr="007A5413">
              <w:rPr>
                <w:sz w:val="20"/>
                <w:lang w:val="fr-CA"/>
              </w:rPr>
              <w:t xml:space="preserve">, L.R.C. 1985, c. F-7, confèrent-ils à la Cour fédérale et à la Cour d’appel fédérale une compétence en equity? – Les droits du demandeur sont-ils reconnus en droit international? – </w:t>
            </w:r>
            <w:r w:rsidRPr="007A5413">
              <w:rPr>
                <w:i/>
                <w:sz w:val="20"/>
                <w:lang w:val="fr-CA"/>
              </w:rPr>
              <w:t xml:space="preserve">Ontario Judicature </w:t>
            </w:r>
            <w:proofErr w:type="spellStart"/>
            <w:r w:rsidRPr="007A5413">
              <w:rPr>
                <w:i/>
                <w:sz w:val="20"/>
                <w:lang w:val="fr-CA"/>
              </w:rPr>
              <w:t>Act</w:t>
            </w:r>
            <w:proofErr w:type="spellEnd"/>
            <w:r w:rsidRPr="007A5413">
              <w:rPr>
                <w:i/>
                <w:sz w:val="20"/>
                <w:lang w:val="fr-CA"/>
              </w:rPr>
              <w:t>, 1881</w:t>
            </w:r>
            <w:r w:rsidRPr="007A5413">
              <w:rPr>
                <w:sz w:val="20"/>
                <w:lang w:val="fr-CA"/>
              </w:rPr>
              <w:t xml:space="preserve">, c. 223, art. 18(5). </w:t>
            </w:r>
          </w:p>
        </w:tc>
      </w:tr>
      <w:tr w:rsidR="007A5413" w:rsidRPr="00A61EAA" w:rsidTr="00E95A6A">
        <w:tc>
          <w:tcPr>
            <w:tcW w:w="5000" w:type="pct"/>
            <w:gridSpan w:val="2"/>
          </w:tcPr>
          <w:p w:rsidR="007A5413" w:rsidRPr="007A5413" w:rsidRDefault="007A5413" w:rsidP="007A5413">
            <w:pPr>
              <w:jc w:val="both"/>
              <w:rPr>
                <w:sz w:val="20"/>
                <w:lang w:val="fr-CA"/>
              </w:rPr>
            </w:pPr>
          </w:p>
        </w:tc>
      </w:tr>
      <w:tr w:rsidR="007A5413" w:rsidRPr="00A61EAA" w:rsidTr="00E95A6A">
        <w:tc>
          <w:tcPr>
            <w:tcW w:w="5000" w:type="pct"/>
            <w:gridSpan w:val="2"/>
          </w:tcPr>
          <w:p w:rsidR="007A5413" w:rsidRPr="007A5413" w:rsidRDefault="007A5413" w:rsidP="007A5413">
            <w:pPr>
              <w:jc w:val="both"/>
              <w:rPr>
                <w:sz w:val="20"/>
                <w:lang w:val="fr-CA"/>
              </w:rPr>
            </w:pPr>
            <w:r w:rsidRPr="007A5413">
              <w:rPr>
                <w:sz w:val="20"/>
                <w:lang w:val="fr-CA"/>
              </w:rPr>
              <w:t>Le demandeur, M. </w:t>
            </w:r>
            <w:proofErr w:type="spellStart"/>
            <w:r w:rsidRPr="007A5413">
              <w:rPr>
                <w:sz w:val="20"/>
                <w:lang w:val="fr-CA"/>
              </w:rPr>
              <w:t>Haidari</w:t>
            </w:r>
            <w:proofErr w:type="spellEnd"/>
            <w:r w:rsidRPr="007A5413">
              <w:rPr>
                <w:sz w:val="20"/>
                <w:lang w:val="fr-CA"/>
              </w:rPr>
              <w:t>, a intenté en Cour fédérale une action dans laquelle il fait valoir plusieurs causes d’action contre la Couronne fédérale intimée. L’intimé a demandé par voie de requête que la déclaration de M. </w:t>
            </w:r>
            <w:proofErr w:type="spellStart"/>
            <w:r w:rsidRPr="007A5413">
              <w:rPr>
                <w:sz w:val="20"/>
                <w:lang w:val="fr-CA"/>
              </w:rPr>
              <w:t>Haidari</w:t>
            </w:r>
            <w:proofErr w:type="spellEnd"/>
            <w:r w:rsidRPr="007A5413">
              <w:rPr>
                <w:sz w:val="20"/>
                <w:lang w:val="fr-CA"/>
              </w:rPr>
              <w:t xml:space="preserve"> soit radiée sans autorisation de la modifier.</w:t>
            </w:r>
          </w:p>
          <w:p w:rsidR="007A5413" w:rsidRPr="007A5413" w:rsidRDefault="007A5413" w:rsidP="007A5413">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7A5413" w:rsidRPr="007A5413" w:rsidTr="00EA525A">
              <w:tc>
                <w:tcPr>
                  <w:tcW w:w="2367" w:type="pct"/>
                </w:tcPr>
                <w:p w:rsidR="007A5413" w:rsidRPr="007A5413" w:rsidRDefault="007A5413" w:rsidP="007A5413">
                  <w:pPr>
                    <w:jc w:val="both"/>
                    <w:rPr>
                      <w:sz w:val="20"/>
                      <w:lang w:val="fr-CA"/>
                    </w:rPr>
                  </w:pPr>
                  <w:r w:rsidRPr="007A5413">
                    <w:rPr>
                      <w:sz w:val="20"/>
                      <w:lang w:val="fr-CA"/>
                    </w:rPr>
                    <w:t>3 novembre 2015</w:t>
                  </w:r>
                </w:p>
                <w:p w:rsidR="007A5413" w:rsidRPr="007A5413" w:rsidRDefault="007A5413" w:rsidP="007A5413">
                  <w:pPr>
                    <w:jc w:val="both"/>
                    <w:rPr>
                      <w:sz w:val="20"/>
                      <w:lang w:val="fr-CA"/>
                    </w:rPr>
                  </w:pPr>
                  <w:r w:rsidRPr="007A5413">
                    <w:rPr>
                      <w:sz w:val="20"/>
                      <w:lang w:val="fr-CA"/>
                    </w:rPr>
                    <w:t>Cour fédérale</w:t>
                  </w:r>
                </w:p>
                <w:p w:rsidR="007A5413" w:rsidRPr="007A5413" w:rsidRDefault="007A5413" w:rsidP="007A5413">
                  <w:pPr>
                    <w:jc w:val="both"/>
                    <w:rPr>
                      <w:sz w:val="20"/>
                      <w:lang w:val="fr-CA"/>
                    </w:rPr>
                  </w:pPr>
                  <w:r w:rsidRPr="007A5413">
                    <w:rPr>
                      <w:sz w:val="20"/>
                      <w:lang w:val="fr-CA"/>
                    </w:rPr>
                    <w:t>(Juge Hughes)</w:t>
                  </w:r>
                </w:p>
                <w:p w:rsidR="007A5413" w:rsidRPr="007A5413" w:rsidRDefault="007A5413" w:rsidP="007A5413">
                  <w:pPr>
                    <w:jc w:val="both"/>
                    <w:rPr>
                      <w:sz w:val="20"/>
                    </w:rPr>
                  </w:pPr>
                  <w:r w:rsidRPr="007A5413">
                    <w:rPr>
                      <w:sz w:val="20"/>
                    </w:rPr>
                    <w:t>T-1466-15 (non publiée)</w:t>
                  </w:r>
                </w:p>
                <w:p w:rsidR="007A5413" w:rsidRPr="007A5413" w:rsidRDefault="007A5413" w:rsidP="007A5413">
                  <w:pPr>
                    <w:jc w:val="both"/>
                    <w:rPr>
                      <w:sz w:val="20"/>
                    </w:rPr>
                  </w:pPr>
                </w:p>
              </w:tc>
              <w:tc>
                <w:tcPr>
                  <w:tcW w:w="267" w:type="pct"/>
                </w:tcPr>
                <w:p w:rsidR="007A5413" w:rsidRPr="007A5413" w:rsidRDefault="007A5413" w:rsidP="007A5413">
                  <w:pPr>
                    <w:jc w:val="both"/>
                    <w:rPr>
                      <w:sz w:val="20"/>
                    </w:rPr>
                  </w:pPr>
                </w:p>
              </w:tc>
              <w:tc>
                <w:tcPr>
                  <w:tcW w:w="2366" w:type="pct"/>
                </w:tcPr>
                <w:p w:rsidR="007A5413" w:rsidRPr="007A5413" w:rsidRDefault="007A5413" w:rsidP="007A5413">
                  <w:pPr>
                    <w:jc w:val="both"/>
                    <w:rPr>
                      <w:sz w:val="20"/>
                    </w:rPr>
                  </w:pPr>
                  <w:r w:rsidRPr="007A5413">
                    <w:rPr>
                      <w:sz w:val="20"/>
                    </w:rPr>
                    <w:t>Requête en radiation accueillie</w:t>
                  </w:r>
                </w:p>
                <w:p w:rsidR="007A5413" w:rsidRPr="007A5413" w:rsidRDefault="007A5413" w:rsidP="007A5413">
                  <w:pPr>
                    <w:jc w:val="both"/>
                    <w:rPr>
                      <w:sz w:val="20"/>
                    </w:rPr>
                  </w:pPr>
                </w:p>
              </w:tc>
            </w:tr>
            <w:tr w:rsidR="007A5413" w:rsidRPr="00A61EAA" w:rsidTr="00EA525A">
              <w:tc>
                <w:tcPr>
                  <w:tcW w:w="2367" w:type="pct"/>
                </w:tcPr>
                <w:p w:rsidR="007A5413" w:rsidRPr="007A5413" w:rsidRDefault="007A5413" w:rsidP="007A5413">
                  <w:pPr>
                    <w:jc w:val="both"/>
                    <w:rPr>
                      <w:sz w:val="20"/>
                      <w:lang w:val="fr-CA"/>
                    </w:rPr>
                  </w:pPr>
                  <w:r w:rsidRPr="007A5413">
                    <w:rPr>
                      <w:sz w:val="20"/>
                      <w:lang w:val="fr-CA"/>
                    </w:rPr>
                    <w:t>12 février 2016</w:t>
                  </w:r>
                </w:p>
                <w:p w:rsidR="007A5413" w:rsidRPr="007A5413" w:rsidRDefault="007A5413" w:rsidP="007A5413">
                  <w:pPr>
                    <w:jc w:val="both"/>
                    <w:rPr>
                      <w:sz w:val="20"/>
                      <w:lang w:val="fr-CA"/>
                    </w:rPr>
                  </w:pPr>
                  <w:r w:rsidRPr="007A5413">
                    <w:rPr>
                      <w:sz w:val="20"/>
                      <w:lang w:val="fr-CA"/>
                    </w:rPr>
                    <w:t>Cour d’appel fédérale</w:t>
                  </w:r>
                </w:p>
                <w:p w:rsidR="007A5413" w:rsidRPr="007A5413" w:rsidRDefault="007A5413" w:rsidP="007A5413">
                  <w:pPr>
                    <w:jc w:val="both"/>
                    <w:rPr>
                      <w:sz w:val="20"/>
                      <w:lang w:val="fr-CA"/>
                    </w:rPr>
                  </w:pPr>
                  <w:r w:rsidRPr="007A5413">
                    <w:rPr>
                      <w:sz w:val="20"/>
                      <w:lang w:val="fr-CA"/>
                    </w:rPr>
                    <w:t>(Juges Webb, Boivin et De Montigny)</w:t>
                  </w:r>
                </w:p>
                <w:p w:rsidR="007A5413" w:rsidRPr="007A5413" w:rsidRDefault="007A5413" w:rsidP="007A5413">
                  <w:pPr>
                    <w:jc w:val="both"/>
                    <w:rPr>
                      <w:sz w:val="20"/>
                    </w:rPr>
                  </w:pPr>
                  <w:r w:rsidRPr="007A5413">
                    <w:rPr>
                      <w:sz w:val="20"/>
                    </w:rPr>
                    <w:t>A-486-15 (non publié)</w:t>
                  </w:r>
                </w:p>
                <w:p w:rsidR="007A5413" w:rsidRPr="007A5413" w:rsidRDefault="007A5413" w:rsidP="007A5413">
                  <w:pPr>
                    <w:jc w:val="both"/>
                    <w:rPr>
                      <w:sz w:val="20"/>
                    </w:rPr>
                  </w:pPr>
                </w:p>
              </w:tc>
              <w:tc>
                <w:tcPr>
                  <w:tcW w:w="267" w:type="pct"/>
                </w:tcPr>
                <w:p w:rsidR="007A5413" w:rsidRPr="007A5413" w:rsidRDefault="007A5413" w:rsidP="007A5413">
                  <w:pPr>
                    <w:jc w:val="both"/>
                    <w:rPr>
                      <w:sz w:val="20"/>
                    </w:rPr>
                  </w:pPr>
                </w:p>
              </w:tc>
              <w:tc>
                <w:tcPr>
                  <w:tcW w:w="2366" w:type="pct"/>
                </w:tcPr>
                <w:p w:rsidR="007A5413" w:rsidRPr="007A5413" w:rsidRDefault="007A5413" w:rsidP="007A5413">
                  <w:pPr>
                    <w:jc w:val="both"/>
                    <w:rPr>
                      <w:sz w:val="20"/>
                      <w:lang w:val="fr-CA"/>
                    </w:rPr>
                  </w:pPr>
                  <w:r w:rsidRPr="007A5413">
                    <w:rPr>
                      <w:sz w:val="20"/>
                      <w:lang w:val="fr-CA"/>
                    </w:rPr>
                    <w:t xml:space="preserve">Rejet de la requête en prorogation du délai pour établir le contenu du recueil d’appel et de l’appel </w:t>
                  </w:r>
                </w:p>
                <w:p w:rsidR="007A5413" w:rsidRPr="007A5413" w:rsidRDefault="007A5413" w:rsidP="007A5413">
                  <w:pPr>
                    <w:jc w:val="both"/>
                    <w:rPr>
                      <w:sz w:val="20"/>
                      <w:lang w:val="fr-CA"/>
                    </w:rPr>
                  </w:pPr>
                </w:p>
              </w:tc>
            </w:tr>
            <w:tr w:rsidR="007A5413" w:rsidRPr="00A61EAA" w:rsidTr="00EA525A">
              <w:tc>
                <w:tcPr>
                  <w:tcW w:w="2367" w:type="pct"/>
                </w:tcPr>
                <w:p w:rsidR="007A5413" w:rsidRPr="007A5413" w:rsidRDefault="007A5413" w:rsidP="007A5413">
                  <w:pPr>
                    <w:jc w:val="both"/>
                    <w:rPr>
                      <w:sz w:val="20"/>
                      <w:lang w:val="fr-CA"/>
                    </w:rPr>
                  </w:pPr>
                  <w:r w:rsidRPr="007A5413">
                    <w:rPr>
                      <w:sz w:val="20"/>
                      <w:lang w:val="fr-CA"/>
                    </w:rPr>
                    <w:t>15 avril 2016</w:t>
                  </w:r>
                </w:p>
                <w:p w:rsidR="007A5413" w:rsidRPr="007A5413" w:rsidRDefault="007A5413" w:rsidP="007A5413">
                  <w:pPr>
                    <w:jc w:val="both"/>
                    <w:rPr>
                      <w:sz w:val="20"/>
                      <w:lang w:val="fr-CA"/>
                    </w:rPr>
                  </w:pPr>
                  <w:r w:rsidRPr="007A5413">
                    <w:rPr>
                      <w:sz w:val="20"/>
                      <w:lang w:val="fr-CA"/>
                    </w:rPr>
                    <w:t>Cour suprême du Canada</w:t>
                  </w:r>
                </w:p>
              </w:tc>
              <w:tc>
                <w:tcPr>
                  <w:tcW w:w="267" w:type="pct"/>
                </w:tcPr>
                <w:p w:rsidR="007A5413" w:rsidRPr="007A5413" w:rsidRDefault="007A5413" w:rsidP="007A5413">
                  <w:pPr>
                    <w:jc w:val="both"/>
                    <w:rPr>
                      <w:sz w:val="20"/>
                      <w:lang w:val="fr-CA"/>
                    </w:rPr>
                  </w:pPr>
                </w:p>
              </w:tc>
              <w:tc>
                <w:tcPr>
                  <w:tcW w:w="2366" w:type="pct"/>
                </w:tcPr>
                <w:p w:rsidR="007A5413" w:rsidRPr="007A5413" w:rsidRDefault="007A5413" w:rsidP="007A5413">
                  <w:pPr>
                    <w:jc w:val="both"/>
                    <w:rPr>
                      <w:sz w:val="20"/>
                      <w:lang w:val="fr-CA"/>
                    </w:rPr>
                  </w:pPr>
                  <w:r w:rsidRPr="007A5413">
                    <w:rPr>
                      <w:sz w:val="20"/>
                      <w:lang w:val="fr-CA"/>
                    </w:rPr>
                    <w:t xml:space="preserve">Dépôt de la demande d’autorisation d’appel </w:t>
                  </w:r>
                </w:p>
                <w:p w:rsidR="007A5413" w:rsidRPr="007A5413" w:rsidRDefault="007A5413" w:rsidP="007A5413">
                  <w:pPr>
                    <w:jc w:val="both"/>
                    <w:rPr>
                      <w:sz w:val="20"/>
                      <w:lang w:val="fr-CA"/>
                    </w:rPr>
                  </w:pPr>
                </w:p>
                <w:p w:rsidR="007A5413" w:rsidRPr="007A5413" w:rsidRDefault="007A5413" w:rsidP="007A5413">
                  <w:pPr>
                    <w:jc w:val="both"/>
                    <w:rPr>
                      <w:sz w:val="20"/>
                      <w:lang w:val="fr-CA"/>
                    </w:rPr>
                  </w:pPr>
                </w:p>
              </w:tc>
            </w:tr>
            <w:tr w:rsidR="007A5413" w:rsidRPr="00A61EAA" w:rsidTr="00EA525A">
              <w:tc>
                <w:tcPr>
                  <w:tcW w:w="2367" w:type="pct"/>
                </w:tcPr>
                <w:p w:rsidR="007A5413" w:rsidRPr="00A61EAA" w:rsidRDefault="007A5413" w:rsidP="007A5413">
                  <w:pPr>
                    <w:jc w:val="both"/>
                    <w:rPr>
                      <w:sz w:val="20"/>
                      <w:lang w:val="fr-CA"/>
                    </w:rPr>
                  </w:pPr>
                  <w:r w:rsidRPr="00A61EAA">
                    <w:rPr>
                      <w:sz w:val="20"/>
                      <w:lang w:val="fr-CA"/>
                    </w:rPr>
                    <w:t>20 avril 2016</w:t>
                  </w:r>
                </w:p>
                <w:p w:rsidR="007A5413" w:rsidRPr="00A61EAA" w:rsidRDefault="007A5413" w:rsidP="007A5413">
                  <w:pPr>
                    <w:jc w:val="both"/>
                    <w:rPr>
                      <w:sz w:val="20"/>
                      <w:lang w:val="fr-CA"/>
                    </w:rPr>
                  </w:pPr>
                  <w:r w:rsidRPr="007A5413">
                    <w:rPr>
                      <w:sz w:val="20"/>
                      <w:lang w:val="fr-CA"/>
                    </w:rPr>
                    <w:t>Cour suprême du Canada</w:t>
                  </w:r>
                </w:p>
              </w:tc>
              <w:tc>
                <w:tcPr>
                  <w:tcW w:w="267" w:type="pct"/>
                </w:tcPr>
                <w:p w:rsidR="007A5413" w:rsidRPr="00A61EAA" w:rsidRDefault="007A5413" w:rsidP="007A5413">
                  <w:pPr>
                    <w:jc w:val="both"/>
                    <w:rPr>
                      <w:sz w:val="20"/>
                      <w:lang w:val="fr-CA"/>
                    </w:rPr>
                  </w:pPr>
                </w:p>
              </w:tc>
              <w:tc>
                <w:tcPr>
                  <w:tcW w:w="2366" w:type="pct"/>
                </w:tcPr>
                <w:p w:rsidR="007A5413" w:rsidRPr="007A5413" w:rsidRDefault="007A5413" w:rsidP="007A5413">
                  <w:pPr>
                    <w:jc w:val="both"/>
                    <w:rPr>
                      <w:sz w:val="20"/>
                      <w:lang w:val="fr-CA"/>
                    </w:rPr>
                  </w:pPr>
                  <w:r w:rsidRPr="007A5413">
                    <w:rPr>
                      <w:sz w:val="20"/>
                      <w:lang w:val="fr-CA"/>
                    </w:rPr>
                    <w:t>Dépôt de la requête en prorogation du délai pour signifier et déposer la demande d’autorisation d’appel</w:t>
                  </w:r>
                </w:p>
              </w:tc>
            </w:tr>
          </w:tbl>
          <w:p w:rsidR="007A5413" w:rsidRPr="007A5413" w:rsidRDefault="007A5413" w:rsidP="007A5413">
            <w:pPr>
              <w:jc w:val="both"/>
              <w:rPr>
                <w:sz w:val="20"/>
                <w:lang w:val="fr-CA"/>
              </w:rPr>
            </w:pPr>
          </w:p>
        </w:tc>
      </w:tr>
    </w:tbl>
    <w:p w:rsidR="00A32C42" w:rsidRPr="00A61EAA" w:rsidRDefault="00A32C42" w:rsidP="008106E3">
      <w:pPr>
        <w:widowControl w:val="0"/>
        <w:autoSpaceDE w:val="0"/>
        <w:autoSpaceDN w:val="0"/>
        <w:adjustRightInd w:val="0"/>
        <w:ind w:left="360" w:hanging="360"/>
        <w:rPr>
          <w:rFonts w:eastAsiaTheme="minorEastAsia"/>
          <w:sz w:val="20"/>
          <w:lang w:val="fr-CA" w:eastAsia="en-CA"/>
        </w:rPr>
      </w:pPr>
    </w:p>
    <w:p w:rsidR="008106E3" w:rsidRPr="00A61EAA" w:rsidRDefault="008106E3" w:rsidP="009A5F3F">
      <w:pPr>
        <w:widowControl w:val="0"/>
        <w:autoSpaceDE w:val="0"/>
        <w:autoSpaceDN w:val="0"/>
        <w:adjustRightInd w:val="0"/>
        <w:ind w:left="360" w:hanging="360"/>
        <w:rPr>
          <w:rFonts w:eastAsiaTheme="minorEastAsia"/>
          <w:sz w:val="20"/>
          <w:lang w:val="fr-CA" w:eastAsia="en-CA"/>
        </w:rPr>
      </w:pPr>
    </w:p>
    <w:p w:rsidR="006F2855" w:rsidRPr="00A61EAA" w:rsidRDefault="006F2855" w:rsidP="009A5F3F">
      <w:pPr>
        <w:widowControl w:val="0"/>
        <w:autoSpaceDE w:val="0"/>
        <w:autoSpaceDN w:val="0"/>
        <w:adjustRightInd w:val="0"/>
        <w:ind w:left="360" w:hanging="360"/>
        <w:rPr>
          <w:rFonts w:eastAsiaTheme="minorEastAsia"/>
          <w:sz w:val="20"/>
          <w:lang w:val="fr-CA" w:eastAsia="en-CA"/>
        </w:rPr>
      </w:pPr>
    </w:p>
    <w:p w:rsidR="00D3344A" w:rsidRPr="00355E2C" w:rsidRDefault="00D3344A" w:rsidP="00D3344A">
      <w:pPr>
        <w:widowControl w:val="0"/>
        <w:outlineLvl w:val="0"/>
      </w:pPr>
      <w:r w:rsidRPr="00355E2C">
        <w:t xml:space="preserve">Supreme Court of Canada / </w:t>
      </w:r>
      <w:proofErr w:type="spellStart"/>
      <w:r w:rsidRPr="00355E2C">
        <w:t>Cour</w:t>
      </w:r>
      <w:proofErr w:type="spellEnd"/>
      <w:r w:rsidRPr="00355E2C">
        <w:t xml:space="preserve"> </w:t>
      </w:r>
      <w:proofErr w:type="spellStart"/>
      <w:r w:rsidRPr="00355E2C">
        <w:t>suprême</w:t>
      </w:r>
      <w:proofErr w:type="spellEnd"/>
      <w:r w:rsidRPr="00355E2C">
        <w:t xml:space="preserve"> du </w:t>
      </w:r>
      <w:proofErr w:type="gramStart"/>
      <w:r w:rsidRPr="00355E2C">
        <w:t>Canad</w:t>
      </w:r>
      <w:r w:rsidR="00EE289F" w:rsidRPr="00355E2C">
        <w:t>a</w:t>
      </w:r>
      <w:r w:rsidRPr="00355E2C">
        <w:t xml:space="preserve"> :</w:t>
      </w:r>
      <w:proofErr w:type="gramEnd"/>
      <w:r w:rsidRPr="00355E2C">
        <w:t xml:space="preserve"> </w:t>
      </w:r>
    </w:p>
    <w:p w:rsidR="00D3344A" w:rsidRPr="00355E2C" w:rsidRDefault="00A61EAA" w:rsidP="00D3344A">
      <w:pPr>
        <w:widowControl w:val="0"/>
        <w:outlineLvl w:val="0"/>
        <w:rPr>
          <w:u w:val="single"/>
        </w:rPr>
      </w:pPr>
      <w:hyperlink r:id="rId37" w:history="1">
        <w:r w:rsidR="00D3344A" w:rsidRPr="00355E2C">
          <w:rPr>
            <w:rStyle w:val="Hyperlink"/>
          </w:rPr>
          <w:t>comments-commentaires@scc-csc.ca</w:t>
        </w:r>
      </w:hyperlink>
    </w:p>
    <w:p w:rsidR="00D3344A" w:rsidRPr="00355E2C" w:rsidRDefault="0065588C" w:rsidP="00D3344A">
      <w:pPr>
        <w:widowControl w:val="0"/>
        <w:outlineLvl w:val="0"/>
      </w:pPr>
      <w:r w:rsidRPr="00355E2C">
        <w:t>613-</w:t>
      </w:r>
      <w:r w:rsidR="00D3344A" w:rsidRPr="00355E2C">
        <w:t>995-4330</w:t>
      </w:r>
    </w:p>
    <w:p w:rsidR="00497B5E" w:rsidRPr="00355E2C" w:rsidRDefault="00497B5E" w:rsidP="00497B5E">
      <w:pPr>
        <w:widowControl w:val="0"/>
        <w:rPr>
          <w:sz w:val="20"/>
        </w:rPr>
      </w:pPr>
    </w:p>
    <w:p w:rsidR="00F6251B" w:rsidRPr="00355E2C" w:rsidRDefault="003F43E6" w:rsidP="00F6251B">
      <w:pPr>
        <w:pStyle w:val="Footer"/>
        <w:jc w:val="center"/>
      </w:pPr>
      <w:r w:rsidRPr="00355E2C">
        <w:t>- 30 -</w:t>
      </w:r>
    </w:p>
    <w:p w:rsidR="00F6251B" w:rsidRPr="00355E2C" w:rsidRDefault="00F6251B" w:rsidP="00F6251B">
      <w:pPr>
        <w:pStyle w:val="Footer"/>
        <w:jc w:val="center"/>
      </w:pPr>
    </w:p>
    <w:p w:rsidR="00F6251B" w:rsidRPr="004B4D42" w:rsidRDefault="00F6251B" w:rsidP="005C1453">
      <w:pPr>
        <w:pStyle w:val="Footer"/>
        <w:ind w:left="2160"/>
        <w:rPr>
          <w:sz w:val="20"/>
          <w:lang w:val="fr-CA"/>
        </w:rPr>
      </w:pPr>
      <w:bookmarkStart w:id="0" w:name="_GoBack"/>
      <w:bookmarkEnd w:id="0"/>
      <w:r w:rsidRPr="004B4D42">
        <w:rPr>
          <w:color w:val="A6A6A6"/>
          <w:sz w:val="16"/>
          <w:szCs w:val="16"/>
          <w:lang w:val="fr-CA"/>
        </w:rPr>
        <w:t xml:space="preserve"> </w:t>
      </w:r>
    </w:p>
    <w:sectPr w:rsidR="00F6251B" w:rsidRPr="004B4D42" w:rsidSect="00524822">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701378"/>
    <w:multiLevelType w:val="hybridMultilevel"/>
    <w:tmpl w:val="737482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6959A9"/>
    <w:multiLevelType w:val="hybridMultilevel"/>
    <w:tmpl w:val="17E0331E"/>
    <w:lvl w:ilvl="0" w:tplc="8458C2D0">
      <w:start w:val="1"/>
      <w:numFmt w:val="decimal"/>
      <w:lvlText w:val="%1."/>
      <w:lvlJc w:val="left"/>
      <w:pPr>
        <w:ind w:left="810" w:hanging="360"/>
      </w:pPr>
      <w:rPr>
        <w:rFonts w:hint="default"/>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1"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BA84D01"/>
    <w:multiLevelType w:val="hybridMultilevel"/>
    <w:tmpl w:val="592E8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F460C4"/>
    <w:multiLevelType w:val="hybridMultilevel"/>
    <w:tmpl w:val="F0904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75066CB"/>
    <w:multiLevelType w:val="hybridMultilevel"/>
    <w:tmpl w:val="1EFAB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B834807"/>
    <w:multiLevelType w:val="hybridMultilevel"/>
    <w:tmpl w:val="9AFA1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2A97EC7"/>
    <w:multiLevelType w:val="hybridMultilevel"/>
    <w:tmpl w:val="A40E1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81419C"/>
    <w:multiLevelType w:val="hybridMultilevel"/>
    <w:tmpl w:val="77965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3"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9"/>
  </w:num>
  <w:num w:numId="13">
    <w:abstractNumId w:val="36"/>
  </w:num>
  <w:num w:numId="14">
    <w:abstractNumId w:val="3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3"/>
  </w:num>
  <w:num w:numId="19">
    <w:abstractNumId w:val="32"/>
  </w:num>
  <w:num w:numId="20">
    <w:abstractNumId w:val="26"/>
  </w:num>
  <w:num w:numId="21">
    <w:abstractNumId w:val="35"/>
  </w:num>
  <w:num w:numId="22">
    <w:abstractNumId w:val="0"/>
  </w:num>
  <w:num w:numId="23">
    <w:abstractNumId w:val="44"/>
  </w:num>
  <w:num w:numId="24">
    <w:abstractNumId w:val="18"/>
  </w:num>
  <w:num w:numId="25">
    <w:abstractNumId w:val="1"/>
  </w:num>
  <w:num w:numId="26">
    <w:abstractNumId w:val="22"/>
  </w:num>
  <w:num w:numId="27">
    <w:abstractNumId w:val="46"/>
  </w:num>
  <w:num w:numId="28">
    <w:abstractNumId w:val="31"/>
  </w:num>
  <w:num w:numId="29">
    <w:abstractNumId w:val="42"/>
  </w:num>
  <w:num w:numId="30">
    <w:abstractNumId w:val="34"/>
  </w:num>
  <w:num w:numId="31">
    <w:abstractNumId w:val="23"/>
  </w:num>
  <w:num w:numId="32">
    <w:abstractNumId w:val="8"/>
  </w:num>
  <w:num w:numId="33">
    <w:abstractNumId w:val="2"/>
  </w:num>
  <w:num w:numId="34">
    <w:abstractNumId w:val="43"/>
  </w:num>
  <w:num w:numId="35">
    <w:abstractNumId w:val="40"/>
  </w:num>
  <w:num w:numId="36">
    <w:abstractNumId w:val="10"/>
  </w:num>
  <w:num w:numId="37">
    <w:abstractNumId w:val="5"/>
  </w:num>
  <w:num w:numId="38">
    <w:abstractNumId w:val="12"/>
  </w:num>
  <w:num w:numId="39">
    <w:abstractNumId w:val="30"/>
  </w:num>
  <w:num w:numId="40">
    <w:abstractNumId w:val="27"/>
  </w:num>
  <w:num w:numId="41">
    <w:abstractNumId w:val="20"/>
  </w:num>
  <w:num w:numId="42">
    <w:abstractNumId w:val="1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9"/>
  </w:num>
  <w:num w:numId="46">
    <w:abstractNumId w:val="41"/>
  </w:num>
  <w:num w:numId="4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935"/>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46F6"/>
    <w:rsid w:val="00167721"/>
    <w:rsid w:val="0017098A"/>
    <w:rsid w:val="001716F7"/>
    <w:rsid w:val="001739C2"/>
    <w:rsid w:val="00173B3A"/>
    <w:rsid w:val="00174655"/>
    <w:rsid w:val="00174D90"/>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33CE"/>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3911"/>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38EF"/>
    <w:rsid w:val="0035515E"/>
    <w:rsid w:val="00355E2C"/>
    <w:rsid w:val="00357828"/>
    <w:rsid w:val="00357895"/>
    <w:rsid w:val="00357916"/>
    <w:rsid w:val="00357B15"/>
    <w:rsid w:val="00360B19"/>
    <w:rsid w:val="00360FCE"/>
    <w:rsid w:val="00362E82"/>
    <w:rsid w:val="00364001"/>
    <w:rsid w:val="00365DC3"/>
    <w:rsid w:val="0036633C"/>
    <w:rsid w:val="0036763E"/>
    <w:rsid w:val="00367E02"/>
    <w:rsid w:val="0037013D"/>
    <w:rsid w:val="00370DA4"/>
    <w:rsid w:val="003710CD"/>
    <w:rsid w:val="00372E91"/>
    <w:rsid w:val="00372FAD"/>
    <w:rsid w:val="00372FD5"/>
    <w:rsid w:val="003739D8"/>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28F"/>
    <w:rsid w:val="004C2585"/>
    <w:rsid w:val="004C281D"/>
    <w:rsid w:val="004C2E9D"/>
    <w:rsid w:val="004C4513"/>
    <w:rsid w:val="004C4BEC"/>
    <w:rsid w:val="004C5A9B"/>
    <w:rsid w:val="004C7663"/>
    <w:rsid w:val="004C7FC6"/>
    <w:rsid w:val="004D25B5"/>
    <w:rsid w:val="004D49C8"/>
    <w:rsid w:val="004D6E67"/>
    <w:rsid w:val="004E00B4"/>
    <w:rsid w:val="004E0963"/>
    <w:rsid w:val="004E0B2F"/>
    <w:rsid w:val="004E1B3F"/>
    <w:rsid w:val="004E2A8E"/>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7BE"/>
    <w:rsid w:val="00632A4A"/>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D6E"/>
    <w:rsid w:val="006A7FA7"/>
    <w:rsid w:val="006B1C34"/>
    <w:rsid w:val="006B1FF1"/>
    <w:rsid w:val="006B293F"/>
    <w:rsid w:val="006B34DE"/>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1450"/>
    <w:rsid w:val="00764725"/>
    <w:rsid w:val="00764B6B"/>
    <w:rsid w:val="00764F0C"/>
    <w:rsid w:val="00766432"/>
    <w:rsid w:val="00766983"/>
    <w:rsid w:val="00767A28"/>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2BE6"/>
    <w:rsid w:val="007A340C"/>
    <w:rsid w:val="007A4A3D"/>
    <w:rsid w:val="007A5413"/>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06E3"/>
    <w:rsid w:val="00810F07"/>
    <w:rsid w:val="008115B8"/>
    <w:rsid w:val="008115CF"/>
    <w:rsid w:val="00812315"/>
    <w:rsid w:val="00813018"/>
    <w:rsid w:val="00814DCA"/>
    <w:rsid w:val="0081539C"/>
    <w:rsid w:val="00815D1B"/>
    <w:rsid w:val="00816C1F"/>
    <w:rsid w:val="00820876"/>
    <w:rsid w:val="0082143F"/>
    <w:rsid w:val="00822064"/>
    <w:rsid w:val="008220AD"/>
    <w:rsid w:val="00823610"/>
    <w:rsid w:val="00824E32"/>
    <w:rsid w:val="0083049A"/>
    <w:rsid w:val="008321A6"/>
    <w:rsid w:val="0083380F"/>
    <w:rsid w:val="00835FCE"/>
    <w:rsid w:val="008368DE"/>
    <w:rsid w:val="00840E25"/>
    <w:rsid w:val="0084161A"/>
    <w:rsid w:val="00841962"/>
    <w:rsid w:val="008424BB"/>
    <w:rsid w:val="0084296C"/>
    <w:rsid w:val="0084456D"/>
    <w:rsid w:val="00844729"/>
    <w:rsid w:val="008465CB"/>
    <w:rsid w:val="0085127E"/>
    <w:rsid w:val="008517C6"/>
    <w:rsid w:val="00852898"/>
    <w:rsid w:val="008534CC"/>
    <w:rsid w:val="00853C98"/>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0C01"/>
    <w:rsid w:val="00881457"/>
    <w:rsid w:val="00882802"/>
    <w:rsid w:val="00882B0F"/>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3DCC"/>
    <w:rsid w:val="00917B21"/>
    <w:rsid w:val="00922101"/>
    <w:rsid w:val="009241BB"/>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273F"/>
    <w:rsid w:val="009C3B2A"/>
    <w:rsid w:val="009C4471"/>
    <w:rsid w:val="009C44E4"/>
    <w:rsid w:val="009C4918"/>
    <w:rsid w:val="009C4C78"/>
    <w:rsid w:val="009C5124"/>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0A3"/>
    <w:rsid w:val="00A11A74"/>
    <w:rsid w:val="00A12CC9"/>
    <w:rsid w:val="00A1467F"/>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2C42"/>
    <w:rsid w:val="00A33342"/>
    <w:rsid w:val="00A33719"/>
    <w:rsid w:val="00A33DF9"/>
    <w:rsid w:val="00A3529A"/>
    <w:rsid w:val="00A40262"/>
    <w:rsid w:val="00A40A77"/>
    <w:rsid w:val="00A41B5E"/>
    <w:rsid w:val="00A41E03"/>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1EAA"/>
    <w:rsid w:val="00A62285"/>
    <w:rsid w:val="00A65A66"/>
    <w:rsid w:val="00A66EE4"/>
    <w:rsid w:val="00A70197"/>
    <w:rsid w:val="00A70585"/>
    <w:rsid w:val="00A715EF"/>
    <w:rsid w:val="00A71BDB"/>
    <w:rsid w:val="00A720B7"/>
    <w:rsid w:val="00A73387"/>
    <w:rsid w:val="00A73405"/>
    <w:rsid w:val="00A741D9"/>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05F"/>
    <w:rsid w:val="00A92AC2"/>
    <w:rsid w:val="00A948B2"/>
    <w:rsid w:val="00A95355"/>
    <w:rsid w:val="00A960E9"/>
    <w:rsid w:val="00A97B41"/>
    <w:rsid w:val="00A97F0C"/>
    <w:rsid w:val="00A97F93"/>
    <w:rsid w:val="00AA0E4D"/>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32"/>
    <w:rsid w:val="00B23A60"/>
    <w:rsid w:val="00B23D80"/>
    <w:rsid w:val="00B243A4"/>
    <w:rsid w:val="00B245B8"/>
    <w:rsid w:val="00B24ABA"/>
    <w:rsid w:val="00B255C5"/>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7ED"/>
    <w:rsid w:val="00B46CB0"/>
    <w:rsid w:val="00B5139A"/>
    <w:rsid w:val="00B52315"/>
    <w:rsid w:val="00B52DAB"/>
    <w:rsid w:val="00B539BE"/>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FCA"/>
    <w:rsid w:val="00BF7494"/>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6829"/>
    <w:rsid w:val="00C86DA3"/>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246A"/>
    <w:rsid w:val="00F73A04"/>
    <w:rsid w:val="00F74DE7"/>
    <w:rsid w:val="00F76A83"/>
    <w:rsid w:val="00F802C8"/>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4545"/>
    <w:rsid w:val="00FB478F"/>
    <w:rsid w:val="00FB5045"/>
    <w:rsid w:val="00FB56BD"/>
    <w:rsid w:val="00FB578C"/>
    <w:rsid w:val="00FB58BB"/>
    <w:rsid w:val="00FB597D"/>
    <w:rsid w:val="00FB634D"/>
    <w:rsid w:val="00FB7725"/>
    <w:rsid w:val="00FC0D59"/>
    <w:rsid w:val="00FC1A5C"/>
    <w:rsid w:val="00FC2D4C"/>
    <w:rsid w:val="00FC39EA"/>
    <w:rsid w:val="00FC469C"/>
    <w:rsid w:val="00FC4943"/>
    <w:rsid w:val="00FC56B8"/>
    <w:rsid w:val="00FC60B8"/>
    <w:rsid w:val="00FC6DE6"/>
    <w:rsid w:val="00FD0A9E"/>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7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A110A3"/>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110A3"/>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967" TargetMode="External"/><Relationship Id="rId13" Type="http://schemas.openxmlformats.org/officeDocument/2006/relationships/hyperlink" Target="http://www.scc-csc.ca/case-dossier/info/sum-som-fra.aspx?cas=36837" TargetMode="External"/><Relationship Id="rId18" Type="http://schemas.openxmlformats.org/officeDocument/2006/relationships/hyperlink" Target="http://canlii.ca/t/fs0hg" TargetMode="External"/><Relationship Id="rId26" Type="http://schemas.openxmlformats.org/officeDocument/2006/relationships/hyperlink" Target="http://canlii.ca/t/gfl0p"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anlii.ca/t/gf14p" TargetMode="External"/><Relationship Id="rId34" Type="http://schemas.openxmlformats.org/officeDocument/2006/relationships/hyperlink" Target="http://www.canlii.org/fr/qc/qccs/doc/2013/2013qccs5939/2013qccs5939.html?autocompleteStr=2013%20qccs%205939&amp;autocompletePos=1"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c-csc.ca/case-dossier/info/sum-som-eng.aspx?cas=36881" TargetMode="External"/><Relationship Id="rId17" Type="http://schemas.openxmlformats.org/officeDocument/2006/relationships/hyperlink" Target="http://canlii.ca/t/gngg2" TargetMode="External"/><Relationship Id="rId25" Type="http://schemas.openxmlformats.org/officeDocument/2006/relationships/hyperlink" Target="http://c-doc.domain.scc-csc.gc.ca/L25/01/05/%3chttp:/canlii.ca/t/gnd5r%3e," TargetMode="External"/><Relationship Id="rId33" Type="http://schemas.openxmlformats.org/officeDocument/2006/relationships/hyperlink" Target="http://www.canlii.org/en/on/onhrt/doc/2015/2015hrto1056/2015hrto1056.html?resultIndex=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nlii.ca/t/gm28z" TargetMode="External"/><Relationship Id="rId20" Type="http://schemas.openxmlformats.org/officeDocument/2006/relationships/hyperlink" Target="http://canlii.ca/t/gngg2" TargetMode="External"/><Relationship Id="rId29" Type="http://schemas.openxmlformats.org/officeDocument/2006/relationships/hyperlink" Target="http://canlii.ca/t/gn8j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933" TargetMode="External"/><Relationship Id="rId24" Type="http://schemas.openxmlformats.org/officeDocument/2006/relationships/hyperlink" Target="http://c-doc.domain.scc-csc.gc.ca/L25/01/05/%3chttp:/canlii.ca/t/gnd5r%3e," TargetMode="External"/><Relationship Id="rId32" Type="http://schemas.openxmlformats.org/officeDocument/2006/relationships/hyperlink" Target="http://www.canlii.org/en/on/onhrt/doc/2013/2013hrto1544/2013hrto1544.html" TargetMode="External"/><Relationship Id="rId37" Type="http://schemas.openxmlformats.org/officeDocument/2006/relationships/hyperlink" Target="mailto:comments-commentaires@scc-csc.ca"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lii.ca/t/fs0hg" TargetMode="External"/><Relationship Id="rId23" Type="http://schemas.openxmlformats.org/officeDocument/2006/relationships/hyperlink" Target="http://canlii.ca/t/gm8j9" TargetMode="External"/><Relationship Id="rId28" Type="http://schemas.openxmlformats.org/officeDocument/2006/relationships/hyperlink" Target="http://canlii.ca/t/gfl0p" TargetMode="External"/><Relationship Id="rId36" Type="http://schemas.openxmlformats.org/officeDocument/2006/relationships/hyperlink" Target="http://www.canlii.org/fr/qc/qccs/doc/2013/2013qccs5939/2013qccs5939.html?autocompleteStr=2013%20qccs%205939&amp;autocompletePos=1" TargetMode="External"/><Relationship Id="rId10" Type="http://schemas.openxmlformats.org/officeDocument/2006/relationships/hyperlink" Target="http://www.scc-csc.ca/case-dossier/info/sum-som-eng.aspx?cas=36946" TargetMode="External"/><Relationship Id="rId19" Type="http://schemas.openxmlformats.org/officeDocument/2006/relationships/hyperlink" Target="http://canlii.ca/t/gm28z" TargetMode="External"/><Relationship Id="rId31" Type="http://schemas.openxmlformats.org/officeDocument/2006/relationships/hyperlink" Target="http://www.canlii.org/en/on/onhrt/doc/2015/2015hrto1056/2015hrto1056.html?resultIndex=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6943" TargetMode="External"/><Relationship Id="rId14" Type="http://schemas.openxmlformats.org/officeDocument/2006/relationships/hyperlink" Target="http://www.scc-csc.ca/case-dossier/info/sum-som-eng.aspx?cas=36964" TargetMode="External"/><Relationship Id="rId22" Type="http://schemas.openxmlformats.org/officeDocument/2006/relationships/hyperlink" Target="http://canlii.ca/t/gm8j9" TargetMode="External"/><Relationship Id="rId27" Type="http://schemas.openxmlformats.org/officeDocument/2006/relationships/hyperlink" Target="http://canlii.ca/t/gn8jr" TargetMode="External"/><Relationship Id="rId30" Type="http://schemas.openxmlformats.org/officeDocument/2006/relationships/hyperlink" Target="http://www.canlii.org/en/on/onhrt/doc/2013/2013hrto1544/2013hrto1544.html" TargetMode="External"/><Relationship Id="rId35" Type="http://schemas.openxmlformats.org/officeDocument/2006/relationships/hyperlink" Target="http://www.canlii.org/fr/qc/qcca/doc/2015/2015qcca1853/2015qcca1853.htm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748A4-1D4D-4F9B-945E-21C38292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5652</Words>
  <Characters>32218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37795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2016-07-22T18:25:00Z</dcterms:created>
  <dcterms:modified xsi:type="dcterms:W3CDTF">2016-08-05T14:18:00Z</dcterms:modified>
</cp:coreProperties>
</file>