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9547E" w:rsidRDefault="003F43E6" w:rsidP="00122CE1">
      <w:pPr>
        <w:pStyle w:val="Header"/>
        <w:tabs>
          <w:tab w:val="left" w:pos="1620"/>
          <w:tab w:val="left" w:pos="1710"/>
        </w:tabs>
        <w:jc w:val="center"/>
        <w:rPr>
          <w:b/>
          <w:sz w:val="32"/>
        </w:rPr>
      </w:pPr>
      <w:r w:rsidRPr="0019547E">
        <w:rPr>
          <w:b/>
          <w:sz w:val="32"/>
        </w:rPr>
        <w:t>Supreme Court of Canada / Cour suprême du Canada</w:t>
      </w:r>
    </w:p>
    <w:p w:rsidR="003F43E6" w:rsidRPr="0019547E" w:rsidRDefault="003F43E6" w:rsidP="006F2579">
      <w:pPr>
        <w:widowControl w:val="0"/>
        <w:rPr>
          <w:i/>
        </w:rPr>
      </w:pPr>
    </w:p>
    <w:p w:rsidR="006F2579" w:rsidRPr="0019547E" w:rsidRDefault="006F2579" w:rsidP="006F2579">
      <w:pPr>
        <w:widowControl w:val="0"/>
        <w:rPr>
          <w:i/>
        </w:rPr>
      </w:pPr>
      <w:r w:rsidRPr="0019547E">
        <w:rPr>
          <w:i/>
        </w:rPr>
        <w:t>(le français suit)</w:t>
      </w:r>
    </w:p>
    <w:p w:rsidR="006F2579" w:rsidRPr="0019547E" w:rsidRDefault="006F2579" w:rsidP="006F2579">
      <w:pPr>
        <w:widowControl w:val="0"/>
      </w:pPr>
    </w:p>
    <w:p w:rsidR="006F2579" w:rsidRPr="0019547E" w:rsidRDefault="00B07908" w:rsidP="006F2579">
      <w:pPr>
        <w:widowControl w:val="0"/>
        <w:jc w:val="center"/>
        <w:rPr>
          <w:b/>
        </w:rPr>
      </w:pPr>
      <w:r w:rsidRPr="0019547E">
        <w:fldChar w:fldCharType="begin"/>
      </w:r>
      <w:r w:rsidR="006F2579" w:rsidRPr="0019547E">
        <w:instrText xml:space="preserve"> SEQ CHAPTER \h \r 1</w:instrText>
      </w:r>
      <w:r w:rsidRPr="0019547E">
        <w:fldChar w:fldCharType="end"/>
      </w:r>
      <w:r w:rsidR="006F2579" w:rsidRPr="0019547E">
        <w:rPr>
          <w:b/>
        </w:rPr>
        <w:t>JUDGMENT</w:t>
      </w:r>
      <w:r w:rsidR="00B17AAC" w:rsidRPr="0019547E">
        <w:rPr>
          <w:b/>
        </w:rPr>
        <w:t>S</w:t>
      </w:r>
      <w:r w:rsidR="006F2579" w:rsidRPr="0019547E">
        <w:rPr>
          <w:b/>
        </w:rPr>
        <w:t xml:space="preserve"> TO B</w:t>
      </w:r>
      <w:r w:rsidR="00001846" w:rsidRPr="0019547E">
        <w:rPr>
          <w:b/>
        </w:rPr>
        <w:t>E RENDERED IN LEAVE APPLICATION</w:t>
      </w:r>
      <w:r w:rsidR="00AE4C09" w:rsidRPr="0019547E">
        <w:rPr>
          <w:b/>
        </w:rPr>
        <w:t>S</w:t>
      </w:r>
    </w:p>
    <w:p w:rsidR="006F2579" w:rsidRPr="0019547E" w:rsidRDefault="006F2579" w:rsidP="006F2579">
      <w:pPr>
        <w:widowControl w:val="0"/>
        <w:rPr>
          <w:b/>
        </w:rPr>
      </w:pPr>
    </w:p>
    <w:p w:rsidR="006F2579" w:rsidRPr="0019547E" w:rsidRDefault="008C0F75" w:rsidP="006F2579">
      <w:pPr>
        <w:widowControl w:val="0"/>
        <w:rPr>
          <w:b/>
        </w:rPr>
      </w:pPr>
      <w:r w:rsidRPr="0019547E">
        <w:rPr>
          <w:b/>
        </w:rPr>
        <w:t>September</w:t>
      </w:r>
      <w:r w:rsidR="00FD37D0" w:rsidRPr="0019547E">
        <w:rPr>
          <w:b/>
        </w:rPr>
        <w:t xml:space="preserve"> </w:t>
      </w:r>
      <w:r w:rsidR="000A6F64">
        <w:rPr>
          <w:b/>
        </w:rPr>
        <w:t>26</w:t>
      </w:r>
      <w:r w:rsidR="00AB5538" w:rsidRPr="0019547E">
        <w:rPr>
          <w:b/>
        </w:rPr>
        <w:t>,</w:t>
      </w:r>
      <w:r w:rsidR="006F2579" w:rsidRPr="0019547E">
        <w:rPr>
          <w:b/>
        </w:rPr>
        <w:t xml:space="preserve"> </w:t>
      </w:r>
      <w:r w:rsidR="0054689F" w:rsidRPr="0019547E">
        <w:rPr>
          <w:b/>
        </w:rPr>
        <w:t>201</w:t>
      </w:r>
      <w:r w:rsidR="00674329" w:rsidRPr="0019547E">
        <w:rPr>
          <w:b/>
        </w:rPr>
        <w:t>6</w:t>
      </w:r>
    </w:p>
    <w:p w:rsidR="006F2579" w:rsidRPr="0019547E" w:rsidRDefault="006F2579" w:rsidP="006F2579">
      <w:pPr>
        <w:widowControl w:val="0"/>
        <w:rPr>
          <w:b/>
        </w:rPr>
      </w:pPr>
      <w:r w:rsidRPr="0019547E">
        <w:rPr>
          <w:b/>
        </w:rPr>
        <w:t>For immediate release</w:t>
      </w:r>
    </w:p>
    <w:p w:rsidR="006F2579" w:rsidRPr="0019547E" w:rsidRDefault="006F2579" w:rsidP="006F2579">
      <w:pPr>
        <w:widowControl w:val="0"/>
      </w:pPr>
    </w:p>
    <w:p w:rsidR="006F2579" w:rsidRPr="0019547E" w:rsidRDefault="006F2579" w:rsidP="006F2579">
      <w:pPr>
        <w:widowControl w:val="0"/>
      </w:pPr>
      <w:r w:rsidRPr="0019547E">
        <w:rPr>
          <w:b/>
        </w:rPr>
        <w:t>OTTAWA</w:t>
      </w:r>
      <w:r w:rsidRPr="0019547E">
        <w:t xml:space="preserve"> – The Supreme Court of Canada announced today that judgment in the following application</w:t>
      </w:r>
      <w:r w:rsidR="008600ED" w:rsidRPr="0019547E">
        <w:t>s</w:t>
      </w:r>
      <w:r w:rsidRPr="0019547E">
        <w:t xml:space="preserve"> for leave to appeal will be delivered at 9:45 a.m. E</w:t>
      </w:r>
      <w:r w:rsidR="003817A9" w:rsidRPr="0019547E">
        <w:t>D</w:t>
      </w:r>
      <w:r w:rsidRPr="0019547E">
        <w:t xml:space="preserve">T on Thursday, </w:t>
      </w:r>
      <w:r w:rsidR="009C477B" w:rsidRPr="0019547E">
        <w:t>September</w:t>
      </w:r>
      <w:r w:rsidR="00FD37D0" w:rsidRPr="0019547E">
        <w:t xml:space="preserve"> </w:t>
      </w:r>
      <w:r w:rsidR="00F14BA7" w:rsidRPr="0019547E">
        <w:t>2</w:t>
      </w:r>
      <w:r w:rsidR="000A6F64">
        <w:t>9</w:t>
      </w:r>
      <w:r w:rsidR="007E112F" w:rsidRPr="0019547E">
        <w:t>,</w:t>
      </w:r>
      <w:r w:rsidR="002F38D7" w:rsidRPr="0019547E">
        <w:t xml:space="preserve"> </w:t>
      </w:r>
      <w:r w:rsidR="006648D1" w:rsidRPr="0019547E">
        <w:t>201</w:t>
      </w:r>
      <w:r w:rsidR="00674329" w:rsidRPr="0019547E">
        <w:t>6</w:t>
      </w:r>
      <w:r w:rsidRPr="0019547E">
        <w:t>. This list is subject to change.</w:t>
      </w:r>
    </w:p>
    <w:p w:rsidR="00FF5AA4" w:rsidRPr="0019547E" w:rsidRDefault="00FF5AA4" w:rsidP="006F2579">
      <w:pPr>
        <w:widowControl w:val="0"/>
      </w:pPr>
    </w:p>
    <w:p w:rsidR="00B43418" w:rsidRPr="0019547E" w:rsidRDefault="00B43418" w:rsidP="006F2579">
      <w:pPr>
        <w:widowControl w:val="0"/>
      </w:pPr>
    </w:p>
    <w:p w:rsidR="006F2579" w:rsidRPr="0019547E" w:rsidRDefault="006F2579" w:rsidP="006F2579">
      <w:pPr>
        <w:widowControl w:val="0"/>
        <w:jc w:val="center"/>
        <w:rPr>
          <w:lang w:val="fr-CA"/>
        </w:rPr>
      </w:pPr>
      <w:r w:rsidRPr="0019547E">
        <w:rPr>
          <w:b/>
          <w:lang w:val="fr-CA"/>
        </w:rPr>
        <w:t>PROCHAIN</w:t>
      </w:r>
      <w:r w:rsidR="00B17AAC" w:rsidRPr="0019547E">
        <w:rPr>
          <w:b/>
          <w:lang w:val="fr-CA"/>
        </w:rPr>
        <w:t>S</w:t>
      </w:r>
      <w:r w:rsidRPr="0019547E">
        <w:rPr>
          <w:b/>
          <w:lang w:val="fr-CA"/>
        </w:rPr>
        <w:t xml:space="preserve"> JUGEMENT</w:t>
      </w:r>
      <w:r w:rsidR="00B17AAC" w:rsidRPr="0019547E">
        <w:rPr>
          <w:b/>
          <w:lang w:val="fr-CA"/>
        </w:rPr>
        <w:t>S</w:t>
      </w:r>
      <w:r w:rsidR="00001846" w:rsidRPr="0019547E">
        <w:rPr>
          <w:b/>
          <w:lang w:val="fr-CA"/>
        </w:rPr>
        <w:t xml:space="preserve"> SUR DEMANDE</w:t>
      </w:r>
      <w:r w:rsidR="00B17AAC" w:rsidRPr="0019547E">
        <w:rPr>
          <w:b/>
          <w:lang w:val="fr-CA"/>
        </w:rPr>
        <w:t>S</w:t>
      </w:r>
      <w:r w:rsidRPr="0019547E">
        <w:rPr>
          <w:b/>
          <w:lang w:val="fr-CA"/>
        </w:rPr>
        <w:t xml:space="preserve"> D’AUTORISATION</w:t>
      </w:r>
    </w:p>
    <w:p w:rsidR="006F2579" w:rsidRPr="0019547E" w:rsidRDefault="006F2579" w:rsidP="006F2579">
      <w:pPr>
        <w:widowControl w:val="0"/>
        <w:rPr>
          <w:lang w:val="fr-CA"/>
        </w:rPr>
      </w:pPr>
    </w:p>
    <w:p w:rsidR="006F2579" w:rsidRPr="0019547E" w:rsidRDefault="006F2579" w:rsidP="006F2579">
      <w:pPr>
        <w:widowControl w:val="0"/>
        <w:rPr>
          <w:b/>
          <w:lang w:val="fr-CA"/>
        </w:rPr>
      </w:pPr>
      <w:r w:rsidRPr="0019547E">
        <w:rPr>
          <w:b/>
          <w:lang w:val="fr-CA"/>
        </w:rPr>
        <w:t>Le</w:t>
      </w:r>
      <w:r w:rsidR="00957A76" w:rsidRPr="0019547E">
        <w:rPr>
          <w:b/>
          <w:lang w:val="fr-CA"/>
        </w:rPr>
        <w:t xml:space="preserve"> </w:t>
      </w:r>
      <w:r w:rsidR="000A6F64">
        <w:rPr>
          <w:b/>
          <w:lang w:val="fr-CA"/>
        </w:rPr>
        <w:t>26</w:t>
      </w:r>
      <w:r w:rsidR="00FD37D0" w:rsidRPr="0019547E">
        <w:rPr>
          <w:b/>
          <w:lang w:val="fr-CA"/>
        </w:rPr>
        <w:t xml:space="preserve"> </w:t>
      </w:r>
      <w:r w:rsidR="008C0F75" w:rsidRPr="0019547E">
        <w:rPr>
          <w:b/>
          <w:lang w:val="fr-CA"/>
        </w:rPr>
        <w:t>septembre</w:t>
      </w:r>
      <w:r w:rsidR="00674329" w:rsidRPr="0019547E">
        <w:rPr>
          <w:b/>
          <w:lang w:val="fr-CA"/>
        </w:rPr>
        <w:t xml:space="preserve"> 2016</w:t>
      </w:r>
    </w:p>
    <w:p w:rsidR="006F2579" w:rsidRPr="0019547E" w:rsidRDefault="006F2579" w:rsidP="006F2579">
      <w:pPr>
        <w:widowControl w:val="0"/>
        <w:rPr>
          <w:b/>
          <w:lang w:val="fr-CA"/>
        </w:rPr>
      </w:pPr>
      <w:r w:rsidRPr="0019547E">
        <w:rPr>
          <w:b/>
          <w:lang w:val="fr-CA"/>
        </w:rPr>
        <w:t>Pour diffusion immédiate</w:t>
      </w:r>
    </w:p>
    <w:p w:rsidR="006F2579" w:rsidRPr="0019547E" w:rsidRDefault="006F2579" w:rsidP="006F2579">
      <w:pPr>
        <w:widowControl w:val="0"/>
        <w:rPr>
          <w:b/>
          <w:lang w:val="fr-CA"/>
        </w:rPr>
      </w:pPr>
    </w:p>
    <w:p w:rsidR="006F2579" w:rsidRPr="0019547E" w:rsidRDefault="006F2579" w:rsidP="006F2579">
      <w:pPr>
        <w:widowControl w:val="0"/>
        <w:rPr>
          <w:lang w:val="fr-CA"/>
        </w:rPr>
      </w:pPr>
      <w:r w:rsidRPr="0019547E">
        <w:rPr>
          <w:b/>
          <w:lang w:val="fr-CA"/>
        </w:rPr>
        <w:t>OTTAWA</w:t>
      </w:r>
      <w:r w:rsidRPr="0019547E">
        <w:rPr>
          <w:lang w:val="fr-CA"/>
        </w:rPr>
        <w:t xml:space="preserve"> – La Cour suprême du Canada annonce que jugement ser</w:t>
      </w:r>
      <w:r w:rsidR="004259F9" w:rsidRPr="0019547E">
        <w:rPr>
          <w:lang w:val="fr-CA"/>
        </w:rPr>
        <w:t>a</w:t>
      </w:r>
      <w:r w:rsidRPr="0019547E">
        <w:rPr>
          <w:lang w:val="fr-CA"/>
        </w:rPr>
        <w:t xml:space="preserve"> rendu dans l</w:t>
      </w:r>
      <w:r w:rsidR="008600ED" w:rsidRPr="0019547E">
        <w:rPr>
          <w:lang w:val="fr-CA"/>
        </w:rPr>
        <w:t>es</w:t>
      </w:r>
      <w:r w:rsidRPr="0019547E">
        <w:rPr>
          <w:lang w:val="fr-CA"/>
        </w:rPr>
        <w:t xml:space="preserve"> demande</w:t>
      </w:r>
      <w:r w:rsidR="008600ED" w:rsidRPr="0019547E">
        <w:rPr>
          <w:lang w:val="fr-CA"/>
        </w:rPr>
        <w:t>s</w:t>
      </w:r>
      <w:r w:rsidRPr="0019547E">
        <w:rPr>
          <w:lang w:val="fr-CA"/>
        </w:rPr>
        <w:t xml:space="preserve"> d</w:t>
      </w:r>
      <w:r w:rsidR="00001846" w:rsidRPr="0019547E">
        <w:rPr>
          <w:lang w:val="fr-CA"/>
        </w:rPr>
        <w:t>’autorisation d’appel suivante</w:t>
      </w:r>
      <w:r w:rsidR="008600ED" w:rsidRPr="0019547E">
        <w:rPr>
          <w:lang w:val="fr-CA"/>
        </w:rPr>
        <w:t>s</w:t>
      </w:r>
      <w:r w:rsidRPr="0019547E">
        <w:rPr>
          <w:lang w:val="fr-CA"/>
        </w:rPr>
        <w:t xml:space="preserve"> le jeudi </w:t>
      </w:r>
      <w:r w:rsidR="00F14BA7" w:rsidRPr="0019547E">
        <w:rPr>
          <w:lang w:val="fr-CA"/>
        </w:rPr>
        <w:t>2</w:t>
      </w:r>
      <w:r w:rsidR="000A6F64">
        <w:rPr>
          <w:lang w:val="fr-CA"/>
        </w:rPr>
        <w:t>9</w:t>
      </w:r>
      <w:r w:rsidR="0025030E" w:rsidRPr="0019547E">
        <w:rPr>
          <w:lang w:val="fr-CA"/>
        </w:rPr>
        <w:t xml:space="preserve"> </w:t>
      </w:r>
      <w:r w:rsidR="009C477B" w:rsidRPr="0019547E">
        <w:rPr>
          <w:lang w:val="fr-CA"/>
        </w:rPr>
        <w:t>septembre</w:t>
      </w:r>
      <w:r w:rsidR="00674329" w:rsidRPr="0019547E">
        <w:rPr>
          <w:lang w:val="fr-CA"/>
        </w:rPr>
        <w:t xml:space="preserve"> </w:t>
      </w:r>
      <w:r w:rsidR="006648D1" w:rsidRPr="0019547E">
        <w:rPr>
          <w:lang w:val="fr-CA"/>
        </w:rPr>
        <w:t>201</w:t>
      </w:r>
      <w:r w:rsidR="00674329" w:rsidRPr="0019547E">
        <w:rPr>
          <w:lang w:val="fr-CA"/>
        </w:rPr>
        <w:t>6</w:t>
      </w:r>
      <w:r w:rsidRPr="0019547E">
        <w:rPr>
          <w:lang w:val="fr-CA"/>
        </w:rPr>
        <w:t xml:space="preserve">, à 9 h 45 </w:t>
      </w:r>
      <w:r w:rsidR="000627A2" w:rsidRPr="0019547E">
        <w:rPr>
          <w:lang w:val="fr-CA"/>
        </w:rPr>
        <w:t>H</w:t>
      </w:r>
      <w:r w:rsidR="003817A9" w:rsidRPr="0019547E">
        <w:rPr>
          <w:lang w:val="fr-CA"/>
        </w:rPr>
        <w:t>A</w:t>
      </w:r>
      <w:r w:rsidRPr="0019547E">
        <w:rPr>
          <w:lang w:val="fr-CA"/>
        </w:rPr>
        <w:t>E. Cette liste est sujette à modifications.</w:t>
      </w:r>
    </w:p>
    <w:p w:rsidR="0080556B" w:rsidRPr="0019547E" w:rsidRDefault="0080556B" w:rsidP="009B14F4">
      <w:pPr>
        <w:widowControl w:val="0"/>
        <w:jc w:val="both"/>
        <w:rPr>
          <w:sz w:val="20"/>
          <w:lang w:val="fr-CA"/>
        </w:rPr>
      </w:pPr>
    </w:p>
    <w:p w:rsidR="001838E0" w:rsidRPr="0019547E" w:rsidRDefault="003D353C" w:rsidP="009B14F4">
      <w:pPr>
        <w:widowControl w:val="0"/>
        <w:jc w:val="both"/>
        <w:rPr>
          <w:sz w:val="20"/>
          <w:lang w:val="fr-CA"/>
        </w:rPr>
      </w:pPr>
      <w:r w:rsidRPr="0019547E">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2396F" w:rsidRPr="000A6F64" w:rsidRDefault="0042396F" w:rsidP="000A6F64">
      <w:pPr>
        <w:ind w:left="360" w:hanging="360"/>
        <w:rPr>
          <w:rFonts w:eastAsiaTheme="minorEastAsia"/>
          <w:sz w:val="20"/>
          <w:lang w:val="fr-CA" w:eastAsia="en-CA"/>
        </w:rPr>
      </w:pPr>
    </w:p>
    <w:p w:rsidR="000A6F64" w:rsidRPr="000A6F64" w:rsidRDefault="000A6F64" w:rsidP="000A6F64">
      <w:pPr>
        <w:pStyle w:val="ListParagraph"/>
        <w:numPr>
          <w:ilvl w:val="0"/>
          <w:numId w:val="13"/>
        </w:numPr>
        <w:ind w:left="360"/>
        <w:jc w:val="both"/>
        <w:rPr>
          <w:sz w:val="20"/>
          <w:lang w:val="en-CA" w:eastAsia="en-CA"/>
        </w:rPr>
      </w:pPr>
      <w:r w:rsidRPr="000A6F64">
        <w:rPr>
          <w:i/>
          <w:sz w:val="20"/>
          <w:lang w:val="en-CA" w:eastAsia="en-CA"/>
        </w:rPr>
        <w:t xml:space="preserve">Tyrone Daum v. Michael John Clapci </w:t>
      </w:r>
      <w:r w:rsidRPr="000A6F64">
        <w:rPr>
          <w:sz w:val="20"/>
          <w:lang w:val="en-CA" w:eastAsia="en-CA"/>
        </w:rPr>
        <w:t>(B.C.) (Civil) (By Leave)</w:t>
      </w:r>
      <w:r w:rsidR="00524432">
        <w:rPr>
          <w:sz w:val="20"/>
          <w:lang w:val="en-CA" w:eastAsia="en-CA"/>
        </w:rPr>
        <w:t xml:space="preserve"> </w:t>
      </w:r>
      <w:r w:rsidR="00524432" w:rsidRPr="0019547E">
        <w:rPr>
          <w:sz w:val="20"/>
        </w:rPr>
        <w:t>(</w:t>
      </w:r>
      <w:hyperlink r:id="rId8" w:history="1">
        <w:r w:rsidR="00524432" w:rsidRPr="0019547E">
          <w:rPr>
            <w:rStyle w:val="Hyperlink"/>
            <w:sz w:val="20"/>
          </w:rPr>
          <w:t>370</w:t>
        </w:r>
        <w:r w:rsidR="00524432">
          <w:rPr>
            <w:rStyle w:val="Hyperlink"/>
            <w:sz w:val="20"/>
          </w:rPr>
          <w:t>81</w:t>
        </w:r>
      </w:hyperlink>
      <w:r w:rsidR="00524432" w:rsidRPr="0019547E">
        <w:rPr>
          <w:sz w:val="20"/>
        </w:rPr>
        <w:t>)</w:t>
      </w:r>
    </w:p>
    <w:p w:rsidR="000A6F64" w:rsidRPr="000A6F64" w:rsidRDefault="000A6F64" w:rsidP="000A6F64">
      <w:pPr>
        <w:ind w:left="360" w:hanging="360"/>
        <w:jc w:val="both"/>
        <w:rPr>
          <w:sz w:val="20"/>
          <w:lang w:val="en-CA" w:eastAsia="en-CA"/>
        </w:rPr>
      </w:pPr>
    </w:p>
    <w:p w:rsidR="000A6F64" w:rsidRPr="000A6F64" w:rsidRDefault="000A6F64" w:rsidP="000A6F64">
      <w:pPr>
        <w:pStyle w:val="ListParagraph"/>
        <w:numPr>
          <w:ilvl w:val="0"/>
          <w:numId w:val="13"/>
        </w:numPr>
        <w:ind w:left="360"/>
        <w:jc w:val="both"/>
        <w:rPr>
          <w:sz w:val="20"/>
          <w:lang w:val="en-CA" w:eastAsia="en-CA"/>
        </w:rPr>
      </w:pPr>
      <w:r w:rsidRPr="000A6F64">
        <w:rPr>
          <w:i/>
          <w:sz w:val="20"/>
          <w:lang w:val="en-CA" w:eastAsia="en-CA"/>
        </w:rPr>
        <w:t>Kwok Kin Kwong v. Minister of Citizenship and Immigration Canada</w:t>
      </w:r>
      <w:r w:rsidRPr="000A6F64">
        <w:rPr>
          <w:sz w:val="20"/>
          <w:lang w:val="en-CA" w:eastAsia="en-CA"/>
        </w:rPr>
        <w:t xml:space="preserve"> (F</w:t>
      </w:r>
      <w:r w:rsidR="00FF58A5">
        <w:rPr>
          <w:sz w:val="20"/>
          <w:lang w:val="en-CA" w:eastAsia="en-CA"/>
        </w:rPr>
        <w:t>.</w:t>
      </w:r>
      <w:r w:rsidRPr="000A6F64">
        <w:rPr>
          <w:sz w:val="20"/>
          <w:lang w:val="en-CA" w:eastAsia="en-CA"/>
        </w:rPr>
        <w:t>C</w:t>
      </w:r>
      <w:r w:rsidR="00FF58A5">
        <w:rPr>
          <w:sz w:val="20"/>
          <w:lang w:val="en-CA" w:eastAsia="en-CA"/>
        </w:rPr>
        <w:t>.</w:t>
      </w:r>
      <w:r w:rsidRPr="000A6F64">
        <w:rPr>
          <w:sz w:val="20"/>
          <w:lang w:val="en-CA" w:eastAsia="en-CA"/>
        </w:rPr>
        <w:t>) (Civil) (By Leave)</w:t>
      </w:r>
      <w:r w:rsidR="00FF58A5">
        <w:rPr>
          <w:sz w:val="20"/>
          <w:lang w:val="en-CA" w:eastAsia="en-CA"/>
        </w:rPr>
        <w:t xml:space="preserve"> </w:t>
      </w:r>
      <w:r w:rsidR="00FF58A5" w:rsidRPr="0019547E">
        <w:rPr>
          <w:sz w:val="20"/>
        </w:rPr>
        <w:t>(</w:t>
      </w:r>
      <w:hyperlink r:id="rId9" w:history="1">
        <w:r w:rsidR="00FF58A5" w:rsidRPr="0019547E">
          <w:rPr>
            <w:rStyle w:val="Hyperlink"/>
            <w:sz w:val="20"/>
          </w:rPr>
          <w:t>370</w:t>
        </w:r>
        <w:r w:rsidR="00FF58A5">
          <w:rPr>
            <w:rStyle w:val="Hyperlink"/>
            <w:sz w:val="20"/>
          </w:rPr>
          <w:t>61</w:t>
        </w:r>
      </w:hyperlink>
      <w:r w:rsidR="00FF58A5" w:rsidRPr="0019547E">
        <w:rPr>
          <w:sz w:val="20"/>
        </w:rPr>
        <w:t>)</w:t>
      </w:r>
    </w:p>
    <w:p w:rsidR="000A6F64" w:rsidRPr="000A6F64" w:rsidRDefault="000A6F64" w:rsidP="000A6F64">
      <w:pPr>
        <w:ind w:left="360" w:hanging="360"/>
        <w:rPr>
          <w:sz w:val="20"/>
          <w:lang w:val="en-CA"/>
        </w:rPr>
      </w:pPr>
    </w:p>
    <w:p w:rsidR="000A6F64" w:rsidRPr="000A6F64" w:rsidRDefault="000A6F64" w:rsidP="000A6F64">
      <w:pPr>
        <w:pStyle w:val="ListParagraph"/>
        <w:numPr>
          <w:ilvl w:val="0"/>
          <w:numId w:val="13"/>
        </w:numPr>
        <w:ind w:left="360"/>
        <w:jc w:val="both"/>
        <w:rPr>
          <w:sz w:val="20"/>
          <w:lang w:val="en-CA" w:eastAsia="en-CA"/>
        </w:rPr>
      </w:pPr>
      <w:r w:rsidRPr="000A6F64">
        <w:rPr>
          <w:i/>
          <w:sz w:val="20"/>
          <w:lang w:val="en-CA" w:eastAsia="en-CA"/>
        </w:rPr>
        <w:t xml:space="preserve">Enbridge Gas New Brunswick Limited Partnership, as represented by its general partner et al. v. Province of New Brunswick </w:t>
      </w:r>
      <w:r w:rsidRPr="000A6F64">
        <w:rPr>
          <w:sz w:val="20"/>
          <w:lang w:val="en-CA" w:eastAsia="en-CA"/>
        </w:rPr>
        <w:t xml:space="preserve">(N.B.) (Civil) (By Leave) </w:t>
      </w:r>
      <w:r w:rsidR="002A50D2" w:rsidRPr="0019547E">
        <w:rPr>
          <w:sz w:val="20"/>
        </w:rPr>
        <w:t>(</w:t>
      </w:r>
      <w:hyperlink r:id="rId10" w:history="1">
        <w:r w:rsidR="002A50D2" w:rsidRPr="0019547E">
          <w:rPr>
            <w:rStyle w:val="Hyperlink"/>
            <w:sz w:val="20"/>
          </w:rPr>
          <w:t>3703</w:t>
        </w:r>
        <w:r w:rsidR="002A50D2">
          <w:rPr>
            <w:rStyle w:val="Hyperlink"/>
            <w:sz w:val="20"/>
          </w:rPr>
          <w:t>5</w:t>
        </w:r>
      </w:hyperlink>
      <w:r w:rsidR="002A50D2" w:rsidRPr="0019547E">
        <w:rPr>
          <w:sz w:val="20"/>
        </w:rPr>
        <w:t>)</w:t>
      </w:r>
    </w:p>
    <w:p w:rsidR="000A6F64" w:rsidRPr="000A6F64" w:rsidRDefault="000A6F64" w:rsidP="000A6F64">
      <w:pPr>
        <w:ind w:left="360" w:hanging="360"/>
        <w:jc w:val="both"/>
        <w:rPr>
          <w:sz w:val="20"/>
          <w:lang w:val="en-CA" w:eastAsia="en-CA"/>
        </w:rPr>
      </w:pPr>
    </w:p>
    <w:p w:rsidR="000A6F64" w:rsidRPr="000A6F64" w:rsidRDefault="000A6F64" w:rsidP="000A6F64">
      <w:pPr>
        <w:pStyle w:val="ListParagraph"/>
        <w:numPr>
          <w:ilvl w:val="0"/>
          <w:numId w:val="13"/>
        </w:numPr>
        <w:ind w:left="360"/>
        <w:jc w:val="both"/>
        <w:rPr>
          <w:sz w:val="20"/>
          <w:lang w:val="en-CA" w:eastAsia="en-CA"/>
        </w:rPr>
      </w:pPr>
      <w:r w:rsidRPr="000A6F64">
        <w:rPr>
          <w:i/>
          <w:sz w:val="20"/>
          <w:lang w:val="en-CA" w:eastAsia="en-CA"/>
        </w:rPr>
        <w:t xml:space="preserve">Lesley Cabott v. Urban Systems Ltd. </w:t>
      </w:r>
      <w:r w:rsidRPr="000A6F64">
        <w:rPr>
          <w:sz w:val="20"/>
          <w:lang w:val="en-CA" w:eastAsia="en-CA"/>
        </w:rPr>
        <w:t>(Y.T.) (Civil) (By Leave)</w:t>
      </w:r>
      <w:r w:rsidR="00CC16EE">
        <w:rPr>
          <w:sz w:val="20"/>
          <w:lang w:val="en-CA" w:eastAsia="en-CA"/>
        </w:rPr>
        <w:t xml:space="preserve"> </w:t>
      </w:r>
      <w:r w:rsidR="00CC16EE" w:rsidRPr="0019547E">
        <w:rPr>
          <w:sz w:val="20"/>
        </w:rPr>
        <w:t>(</w:t>
      </w:r>
      <w:hyperlink r:id="rId11" w:history="1">
        <w:r w:rsidR="00CC16EE" w:rsidRPr="0019547E">
          <w:rPr>
            <w:rStyle w:val="Hyperlink"/>
            <w:sz w:val="20"/>
          </w:rPr>
          <w:t>370</w:t>
        </w:r>
        <w:r w:rsidR="00CC16EE">
          <w:rPr>
            <w:rStyle w:val="Hyperlink"/>
            <w:sz w:val="20"/>
          </w:rPr>
          <w:t>9</w:t>
        </w:r>
        <w:r w:rsidR="00CC16EE" w:rsidRPr="0019547E">
          <w:rPr>
            <w:rStyle w:val="Hyperlink"/>
            <w:sz w:val="20"/>
          </w:rPr>
          <w:t>0</w:t>
        </w:r>
      </w:hyperlink>
      <w:r w:rsidR="00CC16EE" w:rsidRPr="0019547E">
        <w:rPr>
          <w:sz w:val="20"/>
        </w:rPr>
        <w:t>)</w:t>
      </w:r>
    </w:p>
    <w:p w:rsidR="000A6F64" w:rsidRPr="000A6F64" w:rsidRDefault="000A6F64" w:rsidP="000A6F64">
      <w:pPr>
        <w:ind w:left="360" w:hanging="360"/>
        <w:jc w:val="both"/>
        <w:rPr>
          <w:sz w:val="20"/>
          <w:lang w:val="en-CA" w:eastAsia="en-CA"/>
        </w:rPr>
      </w:pPr>
    </w:p>
    <w:p w:rsidR="000A6F64" w:rsidRPr="000A6F64" w:rsidRDefault="000A6F64" w:rsidP="000A6F64">
      <w:pPr>
        <w:pStyle w:val="ListParagraph"/>
        <w:numPr>
          <w:ilvl w:val="0"/>
          <w:numId w:val="13"/>
        </w:numPr>
        <w:ind w:left="360"/>
        <w:jc w:val="both"/>
        <w:rPr>
          <w:sz w:val="20"/>
          <w:lang w:val="en-CA" w:eastAsia="en-CA"/>
        </w:rPr>
      </w:pPr>
      <w:r w:rsidRPr="000A6F64">
        <w:rPr>
          <w:i/>
          <w:sz w:val="20"/>
          <w:lang w:val="en-CA" w:eastAsia="en-CA"/>
        </w:rPr>
        <w:t>Haiyan Gong v. Minister of Citizenship and Immigration</w:t>
      </w:r>
      <w:r w:rsidRPr="000A6F64">
        <w:rPr>
          <w:sz w:val="20"/>
          <w:lang w:val="en-CA" w:eastAsia="en-CA"/>
        </w:rPr>
        <w:t xml:space="preserve"> (F</w:t>
      </w:r>
      <w:r w:rsidR="00803B2E">
        <w:rPr>
          <w:sz w:val="20"/>
          <w:lang w:val="en-CA" w:eastAsia="en-CA"/>
        </w:rPr>
        <w:t>.</w:t>
      </w:r>
      <w:r w:rsidRPr="000A6F64">
        <w:rPr>
          <w:sz w:val="20"/>
          <w:lang w:val="en-CA" w:eastAsia="en-CA"/>
        </w:rPr>
        <w:t>C</w:t>
      </w:r>
      <w:r w:rsidR="00803B2E">
        <w:rPr>
          <w:sz w:val="20"/>
          <w:lang w:val="en-CA" w:eastAsia="en-CA"/>
        </w:rPr>
        <w:t>.</w:t>
      </w:r>
      <w:r w:rsidRPr="000A6F64">
        <w:rPr>
          <w:sz w:val="20"/>
          <w:lang w:val="en-CA" w:eastAsia="en-CA"/>
        </w:rPr>
        <w:t>) (Civil) (By Leave)</w:t>
      </w:r>
      <w:r w:rsidR="00803B2E">
        <w:rPr>
          <w:sz w:val="20"/>
          <w:lang w:val="en-CA" w:eastAsia="en-CA"/>
        </w:rPr>
        <w:t xml:space="preserve"> </w:t>
      </w:r>
      <w:r w:rsidR="00803B2E" w:rsidRPr="0019547E">
        <w:rPr>
          <w:sz w:val="20"/>
        </w:rPr>
        <w:t>(</w:t>
      </w:r>
      <w:hyperlink r:id="rId12" w:history="1">
        <w:r w:rsidR="00803B2E" w:rsidRPr="0019547E">
          <w:rPr>
            <w:rStyle w:val="Hyperlink"/>
            <w:sz w:val="20"/>
          </w:rPr>
          <w:t>370</w:t>
        </w:r>
        <w:r w:rsidR="00803B2E">
          <w:rPr>
            <w:rStyle w:val="Hyperlink"/>
            <w:sz w:val="20"/>
          </w:rPr>
          <w:t>4</w:t>
        </w:r>
        <w:r w:rsidR="00803B2E" w:rsidRPr="0019547E">
          <w:rPr>
            <w:rStyle w:val="Hyperlink"/>
            <w:sz w:val="20"/>
          </w:rPr>
          <w:t>0</w:t>
        </w:r>
      </w:hyperlink>
      <w:r w:rsidR="00803B2E" w:rsidRPr="0019547E">
        <w:rPr>
          <w:sz w:val="20"/>
        </w:rPr>
        <w:t>)</w:t>
      </w:r>
    </w:p>
    <w:p w:rsidR="000A6F64" w:rsidRPr="000A6F64" w:rsidRDefault="000A6F64" w:rsidP="000A6F64">
      <w:pPr>
        <w:tabs>
          <w:tab w:val="center" w:pos="720"/>
        </w:tabs>
        <w:ind w:left="360" w:hanging="360"/>
        <w:rPr>
          <w:sz w:val="20"/>
          <w:lang w:val="en-CA"/>
        </w:rPr>
      </w:pPr>
    </w:p>
    <w:p w:rsidR="000A6F64" w:rsidRPr="000A6F64" w:rsidRDefault="000A6F64" w:rsidP="000A6F64">
      <w:pPr>
        <w:pStyle w:val="ListParagraph"/>
        <w:numPr>
          <w:ilvl w:val="0"/>
          <w:numId w:val="13"/>
        </w:numPr>
        <w:ind w:left="360"/>
        <w:jc w:val="both"/>
        <w:rPr>
          <w:sz w:val="20"/>
          <w:lang w:val="en-CA" w:eastAsia="en-CA"/>
        </w:rPr>
      </w:pPr>
      <w:r w:rsidRPr="000A6F64">
        <w:rPr>
          <w:i/>
          <w:sz w:val="20"/>
          <w:lang w:val="en-CA" w:eastAsia="en-CA"/>
        </w:rPr>
        <w:t>Curtis James Haas v. Her Majesty the Queen</w:t>
      </w:r>
      <w:r w:rsidRPr="000A6F64">
        <w:rPr>
          <w:sz w:val="20"/>
          <w:lang w:val="en-CA" w:eastAsia="en-CA"/>
        </w:rPr>
        <w:t xml:space="preserve"> (Man.) (Criminal) (By Leave)</w:t>
      </w:r>
      <w:r w:rsidR="0094182D">
        <w:rPr>
          <w:sz w:val="20"/>
          <w:lang w:val="en-CA" w:eastAsia="en-CA"/>
        </w:rPr>
        <w:t xml:space="preserve"> </w:t>
      </w:r>
      <w:r w:rsidR="0094182D" w:rsidRPr="0019547E">
        <w:rPr>
          <w:sz w:val="20"/>
        </w:rPr>
        <w:t>(</w:t>
      </w:r>
      <w:hyperlink r:id="rId13" w:history="1">
        <w:r w:rsidR="0094182D" w:rsidRPr="0019547E">
          <w:rPr>
            <w:rStyle w:val="Hyperlink"/>
            <w:sz w:val="20"/>
          </w:rPr>
          <w:t>37</w:t>
        </w:r>
        <w:r w:rsidR="0094182D">
          <w:rPr>
            <w:rStyle w:val="Hyperlink"/>
            <w:sz w:val="20"/>
          </w:rPr>
          <w:t>1</w:t>
        </w:r>
        <w:r w:rsidR="0094182D" w:rsidRPr="0019547E">
          <w:rPr>
            <w:rStyle w:val="Hyperlink"/>
            <w:sz w:val="20"/>
          </w:rPr>
          <w:t>03</w:t>
        </w:r>
      </w:hyperlink>
      <w:r w:rsidR="0094182D" w:rsidRPr="0019547E">
        <w:rPr>
          <w:sz w:val="20"/>
        </w:rPr>
        <w:t>)</w:t>
      </w:r>
    </w:p>
    <w:p w:rsidR="000A6F64" w:rsidRPr="000A6F64" w:rsidRDefault="000A6F64" w:rsidP="000A6F64">
      <w:pPr>
        <w:ind w:left="360" w:hanging="360"/>
        <w:jc w:val="both"/>
        <w:rPr>
          <w:sz w:val="20"/>
          <w:lang w:val="en-CA" w:eastAsia="en-CA"/>
        </w:rPr>
      </w:pPr>
    </w:p>
    <w:p w:rsidR="000A6F64" w:rsidRPr="000A6F64" w:rsidRDefault="000A6F64" w:rsidP="000A6F64">
      <w:pPr>
        <w:pStyle w:val="ListParagraph"/>
        <w:numPr>
          <w:ilvl w:val="0"/>
          <w:numId w:val="13"/>
        </w:numPr>
        <w:ind w:left="360"/>
        <w:jc w:val="both"/>
        <w:rPr>
          <w:sz w:val="20"/>
          <w:lang w:val="fr-FR" w:eastAsia="en-CA"/>
        </w:rPr>
      </w:pPr>
      <w:r w:rsidRPr="000A6F64">
        <w:rPr>
          <w:i/>
          <w:sz w:val="20"/>
          <w:lang w:val="fr-FR" w:eastAsia="en-CA"/>
        </w:rPr>
        <w:t>9090-5647 Québec inc. c. Ville de Sainte-Julie</w:t>
      </w:r>
      <w:r w:rsidRPr="000A6F64">
        <w:rPr>
          <w:sz w:val="20"/>
          <w:lang w:val="fr-FR" w:eastAsia="en-CA"/>
        </w:rPr>
        <w:t xml:space="preserve"> (Qc) (</w:t>
      </w:r>
      <w:r w:rsidR="002A7839">
        <w:rPr>
          <w:sz w:val="20"/>
          <w:lang w:val="fr-FR" w:eastAsia="en-CA"/>
        </w:rPr>
        <w:t>C</w:t>
      </w:r>
      <w:r w:rsidRPr="000A6F64">
        <w:rPr>
          <w:sz w:val="20"/>
          <w:lang w:val="fr-FR" w:eastAsia="en-CA"/>
        </w:rPr>
        <w:t>ivile) (Autorisation)</w:t>
      </w:r>
      <w:r w:rsidR="002A7839">
        <w:rPr>
          <w:sz w:val="20"/>
          <w:lang w:val="fr-FR" w:eastAsia="en-CA"/>
        </w:rPr>
        <w:t xml:space="preserve"> </w:t>
      </w:r>
      <w:r w:rsidR="002A7839" w:rsidRPr="00973A12">
        <w:rPr>
          <w:sz w:val="20"/>
          <w:szCs w:val="20"/>
          <w:lang w:val="fr-CA"/>
        </w:rPr>
        <w:t>(</w:t>
      </w:r>
      <w:hyperlink r:id="rId14" w:history="1">
        <w:r w:rsidR="002A7839" w:rsidRPr="00973A12">
          <w:rPr>
            <w:rStyle w:val="Hyperlink"/>
            <w:sz w:val="20"/>
            <w:szCs w:val="20"/>
            <w:lang w:val="fr-CA"/>
          </w:rPr>
          <w:t>3</w:t>
        </w:r>
        <w:r w:rsidR="002A7839">
          <w:rPr>
            <w:rStyle w:val="Hyperlink"/>
            <w:sz w:val="20"/>
            <w:szCs w:val="20"/>
            <w:lang w:val="fr-CA"/>
          </w:rPr>
          <w:t>7089</w:t>
        </w:r>
      </w:hyperlink>
      <w:r w:rsidR="002A7839" w:rsidRPr="00973A12">
        <w:rPr>
          <w:sz w:val="20"/>
          <w:szCs w:val="20"/>
          <w:lang w:val="fr-CA"/>
        </w:rPr>
        <w:t>)</w:t>
      </w:r>
    </w:p>
    <w:p w:rsidR="000A6F64" w:rsidRPr="000A6F64" w:rsidRDefault="000A6F64" w:rsidP="000A6F64">
      <w:pPr>
        <w:ind w:left="360" w:hanging="360"/>
        <w:jc w:val="both"/>
        <w:rPr>
          <w:sz w:val="20"/>
          <w:lang w:val="fr-FR" w:eastAsia="en-CA"/>
        </w:rPr>
      </w:pPr>
    </w:p>
    <w:p w:rsidR="000A6F64" w:rsidRPr="000A6F64" w:rsidRDefault="000A6F64" w:rsidP="000A6F64">
      <w:pPr>
        <w:pStyle w:val="ListParagraph"/>
        <w:numPr>
          <w:ilvl w:val="0"/>
          <w:numId w:val="13"/>
        </w:numPr>
        <w:ind w:left="360"/>
        <w:jc w:val="both"/>
        <w:rPr>
          <w:sz w:val="20"/>
          <w:lang w:val="fr-FR" w:eastAsia="en-CA"/>
        </w:rPr>
      </w:pPr>
      <w:r w:rsidRPr="000A6F64">
        <w:rPr>
          <w:i/>
          <w:sz w:val="20"/>
          <w:lang w:val="fr-FR" w:eastAsia="en-CA"/>
        </w:rPr>
        <w:t>Marie-Anne Jean c. Société Radio-Canada</w:t>
      </w:r>
      <w:r w:rsidRPr="000A6F64">
        <w:rPr>
          <w:sz w:val="20"/>
          <w:lang w:val="fr-FR" w:eastAsia="en-CA"/>
        </w:rPr>
        <w:t xml:space="preserve"> (C</w:t>
      </w:r>
      <w:r w:rsidR="00DD40A3">
        <w:rPr>
          <w:sz w:val="20"/>
          <w:lang w:val="fr-FR" w:eastAsia="en-CA"/>
        </w:rPr>
        <w:t>.</w:t>
      </w:r>
      <w:r w:rsidRPr="000A6F64">
        <w:rPr>
          <w:sz w:val="20"/>
          <w:lang w:val="fr-FR" w:eastAsia="en-CA"/>
        </w:rPr>
        <w:t>F</w:t>
      </w:r>
      <w:r w:rsidR="00DD40A3">
        <w:rPr>
          <w:sz w:val="20"/>
          <w:lang w:val="fr-FR" w:eastAsia="en-CA"/>
        </w:rPr>
        <w:t>.</w:t>
      </w:r>
      <w:r w:rsidRPr="000A6F64">
        <w:rPr>
          <w:sz w:val="20"/>
          <w:lang w:val="fr-FR" w:eastAsia="en-CA"/>
        </w:rPr>
        <w:t>) (Civile) (Autorisation)</w:t>
      </w:r>
      <w:r w:rsidR="00E00415">
        <w:rPr>
          <w:sz w:val="20"/>
          <w:lang w:val="fr-FR" w:eastAsia="en-CA"/>
        </w:rPr>
        <w:t xml:space="preserve"> </w:t>
      </w:r>
      <w:r w:rsidR="00E00415" w:rsidRPr="00973A12">
        <w:rPr>
          <w:sz w:val="20"/>
          <w:szCs w:val="20"/>
          <w:lang w:val="fr-CA"/>
        </w:rPr>
        <w:t>(</w:t>
      </w:r>
      <w:hyperlink r:id="rId15" w:history="1">
        <w:r w:rsidR="00E00415" w:rsidRPr="00973A12">
          <w:rPr>
            <w:rStyle w:val="Hyperlink"/>
            <w:sz w:val="20"/>
            <w:szCs w:val="20"/>
            <w:lang w:val="fr-CA"/>
          </w:rPr>
          <w:t>3</w:t>
        </w:r>
        <w:r w:rsidR="00E00415">
          <w:rPr>
            <w:rStyle w:val="Hyperlink"/>
            <w:sz w:val="20"/>
            <w:szCs w:val="20"/>
            <w:lang w:val="fr-CA"/>
          </w:rPr>
          <w:t>7020</w:t>
        </w:r>
      </w:hyperlink>
      <w:r w:rsidR="00E00415" w:rsidRPr="00973A12">
        <w:rPr>
          <w:sz w:val="20"/>
          <w:szCs w:val="20"/>
          <w:lang w:val="fr-CA"/>
        </w:rPr>
        <w:t>)</w:t>
      </w:r>
    </w:p>
    <w:p w:rsidR="000A6F64" w:rsidRPr="008A0018" w:rsidRDefault="000A6F64" w:rsidP="008A0018">
      <w:pPr>
        <w:ind w:left="360" w:hanging="360"/>
        <w:jc w:val="both"/>
        <w:rPr>
          <w:rFonts w:eastAsiaTheme="minorEastAsia"/>
          <w:sz w:val="20"/>
          <w:lang w:val="fr-CA" w:eastAsia="en-CA"/>
        </w:rPr>
      </w:pPr>
    </w:p>
    <w:p w:rsidR="000A6F64" w:rsidRPr="008A0018" w:rsidRDefault="000A6F64" w:rsidP="008A0018">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A0018" w:rsidRPr="008A0018" w:rsidTr="00E95A6A">
        <w:tc>
          <w:tcPr>
            <w:tcW w:w="543" w:type="pct"/>
          </w:tcPr>
          <w:p w:rsidR="008A0018" w:rsidRPr="008A0018" w:rsidRDefault="008A0018" w:rsidP="008A0018">
            <w:pPr>
              <w:jc w:val="both"/>
              <w:rPr>
                <w:sz w:val="20"/>
              </w:rPr>
            </w:pPr>
            <w:r w:rsidRPr="008A0018">
              <w:rPr>
                <w:rStyle w:val="SCCFileNumberChar"/>
                <w:sz w:val="20"/>
                <w:szCs w:val="20"/>
              </w:rPr>
              <w:t>37081</w:t>
            </w:r>
          </w:p>
        </w:tc>
        <w:tc>
          <w:tcPr>
            <w:tcW w:w="4457" w:type="pct"/>
            <w:gridSpan w:val="3"/>
          </w:tcPr>
          <w:p w:rsidR="008A0018" w:rsidRPr="008A0018" w:rsidRDefault="008A0018" w:rsidP="008A0018">
            <w:pPr>
              <w:pStyle w:val="SCCLsocParty"/>
              <w:jc w:val="both"/>
              <w:rPr>
                <w:b/>
                <w:sz w:val="20"/>
                <w:szCs w:val="20"/>
              </w:rPr>
            </w:pPr>
            <w:r w:rsidRPr="008A0018">
              <w:rPr>
                <w:b/>
                <w:sz w:val="20"/>
                <w:szCs w:val="20"/>
              </w:rPr>
              <w:t>Tyrone Daum v. Michael John Clapci</w:t>
            </w:r>
          </w:p>
          <w:p w:rsidR="008A0018" w:rsidRPr="008A0018" w:rsidRDefault="008A0018" w:rsidP="008A0018">
            <w:pPr>
              <w:jc w:val="both"/>
              <w:rPr>
                <w:sz w:val="20"/>
              </w:rPr>
            </w:pPr>
            <w:r w:rsidRPr="008A0018">
              <w:rPr>
                <w:sz w:val="20"/>
              </w:rPr>
              <w:t>(B.C.) (Civil) (By Leave)</w:t>
            </w:r>
          </w:p>
        </w:tc>
      </w:tr>
      <w:tr w:rsidR="008A0018" w:rsidRPr="008A0018" w:rsidTr="00E95A6A">
        <w:tc>
          <w:tcPr>
            <w:tcW w:w="5000" w:type="pct"/>
            <w:gridSpan w:val="4"/>
          </w:tcPr>
          <w:p w:rsidR="008A0018" w:rsidRPr="008A0018" w:rsidRDefault="008A0018" w:rsidP="008A0018">
            <w:pPr>
              <w:jc w:val="both"/>
              <w:rPr>
                <w:sz w:val="20"/>
              </w:rPr>
            </w:pPr>
            <w:r w:rsidRPr="008A0018">
              <w:rPr>
                <w:sz w:val="20"/>
              </w:rPr>
              <w:t xml:space="preserve">Commercial law – Corporations – Trusts – Breach of trust – Damages – Derivative claims – Equitable compensation – Whether the exception to the rule in </w:t>
            </w:r>
            <w:r w:rsidRPr="008A0018">
              <w:rPr>
                <w:i/>
                <w:sz w:val="20"/>
              </w:rPr>
              <w:t>Foss v. Harbottle</w:t>
            </w:r>
            <w:r w:rsidRPr="008A0018">
              <w:rPr>
                <w:sz w:val="20"/>
              </w:rPr>
              <w:t xml:space="preserve"> (1943), 2 Hare 461, 67 Ch. 189 (Ch.), articulated in </w:t>
            </w:r>
            <w:r w:rsidRPr="008A0018">
              <w:rPr>
                <w:i/>
                <w:sz w:val="20"/>
              </w:rPr>
              <w:t>Johnson v. Gore Wood &amp; Co.</w:t>
            </w:r>
            <w:r w:rsidRPr="008A0018">
              <w:rPr>
                <w:sz w:val="20"/>
              </w:rPr>
              <w:t xml:space="preserve">, </w:t>
            </w:r>
            <w:r w:rsidRPr="008A0018">
              <w:rPr>
                <w:rStyle w:val="reflex3-alt"/>
                <w:sz w:val="20"/>
              </w:rPr>
              <w:t xml:space="preserve">[2001] 1 All E.R. 481, applies in Canada </w:t>
            </w:r>
            <w:r w:rsidRPr="008A0018">
              <w:rPr>
                <w:sz w:val="20"/>
              </w:rPr>
              <w:t>–</w:t>
            </w:r>
            <w:r w:rsidRPr="008A0018">
              <w:rPr>
                <w:rStyle w:val="reflex3-alt"/>
                <w:sz w:val="20"/>
              </w:rPr>
              <w:t xml:space="preserve"> Whether t</w:t>
            </w:r>
            <w:r w:rsidRPr="008A0018">
              <w:rPr>
                <w:sz w:val="20"/>
              </w:rPr>
              <w:t>he Court of Appeal erred by failing to award Mr. Daum equitable compensation for damage to the value of his shares held pursuant to a trust agreement where the trustee breached his trust obligation by refusing to return the shares.</w:t>
            </w:r>
          </w:p>
        </w:tc>
      </w:tr>
      <w:tr w:rsidR="008A0018" w:rsidRPr="008A0018" w:rsidTr="00E95A6A">
        <w:tc>
          <w:tcPr>
            <w:tcW w:w="5000" w:type="pct"/>
            <w:gridSpan w:val="4"/>
          </w:tcPr>
          <w:p w:rsidR="008A0018" w:rsidRPr="008A0018" w:rsidRDefault="008A0018" w:rsidP="008A0018">
            <w:pPr>
              <w:jc w:val="both"/>
              <w:rPr>
                <w:sz w:val="20"/>
              </w:rPr>
            </w:pPr>
          </w:p>
        </w:tc>
      </w:tr>
      <w:tr w:rsidR="008A0018" w:rsidRPr="008A0018" w:rsidTr="00E95A6A">
        <w:tc>
          <w:tcPr>
            <w:tcW w:w="5000" w:type="pct"/>
            <w:gridSpan w:val="4"/>
          </w:tcPr>
          <w:p w:rsidR="008A0018" w:rsidRPr="008A0018" w:rsidRDefault="008A0018" w:rsidP="008A0018">
            <w:pPr>
              <w:jc w:val="both"/>
              <w:rPr>
                <w:sz w:val="20"/>
              </w:rPr>
            </w:pPr>
            <w:r w:rsidRPr="008A0018">
              <w:rPr>
                <w:sz w:val="20"/>
              </w:rPr>
              <w:t>The parties entered into a trust agreement under which Mr. Clapci loaned Mr. Daum’s numbered company money to pay out a mortgage on a hotel property. He became the sole director of the numbered company and was made bare trustee, for Mr. Daum, of 82% of its shares and owner of the other 18% of the shares. The parties’ business relationship deteriorated. Mr. Clapci shut the hotel in November 2010 and it was left empty. Mr. Daum then made an unmet demand for return of his shares. The hotel’s insurer refused to maintain replacement coverage in a hotel left empty over the winter, but Mr. Clapci did not obtain replacement insurance. The hotel was destroyed in a fire in March 2011, and the insurer paid about $500,000 less than it would have paid had replacement coverage been in place.</w:t>
            </w:r>
          </w:p>
          <w:p w:rsidR="008A0018" w:rsidRPr="008A0018" w:rsidRDefault="008A0018" w:rsidP="008A0018">
            <w:pPr>
              <w:jc w:val="both"/>
              <w:rPr>
                <w:sz w:val="20"/>
              </w:rPr>
            </w:pPr>
          </w:p>
          <w:p w:rsidR="008A0018" w:rsidRPr="008A0018" w:rsidRDefault="008A0018" w:rsidP="008A0018">
            <w:pPr>
              <w:jc w:val="both"/>
              <w:rPr>
                <w:sz w:val="20"/>
              </w:rPr>
            </w:pPr>
            <w:r w:rsidRPr="008A0018">
              <w:rPr>
                <w:sz w:val="20"/>
              </w:rPr>
              <w:t>The trial judge granted much of Mr. Daum’s claim for recovery and largely dismissed Mr. Clapci’s counterclaim. The Court of Appeal allowed Mr. Clapci’s appeal, but dismissed Mr. Daum’s cross-appeal.</w:t>
            </w:r>
          </w:p>
          <w:p w:rsidR="008A0018" w:rsidRPr="008A0018" w:rsidRDefault="008A0018" w:rsidP="008A0018">
            <w:pPr>
              <w:jc w:val="both"/>
              <w:rPr>
                <w:sz w:val="20"/>
              </w:rPr>
            </w:pPr>
          </w:p>
        </w:tc>
      </w:tr>
      <w:tr w:rsidR="008A0018" w:rsidRPr="008A0018" w:rsidTr="00E95A6A">
        <w:tc>
          <w:tcPr>
            <w:tcW w:w="2427" w:type="pct"/>
            <w:gridSpan w:val="2"/>
          </w:tcPr>
          <w:p w:rsidR="008A0018" w:rsidRPr="008A0018" w:rsidRDefault="008A0018" w:rsidP="008A0018">
            <w:pPr>
              <w:jc w:val="both"/>
              <w:rPr>
                <w:sz w:val="20"/>
              </w:rPr>
            </w:pPr>
            <w:r w:rsidRPr="008A0018">
              <w:rPr>
                <w:sz w:val="20"/>
              </w:rPr>
              <w:t>July 18, 2014</w:t>
            </w:r>
          </w:p>
          <w:p w:rsidR="008A0018" w:rsidRPr="008A0018" w:rsidRDefault="008A0018" w:rsidP="008A0018">
            <w:pPr>
              <w:jc w:val="both"/>
              <w:rPr>
                <w:sz w:val="20"/>
              </w:rPr>
            </w:pPr>
            <w:r w:rsidRPr="008A0018">
              <w:rPr>
                <w:sz w:val="20"/>
              </w:rPr>
              <w:t>Supreme Court of British Columbia</w:t>
            </w:r>
          </w:p>
          <w:p w:rsidR="008A0018" w:rsidRPr="008A0018" w:rsidRDefault="008A0018" w:rsidP="008A0018">
            <w:pPr>
              <w:jc w:val="both"/>
              <w:rPr>
                <w:sz w:val="20"/>
              </w:rPr>
            </w:pPr>
            <w:r w:rsidRPr="008A0018">
              <w:rPr>
                <w:sz w:val="20"/>
              </w:rPr>
              <w:t>(Macintosh J.)</w:t>
            </w:r>
          </w:p>
          <w:p w:rsidR="008A0018" w:rsidRPr="008A0018" w:rsidRDefault="00F52446" w:rsidP="008A0018">
            <w:pPr>
              <w:jc w:val="both"/>
              <w:rPr>
                <w:sz w:val="20"/>
              </w:rPr>
            </w:pPr>
            <w:hyperlink r:id="rId16" w:history="1">
              <w:r w:rsidR="008A0018" w:rsidRPr="008A0018">
                <w:rPr>
                  <w:rStyle w:val="Hyperlink"/>
                  <w:sz w:val="20"/>
                </w:rPr>
                <w:t>2014 BCSC 1524</w:t>
              </w:r>
            </w:hyperlink>
          </w:p>
          <w:p w:rsidR="008A0018" w:rsidRPr="008A0018" w:rsidRDefault="008A0018" w:rsidP="008A0018">
            <w:pPr>
              <w:jc w:val="both"/>
              <w:rPr>
                <w:sz w:val="20"/>
              </w:rPr>
            </w:pPr>
          </w:p>
        </w:tc>
        <w:tc>
          <w:tcPr>
            <w:tcW w:w="243" w:type="pct"/>
          </w:tcPr>
          <w:p w:rsidR="008A0018" w:rsidRPr="008A0018" w:rsidRDefault="008A0018" w:rsidP="008A0018">
            <w:pPr>
              <w:jc w:val="both"/>
              <w:rPr>
                <w:sz w:val="20"/>
              </w:rPr>
            </w:pPr>
          </w:p>
        </w:tc>
        <w:tc>
          <w:tcPr>
            <w:tcW w:w="2330" w:type="pct"/>
          </w:tcPr>
          <w:p w:rsidR="008A0018" w:rsidRPr="008A0018" w:rsidRDefault="008A0018" w:rsidP="008A0018">
            <w:pPr>
              <w:tabs>
                <w:tab w:val="left" w:pos="1234"/>
              </w:tabs>
              <w:jc w:val="both"/>
              <w:rPr>
                <w:sz w:val="20"/>
              </w:rPr>
            </w:pPr>
            <w:r w:rsidRPr="008A0018">
              <w:rPr>
                <w:i/>
                <w:sz w:val="20"/>
              </w:rPr>
              <w:t>Inter alia</w:t>
            </w:r>
            <w:r w:rsidRPr="008A0018">
              <w:rPr>
                <w:sz w:val="20"/>
              </w:rPr>
              <w:t>, Mr. Clapci ordered to forfeit his 18% of the shares in company; Mr. Daum declared owner of 100% of the shares in company; the monies paid into court ordered paid to credit of company; parties to apply for payment out of those funds; Mr. Clapci awarded $13,000; counterclaim otherwise dismissed; Mr. Daum awarded $25,000 in punitive damages; company’s mortgage declared null and void and ordered discharged; and Mr. Clapci removed as officer, director and shareholder of company.</w:t>
            </w:r>
          </w:p>
          <w:p w:rsidR="008A0018" w:rsidRPr="008A0018" w:rsidRDefault="008A0018" w:rsidP="008A0018">
            <w:pPr>
              <w:jc w:val="both"/>
              <w:rPr>
                <w:sz w:val="20"/>
              </w:rPr>
            </w:pPr>
          </w:p>
        </w:tc>
      </w:tr>
      <w:tr w:rsidR="008A0018" w:rsidRPr="008A0018" w:rsidTr="00E95A6A">
        <w:tc>
          <w:tcPr>
            <w:tcW w:w="2427" w:type="pct"/>
            <w:gridSpan w:val="2"/>
          </w:tcPr>
          <w:p w:rsidR="008A0018" w:rsidRPr="008A0018" w:rsidRDefault="008A0018" w:rsidP="008A0018">
            <w:pPr>
              <w:jc w:val="both"/>
              <w:rPr>
                <w:sz w:val="20"/>
              </w:rPr>
            </w:pPr>
            <w:r w:rsidRPr="008A0018">
              <w:rPr>
                <w:sz w:val="20"/>
              </w:rPr>
              <w:t>April 21, 2016</w:t>
            </w:r>
          </w:p>
          <w:p w:rsidR="008A0018" w:rsidRPr="008A0018" w:rsidRDefault="008A0018" w:rsidP="008A0018">
            <w:pPr>
              <w:jc w:val="both"/>
              <w:rPr>
                <w:sz w:val="20"/>
              </w:rPr>
            </w:pPr>
            <w:r w:rsidRPr="008A0018">
              <w:rPr>
                <w:sz w:val="20"/>
              </w:rPr>
              <w:t>Court of Appeal for British Columbia (Vancouver)</w:t>
            </w:r>
          </w:p>
          <w:p w:rsidR="008A0018" w:rsidRPr="008A0018" w:rsidRDefault="008A0018" w:rsidP="008A0018">
            <w:pPr>
              <w:jc w:val="both"/>
              <w:rPr>
                <w:sz w:val="20"/>
              </w:rPr>
            </w:pPr>
            <w:r w:rsidRPr="008A0018">
              <w:rPr>
                <w:sz w:val="20"/>
              </w:rPr>
              <w:t xml:space="preserve">(Newbury, Bennett, </w:t>
            </w:r>
            <w:proofErr w:type="spellStart"/>
            <w:r w:rsidRPr="008A0018">
              <w:rPr>
                <w:sz w:val="20"/>
              </w:rPr>
              <w:t>Fenlon</w:t>
            </w:r>
            <w:proofErr w:type="spellEnd"/>
            <w:r w:rsidRPr="008A0018">
              <w:rPr>
                <w:sz w:val="20"/>
              </w:rPr>
              <w:t xml:space="preserve"> JJ.A.)</w:t>
            </w:r>
          </w:p>
          <w:p w:rsidR="008A0018" w:rsidRPr="008A0018" w:rsidRDefault="00F52446" w:rsidP="008A0018">
            <w:pPr>
              <w:jc w:val="both"/>
              <w:rPr>
                <w:sz w:val="20"/>
              </w:rPr>
            </w:pPr>
            <w:hyperlink r:id="rId17" w:history="1">
              <w:r w:rsidR="008A0018" w:rsidRPr="008A0018">
                <w:rPr>
                  <w:rStyle w:val="Hyperlink"/>
                  <w:sz w:val="20"/>
                </w:rPr>
                <w:t>2016 BCCA 176</w:t>
              </w:r>
            </w:hyperlink>
          </w:p>
          <w:p w:rsidR="008A0018" w:rsidRPr="008A0018" w:rsidRDefault="008A0018" w:rsidP="008A0018">
            <w:pPr>
              <w:jc w:val="both"/>
              <w:rPr>
                <w:sz w:val="20"/>
              </w:rPr>
            </w:pPr>
          </w:p>
        </w:tc>
        <w:tc>
          <w:tcPr>
            <w:tcW w:w="243" w:type="pct"/>
          </w:tcPr>
          <w:p w:rsidR="008A0018" w:rsidRPr="008A0018" w:rsidRDefault="008A0018" w:rsidP="008A0018">
            <w:pPr>
              <w:jc w:val="both"/>
              <w:rPr>
                <w:sz w:val="20"/>
              </w:rPr>
            </w:pPr>
          </w:p>
        </w:tc>
        <w:tc>
          <w:tcPr>
            <w:tcW w:w="2330" w:type="pct"/>
          </w:tcPr>
          <w:p w:rsidR="008A0018" w:rsidRPr="008A0018" w:rsidRDefault="008A0018" w:rsidP="008A0018">
            <w:pPr>
              <w:jc w:val="both"/>
              <w:rPr>
                <w:sz w:val="20"/>
              </w:rPr>
            </w:pPr>
            <w:r w:rsidRPr="008A0018">
              <w:rPr>
                <w:sz w:val="20"/>
              </w:rPr>
              <w:t>Appeal allowed; cross-appeal dismissed.</w:t>
            </w:r>
          </w:p>
          <w:p w:rsidR="008A0018" w:rsidRPr="008A0018" w:rsidRDefault="008A0018" w:rsidP="008A0018">
            <w:pPr>
              <w:jc w:val="both"/>
              <w:rPr>
                <w:sz w:val="20"/>
              </w:rPr>
            </w:pPr>
          </w:p>
        </w:tc>
      </w:tr>
      <w:tr w:rsidR="008A0018" w:rsidRPr="008A0018" w:rsidTr="00E95A6A">
        <w:tc>
          <w:tcPr>
            <w:tcW w:w="2427" w:type="pct"/>
            <w:gridSpan w:val="2"/>
          </w:tcPr>
          <w:p w:rsidR="008A0018" w:rsidRPr="008A0018" w:rsidRDefault="008A0018" w:rsidP="008A0018">
            <w:pPr>
              <w:jc w:val="both"/>
              <w:rPr>
                <w:sz w:val="20"/>
              </w:rPr>
            </w:pPr>
            <w:r w:rsidRPr="008A0018">
              <w:rPr>
                <w:sz w:val="20"/>
              </w:rPr>
              <w:t>June 17, 2016</w:t>
            </w:r>
          </w:p>
          <w:p w:rsidR="008A0018" w:rsidRPr="008A0018" w:rsidRDefault="008A0018" w:rsidP="008A0018">
            <w:pPr>
              <w:jc w:val="both"/>
              <w:rPr>
                <w:sz w:val="20"/>
              </w:rPr>
            </w:pPr>
            <w:r w:rsidRPr="008A0018">
              <w:rPr>
                <w:sz w:val="20"/>
              </w:rPr>
              <w:t>Supreme Court of Canada</w:t>
            </w:r>
          </w:p>
        </w:tc>
        <w:tc>
          <w:tcPr>
            <w:tcW w:w="243" w:type="pct"/>
          </w:tcPr>
          <w:p w:rsidR="008A0018" w:rsidRPr="008A0018" w:rsidRDefault="008A0018" w:rsidP="008A0018">
            <w:pPr>
              <w:jc w:val="both"/>
              <w:rPr>
                <w:sz w:val="20"/>
              </w:rPr>
            </w:pPr>
          </w:p>
        </w:tc>
        <w:tc>
          <w:tcPr>
            <w:tcW w:w="2330" w:type="pct"/>
          </w:tcPr>
          <w:p w:rsidR="008A0018" w:rsidRPr="008A0018" w:rsidRDefault="008A0018" w:rsidP="008A0018">
            <w:pPr>
              <w:jc w:val="both"/>
              <w:rPr>
                <w:sz w:val="20"/>
              </w:rPr>
            </w:pPr>
            <w:r w:rsidRPr="008A0018">
              <w:rPr>
                <w:sz w:val="20"/>
              </w:rPr>
              <w:t>Application for leave to appeal filed.</w:t>
            </w:r>
          </w:p>
          <w:p w:rsidR="008A0018" w:rsidRPr="008A0018" w:rsidRDefault="008A0018" w:rsidP="008A0018">
            <w:pPr>
              <w:jc w:val="both"/>
              <w:rPr>
                <w:sz w:val="20"/>
              </w:rPr>
            </w:pPr>
          </w:p>
        </w:tc>
      </w:tr>
    </w:tbl>
    <w:p w:rsidR="008A0018" w:rsidRDefault="008A0018" w:rsidP="008A0018">
      <w:pPr>
        <w:jc w:val="both"/>
        <w:rPr>
          <w:sz w:val="20"/>
        </w:rPr>
      </w:pPr>
    </w:p>
    <w:p w:rsidR="008A0018" w:rsidRPr="008A0018" w:rsidRDefault="008A0018" w:rsidP="008A001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A0018" w:rsidRPr="008A0018" w:rsidTr="00E95A6A">
        <w:tc>
          <w:tcPr>
            <w:tcW w:w="543" w:type="pct"/>
          </w:tcPr>
          <w:p w:rsidR="008A0018" w:rsidRPr="008A0018" w:rsidRDefault="008A0018" w:rsidP="008A0018">
            <w:pPr>
              <w:jc w:val="both"/>
              <w:rPr>
                <w:sz w:val="20"/>
              </w:rPr>
            </w:pPr>
            <w:r w:rsidRPr="008A0018">
              <w:rPr>
                <w:rStyle w:val="SCCFileNumberChar"/>
                <w:sz w:val="20"/>
                <w:szCs w:val="20"/>
              </w:rPr>
              <w:t>37081</w:t>
            </w:r>
          </w:p>
        </w:tc>
        <w:tc>
          <w:tcPr>
            <w:tcW w:w="4457" w:type="pct"/>
            <w:gridSpan w:val="3"/>
          </w:tcPr>
          <w:p w:rsidR="008A0018" w:rsidRPr="008A0018" w:rsidRDefault="008A0018" w:rsidP="008A0018">
            <w:pPr>
              <w:pStyle w:val="SCCLsocParty"/>
              <w:jc w:val="both"/>
              <w:rPr>
                <w:b/>
                <w:sz w:val="20"/>
                <w:szCs w:val="20"/>
              </w:rPr>
            </w:pPr>
            <w:r w:rsidRPr="008A0018">
              <w:rPr>
                <w:b/>
                <w:sz w:val="20"/>
                <w:szCs w:val="20"/>
              </w:rPr>
              <w:t>Tyrone Daum c. Michael John Clapci</w:t>
            </w:r>
          </w:p>
          <w:p w:rsidR="008A0018" w:rsidRPr="008A0018" w:rsidRDefault="008A0018" w:rsidP="008A0018">
            <w:pPr>
              <w:jc w:val="both"/>
              <w:rPr>
                <w:sz w:val="20"/>
                <w:lang w:val="fr-CA"/>
              </w:rPr>
            </w:pPr>
            <w:r w:rsidRPr="008A0018">
              <w:rPr>
                <w:sz w:val="20"/>
                <w:lang w:val="fr-CA"/>
              </w:rPr>
              <w:t>(C.-B.) (Civile) (Sur autorisation)</w:t>
            </w:r>
          </w:p>
        </w:tc>
      </w:tr>
      <w:tr w:rsidR="008A0018" w:rsidRPr="008A0018" w:rsidTr="00E95A6A">
        <w:tc>
          <w:tcPr>
            <w:tcW w:w="5000" w:type="pct"/>
            <w:gridSpan w:val="4"/>
          </w:tcPr>
          <w:p w:rsidR="008A0018" w:rsidRPr="008A0018" w:rsidRDefault="008A0018" w:rsidP="008A0018">
            <w:pPr>
              <w:jc w:val="both"/>
              <w:rPr>
                <w:sz w:val="20"/>
                <w:lang w:val="fr-CA"/>
              </w:rPr>
            </w:pPr>
            <w:r w:rsidRPr="008A0018">
              <w:rPr>
                <w:sz w:val="20"/>
                <w:lang w:val="fr-CA"/>
              </w:rPr>
              <w:t xml:space="preserve">Droit commercial – Sociétés par actions – Fiducies – Manquement à une obligation fiduciaire – Dommages-intérêts – Instruments dérivés – Indemnisation en </w:t>
            </w:r>
            <w:r w:rsidRPr="008A0018">
              <w:rPr>
                <w:i/>
                <w:sz w:val="20"/>
                <w:lang w:val="fr-CA"/>
              </w:rPr>
              <w:t>equity</w:t>
            </w:r>
            <w:r w:rsidRPr="008A0018">
              <w:rPr>
                <w:sz w:val="20"/>
                <w:lang w:val="fr-CA"/>
              </w:rPr>
              <w:t xml:space="preserve"> – L’exception à la règle énoncée dans </w:t>
            </w:r>
            <w:r w:rsidRPr="008A0018">
              <w:rPr>
                <w:i/>
                <w:sz w:val="20"/>
                <w:lang w:val="fr-CA"/>
              </w:rPr>
              <w:t>Foss v. Harbottle</w:t>
            </w:r>
            <w:r w:rsidRPr="008A0018">
              <w:rPr>
                <w:sz w:val="20"/>
                <w:lang w:val="fr-CA"/>
              </w:rPr>
              <w:t xml:space="preserve"> (1943), 2 Hare 461, 67 Ch. 189 (Ch.) et précisée dans </w:t>
            </w:r>
            <w:r w:rsidRPr="008A0018">
              <w:rPr>
                <w:i/>
                <w:sz w:val="20"/>
                <w:lang w:val="fr-CA"/>
              </w:rPr>
              <w:t>Johnson v. Gore Wood &amp; Co.</w:t>
            </w:r>
            <w:r w:rsidRPr="008A0018">
              <w:rPr>
                <w:sz w:val="20"/>
                <w:lang w:val="fr-CA"/>
              </w:rPr>
              <w:t xml:space="preserve">, </w:t>
            </w:r>
            <w:r w:rsidRPr="008A0018">
              <w:rPr>
                <w:rStyle w:val="reflex3-alt"/>
                <w:sz w:val="20"/>
                <w:lang w:val="fr-CA"/>
              </w:rPr>
              <w:t xml:space="preserve">[2001] 1 All E.R. 481, s’applique-t-elle au Canada? </w:t>
            </w:r>
            <w:r w:rsidRPr="008A0018">
              <w:rPr>
                <w:sz w:val="20"/>
                <w:lang w:val="fr-CA"/>
              </w:rPr>
              <w:t>–</w:t>
            </w:r>
            <w:r w:rsidRPr="008A0018">
              <w:rPr>
                <w:rStyle w:val="reflex3-alt"/>
                <w:sz w:val="20"/>
                <w:lang w:val="fr-CA"/>
              </w:rPr>
              <w:t xml:space="preserve"> La Cour d’appel a-t-elle eu tort de refuser d’ordonner le versement à M. Daum d’une indemnité en </w:t>
            </w:r>
            <w:r w:rsidRPr="008A0018">
              <w:rPr>
                <w:rStyle w:val="reflex3-alt"/>
                <w:i/>
                <w:sz w:val="20"/>
                <w:lang w:val="fr-CA"/>
              </w:rPr>
              <w:t>equity</w:t>
            </w:r>
            <w:r w:rsidRPr="008A0018">
              <w:rPr>
                <w:rStyle w:val="reflex3-alt"/>
                <w:sz w:val="20"/>
                <w:lang w:val="fr-CA"/>
              </w:rPr>
              <w:t xml:space="preserve"> pour le préjudice à la valeur de ses actions, issues d’une convention de fiducie, dans le cas où le fiduciaire a manqué à son obligation fiduciaire en refusant de céder les actions?</w:t>
            </w:r>
          </w:p>
        </w:tc>
      </w:tr>
      <w:tr w:rsidR="008A0018" w:rsidRPr="008A0018" w:rsidTr="00E95A6A">
        <w:tc>
          <w:tcPr>
            <w:tcW w:w="5000" w:type="pct"/>
            <w:gridSpan w:val="4"/>
          </w:tcPr>
          <w:p w:rsidR="008A0018" w:rsidRPr="008A0018" w:rsidRDefault="008A0018" w:rsidP="008A0018">
            <w:pPr>
              <w:jc w:val="both"/>
              <w:rPr>
                <w:sz w:val="20"/>
                <w:lang w:val="fr-CA"/>
              </w:rPr>
            </w:pPr>
          </w:p>
        </w:tc>
      </w:tr>
      <w:tr w:rsidR="008A0018" w:rsidRPr="008A0018" w:rsidTr="00E95A6A">
        <w:tc>
          <w:tcPr>
            <w:tcW w:w="5000" w:type="pct"/>
            <w:gridSpan w:val="4"/>
          </w:tcPr>
          <w:p w:rsidR="008A0018" w:rsidRPr="008A0018" w:rsidRDefault="008A0018" w:rsidP="008A0018">
            <w:pPr>
              <w:jc w:val="both"/>
              <w:rPr>
                <w:sz w:val="20"/>
                <w:lang w:val="fr-CA"/>
              </w:rPr>
            </w:pPr>
            <w:r w:rsidRPr="008A0018">
              <w:rPr>
                <w:sz w:val="20"/>
                <w:lang w:val="fr-CA"/>
              </w:rPr>
              <w:t>Les parties ont conclu une convention de fiducie en vertu de laquelle M. Clapci a prêté à la société à dénomination numérique de M. Daum les fonds pour rembourser l’hypothèque grevant un hôtel. Il est devenu le directeur exclusif de la société à dénomination numérique et nu-fiduciaire de M. Daum à l’égard de 82 % des actions et propriétaire de 18 % de celles-ci. Les rapports commerciaux des parties se sont détériorés. En novembre 2010, M. Clapci a fermé l’hôtel, qui est resté vacant par la suite. M. Daum a demandé que ses actions lui soient remises, mais il n’a pas été donné suite à sa demande. L’assureur de l’hôtel a refusé de continuer à offrir une couverture de remplacement visant une propriété qui serait vacante tout l’hiver, et M. Clapci n’en a pas souscrit d’autre. En mars 2011, l’hôtel a été détruit par un incendie, et le montant versé par l’assureur était inférieur d’environ 500 000 $ à ce qu’il aurait été si la couverture de remplacement avait été souscrite.</w:t>
            </w:r>
          </w:p>
          <w:p w:rsidR="008A0018" w:rsidRPr="008A0018" w:rsidRDefault="008A0018" w:rsidP="008A0018">
            <w:pPr>
              <w:jc w:val="both"/>
              <w:rPr>
                <w:sz w:val="20"/>
                <w:lang w:val="fr-CA"/>
              </w:rPr>
            </w:pPr>
          </w:p>
          <w:p w:rsidR="008A0018" w:rsidRPr="008A0018" w:rsidRDefault="008A0018" w:rsidP="008A0018">
            <w:pPr>
              <w:jc w:val="both"/>
              <w:rPr>
                <w:sz w:val="20"/>
                <w:lang w:val="fr-CA"/>
              </w:rPr>
            </w:pPr>
            <w:r w:rsidRPr="008A0018">
              <w:rPr>
                <w:sz w:val="20"/>
                <w:lang w:val="fr-CA"/>
              </w:rPr>
              <w:lastRenderedPageBreak/>
              <w:t>Le tribunal de première instance a fait droit en grande partie à la demande de M. Daum en recouvrement et rejeté en grande partie la demande reconventionnelle présentée par M. Clapci. La Cour d’appel a accueilli l’appel de M. Clapci et rejeté l’appel incident interjeté par M. Daum.</w:t>
            </w:r>
          </w:p>
          <w:p w:rsidR="008A0018" w:rsidRPr="008A0018" w:rsidRDefault="008A0018" w:rsidP="008A0018">
            <w:pPr>
              <w:jc w:val="both"/>
              <w:rPr>
                <w:sz w:val="20"/>
                <w:lang w:val="fr-CA"/>
              </w:rPr>
            </w:pPr>
          </w:p>
        </w:tc>
      </w:tr>
      <w:tr w:rsidR="008A0018" w:rsidRPr="008A0018" w:rsidTr="00E95A6A">
        <w:tc>
          <w:tcPr>
            <w:tcW w:w="2427" w:type="pct"/>
            <w:gridSpan w:val="2"/>
          </w:tcPr>
          <w:p w:rsidR="008A0018" w:rsidRPr="008A0018" w:rsidRDefault="008A0018" w:rsidP="008A0018">
            <w:pPr>
              <w:jc w:val="both"/>
              <w:rPr>
                <w:sz w:val="20"/>
                <w:lang w:val="fr-CA"/>
              </w:rPr>
            </w:pPr>
            <w:r w:rsidRPr="008A0018">
              <w:rPr>
                <w:sz w:val="20"/>
                <w:lang w:val="fr-CA"/>
              </w:rPr>
              <w:lastRenderedPageBreak/>
              <w:t>Le 18 juillet 2014</w:t>
            </w:r>
          </w:p>
          <w:p w:rsidR="008A0018" w:rsidRPr="008A0018" w:rsidRDefault="008A0018" w:rsidP="008A0018">
            <w:pPr>
              <w:jc w:val="both"/>
              <w:rPr>
                <w:sz w:val="20"/>
                <w:lang w:val="fr-CA"/>
              </w:rPr>
            </w:pPr>
            <w:r w:rsidRPr="008A0018">
              <w:rPr>
                <w:sz w:val="20"/>
                <w:lang w:val="fr-CA"/>
              </w:rPr>
              <w:t>Cour suprême de la Colombie-Britannique</w:t>
            </w:r>
          </w:p>
          <w:p w:rsidR="008A0018" w:rsidRPr="008A0018" w:rsidRDefault="008A0018" w:rsidP="008A0018">
            <w:pPr>
              <w:jc w:val="both"/>
              <w:rPr>
                <w:sz w:val="20"/>
              </w:rPr>
            </w:pPr>
            <w:r w:rsidRPr="008A0018">
              <w:rPr>
                <w:sz w:val="20"/>
              </w:rPr>
              <w:t>(Juge Macintosh)</w:t>
            </w:r>
          </w:p>
          <w:p w:rsidR="008A0018" w:rsidRPr="008A0018" w:rsidRDefault="00F52446" w:rsidP="008A0018">
            <w:pPr>
              <w:jc w:val="both"/>
              <w:rPr>
                <w:sz w:val="20"/>
              </w:rPr>
            </w:pPr>
            <w:hyperlink r:id="rId18" w:history="1">
              <w:r w:rsidR="008A0018" w:rsidRPr="008A0018">
                <w:rPr>
                  <w:rStyle w:val="Hyperlink"/>
                  <w:sz w:val="20"/>
                </w:rPr>
                <w:t>2014 BCSC 1524</w:t>
              </w:r>
            </w:hyperlink>
          </w:p>
          <w:p w:rsidR="008A0018" w:rsidRPr="008A0018" w:rsidRDefault="008A0018" w:rsidP="008A0018">
            <w:pPr>
              <w:jc w:val="both"/>
              <w:rPr>
                <w:sz w:val="20"/>
              </w:rPr>
            </w:pPr>
          </w:p>
        </w:tc>
        <w:tc>
          <w:tcPr>
            <w:tcW w:w="243" w:type="pct"/>
          </w:tcPr>
          <w:p w:rsidR="008A0018" w:rsidRPr="008A0018" w:rsidRDefault="008A0018" w:rsidP="008A0018">
            <w:pPr>
              <w:jc w:val="both"/>
              <w:rPr>
                <w:sz w:val="20"/>
              </w:rPr>
            </w:pPr>
          </w:p>
        </w:tc>
        <w:tc>
          <w:tcPr>
            <w:tcW w:w="2330" w:type="pct"/>
          </w:tcPr>
          <w:p w:rsidR="008A0018" w:rsidRPr="008A0018" w:rsidRDefault="008A0018" w:rsidP="008A0018">
            <w:pPr>
              <w:tabs>
                <w:tab w:val="left" w:pos="1234"/>
              </w:tabs>
              <w:jc w:val="both"/>
              <w:rPr>
                <w:sz w:val="20"/>
                <w:lang w:val="fr-CA"/>
              </w:rPr>
            </w:pPr>
            <w:r w:rsidRPr="008A0018">
              <w:rPr>
                <w:i/>
                <w:sz w:val="20"/>
                <w:lang w:val="fr-CA"/>
              </w:rPr>
              <w:t>Inter alia</w:t>
            </w:r>
            <w:r w:rsidRPr="008A0018">
              <w:rPr>
                <w:sz w:val="20"/>
                <w:lang w:val="fr-CA"/>
              </w:rPr>
              <w:t>, décisions ordonnant à M. Clapci de céder les 18 % des actions dans la société; déclarant M. Daum propriétaire de l’ensemble des actions dans la société; ordonnant le paiement des fonds déposés au greffe au crédit de la société; indiquant aux parties de demander d’être payées à même ces fonds; accordant 13 000 $ à M. Clapci; rejetant par ailleurs la demande reconventionnelle; accordant à M. Daum des dommages-intérêts punitifs d’un total de 25 000 $; déclarant l’hypothèque de la société nulle et sans effet et ordonnant sa mainlevée; ordonnant que M. Clapci soit démis de ses fonctions d’agent, de directeur et d’actionnaire de la société.</w:t>
            </w:r>
          </w:p>
          <w:p w:rsidR="008A0018" w:rsidRPr="008A0018" w:rsidRDefault="008A0018" w:rsidP="008A0018">
            <w:pPr>
              <w:jc w:val="both"/>
              <w:rPr>
                <w:sz w:val="20"/>
                <w:lang w:val="fr-CA"/>
              </w:rPr>
            </w:pPr>
          </w:p>
        </w:tc>
      </w:tr>
      <w:tr w:rsidR="008A0018" w:rsidRPr="008A0018" w:rsidTr="00E95A6A">
        <w:tc>
          <w:tcPr>
            <w:tcW w:w="2427" w:type="pct"/>
            <w:gridSpan w:val="2"/>
          </w:tcPr>
          <w:p w:rsidR="008A0018" w:rsidRPr="008A0018" w:rsidRDefault="008A0018" w:rsidP="008A0018">
            <w:pPr>
              <w:jc w:val="both"/>
              <w:rPr>
                <w:sz w:val="20"/>
                <w:lang w:val="fr-CA"/>
              </w:rPr>
            </w:pPr>
            <w:r w:rsidRPr="008A0018">
              <w:rPr>
                <w:sz w:val="20"/>
                <w:lang w:val="fr-CA"/>
              </w:rPr>
              <w:t>Le 21 avril 2016</w:t>
            </w:r>
          </w:p>
          <w:p w:rsidR="008A0018" w:rsidRPr="008A0018" w:rsidRDefault="008A0018" w:rsidP="008A0018">
            <w:pPr>
              <w:jc w:val="both"/>
              <w:rPr>
                <w:sz w:val="20"/>
                <w:lang w:val="fr-CA"/>
              </w:rPr>
            </w:pPr>
            <w:r w:rsidRPr="008A0018">
              <w:rPr>
                <w:sz w:val="20"/>
                <w:lang w:val="fr-CA"/>
              </w:rPr>
              <w:t>Cour d’appel de la Colombie-Britannique (Vancouver)</w:t>
            </w:r>
          </w:p>
          <w:p w:rsidR="008A0018" w:rsidRPr="008A0018" w:rsidRDefault="008A0018" w:rsidP="008A0018">
            <w:pPr>
              <w:jc w:val="both"/>
              <w:rPr>
                <w:sz w:val="20"/>
                <w:lang w:val="fr-CA"/>
              </w:rPr>
            </w:pPr>
            <w:r w:rsidRPr="008A0018">
              <w:rPr>
                <w:sz w:val="20"/>
                <w:lang w:val="fr-CA"/>
              </w:rPr>
              <w:t xml:space="preserve">(Juges Newbury, Bennett et </w:t>
            </w:r>
            <w:proofErr w:type="spellStart"/>
            <w:r w:rsidRPr="008A0018">
              <w:rPr>
                <w:sz w:val="20"/>
                <w:lang w:val="fr-CA"/>
              </w:rPr>
              <w:t>Fenlon</w:t>
            </w:r>
            <w:proofErr w:type="spellEnd"/>
            <w:r w:rsidRPr="008A0018">
              <w:rPr>
                <w:sz w:val="20"/>
                <w:lang w:val="fr-CA"/>
              </w:rPr>
              <w:t>)</w:t>
            </w:r>
          </w:p>
          <w:p w:rsidR="008A0018" w:rsidRPr="008A0018" w:rsidRDefault="00F52446" w:rsidP="008A0018">
            <w:pPr>
              <w:jc w:val="both"/>
              <w:rPr>
                <w:sz w:val="20"/>
              </w:rPr>
            </w:pPr>
            <w:hyperlink r:id="rId19" w:history="1">
              <w:r w:rsidR="008A0018" w:rsidRPr="008A0018">
                <w:rPr>
                  <w:rStyle w:val="Hyperlink"/>
                  <w:sz w:val="20"/>
                </w:rPr>
                <w:t>2016 BCCA 176</w:t>
              </w:r>
            </w:hyperlink>
          </w:p>
          <w:p w:rsidR="008A0018" w:rsidRPr="008A0018" w:rsidRDefault="008A0018" w:rsidP="008A0018">
            <w:pPr>
              <w:jc w:val="both"/>
              <w:rPr>
                <w:sz w:val="20"/>
              </w:rPr>
            </w:pPr>
          </w:p>
        </w:tc>
        <w:tc>
          <w:tcPr>
            <w:tcW w:w="243" w:type="pct"/>
          </w:tcPr>
          <w:p w:rsidR="008A0018" w:rsidRPr="008A0018" w:rsidRDefault="008A0018" w:rsidP="008A0018">
            <w:pPr>
              <w:jc w:val="both"/>
              <w:rPr>
                <w:sz w:val="20"/>
              </w:rPr>
            </w:pPr>
          </w:p>
        </w:tc>
        <w:tc>
          <w:tcPr>
            <w:tcW w:w="2330" w:type="pct"/>
          </w:tcPr>
          <w:p w:rsidR="008A0018" w:rsidRPr="008A0018" w:rsidRDefault="008A0018" w:rsidP="008A0018">
            <w:pPr>
              <w:jc w:val="both"/>
              <w:rPr>
                <w:sz w:val="20"/>
                <w:lang w:val="fr-CA"/>
              </w:rPr>
            </w:pPr>
            <w:r w:rsidRPr="008A0018">
              <w:rPr>
                <w:sz w:val="20"/>
                <w:lang w:val="fr-CA"/>
              </w:rPr>
              <w:t>Appel accueilli; rejet de l’appel incident.</w:t>
            </w:r>
          </w:p>
          <w:p w:rsidR="008A0018" w:rsidRPr="008A0018" w:rsidRDefault="008A0018" w:rsidP="008A0018">
            <w:pPr>
              <w:jc w:val="both"/>
              <w:rPr>
                <w:sz w:val="20"/>
                <w:lang w:val="fr-CA"/>
              </w:rPr>
            </w:pPr>
          </w:p>
        </w:tc>
      </w:tr>
      <w:tr w:rsidR="008A0018" w:rsidRPr="008A0018" w:rsidTr="00E95A6A">
        <w:tc>
          <w:tcPr>
            <w:tcW w:w="2427" w:type="pct"/>
            <w:gridSpan w:val="2"/>
          </w:tcPr>
          <w:p w:rsidR="008A0018" w:rsidRPr="008A0018" w:rsidRDefault="008A0018" w:rsidP="008A0018">
            <w:pPr>
              <w:jc w:val="both"/>
              <w:rPr>
                <w:sz w:val="20"/>
                <w:lang w:val="fr-CA"/>
              </w:rPr>
            </w:pPr>
            <w:r w:rsidRPr="008A0018">
              <w:rPr>
                <w:sz w:val="20"/>
                <w:lang w:val="fr-CA"/>
              </w:rPr>
              <w:t>Le 17 juin 2016</w:t>
            </w:r>
          </w:p>
          <w:p w:rsidR="008A0018" w:rsidRPr="008A0018" w:rsidRDefault="008A0018" w:rsidP="008A0018">
            <w:pPr>
              <w:jc w:val="both"/>
              <w:rPr>
                <w:sz w:val="20"/>
                <w:lang w:val="fr-CA"/>
              </w:rPr>
            </w:pPr>
            <w:r w:rsidRPr="008A0018">
              <w:rPr>
                <w:sz w:val="20"/>
                <w:lang w:val="fr-CA"/>
              </w:rPr>
              <w:t>Cour suprême du Canada</w:t>
            </w:r>
          </w:p>
        </w:tc>
        <w:tc>
          <w:tcPr>
            <w:tcW w:w="243" w:type="pct"/>
          </w:tcPr>
          <w:p w:rsidR="008A0018" w:rsidRPr="008A0018" w:rsidRDefault="008A0018" w:rsidP="008A0018">
            <w:pPr>
              <w:jc w:val="both"/>
              <w:rPr>
                <w:sz w:val="20"/>
                <w:lang w:val="fr-CA"/>
              </w:rPr>
            </w:pPr>
          </w:p>
        </w:tc>
        <w:tc>
          <w:tcPr>
            <w:tcW w:w="2330" w:type="pct"/>
          </w:tcPr>
          <w:p w:rsidR="008A0018" w:rsidRPr="008A0018" w:rsidRDefault="008A0018" w:rsidP="008A0018">
            <w:pPr>
              <w:jc w:val="both"/>
              <w:rPr>
                <w:sz w:val="20"/>
                <w:lang w:val="fr-CA"/>
              </w:rPr>
            </w:pPr>
            <w:r w:rsidRPr="008A0018">
              <w:rPr>
                <w:sz w:val="20"/>
                <w:lang w:val="fr-CA"/>
              </w:rPr>
              <w:t>Dépôt de la demande d’autorisation d’appel.</w:t>
            </w:r>
          </w:p>
          <w:p w:rsidR="008A0018" w:rsidRPr="008A0018" w:rsidRDefault="008A0018" w:rsidP="008A0018">
            <w:pPr>
              <w:jc w:val="both"/>
              <w:rPr>
                <w:sz w:val="20"/>
                <w:lang w:val="fr-CA"/>
              </w:rPr>
            </w:pPr>
          </w:p>
        </w:tc>
      </w:tr>
    </w:tbl>
    <w:p w:rsidR="008A0018" w:rsidRPr="00EF3C03" w:rsidRDefault="008A0018" w:rsidP="00EF3C03">
      <w:pPr>
        <w:jc w:val="both"/>
        <w:rPr>
          <w:sz w:val="20"/>
          <w:lang w:val="fr-CA"/>
        </w:rPr>
      </w:pPr>
    </w:p>
    <w:p w:rsidR="00873B07" w:rsidRPr="00EF3C03" w:rsidRDefault="00873B07" w:rsidP="00EF3C03">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EF3C03" w:rsidRPr="00EF3C03" w:rsidTr="00E95A6A">
        <w:tc>
          <w:tcPr>
            <w:tcW w:w="543" w:type="pct"/>
          </w:tcPr>
          <w:p w:rsidR="00EF3C03" w:rsidRPr="00EF3C03" w:rsidRDefault="00EF3C03" w:rsidP="00EF3C03">
            <w:pPr>
              <w:jc w:val="both"/>
              <w:rPr>
                <w:sz w:val="20"/>
              </w:rPr>
            </w:pPr>
            <w:r w:rsidRPr="00EF3C03">
              <w:rPr>
                <w:rStyle w:val="SCCFileNumberChar"/>
                <w:sz w:val="20"/>
                <w:szCs w:val="20"/>
              </w:rPr>
              <w:t>37061</w:t>
            </w:r>
          </w:p>
        </w:tc>
        <w:tc>
          <w:tcPr>
            <w:tcW w:w="4457" w:type="pct"/>
          </w:tcPr>
          <w:p w:rsidR="00EF3C03" w:rsidRPr="00EF3C03" w:rsidRDefault="00EF3C03" w:rsidP="00EF3C03">
            <w:pPr>
              <w:pStyle w:val="SCCLsocParty"/>
              <w:jc w:val="both"/>
              <w:rPr>
                <w:b/>
                <w:sz w:val="20"/>
                <w:szCs w:val="20"/>
              </w:rPr>
            </w:pPr>
            <w:r w:rsidRPr="00EF3C03">
              <w:rPr>
                <w:b/>
                <w:sz w:val="20"/>
                <w:szCs w:val="20"/>
              </w:rPr>
              <w:t>Kwok Kin Kwong v. Minister of Citizenship and Immigration Canada</w:t>
            </w:r>
          </w:p>
          <w:p w:rsidR="00EF3C03" w:rsidRPr="00EF3C03" w:rsidRDefault="00EF3C03" w:rsidP="00EF3C03">
            <w:pPr>
              <w:jc w:val="both"/>
              <w:rPr>
                <w:sz w:val="20"/>
              </w:rPr>
            </w:pPr>
            <w:r w:rsidRPr="00EF3C03">
              <w:rPr>
                <w:sz w:val="20"/>
              </w:rPr>
              <w:t>(FC) (Civil) (By Leave)</w:t>
            </w:r>
          </w:p>
        </w:tc>
      </w:tr>
      <w:tr w:rsidR="00EF3C03" w:rsidRPr="00EF3C03" w:rsidTr="00E95A6A">
        <w:tc>
          <w:tcPr>
            <w:tcW w:w="5000" w:type="pct"/>
            <w:gridSpan w:val="2"/>
          </w:tcPr>
          <w:p w:rsidR="00EF3C03" w:rsidRPr="00EF3C03" w:rsidRDefault="00EF3C03" w:rsidP="00EF3C03">
            <w:pPr>
              <w:pStyle w:val="SCCBanSummary"/>
              <w:rPr>
                <w:sz w:val="20"/>
                <w:szCs w:val="20"/>
              </w:rPr>
            </w:pPr>
            <w:r w:rsidRPr="00EF3C03">
              <w:rPr>
                <w:sz w:val="20"/>
                <w:szCs w:val="20"/>
              </w:rPr>
              <w:t>(Sealing order)</w:t>
            </w:r>
          </w:p>
          <w:p w:rsidR="00EF3C03" w:rsidRPr="00EF3C03" w:rsidRDefault="00EF3C03" w:rsidP="00EF3C03">
            <w:pPr>
              <w:jc w:val="both"/>
              <w:rPr>
                <w:sz w:val="20"/>
              </w:rPr>
            </w:pPr>
          </w:p>
          <w:p w:rsidR="00EF3C03" w:rsidRPr="00EF3C03" w:rsidRDefault="00EF3C03" w:rsidP="00EF3C03">
            <w:pPr>
              <w:jc w:val="both"/>
              <w:rPr>
                <w:sz w:val="20"/>
              </w:rPr>
            </w:pPr>
            <w:r w:rsidRPr="00EF3C03">
              <w:rPr>
                <w:sz w:val="20"/>
              </w:rPr>
              <w:t xml:space="preserve">Immigration – Temporary residents – Inadmissibility – Applicant denied temporary resident permit – Federal Court dismissing application for judicial review for mootness and affirming prior sealing order – Who is permitted to release information previously the subject of a sealing order: the Minister who maintained a national security claim, but no longer can justify this, or only the court which issued the order, years in the past, on the Minister’s request? – Whether a court can recall information which has been disclosed but which was previously the subject of a sealing order – Whether the reasoning of this Court in </w:t>
            </w:r>
            <w:r w:rsidRPr="00EF3C03">
              <w:rPr>
                <w:i/>
                <w:sz w:val="20"/>
              </w:rPr>
              <w:t>Babcock v. Canada (Attorney General)</w:t>
            </w:r>
            <w:r w:rsidRPr="00EF3C03">
              <w:rPr>
                <w:sz w:val="20"/>
              </w:rPr>
              <w:t xml:space="preserve">, 2002 SCC 57, applies to instances where the responsible Minister has disclosed information, previously withheld for reasons of national security, but then resiles from this and seeks the return of the information on the basis of a court order issued sixteen years earlier – Whether the applicant is entitled to a formal process for the determination of whether he can appeal without a certified question under s. 74(d) of the </w:t>
            </w:r>
            <w:r w:rsidRPr="00EF3C03">
              <w:rPr>
                <w:i/>
                <w:sz w:val="20"/>
              </w:rPr>
              <w:t>Immigration &amp; Refugee Protection Act</w:t>
            </w:r>
            <w:r w:rsidRPr="00EF3C03">
              <w:rPr>
                <w:sz w:val="20"/>
              </w:rPr>
              <w:t>, S.C. 2001, c. 27 – Whether the applicant needs a certified question to appeal on an issue of the jurisdiction of a judge of the Federal Court to order the recall of information previously sealed by court order but subsequently released by the responsible Minister of the Crown.</w:t>
            </w:r>
          </w:p>
        </w:tc>
      </w:tr>
      <w:tr w:rsidR="00EF3C03" w:rsidRPr="00EF3C03" w:rsidTr="00E95A6A">
        <w:tc>
          <w:tcPr>
            <w:tcW w:w="5000" w:type="pct"/>
            <w:gridSpan w:val="2"/>
          </w:tcPr>
          <w:p w:rsidR="00EF3C03" w:rsidRPr="00EF3C03" w:rsidRDefault="00EF3C03" w:rsidP="00EF3C03">
            <w:pPr>
              <w:jc w:val="both"/>
              <w:rPr>
                <w:sz w:val="20"/>
              </w:rPr>
            </w:pPr>
          </w:p>
        </w:tc>
      </w:tr>
      <w:tr w:rsidR="00EF3C03" w:rsidRPr="00EF3C03" w:rsidTr="00E95A6A">
        <w:tc>
          <w:tcPr>
            <w:tcW w:w="5000" w:type="pct"/>
            <w:gridSpan w:val="2"/>
          </w:tcPr>
          <w:p w:rsidR="00EF3C03" w:rsidRPr="00EF3C03" w:rsidRDefault="00EF3C03" w:rsidP="00EF3C03">
            <w:pPr>
              <w:jc w:val="both"/>
              <w:rPr>
                <w:sz w:val="20"/>
              </w:rPr>
            </w:pPr>
            <w:r w:rsidRPr="00EF3C03">
              <w:rPr>
                <w:sz w:val="20"/>
              </w:rPr>
              <w:t xml:space="preserve">An officer of Citizenship and Immigration Canada denied Mr. Kwong’s request for a temporary resident permit in order to see his elderly mother in Canada. The officer based his decision on a refusal of Mr. Kwong’s permanent resident application in 1999. At that time, Mr. Kwong was found to be inadmissible in Canada on grounds of criminality and involvement with organized crime because he kept several </w:t>
            </w:r>
            <w:r w:rsidRPr="00EF3C03">
              <w:rPr>
                <w:rStyle w:val="citationcar"/>
                <w:sz w:val="20"/>
              </w:rPr>
              <w:t>“bawdy houses”</w:t>
            </w:r>
            <w:r w:rsidRPr="00EF3C03">
              <w:rPr>
                <w:sz w:val="20"/>
              </w:rPr>
              <w:t xml:space="preserve"> in Hong Kong, an act which, if committed in Canada, would have been an offence under the </w:t>
            </w:r>
            <w:r w:rsidRPr="00EF3C03">
              <w:rPr>
                <w:i/>
                <w:iCs/>
                <w:sz w:val="20"/>
              </w:rPr>
              <w:t>Criminal Code</w:t>
            </w:r>
            <w:r w:rsidRPr="00EF3C03">
              <w:rPr>
                <w:sz w:val="20"/>
              </w:rPr>
              <w:t>, R.S.C. 1985, c. C-46, at the time.</w:t>
            </w:r>
          </w:p>
          <w:p w:rsidR="00EF3C03" w:rsidRPr="00EF3C03" w:rsidRDefault="00EF3C03" w:rsidP="00EF3C03">
            <w:pPr>
              <w:jc w:val="both"/>
              <w:rPr>
                <w:sz w:val="20"/>
              </w:rPr>
            </w:pPr>
          </w:p>
          <w:p w:rsidR="00EF3C03" w:rsidRPr="00EF3C03" w:rsidRDefault="00EF3C03" w:rsidP="00EF3C03">
            <w:pPr>
              <w:jc w:val="both"/>
              <w:rPr>
                <w:sz w:val="20"/>
              </w:rPr>
            </w:pPr>
            <w:r w:rsidRPr="00EF3C03">
              <w:rPr>
                <w:sz w:val="20"/>
              </w:rPr>
              <w:lastRenderedPageBreak/>
              <w:t xml:space="preserve">Mr. Kwong applied for judicial review of the officer’s decision. The Minister responded to the application and brought a motion that certain records subject to a confidentiality order issued in the 1999 visa decision and relied on by the officer in this case, be removed from the court record, that all copies of the records be re-sealed and returned by Mr. Kwong and his solicitors to the Minister, and that Mr. Kwong and his solicitors destroy any notes relating to those records. The Minister submitted that the confidential records were inadvertently disclosed to Mr. Kwong in response to an access to information request. The Minister also brought a motion for an order dismissing the application as moot because </w:t>
            </w:r>
            <w:r w:rsidRPr="00EF3C03">
              <w:rPr>
                <w:rStyle w:val="citationcar"/>
                <w:sz w:val="20"/>
              </w:rPr>
              <w:t>a separate visa application had been approved for Mr. Kwong</w:t>
            </w:r>
            <w:r w:rsidRPr="00EF3C03">
              <w:rPr>
                <w:sz w:val="20"/>
              </w:rPr>
              <w:t xml:space="preserve"> to attend his mother’s funeral. Mr. Kwong opposed both motions.</w:t>
            </w:r>
          </w:p>
          <w:p w:rsidR="00EF3C03" w:rsidRPr="00EF3C03" w:rsidRDefault="00EF3C03" w:rsidP="00EF3C03">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EF3C03" w:rsidRPr="00EF3C03" w:rsidTr="00495D14">
              <w:tc>
                <w:tcPr>
                  <w:tcW w:w="2367" w:type="pct"/>
                </w:tcPr>
                <w:p w:rsidR="00EF3C03" w:rsidRPr="00EF3C03" w:rsidRDefault="00EF3C03" w:rsidP="00EF3C03">
                  <w:pPr>
                    <w:jc w:val="both"/>
                    <w:rPr>
                      <w:sz w:val="20"/>
                    </w:rPr>
                  </w:pPr>
                  <w:r w:rsidRPr="00EF3C03">
                    <w:rPr>
                      <w:sz w:val="20"/>
                    </w:rPr>
                    <w:t>February 10, 2016</w:t>
                  </w:r>
                </w:p>
                <w:p w:rsidR="00EF3C03" w:rsidRPr="00EF3C03" w:rsidRDefault="00EF3C03" w:rsidP="00EF3C03">
                  <w:pPr>
                    <w:jc w:val="both"/>
                    <w:rPr>
                      <w:sz w:val="20"/>
                    </w:rPr>
                  </w:pPr>
                  <w:r w:rsidRPr="00EF3C03">
                    <w:rPr>
                      <w:sz w:val="20"/>
                    </w:rPr>
                    <w:t>Federal Court</w:t>
                  </w:r>
                </w:p>
                <w:p w:rsidR="00EF3C03" w:rsidRPr="00EF3C03" w:rsidRDefault="00EF3C03" w:rsidP="00EF3C03">
                  <w:pPr>
                    <w:jc w:val="both"/>
                    <w:rPr>
                      <w:sz w:val="20"/>
                    </w:rPr>
                  </w:pPr>
                  <w:r w:rsidRPr="00EF3C03">
                    <w:rPr>
                      <w:sz w:val="20"/>
                    </w:rPr>
                    <w:t>(Zinn J.)</w:t>
                  </w:r>
                </w:p>
                <w:p w:rsidR="00EF3C03" w:rsidRPr="00EF3C03" w:rsidRDefault="00F52446" w:rsidP="00EF3C03">
                  <w:pPr>
                    <w:jc w:val="both"/>
                    <w:rPr>
                      <w:sz w:val="20"/>
                    </w:rPr>
                  </w:pPr>
                  <w:hyperlink r:id="rId20" w:history="1">
                    <w:r w:rsidR="00EF3C03" w:rsidRPr="00EF3C03">
                      <w:rPr>
                        <w:rStyle w:val="Hyperlink"/>
                        <w:sz w:val="20"/>
                      </w:rPr>
                      <w:t>2016 FC 179</w:t>
                    </w:r>
                  </w:hyperlink>
                </w:p>
                <w:p w:rsidR="00EF3C03" w:rsidRPr="00EF3C03" w:rsidRDefault="00EF3C03" w:rsidP="00EF3C03">
                  <w:pPr>
                    <w:jc w:val="both"/>
                    <w:rPr>
                      <w:sz w:val="20"/>
                    </w:rPr>
                  </w:pPr>
                </w:p>
              </w:tc>
              <w:tc>
                <w:tcPr>
                  <w:tcW w:w="267" w:type="pct"/>
                </w:tcPr>
                <w:p w:rsidR="00EF3C03" w:rsidRPr="00EF3C03" w:rsidRDefault="00EF3C03" w:rsidP="00EF3C03">
                  <w:pPr>
                    <w:jc w:val="both"/>
                    <w:rPr>
                      <w:sz w:val="20"/>
                    </w:rPr>
                  </w:pPr>
                </w:p>
              </w:tc>
              <w:tc>
                <w:tcPr>
                  <w:tcW w:w="2366" w:type="pct"/>
                </w:tcPr>
                <w:p w:rsidR="00EF3C03" w:rsidRPr="00EF3C03" w:rsidRDefault="00EF3C03" w:rsidP="00EF3C03">
                  <w:pPr>
                    <w:jc w:val="both"/>
                    <w:rPr>
                      <w:sz w:val="20"/>
                    </w:rPr>
                  </w:pPr>
                  <w:r w:rsidRPr="00EF3C03">
                    <w:rPr>
                      <w:sz w:val="20"/>
                    </w:rPr>
                    <w:t xml:space="preserve">Minister’s motions granted, application for judicial review dismissed </w:t>
                  </w:r>
                </w:p>
                <w:p w:rsidR="00EF3C03" w:rsidRPr="00EF3C03" w:rsidRDefault="00EF3C03" w:rsidP="00EF3C03">
                  <w:pPr>
                    <w:jc w:val="both"/>
                    <w:rPr>
                      <w:sz w:val="20"/>
                    </w:rPr>
                  </w:pPr>
                </w:p>
              </w:tc>
            </w:tr>
            <w:tr w:rsidR="00EF3C03" w:rsidRPr="00EF3C03" w:rsidTr="00495D14">
              <w:tc>
                <w:tcPr>
                  <w:tcW w:w="2367" w:type="pct"/>
                </w:tcPr>
                <w:p w:rsidR="00EF3C03" w:rsidRPr="00EF3C03" w:rsidRDefault="00EF3C03" w:rsidP="00EF3C03">
                  <w:pPr>
                    <w:jc w:val="both"/>
                    <w:rPr>
                      <w:sz w:val="20"/>
                    </w:rPr>
                  </w:pPr>
                  <w:r w:rsidRPr="00EF3C03">
                    <w:rPr>
                      <w:sz w:val="20"/>
                    </w:rPr>
                    <w:t>February 25, 2016</w:t>
                  </w:r>
                </w:p>
                <w:p w:rsidR="00EF3C03" w:rsidRPr="00EF3C03" w:rsidRDefault="00EF3C03" w:rsidP="00EF3C03">
                  <w:pPr>
                    <w:jc w:val="both"/>
                    <w:rPr>
                      <w:sz w:val="20"/>
                    </w:rPr>
                  </w:pPr>
                  <w:r w:rsidRPr="00EF3C03">
                    <w:rPr>
                      <w:sz w:val="20"/>
                    </w:rPr>
                    <w:t>Federal Court of Appeal</w:t>
                  </w:r>
                </w:p>
                <w:p w:rsidR="00EF3C03" w:rsidRPr="00EF3C03" w:rsidRDefault="00EF3C03" w:rsidP="00EF3C03">
                  <w:pPr>
                    <w:jc w:val="both"/>
                    <w:rPr>
                      <w:sz w:val="20"/>
                    </w:rPr>
                  </w:pPr>
                  <w:r w:rsidRPr="00EF3C03">
                    <w:rPr>
                      <w:sz w:val="20"/>
                    </w:rPr>
                    <w:t xml:space="preserve">(De </w:t>
                  </w:r>
                  <w:proofErr w:type="spellStart"/>
                  <w:r w:rsidRPr="00EF3C03">
                    <w:rPr>
                      <w:sz w:val="20"/>
                    </w:rPr>
                    <w:t>Montigny</w:t>
                  </w:r>
                  <w:proofErr w:type="spellEnd"/>
                  <w:r w:rsidRPr="00EF3C03">
                    <w:rPr>
                      <w:sz w:val="20"/>
                    </w:rPr>
                    <w:t xml:space="preserve"> J.A.)</w:t>
                  </w:r>
                </w:p>
                <w:p w:rsidR="00EF3C03" w:rsidRPr="00EF3C03" w:rsidRDefault="00EF3C03" w:rsidP="00EF3C03">
                  <w:pPr>
                    <w:jc w:val="both"/>
                    <w:rPr>
                      <w:sz w:val="20"/>
                    </w:rPr>
                  </w:pPr>
                </w:p>
              </w:tc>
              <w:tc>
                <w:tcPr>
                  <w:tcW w:w="267" w:type="pct"/>
                </w:tcPr>
                <w:p w:rsidR="00EF3C03" w:rsidRPr="00EF3C03" w:rsidRDefault="00EF3C03" w:rsidP="00EF3C03">
                  <w:pPr>
                    <w:jc w:val="both"/>
                    <w:rPr>
                      <w:sz w:val="20"/>
                    </w:rPr>
                  </w:pPr>
                </w:p>
              </w:tc>
              <w:tc>
                <w:tcPr>
                  <w:tcW w:w="2366" w:type="pct"/>
                </w:tcPr>
                <w:p w:rsidR="00EF3C03" w:rsidRPr="00EF3C03" w:rsidRDefault="00EF3C03" w:rsidP="00EF3C03">
                  <w:pPr>
                    <w:jc w:val="both"/>
                    <w:rPr>
                      <w:sz w:val="20"/>
                    </w:rPr>
                  </w:pPr>
                  <w:r w:rsidRPr="00EF3C03">
                    <w:rPr>
                      <w:sz w:val="20"/>
                    </w:rPr>
                    <w:t xml:space="preserve">Direction to Registry not to accept notice of appeal and notice of motion for filing </w:t>
                  </w:r>
                </w:p>
                <w:p w:rsidR="00EF3C03" w:rsidRPr="00EF3C03" w:rsidRDefault="00EF3C03" w:rsidP="00EF3C03">
                  <w:pPr>
                    <w:jc w:val="both"/>
                    <w:rPr>
                      <w:sz w:val="20"/>
                    </w:rPr>
                  </w:pPr>
                </w:p>
              </w:tc>
            </w:tr>
            <w:tr w:rsidR="00EF3C03" w:rsidRPr="00EF3C03" w:rsidTr="00495D14">
              <w:tc>
                <w:tcPr>
                  <w:tcW w:w="2367" w:type="pct"/>
                </w:tcPr>
                <w:p w:rsidR="00EF3C03" w:rsidRPr="00EF3C03" w:rsidRDefault="00EF3C03" w:rsidP="00EF3C03">
                  <w:pPr>
                    <w:jc w:val="both"/>
                    <w:rPr>
                      <w:sz w:val="20"/>
                    </w:rPr>
                  </w:pPr>
                  <w:r w:rsidRPr="00EF3C03">
                    <w:rPr>
                      <w:sz w:val="20"/>
                    </w:rPr>
                    <w:t>March 21, 2016</w:t>
                  </w:r>
                </w:p>
                <w:p w:rsidR="00EF3C03" w:rsidRPr="00EF3C03" w:rsidRDefault="00EF3C03" w:rsidP="00EF3C03">
                  <w:pPr>
                    <w:jc w:val="both"/>
                    <w:rPr>
                      <w:sz w:val="20"/>
                    </w:rPr>
                  </w:pPr>
                  <w:r w:rsidRPr="00EF3C03">
                    <w:rPr>
                      <w:sz w:val="20"/>
                    </w:rPr>
                    <w:t>Federal Court of Appeal</w:t>
                  </w:r>
                </w:p>
                <w:p w:rsidR="00EF3C03" w:rsidRPr="00EF3C03" w:rsidRDefault="00EF3C03" w:rsidP="00EF3C03">
                  <w:pPr>
                    <w:jc w:val="both"/>
                    <w:rPr>
                      <w:sz w:val="20"/>
                    </w:rPr>
                  </w:pPr>
                  <w:r w:rsidRPr="00EF3C03">
                    <w:rPr>
                      <w:sz w:val="20"/>
                    </w:rPr>
                    <w:t xml:space="preserve">(De </w:t>
                  </w:r>
                  <w:proofErr w:type="spellStart"/>
                  <w:r w:rsidRPr="00EF3C03">
                    <w:rPr>
                      <w:sz w:val="20"/>
                    </w:rPr>
                    <w:t>Montigny</w:t>
                  </w:r>
                  <w:proofErr w:type="spellEnd"/>
                  <w:r w:rsidRPr="00EF3C03">
                    <w:rPr>
                      <w:sz w:val="20"/>
                    </w:rPr>
                    <w:t xml:space="preserve"> J.A.)</w:t>
                  </w:r>
                </w:p>
                <w:p w:rsidR="00EF3C03" w:rsidRPr="00EF3C03" w:rsidRDefault="00EF3C03" w:rsidP="00EF3C03">
                  <w:pPr>
                    <w:jc w:val="both"/>
                    <w:rPr>
                      <w:sz w:val="20"/>
                    </w:rPr>
                  </w:pPr>
                </w:p>
              </w:tc>
              <w:tc>
                <w:tcPr>
                  <w:tcW w:w="267" w:type="pct"/>
                </w:tcPr>
                <w:p w:rsidR="00EF3C03" w:rsidRPr="00EF3C03" w:rsidRDefault="00EF3C03" w:rsidP="00EF3C03">
                  <w:pPr>
                    <w:jc w:val="both"/>
                    <w:rPr>
                      <w:sz w:val="20"/>
                    </w:rPr>
                  </w:pPr>
                </w:p>
              </w:tc>
              <w:tc>
                <w:tcPr>
                  <w:tcW w:w="2366" w:type="pct"/>
                </w:tcPr>
                <w:p w:rsidR="00EF3C03" w:rsidRPr="00EF3C03" w:rsidRDefault="00EF3C03" w:rsidP="00EF3C03">
                  <w:pPr>
                    <w:jc w:val="both"/>
                    <w:rPr>
                      <w:sz w:val="20"/>
                    </w:rPr>
                  </w:pPr>
                  <w:r w:rsidRPr="00EF3C03">
                    <w:rPr>
                      <w:sz w:val="20"/>
                    </w:rPr>
                    <w:t>Direction refusing to reconsider decision not to accept notice of appeal and notice of motion for filing</w:t>
                  </w:r>
                </w:p>
              </w:tc>
            </w:tr>
            <w:tr w:rsidR="00EF3C03" w:rsidRPr="00EF3C03" w:rsidTr="00495D14">
              <w:tc>
                <w:tcPr>
                  <w:tcW w:w="2367" w:type="pct"/>
                </w:tcPr>
                <w:p w:rsidR="00EF3C03" w:rsidRPr="00EF3C03" w:rsidRDefault="00EF3C03" w:rsidP="00EF3C03">
                  <w:pPr>
                    <w:jc w:val="both"/>
                    <w:rPr>
                      <w:sz w:val="20"/>
                    </w:rPr>
                  </w:pPr>
                  <w:r w:rsidRPr="00EF3C03">
                    <w:rPr>
                      <w:sz w:val="20"/>
                    </w:rPr>
                    <w:t>June 8, 2016</w:t>
                  </w:r>
                </w:p>
                <w:p w:rsidR="00EF3C03" w:rsidRPr="00EF3C03" w:rsidRDefault="00EF3C03" w:rsidP="00EF3C03">
                  <w:pPr>
                    <w:jc w:val="both"/>
                    <w:rPr>
                      <w:sz w:val="20"/>
                    </w:rPr>
                  </w:pPr>
                  <w:r w:rsidRPr="00EF3C03">
                    <w:rPr>
                      <w:sz w:val="20"/>
                    </w:rPr>
                    <w:t>Supreme Court of Canada</w:t>
                  </w:r>
                </w:p>
              </w:tc>
              <w:tc>
                <w:tcPr>
                  <w:tcW w:w="267" w:type="pct"/>
                </w:tcPr>
                <w:p w:rsidR="00EF3C03" w:rsidRPr="00EF3C03" w:rsidRDefault="00EF3C03" w:rsidP="00EF3C03">
                  <w:pPr>
                    <w:jc w:val="both"/>
                    <w:rPr>
                      <w:sz w:val="20"/>
                    </w:rPr>
                  </w:pPr>
                </w:p>
              </w:tc>
              <w:tc>
                <w:tcPr>
                  <w:tcW w:w="2366" w:type="pct"/>
                </w:tcPr>
                <w:p w:rsidR="00EF3C03" w:rsidRPr="00EF3C03" w:rsidRDefault="00EF3C03" w:rsidP="00EF3C03">
                  <w:pPr>
                    <w:jc w:val="both"/>
                    <w:rPr>
                      <w:sz w:val="20"/>
                    </w:rPr>
                  </w:pPr>
                  <w:r w:rsidRPr="00EF3C03">
                    <w:rPr>
                      <w:sz w:val="20"/>
                    </w:rPr>
                    <w:t>Motion to extend time to serve and file application for leave to appeal and application for leave to appeal filed</w:t>
                  </w:r>
                </w:p>
              </w:tc>
            </w:tr>
          </w:tbl>
          <w:p w:rsidR="00EF3C03" w:rsidRPr="00EF3C03" w:rsidRDefault="00EF3C03" w:rsidP="00EF3C03">
            <w:pPr>
              <w:jc w:val="both"/>
              <w:rPr>
                <w:sz w:val="20"/>
              </w:rPr>
            </w:pPr>
          </w:p>
        </w:tc>
      </w:tr>
    </w:tbl>
    <w:p w:rsidR="00EF3C03" w:rsidRDefault="00EF3C03" w:rsidP="00EF3C03">
      <w:pPr>
        <w:jc w:val="both"/>
        <w:rPr>
          <w:sz w:val="20"/>
        </w:rPr>
      </w:pPr>
    </w:p>
    <w:p w:rsidR="00EF3C03" w:rsidRPr="00EF3C03" w:rsidRDefault="00EF3C03" w:rsidP="00EF3C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EF3C03" w:rsidRPr="00EF3C03" w:rsidTr="00E95A6A">
        <w:tc>
          <w:tcPr>
            <w:tcW w:w="543" w:type="pct"/>
          </w:tcPr>
          <w:p w:rsidR="00EF3C03" w:rsidRPr="00EF3C03" w:rsidRDefault="00EF3C03" w:rsidP="00EF3C03">
            <w:pPr>
              <w:jc w:val="both"/>
              <w:rPr>
                <w:sz w:val="20"/>
              </w:rPr>
            </w:pPr>
            <w:r w:rsidRPr="00EF3C03">
              <w:rPr>
                <w:rStyle w:val="SCCFileNumberChar"/>
                <w:sz w:val="20"/>
                <w:szCs w:val="20"/>
              </w:rPr>
              <w:t>37061</w:t>
            </w:r>
          </w:p>
        </w:tc>
        <w:tc>
          <w:tcPr>
            <w:tcW w:w="4457" w:type="pct"/>
          </w:tcPr>
          <w:p w:rsidR="00EF3C03" w:rsidRPr="00EF3C03" w:rsidRDefault="00EF3C03" w:rsidP="00EF3C03">
            <w:pPr>
              <w:pStyle w:val="SCCLsocParty"/>
              <w:jc w:val="both"/>
              <w:rPr>
                <w:b/>
                <w:sz w:val="20"/>
                <w:szCs w:val="20"/>
              </w:rPr>
            </w:pPr>
            <w:r w:rsidRPr="00EF3C03">
              <w:rPr>
                <w:b/>
                <w:sz w:val="20"/>
                <w:szCs w:val="20"/>
              </w:rPr>
              <w:t>Kwok Kin Kwong c. Ministre de Citoyenneté et Immigration Canada</w:t>
            </w:r>
          </w:p>
          <w:p w:rsidR="00EF3C03" w:rsidRPr="00EF3C03" w:rsidRDefault="00EF3C03" w:rsidP="00EF3C03">
            <w:pPr>
              <w:jc w:val="both"/>
              <w:rPr>
                <w:sz w:val="20"/>
              </w:rPr>
            </w:pPr>
            <w:r w:rsidRPr="00EF3C03">
              <w:rPr>
                <w:sz w:val="20"/>
              </w:rPr>
              <w:t>(CF) (Civile) (Sur autorisation)</w:t>
            </w:r>
          </w:p>
        </w:tc>
      </w:tr>
      <w:tr w:rsidR="00EF3C03" w:rsidRPr="00EF3C03" w:rsidTr="00E95A6A">
        <w:tc>
          <w:tcPr>
            <w:tcW w:w="5000" w:type="pct"/>
            <w:gridSpan w:val="2"/>
          </w:tcPr>
          <w:p w:rsidR="00EF3C03" w:rsidRPr="00EF3C03" w:rsidRDefault="00EF3C03" w:rsidP="00EF3C03">
            <w:pPr>
              <w:pStyle w:val="SCCBanSummary"/>
              <w:rPr>
                <w:sz w:val="20"/>
                <w:szCs w:val="20"/>
                <w:lang w:val="fr-CA"/>
              </w:rPr>
            </w:pPr>
            <w:r w:rsidRPr="00EF3C03">
              <w:rPr>
                <w:sz w:val="20"/>
                <w:szCs w:val="20"/>
                <w:lang w:val="fr-CA"/>
              </w:rPr>
              <w:t>(Ordonnance de mise sous scellés)</w:t>
            </w:r>
          </w:p>
          <w:p w:rsidR="00EF3C03" w:rsidRPr="00EF3C03" w:rsidRDefault="00EF3C03" w:rsidP="00EF3C03">
            <w:pPr>
              <w:jc w:val="both"/>
              <w:rPr>
                <w:sz w:val="20"/>
                <w:lang w:val="fr-CA"/>
              </w:rPr>
            </w:pPr>
          </w:p>
          <w:p w:rsidR="00EF3C03" w:rsidRPr="00EF3C03" w:rsidRDefault="00EF3C03" w:rsidP="00EF3C03">
            <w:pPr>
              <w:jc w:val="both"/>
              <w:rPr>
                <w:sz w:val="20"/>
                <w:lang w:val="fr-CA"/>
              </w:rPr>
            </w:pPr>
            <w:r w:rsidRPr="00EF3C03">
              <w:rPr>
                <w:sz w:val="20"/>
                <w:lang w:val="fr-CA"/>
              </w:rPr>
              <w:t xml:space="preserve">Immigration – Résidents temporaires – Interdiction de territoire – Permis de résidence temporaire refusé au demandeur – La Cour fédérale rejette la demande de contrôle judiciaire en raison de son caractère caduc et confirme l’ordonnance de mise sous scellés – Qui peut divulguer des renseignements qui avaient auparavant fait l’objet d’une demande de mise sous scellés : le ministre qui a invoqué la sécurité nationale, mais qui ne peut plus justifier ce moyen, ou seulement le tribunal qui a rendu l’ordonnance il y a des années à la demande du ministre? – Un tribunal peut-il récupérer des documents qui ont été divulgués, mais qui étaient auparavant l’objet d’une ordonnance de mise sous scellés? – Le raisonnement de la Cour dans </w:t>
            </w:r>
            <w:r w:rsidRPr="00EF3C03">
              <w:rPr>
                <w:i/>
                <w:sz w:val="20"/>
                <w:lang w:val="fr-CA"/>
              </w:rPr>
              <w:t>Babcock c. Canada (Procureur général)</w:t>
            </w:r>
            <w:r w:rsidRPr="00EF3C03">
              <w:rPr>
                <w:sz w:val="20"/>
                <w:lang w:val="fr-CA"/>
              </w:rPr>
              <w:t>, 2002 CSC 57, [2002] 3 R.C.S. 3, s’applique-t-il dans les cas où le ministre responsable a divulgué des renseignements qui étaient auparavant dissimulés pour des raisons de sécurité nationale, mais où il revient ensuite sur sa position et sollicite le retour des renseignements sur la base d’une ordonnance judiciaire rendue seize ans plus tôt? – Le demandeur a-t-il droit à une procédure officielle visant à déterminer s’il peut se pourvoir en appel sans qu’une question soit certifiée en application de l’al. 74</w:t>
            </w:r>
            <w:r w:rsidRPr="00EF3C03">
              <w:rPr>
                <w:i/>
                <w:sz w:val="20"/>
                <w:lang w:val="fr-CA"/>
              </w:rPr>
              <w:t>d</w:t>
            </w:r>
            <w:r w:rsidRPr="00EF3C03">
              <w:rPr>
                <w:sz w:val="20"/>
                <w:lang w:val="fr-CA"/>
              </w:rPr>
              <w:t xml:space="preserve">) de la </w:t>
            </w:r>
            <w:r w:rsidRPr="00EF3C03">
              <w:rPr>
                <w:i/>
                <w:sz w:val="20"/>
                <w:lang w:val="fr-CA"/>
              </w:rPr>
              <w:t>Loi sur l’immigration et la protection des réfugiés</w:t>
            </w:r>
            <w:r w:rsidRPr="00EF3C03">
              <w:rPr>
                <w:sz w:val="20"/>
                <w:lang w:val="fr-CA"/>
              </w:rPr>
              <w:t>, L.C. 2001, c. 27? – Faut-il qu’une question soit certifiée pour que le demandeur puisse interjeter appel sur le pouvoir d’un juge de la Cour fédérale d’ordonner la récupération de documents autrefois scellés aux termes d’une ordonnance judiciaire mais divulgués subséquemment par le ministre responsable.</w:t>
            </w:r>
          </w:p>
        </w:tc>
      </w:tr>
      <w:tr w:rsidR="00EF3C03" w:rsidRPr="00EF3C03" w:rsidTr="00E95A6A">
        <w:tc>
          <w:tcPr>
            <w:tcW w:w="5000" w:type="pct"/>
            <w:gridSpan w:val="2"/>
          </w:tcPr>
          <w:p w:rsidR="00EF3C03" w:rsidRPr="00EF3C03" w:rsidRDefault="00EF3C03" w:rsidP="00EF3C03">
            <w:pPr>
              <w:jc w:val="both"/>
              <w:rPr>
                <w:sz w:val="20"/>
                <w:lang w:val="fr-CA"/>
              </w:rPr>
            </w:pPr>
          </w:p>
        </w:tc>
      </w:tr>
      <w:tr w:rsidR="00EF3C03" w:rsidRPr="00EF3C03" w:rsidTr="00E95A6A">
        <w:tc>
          <w:tcPr>
            <w:tcW w:w="5000" w:type="pct"/>
            <w:gridSpan w:val="2"/>
          </w:tcPr>
          <w:p w:rsidR="00EF3C03" w:rsidRPr="00EF3C03" w:rsidRDefault="00EF3C03" w:rsidP="00EF3C03">
            <w:pPr>
              <w:jc w:val="both"/>
              <w:rPr>
                <w:sz w:val="20"/>
                <w:lang w:val="fr-CA"/>
              </w:rPr>
            </w:pPr>
            <w:r w:rsidRPr="00EF3C03">
              <w:rPr>
                <w:sz w:val="20"/>
                <w:lang w:val="fr-CA"/>
              </w:rPr>
              <w:t xml:space="preserve">Un agent de Citoyenneté et Immigration Canada a rejeté la demande de permis de résidence temporaire présentée par M. Kwong afin de voir sa mère âgée au Canada. L’agent a fondé sa décision sur le refus de la demande de résidence permanente de M. Kwong en 1999. À cette époque, M. Kwong a été déclaré interdit de territoire au Canada pour criminalité et participation au crime organisé parce qu’il tenait plusieurs « maisons de débauche » à Hong Kong, un acte qui, commis au Canada, aurait constitué une infraction au </w:t>
            </w:r>
            <w:r w:rsidRPr="00EF3C03">
              <w:rPr>
                <w:i/>
                <w:iCs/>
                <w:sz w:val="20"/>
                <w:lang w:val="fr-CA"/>
              </w:rPr>
              <w:t>Code criminel</w:t>
            </w:r>
            <w:r w:rsidRPr="00EF3C03">
              <w:rPr>
                <w:sz w:val="20"/>
                <w:lang w:val="fr-CA"/>
              </w:rPr>
              <w:t>, L.R.C. 1985, c. C-46, à l’époque.</w:t>
            </w:r>
          </w:p>
          <w:p w:rsidR="00EF3C03" w:rsidRPr="00EF3C03" w:rsidRDefault="00EF3C03" w:rsidP="00EF3C03">
            <w:pPr>
              <w:jc w:val="both"/>
              <w:rPr>
                <w:sz w:val="20"/>
                <w:lang w:val="fr-CA"/>
              </w:rPr>
            </w:pPr>
          </w:p>
          <w:p w:rsidR="00EF3C03" w:rsidRPr="00EF3C03" w:rsidRDefault="00EF3C03" w:rsidP="00EF3C03">
            <w:pPr>
              <w:jc w:val="both"/>
              <w:rPr>
                <w:sz w:val="20"/>
                <w:lang w:val="fr-CA"/>
              </w:rPr>
            </w:pPr>
            <w:r w:rsidRPr="00EF3C03">
              <w:rPr>
                <w:sz w:val="20"/>
                <w:lang w:val="fr-CA"/>
              </w:rPr>
              <w:t xml:space="preserve">Monsieur Kwong a demandé le contrôle judiciaire de la décision de l’agent. Le ministre a répondu à la demande et déposé une requête en vue de faire retirer du dossier de la cour certains documents visés par une ordonnance de </w:t>
            </w:r>
            <w:r w:rsidRPr="00EF3C03">
              <w:rPr>
                <w:sz w:val="20"/>
                <w:lang w:val="fr-CA"/>
              </w:rPr>
              <w:lastRenderedPageBreak/>
              <w:t xml:space="preserve">confidentialité rendue avec la décision de 1999 sur la demande de visa et sur laquelle s’est fondé l’agent en l’espèce, de faire remettre sous scellés toutes les copies des documents ainsi que de faire enjoindre à M. Kwong et à ses avocats de les retourner au ministre et de détruire toute note liée à ces documents. Le ministre a fait valoir que les documents confidentiels avaient été divulgués par mégarde à M. Kwong en réponse à une demande d’accès à l’information. Le ministre a également demandé par requête une ordonnance rejetant la demande en raison de sa caducité parce que les autorités avaient accepté une demande de visa distincte </w:t>
            </w:r>
            <w:r w:rsidRPr="00EF3C03">
              <w:rPr>
                <w:rStyle w:val="citationcar"/>
                <w:sz w:val="20"/>
                <w:lang w:val="fr-CA"/>
              </w:rPr>
              <w:t>pour que M. Kwong puisse assister aux funérailles de sa mère. Ce dernier s’est opposé aux deux requêtes</w:t>
            </w:r>
            <w:r w:rsidRPr="00EF3C03">
              <w:rPr>
                <w:sz w:val="20"/>
                <w:lang w:val="fr-CA"/>
              </w:rPr>
              <w:t>.</w:t>
            </w:r>
          </w:p>
          <w:p w:rsidR="00EF3C03" w:rsidRPr="00EF3C03" w:rsidRDefault="00EF3C03" w:rsidP="00EF3C03">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EF3C03" w:rsidRPr="00EF3C03" w:rsidTr="00495D14">
              <w:tc>
                <w:tcPr>
                  <w:tcW w:w="2367" w:type="pct"/>
                </w:tcPr>
                <w:p w:rsidR="00EF3C03" w:rsidRPr="00EF3C03" w:rsidRDefault="00EF3C03" w:rsidP="00EF3C03">
                  <w:pPr>
                    <w:jc w:val="both"/>
                    <w:rPr>
                      <w:sz w:val="20"/>
                      <w:lang w:val="fr-CA"/>
                    </w:rPr>
                  </w:pPr>
                  <w:r w:rsidRPr="00EF3C03">
                    <w:rPr>
                      <w:sz w:val="20"/>
                      <w:lang w:val="fr-CA"/>
                    </w:rPr>
                    <w:t>10 février 2016</w:t>
                  </w:r>
                </w:p>
                <w:p w:rsidR="00EF3C03" w:rsidRPr="00EF3C03" w:rsidRDefault="00EF3C03" w:rsidP="00EF3C03">
                  <w:pPr>
                    <w:jc w:val="both"/>
                    <w:rPr>
                      <w:sz w:val="20"/>
                      <w:lang w:val="fr-CA"/>
                    </w:rPr>
                  </w:pPr>
                  <w:r w:rsidRPr="00EF3C03">
                    <w:rPr>
                      <w:sz w:val="20"/>
                      <w:lang w:val="fr-CA"/>
                    </w:rPr>
                    <w:t>Cour fédérale</w:t>
                  </w:r>
                </w:p>
                <w:p w:rsidR="00EF3C03" w:rsidRPr="00EF3C03" w:rsidRDefault="00EF3C03" w:rsidP="00EF3C03">
                  <w:pPr>
                    <w:jc w:val="both"/>
                    <w:rPr>
                      <w:sz w:val="20"/>
                      <w:lang w:val="fr-CA"/>
                    </w:rPr>
                  </w:pPr>
                  <w:r w:rsidRPr="00EF3C03">
                    <w:rPr>
                      <w:sz w:val="20"/>
                      <w:lang w:val="fr-CA"/>
                    </w:rPr>
                    <w:t xml:space="preserve">(Juge </w:t>
                  </w:r>
                  <w:proofErr w:type="spellStart"/>
                  <w:r w:rsidRPr="00EF3C03">
                    <w:rPr>
                      <w:sz w:val="20"/>
                      <w:lang w:val="fr-CA"/>
                    </w:rPr>
                    <w:t>Zinn</w:t>
                  </w:r>
                  <w:proofErr w:type="spellEnd"/>
                  <w:r w:rsidRPr="00EF3C03">
                    <w:rPr>
                      <w:sz w:val="20"/>
                      <w:lang w:val="fr-CA"/>
                    </w:rPr>
                    <w:t>)</w:t>
                  </w:r>
                </w:p>
                <w:p w:rsidR="00EF3C03" w:rsidRPr="00EF3C03" w:rsidRDefault="00F52446" w:rsidP="00EF3C03">
                  <w:pPr>
                    <w:jc w:val="both"/>
                    <w:rPr>
                      <w:sz w:val="20"/>
                    </w:rPr>
                  </w:pPr>
                  <w:hyperlink r:id="rId21" w:history="1">
                    <w:r w:rsidR="00EF3C03" w:rsidRPr="00EF3C03">
                      <w:rPr>
                        <w:rStyle w:val="Hyperlink"/>
                        <w:sz w:val="20"/>
                      </w:rPr>
                      <w:t>2016 CF 179</w:t>
                    </w:r>
                  </w:hyperlink>
                </w:p>
                <w:p w:rsidR="00EF3C03" w:rsidRPr="00EF3C03" w:rsidRDefault="00EF3C03" w:rsidP="00EF3C03">
                  <w:pPr>
                    <w:jc w:val="both"/>
                    <w:rPr>
                      <w:sz w:val="20"/>
                    </w:rPr>
                  </w:pPr>
                </w:p>
              </w:tc>
              <w:tc>
                <w:tcPr>
                  <w:tcW w:w="267" w:type="pct"/>
                </w:tcPr>
                <w:p w:rsidR="00EF3C03" w:rsidRPr="00EF3C03" w:rsidRDefault="00EF3C03" w:rsidP="00EF3C03">
                  <w:pPr>
                    <w:jc w:val="both"/>
                    <w:rPr>
                      <w:sz w:val="20"/>
                    </w:rPr>
                  </w:pPr>
                </w:p>
              </w:tc>
              <w:tc>
                <w:tcPr>
                  <w:tcW w:w="2366" w:type="pct"/>
                </w:tcPr>
                <w:p w:rsidR="00EF3C03" w:rsidRPr="00EF3C03" w:rsidRDefault="00EF3C03" w:rsidP="00EF3C03">
                  <w:pPr>
                    <w:jc w:val="both"/>
                    <w:rPr>
                      <w:sz w:val="20"/>
                      <w:lang w:val="fr-CA"/>
                    </w:rPr>
                  </w:pPr>
                  <w:r w:rsidRPr="00EF3C03">
                    <w:rPr>
                      <w:sz w:val="20"/>
                      <w:lang w:val="fr-CA"/>
                    </w:rPr>
                    <w:t xml:space="preserve">Requêtes du ministre accueillies, rejet de la demande de contrôle judiciaire </w:t>
                  </w:r>
                </w:p>
                <w:p w:rsidR="00EF3C03" w:rsidRPr="00EF3C03" w:rsidRDefault="00EF3C03" w:rsidP="00EF3C03">
                  <w:pPr>
                    <w:jc w:val="both"/>
                    <w:rPr>
                      <w:sz w:val="20"/>
                      <w:lang w:val="fr-CA"/>
                    </w:rPr>
                  </w:pPr>
                </w:p>
              </w:tc>
            </w:tr>
            <w:tr w:rsidR="00EF3C03" w:rsidRPr="00EF3C03" w:rsidTr="00495D14">
              <w:tc>
                <w:tcPr>
                  <w:tcW w:w="2367" w:type="pct"/>
                </w:tcPr>
                <w:p w:rsidR="00EF3C03" w:rsidRPr="00EF3C03" w:rsidRDefault="00EF3C03" w:rsidP="00EF3C03">
                  <w:pPr>
                    <w:jc w:val="both"/>
                    <w:rPr>
                      <w:sz w:val="20"/>
                      <w:lang w:val="fr-CA"/>
                    </w:rPr>
                  </w:pPr>
                  <w:r w:rsidRPr="00EF3C03">
                    <w:rPr>
                      <w:sz w:val="20"/>
                      <w:lang w:val="fr-CA"/>
                    </w:rPr>
                    <w:t>25 février 2016</w:t>
                  </w:r>
                </w:p>
                <w:p w:rsidR="00EF3C03" w:rsidRPr="00EF3C03" w:rsidRDefault="00EF3C03" w:rsidP="00EF3C03">
                  <w:pPr>
                    <w:jc w:val="both"/>
                    <w:rPr>
                      <w:sz w:val="20"/>
                      <w:lang w:val="fr-CA"/>
                    </w:rPr>
                  </w:pPr>
                  <w:r w:rsidRPr="00EF3C03">
                    <w:rPr>
                      <w:sz w:val="20"/>
                      <w:lang w:val="fr-CA"/>
                    </w:rPr>
                    <w:t>Cour d’appel fédérale</w:t>
                  </w:r>
                </w:p>
                <w:p w:rsidR="00EF3C03" w:rsidRPr="00EF3C03" w:rsidRDefault="00EF3C03" w:rsidP="00EF3C03">
                  <w:pPr>
                    <w:jc w:val="both"/>
                    <w:rPr>
                      <w:sz w:val="20"/>
                      <w:lang w:val="fr-CA"/>
                    </w:rPr>
                  </w:pPr>
                  <w:r w:rsidRPr="00EF3C03">
                    <w:rPr>
                      <w:sz w:val="20"/>
                      <w:lang w:val="fr-CA"/>
                    </w:rPr>
                    <w:t>(Juge De Montigny)</w:t>
                  </w:r>
                </w:p>
                <w:p w:rsidR="00EF3C03" w:rsidRPr="00EF3C03" w:rsidRDefault="00EF3C03" w:rsidP="00EF3C03">
                  <w:pPr>
                    <w:jc w:val="both"/>
                    <w:rPr>
                      <w:sz w:val="20"/>
                      <w:lang w:val="fr-CA"/>
                    </w:rPr>
                  </w:pPr>
                </w:p>
              </w:tc>
              <w:tc>
                <w:tcPr>
                  <w:tcW w:w="267" w:type="pct"/>
                </w:tcPr>
                <w:p w:rsidR="00EF3C03" w:rsidRPr="00EF3C03" w:rsidRDefault="00EF3C03" w:rsidP="00EF3C03">
                  <w:pPr>
                    <w:jc w:val="both"/>
                    <w:rPr>
                      <w:sz w:val="20"/>
                      <w:lang w:val="fr-CA"/>
                    </w:rPr>
                  </w:pPr>
                </w:p>
              </w:tc>
              <w:tc>
                <w:tcPr>
                  <w:tcW w:w="2366" w:type="pct"/>
                </w:tcPr>
                <w:p w:rsidR="00EF3C03" w:rsidRPr="00EF3C03" w:rsidRDefault="00EF3C03" w:rsidP="00EF3C03">
                  <w:pPr>
                    <w:jc w:val="both"/>
                    <w:rPr>
                      <w:sz w:val="20"/>
                      <w:lang w:val="fr-CA"/>
                    </w:rPr>
                  </w:pPr>
                  <w:r w:rsidRPr="00EF3C03">
                    <w:rPr>
                      <w:sz w:val="20"/>
                      <w:lang w:val="fr-CA"/>
                    </w:rPr>
                    <w:t xml:space="preserve">Directive au Greffe de refuser l’avis d’appel et l’avis de requête en dépôt </w:t>
                  </w:r>
                </w:p>
                <w:p w:rsidR="00EF3C03" w:rsidRPr="00EF3C03" w:rsidRDefault="00EF3C03" w:rsidP="00EF3C03">
                  <w:pPr>
                    <w:jc w:val="both"/>
                    <w:rPr>
                      <w:sz w:val="20"/>
                      <w:lang w:val="fr-CA"/>
                    </w:rPr>
                  </w:pPr>
                </w:p>
              </w:tc>
            </w:tr>
            <w:tr w:rsidR="00EF3C03" w:rsidRPr="00EF3C03" w:rsidTr="00495D14">
              <w:tc>
                <w:tcPr>
                  <w:tcW w:w="2367" w:type="pct"/>
                </w:tcPr>
                <w:p w:rsidR="00EF3C03" w:rsidRPr="00EF3C03" w:rsidRDefault="00EF3C03" w:rsidP="00EF3C03">
                  <w:pPr>
                    <w:jc w:val="both"/>
                    <w:rPr>
                      <w:sz w:val="20"/>
                      <w:lang w:val="fr-CA"/>
                    </w:rPr>
                  </w:pPr>
                  <w:r w:rsidRPr="00EF3C03">
                    <w:rPr>
                      <w:sz w:val="20"/>
                      <w:lang w:val="fr-CA"/>
                    </w:rPr>
                    <w:t>21 mars 2016</w:t>
                  </w:r>
                </w:p>
                <w:p w:rsidR="00EF3C03" w:rsidRPr="00EF3C03" w:rsidRDefault="00EF3C03" w:rsidP="00EF3C03">
                  <w:pPr>
                    <w:jc w:val="both"/>
                    <w:rPr>
                      <w:sz w:val="20"/>
                      <w:lang w:val="fr-CA"/>
                    </w:rPr>
                  </w:pPr>
                  <w:r w:rsidRPr="00EF3C03">
                    <w:rPr>
                      <w:sz w:val="20"/>
                      <w:lang w:val="fr-CA"/>
                    </w:rPr>
                    <w:t>Cour d’appel fédérale</w:t>
                  </w:r>
                </w:p>
                <w:p w:rsidR="00EF3C03" w:rsidRPr="00EF3C03" w:rsidRDefault="00EF3C03" w:rsidP="00EF3C03">
                  <w:pPr>
                    <w:jc w:val="both"/>
                    <w:rPr>
                      <w:sz w:val="20"/>
                      <w:lang w:val="fr-CA"/>
                    </w:rPr>
                  </w:pPr>
                  <w:r w:rsidRPr="00EF3C03">
                    <w:rPr>
                      <w:sz w:val="20"/>
                      <w:lang w:val="fr-CA"/>
                    </w:rPr>
                    <w:t>(Juge De Montigny)</w:t>
                  </w:r>
                </w:p>
                <w:p w:rsidR="00EF3C03" w:rsidRPr="00EF3C03" w:rsidRDefault="00EF3C03" w:rsidP="00EF3C03">
                  <w:pPr>
                    <w:jc w:val="both"/>
                    <w:rPr>
                      <w:sz w:val="20"/>
                      <w:lang w:val="fr-CA"/>
                    </w:rPr>
                  </w:pPr>
                </w:p>
              </w:tc>
              <w:tc>
                <w:tcPr>
                  <w:tcW w:w="267" w:type="pct"/>
                </w:tcPr>
                <w:p w:rsidR="00EF3C03" w:rsidRPr="00EF3C03" w:rsidRDefault="00EF3C03" w:rsidP="00EF3C03">
                  <w:pPr>
                    <w:jc w:val="both"/>
                    <w:rPr>
                      <w:sz w:val="20"/>
                      <w:lang w:val="fr-CA"/>
                    </w:rPr>
                  </w:pPr>
                </w:p>
              </w:tc>
              <w:tc>
                <w:tcPr>
                  <w:tcW w:w="2366" w:type="pct"/>
                </w:tcPr>
                <w:p w:rsidR="00EF3C03" w:rsidRPr="00EF3C03" w:rsidRDefault="00EF3C03" w:rsidP="00EF3C03">
                  <w:pPr>
                    <w:jc w:val="both"/>
                    <w:rPr>
                      <w:sz w:val="20"/>
                      <w:lang w:val="fr-CA"/>
                    </w:rPr>
                  </w:pPr>
                  <w:r w:rsidRPr="00EF3C03">
                    <w:rPr>
                      <w:sz w:val="20"/>
                      <w:lang w:val="fr-CA"/>
                    </w:rPr>
                    <w:t xml:space="preserve">Directive refusant de revoir la décision de ne pas accepter l’avis d’appel et l’avis de requête en dépôt </w:t>
                  </w:r>
                </w:p>
              </w:tc>
            </w:tr>
            <w:tr w:rsidR="00EF3C03" w:rsidRPr="00EF3C03" w:rsidTr="00495D14">
              <w:tc>
                <w:tcPr>
                  <w:tcW w:w="2367" w:type="pct"/>
                </w:tcPr>
                <w:p w:rsidR="00EF3C03" w:rsidRPr="00EF3C03" w:rsidRDefault="00EF3C03" w:rsidP="00EF3C03">
                  <w:pPr>
                    <w:jc w:val="both"/>
                    <w:rPr>
                      <w:sz w:val="20"/>
                      <w:lang w:val="fr-CA"/>
                    </w:rPr>
                  </w:pPr>
                  <w:r w:rsidRPr="00EF3C03">
                    <w:rPr>
                      <w:sz w:val="20"/>
                      <w:lang w:val="fr-CA"/>
                    </w:rPr>
                    <w:t>8 juin 2016</w:t>
                  </w:r>
                </w:p>
                <w:p w:rsidR="00EF3C03" w:rsidRPr="00EF3C03" w:rsidRDefault="00EF3C03" w:rsidP="00EF3C03">
                  <w:pPr>
                    <w:jc w:val="both"/>
                    <w:rPr>
                      <w:sz w:val="20"/>
                      <w:lang w:val="fr-CA"/>
                    </w:rPr>
                  </w:pPr>
                  <w:r w:rsidRPr="00EF3C03">
                    <w:rPr>
                      <w:sz w:val="20"/>
                      <w:lang w:val="fr-CA"/>
                    </w:rPr>
                    <w:t>Cour suprême du Canada</w:t>
                  </w:r>
                </w:p>
              </w:tc>
              <w:tc>
                <w:tcPr>
                  <w:tcW w:w="267" w:type="pct"/>
                </w:tcPr>
                <w:p w:rsidR="00EF3C03" w:rsidRPr="00EF3C03" w:rsidRDefault="00EF3C03" w:rsidP="00EF3C03">
                  <w:pPr>
                    <w:jc w:val="both"/>
                    <w:rPr>
                      <w:sz w:val="20"/>
                      <w:lang w:val="fr-CA"/>
                    </w:rPr>
                  </w:pPr>
                </w:p>
              </w:tc>
              <w:tc>
                <w:tcPr>
                  <w:tcW w:w="2366" w:type="pct"/>
                </w:tcPr>
                <w:p w:rsidR="00EF3C03" w:rsidRPr="00EF3C03" w:rsidRDefault="00EF3C03" w:rsidP="00EF3C03">
                  <w:pPr>
                    <w:jc w:val="both"/>
                    <w:rPr>
                      <w:sz w:val="20"/>
                      <w:lang w:val="fr-CA"/>
                    </w:rPr>
                  </w:pPr>
                  <w:r w:rsidRPr="00EF3C03">
                    <w:rPr>
                      <w:sz w:val="20"/>
                      <w:lang w:val="fr-CA"/>
                    </w:rPr>
                    <w:t xml:space="preserve">Dépôt de la requête en prorogation du délai pour signifier et déposer la demande d’autorisation d’appel et de la demande d’autorisation d’appel </w:t>
                  </w:r>
                </w:p>
              </w:tc>
            </w:tr>
          </w:tbl>
          <w:p w:rsidR="00EF3C03" w:rsidRPr="00EF3C03" w:rsidRDefault="00EF3C03" w:rsidP="00EF3C03">
            <w:pPr>
              <w:jc w:val="both"/>
              <w:rPr>
                <w:sz w:val="20"/>
                <w:lang w:val="fr-CA"/>
              </w:rPr>
            </w:pPr>
          </w:p>
        </w:tc>
      </w:tr>
    </w:tbl>
    <w:p w:rsidR="00EF3C03" w:rsidRPr="006433F1" w:rsidRDefault="00EF3C03" w:rsidP="006433F1">
      <w:pPr>
        <w:jc w:val="both"/>
        <w:rPr>
          <w:sz w:val="20"/>
          <w:lang w:val="fr-CA"/>
        </w:rPr>
      </w:pPr>
    </w:p>
    <w:p w:rsidR="00873B07" w:rsidRPr="006433F1" w:rsidRDefault="00873B07" w:rsidP="006433F1">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433F1" w:rsidRPr="006433F1" w:rsidTr="00E95A6A">
        <w:tc>
          <w:tcPr>
            <w:tcW w:w="543" w:type="pct"/>
          </w:tcPr>
          <w:p w:rsidR="006433F1" w:rsidRPr="006433F1" w:rsidRDefault="006433F1" w:rsidP="006433F1">
            <w:pPr>
              <w:jc w:val="both"/>
              <w:rPr>
                <w:sz w:val="20"/>
              </w:rPr>
            </w:pPr>
            <w:r w:rsidRPr="006433F1">
              <w:rPr>
                <w:rStyle w:val="SCCFileNumberChar"/>
                <w:sz w:val="20"/>
                <w:szCs w:val="20"/>
              </w:rPr>
              <w:t>37035</w:t>
            </w:r>
          </w:p>
        </w:tc>
        <w:tc>
          <w:tcPr>
            <w:tcW w:w="4457" w:type="pct"/>
            <w:gridSpan w:val="3"/>
          </w:tcPr>
          <w:p w:rsidR="006433F1" w:rsidRPr="006433F1" w:rsidRDefault="006433F1" w:rsidP="006433F1">
            <w:pPr>
              <w:pStyle w:val="SCCLsocParty"/>
              <w:jc w:val="both"/>
              <w:rPr>
                <w:b/>
                <w:sz w:val="20"/>
                <w:szCs w:val="20"/>
              </w:rPr>
            </w:pPr>
            <w:r w:rsidRPr="006433F1">
              <w:rPr>
                <w:b/>
                <w:sz w:val="20"/>
                <w:szCs w:val="20"/>
              </w:rPr>
              <w:t>Enbridge Gas New Brunswick Limited Partnership, as represented by its general partner, Enbridge Gas New Brunswick Inc., Enbridge Energy Distribution Inc. and E</w:t>
            </w:r>
            <w:r w:rsidR="006E4D2D">
              <w:rPr>
                <w:b/>
                <w:sz w:val="20"/>
                <w:szCs w:val="20"/>
              </w:rPr>
              <w:t>n</w:t>
            </w:r>
            <w:r w:rsidRPr="006433F1">
              <w:rPr>
                <w:b/>
                <w:sz w:val="20"/>
                <w:szCs w:val="20"/>
              </w:rPr>
              <w:t>bridge Inc. v. Province of New Brunswick</w:t>
            </w:r>
          </w:p>
          <w:p w:rsidR="006433F1" w:rsidRPr="006433F1" w:rsidRDefault="006433F1" w:rsidP="006433F1">
            <w:pPr>
              <w:jc w:val="both"/>
              <w:rPr>
                <w:sz w:val="20"/>
              </w:rPr>
            </w:pPr>
            <w:r w:rsidRPr="006433F1">
              <w:rPr>
                <w:sz w:val="20"/>
              </w:rPr>
              <w:t>(N.B.) (Civil) (By Leave)</w:t>
            </w:r>
          </w:p>
        </w:tc>
      </w:tr>
      <w:tr w:rsidR="006433F1" w:rsidRPr="006433F1" w:rsidTr="00E95A6A">
        <w:tc>
          <w:tcPr>
            <w:tcW w:w="5000" w:type="pct"/>
            <w:gridSpan w:val="4"/>
          </w:tcPr>
          <w:p w:rsidR="006433F1" w:rsidRPr="006433F1" w:rsidRDefault="006433F1" w:rsidP="006433F1">
            <w:pPr>
              <w:jc w:val="both"/>
              <w:rPr>
                <w:sz w:val="20"/>
              </w:rPr>
            </w:pPr>
            <w:r w:rsidRPr="006433F1">
              <w:rPr>
                <w:sz w:val="20"/>
              </w:rPr>
              <w:t>Evidence – Disclosure – Solicitor-client privilege – Public interest immunity – Whether the party asserting solicitor-client privilege should be required to establish the criteria necessary to attract the privilege, including a sufficient description of the documents in question – What is the test to determine whether an individual can be characterized as an agent of the solicitor such that communications involving the agent also attract solicitor-client privilege – What is the proper balancing of, weight and consideration to be given to the common law criteria in determining whether or not public interest immunity applies to protect Cabinet documents from disclosure?</w:t>
            </w:r>
          </w:p>
        </w:tc>
      </w:tr>
      <w:tr w:rsidR="006433F1" w:rsidRPr="006433F1" w:rsidTr="00E95A6A">
        <w:tc>
          <w:tcPr>
            <w:tcW w:w="5000" w:type="pct"/>
            <w:gridSpan w:val="4"/>
          </w:tcPr>
          <w:p w:rsidR="006433F1" w:rsidRPr="006433F1" w:rsidRDefault="006433F1" w:rsidP="006433F1">
            <w:pPr>
              <w:jc w:val="both"/>
              <w:rPr>
                <w:sz w:val="20"/>
              </w:rPr>
            </w:pPr>
          </w:p>
        </w:tc>
      </w:tr>
      <w:tr w:rsidR="006433F1" w:rsidRPr="006433F1" w:rsidTr="00E95A6A">
        <w:tc>
          <w:tcPr>
            <w:tcW w:w="5000" w:type="pct"/>
            <w:gridSpan w:val="4"/>
          </w:tcPr>
          <w:p w:rsidR="006433F1" w:rsidRPr="006433F1" w:rsidRDefault="006433F1" w:rsidP="006433F1">
            <w:pPr>
              <w:jc w:val="both"/>
              <w:rPr>
                <w:sz w:val="20"/>
              </w:rPr>
            </w:pPr>
            <w:r w:rsidRPr="006433F1">
              <w:rPr>
                <w:sz w:val="20"/>
              </w:rPr>
              <w:t>During pre-trial disclosure proceedings, the Province provided Enbridge with an Affidavit of Documents in which an agent of the Crown disclosed 9,686 documents, of which privilege was claimed over 3,606 documents. Enbridge moved for an order requiring disclosure of the latter documents on the basis that the claims were improper. Prior to the hearing of the motion, the number of documents in dispute was reduced to approximately 800. The disputed documents included were grouped in four categories: internal employee documents, which were said to transmit, comment upon or otherwise reveal the substance of legal advice; documents on which the solicitor was copied, and which were created for the direct purpose of seeking or obtaining legal advice; communications through intermediaries, and which are said to involve agents of the Province of New Brunswick in furtherance of the solicitor-client relationship; and documents over which public interest immunity was claimed.</w:t>
            </w:r>
          </w:p>
          <w:p w:rsidR="006433F1" w:rsidRPr="006433F1" w:rsidRDefault="006433F1" w:rsidP="006433F1">
            <w:pPr>
              <w:jc w:val="both"/>
              <w:rPr>
                <w:sz w:val="20"/>
              </w:rPr>
            </w:pPr>
          </w:p>
          <w:p w:rsidR="006433F1" w:rsidRPr="006433F1" w:rsidRDefault="006433F1" w:rsidP="006433F1">
            <w:pPr>
              <w:jc w:val="both"/>
              <w:rPr>
                <w:sz w:val="20"/>
              </w:rPr>
            </w:pPr>
            <w:r w:rsidRPr="006433F1">
              <w:rPr>
                <w:sz w:val="20"/>
              </w:rPr>
              <w:t>The motions judge ordered all of the documents disclosed, with the option to have individual documents reviewed, on leave. The Court of Appeal allowed the Province’s appeal.</w:t>
            </w:r>
          </w:p>
          <w:p w:rsidR="006433F1" w:rsidRPr="006433F1" w:rsidRDefault="006433F1" w:rsidP="006433F1">
            <w:pPr>
              <w:jc w:val="both"/>
              <w:rPr>
                <w:sz w:val="20"/>
              </w:rPr>
            </w:pPr>
          </w:p>
        </w:tc>
      </w:tr>
      <w:tr w:rsidR="006433F1" w:rsidRPr="006433F1" w:rsidTr="00E95A6A">
        <w:tc>
          <w:tcPr>
            <w:tcW w:w="2427" w:type="pct"/>
            <w:gridSpan w:val="2"/>
          </w:tcPr>
          <w:p w:rsidR="006433F1" w:rsidRPr="006433F1" w:rsidRDefault="006433F1" w:rsidP="006433F1">
            <w:pPr>
              <w:jc w:val="both"/>
              <w:rPr>
                <w:sz w:val="20"/>
              </w:rPr>
            </w:pPr>
            <w:r w:rsidRPr="006433F1">
              <w:rPr>
                <w:sz w:val="20"/>
              </w:rPr>
              <w:t>June 29, 2015</w:t>
            </w:r>
          </w:p>
          <w:p w:rsidR="006433F1" w:rsidRPr="006433F1" w:rsidRDefault="006433F1" w:rsidP="006433F1">
            <w:pPr>
              <w:jc w:val="both"/>
              <w:rPr>
                <w:sz w:val="20"/>
              </w:rPr>
            </w:pPr>
            <w:r w:rsidRPr="006433F1">
              <w:rPr>
                <w:sz w:val="20"/>
              </w:rPr>
              <w:t>Court of Queen’s Bench of New Brunswick</w:t>
            </w:r>
          </w:p>
          <w:p w:rsidR="006433F1" w:rsidRPr="006433F1" w:rsidRDefault="006433F1" w:rsidP="006433F1">
            <w:pPr>
              <w:jc w:val="both"/>
              <w:rPr>
                <w:sz w:val="20"/>
              </w:rPr>
            </w:pPr>
            <w:r w:rsidRPr="006433F1">
              <w:rPr>
                <w:sz w:val="20"/>
              </w:rPr>
              <w:t>(Clendening J.)</w:t>
            </w:r>
          </w:p>
          <w:p w:rsidR="006433F1" w:rsidRPr="006433F1" w:rsidRDefault="00F52446" w:rsidP="006433F1">
            <w:pPr>
              <w:jc w:val="both"/>
              <w:rPr>
                <w:sz w:val="20"/>
              </w:rPr>
            </w:pPr>
            <w:hyperlink r:id="rId22" w:history="1">
              <w:r w:rsidR="006433F1" w:rsidRPr="006433F1">
                <w:rPr>
                  <w:rStyle w:val="Hyperlink"/>
                  <w:sz w:val="20"/>
                </w:rPr>
                <w:t>2015 NBQB 136</w:t>
              </w:r>
            </w:hyperlink>
          </w:p>
          <w:p w:rsidR="006433F1" w:rsidRPr="006433F1" w:rsidRDefault="006433F1" w:rsidP="006433F1">
            <w:pPr>
              <w:jc w:val="both"/>
              <w:rPr>
                <w:sz w:val="20"/>
              </w:rPr>
            </w:pPr>
          </w:p>
        </w:tc>
        <w:tc>
          <w:tcPr>
            <w:tcW w:w="243" w:type="pct"/>
          </w:tcPr>
          <w:p w:rsidR="006433F1" w:rsidRPr="006433F1" w:rsidRDefault="006433F1" w:rsidP="006433F1">
            <w:pPr>
              <w:jc w:val="both"/>
              <w:rPr>
                <w:sz w:val="20"/>
              </w:rPr>
            </w:pPr>
          </w:p>
        </w:tc>
        <w:tc>
          <w:tcPr>
            <w:tcW w:w="2330" w:type="pct"/>
          </w:tcPr>
          <w:p w:rsidR="006433F1" w:rsidRPr="006433F1" w:rsidRDefault="006433F1" w:rsidP="006433F1">
            <w:pPr>
              <w:jc w:val="both"/>
              <w:rPr>
                <w:sz w:val="20"/>
              </w:rPr>
            </w:pPr>
            <w:r w:rsidRPr="006433F1">
              <w:rPr>
                <w:sz w:val="20"/>
              </w:rPr>
              <w:t xml:space="preserve">Order to produce numerous documents for which solicitor-client privilege were claimed, with the option of seeking leave to have certain documents which </w:t>
            </w:r>
            <w:r w:rsidRPr="006433F1">
              <w:rPr>
                <w:sz w:val="20"/>
              </w:rPr>
              <w:lastRenderedPageBreak/>
              <w:t>might risk breaching confidentiality inspected individually</w:t>
            </w:r>
          </w:p>
          <w:p w:rsidR="006433F1" w:rsidRPr="006433F1" w:rsidRDefault="006433F1" w:rsidP="006433F1">
            <w:pPr>
              <w:jc w:val="both"/>
              <w:rPr>
                <w:sz w:val="20"/>
              </w:rPr>
            </w:pPr>
          </w:p>
        </w:tc>
      </w:tr>
      <w:tr w:rsidR="006433F1" w:rsidRPr="006433F1" w:rsidTr="00E95A6A">
        <w:tc>
          <w:tcPr>
            <w:tcW w:w="2427" w:type="pct"/>
            <w:gridSpan w:val="2"/>
          </w:tcPr>
          <w:p w:rsidR="006433F1" w:rsidRPr="006433F1" w:rsidRDefault="006433F1" w:rsidP="006433F1">
            <w:pPr>
              <w:jc w:val="both"/>
              <w:rPr>
                <w:sz w:val="20"/>
              </w:rPr>
            </w:pPr>
            <w:r w:rsidRPr="006433F1">
              <w:rPr>
                <w:sz w:val="20"/>
              </w:rPr>
              <w:lastRenderedPageBreak/>
              <w:t>April 1, 2016</w:t>
            </w:r>
          </w:p>
          <w:p w:rsidR="006433F1" w:rsidRPr="006433F1" w:rsidRDefault="006433F1" w:rsidP="006433F1">
            <w:pPr>
              <w:jc w:val="both"/>
              <w:rPr>
                <w:sz w:val="20"/>
              </w:rPr>
            </w:pPr>
            <w:r w:rsidRPr="006433F1">
              <w:rPr>
                <w:sz w:val="20"/>
              </w:rPr>
              <w:t>Court of Appeal of New Brunswick</w:t>
            </w:r>
          </w:p>
          <w:p w:rsidR="006433F1" w:rsidRPr="006433F1" w:rsidRDefault="006433F1" w:rsidP="006433F1">
            <w:pPr>
              <w:jc w:val="both"/>
              <w:rPr>
                <w:sz w:val="20"/>
              </w:rPr>
            </w:pPr>
            <w:r w:rsidRPr="006433F1">
              <w:rPr>
                <w:sz w:val="20"/>
              </w:rPr>
              <w:t>(Richard, Green, Baird JJ.A.)</w:t>
            </w:r>
          </w:p>
          <w:p w:rsidR="006433F1" w:rsidRPr="006433F1" w:rsidRDefault="00F52446" w:rsidP="006433F1">
            <w:pPr>
              <w:jc w:val="both"/>
              <w:rPr>
                <w:sz w:val="20"/>
              </w:rPr>
            </w:pPr>
            <w:hyperlink r:id="rId23" w:history="1">
              <w:r w:rsidR="006433F1" w:rsidRPr="006433F1">
                <w:rPr>
                  <w:rStyle w:val="Hyperlink"/>
                  <w:sz w:val="20"/>
                </w:rPr>
                <w:t>2016 NBCA 17</w:t>
              </w:r>
            </w:hyperlink>
          </w:p>
          <w:p w:rsidR="006433F1" w:rsidRPr="006433F1" w:rsidRDefault="006433F1" w:rsidP="006433F1">
            <w:pPr>
              <w:jc w:val="both"/>
              <w:rPr>
                <w:sz w:val="20"/>
              </w:rPr>
            </w:pPr>
          </w:p>
        </w:tc>
        <w:tc>
          <w:tcPr>
            <w:tcW w:w="243" w:type="pct"/>
          </w:tcPr>
          <w:p w:rsidR="006433F1" w:rsidRPr="006433F1" w:rsidRDefault="006433F1" w:rsidP="006433F1">
            <w:pPr>
              <w:jc w:val="both"/>
              <w:rPr>
                <w:sz w:val="20"/>
              </w:rPr>
            </w:pPr>
          </w:p>
        </w:tc>
        <w:tc>
          <w:tcPr>
            <w:tcW w:w="2330" w:type="pct"/>
          </w:tcPr>
          <w:p w:rsidR="006433F1" w:rsidRPr="006433F1" w:rsidRDefault="006433F1" w:rsidP="006433F1">
            <w:pPr>
              <w:jc w:val="both"/>
              <w:rPr>
                <w:sz w:val="20"/>
              </w:rPr>
            </w:pPr>
            <w:r w:rsidRPr="006433F1">
              <w:rPr>
                <w:sz w:val="20"/>
              </w:rPr>
              <w:t>Appeal allowed</w:t>
            </w:r>
          </w:p>
          <w:p w:rsidR="006433F1" w:rsidRPr="006433F1" w:rsidRDefault="006433F1" w:rsidP="006433F1">
            <w:pPr>
              <w:jc w:val="both"/>
              <w:rPr>
                <w:sz w:val="20"/>
              </w:rPr>
            </w:pPr>
          </w:p>
        </w:tc>
      </w:tr>
      <w:tr w:rsidR="006433F1" w:rsidRPr="006433F1" w:rsidTr="00E95A6A">
        <w:tc>
          <w:tcPr>
            <w:tcW w:w="2427" w:type="pct"/>
            <w:gridSpan w:val="2"/>
          </w:tcPr>
          <w:p w:rsidR="006433F1" w:rsidRPr="006433F1" w:rsidRDefault="006433F1" w:rsidP="006433F1">
            <w:pPr>
              <w:jc w:val="both"/>
              <w:rPr>
                <w:sz w:val="20"/>
              </w:rPr>
            </w:pPr>
            <w:r w:rsidRPr="006433F1">
              <w:rPr>
                <w:sz w:val="20"/>
              </w:rPr>
              <w:t>May 30, 2016</w:t>
            </w:r>
          </w:p>
          <w:p w:rsidR="006433F1" w:rsidRPr="006433F1" w:rsidRDefault="006433F1" w:rsidP="006433F1">
            <w:pPr>
              <w:jc w:val="both"/>
              <w:rPr>
                <w:sz w:val="20"/>
              </w:rPr>
            </w:pPr>
            <w:r w:rsidRPr="006433F1">
              <w:rPr>
                <w:sz w:val="20"/>
              </w:rPr>
              <w:t>Supreme Court of Canada</w:t>
            </w:r>
          </w:p>
        </w:tc>
        <w:tc>
          <w:tcPr>
            <w:tcW w:w="243" w:type="pct"/>
          </w:tcPr>
          <w:p w:rsidR="006433F1" w:rsidRPr="006433F1" w:rsidRDefault="006433F1" w:rsidP="006433F1">
            <w:pPr>
              <w:jc w:val="both"/>
              <w:rPr>
                <w:sz w:val="20"/>
              </w:rPr>
            </w:pPr>
          </w:p>
        </w:tc>
        <w:tc>
          <w:tcPr>
            <w:tcW w:w="2330" w:type="pct"/>
          </w:tcPr>
          <w:p w:rsidR="006433F1" w:rsidRPr="006433F1" w:rsidRDefault="006433F1" w:rsidP="006433F1">
            <w:pPr>
              <w:jc w:val="both"/>
              <w:rPr>
                <w:sz w:val="20"/>
              </w:rPr>
            </w:pPr>
            <w:r w:rsidRPr="006433F1">
              <w:rPr>
                <w:sz w:val="20"/>
              </w:rPr>
              <w:t>Application for leave to appeal filed</w:t>
            </w:r>
          </w:p>
        </w:tc>
      </w:tr>
    </w:tbl>
    <w:p w:rsidR="006433F1" w:rsidRDefault="006433F1" w:rsidP="006433F1">
      <w:pPr>
        <w:jc w:val="both"/>
        <w:rPr>
          <w:sz w:val="20"/>
        </w:rPr>
      </w:pPr>
    </w:p>
    <w:p w:rsidR="006433F1" w:rsidRPr="006433F1" w:rsidRDefault="006433F1" w:rsidP="006433F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433F1" w:rsidRPr="006433F1" w:rsidTr="00E95A6A">
        <w:tc>
          <w:tcPr>
            <w:tcW w:w="543" w:type="pct"/>
          </w:tcPr>
          <w:p w:rsidR="006433F1" w:rsidRPr="006433F1" w:rsidRDefault="006433F1" w:rsidP="006433F1">
            <w:pPr>
              <w:jc w:val="both"/>
              <w:rPr>
                <w:sz w:val="20"/>
              </w:rPr>
            </w:pPr>
            <w:r w:rsidRPr="006433F1">
              <w:rPr>
                <w:rStyle w:val="SCCFileNumberChar"/>
                <w:sz w:val="20"/>
                <w:szCs w:val="20"/>
              </w:rPr>
              <w:t>37035</w:t>
            </w:r>
          </w:p>
        </w:tc>
        <w:tc>
          <w:tcPr>
            <w:tcW w:w="4457" w:type="pct"/>
            <w:gridSpan w:val="3"/>
          </w:tcPr>
          <w:p w:rsidR="006433F1" w:rsidRPr="006433F1" w:rsidRDefault="006433F1" w:rsidP="006433F1">
            <w:pPr>
              <w:pStyle w:val="SCCLsocParty"/>
              <w:jc w:val="both"/>
              <w:rPr>
                <w:b/>
                <w:sz w:val="20"/>
                <w:szCs w:val="20"/>
              </w:rPr>
            </w:pPr>
            <w:r w:rsidRPr="006433F1">
              <w:rPr>
                <w:b/>
                <w:sz w:val="20"/>
                <w:szCs w:val="20"/>
              </w:rPr>
              <w:t>Enbridge Gas New Brunswick Limited Partnership, représentée par son commandité, Enbridge Gas New Brunswick Inc., Enbridge Energy Distribution Inc. et E</w:t>
            </w:r>
            <w:r w:rsidR="006E4D2D">
              <w:rPr>
                <w:b/>
                <w:sz w:val="20"/>
                <w:szCs w:val="20"/>
              </w:rPr>
              <w:t>n</w:t>
            </w:r>
            <w:r w:rsidRPr="006433F1">
              <w:rPr>
                <w:b/>
                <w:sz w:val="20"/>
                <w:szCs w:val="20"/>
              </w:rPr>
              <w:t>bridge Inc. c. Province du Nouveau-Brunswick</w:t>
            </w:r>
          </w:p>
          <w:p w:rsidR="006433F1" w:rsidRPr="006433F1" w:rsidRDefault="006433F1" w:rsidP="006433F1">
            <w:pPr>
              <w:jc w:val="both"/>
              <w:rPr>
                <w:sz w:val="20"/>
              </w:rPr>
            </w:pPr>
            <w:r w:rsidRPr="006433F1">
              <w:rPr>
                <w:sz w:val="20"/>
              </w:rPr>
              <w:t>(N.-B.) (Civile) (Sur autorisation)</w:t>
            </w:r>
          </w:p>
        </w:tc>
      </w:tr>
      <w:tr w:rsidR="006433F1" w:rsidRPr="006433F1" w:rsidTr="00E95A6A">
        <w:tc>
          <w:tcPr>
            <w:tcW w:w="5000" w:type="pct"/>
            <w:gridSpan w:val="4"/>
          </w:tcPr>
          <w:p w:rsidR="006433F1" w:rsidRPr="006433F1" w:rsidRDefault="006433F1" w:rsidP="006433F1">
            <w:pPr>
              <w:jc w:val="both"/>
              <w:rPr>
                <w:sz w:val="20"/>
                <w:lang w:val="fr-CA"/>
              </w:rPr>
            </w:pPr>
            <w:r w:rsidRPr="006433F1">
              <w:rPr>
                <w:sz w:val="20"/>
                <w:lang w:val="fr-CA"/>
              </w:rPr>
              <w:t xml:space="preserve">Preuve — Communication — Secret professionnel de l’avocat — Exception d’intérêt public — La partie qui invoque le secret professionnel de l’avocat doit-elle être tenue d’établir la présence des conditions nécessaires pour entraîner l’application du secret professionnel, y compris une description adéquate des documents en question? — Quel est le critère applicable pour décider si une personne peut être considérée comme un mandataire de l’avocat de sorte que les communications touchant le mandataire entraînent aussi l’application du secret professionnel? —Comment faut-il pondérer les critères de common law, et quelles importance et considération doit-on leur accorder, lorsque vient le temps de déterminer si l’exception d’intérêt public s’applique pour empêcher la communication de documents du Cabinet? </w:t>
            </w:r>
          </w:p>
        </w:tc>
      </w:tr>
      <w:tr w:rsidR="006433F1" w:rsidRPr="006433F1" w:rsidTr="00E95A6A">
        <w:tc>
          <w:tcPr>
            <w:tcW w:w="5000" w:type="pct"/>
            <w:gridSpan w:val="4"/>
          </w:tcPr>
          <w:p w:rsidR="006433F1" w:rsidRPr="006433F1" w:rsidRDefault="006433F1" w:rsidP="006433F1">
            <w:pPr>
              <w:jc w:val="both"/>
              <w:rPr>
                <w:sz w:val="20"/>
                <w:lang w:val="fr-CA"/>
              </w:rPr>
            </w:pPr>
          </w:p>
        </w:tc>
      </w:tr>
      <w:tr w:rsidR="006433F1" w:rsidRPr="006433F1" w:rsidTr="00E95A6A">
        <w:tc>
          <w:tcPr>
            <w:tcW w:w="5000" w:type="pct"/>
            <w:gridSpan w:val="4"/>
          </w:tcPr>
          <w:p w:rsidR="006433F1" w:rsidRPr="006433F1" w:rsidRDefault="006433F1" w:rsidP="006433F1">
            <w:pPr>
              <w:jc w:val="both"/>
              <w:rPr>
                <w:sz w:val="20"/>
                <w:lang w:val="fr-CA"/>
              </w:rPr>
            </w:pPr>
            <w:r w:rsidRPr="006433F1">
              <w:rPr>
                <w:sz w:val="20"/>
                <w:lang w:val="fr-CA"/>
              </w:rPr>
              <w:t>Durant la procédure de communication préalable, la province a fourni à Enbridge un affidavit de documents où un mandataire de la Couronne a communiqué 9 686 documents et où le secret professionnel de l’avocat a été revendiqué à l’égard de 3 606 d’entre eux. Enbridge a demandé par voie de motion une ordonnance de communication de ces derniers documents au motif que le secret professionnel avait été revendiqué à tort à leur endroit. Avant l’audition de la motion, on a  réduit le nombre de documents en litige à environ 800. Les documents en litige ont été classés en quatre catégories : les documents internes émanant d’un employé qui, a-t-on dit, transmettaient, commentaient ou révélaient d’une autre manière le contenu d’un avis juridique; les documents que l’avocat a reçus en copie conforme et qui ont été créés dans le but exprès de demander ou d’obtenir un avis juridique; les communications faites par des intermédiaires et mettant en cause des mandataires de la province du Nouveau-Brunswick en vue de favoriser la relation avocat-client; les documents à l’égard desquels l’exception d’intérêt public a été invoquée.</w:t>
            </w:r>
          </w:p>
          <w:p w:rsidR="006433F1" w:rsidRPr="006433F1" w:rsidRDefault="006433F1" w:rsidP="006433F1">
            <w:pPr>
              <w:jc w:val="both"/>
              <w:rPr>
                <w:sz w:val="20"/>
                <w:lang w:val="fr-CA"/>
              </w:rPr>
            </w:pPr>
          </w:p>
          <w:p w:rsidR="006433F1" w:rsidRPr="006433F1" w:rsidRDefault="006433F1" w:rsidP="006433F1">
            <w:pPr>
              <w:jc w:val="both"/>
              <w:rPr>
                <w:sz w:val="20"/>
                <w:lang w:val="fr-CA"/>
              </w:rPr>
            </w:pPr>
            <w:r w:rsidRPr="006433F1">
              <w:rPr>
                <w:sz w:val="20"/>
                <w:lang w:val="fr-CA"/>
              </w:rPr>
              <w:t>La juge des motions a ordonné la communication de tous les documents et laissé la possibilité de faire examiner sur autorisation certains d’entre eux. La Cour d’appel a accueilli l’appel de la province.</w:t>
            </w:r>
          </w:p>
          <w:p w:rsidR="006433F1" w:rsidRPr="006433F1" w:rsidRDefault="006433F1" w:rsidP="006433F1">
            <w:pPr>
              <w:jc w:val="both"/>
              <w:rPr>
                <w:sz w:val="20"/>
                <w:lang w:val="fr-CA"/>
              </w:rPr>
            </w:pPr>
          </w:p>
        </w:tc>
      </w:tr>
      <w:tr w:rsidR="006433F1" w:rsidRPr="006433F1" w:rsidTr="00E95A6A">
        <w:tc>
          <w:tcPr>
            <w:tcW w:w="2427" w:type="pct"/>
            <w:gridSpan w:val="2"/>
          </w:tcPr>
          <w:p w:rsidR="006433F1" w:rsidRPr="006433F1" w:rsidRDefault="006433F1" w:rsidP="006433F1">
            <w:pPr>
              <w:jc w:val="both"/>
              <w:rPr>
                <w:sz w:val="20"/>
                <w:lang w:val="fr-CA"/>
              </w:rPr>
            </w:pPr>
            <w:r w:rsidRPr="006433F1">
              <w:rPr>
                <w:sz w:val="20"/>
                <w:lang w:val="fr-CA"/>
              </w:rPr>
              <w:t>29 juin 2015</w:t>
            </w:r>
          </w:p>
          <w:p w:rsidR="006433F1" w:rsidRPr="006433F1" w:rsidRDefault="006433F1" w:rsidP="006433F1">
            <w:pPr>
              <w:jc w:val="both"/>
              <w:rPr>
                <w:sz w:val="20"/>
                <w:lang w:val="fr-CA"/>
              </w:rPr>
            </w:pPr>
            <w:r w:rsidRPr="006433F1">
              <w:rPr>
                <w:sz w:val="20"/>
                <w:lang w:val="fr-CA"/>
              </w:rPr>
              <w:t>Cour du Banc de la Reine du Nouveau-Brunswick</w:t>
            </w:r>
          </w:p>
          <w:p w:rsidR="006433F1" w:rsidRPr="006433F1" w:rsidRDefault="006433F1" w:rsidP="006433F1">
            <w:pPr>
              <w:jc w:val="both"/>
              <w:rPr>
                <w:sz w:val="20"/>
                <w:lang w:val="fr-CA"/>
              </w:rPr>
            </w:pPr>
            <w:r w:rsidRPr="006433F1">
              <w:rPr>
                <w:sz w:val="20"/>
                <w:lang w:val="fr-CA"/>
              </w:rPr>
              <w:t>(Juge Clendening)</w:t>
            </w:r>
          </w:p>
          <w:p w:rsidR="006433F1" w:rsidRPr="006433F1" w:rsidRDefault="00F52446" w:rsidP="006433F1">
            <w:pPr>
              <w:jc w:val="both"/>
              <w:rPr>
                <w:sz w:val="20"/>
              </w:rPr>
            </w:pPr>
            <w:hyperlink r:id="rId24" w:history="1">
              <w:r w:rsidR="006433F1" w:rsidRPr="006433F1">
                <w:rPr>
                  <w:rStyle w:val="Hyperlink"/>
                  <w:sz w:val="20"/>
                </w:rPr>
                <w:t>2015 NBQB 136</w:t>
              </w:r>
            </w:hyperlink>
          </w:p>
          <w:p w:rsidR="006433F1" w:rsidRPr="006433F1" w:rsidRDefault="006433F1" w:rsidP="006433F1">
            <w:pPr>
              <w:jc w:val="both"/>
              <w:rPr>
                <w:sz w:val="20"/>
              </w:rPr>
            </w:pPr>
          </w:p>
        </w:tc>
        <w:tc>
          <w:tcPr>
            <w:tcW w:w="243" w:type="pct"/>
          </w:tcPr>
          <w:p w:rsidR="006433F1" w:rsidRPr="006433F1" w:rsidRDefault="006433F1" w:rsidP="006433F1">
            <w:pPr>
              <w:jc w:val="both"/>
              <w:rPr>
                <w:sz w:val="20"/>
              </w:rPr>
            </w:pPr>
          </w:p>
        </w:tc>
        <w:tc>
          <w:tcPr>
            <w:tcW w:w="2330" w:type="pct"/>
          </w:tcPr>
          <w:p w:rsidR="006433F1" w:rsidRPr="006433F1" w:rsidRDefault="006433F1" w:rsidP="006433F1">
            <w:pPr>
              <w:jc w:val="both"/>
              <w:rPr>
                <w:sz w:val="20"/>
                <w:lang w:val="fr-CA"/>
              </w:rPr>
            </w:pPr>
            <w:r w:rsidRPr="006433F1">
              <w:rPr>
                <w:sz w:val="20"/>
                <w:lang w:val="fr-CA"/>
              </w:rPr>
              <w:t>Ordonnance de production de nombreux documents pour lesquels le secret professionnel de l’avocat a été revendiqué et accordant la possibilité de demander l’autorisation de faire inspecter certains documents qui risquent de porter atteinte à la confidentialité</w:t>
            </w:r>
          </w:p>
          <w:p w:rsidR="006433F1" w:rsidRPr="006433F1" w:rsidRDefault="006433F1" w:rsidP="006433F1">
            <w:pPr>
              <w:jc w:val="both"/>
              <w:rPr>
                <w:sz w:val="20"/>
                <w:lang w:val="fr-CA"/>
              </w:rPr>
            </w:pPr>
          </w:p>
        </w:tc>
      </w:tr>
      <w:tr w:rsidR="006433F1" w:rsidRPr="006433F1" w:rsidTr="00E95A6A">
        <w:tc>
          <w:tcPr>
            <w:tcW w:w="2427" w:type="pct"/>
            <w:gridSpan w:val="2"/>
          </w:tcPr>
          <w:p w:rsidR="006433F1" w:rsidRPr="006433F1" w:rsidRDefault="006433F1" w:rsidP="006433F1">
            <w:pPr>
              <w:jc w:val="both"/>
              <w:rPr>
                <w:sz w:val="20"/>
                <w:lang w:val="fr-CA"/>
              </w:rPr>
            </w:pPr>
            <w:r w:rsidRPr="006433F1">
              <w:rPr>
                <w:sz w:val="20"/>
                <w:lang w:val="fr-CA"/>
              </w:rPr>
              <w:t>1</w:t>
            </w:r>
            <w:r w:rsidRPr="006433F1">
              <w:rPr>
                <w:sz w:val="20"/>
                <w:vertAlign w:val="superscript"/>
                <w:lang w:val="fr-CA"/>
              </w:rPr>
              <w:t>er</w:t>
            </w:r>
            <w:r w:rsidRPr="006433F1">
              <w:rPr>
                <w:sz w:val="20"/>
                <w:lang w:val="fr-CA"/>
              </w:rPr>
              <w:t xml:space="preserve"> avril 2016</w:t>
            </w:r>
          </w:p>
          <w:p w:rsidR="006433F1" w:rsidRPr="006433F1" w:rsidRDefault="006433F1" w:rsidP="006433F1">
            <w:pPr>
              <w:jc w:val="both"/>
              <w:rPr>
                <w:sz w:val="20"/>
                <w:lang w:val="fr-CA"/>
              </w:rPr>
            </w:pPr>
            <w:r w:rsidRPr="006433F1">
              <w:rPr>
                <w:sz w:val="20"/>
                <w:lang w:val="fr-CA"/>
              </w:rPr>
              <w:t>Cour d’appel du Nouveau-Brunswick</w:t>
            </w:r>
          </w:p>
          <w:p w:rsidR="006433F1" w:rsidRPr="006433F1" w:rsidRDefault="006433F1" w:rsidP="006433F1">
            <w:pPr>
              <w:jc w:val="both"/>
              <w:rPr>
                <w:sz w:val="20"/>
                <w:lang w:val="fr-CA"/>
              </w:rPr>
            </w:pPr>
            <w:r w:rsidRPr="006433F1">
              <w:rPr>
                <w:sz w:val="20"/>
                <w:lang w:val="fr-CA"/>
              </w:rPr>
              <w:t>(Juges Richard, Green et Baird JJ.A.)</w:t>
            </w:r>
          </w:p>
          <w:p w:rsidR="006433F1" w:rsidRPr="006433F1" w:rsidRDefault="00F52446" w:rsidP="006433F1">
            <w:pPr>
              <w:jc w:val="both"/>
              <w:rPr>
                <w:sz w:val="20"/>
              </w:rPr>
            </w:pPr>
            <w:hyperlink r:id="rId25" w:history="1">
              <w:r w:rsidR="006433F1" w:rsidRPr="006433F1">
                <w:rPr>
                  <w:rStyle w:val="Hyperlink"/>
                  <w:sz w:val="20"/>
                </w:rPr>
                <w:t>2016 NBCA 17</w:t>
              </w:r>
            </w:hyperlink>
          </w:p>
          <w:p w:rsidR="006433F1" w:rsidRPr="006433F1" w:rsidRDefault="006433F1" w:rsidP="006433F1">
            <w:pPr>
              <w:jc w:val="both"/>
              <w:rPr>
                <w:sz w:val="20"/>
              </w:rPr>
            </w:pPr>
          </w:p>
        </w:tc>
        <w:tc>
          <w:tcPr>
            <w:tcW w:w="243" w:type="pct"/>
          </w:tcPr>
          <w:p w:rsidR="006433F1" w:rsidRPr="006433F1" w:rsidRDefault="006433F1" w:rsidP="006433F1">
            <w:pPr>
              <w:jc w:val="both"/>
              <w:rPr>
                <w:sz w:val="20"/>
              </w:rPr>
            </w:pPr>
          </w:p>
        </w:tc>
        <w:tc>
          <w:tcPr>
            <w:tcW w:w="2330" w:type="pct"/>
          </w:tcPr>
          <w:p w:rsidR="006433F1" w:rsidRPr="006433F1" w:rsidRDefault="006433F1" w:rsidP="006433F1">
            <w:pPr>
              <w:jc w:val="both"/>
              <w:rPr>
                <w:sz w:val="20"/>
              </w:rPr>
            </w:pPr>
            <w:r w:rsidRPr="006433F1">
              <w:rPr>
                <w:sz w:val="20"/>
              </w:rPr>
              <w:t>Appel accueilli</w:t>
            </w:r>
          </w:p>
          <w:p w:rsidR="006433F1" w:rsidRPr="006433F1" w:rsidRDefault="006433F1" w:rsidP="006433F1">
            <w:pPr>
              <w:jc w:val="both"/>
              <w:rPr>
                <w:sz w:val="20"/>
              </w:rPr>
            </w:pPr>
          </w:p>
        </w:tc>
      </w:tr>
      <w:tr w:rsidR="006433F1" w:rsidRPr="006433F1" w:rsidTr="00E95A6A">
        <w:tc>
          <w:tcPr>
            <w:tcW w:w="2427" w:type="pct"/>
            <w:gridSpan w:val="2"/>
          </w:tcPr>
          <w:p w:rsidR="006433F1" w:rsidRPr="006433F1" w:rsidRDefault="006433F1" w:rsidP="006433F1">
            <w:pPr>
              <w:jc w:val="both"/>
              <w:rPr>
                <w:sz w:val="20"/>
                <w:lang w:val="fr-CA"/>
              </w:rPr>
            </w:pPr>
            <w:r w:rsidRPr="006433F1">
              <w:rPr>
                <w:sz w:val="20"/>
                <w:lang w:val="fr-CA"/>
              </w:rPr>
              <w:t>30 mai 2016</w:t>
            </w:r>
          </w:p>
          <w:p w:rsidR="006433F1" w:rsidRPr="006433F1" w:rsidRDefault="006433F1" w:rsidP="006433F1">
            <w:pPr>
              <w:jc w:val="both"/>
              <w:rPr>
                <w:sz w:val="20"/>
                <w:lang w:val="fr-CA"/>
              </w:rPr>
            </w:pPr>
            <w:r w:rsidRPr="006433F1">
              <w:rPr>
                <w:sz w:val="20"/>
                <w:lang w:val="fr-CA"/>
              </w:rPr>
              <w:t>Cour suprême du Canada</w:t>
            </w:r>
          </w:p>
        </w:tc>
        <w:tc>
          <w:tcPr>
            <w:tcW w:w="243" w:type="pct"/>
          </w:tcPr>
          <w:p w:rsidR="006433F1" w:rsidRPr="006433F1" w:rsidRDefault="006433F1" w:rsidP="006433F1">
            <w:pPr>
              <w:jc w:val="both"/>
              <w:rPr>
                <w:sz w:val="20"/>
                <w:lang w:val="fr-CA"/>
              </w:rPr>
            </w:pPr>
          </w:p>
        </w:tc>
        <w:tc>
          <w:tcPr>
            <w:tcW w:w="2330" w:type="pct"/>
          </w:tcPr>
          <w:p w:rsidR="006433F1" w:rsidRPr="006433F1" w:rsidRDefault="006433F1" w:rsidP="006433F1">
            <w:pPr>
              <w:jc w:val="both"/>
              <w:rPr>
                <w:sz w:val="20"/>
                <w:lang w:val="fr-CA"/>
              </w:rPr>
            </w:pPr>
            <w:r w:rsidRPr="006433F1">
              <w:rPr>
                <w:sz w:val="20"/>
                <w:lang w:val="fr-CA"/>
              </w:rPr>
              <w:t xml:space="preserve">Dépôt de la demande d’autorisation d’appel </w:t>
            </w:r>
          </w:p>
        </w:tc>
      </w:tr>
    </w:tbl>
    <w:p w:rsidR="006433F1" w:rsidRPr="006B4601" w:rsidRDefault="006433F1" w:rsidP="006B4601">
      <w:pPr>
        <w:jc w:val="both"/>
        <w:rPr>
          <w:sz w:val="20"/>
          <w:lang w:val="fr-CA"/>
        </w:rPr>
      </w:pPr>
    </w:p>
    <w:p w:rsidR="00EF3C03" w:rsidRPr="006B4601" w:rsidRDefault="00EF3C03" w:rsidP="006B4601">
      <w:pPr>
        <w:jc w:val="both"/>
        <w:rPr>
          <w:rFonts w:eastAsiaTheme="minorEastAsia"/>
          <w:sz w:val="20"/>
          <w:lang w:val="fr-CA" w:eastAsia="en-CA"/>
        </w:rPr>
      </w:pPr>
    </w:p>
    <w:tbl>
      <w:tblPr>
        <w:tblW w:w="4904" w:type="pct"/>
        <w:tblLayout w:type="fixed"/>
        <w:tblCellMar>
          <w:left w:w="0" w:type="dxa"/>
          <w:bottom w:w="99" w:type="dxa"/>
          <w:right w:w="0" w:type="dxa"/>
        </w:tblCellMar>
        <w:tblLook w:val="04A0" w:firstRow="1" w:lastRow="0" w:firstColumn="1" w:lastColumn="0" w:noHBand="0" w:noVBand="1"/>
      </w:tblPr>
      <w:tblGrid>
        <w:gridCol w:w="1006"/>
        <w:gridCol w:w="3424"/>
        <w:gridCol w:w="501"/>
        <w:gridCol w:w="4249"/>
      </w:tblGrid>
      <w:tr w:rsidR="006B4601" w:rsidRPr="006B4601" w:rsidTr="005618EC">
        <w:tc>
          <w:tcPr>
            <w:tcW w:w="548" w:type="pct"/>
          </w:tcPr>
          <w:p w:rsidR="006B4601" w:rsidRPr="006B4601" w:rsidRDefault="006B4601" w:rsidP="006B4601">
            <w:pPr>
              <w:jc w:val="both"/>
              <w:rPr>
                <w:sz w:val="20"/>
              </w:rPr>
            </w:pPr>
            <w:r w:rsidRPr="006B4601">
              <w:rPr>
                <w:rStyle w:val="SCCFileNumberChar"/>
                <w:sz w:val="20"/>
                <w:szCs w:val="20"/>
              </w:rPr>
              <w:t>37090</w:t>
            </w:r>
          </w:p>
        </w:tc>
        <w:tc>
          <w:tcPr>
            <w:tcW w:w="4452" w:type="pct"/>
            <w:gridSpan w:val="3"/>
          </w:tcPr>
          <w:p w:rsidR="006B4601" w:rsidRPr="006B4601" w:rsidRDefault="006B4601" w:rsidP="006B4601">
            <w:pPr>
              <w:pStyle w:val="SCCLsocParty"/>
              <w:jc w:val="both"/>
              <w:rPr>
                <w:b/>
                <w:sz w:val="20"/>
                <w:szCs w:val="20"/>
              </w:rPr>
            </w:pPr>
            <w:r w:rsidRPr="006B4601">
              <w:rPr>
                <w:b/>
                <w:sz w:val="20"/>
                <w:szCs w:val="20"/>
              </w:rPr>
              <w:t>Lesley Cabott v. Urban Systems Ltd.</w:t>
            </w:r>
          </w:p>
          <w:p w:rsidR="006B4601" w:rsidRPr="006B4601" w:rsidRDefault="006B4601" w:rsidP="006B4601">
            <w:pPr>
              <w:jc w:val="both"/>
              <w:rPr>
                <w:sz w:val="20"/>
              </w:rPr>
            </w:pPr>
            <w:r w:rsidRPr="006B4601">
              <w:rPr>
                <w:sz w:val="20"/>
              </w:rPr>
              <w:t>(Y.T.) (Civil) (By Leave)</w:t>
            </w:r>
          </w:p>
        </w:tc>
      </w:tr>
      <w:tr w:rsidR="006B4601" w:rsidRPr="006B4601" w:rsidTr="005618EC">
        <w:tc>
          <w:tcPr>
            <w:tcW w:w="5000" w:type="pct"/>
            <w:gridSpan w:val="4"/>
          </w:tcPr>
          <w:p w:rsidR="006B4601" w:rsidRPr="006B4601" w:rsidRDefault="006B4601" w:rsidP="006B4601">
            <w:pPr>
              <w:jc w:val="both"/>
              <w:rPr>
                <w:sz w:val="20"/>
              </w:rPr>
            </w:pPr>
            <w:r w:rsidRPr="006B4601">
              <w:rPr>
                <w:sz w:val="20"/>
              </w:rPr>
              <w:t xml:space="preserve">Employment law – Wrongful dismissal – Notice period – Employee terminated after less than 14 months of employment – How is meaningful access to justice achieved for a particularly vulnerable group? – How and why is age an important factor in setting a reasonable notice period? – What are the circumstances a trial court should not consider in setting a notice period and which would justify appellate interference if considered? </w:t>
            </w:r>
          </w:p>
        </w:tc>
      </w:tr>
      <w:tr w:rsidR="006B4601" w:rsidRPr="006B4601" w:rsidTr="005618EC">
        <w:tc>
          <w:tcPr>
            <w:tcW w:w="5000" w:type="pct"/>
            <w:gridSpan w:val="4"/>
          </w:tcPr>
          <w:p w:rsidR="006B4601" w:rsidRPr="006B4601" w:rsidRDefault="006B4601" w:rsidP="006B4601">
            <w:pPr>
              <w:pStyle w:val="SCCBanSummary"/>
              <w:rPr>
                <w:sz w:val="20"/>
                <w:szCs w:val="20"/>
              </w:rPr>
            </w:pPr>
          </w:p>
        </w:tc>
      </w:tr>
      <w:tr w:rsidR="006B4601" w:rsidRPr="006B4601" w:rsidTr="005618EC">
        <w:tc>
          <w:tcPr>
            <w:tcW w:w="5000" w:type="pct"/>
            <w:gridSpan w:val="4"/>
          </w:tcPr>
          <w:p w:rsidR="006B4601" w:rsidRPr="006B4601" w:rsidRDefault="006B4601" w:rsidP="006B4601">
            <w:pPr>
              <w:jc w:val="both"/>
              <w:rPr>
                <w:sz w:val="20"/>
              </w:rPr>
            </w:pPr>
            <w:r w:rsidRPr="006B4601">
              <w:rPr>
                <w:sz w:val="20"/>
              </w:rPr>
              <w:t>The applicant Ms. Cabott worked as a professional planner and supervisor at Urban Systems Ltd. (“Urban Systems”). Urban Systems terminated her employment without cause just short of 14 months. Ms. Cabott received two weeks’ termination pay in accordance with statutory requirements and a further 12 weeks’ salary in lieu of notice. At the time of termination, Ms. Cabott was 52 years old. She holds a Master’s degree in town and regional planning and has extensive work experience in planning and development. Ms. Cabott commenced a wrongful dismissal action against her former employer.</w:t>
            </w:r>
          </w:p>
          <w:p w:rsidR="006B4601" w:rsidRPr="006B4601" w:rsidRDefault="006B4601" w:rsidP="006B4601">
            <w:pPr>
              <w:pStyle w:val="SCCBanSummary"/>
              <w:rPr>
                <w:sz w:val="20"/>
                <w:szCs w:val="20"/>
              </w:rPr>
            </w:pPr>
          </w:p>
        </w:tc>
      </w:tr>
      <w:tr w:rsidR="006B4601" w:rsidRPr="006B4601" w:rsidTr="005618EC">
        <w:tblPrEx>
          <w:tblCellMar>
            <w:bottom w:w="0" w:type="dxa"/>
          </w:tblCellMar>
        </w:tblPrEx>
        <w:tc>
          <w:tcPr>
            <w:tcW w:w="2413" w:type="pct"/>
            <w:gridSpan w:val="2"/>
          </w:tcPr>
          <w:p w:rsidR="006B4601" w:rsidRPr="006B4601" w:rsidRDefault="006B4601" w:rsidP="006B4601">
            <w:pPr>
              <w:jc w:val="both"/>
              <w:rPr>
                <w:sz w:val="20"/>
              </w:rPr>
            </w:pPr>
            <w:r w:rsidRPr="006B4601">
              <w:rPr>
                <w:sz w:val="20"/>
              </w:rPr>
              <w:t>May 8, 2015</w:t>
            </w:r>
          </w:p>
          <w:p w:rsidR="006B4601" w:rsidRPr="006B4601" w:rsidRDefault="006B4601" w:rsidP="006B4601">
            <w:pPr>
              <w:jc w:val="both"/>
              <w:rPr>
                <w:sz w:val="20"/>
              </w:rPr>
            </w:pPr>
            <w:r w:rsidRPr="006B4601">
              <w:rPr>
                <w:sz w:val="20"/>
              </w:rPr>
              <w:t>Supreme Court of the Yukon Territory</w:t>
            </w:r>
          </w:p>
          <w:p w:rsidR="006B4601" w:rsidRPr="006B4601" w:rsidRDefault="006B4601" w:rsidP="006B4601">
            <w:pPr>
              <w:jc w:val="both"/>
              <w:rPr>
                <w:sz w:val="20"/>
              </w:rPr>
            </w:pPr>
            <w:r w:rsidRPr="006B4601">
              <w:rPr>
                <w:sz w:val="20"/>
              </w:rPr>
              <w:t>(Wong J.)</w:t>
            </w:r>
          </w:p>
          <w:p w:rsidR="006B4601" w:rsidRPr="006B4601" w:rsidRDefault="00F52446" w:rsidP="006B4601">
            <w:pPr>
              <w:jc w:val="both"/>
              <w:rPr>
                <w:sz w:val="20"/>
              </w:rPr>
            </w:pPr>
            <w:hyperlink r:id="rId26" w:history="1">
              <w:r w:rsidR="006B4601" w:rsidRPr="006B4601">
                <w:rPr>
                  <w:rStyle w:val="Hyperlink"/>
                  <w:sz w:val="20"/>
                </w:rPr>
                <w:t>2015 YKSC 25</w:t>
              </w:r>
            </w:hyperlink>
          </w:p>
          <w:p w:rsidR="006B4601" w:rsidRPr="006B4601" w:rsidRDefault="006B4601" w:rsidP="006B4601">
            <w:pPr>
              <w:jc w:val="both"/>
              <w:rPr>
                <w:sz w:val="20"/>
              </w:rPr>
            </w:pPr>
          </w:p>
        </w:tc>
        <w:tc>
          <w:tcPr>
            <w:tcW w:w="273" w:type="pct"/>
          </w:tcPr>
          <w:p w:rsidR="006B4601" w:rsidRPr="006B4601" w:rsidRDefault="006B4601" w:rsidP="006B4601">
            <w:pPr>
              <w:jc w:val="both"/>
              <w:rPr>
                <w:sz w:val="20"/>
              </w:rPr>
            </w:pPr>
          </w:p>
        </w:tc>
        <w:tc>
          <w:tcPr>
            <w:tcW w:w="2314" w:type="pct"/>
          </w:tcPr>
          <w:p w:rsidR="006B4601" w:rsidRPr="006B4601" w:rsidRDefault="006B4601" w:rsidP="006B4601">
            <w:pPr>
              <w:jc w:val="both"/>
              <w:rPr>
                <w:sz w:val="20"/>
              </w:rPr>
            </w:pPr>
            <w:r w:rsidRPr="006B4601">
              <w:rPr>
                <w:sz w:val="20"/>
              </w:rPr>
              <w:t xml:space="preserve">Wrongful dismissal claim allowed </w:t>
            </w:r>
          </w:p>
          <w:p w:rsidR="006B4601" w:rsidRPr="006B4601" w:rsidRDefault="006B4601" w:rsidP="006B4601">
            <w:pPr>
              <w:jc w:val="both"/>
              <w:rPr>
                <w:sz w:val="20"/>
              </w:rPr>
            </w:pPr>
          </w:p>
        </w:tc>
      </w:tr>
      <w:tr w:rsidR="006B4601" w:rsidRPr="006B4601" w:rsidTr="005618EC">
        <w:tblPrEx>
          <w:tblCellMar>
            <w:bottom w:w="0" w:type="dxa"/>
          </w:tblCellMar>
        </w:tblPrEx>
        <w:tc>
          <w:tcPr>
            <w:tcW w:w="2413" w:type="pct"/>
            <w:gridSpan w:val="2"/>
          </w:tcPr>
          <w:p w:rsidR="006B4601" w:rsidRPr="006B4601" w:rsidRDefault="006B4601" w:rsidP="006B4601">
            <w:pPr>
              <w:jc w:val="both"/>
              <w:rPr>
                <w:sz w:val="20"/>
              </w:rPr>
            </w:pPr>
            <w:r w:rsidRPr="006B4601">
              <w:rPr>
                <w:sz w:val="20"/>
              </w:rPr>
              <w:t>April 27, 2016</w:t>
            </w:r>
          </w:p>
          <w:p w:rsidR="006B4601" w:rsidRPr="006B4601" w:rsidRDefault="006B4601" w:rsidP="006B4601">
            <w:pPr>
              <w:jc w:val="both"/>
              <w:rPr>
                <w:sz w:val="20"/>
              </w:rPr>
            </w:pPr>
            <w:r w:rsidRPr="006B4601">
              <w:rPr>
                <w:sz w:val="20"/>
              </w:rPr>
              <w:t>Court of Appeal of the Yukon Territory</w:t>
            </w:r>
          </w:p>
          <w:p w:rsidR="006B4601" w:rsidRPr="006B4601" w:rsidRDefault="006B4601" w:rsidP="006B4601">
            <w:pPr>
              <w:jc w:val="both"/>
              <w:rPr>
                <w:sz w:val="20"/>
              </w:rPr>
            </w:pPr>
            <w:r w:rsidRPr="006B4601">
              <w:rPr>
                <w:sz w:val="20"/>
              </w:rPr>
              <w:t xml:space="preserve">(Saunders, </w:t>
            </w:r>
            <w:proofErr w:type="spellStart"/>
            <w:r w:rsidRPr="006B4601">
              <w:rPr>
                <w:sz w:val="20"/>
              </w:rPr>
              <w:t>Groberman</w:t>
            </w:r>
            <w:proofErr w:type="spellEnd"/>
            <w:r w:rsidRPr="006B4601">
              <w:rPr>
                <w:sz w:val="20"/>
              </w:rPr>
              <w:t xml:space="preserve"> and </w:t>
            </w:r>
            <w:proofErr w:type="spellStart"/>
            <w:r w:rsidRPr="006B4601">
              <w:rPr>
                <w:sz w:val="20"/>
              </w:rPr>
              <w:t>Shaner</w:t>
            </w:r>
            <w:proofErr w:type="spellEnd"/>
            <w:r w:rsidRPr="006B4601">
              <w:rPr>
                <w:sz w:val="20"/>
              </w:rPr>
              <w:t xml:space="preserve"> JJ.A.)</w:t>
            </w:r>
          </w:p>
          <w:p w:rsidR="006B4601" w:rsidRPr="006B4601" w:rsidRDefault="00F52446" w:rsidP="006B4601">
            <w:pPr>
              <w:jc w:val="both"/>
              <w:rPr>
                <w:sz w:val="20"/>
              </w:rPr>
            </w:pPr>
            <w:hyperlink r:id="rId27" w:history="1">
              <w:r w:rsidR="006B4601" w:rsidRPr="006B4601">
                <w:rPr>
                  <w:rStyle w:val="Hyperlink"/>
                  <w:sz w:val="20"/>
                </w:rPr>
                <w:t>2016 YKCA 4</w:t>
              </w:r>
            </w:hyperlink>
          </w:p>
          <w:p w:rsidR="006B4601" w:rsidRPr="006B4601" w:rsidRDefault="006B4601" w:rsidP="006B4601">
            <w:pPr>
              <w:jc w:val="both"/>
              <w:rPr>
                <w:sz w:val="20"/>
              </w:rPr>
            </w:pPr>
          </w:p>
        </w:tc>
        <w:tc>
          <w:tcPr>
            <w:tcW w:w="273" w:type="pct"/>
          </w:tcPr>
          <w:p w:rsidR="006B4601" w:rsidRPr="006B4601" w:rsidRDefault="006B4601" w:rsidP="006B4601">
            <w:pPr>
              <w:jc w:val="both"/>
              <w:rPr>
                <w:sz w:val="20"/>
              </w:rPr>
            </w:pPr>
          </w:p>
        </w:tc>
        <w:tc>
          <w:tcPr>
            <w:tcW w:w="2314" w:type="pct"/>
          </w:tcPr>
          <w:p w:rsidR="006B4601" w:rsidRPr="006B4601" w:rsidRDefault="006B4601" w:rsidP="006B4601">
            <w:pPr>
              <w:jc w:val="both"/>
              <w:rPr>
                <w:sz w:val="20"/>
              </w:rPr>
            </w:pPr>
            <w:r w:rsidRPr="006B4601">
              <w:rPr>
                <w:sz w:val="20"/>
              </w:rPr>
              <w:t>Appeal allowed, notice period varied</w:t>
            </w:r>
          </w:p>
          <w:p w:rsidR="006B4601" w:rsidRPr="006B4601" w:rsidRDefault="006B4601" w:rsidP="006B4601">
            <w:pPr>
              <w:jc w:val="both"/>
              <w:rPr>
                <w:sz w:val="20"/>
              </w:rPr>
            </w:pPr>
          </w:p>
        </w:tc>
      </w:tr>
      <w:tr w:rsidR="006B4601" w:rsidRPr="006B4601" w:rsidTr="005618EC">
        <w:tblPrEx>
          <w:tblCellMar>
            <w:bottom w:w="0" w:type="dxa"/>
          </w:tblCellMar>
        </w:tblPrEx>
        <w:tc>
          <w:tcPr>
            <w:tcW w:w="2413" w:type="pct"/>
            <w:gridSpan w:val="2"/>
          </w:tcPr>
          <w:p w:rsidR="006B4601" w:rsidRPr="006B4601" w:rsidRDefault="006B4601" w:rsidP="006B4601">
            <w:pPr>
              <w:jc w:val="both"/>
              <w:rPr>
                <w:sz w:val="20"/>
              </w:rPr>
            </w:pPr>
            <w:r w:rsidRPr="006B4601">
              <w:rPr>
                <w:sz w:val="20"/>
              </w:rPr>
              <w:t>June 27, 2016</w:t>
            </w:r>
          </w:p>
          <w:p w:rsidR="006B4601" w:rsidRPr="006B4601" w:rsidRDefault="006B4601" w:rsidP="006B4601">
            <w:pPr>
              <w:jc w:val="both"/>
              <w:rPr>
                <w:sz w:val="20"/>
              </w:rPr>
            </w:pPr>
            <w:r w:rsidRPr="006B4601">
              <w:rPr>
                <w:sz w:val="20"/>
              </w:rPr>
              <w:t>Supreme Court of Canada</w:t>
            </w:r>
          </w:p>
        </w:tc>
        <w:tc>
          <w:tcPr>
            <w:tcW w:w="273" w:type="pct"/>
          </w:tcPr>
          <w:p w:rsidR="006B4601" w:rsidRPr="006B4601" w:rsidRDefault="006B4601" w:rsidP="006B4601">
            <w:pPr>
              <w:jc w:val="both"/>
              <w:rPr>
                <w:sz w:val="20"/>
              </w:rPr>
            </w:pPr>
          </w:p>
        </w:tc>
        <w:tc>
          <w:tcPr>
            <w:tcW w:w="2314" w:type="pct"/>
          </w:tcPr>
          <w:p w:rsidR="006B4601" w:rsidRPr="006B4601" w:rsidRDefault="006B4601" w:rsidP="006B4601">
            <w:pPr>
              <w:jc w:val="both"/>
              <w:rPr>
                <w:sz w:val="20"/>
              </w:rPr>
            </w:pPr>
            <w:r w:rsidRPr="006B4601">
              <w:rPr>
                <w:sz w:val="20"/>
              </w:rPr>
              <w:t>Application for leave to appeal filed</w:t>
            </w:r>
          </w:p>
          <w:p w:rsidR="006B4601" w:rsidRPr="006B4601" w:rsidRDefault="006B4601" w:rsidP="006B4601">
            <w:pPr>
              <w:jc w:val="both"/>
              <w:rPr>
                <w:sz w:val="20"/>
              </w:rPr>
            </w:pPr>
          </w:p>
        </w:tc>
      </w:tr>
    </w:tbl>
    <w:p w:rsidR="006B4601" w:rsidRDefault="006B4601" w:rsidP="006B4601">
      <w:pPr>
        <w:jc w:val="both"/>
        <w:rPr>
          <w:sz w:val="20"/>
        </w:rPr>
      </w:pPr>
    </w:p>
    <w:p w:rsidR="006B4601" w:rsidRPr="006B4601" w:rsidRDefault="006B4601" w:rsidP="006B4601">
      <w:pPr>
        <w:jc w:val="both"/>
        <w:rPr>
          <w:sz w:val="20"/>
        </w:rPr>
      </w:pPr>
    </w:p>
    <w:tbl>
      <w:tblPr>
        <w:tblW w:w="4904" w:type="pct"/>
        <w:tblLayout w:type="fixed"/>
        <w:tblCellMar>
          <w:left w:w="0" w:type="dxa"/>
          <w:bottom w:w="99" w:type="dxa"/>
          <w:right w:w="0" w:type="dxa"/>
        </w:tblCellMar>
        <w:tblLook w:val="04A0" w:firstRow="1" w:lastRow="0" w:firstColumn="1" w:lastColumn="0" w:noHBand="0" w:noVBand="1"/>
      </w:tblPr>
      <w:tblGrid>
        <w:gridCol w:w="1006"/>
        <w:gridCol w:w="3424"/>
        <w:gridCol w:w="501"/>
        <w:gridCol w:w="4249"/>
      </w:tblGrid>
      <w:tr w:rsidR="006B4601" w:rsidRPr="006B4601" w:rsidTr="005618EC">
        <w:tc>
          <w:tcPr>
            <w:tcW w:w="548" w:type="pct"/>
          </w:tcPr>
          <w:p w:rsidR="006B4601" w:rsidRPr="006B4601" w:rsidRDefault="006B4601" w:rsidP="006B4601">
            <w:pPr>
              <w:jc w:val="both"/>
              <w:rPr>
                <w:sz w:val="20"/>
              </w:rPr>
            </w:pPr>
            <w:r w:rsidRPr="006B4601">
              <w:rPr>
                <w:rStyle w:val="SCCFileNumberChar"/>
                <w:sz w:val="20"/>
                <w:szCs w:val="20"/>
              </w:rPr>
              <w:t>37090</w:t>
            </w:r>
          </w:p>
        </w:tc>
        <w:tc>
          <w:tcPr>
            <w:tcW w:w="4452" w:type="pct"/>
            <w:gridSpan w:val="3"/>
          </w:tcPr>
          <w:p w:rsidR="006B4601" w:rsidRPr="006B4601" w:rsidRDefault="006B4601" w:rsidP="006B4601">
            <w:pPr>
              <w:pStyle w:val="SCCLsocParty"/>
              <w:jc w:val="both"/>
              <w:rPr>
                <w:b/>
                <w:sz w:val="20"/>
                <w:szCs w:val="20"/>
              </w:rPr>
            </w:pPr>
            <w:r w:rsidRPr="006B4601">
              <w:rPr>
                <w:b/>
                <w:sz w:val="20"/>
                <w:szCs w:val="20"/>
              </w:rPr>
              <w:t>Lesley Cabott c. Urban Systems Ltd.</w:t>
            </w:r>
          </w:p>
          <w:p w:rsidR="006B4601" w:rsidRPr="006B4601" w:rsidRDefault="006B4601" w:rsidP="006B4601">
            <w:pPr>
              <w:jc w:val="both"/>
              <w:rPr>
                <w:sz w:val="20"/>
                <w:lang w:val="fr-CA"/>
              </w:rPr>
            </w:pPr>
            <w:r w:rsidRPr="006B4601">
              <w:rPr>
                <w:sz w:val="20"/>
                <w:lang w:val="fr-CA"/>
              </w:rPr>
              <w:t>(Y</w:t>
            </w:r>
            <w:r>
              <w:rPr>
                <w:sz w:val="20"/>
                <w:lang w:val="fr-CA"/>
              </w:rPr>
              <w:t>n</w:t>
            </w:r>
            <w:r w:rsidRPr="006B4601">
              <w:rPr>
                <w:sz w:val="20"/>
                <w:lang w:val="fr-CA"/>
              </w:rPr>
              <w:t>) (Civile) (Sur autorisation)</w:t>
            </w:r>
          </w:p>
        </w:tc>
      </w:tr>
      <w:tr w:rsidR="006B4601" w:rsidRPr="006B4601" w:rsidTr="005618EC">
        <w:tc>
          <w:tcPr>
            <w:tcW w:w="5000" w:type="pct"/>
            <w:gridSpan w:val="4"/>
          </w:tcPr>
          <w:p w:rsidR="006B4601" w:rsidRPr="006B4601" w:rsidRDefault="006B4601" w:rsidP="006B4601">
            <w:pPr>
              <w:jc w:val="both"/>
              <w:rPr>
                <w:sz w:val="20"/>
                <w:lang w:val="fr-CA"/>
              </w:rPr>
            </w:pPr>
            <w:r w:rsidRPr="006B4601">
              <w:rPr>
                <w:sz w:val="20"/>
                <w:lang w:val="fr-CA"/>
              </w:rPr>
              <w:t xml:space="preserve">Droit de l’emploi – Congédiement injustifié – Préavis – Employée congédiée moins de 14 mois après son entrée en fonctions – De quelle manière un groupe particulièrement vulnérable peut-il obtenir un accès concret à la justice? – En quoi et pourquoi l’âge constitue-t-il un facteur important dans la fixation d’un préavis raisonnable? – Quelles sont les circonstances dont un tribunal de première instance ne doit pas tenir compte lorsqu’il fixe un préavis et qui justifieraient l’intervention de la cour d’appel si elles étaient prises en considération? </w:t>
            </w:r>
          </w:p>
        </w:tc>
      </w:tr>
      <w:tr w:rsidR="006B4601" w:rsidRPr="006B4601" w:rsidTr="005618EC">
        <w:tc>
          <w:tcPr>
            <w:tcW w:w="5000" w:type="pct"/>
            <w:gridSpan w:val="4"/>
          </w:tcPr>
          <w:p w:rsidR="006B4601" w:rsidRPr="006B4601" w:rsidRDefault="006B4601" w:rsidP="006B4601">
            <w:pPr>
              <w:pStyle w:val="SCCBanSummary"/>
              <w:rPr>
                <w:sz w:val="20"/>
                <w:szCs w:val="20"/>
                <w:lang w:val="fr-CA"/>
              </w:rPr>
            </w:pPr>
          </w:p>
        </w:tc>
      </w:tr>
      <w:tr w:rsidR="006B4601" w:rsidRPr="006B4601" w:rsidTr="005618EC">
        <w:tc>
          <w:tcPr>
            <w:tcW w:w="5000" w:type="pct"/>
            <w:gridSpan w:val="4"/>
          </w:tcPr>
          <w:p w:rsidR="006B4601" w:rsidRPr="006B4601" w:rsidRDefault="006B4601" w:rsidP="006B4601">
            <w:pPr>
              <w:jc w:val="both"/>
              <w:rPr>
                <w:sz w:val="20"/>
                <w:lang w:val="fr-CA"/>
              </w:rPr>
            </w:pPr>
            <w:r w:rsidRPr="006B4601">
              <w:rPr>
                <w:sz w:val="20"/>
                <w:lang w:val="fr-CA"/>
              </w:rPr>
              <w:t>La demanderesse, M</w:t>
            </w:r>
            <w:r w:rsidRPr="006B4601">
              <w:rPr>
                <w:sz w:val="20"/>
                <w:vertAlign w:val="superscript"/>
                <w:lang w:val="fr-CA"/>
              </w:rPr>
              <w:t>me</w:t>
            </w:r>
            <w:r w:rsidRPr="006B4601">
              <w:rPr>
                <w:sz w:val="20"/>
                <w:lang w:val="fr-CA"/>
              </w:rPr>
              <w:t> Cabott, travaillait à titre de planificatrice professionnelle et de superviseure chez Urban Systems Ltd. (« </w:t>
            </w:r>
            <w:proofErr w:type="spellStart"/>
            <w:r w:rsidRPr="006B4601">
              <w:rPr>
                <w:sz w:val="20"/>
                <w:lang w:val="fr-CA"/>
              </w:rPr>
              <w:t>Urban</w:t>
            </w:r>
            <w:proofErr w:type="spellEnd"/>
            <w:r w:rsidRPr="006B4601">
              <w:rPr>
                <w:sz w:val="20"/>
                <w:lang w:val="fr-CA"/>
              </w:rPr>
              <w:t xml:space="preserve"> </w:t>
            </w:r>
            <w:proofErr w:type="spellStart"/>
            <w:r w:rsidRPr="006B4601">
              <w:rPr>
                <w:sz w:val="20"/>
                <w:lang w:val="fr-CA"/>
              </w:rPr>
              <w:t>Systems</w:t>
            </w:r>
            <w:proofErr w:type="spellEnd"/>
            <w:r w:rsidRPr="006B4601">
              <w:rPr>
                <w:sz w:val="20"/>
                <w:lang w:val="fr-CA"/>
              </w:rPr>
              <w:t xml:space="preserve"> »). </w:t>
            </w:r>
            <w:proofErr w:type="spellStart"/>
            <w:r w:rsidRPr="006B4601">
              <w:rPr>
                <w:sz w:val="20"/>
                <w:lang w:val="fr-CA"/>
              </w:rPr>
              <w:t>Urban</w:t>
            </w:r>
            <w:proofErr w:type="spellEnd"/>
            <w:r w:rsidRPr="006B4601">
              <w:rPr>
                <w:sz w:val="20"/>
                <w:lang w:val="fr-CA"/>
              </w:rPr>
              <w:t xml:space="preserve"> </w:t>
            </w:r>
            <w:proofErr w:type="spellStart"/>
            <w:r w:rsidRPr="006B4601">
              <w:rPr>
                <w:sz w:val="20"/>
                <w:lang w:val="fr-CA"/>
              </w:rPr>
              <w:t>Systems</w:t>
            </w:r>
            <w:proofErr w:type="spellEnd"/>
            <w:r w:rsidRPr="006B4601">
              <w:rPr>
                <w:sz w:val="20"/>
                <w:lang w:val="fr-CA"/>
              </w:rPr>
              <w:t xml:space="preserve"> a mis fin à son emploi sans motif presque 14 mois après l’avoir embauchée. Madame Cabott a reçu une indemnité de départ équivalant à deux semaines de salaire en conformité avec la loi ainsi que 12 semaines de salaire en guise de préavis. Elle était âgée de 52 ans au moment de son congédiement. Elle détient une maîtrise en planification municipale et régionale et possède une vaste expérience de travail dans la planification et l’aménagement. Madame Cabott a intenté une action pour congédiement injustifié contre son ancien employeur.</w:t>
            </w:r>
          </w:p>
          <w:p w:rsidR="006B4601" w:rsidRPr="006B4601" w:rsidRDefault="006B4601" w:rsidP="006B4601">
            <w:pPr>
              <w:pStyle w:val="SCCBanSummary"/>
              <w:rPr>
                <w:sz w:val="20"/>
                <w:szCs w:val="20"/>
                <w:lang w:val="fr-CA"/>
              </w:rPr>
            </w:pPr>
          </w:p>
        </w:tc>
      </w:tr>
      <w:tr w:rsidR="006B4601" w:rsidRPr="006B4601" w:rsidTr="005618EC">
        <w:tblPrEx>
          <w:tblCellMar>
            <w:bottom w:w="0" w:type="dxa"/>
          </w:tblCellMar>
        </w:tblPrEx>
        <w:tc>
          <w:tcPr>
            <w:tcW w:w="2413" w:type="pct"/>
            <w:gridSpan w:val="2"/>
          </w:tcPr>
          <w:p w:rsidR="006B4601" w:rsidRPr="006B4601" w:rsidRDefault="006B4601" w:rsidP="006B4601">
            <w:pPr>
              <w:jc w:val="both"/>
              <w:rPr>
                <w:sz w:val="20"/>
                <w:lang w:val="fr-CA"/>
              </w:rPr>
            </w:pPr>
            <w:r w:rsidRPr="006B4601">
              <w:rPr>
                <w:sz w:val="20"/>
                <w:lang w:val="fr-CA"/>
              </w:rPr>
              <w:t>8 mai 2015</w:t>
            </w:r>
          </w:p>
          <w:p w:rsidR="006B4601" w:rsidRPr="006B4601" w:rsidRDefault="006B4601" w:rsidP="006B4601">
            <w:pPr>
              <w:jc w:val="both"/>
              <w:rPr>
                <w:sz w:val="20"/>
                <w:lang w:val="fr-CA"/>
              </w:rPr>
            </w:pPr>
            <w:r w:rsidRPr="006B4601">
              <w:rPr>
                <w:sz w:val="20"/>
                <w:lang w:val="fr-CA"/>
              </w:rPr>
              <w:t xml:space="preserve">Cour suprême du Territoire du Yukon </w:t>
            </w:r>
          </w:p>
          <w:p w:rsidR="006B4601" w:rsidRPr="006B4601" w:rsidRDefault="006B4601" w:rsidP="006B4601">
            <w:pPr>
              <w:jc w:val="both"/>
              <w:rPr>
                <w:sz w:val="20"/>
              </w:rPr>
            </w:pPr>
            <w:r w:rsidRPr="006B4601">
              <w:rPr>
                <w:sz w:val="20"/>
              </w:rPr>
              <w:t>(Juge Wong)</w:t>
            </w:r>
          </w:p>
          <w:p w:rsidR="006B4601" w:rsidRPr="006B4601" w:rsidRDefault="00F52446" w:rsidP="006B4601">
            <w:pPr>
              <w:jc w:val="both"/>
              <w:rPr>
                <w:sz w:val="20"/>
              </w:rPr>
            </w:pPr>
            <w:hyperlink r:id="rId28" w:history="1">
              <w:r w:rsidR="006B4601" w:rsidRPr="006B4601">
                <w:rPr>
                  <w:rStyle w:val="Hyperlink"/>
                  <w:sz w:val="20"/>
                </w:rPr>
                <w:t>2015 YKSC 25</w:t>
              </w:r>
            </w:hyperlink>
          </w:p>
          <w:p w:rsidR="006B4601" w:rsidRPr="006B4601" w:rsidRDefault="006B4601" w:rsidP="006B4601">
            <w:pPr>
              <w:jc w:val="both"/>
              <w:rPr>
                <w:sz w:val="20"/>
              </w:rPr>
            </w:pPr>
          </w:p>
        </w:tc>
        <w:tc>
          <w:tcPr>
            <w:tcW w:w="273" w:type="pct"/>
          </w:tcPr>
          <w:p w:rsidR="006B4601" w:rsidRPr="006B4601" w:rsidRDefault="006B4601" w:rsidP="006B4601">
            <w:pPr>
              <w:jc w:val="both"/>
              <w:rPr>
                <w:sz w:val="20"/>
              </w:rPr>
            </w:pPr>
          </w:p>
        </w:tc>
        <w:tc>
          <w:tcPr>
            <w:tcW w:w="2314" w:type="pct"/>
          </w:tcPr>
          <w:p w:rsidR="006B4601" w:rsidRPr="006B4601" w:rsidRDefault="006B4601" w:rsidP="006B4601">
            <w:pPr>
              <w:jc w:val="both"/>
              <w:rPr>
                <w:sz w:val="20"/>
                <w:lang w:val="fr-CA"/>
              </w:rPr>
            </w:pPr>
            <w:r w:rsidRPr="006B4601">
              <w:rPr>
                <w:sz w:val="20"/>
                <w:lang w:val="fr-CA"/>
              </w:rPr>
              <w:t xml:space="preserve">Réclamation pour congédiement injustifié accueillie </w:t>
            </w:r>
          </w:p>
          <w:p w:rsidR="006B4601" w:rsidRPr="006B4601" w:rsidRDefault="006B4601" w:rsidP="006B4601">
            <w:pPr>
              <w:jc w:val="both"/>
              <w:rPr>
                <w:sz w:val="20"/>
                <w:lang w:val="fr-CA"/>
              </w:rPr>
            </w:pPr>
          </w:p>
        </w:tc>
      </w:tr>
      <w:tr w:rsidR="006B4601" w:rsidRPr="006B4601" w:rsidTr="005618EC">
        <w:tblPrEx>
          <w:tblCellMar>
            <w:bottom w:w="0" w:type="dxa"/>
          </w:tblCellMar>
        </w:tblPrEx>
        <w:tc>
          <w:tcPr>
            <w:tcW w:w="2413" w:type="pct"/>
            <w:gridSpan w:val="2"/>
          </w:tcPr>
          <w:p w:rsidR="006B4601" w:rsidRPr="006B4601" w:rsidRDefault="006B4601" w:rsidP="006B4601">
            <w:pPr>
              <w:jc w:val="both"/>
              <w:rPr>
                <w:sz w:val="20"/>
                <w:lang w:val="fr-CA"/>
              </w:rPr>
            </w:pPr>
            <w:r w:rsidRPr="006B4601">
              <w:rPr>
                <w:sz w:val="20"/>
                <w:lang w:val="fr-CA"/>
              </w:rPr>
              <w:t>27 avril 2016</w:t>
            </w:r>
          </w:p>
          <w:p w:rsidR="006B4601" w:rsidRPr="006B4601" w:rsidRDefault="006B4601" w:rsidP="006B4601">
            <w:pPr>
              <w:jc w:val="both"/>
              <w:rPr>
                <w:sz w:val="20"/>
                <w:lang w:val="fr-CA"/>
              </w:rPr>
            </w:pPr>
            <w:r w:rsidRPr="006B4601">
              <w:rPr>
                <w:sz w:val="20"/>
                <w:lang w:val="fr-CA"/>
              </w:rPr>
              <w:lastRenderedPageBreak/>
              <w:t>Cour d’appel du Territoire du Yukon</w:t>
            </w:r>
          </w:p>
          <w:p w:rsidR="006B4601" w:rsidRPr="006B4601" w:rsidRDefault="006B4601" w:rsidP="006B4601">
            <w:pPr>
              <w:jc w:val="both"/>
              <w:rPr>
                <w:sz w:val="20"/>
                <w:lang w:val="fr-CA"/>
              </w:rPr>
            </w:pPr>
            <w:r w:rsidRPr="006B4601">
              <w:rPr>
                <w:sz w:val="20"/>
                <w:lang w:val="fr-CA"/>
              </w:rPr>
              <w:t>(Juges Saunders, Groberman et Shaner)</w:t>
            </w:r>
          </w:p>
          <w:p w:rsidR="006B4601" w:rsidRPr="006B4601" w:rsidRDefault="00F52446" w:rsidP="006B4601">
            <w:pPr>
              <w:jc w:val="both"/>
              <w:rPr>
                <w:sz w:val="20"/>
              </w:rPr>
            </w:pPr>
            <w:hyperlink r:id="rId29" w:history="1">
              <w:r w:rsidR="006B4601" w:rsidRPr="006B4601">
                <w:rPr>
                  <w:rStyle w:val="Hyperlink"/>
                  <w:sz w:val="20"/>
                </w:rPr>
                <w:t>2016 YKCA 4</w:t>
              </w:r>
            </w:hyperlink>
          </w:p>
          <w:p w:rsidR="006B4601" w:rsidRPr="006B4601" w:rsidRDefault="006B4601" w:rsidP="006B4601">
            <w:pPr>
              <w:jc w:val="both"/>
              <w:rPr>
                <w:sz w:val="20"/>
              </w:rPr>
            </w:pPr>
          </w:p>
        </w:tc>
        <w:tc>
          <w:tcPr>
            <w:tcW w:w="273" w:type="pct"/>
          </w:tcPr>
          <w:p w:rsidR="006B4601" w:rsidRPr="006B4601" w:rsidRDefault="006B4601" w:rsidP="006B4601">
            <w:pPr>
              <w:jc w:val="both"/>
              <w:rPr>
                <w:sz w:val="20"/>
              </w:rPr>
            </w:pPr>
          </w:p>
        </w:tc>
        <w:tc>
          <w:tcPr>
            <w:tcW w:w="2314" w:type="pct"/>
          </w:tcPr>
          <w:p w:rsidR="006B4601" w:rsidRPr="006B4601" w:rsidRDefault="006B4601" w:rsidP="006B4601">
            <w:pPr>
              <w:jc w:val="both"/>
              <w:rPr>
                <w:sz w:val="20"/>
              </w:rPr>
            </w:pPr>
            <w:r w:rsidRPr="006B4601">
              <w:rPr>
                <w:sz w:val="20"/>
              </w:rPr>
              <w:t>Appel accueilli, préavis modifié</w:t>
            </w:r>
          </w:p>
          <w:p w:rsidR="006B4601" w:rsidRPr="006B4601" w:rsidRDefault="006B4601" w:rsidP="006B4601">
            <w:pPr>
              <w:jc w:val="both"/>
              <w:rPr>
                <w:sz w:val="20"/>
              </w:rPr>
            </w:pPr>
          </w:p>
        </w:tc>
      </w:tr>
      <w:tr w:rsidR="006B4601" w:rsidRPr="006B4601" w:rsidTr="005618EC">
        <w:tblPrEx>
          <w:tblCellMar>
            <w:bottom w:w="0" w:type="dxa"/>
          </w:tblCellMar>
        </w:tblPrEx>
        <w:tc>
          <w:tcPr>
            <w:tcW w:w="2413" w:type="pct"/>
            <w:gridSpan w:val="2"/>
          </w:tcPr>
          <w:p w:rsidR="006B4601" w:rsidRPr="006B4601" w:rsidRDefault="006B4601" w:rsidP="006B4601">
            <w:pPr>
              <w:jc w:val="both"/>
              <w:rPr>
                <w:sz w:val="20"/>
              </w:rPr>
            </w:pPr>
            <w:r w:rsidRPr="006B4601">
              <w:rPr>
                <w:sz w:val="20"/>
              </w:rPr>
              <w:lastRenderedPageBreak/>
              <w:t>27 juin 2016</w:t>
            </w:r>
          </w:p>
          <w:p w:rsidR="006B4601" w:rsidRPr="006B4601" w:rsidRDefault="006B4601" w:rsidP="006B4601">
            <w:pPr>
              <w:jc w:val="both"/>
              <w:rPr>
                <w:sz w:val="20"/>
              </w:rPr>
            </w:pPr>
            <w:proofErr w:type="spellStart"/>
            <w:r w:rsidRPr="006B4601">
              <w:rPr>
                <w:sz w:val="20"/>
              </w:rPr>
              <w:t>Cour</w:t>
            </w:r>
            <w:proofErr w:type="spellEnd"/>
            <w:r w:rsidRPr="006B4601">
              <w:rPr>
                <w:sz w:val="20"/>
              </w:rPr>
              <w:t xml:space="preserve"> </w:t>
            </w:r>
            <w:proofErr w:type="spellStart"/>
            <w:r w:rsidRPr="006B4601">
              <w:rPr>
                <w:sz w:val="20"/>
              </w:rPr>
              <w:t>suprême</w:t>
            </w:r>
            <w:proofErr w:type="spellEnd"/>
            <w:r w:rsidRPr="006B4601">
              <w:rPr>
                <w:sz w:val="20"/>
              </w:rPr>
              <w:t xml:space="preserve"> du Canada</w:t>
            </w:r>
          </w:p>
        </w:tc>
        <w:tc>
          <w:tcPr>
            <w:tcW w:w="273" w:type="pct"/>
          </w:tcPr>
          <w:p w:rsidR="006B4601" w:rsidRPr="006B4601" w:rsidRDefault="006B4601" w:rsidP="006B4601">
            <w:pPr>
              <w:jc w:val="both"/>
              <w:rPr>
                <w:sz w:val="20"/>
              </w:rPr>
            </w:pPr>
          </w:p>
        </w:tc>
        <w:tc>
          <w:tcPr>
            <w:tcW w:w="2314" w:type="pct"/>
          </w:tcPr>
          <w:p w:rsidR="006B4601" w:rsidRPr="006B4601" w:rsidRDefault="006B4601" w:rsidP="006B4601">
            <w:pPr>
              <w:jc w:val="both"/>
              <w:rPr>
                <w:sz w:val="20"/>
                <w:lang w:val="fr-CA"/>
              </w:rPr>
            </w:pPr>
            <w:r w:rsidRPr="006B4601">
              <w:rPr>
                <w:sz w:val="20"/>
                <w:lang w:val="fr-CA"/>
              </w:rPr>
              <w:t>Dépôt de la demande d’autorisation d’appel</w:t>
            </w:r>
          </w:p>
          <w:p w:rsidR="006B4601" w:rsidRPr="006B4601" w:rsidRDefault="006B4601" w:rsidP="006B4601">
            <w:pPr>
              <w:jc w:val="both"/>
              <w:rPr>
                <w:sz w:val="20"/>
                <w:lang w:val="fr-CA"/>
              </w:rPr>
            </w:pPr>
          </w:p>
        </w:tc>
      </w:tr>
    </w:tbl>
    <w:p w:rsidR="006B4601" w:rsidRPr="000137D5" w:rsidRDefault="006B4601" w:rsidP="000137D5">
      <w:pPr>
        <w:jc w:val="both"/>
        <w:rPr>
          <w:sz w:val="20"/>
          <w:lang w:val="fr-CA"/>
        </w:rPr>
      </w:pPr>
    </w:p>
    <w:p w:rsidR="00EF3C03" w:rsidRPr="000137D5" w:rsidRDefault="00EF3C03" w:rsidP="000137D5">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137D5" w:rsidRPr="000137D5" w:rsidTr="00E95A6A">
        <w:tc>
          <w:tcPr>
            <w:tcW w:w="543" w:type="pct"/>
          </w:tcPr>
          <w:p w:rsidR="000137D5" w:rsidRPr="000137D5" w:rsidRDefault="000137D5" w:rsidP="000137D5">
            <w:pPr>
              <w:jc w:val="both"/>
              <w:rPr>
                <w:sz w:val="20"/>
              </w:rPr>
            </w:pPr>
            <w:r w:rsidRPr="000137D5">
              <w:rPr>
                <w:rStyle w:val="SCCFileNumberChar"/>
                <w:sz w:val="20"/>
                <w:szCs w:val="20"/>
              </w:rPr>
              <w:t>37040</w:t>
            </w:r>
          </w:p>
        </w:tc>
        <w:tc>
          <w:tcPr>
            <w:tcW w:w="4457" w:type="pct"/>
            <w:gridSpan w:val="3"/>
          </w:tcPr>
          <w:p w:rsidR="000137D5" w:rsidRPr="000137D5" w:rsidRDefault="000137D5" w:rsidP="000137D5">
            <w:pPr>
              <w:pStyle w:val="SCCLsocParty"/>
              <w:jc w:val="both"/>
              <w:rPr>
                <w:b/>
                <w:sz w:val="20"/>
                <w:szCs w:val="20"/>
              </w:rPr>
            </w:pPr>
            <w:r w:rsidRPr="000137D5">
              <w:rPr>
                <w:b/>
                <w:sz w:val="20"/>
                <w:szCs w:val="20"/>
              </w:rPr>
              <w:t>Haiyan Gong v. Minister of Citizenship and Immigration</w:t>
            </w:r>
          </w:p>
          <w:p w:rsidR="000137D5" w:rsidRPr="000137D5" w:rsidRDefault="000137D5" w:rsidP="000137D5">
            <w:pPr>
              <w:jc w:val="both"/>
              <w:rPr>
                <w:sz w:val="20"/>
              </w:rPr>
            </w:pPr>
            <w:r w:rsidRPr="000137D5">
              <w:rPr>
                <w:sz w:val="20"/>
              </w:rPr>
              <w:t>(FC) (Civil) (By Leave)</w:t>
            </w:r>
          </w:p>
        </w:tc>
      </w:tr>
      <w:tr w:rsidR="000137D5" w:rsidRPr="000137D5" w:rsidTr="00E95A6A">
        <w:tc>
          <w:tcPr>
            <w:tcW w:w="5000" w:type="pct"/>
            <w:gridSpan w:val="4"/>
          </w:tcPr>
          <w:p w:rsidR="000137D5" w:rsidRPr="000137D5" w:rsidRDefault="000137D5" w:rsidP="000137D5">
            <w:pPr>
              <w:jc w:val="both"/>
              <w:rPr>
                <w:sz w:val="20"/>
              </w:rPr>
            </w:pPr>
            <w:r w:rsidRPr="000137D5">
              <w:rPr>
                <w:i/>
                <w:color w:val="1F1F1F"/>
                <w:sz w:val="20"/>
              </w:rPr>
              <w:t>Charter of Rights and Freedoms</w:t>
            </w:r>
            <w:r w:rsidRPr="000137D5">
              <w:rPr>
                <w:color w:val="1F1F1F"/>
                <w:sz w:val="20"/>
              </w:rPr>
              <w:t xml:space="preserve"> – Constitutional law – Immigration – Foreign skilled workers – Admissibility – Procedural law – Directions – Certification of questions – Whether a single judge of a Court of Appeal has jurisdiction to direct the court’s registry to refuse to issue, </w:t>
            </w:r>
            <w:r w:rsidRPr="000137D5">
              <w:rPr>
                <w:bCs/>
                <w:i/>
                <w:iCs/>
                <w:color w:val="1F1F1F"/>
                <w:sz w:val="20"/>
              </w:rPr>
              <w:t>in limine,</w:t>
            </w:r>
            <w:r w:rsidRPr="000137D5">
              <w:rPr>
                <w:b/>
                <w:bCs/>
                <w:i/>
                <w:iCs/>
                <w:color w:val="1F1F1F"/>
                <w:sz w:val="20"/>
              </w:rPr>
              <w:t xml:space="preserve"> </w:t>
            </w:r>
            <w:r w:rsidRPr="000137D5">
              <w:rPr>
                <w:color w:val="1F1F1F"/>
                <w:sz w:val="20"/>
              </w:rPr>
              <w:t xml:space="preserve">a Notice of Appeal, without a motion to quash that appeal – Whether s. 74(d) of the </w:t>
            </w:r>
            <w:r w:rsidRPr="000137D5">
              <w:rPr>
                <w:i/>
                <w:sz w:val="20"/>
              </w:rPr>
              <w:t>Immigration and Refugee Protection Act</w:t>
            </w:r>
            <w:r w:rsidRPr="000137D5">
              <w:rPr>
                <w:sz w:val="20"/>
              </w:rPr>
              <w:t>, S.C. 2001, c. 27,</w:t>
            </w:r>
            <w:r w:rsidRPr="000137D5">
              <w:rPr>
                <w:color w:val="1F1F1F"/>
                <w:sz w:val="20"/>
              </w:rPr>
              <w:t xml:space="preserve"> is </w:t>
            </w:r>
            <w:r w:rsidRPr="000137D5">
              <w:rPr>
                <w:bCs/>
                <w:iCs/>
                <w:color w:val="1F1F1F"/>
                <w:sz w:val="20"/>
              </w:rPr>
              <w:t>u</w:t>
            </w:r>
            <w:r w:rsidRPr="000137D5">
              <w:rPr>
                <w:color w:val="1F1F1F"/>
                <w:sz w:val="20"/>
              </w:rPr>
              <w:t xml:space="preserve">nconstitutional and of no force and effect, </w:t>
            </w:r>
            <w:r w:rsidRPr="000137D5">
              <w:rPr>
                <w:bCs/>
                <w:color w:val="1F1F1F"/>
                <w:sz w:val="20"/>
              </w:rPr>
              <w:t xml:space="preserve">in its entirety, </w:t>
            </w:r>
            <w:r w:rsidRPr="000137D5">
              <w:rPr>
                <w:color w:val="1F1F1F"/>
                <w:sz w:val="20"/>
              </w:rPr>
              <w:t xml:space="preserve">for breaching the applicant's rights to a fair and independent judiciary, where certification is exclusively required from the very judge of the Federal Court dismissing the application for judicial review – Whether s. 74(d) is </w:t>
            </w:r>
            <w:r w:rsidRPr="000137D5">
              <w:rPr>
                <w:bCs/>
                <w:iCs/>
                <w:color w:val="1F1F1F"/>
                <w:sz w:val="20"/>
              </w:rPr>
              <w:t>u</w:t>
            </w:r>
            <w:r w:rsidRPr="000137D5">
              <w:rPr>
                <w:color w:val="1F1F1F"/>
                <w:sz w:val="20"/>
              </w:rPr>
              <w:t xml:space="preserve">nconstitutional and of no force and effect, in the event that certification is required for constitutional issues, as to the constitutionality of a legislative provision of the </w:t>
            </w:r>
            <w:r w:rsidRPr="000137D5">
              <w:rPr>
                <w:sz w:val="20"/>
              </w:rPr>
              <w:t>Act?</w:t>
            </w:r>
          </w:p>
        </w:tc>
      </w:tr>
      <w:tr w:rsidR="000137D5" w:rsidRPr="000137D5" w:rsidTr="00E95A6A">
        <w:tc>
          <w:tcPr>
            <w:tcW w:w="5000" w:type="pct"/>
            <w:gridSpan w:val="4"/>
          </w:tcPr>
          <w:p w:rsidR="000137D5" w:rsidRPr="000137D5" w:rsidRDefault="000137D5" w:rsidP="000137D5">
            <w:pPr>
              <w:jc w:val="both"/>
              <w:rPr>
                <w:sz w:val="20"/>
              </w:rPr>
            </w:pPr>
          </w:p>
        </w:tc>
      </w:tr>
      <w:tr w:rsidR="000137D5" w:rsidRPr="000137D5" w:rsidTr="00E95A6A">
        <w:tc>
          <w:tcPr>
            <w:tcW w:w="5000" w:type="pct"/>
            <w:gridSpan w:val="4"/>
          </w:tcPr>
          <w:p w:rsidR="000137D5" w:rsidRPr="000137D5" w:rsidRDefault="000137D5" w:rsidP="000137D5">
            <w:pPr>
              <w:jc w:val="both"/>
              <w:rPr>
                <w:sz w:val="20"/>
              </w:rPr>
            </w:pPr>
            <w:r w:rsidRPr="000137D5">
              <w:rPr>
                <w:sz w:val="20"/>
              </w:rPr>
              <w:t xml:space="preserve">In 2006, Ms. Gong applied for permanent residency as a Foreign Skilled Worker. By 2008, there was an enormous backlog of applications. In response, amendments were introduced to the </w:t>
            </w:r>
            <w:r w:rsidRPr="000137D5">
              <w:rPr>
                <w:i/>
                <w:sz w:val="20"/>
              </w:rPr>
              <w:t>Immigration and Refugee Protection Act</w:t>
            </w:r>
            <w:r w:rsidRPr="000137D5">
              <w:rPr>
                <w:sz w:val="20"/>
              </w:rPr>
              <w:t xml:space="preserve">, S.C. 2001, c. 27, and Ministerial Instructions governing eligibility and processing have been issued. A large group of Foreign Skilled Worker applicants affected by the changes applied for judicial review. They were brought under case management and agreed to a Protocol. Judgments in representative proceedings have been released. Ms. Gong is the lead litigant for a subgroup of applicants. In addition to seeking an order in </w:t>
            </w:r>
            <w:r w:rsidRPr="000137D5">
              <w:rPr>
                <w:i/>
                <w:sz w:val="20"/>
              </w:rPr>
              <w:t>mandamus</w:t>
            </w:r>
            <w:r w:rsidRPr="000137D5">
              <w:rPr>
                <w:sz w:val="20"/>
              </w:rPr>
              <w:t xml:space="preserve"> to compel processing of her visa application, she also submitted questions to the Federal Court for certification for appeal. Section 74(d) of the </w:t>
            </w:r>
            <w:r w:rsidRPr="000137D5">
              <w:rPr>
                <w:i/>
                <w:sz w:val="20"/>
              </w:rPr>
              <w:t>Immigration and Refugee Protection Act</w:t>
            </w:r>
            <w:r w:rsidRPr="000137D5">
              <w:rPr>
                <w:sz w:val="20"/>
              </w:rPr>
              <w:t xml:space="preserve"> states that an appeal from a judicial review in a matter covered by the Act may be made only if the reviewing judge certifies that a serious question of general importance is involved and states the question. Russell J. dismissed the application for </w:t>
            </w:r>
            <w:r w:rsidRPr="000137D5">
              <w:rPr>
                <w:i/>
                <w:sz w:val="20"/>
              </w:rPr>
              <w:t>mandamus</w:t>
            </w:r>
            <w:r w:rsidRPr="000137D5">
              <w:rPr>
                <w:sz w:val="20"/>
              </w:rPr>
              <w:t xml:space="preserve"> and refused to certify questions. Ms. Gong sought to file a Notice of Appeal in the Federal Court of Appeal. Near J.A. issued a Direction that “The Registry shall not accept for filing the Notice of Appeal filed by M[s]. Gong, given that no question of general importance has been certified in this immigration matter”. The Registry did not accept Ms. Gong’s Notice of Appeal.</w:t>
            </w:r>
          </w:p>
          <w:p w:rsidR="000137D5" w:rsidRPr="000137D5" w:rsidRDefault="000137D5" w:rsidP="000137D5">
            <w:pPr>
              <w:jc w:val="both"/>
              <w:rPr>
                <w:sz w:val="20"/>
              </w:rPr>
            </w:pPr>
          </w:p>
        </w:tc>
      </w:tr>
      <w:tr w:rsidR="000137D5" w:rsidRPr="000137D5" w:rsidTr="00E95A6A">
        <w:tc>
          <w:tcPr>
            <w:tcW w:w="2427" w:type="pct"/>
            <w:gridSpan w:val="2"/>
          </w:tcPr>
          <w:p w:rsidR="000137D5" w:rsidRPr="000137D5" w:rsidRDefault="000137D5" w:rsidP="000137D5">
            <w:pPr>
              <w:jc w:val="both"/>
              <w:rPr>
                <w:sz w:val="20"/>
              </w:rPr>
            </w:pPr>
            <w:r w:rsidRPr="000137D5">
              <w:rPr>
                <w:sz w:val="20"/>
              </w:rPr>
              <w:t>February 29, 2016</w:t>
            </w:r>
          </w:p>
          <w:p w:rsidR="000137D5" w:rsidRPr="000137D5" w:rsidRDefault="000137D5" w:rsidP="000137D5">
            <w:pPr>
              <w:jc w:val="both"/>
              <w:rPr>
                <w:sz w:val="20"/>
              </w:rPr>
            </w:pPr>
            <w:r w:rsidRPr="000137D5">
              <w:rPr>
                <w:sz w:val="20"/>
              </w:rPr>
              <w:t>Federal Court</w:t>
            </w:r>
          </w:p>
          <w:p w:rsidR="000137D5" w:rsidRPr="000137D5" w:rsidRDefault="000137D5" w:rsidP="000137D5">
            <w:pPr>
              <w:jc w:val="both"/>
              <w:rPr>
                <w:sz w:val="20"/>
              </w:rPr>
            </w:pPr>
            <w:r w:rsidRPr="000137D5">
              <w:rPr>
                <w:sz w:val="20"/>
              </w:rPr>
              <w:t>(Russell J.)</w:t>
            </w:r>
          </w:p>
          <w:p w:rsidR="000137D5" w:rsidRPr="000137D5" w:rsidRDefault="00F52446" w:rsidP="000137D5">
            <w:pPr>
              <w:spacing w:after="120"/>
              <w:jc w:val="both"/>
              <w:rPr>
                <w:color w:val="0000FF" w:themeColor="hyperlink"/>
                <w:sz w:val="20"/>
                <w:u w:val="single"/>
              </w:rPr>
            </w:pPr>
            <w:hyperlink r:id="rId30" w:history="1">
              <w:r w:rsidR="000137D5" w:rsidRPr="000137D5">
                <w:rPr>
                  <w:rStyle w:val="Hyperlink"/>
                  <w:sz w:val="20"/>
                </w:rPr>
                <w:t>2016 FC 257</w:t>
              </w:r>
            </w:hyperlink>
          </w:p>
        </w:tc>
        <w:tc>
          <w:tcPr>
            <w:tcW w:w="243" w:type="pct"/>
          </w:tcPr>
          <w:p w:rsidR="000137D5" w:rsidRPr="000137D5" w:rsidRDefault="000137D5" w:rsidP="000137D5">
            <w:pPr>
              <w:jc w:val="both"/>
              <w:rPr>
                <w:sz w:val="20"/>
              </w:rPr>
            </w:pPr>
          </w:p>
        </w:tc>
        <w:tc>
          <w:tcPr>
            <w:tcW w:w="2330" w:type="pct"/>
          </w:tcPr>
          <w:p w:rsidR="000137D5" w:rsidRPr="000137D5" w:rsidRDefault="000137D5" w:rsidP="000137D5">
            <w:pPr>
              <w:jc w:val="both"/>
              <w:rPr>
                <w:sz w:val="20"/>
              </w:rPr>
            </w:pPr>
            <w:r w:rsidRPr="000137D5">
              <w:rPr>
                <w:sz w:val="20"/>
              </w:rPr>
              <w:t>Application dismissed; Refusal to certify questions</w:t>
            </w:r>
          </w:p>
          <w:p w:rsidR="000137D5" w:rsidRPr="000137D5" w:rsidRDefault="000137D5" w:rsidP="000137D5">
            <w:pPr>
              <w:jc w:val="both"/>
              <w:rPr>
                <w:sz w:val="20"/>
              </w:rPr>
            </w:pPr>
          </w:p>
        </w:tc>
      </w:tr>
      <w:tr w:rsidR="000137D5" w:rsidRPr="000137D5" w:rsidTr="00E95A6A">
        <w:tc>
          <w:tcPr>
            <w:tcW w:w="2427" w:type="pct"/>
            <w:gridSpan w:val="2"/>
          </w:tcPr>
          <w:p w:rsidR="000137D5" w:rsidRPr="000137D5" w:rsidRDefault="000137D5" w:rsidP="000137D5">
            <w:pPr>
              <w:jc w:val="both"/>
              <w:rPr>
                <w:sz w:val="20"/>
              </w:rPr>
            </w:pPr>
            <w:r w:rsidRPr="000137D5">
              <w:rPr>
                <w:sz w:val="20"/>
              </w:rPr>
              <w:t>April 7, 2016</w:t>
            </w:r>
          </w:p>
          <w:p w:rsidR="000137D5" w:rsidRPr="000137D5" w:rsidRDefault="000137D5" w:rsidP="000137D5">
            <w:pPr>
              <w:jc w:val="both"/>
              <w:rPr>
                <w:sz w:val="20"/>
              </w:rPr>
            </w:pPr>
            <w:r w:rsidRPr="000137D5">
              <w:rPr>
                <w:sz w:val="20"/>
              </w:rPr>
              <w:t>Federal Court of Appeal</w:t>
            </w:r>
          </w:p>
          <w:p w:rsidR="000137D5" w:rsidRPr="000137D5" w:rsidRDefault="000137D5" w:rsidP="000137D5">
            <w:pPr>
              <w:jc w:val="both"/>
              <w:rPr>
                <w:sz w:val="20"/>
              </w:rPr>
            </w:pPr>
            <w:r w:rsidRPr="000137D5">
              <w:rPr>
                <w:sz w:val="20"/>
              </w:rPr>
              <w:t>(Near J.A.)</w:t>
            </w:r>
          </w:p>
          <w:p w:rsidR="000137D5" w:rsidRPr="000137D5" w:rsidRDefault="000137D5" w:rsidP="000137D5">
            <w:pPr>
              <w:spacing w:after="120"/>
              <w:jc w:val="both"/>
              <w:rPr>
                <w:sz w:val="20"/>
              </w:rPr>
            </w:pPr>
            <w:r w:rsidRPr="000137D5">
              <w:rPr>
                <w:sz w:val="20"/>
              </w:rPr>
              <w:t>(Unreported)</w:t>
            </w:r>
          </w:p>
        </w:tc>
        <w:tc>
          <w:tcPr>
            <w:tcW w:w="243" w:type="pct"/>
          </w:tcPr>
          <w:p w:rsidR="000137D5" w:rsidRPr="000137D5" w:rsidRDefault="000137D5" w:rsidP="000137D5">
            <w:pPr>
              <w:jc w:val="both"/>
              <w:rPr>
                <w:sz w:val="20"/>
              </w:rPr>
            </w:pPr>
          </w:p>
        </w:tc>
        <w:tc>
          <w:tcPr>
            <w:tcW w:w="2330" w:type="pct"/>
          </w:tcPr>
          <w:p w:rsidR="000137D5" w:rsidRPr="000137D5" w:rsidRDefault="000137D5" w:rsidP="000137D5">
            <w:pPr>
              <w:jc w:val="both"/>
              <w:rPr>
                <w:sz w:val="20"/>
              </w:rPr>
            </w:pPr>
            <w:r w:rsidRPr="000137D5">
              <w:rPr>
                <w:sz w:val="20"/>
              </w:rPr>
              <w:t>Direction to Registry not to accept Notice of Appeal for filing</w:t>
            </w:r>
          </w:p>
          <w:p w:rsidR="000137D5" w:rsidRPr="000137D5" w:rsidRDefault="000137D5" w:rsidP="000137D5">
            <w:pPr>
              <w:jc w:val="both"/>
              <w:rPr>
                <w:sz w:val="20"/>
              </w:rPr>
            </w:pPr>
          </w:p>
        </w:tc>
      </w:tr>
      <w:tr w:rsidR="000137D5" w:rsidRPr="000137D5" w:rsidTr="00E95A6A">
        <w:tc>
          <w:tcPr>
            <w:tcW w:w="2427" w:type="pct"/>
            <w:gridSpan w:val="2"/>
          </w:tcPr>
          <w:p w:rsidR="000137D5" w:rsidRPr="000137D5" w:rsidRDefault="000137D5" w:rsidP="000137D5">
            <w:pPr>
              <w:jc w:val="both"/>
              <w:rPr>
                <w:sz w:val="20"/>
              </w:rPr>
            </w:pPr>
            <w:r w:rsidRPr="000137D5">
              <w:rPr>
                <w:sz w:val="20"/>
              </w:rPr>
              <w:t>June 2, 2016</w:t>
            </w:r>
          </w:p>
          <w:p w:rsidR="000137D5" w:rsidRPr="000137D5" w:rsidRDefault="000137D5" w:rsidP="000137D5">
            <w:pPr>
              <w:jc w:val="both"/>
              <w:rPr>
                <w:sz w:val="20"/>
              </w:rPr>
            </w:pPr>
            <w:r w:rsidRPr="000137D5">
              <w:rPr>
                <w:sz w:val="20"/>
              </w:rPr>
              <w:t>Supreme Court of Canada</w:t>
            </w:r>
          </w:p>
        </w:tc>
        <w:tc>
          <w:tcPr>
            <w:tcW w:w="243" w:type="pct"/>
          </w:tcPr>
          <w:p w:rsidR="000137D5" w:rsidRPr="000137D5" w:rsidRDefault="000137D5" w:rsidP="000137D5">
            <w:pPr>
              <w:jc w:val="both"/>
              <w:rPr>
                <w:sz w:val="20"/>
              </w:rPr>
            </w:pPr>
          </w:p>
        </w:tc>
        <w:tc>
          <w:tcPr>
            <w:tcW w:w="2330" w:type="pct"/>
          </w:tcPr>
          <w:p w:rsidR="000137D5" w:rsidRPr="000137D5" w:rsidRDefault="000137D5" w:rsidP="000137D5">
            <w:pPr>
              <w:jc w:val="both"/>
              <w:rPr>
                <w:sz w:val="20"/>
              </w:rPr>
            </w:pPr>
            <w:r w:rsidRPr="000137D5">
              <w:rPr>
                <w:sz w:val="20"/>
              </w:rPr>
              <w:t>Application for leave to appeal filed</w:t>
            </w:r>
          </w:p>
          <w:p w:rsidR="000137D5" w:rsidRPr="000137D5" w:rsidRDefault="000137D5" w:rsidP="000137D5">
            <w:pPr>
              <w:jc w:val="both"/>
              <w:rPr>
                <w:sz w:val="20"/>
              </w:rPr>
            </w:pPr>
          </w:p>
        </w:tc>
      </w:tr>
    </w:tbl>
    <w:p w:rsidR="000137D5" w:rsidRDefault="000137D5" w:rsidP="000137D5">
      <w:pPr>
        <w:jc w:val="both"/>
        <w:rPr>
          <w:sz w:val="20"/>
        </w:rPr>
      </w:pPr>
    </w:p>
    <w:p w:rsidR="000137D5" w:rsidRPr="000137D5" w:rsidRDefault="000137D5" w:rsidP="000137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137D5" w:rsidRPr="000137D5" w:rsidTr="00E95A6A">
        <w:tc>
          <w:tcPr>
            <w:tcW w:w="543" w:type="pct"/>
          </w:tcPr>
          <w:p w:rsidR="000137D5" w:rsidRPr="000137D5" w:rsidRDefault="000137D5" w:rsidP="000137D5">
            <w:pPr>
              <w:jc w:val="both"/>
              <w:rPr>
                <w:sz w:val="20"/>
              </w:rPr>
            </w:pPr>
            <w:r w:rsidRPr="000137D5">
              <w:rPr>
                <w:rStyle w:val="SCCFileNumberChar"/>
                <w:sz w:val="20"/>
                <w:szCs w:val="20"/>
              </w:rPr>
              <w:t>37040</w:t>
            </w:r>
          </w:p>
        </w:tc>
        <w:tc>
          <w:tcPr>
            <w:tcW w:w="4457" w:type="pct"/>
            <w:gridSpan w:val="3"/>
          </w:tcPr>
          <w:p w:rsidR="000137D5" w:rsidRPr="000137D5" w:rsidRDefault="000137D5" w:rsidP="000137D5">
            <w:pPr>
              <w:pStyle w:val="SCCLsocParty"/>
              <w:jc w:val="both"/>
              <w:rPr>
                <w:b/>
                <w:sz w:val="20"/>
                <w:szCs w:val="20"/>
              </w:rPr>
            </w:pPr>
            <w:r w:rsidRPr="000137D5">
              <w:rPr>
                <w:b/>
                <w:sz w:val="20"/>
                <w:szCs w:val="20"/>
              </w:rPr>
              <w:t>Haiyan Gong c. Ministre de la Citoyenneté et de l’Immigration</w:t>
            </w:r>
          </w:p>
          <w:p w:rsidR="000137D5" w:rsidRPr="000137D5" w:rsidRDefault="000137D5" w:rsidP="000137D5">
            <w:pPr>
              <w:jc w:val="both"/>
              <w:rPr>
                <w:sz w:val="20"/>
              </w:rPr>
            </w:pPr>
            <w:r w:rsidRPr="000137D5">
              <w:rPr>
                <w:sz w:val="20"/>
              </w:rPr>
              <w:t>(CF) (Civile) (Sur autorisation)</w:t>
            </w:r>
          </w:p>
        </w:tc>
      </w:tr>
      <w:tr w:rsidR="000137D5" w:rsidRPr="000137D5" w:rsidTr="00E95A6A">
        <w:tc>
          <w:tcPr>
            <w:tcW w:w="5000" w:type="pct"/>
            <w:gridSpan w:val="4"/>
          </w:tcPr>
          <w:p w:rsidR="000137D5" w:rsidRPr="000137D5" w:rsidRDefault="000137D5" w:rsidP="000137D5">
            <w:pPr>
              <w:jc w:val="both"/>
              <w:rPr>
                <w:sz w:val="20"/>
                <w:lang w:val="fr-CA"/>
              </w:rPr>
            </w:pPr>
            <w:r w:rsidRPr="000137D5">
              <w:rPr>
                <w:i/>
                <w:color w:val="1F1F1F"/>
                <w:sz w:val="20"/>
                <w:lang w:val="fr-CA"/>
              </w:rPr>
              <w:t>Charte des droits et libertés</w:t>
            </w:r>
            <w:r w:rsidRPr="000137D5">
              <w:rPr>
                <w:color w:val="1F1F1F"/>
                <w:sz w:val="20"/>
                <w:lang w:val="fr-CA"/>
              </w:rPr>
              <w:t xml:space="preserve"> – Droit constitutionnel – Immigration – Travailleurs spécialisés étrangers – Admissibilité – Droit procédural – Directives – Certification de questions – Un juge de la Cour d’appel est-il compétent pour donner au greffe de la cour la directive de refuser d’emblée de délivrer un avis d’appel en l’absence de requête en cassation de cet appel? – L’alinéa 74</w:t>
            </w:r>
            <w:r w:rsidRPr="000137D5">
              <w:rPr>
                <w:i/>
                <w:color w:val="1F1F1F"/>
                <w:sz w:val="20"/>
                <w:lang w:val="fr-CA"/>
              </w:rPr>
              <w:t>d</w:t>
            </w:r>
            <w:r w:rsidRPr="000137D5">
              <w:rPr>
                <w:color w:val="1F1F1F"/>
                <w:sz w:val="20"/>
                <w:lang w:val="fr-CA"/>
              </w:rPr>
              <w:t xml:space="preserve">) de la </w:t>
            </w:r>
            <w:r w:rsidRPr="000137D5">
              <w:rPr>
                <w:i/>
                <w:color w:val="1F1F1F"/>
                <w:sz w:val="20"/>
                <w:lang w:val="fr-CA"/>
              </w:rPr>
              <w:t>Loi sur l’immigration et la protection des réfugiés</w:t>
            </w:r>
            <w:r w:rsidRPr="000137D5">
              <w:rPr>
                <w:sz w:val="20"/>
                <w:lang w:val="fr-CA"/>
              </w:rPr>
              <w:t>, L.C. 2001, c. 27,</w:t>
            </w:r>
            <w:r w:rsidRPr="000137D5">
              <w:rPr>
                <w:color w:val="1F1F1F"/>
                <w:sz w:val="20"/>
                <w:lang w:val="fr-CA"/>
              </w:rPr>
              <w:t xml:space="preserve"> </w:t>
            </w:r>
            <w:r w:rsidRPr="000137D5">
              <w:rPr>
                <w:color w:val="1F1F1F"/>
                <w:sz w:val="20"/>
                <w:lang w:val="fr-CA"/>
              </w:rPr>
              <w:lastRenderedPageBreak/>
              <w:t>est-il inconstitutionnel et inopérant dans son intégralité parce qu’il porte atteinte au droit de la demanderesse à une magistrature équitable et indépendante du fait que le juge même de la Cour fédérale qui a rejeté la demande de contrôle judiciaire doit certifier des questions? – L’alinéa 74d) est-il inconstitutionnel et inopérant dans l’éventualité où la certification des questions constitutionnelles s’impose pour ce qui est de la constitutionnalité d’une disposition de la Loi</w:t>
            </w:r>
            <w:r w:rsidRPr="000137D5">
              <w:rPr>
                <w:sz w:val="20"/>
                <w:lang w:val="fr-CA"/>
              </w:rPr>
              <w:t>?</w:t>
            </w:r>
          </w:p>
        </w:tc>
      </w:tr>
      <w:tr w:rsidR="000137D5" w:rsidRPr="000137D5" w:rsidTr="00E95A6A">
        <w:tc>
          <w:tcPr>
            <w:tcW w:w="5000" w:type="pct"/>
            <w:gridSpan w:val="4"/>
          </w:tcPr>
          <w:p w:rsidR="000137D5" w:rsidRPr="000137D5" w:rsidRDefault="000137D5" w:rsidP="000137D5">
            <w:pPr>
              <w:jc w:val="both"/>
              <w:rPr>
                <w:sz w:val="20"/>
                <w:lang w:val="fr-CA"/>
              </w:rPr>
            </w:pPr>
          </w:p>
        </w:tc>
      </w:tr>
      <w:tr w:rsidR="000137D5" w:rsidRPr="000137D5" w:rsidTr="00E95A6A">
        <w:tc>
          <w:tcPr>
            <w:tcW w:w="5000" w:type="pct"/>
            <w:gridSpan w:val="4"/>
          </w:tcPr>
          <w:p w:rsidR="000137D5" w:rsidRPr="000137D5" w:rsidRDefault="000137D5" w:rsidP="000137D5">
            <w:pPr>
              <w:jc w:val="both"/>
              <w:rPr>
                <w:sz w:val="20"/>
                <w:lang w:val="fr-CA"/>
              </w:rPr>
            </w:pPr>
            <w:r w:rsidRPr="000137D5">
              <w:rPr>
                <w:sz w:val="20"/>
                <w:lang w:val="fr-CA"/>
              </w:rPr>
              <w:t>En 2006, M</w:t>
            </w:r>
            <w:r w:rsidRPr="000137D5">
              <w:rPr>
                <w:sz w:val="20"/>
                <w:vertAlign w:val="superscript"/>
                <w:lang w:val="fr-CA"/>
              </w:rPr>
              <w:t>me</w:t>
            </w:r>
            <w:r w:rsidRPr="000137D5">
              <w:rPr>
                <w:sz w:val="20"/>
                <w:lang w:val="fr-CA"/>
              </w:rPr>
              <w:t xml:space="preserve"> Gong a présenté une demande de résidence permanente comme travailleuse spécialisée étrangère. En 2008, l’arriéré des demandes était considérable. Pour corriger la situation, on a apporté des modifications à la </w:t>
            </w:r>
            <w:r w:rsidRPr="000137D5">
              <w:rPr>
                <w:i/>
                <w:color w:val="1F1F1F"/>
                <w:sz w:val="20"/>
                <w:lang w:val="fr-CA"/>
              </w:rPr>
              <w:t>Loi sur l’immigration et la protection des réfugiés</w:t>
            </w:r>
            <w:r w:rsidRPr="000137D5">
              <w:rPr>
                <w:sz w:val="20"/>
                <w:lang w:val="fr-CA"/>
              </w:rPr>
              <w:t xml:space="preserve">, L.C. 2001, c. 27, et donné des instructions ministérielles sur l’admissibilité et le traitement. Un important groupe de travailleurs spécialisés étrangers demandeurs qui sont touchés par les changements se sont pourvus en contrôle judiciaire. Leur dossier a fait l’objet d’une gestion d’instance et ils ont adhéré à un protocole. Des jugements ont été rendus dans des instances introduites par des représentants. Madame Gong est la plaideuse principale d’un sous-groupe de demandeurs. Elle a non seulement demandé une ordonnance de </w:t>
            </w:r>
            <w:r w:rsidRPr="000137D5">
              <w:rPr>
                <w:i/>
                <w:sz w:val="20"/>
                <w:lang w:val="fr-CA"/>
              </w:rPr>
              <w:t>mandamus</w:t>
            </w:r>
            <w:r w:rsidRPr="000137D5">
              <w:rPr>
                <w:sz w:val="20"/>
                <w:lang w:val="fr-CA"/>
              </w:rPr>
              <w:t xml:space="preserve"> pour forcer le traitement de sa demande de visa, mais également soumis des questions à la Cour fédérale pour qu’elle les certifie en vue d’un appel. Selon l’al. 74</w:t>
            </w:r>
            <w:r w:rsidRPr="000137D5">
              <w:rPr>
                <w:i/>
                <w:sz w:val="20"/>
                <w:lang w:val="fr-CA"/>
              </w:rPr>
              <w:t>d</w:t>
            </w:r>
            <w:r w:rsidRPr="000137D5">
              <w:rPr>
                <w:sz w:val="20"/>
                <w:lang w:val="fr-CA"/>
              </w:rPr>
              <w:t xml:space="preserve">) de la </w:t>
            </w:r>
            <w:r w:rsidRPr="000137D5">
              <w:rPr>
                <w:i/>
                <w:sz w:val="20"/>
                <w:lang w:val="fr-CA"/>
              </w:rPr>
              <w:t>Loi sur l’immigration et la protection des réfugiés</w:t>
            </w:r>
            <w:r w:rsidRPr="000137D5">
              <w:rPr>
                <w:sz w:val="20"/>
                <w:lang w:val="fr-CA"/>
              </w:rPr>
              <w:t xml:space="preserve">, l’appel visant un contrôle judiciaire dans une affaire relevant de la Loi ne peut être interjeté que si le juge siégeant en contrôle certifie que l’affaire soulève une question grave de portée générale et s’il énonce la question. Le juge Russell a rejeté la demande de </w:t>
            </w:r>
            <w:r w:rsidRPr="000137D5">
              <w:rPr>
                <w:i/>
                <w:sz w:val="20"/>
                <w:lang w:val="fr-CA"/>
              </w:rPr>
              <w:t>mandamus</w:t>
            </w:r>
            <w:r w:rsidRPr="000137D5">
              <w:rPr>
                <w:sz w:val="20"/>
                <w:lang w:val="fr-CA"/>
              </w:rPr>
              <w:t xml:space="preserve"> et refusé de certifier des questions. Madame Gong a cherché à déposer un avis d’appel en Cour d’appel fédérale. Le juge Near a donné la directive suivante : « Le Greffe doit refuser que soit déposé l’avis d’appel de M</w:t>
            </w:r>
            <w:r w:rsidRPr="000137D5">
              <w:rPr>
                <w:sz w:val="20"/>
                <w:vertAlign w:val="superscript"/>
                <w:lang w:val="fr-CA"/>
              </w:rPr>
              <w:t>me</w:t>
            </w:r>
            <w:r w:rsidRPr="000137D5">
              <w:rPr>
                <w:sz w:val="20"/>
                <w:lang w:val="fr-CA"/>
              </w:rPr>
              <w:t> Gong, vu qu’aucune question de portée générale n’a été certifiée dans cette affaire d’immigration. » Le greffe n’a pas accepté l’avis d’appel de M</w:t>
            </w:r>
            <w:r w:rsidRPr="000137D5">
              <w:rPr>
                <w:sz w:val="20"/>
                <w:vertAlign w:val="superscript"/>
                <w:lang w:val="fr-CA"/>
              </w:rPr>
              <w:t>me </w:t>
            </w:r>
            <w:r w:rsidRPr="000137D5">
              <w:rPr>
                <w:sz w:val="20"/>
                <w:lang w:val="fr-CA"/>
              </w:rPr>
              <w:t>Gong.</w:t>
            </w:r>
          </w:p>
          <w:p w:rsidR="000137D5" w:rsidRPr="000137D5" w:rsidRDefault="000137D5" w:rsidP="000137D5">
            <w:pPr>
              <w:jc w:val="both"/>
              <w:rPr>
                <w:sz w:val="20"/>
                <w:lang w:val="fr-CA"/>
              </w:rPr>
            </w:pPr>
          </w:p>
        </w:tc>
      </w:tr>
      <w:tr w:rsidR="000137D5" w:rsidRPr="000137D5" w:rsidTr="00E95A6A">
        <w:tc>
          <w:tcPr>
            <w:tcW w:w="2427" w:type="pct"/>
            <w:gridSpan w:val="2"/>
          </w:tcPr>
          <w:p w:rsidR="000137D5" w:rsidRPr="000137D5" w:rsidRDefault="000137D5" w:rsidP="000137D5">
            <w:pPr>
              <w:jc w:val="both"/>
              <w:rPr>
                <w:sz w:val="20"/>
                <w:lang w:val="fr-CA"/>
              </w:rPr>
            </w:pPr>
            <w:r w:rsidRPr="000137D5">
              <w:rPr>
                <w:sz w:val="20"/>
                <w:lang w:val="fr-CA"/>
              </w:rPr>
              <w:t>29 février 2016</w:t>
            </w:r>
          </w:p>
          <w:p w:rsidR="000137D5" w:rsidRPr="000137D5" w:rsidRDefault="000137D5" w:rsidP="000137D5">
            <w:pPr>
              <w:jc w:val="both"/>
              <w:rPr>
                <w:sz w:val="20"/>
                <w:lang w:val="fr-CA"/>
              </w:rPr>
            </w:pPr>
            <w:r w:rsidRPr="000137D5">
              <w:rPr>
                <w:sz w:val="20"/>
                <w:lang w:val="fr-CA"/>
              </w:rPr>
              <w:t>Cour fédérale</w:t>
            </w:r>
          </w:p>
          <w:p w:rsidR="000137D5" w:rsidRPr="000137D5" w:rsidRDefault="000137D5" w:rsidP="000137D5">
            <w:pPr>
              <w:jc w:val="both"/>
              <w:rPr>
                <w:sz w:val="20"/>
                <w:lang w:val="fr-CA"/>
              </w:rPr>
            </w:pPr>
            <w:r w:rsidRPr="000137D5">
              <w:rPr>
                <w:sz w:val="20"/>
                <w:lang w:val="fr-CA"/>
              </w:rPr>
              <w:t>(Juge Russell)</w:t>
            </w:r>
          </w:p>
          <w:p w:rsidR="000137D5" w:rsidRPr="000137D5" w:rsidRDefault="00F52446" w:rsidP="000137D5">
            <w:pPr>
              <w:spacing w:after="120"/>
              <w:jc w:val="both"/>
              <w:rPr>
                <w:color w:val="0000FF" w:themeColor="hyperlink"/>
                <w:sz w:val="20"/>
                <w:u w:val="single"/>
              </w:rPr>
            </w:pPr>
            <w:hyperlink r:id="rId31" w:history="1">
              <w:r w:rsidR="000137D5" w:rsidRPr="000137D5">
                <w:rPr>
                  <w:rStyle w:val="Hyperlink"/>
                  <w:sz w:val="20"/>
                </w:rPr>
                <w:t>2016 CF 257</w:t>
              </w:r>
            </w:hyperlink>
          </w:p>
        </w:tc>
        <w:tc>
          <w:tcPr>
            <w:tcW w:w="243" w:type="pct"/>
          </w:tcPr>
          <w:p w:rsidR="000137D5" w:rsidRPr="000137D5" w:rsidRDefault="000137D5" w:rsidP="000137D5">
            <w:pPr>
              <w:jc w:val="both"/>
              <w:rPr>
                <w:sz w:val="20"/>
              </w:rPr>
            </w:pPr>
          </w:p>
        </w:tc>
        <w:tc>
          <w:tcPr>
            <w:tcW w:w="2330" w:type="pct"/>
          </w:tcPr>
          <w:p w:rsidR="000137D5" w:rsidRPr="000137D5" w:rsidRDefault="000137D5" w:rsidP="000137D5">
            <w:pPr>
              <w:jc w:val="both"/>
              <w:rPr>
                <w:sz w:val="20"/>
                <w:lang w:val="fr-CA"/>
              </w:rPr>
            </w:pPr>
            <w:r w:rsidRPr="000137D5">
              <w:rPr>
                <w:sz w:val="20"/>
                <w:lang w:val="fr-CA"/>
              </w:rPr>
              <w:t>Rejet de la demande; refus de certifier des questions</w:t>
            </w:r>
          </w:p>
          <w:p w:rsidR="000137D5" w:rsidRPr="000137D5" w:rsidRDefault="000137D5" w:rsidP="000137D5">
            <w:pPr>
              <w:jc w:val="both"/>
              <w:rPr>
                <w:sz w:val="20"/>
                <w:lang w:val="fr-CA"/>
              </w:rPr>
            </w:pPr>
          </w:p>
        </w:tc>
      </w:tr>
      <w:tr w:rsidR="000137D5" w:rsidRPr="000137D5" w:rsidTr="00E95A6A">
        <w:tc>
          <w:tcPr>
            <w:tcW w:w="2427" w:type="pct"/>
            <w:gridSpan w:val="2"/>
          </w:tcPr>
          <w:p w:rsidR="000137D5" w:rsidRPr="000137D5" w:rsidRDefault="000137D5" w:rsidP="000137D5">
            <w:pPr>
              <w:jc w:val="both"/>
              <w:rPr>
                <w:sz w:val="20"/>
                <w:lang w:val="fr-CA"/>
              </w:rPr>
            </w:pPr>
            <w:r w:rsidRPr="000137D5">
              <w:rPr>
                <w:sz w:val="20"/>
                <w:lang w:val="fr-CA"/>
              </w:rPr>
              <w:t>7 avril 2016</w:t>
            </w:r>
          </w:p>
          <w:p w:rsidR="000137D5" w:rsidRPr="000137D5" w:rsidRDefault="000137D5" w:rsidP="000137D5">
            <w:pPr>
              <w:jc w:val="both"/>
              <w:rPr>
                <w:sz w:val="20"/>
                <w:lang w:val="fr-CA"/>
              </w:rPr>
            </w:pPr>
            <w:r w:rsidRPr="000137D5">
              <w:rPr>
                <w:sz w:val="20"/>
                <w:lang w:val="fr-CA"/>
              </w:rPr>
              <w:t>Cour d’appel fédérale</w:t>
            </w:r>
          </w:p>
          <w:p w:rsidR="000137D5" w:rsidRPr="000137D5" w:rsidRDefault="000137D5" w:rsidP="000137D5">
            <w:pPr>
              <w:jc w:val="both"/>
              <w:rPr>
                <w:sz w:val="20"/>
                <w:lang w:val="fr-CA"/>
              </w:rPr>
            </w:pPr>
            <w:r w:rsidRPr="000137D5">
              <w:rPr>
                <w:sz w:val="20"/>
                <w:lang w:val="fr-CA"/>
              </w:rPr>
              <w:t>(Juge Near)</w:t>
            </w:r>
          </w:p>
          <w:p w:rsidR="000137D5" w:rsidRPr="000137D5" w:rsidRDefault="000137D5" w:rsidP="000137D5">
            <w:pPr>
              <w:spacing w:after="120"/>
              <w:jc w:val="both"/>
              <w:rPr>
                <w:sz w:val="20"/>
              </w:rPr>
            </w:pPr>
            <w:r w:rsidRPr="000137D5">
              <w:rPr>
                <w:sz w:val="20"/>
              </w:rPr>
              <w:t>(Non publiée)</w:t>
            </w:r>
          </w:p>
        </w:tc>
        <w:tc>
          <w:tcPr>
            <w:tcW w:w="243" w:type="pct"/>
          </w:tcPr>
          <w:p w:rsidR="000137D5" w:rsidRPr="000137D5" w:rsidRDefault="000137D5" w:rsidP="000137D5">
            <w:pPr>
              <w:jc w:val="both"/>
              <w:rPr>
                <w:sz w:val="20"/>
              </w:rPr>
            </w:pPr>
          </w:p>
        </w:tc>
        <w:tc>
          <w:tcPr>
            <w:tcW w:w="2330" w:type="pct"/>
          </w:tcPr>
          <w:p w:rsidR="000137D5" w:rsidRPr="000137D5" w:rsidRDefault="000137D5" w:rsidP="000137D5">
            <w:pPr>
              <w:jc w:val="both"/>
              <w:rPr>
                <w:sz w:val="20"/>
                <w:lang w:val="fr-CA"/>
              </w:rPr>
            </w:pPr>
            <w:r w:rsidRPr="000137D5">
              <w:rPr>
                <w:sz w:val="20"/>
                <w:lang w:val="fr-CA"/>
              </w:rPr>
              <w:t>Directive au greffe de refuser l’avis d’appel à déposer</w:t>
            </w:r>
          </w:p>
          <w:p w:rsidR="000137D5" w:rsidRPr="000137D5" w:rsidRDefault="000137D5" w:rsidP="000137D5">
            <w:pPr>
              <w:jc w:val="both"/>
              <w:rPr>
                <w:sz w:val="20"/>
                <w:lang w:val="fr-CA"/>
              </w:rPr>
            </w:pPr>
          </w:p>
        </w:tc>
      </w:tr>
      <w:tr w:rsidR="000137D5" w:rsidRPr="000137D5" w:rsidTr="00E95A6A">
        <w:tc>
          <w:tcPr>
            <w:tcW w:w="2427" w:type="pct"/>
            <w:gridSpan w:val="2"/>
          </w:tcPr>
          <w:p w:rsidR="000137D5" w:rsidRPr="000137D5" w:rsidRDefault="000137D5" w:rsidP="000137D5">
            <w:pPr>
              <w:jc w:val="both"/>
              <w:rPr>
                <w:sz w:val="20"/>
              </w:rPr>
            </w:pPr>
            <w:r w:rsidRPr="000137D5">
              <w:rPr>
                <w:sz w:val="20"/>
              </w:rPr>
              <w:t xml:space="preserve">2 </w:t>
            </w:r>
            <w:proofErr w:type="spellStart"/>
            <w:r w:rsidRPr="000137D5">
              <w:rPr>
                <w:sz w:val="20"/>
              </w:rPr>
              <w:t>juin</w:t>
            </w:r>
            <w:proofErr w:type="spellEnd"/>
            <w:r w:rsidRPr="000137D5">
              <w:rPr>
                <w:sz w:val="20"/>
              </w:rPr>
              <w:t xml:space="preserve"> 2016</w:t>
            </w:r>
          </w:p>
          <w:p w:rsidR="000137D5" w:rsidRPr="000137D5" w:rsidRDefault="000137D5" w:rsidP="000137D5">
            <w:pPr>
              <w:jc w:val="both"/>
              <w:rPr>
                <w:sz w:val="20"/>
              </w:rPr>
            </w:pPr>
            <w:proofErr w:type="spellStart"/>
            <w:r w:rsidRPr="000137D5">
              <w:rPr>
                <w:sz w:val="20"/>
              </w:rPr>
              <w:t>Cour</w:t>
            </w:r>
            <w:proofErr w:type="spellEnd"/>
            <w:r w:rsidRPr="000137D5">
              <w:rPr>
                <w:sz w:val="20"/>
              </w:rPr>
              <w:t xml:space="preserve"> </w:t>
            </w:r>
            <w:proofErr w:type="spellStart"/>
            <w:r w:rsidRPr="000137D5">
              <w:rPr>
                <w:sz w:val="20"/>
              </w:rPr>
              <w:t>suprême</w:t>
            </w:r>
            <w:proofErr w:type="spellEnd"/>
            <w:r w:rsidRPr="000137D5">
              <w:rPr>
                <w:sz w:val="20"/>
              </w:rPr>
              <w:t xml:space="preserve"> du Canada</w:t>
            </w:r>
          </w:p>
        </w:tc>
        <w:tc>
          <w:tcPr>
            <w:tcW w:w="243" w:type="pct"/>
          </w:tcPr>
          <w:p w:rsidR="000137D5" w:rsidRPr="000137D5" w:rsidRDefault="000137D5" w:rsidP="000137D5">
            <w:pPr>
              <w:jc w:val="both"/>
              <w:rPr>
                <w:sz w:val="20"/>
              </w:rPr>
            </w:pPr>
          </w:p>
        </w:tc>
        <w:tc>
          <w:tcPr>
            <w:tcW w:w="2330" w:type="pct"/>
          </w:tcPr>
          <w:p w:rsidR="000137D5" w:rsidRPr="000137D5" w:rsidRDefault="000137D5" w:rsidP="000137D5">
            <w:pPr>
              <w:jc w:val="both"/>
              <w:rPr>
                <w:sz w:val="20"/>
                <w:lang w:val="fr-CA"/>
              </w:rPr>
            </w:pPr>
            <w:r w:rsidRPr="000137D5">
              <w:rPr>
                <w:sz w:val="20"/>
                <w:lang w:val="fr-CA"/>
              </w:rPr>
              <w:t>Dépôt de la demande d’autorisation d’appel</w:t>
            </w:r>
          </w:p>
        </w:tc>
      </w:tr>
    </w:tbl>
    <w:p w:rsidR="000137D5" w:rsidRPr="00E30D6D" w:rsidRDefault="000137D5" w:rsidP="00E30D6D">
      <w:pPr>
        <w:jc w:val="both"/>
        <w:rPr>
          <w:sz w:val="20"/>
          <w:lang w:val="fr-CA"/>
        </w:rPr>
      </w:pPr>
    </w:p>
    <w:p w:rsidR="00EF3C03" w:rsidRPr="00E30D6D" w:rsidRDefault="00EF3C03" w:rsidP="00E30D6D">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0D6D" w:rsidRPr="00E30D6D" w:rsidTr="00E95A6A">
        <w:tc>
          <w:tcPr>
            <w:tcW w:w="543" w:type="pct"/>
          </w:tcPr>
          <w:p w:rsidR="00E30D6D" w:rsidRPr="00E30D6D" w:rsidRDefault="00E30D6D" w:rsidP="00E30D6D">
            <w:pPr>
              <w:jc w:val="both"/>
              <w:rPr>
                <w:sz w:val="20"/>
              </w:rPr>
            </w:pPr>
            <w:r w:rsidRPr="00E30D6D">
              <w:rPr>
                <w:rStyle w:val="SCCFileNumberChar"/>
                <w:sz w:val="20"/>
                <w:szCs w:val="20"/>
              </w:rPr>
              <w:t>37103</w:t>
            </w:r>
          </w:p>
        </w:tc>
        <w:tc>
          <w:tcPr>
            <w:tcW w:w="4457" w:type="pct"/>
            <w:gridSpan w:val="3"/>
          </w:tcPr>
          <w:p w:rsidR="00E30D6D" w:rsidRPr="00E30D6D" w:rsidRDefault="00E30D6D" w:rsidP="00E30D6D">
            <w:pPr>
              <w:pStyle w:val="SCCLsocParty"/>
              <w:jc w:val="both"/>
              <w:rPr>
                <w:b/>
                <w:sz w:val="20"/>
                <w:szCs w:val="20"/>
              </w:rPr>
            </w:pPr>
            <w:r w:rsidRPr="00E30D6D">
              <w:rPr>
                <w:b/>
                <w:sz w:val="20"/>
                <w:szCs w:val="20"/>
              </w:rPr>
              <w:t>Curtis James Haas v. Her Majesty the Queen</w:t>
            </w:r>
          </w:p>
          <w:p w:rsidR="00E30D6D" w:rsidRPr="00E30D6D" w:rsidRDefault="00E30D6D" w:rsidP="00E30D6D">
            <w:pPr>
              <w:jc w:val="both"/>
              <w:rPr>
                <w:sz w:val="20"/>
              </w:rPr>
            </w:pPr>
            <w:r w:rsidRPr="00E30D6D">
              <w:rPr>
                <w:sz w:val="20"/>
              </w:rPr>
              <w:t>(Man.) (Criminal) (By Leave)</w:t>
            </w:r>
          </w:p>
        </w:tc>
      </w:tr>
      <w:tr w:rsidR="00E30D6D" w:rsidRPr="00E30D6D" w:rsidTr="00E95A6A">
        <w:tc>
          <w:tcPr>
            <w:tcW w:w="5000" w:type="pct"/>
            <w:gridSpan w:val="4"/>
          </w:tcPr>
          <w:p w:rsidR="00E30D6D" w:rsidRPr="00E30D6D" w:rsidRDefault="00E30D6D" w:rsidP="00E30D6D">
            <w:pPr>
              <w:jc w:val="both"/>
              <w:rPr>
                <w:sz w:val="20"/>
              </w:rPr>
            </w:pPr>
            <w:r w:rsidRPr="00E30D6D">
              <w:rPr>
                <w:sz w:val="20"/>
              </w:rPr>
              <w:t>Criminal law – Manslaughter – Intervening act – Whether the Manitoba Court of Appeal erred in finding that the voluntary consumption of a controlled substance by a competent adult does not constitute an intervening act that breaks the chain of causation in unlawful act manslaughter.</w:t>
            </w:r>
          </w:p>
        </w:tc>
      </w:tr>
      <w:tr w:rsidR="00E30D6D" w:rsidRPr="00E30D6D" w:rsidTr="00E95A6A">
        <w:tc>
          <w:tcPr>
            <w:tcW w:w="5000" w:type="pct"/>
            <w:gridSpan w:val="4"/>
          </w:tcPr>
          <w:p w:rsidR="00E30D6D" w:rsidRPr="00E30D6D" w:rsidRDefault="00E30D6D" w:rsidP="00E30D6D">
            <w:pPr>
              <w:jc w:val="both"/>
              <w:rPr>
                <w:sz w:val="20"/>
              </w:rPr>
            </w:pPr>
          </w:p>
        </w:tc>
      </w:tr>
      <w:tr w:rsidR="00E30D6D" w:rsidRPr="00E30D6D" w:rsidTr="00E95A6A">
        <w:tc>
          <w:tcPr>
            <w:tcW w:w="5000" w:type="pct"/>
            <w:gridSpan w:val="4"/>
          </w:tcPr>
          <w:p w:rsidR="00E30D6D" w:rsidRPr="00E30D6D" w:rsidRDefault="00E30D6D" w:rsidP="00E30D6D">
            <w:pPr>
              <w:jc w:val="both"/>
              <w:rPr>
                <w:sz w:val="20"/>
              </w:rPr>
            </w:pPr>
            <w:r w:rsidRPr="00E30D6D">
              <w:rPr>
                <w:sz w:val="20"/>
              </w:rPr>
              <w:t>The Applicant, Mr. Haas, brought a woman, H to his apartment where he had a supply of street morphine. H took some of Mr. Haas’ morphine pills. Mr. Haas later noticed that H was not breathing and called 911. H was rushed to hospital but died from a morphine overdose. The trial judge found that H had consumed at least 16 morphine pills. Mr. Haas was convicted of unlawful act manslaughter. Mr. Haas appealed arguing that the trial judge erred in determining that the element of causation had been established, submitting that voluntary consumption of morphine pills by H was an intervening act that broke the chain of causation. The appeal was dismissed.</w:t>
            </w:r>
          </w:p>
          <w:p w:rsidR="00E30D6D" w:rsidRPr="00E30D6D" w:rsidRDefault="00E30D6D" w:rsidP="00E30D6D">
            <w:pPr>
              <w:jc w:val="both"/>
              <w:rPr>
                <w:sz w:val="20"/>
              </w:rPr>
            </w:pPr>
          </w:p>
        </w:tc>
      </w:tr>
      <w:tr w:rsidR="00E30D6D" w:rsidRPr="00E30D6D" w:rsidTr="00E95A6A">
        <w:tc>
          <w:tcPr>
            <w:tcW w:w="2427" w:type="pct"/>
            <w:gridSpan w:val="2"/>
          </w:tcPr>
          <w:p w:rsidR="00E30D6D" w:rsidRPr="00E30D6D" w:rsidRDefault="00E30D6D" w:rsidP="00E30D6D">
            <w:pPr>
              <w:jc w:val="both"/>
              <w:rPr>
                <w:sz w:val="20"/>
              </w:rPr>
            </w:pPr>
            <w:r w:rsidRPr="00E30D6D">
              <w:rPr>
                <w:sz w:val="20"/>
              </w:rPr>
              <w:t>May 15, 2015</w:t>
            </w:r>
          </w:p>
          <w:p w:rsidR="00E30D6D" w:rsidRPr="00E30D6D" w:rsidRDefault="00E30D6D" w:rsidP="00E30D6D">
            <w:pPr>
              <w:jc w:val="both"/>
              <w:rPr>
                <w:sz w:val="20"/>
              </w:rPr>
            </w:pPr>
            <w:r w:rsidRPr="00E30D6D">
              <w:rPr>
                <w:sz w:val="20"/>
              </w:rPr>
              <w:t>Court of Queen’s Bench of Manitoba</w:t>
            </w:r>
          </w:p>
          <w:p w:rsidR="00E30D6D" w:rsidRPr="00E30D6D" w:rsidRDefault="00E30D6D" w:rsidP="00E30D6D">
            <w:pPr>
              <w:jc w:val="both"/>
              <w:rPr>
                <w:sz w:val="20"/>
              </w:rPr>
            </w:pPr>
            <w:r w:rsidRPr="00E30D6D">
              <w:rPr>
                <w:sz w:val="20"/>
              </w:rPr>
              <w:t>(</w:t>
            </w:r>
            <w:proofErr w:type="spellStart"/>
            <w:r w:rsidRPr="00E30D6D">
              <w:rPr>
                <w:sz w:val="20"/>
              </w:rPr>
              <w:t>Chartier</w:t>
            </w:r>
            <w:proofErr w:type="spellEnd"/>
            <w:r w:rsidRPr="00E30D6D">
              <w:rPr>
                <w:sz w:val="20"/>
              </w:rPr>
              <w:t xml:space="preserve"> J.)</w:t>
            </w:r>
          </w:p>
          <w:p w:rsidR="00E30D6D" w:rsidRPr="00E30D6D" w:rsidRDefault="00F52446" w:rsidP="00E30D6D">
            <w:pPr>
              <w:jc w:val="both"/>
              <w:rPr>
                <w:sz w:val="20"/>
              </w:rPr>
            </w:pPr>
            <w:hyperlink r:id="rId32" w:history="1">
              <w:r w:rsidR="00E30D6D" w:rsidRPr="00E30D6D">
                <w:rPr>
                  <w:rStyle w:val="Hyperlink"/>
                  <w:sz w:val="20"/>
                </w:rPr>
                <w:t>2014 MBQB 99</w:t>
              </w:r>
            </w:hyperlink>
            <w:r w:rsidR="00E30D6D" w:rsidRPr="00E30D6D">
              <w:rPr>
                <w:sz w:val="20"/>
              </w:rPr>
              <w:t xml:space="preserve">; CR 11-01-31100 </w:t>
            </w:r>
          </w:p>
          <w:p w:rsidR="00E30D6D" w:rsidRPr="00E30D6D" w:rsidRDefault="00E30D6D" w:rsidP="00E30D6D">
            <w:pPr>
              <w:jc w:val="both"/>
              <w:rPr>
                <w:sz w:val="20"/>
              </w:rPr>
            </w:pPr>
          </w:p>
        </w:tc>
        <w:tc>
          <w:tcPr>
            <w:tcW w:w="243" w:type="pct"/>
          </w:tcPr>
          <w:p w:rsidR="00E30D6D" w:rsidRPr="00E30D6D" w:rsidRDefault="00E30D6D" w:rsidP="00E30D6D">
            <w:pPr>
              <w:jc w:val="both"/>
              <w:rPr>
                <w:sz w:val="20"/>
              </w:rPr>
            </w:pPr>
          </w:p>
        </w:tc>
        <w:tc>
          <w:tcPr>
            <w:tcW w:w="2330" w:type="pct"/>
          </w:tcPr>
          <w:p w:rsidR="00E30D6D" w:rsidRPr="00E30D6D" w:rsidRDefault="00E30D6D" w:rsidP="00E30D6D">
            <w:pPr>
              <w:jc w:val="both"/>
              <w:rPr>
                <w:sz w:val="20"/>
              </w:rPr>
            </w:pPr>
            <w:r w:rsidRPr="00E30D6D">
              <w:rPr>
                <w:sz w:val="20"/>
              </w:rPr>
              <w:t>Applicant convicted of unlawful act manslaughter</w:t>
            </w:r>
          </w:p>
          <w:p w:rsidR="00E30D6D" w:rsidRPr="00E30D6D" w:rsidRDefault="00E30D6D" w:rsidP="00E30D6D">
            <w:pPr>
              <w:jc w:val="both"/>
              <w:rPr>
                <w:sz w:val="20"/>
              </w:rPr>
            </w:pPr>
          </w:p>
        </w:tc>
      </w:tr>
      <w:tr w:rsidR="00E30D6D" w:rsidRPr="00E30D6D" w:rsidTr="00E95A6A">
        <w:tc>
          <w:tcPr>
            <w:tcW w:w="2427" w:type="pct"/>
            <w:gridSpan w:val="2"/>
          </w:tcPr>
          <w:p w:rsidR="00E30D6D" w:rsidRPr="00E30D6D" w:rsidRDefault="00E30D6D" w:rsidP="00E30D6D">
            <w:pPr>
              <w:jc w:val="both"/>
              <w:rPr>
                <w:sz w:val="20"/>
              </w:rPr>
            </w:pPr>
            <w:r w:rsidRPr="00E30D6D">
              <w:rPr>
                <w:sz w:val="20"/>
              </w:rPr>
              <w:t>April 28, 2016</w:t>
            </w:r>
          </w:p>
          <w:p w:rsidR="00E30D6D" w:rsidRPr="00E30D6D" w:rsidRDefault="00E30D6D" w:rsidP="00E30D6D">
            <w:pPr>
              <w:jc w:val="both"/>
              <w:rPr>
                <w:sz w:val="20"/>
              </w:rPr>
            </w:pPr>
            <w:r w:rsidRPr="00E30D6D">
              <w:rPr>
                <w:sz w:val="20"/>
              </w:rPr>
              <w:t>Court of Appeal of Manitoba</w:t>
            </w:r>
          </w:p>
          <w:p w:rsidR="00E30D6D" w:rsidRPr="00E30D6D" w:rsidRDefault="00E30D6D" w:rsidP="00E30D6D">
            <w:pPr>
              <w:jc w:val="both"/>
              <w:rPr>
                <w:sz w:val="20"/>
              </w:rPr>
            </w:pPr>
            <w:r w:rsidRPr="00E30D6D">
              <w:rPr>
                <w:sz w:val="20"/>
              </w:rPr>
              <w:t xml:space="preserve">(Steel, Hamilton and </w:t>
            </w:r>
            <w:proofErr w:type="spellStart"/>
            <w:r w:rsidRPr="00E30D6D">
              <w:rPr>
                <w:sz w:val="20"/>
              </w:rPr>
              <w:t>Pfuetzner</w:t>
            </w:r>
            <w:proofErr w:type="spellEnd"/>
            <w:r w:rsidRPr="00E30D6D">
              <w:rPr>
                <w:sz w:val="20"/>
              </w:rPr>
              <w:t xml:space="preserve"> JJ.A.)</w:t>
            </w:r>
          </w:p>
          <w:p w:rsidR="00E30D6D" w:rsidRPr="00E30D6D" w:rsidRDefault="00F52446" w:rsidP="00E30D6D">
            <w:pPr>
              <w:jc w:val="both"/>
              <w:rPr>
                <w:sz w:val="20"/>
              </w:rPr>
            </w:pPr>
            <w:hyperlink r:id="rId33" w:history="1">
              <w:r w:rsidR="00E30D6D" w:rsidRPr="00E30D6D">
                <w:rPr>
                  <w:rStyle w:val="Hyperlink"/>
                  <w:sz w:val="20"/>
                </w:rPr>
                <w:t>2016 MBCA 42</w:t>
              </w:r>
            </w:hyperlink>
            <w:r w:rsidR="00E30D6D" w:rsidRPr="00E30D6D">
              <w:rPr>
                <w:sz w:val="20"/>
              </w:rPr>
              <w:t>; AR15-30-08354</w:t>
            </w:r>
          </w:p>
          <w:p w:rsidR="00E30D6D" w:rsidRPr="00E30D6D" w:rsidRDefault="00E30D6D" w:rsidP="00E30D6D">
            <w:pPr>
              <w:jc w:val="both"/>
              <w:rPr>
                <w:sz w:val="20"/>
              </w:rPr>
            </w:pPr>
          </w:p>
        </w:tc>
        <w:tc>
          <w:tcPr>
            <w:tcW w:w="243" w:type="pct"/>
          </w:tcPr>
          <w:p w:rsidR="00E30D6D" w:rsidRPr="00E30D6D" w:rsidRDefault="00E30D6D" w:rsidP="00E30D6D">
            <w:pPr>
              <w:jc w:val="both"/>
              <w:rPr>
                <w:sz w:val="20"/>
              </w:rPr>
            </w:pPr>
          </w:p>
        </w:tc>
        <w:tc>
          <w:tcPr>
            <w:tcW w:w="2330" w:type="pct"/>
          </w:tcPr>
          <w:p w:rsidR="00E30D6D" w:rsidRPr="00E30D6D" w:rsidRDefault="00E30D6D" w:rsidP="00E30D6D">
            <w:pPr>
              <w:jc w:val="both"/>
              <w:rPr>
                <w:sz w:val="20"/>
              </w:rPr>
            </w:pPr>
            <w:r w:rsidRPr="00E30D6D">
              <w:rPr>
                <w:sz w:val="20"/>
              </w:rPr>
              <w:t>Appeal dismissed</w:t>
            </w:r>
          </w:p>
          <w:p w:rsidR="00E30D6D" w:rsidRPr="00E30D6D" w:rsidRDefault="00E30D6D" w:rsidP="00E30D6D">
            <w:pPr>
              <w:jc w:val="both"/>
              <w:rPr>
                <w:sz w:val="20"/>
              </w:rPr>
            </w:pPr>
          </w:p>
        </w:tc>
      </w:tr>
      <w:tr w:rsidR="00E30D6D" w:rsidRPr="00E30D6D" w:rsidTr="00E95A6A">
        <w:tc>
          <w:tcPr>
            <w:tcW w:w="2427" w:type="pct"/>
            <w:gridSpan w:val="2"/>
          </w:tcPr>
          <w:p w:rsidR="00E30D6D" w:rsidRPr="00E30D6D" w:rsidRDefault="00E30D6D" w:rsidP="00E30D6D">
            <w:pPr>
              <w:jc w:val="both"/>
              <w:rPr>
                <w:sz w:val="20"/>
              </w:rPr>
            </w:pPr>
            <w:r w:rsidRPr="00E30D6D">
              <w:rPr>
                <w:sz w:val="20"/>
              </w:rPr>
              <w:t>July 20, 2016</w:t>
            </w:r>
          </w:p>
          <w:p w:rsidR="00E30D6D" w:rsidRPr="00E30D6D" w:rsidRDefault="00E30D6D" w:rsidP="00E30D6D">
            <w:pPr>
              <w:jc w:val="both"/>
              <w:rPr>
                <w:sz w:val="20"/>
              </w:rPr>
            </w:pPr>
            <w:r w:rsidRPr="00E30D6D">
              <w:rPr>
                <w:sz w:val="20"/>
              </w:rPr>
              <w:t>Supreme Court of Canada</w:t>
            </w:r>
          </w:p>
        </w:tc>
        <w:tc>
          <w:tcPr>
            <w:tcW w:w="243" w:type="pct"/>
          </w:tcPr>
          <w:p w:rsidR="00E30D6D" w:rsidRPr="00E30D6D" w:rsidRDefault="00E30D6D" w:rsidP="00E30D6D">
            <w:pPr>
              <w:jc w:val="both"/>
              <w:rPr>
                <w:sz w:val="20"/>
              </w:rPr>
            </w:pPr>
          </w:p>
        </w:tc>
        <w:tc>
          <w:tcPr>
            <w:tcW w:w="2330" w:type="pct"/>
          </w:tcPr>
          <w:p w:rsidR="00E30D6D" w:rsidRPr="00E30D6D" w:rsidRDefault="00E30D6D" w:rsidP="00E30D6D">
            <w:pPr>
              <w:jc w:val="both"/>
              <w:rPr>
                <w:sz w:val="20"/>
              </w:rPr>
            </w:pPr>
            <w:r w:rsidRPr="00E30D6D">
              <w:rPr>
                <w:sz w:val="20"/>
              </w:rPr>
              <w:t>Motion for extension of time to serve and file application for leave to appeal and Application for leave to appeal filed</w:t>
            </w:r>
          </w:p>
        </w:tc>
      </w:tr>
    </w:tbl>
    <w:p w:rsidR="00E30D6D" w:rsidRDefault="00E30D6D" w:rsidP="00E30D6D">
      <w:pPr>
        <w:jc w:val="both"/>
        <w:rPr>
          <w:sz w:val="20"/>
        </w:rPr>
      </w:pPr>
    </w:p>
    <w:p w:rsidR="00E30D6D" w:rsidRPr="00E30D6D" w:rsidRDefault="00E30D6D" w:rsidP="00E30D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0D6D" w:rsidRPr="00E30D6D" w:rsidTr="00E95A6A">
        <w:tc>
          <w:tcPr>
            <w:tcW w:w="543" w:type="pct"/>
          </w:tcPr>
          <w:p w:rsidR="00E30D6D" w:rsidRPr="00E30D6D" w:rsidRDefault="00E30D6D" w:rsidP="00E30D6D">
            <w:pPr>
              <w:jc w:val="both"/>
              <w:rPr>
                <w:sz w:val="20"/>
                <w:lang w:val="fr-CA"/>
              </w:rPr>
            </w:pPr>
            <w:r w:rsidRPr="00E30D6D">
              <w:rPr>
                <w:rStyle w:val="SCCFileNumberChar"/>
                <w:sz w:val="20"/>
                <w:szCs w:val="20"/>
                <w:lang w:val="fr-CA"/>
              </w:rPr>
              <w:t>37103</w:t>
            </w:r>
          </w:p>
        </w:tc>
        <w:tc>
          <w:tcPr>
            <w:tcW w:w="4457" w:type="pct"/>
            <w:gridSpan w:val="3"/>
          </w:tcPr>
          <w:p w:rsidR="00E30D6D" w:rsidRPr="00E30D6D" w:rsidRDefault="00E30D6D" w:rsidP="00E30D6D">
            <w:pPr>
              <w:pStyle w:val="SCCLsocParty"/>
              <w:jc w:val="both"/>
              <w:rPr>
                <w:b/>
                <w:sz w:val="20"/>
                <w:szCs w:val="20"/>
              </w:rPr>
            </w:pPr>
            <w:r w:rsidRPr="00E30D6D">
              <w:rPr>
                <w:b/>
                <w:sz w:val="20"/>
                <w:szCs w:val="20"/>
              </w:rPr>
              <w:t>Curtis James Haas c. Sa Majesté la Reine</w:t>
            </w:r>
          </w:p>
          <w:p w:rsidR="00E30D6D" w:rsidRPr="00E30D6D" w:rsidRDefault="00E30D6D" w:rsidP="00E30D6D">
            <w:pPr>
              <w:jc w:val="both"/>
              <w:rPr>
                <w:sz w:val="20"/>
                <w:lang w:val="fr-CA"/>
              </w:rPr>
            </w:pPr>
            <w:r w:rsidRPr="00E30D6D">
              <w:rPr>
                <w:sz w:val="20"/>
                <w:lang w:val="fr-CA"/>
              </w:rPr>
              <w:t>(Man.) (Criminelle) (Sur autorisation)</w:t>
            </w:r>
          </w:p>
        </w:tc>
      </w:tr>
      <w:tr w:rsidR="00E30D6D" w:rsidRPr="00E30D6D" w:rsidTr="00E95A6A">
        <w:tc>
          <w:tcPr>
            <w:tcW w:w="5000" w:type="pct"/>
            <w:gridSpan w:val="4"/>
          </w:tcPr>
          <w:p w:rsidR="00E30D6D" w:rsidRPr="00E30D6D" w:rsidRDefault="00E30D6D" w:rsidP="00E30D6D">
            <w:pPr>
              <w:jc w:val="both"/>
              <w:rPr>
                <w:sz w:val="20"/>
                <w:lang w:val="fr-CA"/>
              </w:rPr>
            </w:pPr>
            <w:r w:rsidRPr="00E30D6D">
              <w:rPr>
                <w:sz w:val="20"/>
                <w:lang w:val="fr-CA"/>
              </w:rPr>
              <w:t>Droit criminel – Homicide involontaire coupable – Acte intermédiaire – La Cour d’appel du Manitoba a-t-elle eu tort de conclure que la consommation volontaire d’une substance réglementée par un adulte capable ne constitue pas un acte intermédiaire qui rompt le lien de causalité dans un cas d’homicide involontaire coupable résultant d’un acte illégal?</w:t>
            </w:r>
          </w:p>
        </w:tc>
      </w:tr>
      <w:tr w:rsidR="00E30D6D" w:rsidRPr="00E30D6D" w:rsidTr="00E95A6A">
        <w:tc>
          <w:tcPr>
            <w:tcW w:w="5000" w:type="pct"/>
            <w:gridSpan w:val="4"/>
          </w:tcPr>
          <w:p w:rsidR="00E30D6D" w:rsidRPr="00E30D6D" w:rsidRDefault="00E30D6D" w:rsidP="00E30D6D">
            <w:pPr>
              <w:jc w:val="both"/>
              <w:rPr>
                <w:sz w:val="20"/>
                <w:lang w:val="fr-CA"/>
              </w:rPr>
            </w:pPr>
          </w:p>
        </w:tc>
      </w:tr>
      <w:tr w:rsidR="00E30D6D" w:rsidRPr="00E30D6D" w:rsidTr="00E95A6A">
        <w:tc>
          <w:tcPr>
            <w:tcW w:w="5000" w:type="pct"/>
            <w:gridSpan w:val="4"/>
          </w:tcPr>
          <w:p w:rsidR="00E30D6D" w:rsidRPr="00E30D6D" w:rsidRDefault="00E30D6D" w:rsidP="00E30D6D">
            <w:pPr>
              <w:jc w:val="both"/>
              <w:rPr>
                <w:sz w:val="20"/>
                <w:lang w:val="fr-CA"/>
              </w:rPr>
            </w:pPr>
            <w:r w:rsidRPr="00E30D6D">
              <w:rPr>
                <w:sz w:val="20"/>
                <w:lang w:val="fr-CA"/>
              </w:rPr>
              <w:t>Le demandeur, M. Haas, a amené une femme, H, à son apparte</w:t>
            </w:r>
            <w:r w:rsidR="00F52446">
              <w:rPr>
                <w:sz w:val="20"/>
                <w:lang w:val="fr-CA"/>
              </w:rPr>
              <w:t>me</w:t>
            </w:r>
            <w:bookmarkStart w:id="0" w:name="_GoBack"/>
            <w:bookmarkEnd w:id="0"/>
            <w:r w:rsidRPr="00E30D6D">
              <w:rPr>
                <w:sz w:val="20"/>
                <w:lang w:val="fr-CA"/>
              </w:rPr>
              <w:t>nt où il gardait de la morphine de rue. H a consommé des pilules de morphine de M. Haas. Plus tard, M. Haas a remarqué que H avait cessé de respirer et il a composé le 911. H a été hospitalisée d’urgence, mais elle est décédée d’une surdose de morphine. Le juge du procès a conclu que H avait consommé au moins seize pilules de morphine. Monsieur Haas a été déclaré coupable d’homicide involontaire coupable résultant d’un acte illégal. Monsieur Haas a interjeté appel, plaidant que le juge du procès s’était trompé en concluant que l’élément de causalité avait été établi, faisant valoir que la consommation volontaire des pilules de morphine par H avait rompu le lien de causalité. L’appel a été rejeté.</w:t>
            </w:r>
          </w:p>
          <w:p w:rsidR="00E30D6D" w:rsidRPr="00E30D6D" w:rsidRDefault="00E30D6D" w:rsidP="00E30D6D">
            <w:pPr>
              <w:jc w:val="both"/>
              <w:rPr>
                <w:sz w:val="20"/>
                <w:lang w:val="fr-CA"/>
              </w:rPr>
            </w:pPr>
          </w:p>
        </w:tc>
      </w:tr>
      <w:tr w:rsidR="00E30D6D" w:rsidRPr="00E30D6D" w:rsidTr="00E95A6A">
        <w:tc>
          <w:tcPr>
            <w:tcW w:w="2427" w:type="pct"/>
            <w:gridSpan w:val="2"/>
          </w:tcPr>
          <w:p w:rsidR="00E30D6D" w:rsidRPr="00E30D6D" w:rsidRDefault="00E30D6D" w:rsidP="00E30D6D">
            <w:pPr>
              <w:jc w:val="both"/>
              <w:rPr>
                <w:sz w:val="20"/>
                <w:lang w:val="fr-CA"/>
              </w:rPr>
            </w:pPr>
            <w:r w:rsidRPr="00E30D6D">
              <w:rPr>
                <w:sz w:val="20"/>
                <w:lang w:val="fr-CA"/>
              </w:rPr>
              <w:t>15 mai 2015</w:t>
            </w:r>
          </w:p>
          <w:p w:rsidR="00E30D6D" w:rsidRPr="00E30D6D" w:rsidRDefault="00E30D6D" w:rsidP="00E30D6D">
            <w:pPr>
              <w:jc w:val="both"/>
              <w:rPr>
                <w:sz w:val="20"/>
                <w:lang w:val="fr-CA"/>
              </w:rPr>
            </w:pPr>
            <w:r w:rsidRPr="00E30D6D">
              <w:rPr>
                <w:sz w:val="20"/>
                <w:lang w:val="fr-CA"/>
              </w:rPr>
              <w:t>Cour du Banc de la Reine du Manitoba</w:t>
            </w:r>
          </w:p>
          <w:p w:rsidR="00E30D6D" w:rsidRPr="00E30D6D" w:rsidRDefault="00E30D6D" w:rsidP="00E30D6D">
            <w:pPr>
              <w:jc w:val="both"/>
              <w:rPr>
                <w:sz w:val="20"/>
                <w:lang w:val="fr-CA"/>
              </w:rPr>
            </w:pPr>
            <w:r w:rsidRPr="00E30D6D">
              <w:rPr>
                <w:sz w:val="20"/>
                <w:lang w:val="fr-CA"/>
              </w:rPr>
              <w:t>(Juge Chartier)</w:t>
            </w:r>
          </w:p>
          <w:p w:rsidR="00E30D6D" w:rsidRPr="00E30D6D" w:rsidRDefault="00F52446" w:rsidP="00E30D6D">
            <w:pPr>
              <w:jc w:val="both"/>
              <w:rPr>
                <w:sz w:val="20"/>
                <w:lang w:val="fr-CA"/>
              </w:rPr>
            </w:pPr>
            <w:hyperlink r:id="rId34" w:history="1">
              <w:r w:rsidR="00E30D6D" w:rsidRPr="00E30D6D">
                <w:rPr>
                  <w:rStyle w:val="Hyperlink"/>
                  <w:sz w:val="20"/>
                  <w:lang w:val="fr-CA"/>
                </w:rPr>
                <w:t>2014 MBQB 99</w:t>
              </w:r>
            </w:hyperlink>
            <w:r w:rsidR="00E30D6D" w:rsidRPr="00E30D6D">
              <w:rPr>
                <w:sz w:val="20"/>
                <w:lang w:val="fr-CA"/>
              </w:rPr>
              <w:t xml:space="preserve">; CR 11-01-31100 </w:t>
            </w:r>
          </w:p>
          <w:p w:rsidR="00E30D6D" w:rsidRPr="00E30D6D" w:rsidRDefault="00E30D6D" w:rsidP="00E30D6D">
            <w:pPr>
              <w:jc w:val="both"/>
              <w:rPr>
                <w:sz w:val="20"/>
                <w:lang w:val="fr-CA"/>
              </w:rPr>
            </w:pPr>
          </w:p>
        </w:tc>
        <w:tc>
          <w:tcPr>
            <w:tcW w:w="243" w:type="pct"/>
          </w:tcPr>
          <w:p w:rsidR="00E30D6D" w:rsidRPr="00E30D6D" w:rsidRDefault="00E30D6D" w:rsidP="00E30D6D">
            <w:pPr>
              <w:jc w:val="both"/>
              <w:rPr>
                <w:sz w:val="20"/>
                <w:lang w:val="fr-CA"/>
              </w:rPr>
            </w:pPr>
          </w:p>
        </w:tc>
        <w:tc>
          <w:tcPr>
            <w:tcW w:w="2330" w:type="pct"/>
          </w:tcPr>
          <w:p w:rsidR="00E30D6D" w:rsidRPr="00E30D6D" w:rsidRDefault="00E30D6D" w:rsidP="00E30D6D">
            <w:pPr>
              <w:jc w:val="both"/>
              <w:rPr>
                <w:sz w:val="20"/>
                <w:lang w:val="fr-CA"/>
              </w:rPr>
            </w:pPr>
            <w:r w:rsidRPr="00E30D6D">
              <w:rPr>
                <w:sz w:val="20"/>
                <w:lang w:val="fr-CA"/>
              </w:rPr>
              <w:t>Déclaration de culpabilité d’homicide involontaire coupable résultant d’un acte illégal</w:t>
            </w:r>
          </w:p>
          <w:p w:rsidR="00E30D6D" w:rsidRPr="00E30D6D" w:rsidRDefault="00E30D6D" w:rsidP="00E30D6D">
            <w:pPr>
              <w:jc w:val="both"/>
              <w:rPr>
                <w:sz w:val="20"/>
                <w:lang w:val="fr-CA"/>
              </w:rPr>
            </w:pPr>
          </w:p>
        </w:tc>
      </w:tr>
      <w:tr w:rsidR="00E30D6D" w:rsidRPr="00E30D6D" w:rsidTr="00E95A6A">
        <w:tc>
          <w:tcPr>
            <w:tcW w:w="2427" w:type="pct"/>
            <w:gridSpan w:val="2"/>
          </w:tcPr>
          <w:p w:rsidR="00E30D6D" w:rsidRPr="00E30D6D" w:rsidRDefault="00E30D6D" w:rsidP="00E30D6D">
            <w:pPr>
              <w:jc w:val="both"/>
              <w:rPr>
                <w:sz w:val="20"/>
                <w:lang w:val="fr-CA"/>
              </w:rPr>
            </w:pPr>
            <w:r w:rsidRPr="00E30D6D">
              <w:rPr>
                <w:sz w:val="20"/>
                <w:lang w:val="fr-CA"/>
              </w:rPr>
              <w:t>28 avril 2016</w:t>
            </w:r>
          </w:p>
          <w:p w:rsidR="00E30D6D" w:rsidRPr="00E30D6D" w:rsidRDefault="00E30D6D" w:rsidP="00E30D6D">
            <w:pPr>
              <w:jc w:val="both"/>
              <w:rPr>
                <w:sz w:val="20"/>
                <w:lang w:val="fr-CA"/>
              </w:rPr>
            </w:pPr>
            <w:r w:rsidRPr="00E30D6D">
              <w:rPr>
                <w:sz w:val="20"/>
                <w:lang w:val="fr-CA"/>
              </w:rPr>
              <w:t>Cour d’appel du Manitoba</w:t>
            </w:r>
          </w:p>
          <w:p w:rsidR="00E30D6D" w:rsidRPr="00E30D6D" w:rsidRDefault="00E30D6D" w:rsidP="00E30D6D">
            <w:pPr>
              <w:jc w:val="both"/>
              <w:rPr>
                <w:sz w:val="20"/>
                <w:lang w:val="fr-CA"/>
              </w:rPr>
            </w:pPr>
            <w:r w:rsidRPr="00E30D6D">
              <w:rPr>
                <w:sz w:val="20"/>
                <w:lang w:val="fr-CA"/>
              </w:rPr>
              <w:t>(Juges Steel, Hamilton et Pfuetzner)</w:t>
            </w:r>
          </w:p>
          <w:p w:rsidR="00E30D6D" w:rsidRPr="00E30D6D" w:rsidRDefault="00F52446" w:rsidP="00E30D6D">
            <w:pPr>
              <w:jc w:val="both"/>
              <w:rPr>
                <w:sz w:val="20"/>
                <w:lang w:val="fr-CA"/>
              </w:rPr>
            </w:pPr>
            <w:hyperlink r:id="rId35" w:history="1">
              <w:r w:rsidR="00E30D6D" w:rsidRPr="00E30D6D">
                <w:rPr>
                  <w:rStyle w:val="Hyperlink"/>
                  <w:sz w:val="20"/>
                  <w:lang w:val="fr-CA"/>
                </w:rPr>
                <w:t>2016 MBCA 42</w:t>
              </w:r>
            </w:hyperlink>
            <w:r w:rsidR="00E30D6D" w:rsidRPr="00E30D6D">
              <w:rPr>
                <w:sz w:val="20"/>
                <w:lang w:val="fr-CA"/>
              </w:rPr>
              <w:t>; AR15-30-08354</w:t>
            </w:r>
          </w:p>
          <w:p w:rsidR="00E30D6D" w:rsidRPr="00E30D6D" w:rsidRDefault="00E30D6D" w:rsidP="00E30D6D">
            <w:pPr>
              <w:jc w:val="both"/>
              <w:rPr>
                <w:sz w:val="20"/>
                <w:lang w:val="fr-CA"/>
              </w:rPr>
            </w:pPr>
          </w:p>
        </w:tc>
        <w:tc>
          <w:tcPr>
            <w:tcW w:w="243" w:type="pct"/>
          </w:tcPr>
          <w:p w:rsidR="00E30D6D" w:rsidRPr="00E30D6D" w:rsidRDefault="00E30D6D" w:rsidP="00E30D6D">
            <w:pPr>
              <w:jc w:val="both"/>
              <w:rPr>
                <w:sz w:val="20"/>
                <w:lang w:val="fr-CA"/>
              </w:rPr>
            </w:pPr>
          </w:p>
        </w:tc>
        <w:tc>
          <w:tcPr>
            <w:tcW w:w="2330" w:type="pct"/>
          </w:tcPr>
          <w:p w:rsidR="00E30D6D" w:rsidRPr="00E30D6D" w:rsidRDefault="00E30D6D" w:rsidP="00E30D6D">
            <w:pPr>
              <w:jc w:val="both"/>
              <w:rPr>
                <w:sz w:val="20"/>
                <w:lang w:val="fr-CA"/>
              </w:rPr>
            </w:pPr>
            <w:r w:rsidRPr="00E30D6D">
              <w:rPr>
                <w:sz w:val="20"/>
                <w:lang w:val="fr-CA"/>
              </w:rPr>
              <w:t>Rejet de l’appel</w:t>
            </w:r>
          </w:p>
          <w:p w:rsidR="00E30D6D" w:rsidRPr="00E30D6D" w:rsidRDefault="00E30D6D" w:rsidP="00E30D6D">
            <w:pPr>
              <w:jc w:val="both"/>
              <w:rPr>
                <w:sz w:val="20"/>
                <w:lang w:val="fr-CA"/>
              </w:rPr>
            </w:pPr>
          </w:p>
        </w:tc>
      </w:tr>
      <w:tr w:rsidR="00E30D6D" w:rsidRPr="00E30D6D" w:rsidTr="00E95A6A">
        <w:tc>
          <w:tcPr>
            <w:tcW w:w="2427" w:type="pct"/>
            <w:gridSpan w:val="2"/>
          </w:tcPr>
          <w:p w:rsidR="00E30D6D" w:rsidRPr="00E30D6D" w:rsidRDefault="00E30D6D" w:rsidP="00E30D6D">
            <w:pPr>
              <w:jc w:val="both"/>
              <w:rPr>
                <w:sz w:val="20"/>
                <w:lang w:val="fr-CA"/>
              </w:rPr>
            </w:pPr>
            <w:r w:rsidRPr="00E30D6D">
              <w:rPr>
                <w:sz w:val="20"/>
                <w:lang w:val="fr-CA"/>
              </w:rPr>
              <w:t>20 juillet 2016</w:t>
            </w:r>
          </w:p>
          <w:p w:rsidR="00E30D6D" w:rsidRPr="00E30D6D" w:rsidRDefault="00E30D6D" w:rsidP="00E30D6D">
            <w:pPr>
              <w:jc w:val="both"/>
              <w:rPr>
                <w:sz w:val="20"/>
                <w:lang w:val="fr-CA"/>
              </w:rPr>
            </w:pPr>
            <w:r w:rsidRPr="00E30D6D">
              <w:rPr>
                <w:sz w:val="20"/>
                <w:lang w:val="fr-CA"/>
              </w:rPr>
              <w:t>Cour suprême du Canada</w:t>
            </w:r>
          </w:p>
        </w:tc>
        <w:tc>
          <w:tcPr>
            <w:tcW w:w="243" w:type="pct"/>
          </w:tcPr>
          <w:p w:rsidR="00E30D6D" w:rsidRPr="00E30D6D" w:rsidRDefault="00E30D6D" w:rsidP="00E30D6D">
            <w:pPr>
              <w:jc w:val="both"/>
              <w:rPr>
                <w:sz w:val="20"/>
                <w:lang w:val="fr-CA"/>
              </w:rPr>
            </w:pPr>
          </w:p>
        </w:tc>
        <w:tc>
          <w:tcPr>
            <w:tcW w:w="2330" w:type="pct"/>
          </w:tcPr>
          <w:p w:rsidR="00E30D6D" w:rsidRPr="00E30D6D" w:rsidRDefault="00E30D6D" w:rsidP="00E30D6D">
            <w:pPr>
              <w:jc w:val="both"/>
              <w:rPr>
                <w:sz w:val="20"/>
                <w:lang w:val="fr-CA"/>
              </w:rPr>
            </w:pPr>
            <w:r w:rsidRPr="00E30D6D">
              <w:rPr>
                <w:sz w:val="20"/>
                <w:lang w:val="fr-CA"/>
              </w:rPr>
              <w:t>Dépôt de la requête en prorogation du délai de signification et de dépôt de la demande d’autorisation d’appel et de la demande d’autorisation d’appel</w:t>
            </w:r>
          </w:p>
        </w:tc>
      </w:tr>
    </w:tbl>
    <w:p w:rsidR="00E30D6D" w:rsidRPr="00E30D6D" w:rsidRDefault="00E30D6D" w:rsidP="00E30D6D">
      <w:pPr>
        <w:jc w:val="both"/>
        <w:rPr>
          <w:sz w:val="20"/>
          <w:lang w:val="fr-CA"/>
        </w:rPr>
      </w:pPr>
    </w:p>
    <w:p w:rsidR="00EF3C03" w:rsidRPr="00E30D6D" w:rsidRDefault="00EF3C03" w:rsidP="00E30D6D">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0D6D" w:rsidRPr="00E30D6D" w:rsidTr="00E95A6A">
        <w:tc>
          <w:tcPr>
            <w:tcW w:w="543" w:type="pct"/>
          </w:tcPr>
          <w:p w:rsidR="00E30D6D" w:rsidRPr="00E30D6D" w:rsidRDefault="00E30D6D" w:rsidP="00E30D6D">
            <w:pPr>
              <w:jc w:val="both"/>
              <w:rPr>
                <w:sz w:val="20"/>
                <w:lang w:val="en-CA"/>
              </w:rPr>
            </w:pPr>
            <w:r w:rsidRPr="00E30D6D">
              <w:rPr>
                <w:rStyle w:val="SCCFileNumberChar"/>
                <w:sz w:val="20"/>
                <w:szCs w:val="20"/>
              </w:rPr>
              <w:t>37089</w:t>
            </w:r>
          </w:p>
        </w:tc>
        <w:tc>
          <w:tcPr>
            <w:tcW w:w="4457" w:type="pct"/>
            <w:gridSpan w:val="3"/>
          </w:tcPr>
          <w:p w:rsidR="00E30D6D" w:rsidRPr="00E30D6D" w:rsidRDefault="00E30D6D" w:rsidP="00E30D6D">
            <w:pPr>
              <w:pStyle w:val="SCCLsocParty"/>
              <w:jc w:val="both"/>
              <w:rPr>
                <w:b/>
                <w:sz w:val="20"/>
                <w:szCs w:val="20"/>
                <w:lang w:val="en-CA"/>
              </w:rPr>
            </w:pPr>
            <w:r w:rsidRPr="00E30D6D">
              <w:rPr>
                <w:b/>
                <w:sz w:val="20"/>
                <w:szCs w:val="20"/>
                <w:lang w:val="en-CA"/>
              </w:rPr>
              <w:t>9090-5647 Québec inc. v. City of Sainte-Julie</w:t>
            </w:r>
          </w:p>
          <w:p w:rsidR="00E30D6D" w:rsidRPr="00E30D6D" w:rsidRDefault="00E30D6D" w:rsidP="00E30D6D">
            <w:pPr>
              <w:jc w:val="both"/>
              <w:rPr>
                <w:sz w:val="20"/>
                <w:lang w:val="en-CA"/>
              </w:rPr>
            </w:pPr>
            <w:r w:rsidRPr="00E30D6D">
              <w:rPr>
                <w:sz w:val="20"/>
                <w:lang w:val="en-CA"/>
              </w:rPr>
              <w:t>(Que.) (Civil) (By Leave)</w:t>
            </w:r>
          </w:p>
        </w:tc>
      </w:tr>
      <w:tr w:rsidR="00E30D6D" w:rsidRPr="00E30D6D" w:rsidTr="00E95A6A">
        <w:tc>
          <w:tcPr>
            <w:tcW w:w="5000" w:type="pct"/>
            <w:gridSpan w:val="4"/>
          </w:tcPr>
          <w:p w:rsidR="00E30D6D" w:rsidRPr="00E30D6D" w:rsidRDefault="00E30D6D" w:rsidP="00E30D6D">
            <w:pPr>
              <w:jc w:val="both"/>
              <w:rPr>
                <w:sz w:val="20"/>
                <w:lang w:val="en-CA"/>
              </w:rPr>
            </w:pPr>
            <w:r w:rsidRPr="00E30D6D">
              <w:rPr>
                <w:sz w:val="20"/>
                <w:lang w:val="en-CA"/>
              </w:rPr>
              <w:t>Municipal law – Zoning – Existence and scope of acquired rights – Intensification of pre</w:t>
            </w:r>
            <w:r w:rsidRPr="00E30D6D">
              <w:rPr>
                <w:sz w:val="20"/>
                <w:lang w:val="en-CA"/>
              </w:rPr>
              <w:noBreakHyphen/>
              <w:t xml:space="preserve">existing activity – Intervention of Court of Appeal – Whether Court of Appeal erred in intervening on questions of assessment of evidence by trial judge – Whether Court of Appeal failed to apply approach laid down by Supreme Court in </w:t>
            </w:r>
            <w:r w:rsidRPr="00E30D6D">
              <w:rPr>
                <w:i/>
                <w:sz w:val="20"/>
                <w:lang w:val="en-CA"/>
              </w:rPr>
              <w:t>Saint</w:t>
            </w:r>
            <w:r w:rsidRPr="00E30D6D">
              <w:rPr>
                <w:i/>
                <w:sz w:val="20"/>
                <w:lang w:val="en-CA"/>
              </w:rPr>
              <w:noBreakHyphen/>
              <w:t>Romuald (City) v. Olivier</w:t>
            </w:r>
            <w:r w:rsidRPr="00E30D6D">
              <w:rPr>
                <w:sz w:val="20"/>
                <w:lang w:val="en-CA"/>
              </w:rPr>
              <w:t>, [2001] 2 S.C.R. 898.</w:t>
            </w:r>
          </w:p>
        </w:tc>
      </w:tr>
      <w:tr w:rsidR="00E30D6D" w:rsidRPr="00E30D6D" w:rsidTr="00E95A6A">
        <w:tc>
          <w:tcPr>
            <w:tcW w:w="5000" w:type="pct"/>
            <w:gridSpan w:val="4"/>
          </w:tcPr>
          <w:p w:rsidR="00E30D6D" w:rsidRPr="00E30D6D" w:rsidRDefault="00E30D6D" w:rsidP="00E30D6D">
            <w:pPr>
              <w:jc w:val="both"/>
              <w:rPr>
                <w:sz w:val="20"/>
                <w:lang w:val="en-CA"/>
              </w:rPr>
            </w:pPr>
          </w:p>
        </w:tc>
      </w:tr>
      <w:tr w:rsidR="00E30D6D" w:rsidRPr="00E30D6D" w:rsidTr="00E95A6A">
        <w:tc>
          <w:tcPr>
            <w:tcW w:w="5000" w:type="pct"/>
            <w:gridSpan w:val="4"/>
          </w:tcPr>
          <w:p w:rsidR="00E30D6D" w:rsidRPr="00E30D6D" w:rsidRDefault="00E30D6D" w:rsidP="00E30D6D">
            <w:pPr>
              <w:jc w:val="both"/>
              <w:rPr>
                <w:sz w:val="20"/>
                <w:lang w:val="en-CA"/>
              </w:rPr>
            </w:pPr>
            <w:r w:rsidRPr="00E30D6D">
              <w:rPr>
                <w:sz w:val="20"/>
                <w:lang w:val="en-CA"/>
              </w:rPr>
              <w:lastRenderedPageBreak/>
              <w:t>The applicant (“Récupération Charland”) owned land in the City of Sainte</w:t>
            </w:r>
            <w:r w:rsidRPr="00E30D6D">
              <w:rPr>
                <w:sz w:val="20"/>
                <w:lang w:val="en-CA"/>
              </w:rPr>
              <w:noBreakHyphen/>
              <w:t>Julie on which it operated a business involving, among other things, the storage and recovery of scrap metal. It purchased the immovable in 2000 from the Lussier family, which had carried on the same type of business starting in the late 1950s. Such use had been prohibited within the City since at least 1976.</w:t>
            </w:r>
          </w:p>
          <w:p w:rsidR="00E30D6D" w:rsidRPr="00E30D6D" w:rsidRDefault="00E30D6D" w:rsidP="00E30D6D">
            <w:pPr>
              <w:jc w:val="both"/>
              <w:rPr>
                <w:sz w:val="20"/>
                <w:lang w:val="en-CA"/>
              </w:rPr>
            </w:pPr>
          </w:p>
          <w:p w:rsidR="00E30D6D" w:rsidRPr="00E30D6D" w:rsidRDefault="00E30D6D" w:rsidP="00E30D6D">
            <w:pPr>
              <w:jc w:val="both"/>
              <w:rPr>
                <w:sz w:val="20"/>
                <w:lang w:val="en-CA"/>
              </w:rPr>
            </w:pPr>
            <w:r w:rsidRPr="00E30D6D">
              <w:rPr>
                <w:sz w:val="20"/>
                <w:lang w:val="en-CA"/>
              </w:rPr>
              <w:t xml:space="preserve">Récupération Charland’s activities changed over the years. In 2010, the City applied to the Superior Court under s. 227 of the </w:t>
            </w:r>
            <w:r w:rsidRPr="00E30D6D">
              <w:rPr>
                <w:i/>
                <w:sz w:val="20"/>
                <w:lang w:val="en-CA"/>
              </w:rPr>
              <w:t>Act respecting land use planning and development</w:t>
            </w:r>
            <w:r w:rsidRPr="00E30D6D">
              <w:rPr>
                <w:sz w:val="20"/>
                <w:lang w:val="en-CA"/>
              </w:rPr>
              <w:t>, C.Q.L.R., c. A</w:t>
            </w:r>
            <w:r w:rsidRPr="00E30D6D">
              <w:rPr>
                <w:sz w:val="20"/>
                <w:lang w:val="en-CA"/>
              </w:rPr>
              <w:noBreakHyphen/>
              <w:t>19.1, to put a stop to Récupération Charland’s activities, since it was of the view that they were not uses permitted by the zoning by</w:t>
            </w:r>
            <w:r w:rsidRPr="00E30D6D">
              <w:rPr>
                <w:sz w:val="20"/>
                <w:lang w:val="en-CA"/>
              </w:rPr>
              <w:noBreakHyphen/>
              <w:t>law.</w:t>
            </w:r>
          </w:p>
          <w:p w:rsidR="00E30D6D" w:rsidRPr="00E30D6D" w:rsidRDefault="00E30D6D" w:rsidP="00E30D6D">
            <w:pPr>
              <w:jc w:val="both"/>
              <w:rPr>
                <w:sz w:val="20"/>
                <w:lang w:val="en-CA"/>
              </w:rPr>
            </w:pPr>
          </w:p>
          <w:p w:rsidR="00E30D6D" w:rsidRPr="00E30D6D" w:rsidRDefault="00E30D6D" w:rsidP="00E30D6D">
            <w:pPr>
              <w:jc w:val="both"/>
              <w:rPr>
                <w:sz w:val="20"/>
                <w:lang w:val="en-CA"/>
              </w:rPr>
            </w:pPr>
            <w:r w:rsidRPr="00E30D6D">
              <w:rPr>
                <w:sz w:val="20"/>
                <w:lang w:val="en-CA"/>
              </w:rPr>
              <w:t>The Superior Court allowed the action in part. The judge found that some of Récupération Charland’s activities were non</w:t>
            </w:r>
            <w:r w:rsidRPr="00E30D6D">
              <w:rPr>
                <w:sz w:val="20"/>
                <w:lang w:val="en-CA"/>
              </w:rPr>
              <w:noBreakHyphen/>
              <w:t>conforming but that scrap metal storage and recovery were protected by acquired rights, even if the activities had intensified over the years. The Court of Appeal allowed the appeal, finding that the business had no acquired right with respect to scrap metal storage and recovery activities. It explained that the circumstances surrounding the City’s adoption of an “amnesty” by</w:t>
            </w:r>
            <w:r w:rsidRPr="00E30D6D">
              <w:rPr>
                <w:sz w:val="20"/>
                <w:lang w:val="en-CA"/>
              </w:rPr>
              <w:noBreakHyphen/>
              <w:t>law in 1994, along with the former owner’s participation in the process, showed that the former owner had abandoned its acquired right at that time in an unequivocal, though implicit, manner.</w:t>
            </w:r>
          </w:p>
          <w:p w:rsidR="00E30D6D" w:rsidRPr="00E30D6D" w:rsidRDefault="00E30D6D" w:rsidP="00E30D6D">
            <w:pPr>
              <w:jc w:val="both"/>
              <w:rPr>
                <w:sz w:val="20"/>
                <w:lang w:val="en-CA"/>
              </w:rPr>
            </w:pPr>
          </w:p>
        </w:tc>
      </w:tr>
      <w:tr w:rsidR="00E30D6D" w:rsidRPr="00E30D6D" w:rsidTr="00E95A6A">
        <w:tc>
          <w:tcPr>
            <w:tcW w:w="2427" w:type="pct"/>
            <w:gridSpan w:val="2"/>
          </w:tcPr>
          <w:p w:rsidR="00E30D6D" w:rsidRPr="00E30D6D" w:rsidRDefault="00E30D6D" w:rsidP="00E30D6D">
            <w:pPr>
              <w:jc w:val="both"/>
              <w:rPr>
                <w:sz w:val="20"/>
                <w:lang w:val="en-CA"/>
              </w:rPr>
            </w:pPr>
            <w:r w:rsidRPr="00E30D6D">
              <w:rPr>
                <w:sz w:val="20"/>
                <w:lang w:val="en-CA"/>
              </w:rPr>
              <w:t>August 4, 2014</w:t>
            </w:r>
          </w:p>
          <w:p w:rsidR="00E30D6D" w:rsidRPr="00E30D6D" w:rsidRDefault="00E30D6D" w:rsidP="00E30D6D">
            <w:pPr>
              <w:jc w:val="both"/>
              <w:rPr>
                <w:sz w:val="20"/>
                <w:lang w:val="en-CA"/>
              </w:rPr>
            </w:pPr>
            <w:r w:rsidRPr="00E30D6D">
              <w:rPr>
                <w:sz w:val="20"/>
                <w:lang w:val="en-CA"/>
              </w:rPr>
              <w:t>Quebec Superior Court</w:t>
            </w:r>
          </w:p>
          <w:p w:rsidR="00E30D6D" w:rsidRPr="00E30D6D" w:rsidRDefault="00E30D6D" w:rsidP="00E30D6D">
            <w:pPr>
              <w:jc w:val="both"/>
              <w:rPr>
                <w:sz w:val="20"/>
                <w:lang w:val="en-CA"/>
              </w:rPr>
            </w:pPr>
            <w:r w:rsidRPr="00E30D6D">
              <w:rPr>
                <w:sz w:val="20"/>
                <w:lang w:val="en-CA"/>
              </w:rPr>
              <w:t>(Nantel J.)</w:t>
            </w:r>
          </w:p>
          <w:p w:rsidR="00E30D6D" w:rsidRPr="00E30D6D" w:rsidRDefault="00F52446" w:rsidP="00E30D6D">
            <w:pPr>
              <w:jc w:val="both"/>
              <w:rPr>
                <w:sz w:val="20"/>
                <w:lang w:val="en-CA"/>
              </w:rPr>
            </w:pPr>
            <w:hyperlink r:id="rId36" w:history="1">
              <w:r w:rsidR="00E30D6D" w:rsidRPr="00E30D6D">
                <w:rPr>
                  <w:rStyle w:val="Hyperlink"/>
                  <w:sz w:val="20"/>
                  <w:lang w:val="en-CA"/>
                </w:rPr>
                <w:t>2014 QCCS 3901</w:t>
              </w:r>
            </w:hyperlink>
          </w:p>
          <w:p w:rsidR="00E30D6D" w:rsidRPr="00E30D6D" w:rsidRDefault="00E30D6D" w:rsidP="00E30D6D">
            <w:pPr>
              <w:jc w:val="both"/>
              <w:rPr>
                <w:sz w:val="20"/>
                <w:lang w:val="en-CA"/>
              </w:rPr>
            </w:pPr>
          </w:p>
        </w:tc>
        <w:tc>
          <w:tcPr>
            <w:tcW w:w="243" w:type="pct"/>
          </w:tcPr>
          <w:p w:rsidR="00E30D6D" w:rsidRPr="00E30D6D" w:rsidRDefault="00E30D6D" w:rsidP="00E30D6D">
            <w:pPr>
              <w:jc w:val="both"/>
              <w:rPr>
                <w:sz w:val="20"/>
                <w:lang w:val="en-CA"/>
              </w:rPr>
            </w:pPr>
          </w:p>
        </w:tc>
        <w:tc>
          <w:tcPr>
            <w:tcW w:w="2330" w:type="pct"/>
          </w:tcPr>
          <w:p w:rsidR="00E30D6D" w:rsidRPr="00E30D6D" w:rsidRDefault="00E30D6D" w:rsidP="00E30D6D">
            <w:pPr>
              <w:jc w:val="both"/>
              <w:rPr>
                <w:sz w:val="20"/>
                <w:lang w:val="en-CA"/>
              </w:rPr>
            </w:pPr>
            <w:r w:rsidRPr="00E30D6D">
              <w:rPr>
                <w:sz w:val="20"/>
                <w:lang w:val="en-CA"/>
              </w:rPr>
              <w:t>Motion for cessation of non</w:t>
            </w:r>
            <w:r w:rsidRPr="00E30D6D">
              <w:rPr>
                <w:sz w:val="20"/>
                <w:lang w:val="en-CA"/>
              </w:rPr>
              <w:noBreakHyphen/>
              <w:t>conforming uses allowed in part; cross demand for recognition of acquired rights allowed in part</w:t>
            </w:r>
          </w:p>
        </w:tc>
      </w:tr>
      <w:tr w:rsidR="00E30D6D" w:rsidRPr="00E30D6D" w:rsidTr="00E95A6A">
        <w:tc>
          <w:tcPr>
            <w:tcW w:w="2427" w:type="pct"/>
            <w:gridSpan w:val="2"/>
          </w:tcPr>
          <w:p w:rsidR="00E30D6D" w:rsidRPr="00E30D6D" w:rsidRDefault="00E30D6D" w:rsidP="00E30D6D">
            <w:pPr>
              <w:jc w:val="both"/>
              <w:rPr>
                <w:sz w:val="20"/>
                <w:lang w:val="en-CA"/>
              </w:rPr>
            </w:pPr>
            <w:r w:rsidRPr="00E30D6D">
              <w:rPr>
                <w:sz w:val="20"/>
                <w:lang w:val="en-CA"/>
              </w:rPr>
              <w:t>April 29, 2016</w:t>
            </w:r>
          </w:p>
          <w:p w:rsidR="00E30D6D" w:rsidRPr="00E30D6D" w:rsidRDefault="00E30D6D" w:rsidP="00E30D6D">
            <w:pPr>
              <w:jc w:val="both"/>
              <w:rPr>
                <w:sz w:val="20"/>
                <w:lang w:val="en-CA"/>
              </w:rPr>
            </w:pPr>
            <w:r w:rsidRPr="00E30D6D">
              <w:rPr>
                <w:sz w:val="20"/>
                <w:lang w:val="en-CA"/>
              </w:rPr>
              <w:t>Quebec Court of Appeal (Montréal)</w:t>
            </w:r>
          </w:p>
          <w:p w:rsidR="00E30D6D" w:rsidRPr="00E30D6D" w:rsidRDefault="00E30D6D" w:rsidP="00E30D6D">
            <w:pPr>
              <w:jc w:val="both"/>
              <w:rPr>
                <w:sz w:val="20"/>
                <w:lang w:val="en-CA"/>
              </w:rPr>
            </w:pPr>
            <w:r w:rsidRPr="00E30D6D">
              <w:rPr>
                <w:sz w:val="20"/>
                <w:lang w:val="en-CA"/>
              </w:rPr>
              <w:t>(Pelletier, Vézina and Bélanger JJ.A.)</w:t>
            </w:r>
          </w:p>
          <w:p w:rsidR="00E30D6D" w:rsidRPr="00E30D6D" w:rsidRDefault="00F52446" w:rsidP="00E30D6D">
            <w:pPr>
              <w:jc w:val="both"/>
              <w:rPr>
                <w:sz w:val="20"/>
                <w:lang w:val="en-CA"/>
              </w:rPr>
            </w:pPr>
            <w:hyperlink r:id="rId37" w:history="1">
              <w:r w:rsidR="00E30D6D" w:rsidRPr="00E30D6D">
                <w:rPr>
                  <w:rStyle w:val="Hyperlink"/>
                  <w:sz w:val="20"/>
                  <w:lang w:val="en-CA"/>
                </w:rPr>
                <w:t>2016 QCCA 737</w:t>
              </w:r>
            </w:hyperlink>
          </w:p>
          <w:p w:rsidR="00E30D6D" w:rsidRPr="00E30D6D" w:rsidRDefault="00E30D6D" w:rsidP="00E30D6D">
            <w:pPr>
              <w:jc w:val="both"/>
              <w:rPr>
                <w:sz w:val="20"/>
                <w:lang w:val="en-CA"/>
              </w:rPr>
            </w:pPr>
          </w:p>
        </w:tc>
        <w:tc>
          <w:tcPr>
            <w:tcW w:w="243" w:type="pct"/>
          </w:tcPr>
          <w:p w:rsidR="00E30D6D" w:rsidRPr="00E30D6D" w:rsidRDefault="00E30D6D" w:rsidP="00E30D6D">
            <w:pPr>
              <w:jc w:val="both"/>
              <w:rPr>
                <w:sz w:val="20"/>
                <w:lang w:val="en-CA"/>
              </w:rPr>
            </w:pPr>
          </w:p>
        </w:tc>
        <w:tc>
          <w:tcPr>
            <w:tcW w:w="2330" w:type="pct"/>
          </w:tcPr>
          <w:p w:rsidR="00E30D6D" w:rsidRPr="00E30D6D" w:rsidRDefault="00E30D6D" w:rsidP="00E30D6D">
            <w:pPr>
              <w:jc w:val="both"/>
              <w:rPr>
                <w:sz w:val="20"/>
                <w:lang w:val="en-CA"/>
              </w:rPr>
            </w:pPr>
            <w:r w:rsidRPr="00E30D6D">
              <w:rPr>
                <w:sz w:val="20"/>
                <w:lang w:val="en-CA"/>
              </w:rPr>
              <w:t>Appeal allowed; cross demand dismissed</w:t>
            </w:r>
          </w:p>
        </w:tc>
      </w:tr>
      <w:tr w:rsidR="00E30D6D" w:rsidRPr="00E30D6D" w:rsidTr="00E95A6A">
        <w:tc>
          <w:tcPr>
            <w:tcW w:w="2427" w:type="pct"/>
            <w:gridSpan w:val="2"/>
          </w:tcPr>
          <w:p w:rsidR="00E30D6D" w:rsidRPr="00E30D6D" w:rsidRDefault="00E30D6D" w:rsidP="00E30D6D">
            <w:pPr>
              <w:jc w:val="both"/>
              <w:rPr>
                <w:sz w:val="20"/>
                <w:lang w:val="en-CA"/>
              </w:rPr>
            </w:pPr>
            <w:r w:rsidRPr="00E30D6D">
              <w:rPr>
                <w:sz w:val="20"/>
                <w:lang w:val="en-CA"/>
              </w:rPr>
              <w:t>June 23, 2016</w:t>
            </w:r>
          </w:p>
          <w:p w:rsidR="00E30D6D" w:rsidRPr="00E30D6D" w:rsidRDefault="00E30D6D" w:rsidP="00E30D6D">
            <w:pPr>
              <w:jc w:val="both"/>
              <w:rPr>
                <w:sz w:val="20"/>
                <w:lang w:val="en-CA"/>
              </w:rPr>
            </w:pPr>
            <w:r w:rsidRPr="00E30D6D">
              <w:rPr>
                <w:sz w:val="20"/>
                <w:lang w:val="en-CA"/>
              </w:rPr>
              <w:t>Supreme Court of Canada</w:t>
            </w:r>
          </w:p>
        </w:tc>
        <w:tc>
          <w:tcPr>
            <w:tcW w:w="243" w:type="pct"/>
          </w:tcPr>
          <w:p w:rsidR="00E30D6D" w:rsidRPr="00E30D6D" w:rsidRDefault="00E30D6D" w:rsidP="00E30D6D">
            <w:pPr>
              <w:jc w:val="both"/>
              <w:rPr>
                <w:sz w:val="20"/>
                <w:lang w:val="en-CA"/>
              </w:rPr>
            </w:pPr>
          </w:p>
        </w:tc>
        <w:tc>
          <w:tcPr>
            <w:tcW w:w="2330" w:type="pct"/>
          </w:tcPr>
          <w:p w:rsidR="00E30D6D" w:rsidRPr="00E30D6D" w:rsidRDefault="00E30D6D" w:rsidP="00E30D6D">
            <w:pPr>
              <w:jc w:val="both"/>
              <w:rPr>
                <w:sz w:val="20"/>
                <w:lang w:val="en-CA"/>
              </w:rPr>
            </w:pPr>
            <w:r w:rsidRPr="00E30D6D">
              <w:rPr>
                <w:sz w:val="20"/>
                <w:lang w:val="en-CA"/>
              </w:rPr>
              <w:t>Application for leave to appeal filed</w:t>
            </w:r>
          </w:p>
          <w:p w:rsidR="00E30D6D" w:rsidRPr="00E30D6D" w:rsidRDefault="00E30D6D" w:rsidP="00E30D6D">
            <w:pPr>
              <w:jc w:val="both"/>
              <w:rPr>
                <w:sz w:val="20"/>
                <w:lang w:val="en-CA"/>
              </w:rPr>
            </w:pPr>
          </w:p>
        </w:tc>
      </w:tr>
    </w:tbl>
    <w:p w:rsidR="00E30D6D" w:rsidRDefault="00E30D6D" w:rsidP="00E30D6D">
      <w:pPr>
        <w:jc w:val="both"/>
        <w:rPr>
          <w:sz w:val="20"/>
          <w:lang w:val="en-CA"/>
        </w:rPr>
      </w:pPr>
    </w:p>
    <w:p w:rsidR="00E30D6D" w:rsidRPr="00E30D6D" w:rsidRDefault="00E30D6D" w:rsidP="00E30D6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0D6D" w:rsidRPr="00E30D6D" w:rsidTr="00E95A6A">
        <w:tc>
          <w:tcPr>
            <w:tcW w:w="543" w:type="pct"/>
          </w:tcPr>
          <w:p w:rsidR="00E30D6D" w:rsidRPr="00E30D6D" w:rsidRDefault="00E30D6D" w:rsidP="00E30D6D">
            <w:pPr>
              <w:jc w:val="both"/>
              <w:rPr>
                <w:sz w:val="20"/>
              </w:rPr>
            </w:pPr>
            <w:r w:rsidRPr="00E30D6D">
              <w:rPr>
                <w:rStyle w:val="SCCFileNumberChar"/>
                <w:sz w:val="20"/>
                <w:szCs w:val="20"/>
              </w:rPr>
              <w:t>37089</w:t>
            </w:r>
          </w:p>
        </w:tc>
        <w:tc>
          <w:tcPr>
            <w:tcW w:w="4457" w:type="pct"/>
            <w:gridSpan w:val="3"/>
          </w:tcPr>
          <w:p w:rsidR="00E30D6D" w:rsidRPr="00E30D6D" w:rsidRDefault="00E30D6D" w:rsidP="00E30D6D">
            <w:pPr>
              <w:pStyle w:val="SCCLsocParty"/>
              <w:jc w:val="both"/>
              <w:rPr>
                <w:b/>
                <w:sz w:val="20"/>
                <w:szCs w:val="20"/>
              </w:rPr>
            </w:pPr>
            <w:r w:rsidRPr="00E30D6D">
              <w:rPr>
                <w:b/>
                <w:sz w:val="20"/>
                <w:szCs w:val="20"/>
              </w:rPr>
              <w:t>9090-5647 Québec inc. c. Ville de Sainte-Julie</w:t>
            </w:r>
          </w:p>
          <w:p w:rsidR="00E30D6D" w:rsidRPr="00E30D6D" w:rsidRDefault="00E30D6D" w:rsidP="00E30D6D">
            <w:pPr>
              <w:jc w:val="both"/>
              <w:rPr>
                <w:sz w:val="20"/>
              </w:rPr>
            </w:pPr>
            <w:r w:rsidRPr="00E30D6D">
              <w:rPr>
                <w:sz w:val="20"/>
              </w:rPr>
              <w:t>(Qc) (Civile) (Autorisation)</w:t>
            </w:r>
          </w:p>
        </w:tc>
      </w:tr>
      <w:tr w:rsidR="00E30D6D" w:rsidRPr="00E30D6D" w:rsidTr="00E95A6A">
        <w:tc>
          <w:tcPr>
            <w:tcW w:w="5000" w:type="pct"/>
            <w:gridSpan w:val="4"/>
          </w:tcPr>
          <w:p w:rsidR="00E30D6D" w:rsidRPr="00E30D6D" w:rsidRDefault="00E30D6D" w:rsidP="00E30D6D">
            <w:pPr>
              <w:jc w:val="both"/>
              <w:rPr>
                <w:sz w:val="20"/>
              </w:rPr>
            </w:pPr>
            <w:r w:rsidRPr="00E30D6D">
              <w:rPr>
                <w:sz w:val="20"/>
              </w:rPr>
              <w:t xml:space="preserve">Droit municipal – </w:t>
            </w:r>
            <w:proofErr w:type="spellStart"/>
            <w:r w:rsidRPr="00E30D6D">
              <w:rPr>
                <w:sz w:val="20"/>
              </w:rPr>
              <w:t>Zonage</w:t>
            </w:r>
            <w:proofErr w:type="spellEnd"/>
            <w:r w:rsidRPr="00E30D6D">
              <w:rPr>
                <w:sz w:val="20"/>
              </w:rPr>
              <w:t xml:space="preserve"> – Existence et portée des droits acquis – Intensification d’une activité préexistante – Intervention de la Cour d’appel – La Cour d’appel a-t-elle eu tort d’intervenir sur les questions d’appréciation de la preuve par la juge de première instance? – A-t-elle omis d’appliquer la démarche prescrite par la Cour suprême dans l’arrêt </w:t>
            </w:r>
            <w:r w:rsidRPr="00E30D6D">
              <w:rPr>
                <w:i/>
                <w:sz w:val="20"/>
              </w:rPr>
              <w:t>Saint-Romuald (Ville) c. Olivier</w:t>
            </w:r>
            <w:r w:rsidRPr="00E30D6D">
              <w:rPr>
                <w:sz w:val="20"/>
              </w:rPr>
              <w:t>, [2001] 2 R.C.S. 898?</w:t>
            </w:r>
          </w:p>
        </w:tc>
      </w:tr>
      <w:tr w:rsidR="00E30D6D" w:rsidRPr="00E30D6D" w:rsidTr="00E95A6A">
        <w:tc>
          <w:tcPr>
            <w:tcW w:w="5000" w:type="pct"/>
            <w:gridSpan w:val="4"/>
          </w:tcPr>
          <w:p w:rsidR="00E30D6D" w:rsidRPr="00E30D6D" w:rsidRDefault="00E30D6D" w:rsidP="00E30D6D">
            <w:pPr>
              <w:jc w:val="both"/>
              <w:rPr>
                <w:sz w:val="20"/>
              </w:rPr>
            </w:pPr>
          </w:p>
        </w:tc>
      </w:tr>
      <w:tr w:rsidR="00E30D6D" w:rsidRPr="00E30D6D" w:rsidTr="00E95A6A">
        <w:tc>
          <w:tcPr>
            <w:tcW w:w="5000" w:type="pct"/>
            <w:gridSpan w:val="4"/>
          </w:tcPr>
          <w:p w:rsidR="00E30D6D" w:rsidRPr="00E30D6D" w:rsidRDefault="00E30D6D" w:rsidP="00E30D6D">
            <w:pPr>
              <w:jc w:val="both"/>
              <w:rPr>
                <w:sz w:val="20"/>
              </w:rPr>
            </w:pPr>
            <w:r w:rsidRPr="00E30D6D">
              <w:rPr>
                <w:sz w:val="20"/>
              </w:rPr>
              <w:t>La demanderesse (« Récupération Charland ») est propriétaire d’un terrain dans la Ville de Sainte-Julie. Elle y exploite une entreprise œuvrant notamment dans l’entreposage et la récupération de ferraille. Elle a acquis l’immeuble en 2000 de la famille Lussier, laquelle avait déjà exploité une entreprise du même type à compter de la fin des années 1950. Pareil usage est interdit sur le territoire de la Ville depuis au moins 1976.</w:t>
            </w:r>
          </w:p>
          <w:p w:rsidR="00E30D6D" w:rsidRPr="00E30D6D" w:rsidRDefault="00E30D6D" w:rsidP="00E30D6D">
            <w:pPr>
              <w:jc w:val="both"/>
              <w:rPr>
                <w:sz w:val="20"/>
              </w:rPr>
            </w:pPr>
          </w:p>
          <w:p w:rsidR="00E30D6D" w:rsidRPr="00E30D6D" w:rsidRDefault="00E30D6D" w:rsidP="00E30D6D">
            <w:pPr>
              <w:jc w:val="both"/>
              <w:rPr>
                <w:sz w:val="20"/>
              </w:rPr>
            </w:pPr>
            <w:r w:rsidRPr="00E30D6D">
              <w:rPr>
                <w:sz w:val="20"/>
              </w:rPr>
              <w:t xml:space="preserve">Les activités de Récupération Charland ont évolué au fil des ans. D’avis que les activités de Récupération Charland ne sont pas des usages permis par le règlement de zonage, la Ville s’adresse en 2010 à la Cour supérieure, en vertu de l’art. 227 de la </w:t>
            </w:r>
            <w:r w:rsidRPr="00E30D6D">
              <w:rPr>
                <w:i/>
                <w:sz w:val="20"/>
              </w:rPr>
              <w:t>Loi sur l’aménagement et l’urbanisme</w:t>
            </w:r>
            <w:r w:rsidRPr="00E30D6D">
              <w:rPr>
                <w:sz w:val="20"/>
              </w:rPr>
              <w:t xml:space="preserve">, R.L.R.Q., c. A-19.1, pour les faire cesser. </w:t>
            </w:r>
          </w:p>
          <w:p w:rsidR="00E30D6D" w:rsidRPr="00E30D6D" w:rsidRDefault="00E30D6D" w:rsidP="00E30D6D">
            <w:pPr>
              <w:jc w:val="both"/>
              <w:rPr>
                <w:sz w:val="20"/>
              </w:rPr>
            </w:pPr>
          </w:p>
          <w:p w:rsidR="00E30D6D" w:rsidRPr="00E30D6D" w:rsidRDefault="00E30D6D" w:rsidP="00E30D6D">
            <w:pPr>
              <w:jc w:val="both"/>
              <w:rPr>
                <w:sz w:val="20"/>
              </w:rPr>
            </w:pPr>
            <w:r w:rsidRPr="00E30D6D">
              <w:rPr>
                <w:sz w:val="20"/>
              </w:rPr>
              <w:t xml:space="preserve">La Cour supérieure accueille le recours en partie. La juge estime que certaines des activités de Récupération Charland sont dérogatoires, mais que l’entreposage et la récupération de ferraille sont protégés par des droits acquis, et ce, même si les activités se sont intensifiées au fil des ans. La Cour d’appel accueille l’appel. Elle estime que l’entreprise ne bénéficie pas d’un droit acquis relativement aux activités d’entreposage et de récupération de ferraille. Elle explique que les circonstances entourant l’adoption par la Ville d’un règlement « d’amnistie » en 1994, de même que </w:t>
            </w:r>
            <w:r w:rsidRPr="00E30D6D">
              <w:rPr>
                <w:sz w:val="20"/>
              </w:rPr>
              <w:lastRenderedPageBreak/>
              <w:t>la participation de l’ancien propriétaire au processus, démontrent que celui-ci avait, à ce moment, abandonné son droit acquis, et ce, de façon non équivoque, quoique implicite.</w:t>
            </w:r>
          </w:p>
          <w:p w:rsidR="00E30D6D" w:rsidRPr="00E30D6D" w:rsidRDefault="00E30D6D" w:rsidP="00E30D6D">
            <w:pPr>
              <w:jc w:val="both"/>
              <w:rPr>
                <w:sz w:val="20"/>
              </w:rPr>
            </w:pPr>
          </w:p>
        </w:tc>
      </w:tr>
      <w:tr w:rsidR="00E30D6D" w:rsidRPr="00E30D6D" w:rsidTr="00E95A6A">
        <w:tc>
          <w:tcPr>
            <w:tcW w:w="2427" w:type="pct"/>
            <w:gridSpan w:val="2"/>
          </w:tcPr>
          <w:p w:rsidR="00E30D6D" w:rsidRPr="00E30D6D" w:rsidRDefault="00E30D6D" w:rsidP="00E30D6D">
            <w:pPr>
              <w:jc w:val="both"/>
              <w:rPr>
                <w:sz w:val="20"/>
              </w:rPr>
            </w:pPr>
            <w:r w:rsidRPr="00E30D6D">
              <w:rPr>
                <w:sz w:val="20"/>
              </w:rPr>
              <w:lastRenderedPageBreak/>
              <w:t>Le 4 août 2014</w:t>
            </w:r>
          </w:p>
          <w:p w:rsidR="00E30D6D" w:rsidRPr="00E30D6D" w:rsidRDefault="00E30D6D" w:rsidP="00E30D6D">
            <w:pPr>
              <w:jc w:val="both"/>
              <w:rPr>
                <w:sz w:val="20"/>
              </w:rPr>
            </w:pPr>
            <w:r w:rsidRPr="00E30D6D">
              <w:rPr>
                <w:sz w:val="20"/>
              </w:rPr>
              <w:t>Cour supérieure du Québec</w:t>
            </w:r>
          </w:p>
          <w:p w:rsidR="00E30D6D" w:rsidRPr="00E30D6D" w:rsidRDefault="00E30D6D" w:rsidP="00E30D6D">
            <w:pPr>
              <w:jc w:val="both"/>
              <w:rPr>
                <w:sz w:val="20"/>
              </w:rPr>
            </w:pPr>
            <w:r w:rsidRPr="00E30D6D">
              <w:rPr>
                <w:sz w:val="20"/>
              </w:rPr>
              <w:t xml:space="preserve">(La </w:t>
            </w:r>
            <w:proofErr w:type="spellStart"/>
            <w:r w:rsidRPr="00E30D6D">
              <w:rPr>
                <w:sz w:val="20"/>
              </w:rPr>
              <w:t>juge</w:t>
            </w:r>
            <w:proofErr w:type="spellEnd"/>
            <w:r w:rsidRPr="00E30D6D">
              <w:rPr>
                <w:sz w:val="20"/>
              </w:rPr>
              <w:t xml:space="preserve"> </w:t>
            </w:r>
            <w:proofErr w:type="spellStart"/>
            <w:r w:rsidRPr="00E30D6D">
              <w:rPr>
                <w:sz w:val="20"/>
              </w:rPr>
              <w:t>Nantel</w:t>
            </w:r>
            <w:proofErr w:type="spellEnd"/>
            <w:r w:rsidRPr="00E30D6D">
              <w:rPr>
                <w:sz w:val="20"/>
              </w:rPr>
              <w:t>)</w:t>
            </w:r>
          </w:p>
          <w:p w:rsidR="00E30D6D" w:rsidRPr="00E30D6D" w:rsidRDefault="00F52446" w:rsidP="00E30D6D">
            <w:pPr>
              <w:jc w:val="both"/>
              <w:rPr>
                <w:sz w:val="20"/>
              </w:rPr>
            </w:pPr>
            <w:hyperlink r:id="rId38" w:history="1">
              <w:r w:rsidR="00E30D6D" w:rsidRPr="00E30D6D">
                <w:rPr>
                  <w:rStyle w:val="Hyperlink"/>
                  <w:sz w:val="20"/>
                </w:rPr>
                <w:t>2014 QCCS 3901</w:t>
              </w:r>
            </w:hyperlink>
          </w:p>
          <w:p w:rsidR="00E30D6D" w:rsidRPr="00E30D6D" w:rsidRDefault="00E30D6D" w:rsidP="00E30D6D">
            <w:pPr>
              <w:jc w:val="both"/>
              <w:rPr>
                <w:sz w:val="20"/>
              </w:rPr>
            </w:pPr>
          </w:p>
        </w:tc>
        <w:tc>
          <w:tcPr>
            <w:tcW w:w="243" w:type="pct"/>
          </w:tcPr>
          <w:p w:rsidR="00E30D6D" w:rsidRPr="00E30D6D" w:rsidRDefault="00E30D6D" w:rsidP="00E30D6D">
            <w:pPr>
              <w:jc w:val="both"/>
              <w:rPr>
                <w:sz w:val="20"/>
              </w:rPr>
            </w:pPr>
          </w:p>
        </w:tc>
        <w:tc>
          <w:tcPr>
            <w:tcW w:w="2330" w:type="pct"/>
          </w:tcPr>
          <w:p w:rsidR="00E30D6D" w:rsidRPr="00E30D6D" w:rsidRDefault="00E30D6D" w:rsidP="00E30D6D">
            <w:pPr>
              <w:jc w:val="both"/>
              <w:rPr>
                <w:sz w:val="20"/>
              </w:rPr>
            </w:pPr>
            <w:r w:rsidRPr="00E30D6D">
              <w:rPr>
                <w:sz w:val="20"/>
              </w:rPr>
              <w:t>Requête en cessation d’usages dérogatoires accueillie en partie; demande reconventionnelle en reconnaissance de droits acquis accueillie en partie</w:t>
            </w:r>
          </w:p>
          <w:p w:rsidR="00E30D6D" w:rsidRPr="00E30D6D" w:rsidRDefault="00E30D6D" w:rsidP="00E30D6D">
            <w:pPr>
              <w:jc w:val="both"/>
              <w:rPr>
                <w:sz w:val="20"/>
              </w:rPr>
            </w:pPr>
          </w:p>
        </w:tc>
      </w:tr>
      <w:tr w:rsidR="00E30D6D" w:rsidRPr="00E30D6D" w:rsidTr="00E95A6A">
        <w:tc>
          <w:tcPr>
            <w:tcW w:w="2427" w:type="pct"/>
            <w:gridSpan w:val="2"/>
          </w:tcPr>
          <w:p w:rsidR="00E30D6D" w:rsidRPr="00E30D6D" w:rsidRDefault="00E30D6D" w:rsidP="00E30D6D">
            <w:pPr>
              <w:jc w:val="both"/>
              <w:rPr>
                <w:sz w:val="20"/>
              </w:rPr>
            </w:pPr>
            <w:r w:rsidRPr="00E30D6D">
              <w:rPr>
                <w:sz w:val="20"/>
              </w:rPr>
              <w:t>Le 29 avril 2016</w:t>
            </w:r>
          </w:p>
          <w:p w:rsidR="00E30D6D" w:rsidRPr="00E30D6D" w:rsidRDefault="00E30D6D" w:rsidP="00E30D6D">
            <w:pPr>
              <w:jc w:val="both"/>
              <w:rPr>
                <w:sz w:val="20"/>
              </w:rPr>
            </w:pPr>
            <w:r w:rsidRPr="00E30D6D">
              <w:rPr>
                <w:sz w:val="20"/>
              </w:rPr>
              <w:t>Cour d’appel du Québec (Montréal)</w:t>
            </w:r>
          </w:p>
          <w:p w:rsidR="00E30D6D" w:rsidRPr="00E30D6D" w:rsidRDefault="00E30D6D" w:rsidP="00E30D6D">
            <w:pPr>
              <w:jc w:val="both"/>
              <w:rPr>
                <w:sz w:val="20"/>
              </w:rPr>
            </w:pPr>
            <w:r w:rsidRPr="00E30D6D">
              <w:rPr>
                <w:sz w:val="20"/>
              </w:rPr>
              <w:t>(Les juges Pelletier, Vézina, et Bélanger)</w:t>
            </w:r>
          </w:p>
          <w:p w:rsidR="00E30D6D" w:rsidRPr="00E30D6D" w:rsidRDefault="00F52446" w:rsidP="00E30D6D">
            <w:pPr>
              <w:jc w:val="both"/>
              <w:rPr>
                <w:sz w:val="20"/>
              </w:rPr>
            </w:pPr>
            <w:hyperlink r:id="rId39" w:history="1">
              <w:r w:rsidR="00E30D6D" w:rsidRPr="00E30D6D">
                <w:rPr>
                  <w:rStyle w:val="Hyperlink"/>
                  <w:sz w:val="20"/>
                </w:rPr>
                <w:t>2016 QCCA 737</w:t>
              </w:r>
            </w:hyperlink>
          </w:p>
          <w:p w:rsidR="00E30D6D" w:rsidRPr="00E30D6D" w:rsidRDefault="00E30D6D" w:rsidP="00E30D6D">
            <w:pPr>
              <w:jc w:val="both"/>
              <w:rPr>
                <w:sz w:val="20"/>
              </w:rPr>
            </w:pPr>
          </w:p>
        </w:tc>
        <w:tc>
          <w:tcPr>
            <w:tcW w:w="243" w:type="pct"/>
          </w:tcPr>
          <w:p w:rsidR="00E30D6D" w:rsidRPr="00E30D6D" w:rsidRDefault="00E30D6D" w:rsidP="00E30D6D">
            <w:pPr>
              <w:jc w:val="both"/>
              <w:rPr>
                <w:sz w:val="20"/>
              </w:rPr>
            </w:pPr>
          </w:p>
        </w:tc>
        <w:tc>
          <w:tcPr>
            <w:tcW w:w="2330" w:type="pct"/>
          </w:tcPr>
          <w:p w:rsidR="00E30D6D" w:rsidRPr="00E30D6D" w:rsidRDefault="00E30D6D" w:rsidP="00E30D6D">
            <w:pPr>
              <w:jc w:val="both"/>
              <w:rPr>
                <w:sz w:val="20"/>
              </w:rPr>
            </w:pPr>
            <w:r w:rsidRPr="00E30D6D">
              <w:rPr>
                <w:sz w:val="20"/>
              </w:rPr>
              <w:t>Appel accueilli; demande reconventionnelle rejetée</w:t>
            </w:r>
          </w:p>
        </w:tc>
      </w:tr>
      <w:tr w:rsidR="00E30D6D" w:rsidRPr="00E30D6D" w:rsidTr="00E95A6A">
        <w:tc>
          <w:tcPr>
            <w:tcW w:w="2427" w:type="pct"/>
            <w:gridSpan w:val="2"/>
          </w:tcPr>
          <w:p w:rsidR="00E30D6D" w:rsidRPr="00E30D6D" w:rsidRDefault="00E30D6D" w:rsidP="00E30D6D">
            <w:pPr>
              <w:jc w:val="both"/>
              <w:rPr>
                <w:sz w:val="20"/>
              </w:rPr>
            </w:pPr>
            <w:r w:rsidRPr="00E30D6D">
              <w:rPr>
                <w:sz w:val="20"/>
              </w:rPr>
              <w:t>Le 23 juin 2016</w:t>
            </w:r>
          </w:p>
          <w:p w:rsidR="00E30D6D" w:rsidRPr="00E30D6D" w:rsidRDefault="00E30D6D" w:rsidP="00E30D6D">
            <w:pPr>
              <w:jc w:val="both"/>
              <w:rPr>
                <w:sz w:val="20"/>
              </w:rPr>
            </w:pPr>
            <w:r w:rsidRPr="00E30D6D">
              <w:rPr>
                <w:sz w:val="20"/>
              </w:rPr>
              <w:t>Cour suprême du Canada</w:t>
            </w:r>
          </w:p>
        </w:tc>
        <w:tc>
          <w:tcPr>
            <w:tcW w:w="243" w:type="pct"/>
          </w:tcPr>
          <w:p w:rsidR="00E30D6D" w:rsidRPr="00E30D6D" w:rsidRDefault="00E30D6D" w:rsidP="00E30D6D">
            <w:pPr>
              <w:jc w:val="both"/>
              <w:rPr>
                <w:sz w:val="20"/>
              </w:rPr>
            </w:pPr>
          </w:p>
        </w:tc>
        <w:tc>
          <w:tcPr>
            <w:tcW w:w="2330" w:type="pct"/>
          </w:tcPr>
          <w:p w:rsidR="00E30D6D" w:rsidRPr="00E30D6D" w:rsidRDefault="00E30D6D" w:rsidP="00E30D6D">
            <w:pPr>
              <w:jc w:val="both"/>
              <w:rPr>
                <w:sz w:val="20"/>
              </w:rPr>
            </w:pPr>
            <w:r w:rsidRPr="00E30D6D">
              <w:rPr>
                <w:sz w:val="20"/>
              </w:rPr>
              <w:t>Demande d'autorisation d'appel déposée</w:t>
            </w:r>
          </w:p>
          <w:p w:rsidR="00E30D6D" w:rsidRPr="00E30D6D" w:rsidRDefault="00E30D6D" w:rsidP="00E30D6D">
            <w:pPr>
              <w:jc w:val="both"/>
              <w:rPr>
                <w:sz w:val="20"/>
              </w:rPr>
            </w:pPr>
          </w:p>
        </w:tc>
      </w:tr>
    </w:tbl>
    <w:p w:rsidR="00E30D6D" w:rsidRPr="00B32E7C" w:rsidRDefault="00E30D6D" w:rsidP="00B32E7C">
      <w:pPr>
        <w:jc w:val="both"/>
        <w:rPr>
          <w:sz w:val="20"/>
        </w:rPr>
      </w:pPr>
    </w:p>
    <w:p w:rsidR="00EF3C03" w:rsidRPr="00B32E7C" w:rsidRDefault="00EF3C03" w:rsidP="00B32E7C">
      <w:pPr>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E7C" w:rsidRPr="00B32E7C" w:rsidTr="00E95A6A">
        <w:tc>
          <w:tcPr>
            <w:tcW w:w="543" w:type="pct"/>
          </w:tcPr>
          <w:p w:rsidR="00B32E7C" w:rsidRPr="00B32E7C" w:rsidRDefault="00B32E7C" w:rsidP="00B32E7C">
            <w:pPr>
              <w:jc w:val="both"/>
              <w:rPr>
                <w:sz w:val="20"/>
                <w:lang w:val="en-CA"/>
              </w:rPr>
            </w:pPr>
            <w:r w:rsidRPr="00B32E7C">
              <w:rPr>
                <w:rStyle w:val="SCCFileNumberChar"/>
                <w:sz w:val="20"/>
                <w:szCs w:val="20"/>
              </w:rPr>
              <w:t>37020</w:t>
            </w:r>
          </w:p>
        </w:tc>
        <w:tc>
          <w:tcPr>
            <w:tcW w:w="4457" w:type="pct"/>
            <w:gridSpan w:val="3"/>
          </w:tcPr>
          <w:p w:rsidR="00B32E7C" w:rsidRPr="00B32E7C" w:rsidRDefault="00B32E7C" w:rsidP="00B32E7C">
            <w:pPr>
              <w:pStyle w:val="SCCLsocParty"/>
              <w:jc w:val="both"/>
              <w:rPr>
                <w:b/>
                <w:sz w:val="20"/>
                <w:szCs w:val="20"/>
                <w:lang w:val="en-CA"/>
              </w:rPr>
            </w:pPr>
            <w:r w:rsidRPr="00B32E7C">
              <w:rPr>
                <w:b/>
                <w:sz w:val="20"/>
                <w:szCs w:val="20"/>
                <w:lang w:val="en-CA"/>
              </w:rPr>
              <w:t>Marie-Anne Jean v. Canadian Broadcasting Corporation</w:t>
            </w:r>
          </w:p>
          <w:p w:rsidR="00B32E7C" w:rsidRPr="00B32E7C" w:rsidRDefault="00B32E7C" w:rsidP="00B32E7C">
            <w:pPr>
              <w:jc w:val="both"/>
              <w:rPr>
                <w:sz w:val="20"/>
                <w:lang w:val="en-CA"/>
              </w:rPr>
            </w:pPr>
            <w:r w:rsidRPr="00B32E7C">
              <w:rPr>
                <w:sz w:val="20"/>
                <w:lang w:val="en-CA"/>
              </w:rPr>
              <w:t>(F.C.) (Civil) (By Leave)</w:t>
            </w:r>
          </w:p>
        </w:tc>
      </w:tr>
      <w:tr w:rsidR="00B32E7C" w:rsidRPr="00B32E7C" w:rsidTr="00E95A6A">
        <w:tc>
          <w:tcPr>
            <w:tcW w:w="5000" w:type="pct"/>
            <w:gridSpan w:val="4"/>
          </w:tcPr>
          <w:p w:rsidR="00B32E7C" w:rsidRPr="00B32E7C" w:rsidRDefault="00B32E7C" w:rsidP="00B32E7C">
            <w:pPr>
              <w:jc w:val="both"/>
              <w:rPr>
                <w:sz w:val="20"/>
                <w:lang w:val="en-CA"/>
              </w:rPr>
            </w:pPr>
            <w:proofErr w:type="gramStart"/>
            <w:r w:rsidRPr="00B32E7C">
              <w:rPr>
                <w:sz w:val="20"/>
                <w:lang w:val="en-CA"/>
              </w:rPr>
              <w:t>Human rights – Right to equality – Discrimination based on age – Human Rights Commission dismissing discrimination complaint pursuant to s. 44(3)(</w:t>
            </w:r>
            <w:r w:rsidRPr="00B32E7C">
              <w:rPr>
                <w:i/>
                <w:sz w:val="20"/>
                <w:lang w:val="en-CA"/>
              </w:rPr>
              <w:t>b</w:t>
            </w:r>
            <w:r w:rsidRPr="00B32E7C">
              <w:rPr>
                <w:sz w:val="20"/>
                <w:lang w:val="en-CA"/>
              </w:rPr>
              <w:t>)(</w:t>
            </w:r>
            <w:proofErr w:type="spellStart"/>
            <w:r w:rsidRPr="00B32E7C">
              <w:rPr>
                <w:sz w:val="20"/>
                <w:lang w:val="en-CA"/>
              </w:rPr>
              <w:t>i</w:t>
            </w:r>
            <w:proofErr w:type="spellEnd"/>
            <w:r w:rsidRPr="00B32E7C">
              <w:rPr>
                <w:sz w:val="20"/>
                <w:lang w:val="en-CA"/>
              </w:rPr>
              <w:t xml:space="preserve">) of </w:t>
            </w:r>
            <w:r w:rsidRPr="00B32E7C">
              <w:rPr>
                <w:i/>
                <w:sz w:val="20"/>
                <w:lang w:val="en-CA"/>
              </w:rPr>
              <w:t>Canadian Human Rights Act</w:t>
            </w:r>
            <w:r w:rsidRPr="00B32E7C">
              <w:rPr>
                <w:sz w:val="20"/>
                <w:lang w:val="en-CA"/>
              </w:rPr>
              <w:t>, R.S.C. 1985, c. H</w:t>
            </w:r>
            <w:r w:rsidRPr="00B32E7C">
              <w:rPr>
                <w:sz w:val="20"/>
                <w:lang w:val="en-CA"/>
              </w:rPr>
              <w:noBreakHyphen/>
              <w:t>6, on ground that inquiry into complaint not warranted in light of investigator’s report – Whether procedural fairness observed in this case – Whether Commission’s decision refusing to inquire into complaint was reasonable.</w:t>
            </w:r>
            <w:proofErr w:type="gramEnd"/>
          </w:p>
        </w:tc>
      </w:tr>
      <w:tr w:rsidR="00B32E7C" w:rsidRPr="00B32E7C" w:rsidTr="00E95A6A">
        <w:tc>
          <w:tcPr>
            <w:tcW w:w="5000" w:type="pct"/>
            <w:gridSpan w:val="4"/>
          </w:tcPr>
          <w:p w:rsidR="00B32E7C" w:rsidRPr="00B32E7C" w:rsidRDefault="00B32E7C" w:rsidP="00B32E7C">
            <w:pPr>
              <w:jc w:val="both"/>
              <w:rPr>
                <w:sz w:val="20"/>
                <w:lang w:val="en-CA"/>
              </w:rPr>
            </w:pPr>
          </w:p>
        </w:tc>
      </w:tr>
      <w:tr w:rsidR="00B32E7C" w:rsidRPr="00B32E7C" w:rsidTr="00E95A6A">
        <w:tc>
          <w:tcPr>
            <w:tcW w:w="5000" w:type="pct"/>
            <w:gridSpan w:val="4"/>
          </w:tcPr>
          <w:p w:rsidR="00B32E7C" w:rsidRPr="00B32E7C" w:rsidRDefault="00B32E7C" w:rsidP="00B32E7C">
            <w:pPr>
              <w:jc w:val="both"/>
              <w:rPr>
                <w:sz w:val="20"/>
                <w:lang w:val="en-CA"/>
              </w:rPr>
            </w:pPr>
            <w:r w:rsidRPr="00B32E7C">
              <w:rPr>
                <w:sz w:val="20"/>
                <w:lang w:val="en-CA"/>
              </w:rPr>
              <w:t>The applicant Ms. Jean was an employee of the Canadian Broadcasting Corporation (“CBC”). While working as an assignment assistant in the newsroom listening centre, she applied for a caption editor position. In May 2007, the CBC informed her that she had been eliminated from the competition because she had obtained a mark of only 41.5% on the mandatory French test. Ms. Jean filed a complaint with the Canadian Human Rights Commission (“Commission”) alleging discrimination based on age.</w:t>
            </w:r>
          </w:p>
          <w:p w:rsidR="00B32E7C" w:rsidRPr="00B32E7C" w:rsidRDefault="00B32E7C" w:rsidP="00B32E7C">
            <w:pPr>
              <w:jc w:val="both"/>
              <w:rPr>
                <w:sz w:val="20"/>
                <w:lang w:val="en-CA"/>
              </w:rPr>
            </w:pPr>
          </w:p>
          <w:p w:rsidR="00B32E7C" w:rsidRPr="00B32E7C" w:rsidRDefault="00B32E7C" w:rsidP="00B32E7C">
            <w:pPr>
              <w:jc w:val="both"/>
              <w:rPr>
                <w:sz w:val="20"/>
                <w:lang w:val="en-CA"/>
              </w:rPr>
            </w:pPr>
            <w:r w:rsidRPr="00B32E7C">
              <w:rPr>
                <w:sz w:val="20"/>
                <w:lang w:val="en-CA"/>
              </w:rPr>
              <w:t>The Commission designated an investigator. Following his investigation, the investigator recommended that the complaint be dismissed. The Commission dismissed the complaint under s. 44(3)(</w:t>
            </w:r>
            <w:r w:rsidRPr="00B32E7C">
              <w:rPr>
                <w:i/>
                <w:sz w:val="20"/>
                <w:lang w:val="en-CA"/>
              </w:rPr>
              <w:t>b</w:t>
            </w:r>
            <w:r w:rsidRPr="00B32E7C">
              <w:rPr>
                <w:sz w:val="20"/>
                <w:lang w:val="en-CA"/>
              </w:rPr>
              <w:t>)(</w:t>
            </w:r>
            <w:proofErr w:type="spellStart"/>
            <w:r w:rsidRPr="00B32E7C">
              <w:rPr>
                <w:sz w:val="20"/>
                <w:lang w:val="en-CA"/>
              </w:rPr>
              <w:t>i</w:t>
            </w:r>
            <w:proofErr w:type="spellEnd"/>
            <w:r w:rsidRPr="00B32E7C">
              <w:rPr>
                <w:sz w:val="20"/>
                <w:lang w:val="en-CA"/>
              </w:rPr>
              <w:t xml:space="preserve">) of the </w:t>
            </w:r>
            <w:r w:rsidRPr="00B32E7C">
              <w:rPr>
                <w:i/>
                <w:sz w:val="20"/>
                <w:lang w:val="en-CA"/>
              </w:rPr>
              <w:t>Canadian Human Rights Act</w:t>
            </w:r>
            <w:r w:rsidRPr="00B32E7C">
              <w:rPr>
                <w:sz w:val="20"/>
                <w:lang w:val="en-CA"/>
              </w:rPr>
              <w:t>, R.S.C. 1985, c. H</w:t>
            </w:r>
            <w:r w:rsidRPr="00B32E7C">
              <w:rPr>
                <w:sz w:val="20"/>
                <w:lang w:val="en-CA"/>
              </w:rPr>
              <w:noBreakHyphen/>
              <w:t>6, finding that an inquiry into the complaint was not warranted in light of its investigator’s report.</w:t>
            </w:r>
          </w:p>
          <w:p w:rsidR="00B32E7C" w:rsidRPr="00B32E7C" w:rsidRDefault="00B32E7C" w:rsidP="00B32E7C">
            <w:pPr>
              <w:jc w:val="both"/>
              <w:rPr>
                <w:sz w:val="20"/>
                <w:lang w:val="en-CA"/>
              </w:rPr>
            </w:pPr>
          </w:p>
          <w:p w:rsidR="00B32E7C" w:rsidRPr="00B32E7C" w:rsidRDefault="00B32E7C" w:rsidP="00B32E7C">
            <w:pPr>
              <w:jc w:val="both"/>
              <w:rPr>
                <w:sz w:val="20"/>
                <w:lang w:val="en-CA"/>
              </w:rPr>
            </w:pPr>
            <w:r w:rsidRPr="00B32E7C">
              <w:rPr>
                <w:sz w:val="20"/>
                <w:lang w:val="en-CA"/>
              </w:rPr>
              <w:t>The Federal Court dismissed the application for judicial review. In Gagné J.’s view, the Commission had satisfied the applicable procedural fairness requirements and its decision was not unreasonable. The Federal Court of Appeal dismissed the appeal.</w:t>
            </w:r>
          </w:p>
          <w:p w:rsidR="00B32E7C" w:rsidRPr="00B32E7C" w:rsidRDefault="00B32E7C" w:rsidP="00B32E7C">
            <w:pPr>
              <w:jc w:val="both"/>
              <w:rPr>
                <w:sz w:val="20"/>
                <w:lang w:val="en-CA"/>
              </w:rPr>
            </w:pPr>
          </w:p>
        </w:tc>
      </w:tr>
      <w:tr w:rsidR="00B32E7C" w:rsidRPr="00B32E7C" w:rsidTr="00E95A6A">
        <w:tc>
          <w:tcPr>
            <w:tcW w:w="2427" w:type="pct"/>
            <w:gridSpan w:val="2"/>
          </w:tcPr>
          <w:p w:rsidR="00B32E7C" w:rsidRPr="00B32E7C" w:rsidRDefault="00B32E7C" w:rsidP="00B32E7C">
            <w:pPr>
              <w:jc w:val="both"/>
              <w:rPr>
                <w:sz w:val="20"/>
                <w:lang w:val="en-CA"/>
              </w:rPr>
            </w:pPr>
            <w:r w:rsidRPr="00B32E7C">
              <w:rPr>
                <w:sz w:val="20"/>
                <w:lang w:val="en-CA"/>
              </w:rPr>
              <w:t>April 28, 2015</w:t>
            </w:r>
          </w:p>
          <w:p w:rsidR="00B32E7C" w:rsidRPr="00B32E7C" w:rsidRDefault="00B32E7C" w:rsidP="00B32E7C">
            <w:pPr>
              <w:jc w:val="both"/>
              <w:rPr>
                <w:sz w:val="20"/>
                <w:lang w:val="en-CA"/>
              </w:rPr>
            </w:pPr>
            <w:r w:rsidRPr="00B32E7C">
              <w:rPr>
                <w:sz w:val="20"/>
                <w:lang w:val="en-CA"/>
              </w:rPr>
              <w:t>Federal Court</w:t>
            </w:r>
          </w:p>
          <w:p w:rsidR="00B32E7C" w:rsidRPr="00B32E7C" w:rsidRDefault="00B32E7C" w:rsidP="00B32E7C">
            <w:pPr>
              <w:jc w:val="both"/>
              <w:rPr>
                <w:sz w:val="20"/>
                <w:lang w:val="en-CA"/>
              </w:rPr>
            </w:pPr>
            <w:r w:rsidRPr="00B32E7C">
              <w:rPr>
                <w:sz w:val="20"/>
                <w:lang w:val="en-CA"/>
              </w:rPr>
              <w:t>(Gagné J.)</w:t>
            </w:r>
          </w:p>
          <w:p w:rsidR="00B32E7C" w:rsidRPr="00B32E7C" w:rsidRDefault="00F52446" w:rsidP="00B32E7C">
            <w:pPr>
              <w:jc w:val="both"/>
              <w:rPr>
                <w:sz w:val="20"/>
                <w:lang w:val="en-CA"/>
              </w:rPr>
            </w:pPr>
            <w:hyperlink r:id="rId40" w:history="1">
              <w:r w:rsidR="00B32E7C" w:rsidRPr="00B32E7C">
                <w:rPr>
                  <w:rStyle w:val="Hyperlink"/>
                  <w:sz w:val="20"/>
                  <w:lang w:val="en-CA"/>
                </w:rPr>
                <w:t>2015 FC 541</w:t>
              </w:r>
            </w:hyperlink>
          </w:p>
          <w:p w:rsidR="00B32E7C" w:rsidRPr="00B32E7C" w:rsidRDefault="00B32E7C" w:rsidP="00B32E7C">
            <w:pPr>
              <w:jc w:val="both"/>
              <w:rPr>
                <w:sz w:val="20"/>
                <w:lang w:val="en-CA"/>
              </w:rPr>
            </w:pPr>
          </w:p>
        </w:tc>
        <w:tc>
          <w:tcPr>
            <w:tcW w:w="243" w:type="pct"/>
          </w:tcPr>
          <w:p w:rsidR="00B32E7C" w:rsidRPr="00B32E7C" w:rsidRDefault="00B32E7C" w:rsidP="00B32E7C">
            <w:pPr>
              <w:jc w:val="both"/>
              <w:rPr>
                <w:sz w:val="20"/>
                <w:lang w:val="en-CA"/>
              </w:rPr>
            </w:pPr>
          </w:p>
        </w:tc>
        <w:tc>
          <w:tcPr>
            <w:tcW w:w="2330" w:type="pct"/>
          </w:tcPr>
          <w:p w:rsidR="00B32E7C" w:rsidRPr="00B32E7C" w:rsidRDefault="00B32E7C" w:rsidP="00B32E7C">
            <w:pPr>
              <w:jc w:val="both"/>
              <w:rPr>
                <w:sz w:val="20"/>
                <w:lang w:val="en-CA"/>
              </w:rPr>
            </w:pPr>
            <w:r w:rsidRPr="00B32E7C">
              <w:rPr>
                <w:sz w:val="20"/>
                <w:lang w:val="en-CA"/>
              </w:rPr>
              <w:t>Application for judicial review dismissed</w:t>
            </w:r>
          </w:p>
          <w:p w:rsidR="00B32E7C" w:rsidRPr="00B32E7C" w:rsidRDefault="00B32E7C" w:rsidP="00B32E7C">
            <w:pPr>
              <w:jc w:val="both"/>
              <w:rPr>
                <w:sz w:val="20"/>
                <w:lang w:val="en-CA"/>
              </w:rPr>
            </w:pPr>
          </w:p>
        </w:tc>
      </w:tr>
      <w:tr w:rsidR="00B32E7C" w:rsidRPr="00B32E7C" w:rsidTr="00E95A6A">
        <w:tc>
          <w:tcPr>
            <w:tcW w:w="2427" w:type="pct"/>
            <w:gridSpan w:val="2"/>
          </w:tcPr>
          <w:p w:rsidR="00B32E7C" w:rsidRPr="00B32E7C" w:rsidRDefault="00B32E7C" w:rsidP="00B32E7C">
            <w:pPr>
              <w:jc w:val="both"/>
              <w:rPr>
                <w:sz w:val="20"/>
                <w:lang w:val="en-CA"/>
              </w:rPr>
            </w:pPr>
            <w:r w:rsidRPr="00B32E7C">
              <w:rPr>
                <w:sz w:val="20"/>
                <w:lang w:val="en-CA"/>
              </w:rPr>
              <w:t>March 15, 2016</w:t>
            </w:r>
          </w:p>
          <w:p w:rsidR="00B32E7C" w:rsidRPr="00B32E7C" w:rsidRDefault="00B32E7C" w:rsidP="00B32E7C">
            <w:pPr>
              <w:jc w:val="both"/>
              <w:rPr>
                <w:sz w:val="20"/>
                <w:lang w:val="en-CA"/>
              </w:rPr>
            </w:pPr>
            <w:r w:rsidRPr="00B32E7C">
              <w:rPr>
                <w:sz w:val="20"/>
                <w:lang w:val="en-CA"/>
              </w:rPr>
              <w:t>Federal Court of Appeal</w:t>
            </w:r>
          </w:p>
          <w:p w:rsidR="00B32E7C" w:rsidRPr="00B32E7C" w:rsidRDefault="00B32E7C" w:rsidP="00B32E7C">
            <w:pPr>
              <w:jc w:val="both"/>
              <w:rPr>
                <w:sz w:val="20"/>
                <w:lang w:val="en-CA"/>
              </w:rPr>
            </w:pPr>
            <w:r w:rsidRPr="00B32E7C">
              <w:rPr>
                <w:sz w:val="20"/>
                <w:lang w:val="en-CA"/>
              </w:rPr>
              <w:t>(Pelletier, Gauthier and Scott JJ.A.)</w:t>
            </w:r>
          </w:p>
          <w:p w:rsidR="00B32E7C" w:rsidRPr="00B32E7C" w:rsidRDefault="00F52446" w:rsidP="00B32E7C">
            <w:pPr>
              <w:jc w:val="both"/>
              <w:rPr>
                <w:sz w:val="20"/>
                <w:lang w:val="en-CA"/>
              </w:rPr>
            </w:pPr>
            <w:hyperlink r:id="rId41" w:history="1">
              <w:r w:rsidR="00B32E7C" w:rsidRPr="00B32E7C">
                <w:rPr>
                  <w:rStyle w:val="Hyperlink"/>
                  <w:sz w:val="20"/>
                  <w:lang w:val="en-CA"/>
                </w:rPr>
                <w:t>2016 FCA 81</w:t>
              </w:r>
            </w:hyperlink>
          </w:p>
          <w:p w:rsidR="00B32E7C" w:rsidRPr="00B32E7C" w:rsidRDefault="00B32E7C" w:rsidP="00B32E7C">
            <w:pPr>
              <w:jc w:val="both"/>
              <w:rPr>
                <w:sz w:val="20"/>
                <w:lang w:val="en-CA"/>
              </w:rPr>
            </w:pPr>
          </w:p>
        </w:tc>
        <w:tc>
          <w:tcPr>
            <w:tcW w:w="243" w:type="pct"/>
          </w:tcPr>
          <w:p w:rsidR="00B32E7C" w:rsidRPr="00B32E7C" w:rsidRDefault="00B32E7C" w:rsidP="00B32E7C">
            <w:pPr>
              <w:jc w:val="both"/>
              <w:rPr>
                <w:sz w:val="20"/>
                <w:lang w:val="en-CA"/>
              </w:rPr>
            </w:pPr>
          </w:p>
        </w:tc>
        <w:tc>
          <w:tcPr>
            <w:tcW w:w="2330" w:type="pct"/>
          </w:tcPr>
          <w:p w:rsidR="00B32E7C" w:rsidRPr="00B32E7C" w:rsidRDefault="00B32E7C" w:rsidP="00B32E7C">
            <w:pPr>
              <w:jc w:val="both"/>
              <w:rPr>
                <w:sz w:val="20"/>
                <w:lang w:val="en-CA"/>
              </w:rPr>
            </w:pPr>
            <w:r w:rsidRPr="00B32E7C">
              <w:rPr>
                <w:sz w:val="20"/>
                <w:lang w:val="en-CA"/>
              </w:rPr>
              <w:t>Appeal dismissed</w:t>
            </w:r>
          </w:p>
        </w:tc>
      </w:tr>
      <w:tr w:rsidR="00B32E7C" w:rsidRPr="00B32E7C" w:rsidTr="00E95A6A">
        <w:tc>
          <w:tcPr>
            <w:tcW w:w="2427" w:type="pct"/>
            <w:gridSpan w:val="2"/>
          </w:tcPr>
          <w:p w:rsidR="00B32E7C" w:rsidRPr="00B32E7C" w:rsidRDefault="00B32E7C" w:rsidP="00B32E7C">
            <w:pPr>
              <w:jc w:val="both"/>
              <w:rPr>
                <w:sz w:val="20"/>
                <w:lang w:val="en-CA"/>
              </w:rPr>
            </w:pPr>
            <w:r w:rsidRPr="00B32E7C">
              <w:rPr>
                <w:sz w:val="20"/>
                <w:lang w:val="en-CA"/>
              </w:rPr>
              <w:t>May 13, 2016</w:t>
            </w:r>
          </w:p>
          <w:p w:rsidR="00B32E7C" w:rsidRPr="00B32E7C" w:rsidRDefault="00B32E7C" w:rsidP="00B32E7C">
            <w:pPr>
              <w:jc w:val="both"/>
              <w:rPr>
                <w:sz w:val="20"/>
                <w:lang w:val="en-CA"/>
              </w:rPr>
            </w:pPr>
            <w:r w:rsidRPr="00B32E7C">
              <w:rPr>
                <w:sz w:val="20"/>
                <w:lang w:val="en-CA"/>
              </w:rPr>
              <w:t>Supreme Court of Canada</w:t>
            </w:r>
          </w:p>
        </w:tc>
        <w:tc>
          <w:tcPr>
            <w:tcW w:w="243" w:type="pct"/>
          </w:tcPr>
          <w:p w:rsidR="00B32E7C" w:rsidRPr="00B32E7C" w:rsidRDefault="00B32E7C" w:rsidP="00B32E7C">
            <w:pPr>
              <w:jc w:val="both"/>
              <w:rPr>
                <w:sz w:val="20"/>
                <w:lang w:val="en-CA"/>
              </w:rPr>
            </w:pPr>
          </w:p>
        </w:tc>
        <w:tc>
          <w:tcPr>
            <w:tcW w:w="2330" w:type="pct"/>
          </w:tcPr>
          <w:p w:rsidR="00B32E7C" w:rsidRPr="00B32E7C" w:rsidRDefault="00B32E7C" w:rsidP="00B32E7C">
            <w:pPr>
              <w:jc w:val="both"/>
              <w:rPr>
                <w:sz w:val="20"/>
                <w:lang w:val="en-CA"/>
              </w:rPr>
            </w:pPr>
            <w:r w:rsidRPr="00B32E7C">
              <w:rPr>
                <w:sz w:val="20"/>
                <w:lang w:val="en-CA"/>
              </w:rPr>
              <w:t>Application for leave to appeal filed</w:t>
            </w:r>
          </w:p>
          <w:p w:rsidR="00B32E7C" w:rsidRPr="00B32E7C" w:rsidRDefault="00B32E7C" w:rsidP="00B32E7C">
            <w:pPr>
              <w:jc w:val="both"/>
              <w:rPr>
                <w:sz w:val="20"/>
                <w:lang w:val="en-CA"/>
              </w:rPr>
            </w:pPr>
          </w:p>
        </w:tc>
      </w:tr>
    </w:tbl>
    <w:p w:rsidR="00B32E7C" w:rsidRDefault="00B32E7C" w:rsidP="00B32E7C">
      <w:pPr>
        <w:jc w:val="both"/>
        <w:rPr>
          <w:sz w:val="20"/>
          <w:lang w:val="en-CA"/>
        </w:rPr>
      </w:pPr>
    </w:p>
    <w:p w:rsidR="00B32E7C" w:rsidRPr="00B32E7C" w:rsidRDefault="00B32E7C" w:rsidP="00B32E7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2E7C" w:rsidRPr="00B32E7C" w:rsidTr="00E95A6A">
        <w:tc>
          <w:tcPr>
            <w:tcW w:w="543" w:type="pct"/>
          </w:tcPr>
          <w:p w:rsidR="00B32E7C" w:rsidRPr="00B32E7C" w:rsidRDefault="00B32E7C" w:rsidP="00B32E7C">
            <w:pPr>
              <w:jc w:val="both"/>
              <w:rPr>
                <w:sz w:val="20"/>
              </w:rPr>
            </w:pPr>
            <w:r w:rsidRPr="00B32E7C">
              <w:rPr>
                <w:rStyle w:val="SCCFileNumberChar"/>
                <w:sz w:val="20"/>
                <w:szCs w:val="20"/>
              </w:rPr>
              <w:t>37020</w:t>
            </w:r>
          </w:p>
        </w:tc>
        <w:tc>
          <w:tcPr>
            <w:tcW w:w="4457" w:type="pct"/>
            <w:gridSpan w:val="3"/>
          </w:tcPr>
          <w:p w:rsidR="00B32E7C" w:rsidRPr="00B32E7C" w:rsidRDefault="00B32E7C" w:rsidP="00B32E7C">
            <w:pPr>
              <w:pStyle w:val="SCCLsocParty"/>
              <w:jc w:val="both"/>
              <w:rPr>
                <w:b/>
                <w:sz w:val="20"/>
                <w:szCs w:val="20"/>
              </w:rPr>
            </w:pPr>
            <w:r w:rsidRPr="00B32E7C">
              <w:rPr>
                <w:b/>
                <w:sz w:val="20"/>
                <w:szCs w:val="20"/>
              </w:rPr>
              <w:t>Marie-Anne Jean c. Société Radio-Canada</w:t>
            </w:r>
          </w:p>
          <w:p w:rsidR="00B32E7C" w:rsidRPr="00B32E7C" w:rsidRDefault="00B32E7C" w:rsidP="00B32E7C">
            <w:pPr>
              <w:jc w:val="both"/>
              <w:rPr>
                <w:sz w:val="20"/>
              </w:rPr>
            </w:pPr>
            <w:r w:rsidRPr="00B32E7C">
              <w:rPr>
                <w:sz w:val="20"/>
              </w:rPr>
              <w:t>(CF) (Civile) (Autorisation)</w:t>
            </w:r>
          </w:p>
        </w:tc>
      </w:tr>
      <w:tr w:rsidR="00B32E7C" w:rsidRPr="00B32E7C" w:rsidTr="00E95A6A">
        <w:tc>
          <w:tcPr>
            <w:tcW w:w="5000" w:type="pct"/>
            <w:gridSpan w:val="4"/>
          </w:tcPr>
          <w:p w:rsidR="00B32E7C" w:rsidRPr="00B32E7C" w:rsidRDefault="00B32E7C" w:rsidP="00B32E7C">
            <w:pPr>
              <w:jc w:val="both"/>
              <w:rPr>
                <w:sz w:val="20"/>
              </w:rPr>
            </w:pPr>
            <w:r w:rsidRPr="00B32E7C">
              <w:rPr>
                <w:sz w:val="20"/>
              </w:rPr>
              <w:t>Droits de la personne – Droit à l’égalité – Discrimination fondée sur l’âge – Commission des droits de la personne rejetant une plainte de discrimination en application du sous-al. 44(3</w:t>
            </w:r>
            <w:proofErr w:type="gramStart"/>
            <w:r w:rsidRPr="00B32E7C">
              <w:rPr>
                <w:sz w:val="20"/>
              </w:rPr>
              <w:t>)</w:t>
            </w:r>
            <w:r w:rsidRPr="00B32E7C">
              <w:rPr>
                <w:i/>
                <w:sz w:val="20"/>
              </w:rPr>
              <w:t>b</w:t>
            </w:r>
            <w:proofErr w:type="gramEnd"/>
            <w:r w:rsidRPr="00B32E7C">
              <w:rPr>
                <w:sz w:val="20"/>
              </w:rPr>
              <w:t xml:space="preserve">)(i) de la </w:t>
            </w:r>
            <w:r w:rsidRPr="00B32E7C">
              <w:rPr>
                <w:i/>
                <w:sz w:val="20"/>
              </w:rPr>
              <w:t>Loi canadienne des droits de la personne</w:t>
            </w:r>
            <w:r w:rsidRPr="00B32E7C">
              <w:rPr>
                <w:sz w:val="20"/>
              </w:rPr>
              <w:t>, L.R.C. 1985, c. H-6, au motif que l’examen de la plainte n’est pas justifié au regard du rapport de l’enquêteur – L’équité procédurale a-t-elle été respectée en l’espèce? – La décision de la Commission de refuser l’examen de la plainte était-elle raisonnable?</w:t>
            </w:r>
          </w:p>
        </w:tc>
      </w:tr>
      <w:tr w:rsidR="00B32E7C" w:rsidRPr="00B32E7C" w:rsidTr="00E95A6A">
        <w:tc>
          <w:tcPr>
            <w:tcW w:w="5000" w:type="pct"/>
            <w:gridSpan w:val="4"/>
          </w:tcPr>
          <w:p w:rsidR="00B32E7C" w:rsidRPr="00B32E7C" w:rsidRDefault="00B32E7C" w:rsidP="00B32E7C">
            <w:pPr>
              <w:jc w:val="both"/>
              <w:rPr>
                <w:sz w:val="20"/>
              </w:rPr>
            </w:pPr>
          </w:p>
        </w:tc>
      </w:tr>
      <w:tr w:rsidR="00B32E7C" w:rsidRPr="00B32E7C" w:rsidTr="00E95A6A">
        <w:tc>
          <w:tcPr>
            <w:tcW w:w="5000" w:type="pct"/>
            <w:gridSpan w:val="4"/>
          </w:tcPr>
          <w:p w:rsidR="00B32E7C" w:rsidRPr="00B32E7C" w:rsidRDefault="00B32E7C" w:rsidP="00B32E7C">
            <w:pPr>
              <w:jc w:val="both"/>
              <w:rPr>
                <w:sz w:val="20"/>
              </w:rPr>
            </w:pPr>
            <w:r w:rsidRPr="00B32E7C">
              <w:rPr>
                <w:sz w:val="20"/>
              </w:rPr>
              <w:t>La demanderesse, Mme Jean, est une employée de la Société Radio-Canada (« SRC »). Alors qu’elle occupe le poste d’auxiliaire à l’affectation du Centre d’écoute de la salle des nouvelles, elle postule pour un poste de sous-titreur. En mai 2007, la SRC l’informe que sa candidature n’est pas retenue puisqu’elle n’a obtenu qu’une note de 41,5 % au test de français requis. Mme Jean porte plainte devant la Commission canadienne des droits de la personne (« la Commission »), invoquant comme fondement du recours la discrimination fondée sur l’âge.</w:t>
            </w:r>
          </w:p>
          <w:p w:rsidR="00B32E7C" w:rsidRPr="00B32E7C" w:rsidRDefault="00B32E7C" w:rsidP="00B32E7C">
            <w:pPr>
              <w:jc w:val="both"/>
              <w:rPr>
                <w:sz w:val="20"/>
              </w:rPr>
            </w:pPr>
          </w:p>
          <w:p w:rsidR="00B32E7C" w:rsidRPr="00B32E7C" w:rsidRDefault="00B32E7C" w:rsidP="00B32E7C">
            <w:pPr>
              <w:jc w:val="both"/>
              <w:rPr>
                <w:sz w:val="20"/>
              </w:rPr>
            </w:pPr>
            <w:r w:rsidRPr="00B32E7C">
              <w:rPr>
                <w:sz w:val="20"/>
              </w:rPr>
              <w:t>La Commission mandate un enquêteur. Au terme de son enquête, celui-ci recommande le rejet de la plainte. La Commission rejette la plainte au terme du sous-al. 44(3</w:t>
            </w:r>
            <w:proofErr w:type="gramStart"/>
            <w:r w:rsidRPr="00B32E7C">
              <w:rPr>
                <w:sz w:val="20"/>
              </w:rPr>
              <w:t>)</w:t>
            </w:r>
            <w:r w:rsidRPr="00B32E7C">
              <w:rPr>
                <w:i/>
                <w:sz w:val="20"/>
              </w:rPr>
              <w:t>b</w:t>
            </w:r>
            <w:proofErr w:type="gramEnd"/>
            <w:r w:rsidRPr="00B32E7C">
              <w:rPr>
                <w:sz w:val="20"/>
              </w:rPr>
              <w:t xml:space="preserve">)(i) de la </w:t>
            </w:r>
            <w:r w:rsidRPr="00B32E7C">
              <w:rPr>
                <w:i/>
                <w:sz w:val="20"/>
              </w:rPr>
              <w:t>Loi canadienne des droits de la personne</w:t>
            </w:r>
            <w:r w:rsidRPr="00B32E7C">
              <w:rPr>
                <w:sz w:val="20"/>
              </w:rPr>
              <w:t>, L.R.C. 1985, c. H-6. Elle estime qu’au regard du rapport de son enquêteur, l’examen de la plainte n’est pas justifié.</w:t>
            </w:r>
          </w:p>
          <w:p w:rsidR="00B32E7C" w:rsidRPr="00B32E7C" w:rsidRDefault="00B32E7C" w:rsidP="00B32E7C">
            <w:pPr>
              <w:jc w:val="both"/>
              <w:rPr>
                <w:sz w:val="20"/>
              </w:rPr>
            </w:pPr>
          </w:p>
          <w:p w:rsidR="00B32E7C" w:rsidRPr="00B32E7C" w:rsidRDefault="00B32E7C" w:rsidP="00B32E7C">
            <w:pPr>
              <w:jc w:val="both"/>
              <w:rPr>
                <w:sz w:val="20"/>
              </w:rPr>
            </w:pPr>
            <w:r w:rsidRPr="00B32E7C">
              <w:rPr>
                <w:sz w:val="20"/>
              </w:rPr>
              <w:t>La Cour fédérale rejette la demande de contrôle judiciaire. Selon la juge Gagné, la Commission a respecté les exigences d’équité procédurale qui s’imposaient, et la décision de la Commission n’est pas déraisonnable. La Cour d’appel fédérale rejette l’appel.</w:t>
            </w:r>
          </w:p>
          <w:p w:rsidR="00B32E7C" w:rsidRPr="00B32E7C" w:rsidRDefault="00B32E7C" w:rsidP="00B32E7C">
            <w:pPr>
              <w:jc w:val="both"/>
              <w:rPr>
                <w:sz w:val="20"/>
              </w:rPr>
            </w:pPr>
          </w:p>
        </w:tc>
      </w:tr>
      <w:tr w:rsidR="00B32E7C" w:rsidRPr="00B32E7C" w:rsidTr="00E95A6A">
        <w:tc>
          <w:tcPr>
            <w:tcW w:w="2427" w:type="pct"/>
            <w:gridSpan w:val="2"/>
          </w:tcPr>
          <w:p w:rsidR="00B32E7C" w:rsidRPr="00B32E7C" w:rsidRDefault="00B32E7C" w:rsidP="00B32E7C">
            <w:pPr>
              <w:jc w:val="both"/>
              <w:rPr>
                <w:sz w:val="20"/>
              </w:rPr>
            </w:pPr>
            <w:r w:rsidRPr="00B32E7C">
              <w:rPr>
                <w:sz w:val="20"/>
              </w:rPr>
              <w:t>Le 28 avril 2015</w:t>
            </w:r>
          </w:p>
          <w:p w:rsidR="00B32E7C" w:rsidRPr="00B32E7C" w:rsidRDefault="00B32E7C" w:rsidP="00B32E7C">
            <w:pPr>
              <w:jc w:val="both"/>
              <w:rPr>
                <w:sz w:val="20"/>
              </w:rPr>
            </w:pPr>
            <w:r w:rsidRPr="00B32E7C">
              <w:rPr>
                <w:sz w:val="20"/>
              </w:rPr>
              <w:t>Cour fédérale</w:t>
            </w:r>
          </w:p>
          <w:p w:rsidR="00B32E7C" w:rsidRPr="00B32E7C" w:rsidRDefault="00B32E7C" w:rsidP="00B32E7C">
            <w:pPr>
              <w:jc w:val="both"/>
              <w:rPr>
                <w:sz w:val="20"/>
              </w:rPr>
            </w:pPr>
            <w:r w:rsidRPr="00B32E7C">
              <w:rPr>
                <w:sz w:val="20"/>
              </w:rPr>
              <w:t>(La juge Gagné)</w:t>
            </w:r>
          </w:p>
          <w:p w:rsidR="00B32E7C" w:rsidRPr="00B32E7C" w:rsidRDefault="00F52446" w:rsidP="00B32E7C">
            <w:pPr>
              <w:jc w:val="both"/>
              <w:rPr>
                <w:sz w:val="20"/>
              </w:rPr>
            </w:pPr>
            <w:hyperlink r:id="rId42" w:history="1">
              <w:r w:rsidR="00B32E7C" w:rsidRPr="00B32E7C">
                <w:rPr>
                  <w:rStyle w:val="Hyperlink"/>
                  <w:sz w:val="20"/>
                </w:rPr>
                <w:t>2015 CF 541</w:t>
              </w:r>
            </w:hyperlink>
          </w:p>
          <w:p w:rsidR="00B32E7C" w:rsidRPr="00B32E7C" w:rsidRDefault="00B32E7C" w:rsidP="00B32E7C">
            <w:pPr>
              <w:jc w:val="both"/>
              <w:rPr>
                <w:sz w:val="20"/>
                <w:lang w:val="fr-FR"/>
              </w:rPr>
            </w:pPr>
          </w:p>
        </w:tc>
        <w:tc>
          <w:tcPr>
            <w:tcW w:w="243" w:type="pct"/>
          </w:tcPr>
          <w:p w:rsidR="00B32E7C" w:rsidRPr="00B32E7C" w:rsidRDefault="00B32E7C" w:rsidP="00B32E7C">
            <w:pPr>
              <w:jc w:val="both"/>
              <w:rPr>
                <w:sz w:val="20"/>
                <w:lang w:val="fr-FR"/>
              </w:rPr>
            </w:pPr>
          </w:p>
        </w:tc>
        <w:tc>
          <w:tcPr>
            <w:tcW w:w="2330" w:type="pct"/>
          </w:tcPr>
          <w:p w:rsidR="00B32E7C" w:rsidRPr="00B32E7C" w:rsidRDefault="00B32E7C" w:rsidP="00B32E7C">
            <w:pPr>
              <w:jc w:val="both"/>
              <w:rPr>
                <w:sz w:val="20"/>
              </w:rPr>
            </w:pPr>
            <w:r w:rsidRPr="00B32E7C">
              <w:rPr>
                <w:sz w:val="20"/>
              </w:rPr>
              <w:t>Demande de contrôle judiciaire rejetée</w:t>
            </w:r>
          </w:p>
          <w:p w:rsidR="00B32E7C" w:rsidRPr="00B32E7C" w:rsidRDefault="00B32E7C" w:rsidP="00B32E7C">
            <w:pPr>
              <w:jc w:val="both"/>
              <w:rPr>
                <w:sz w:val="20"/>
              </w:rPr>
            </w:pPr>
          </w:p>
        </w:tc>
      </w:tr>
      <w:tr w:rsidR="00B32E7C" w:rsidRPr="00B32E7C" w:rsidTr="00E95A6A">
        <w:tc>
          <w:tcPr>
            <w:tcW w:w="2427" w:type="pct"/>
            <w:gridSpan w:val="2"/>
          </w:tcPr>
          <w:p w:rsidR="00B32E7C" w:rsidRPr="00B32E7C" w:rsidRDefault="00B32E7C" w:rsidP="00B32E7C">
            <w:pPr>
              <w:jc w:val="both"/>
              <w:rPr>
                <w:sz w:val="20"/>
              </w:rPr>
            </w:pPr>
            <w:r w:rsidRPr="00B32E7C">
              <w:rPr>
                <w:sz w:val="20"/>
              </w:rPr>
              <w:t>Le 15 mars 2016</w:t>
            </w:r>
          </w:p>
          <w:p w:rsidR="00B32E7C" w:rsidRPr="00B32E7C" w:rsidRDefault="00B32E7C" w:rsidP="00B32E7C">
            <w:pPr>
              <w:jc w:val="both"/>
              <w:rPr>
                <w:sz w:val="20"/>
              </w:rPr>
            </w:pPr>
            <w:r w:rsidRPr="00B32E7C">
              <w:rPr>
                <w:sz w:val="20"/>
              </w:rPr>
              <w:t>Cour d’appel fédérale</w:t>
            </w:r>
          </w:p>
          <w:p w:rsidR="00B32E7C" w:rsidRPr="00B32E7C" w:rsidRDefault="00B32E7C" w:rsidP="00B32E7C">
            <w:pPr>
              <w:jc w:val="both"/>
              <w:rPr>
                <w:sz w:val="20"/>
              </w:rPr>
            </w:pPr>
            <w:r w:rsidRPr="00B32E7C">
              <w:rPr>
                <w:sz w:val="20"/>
              </w:rPr>
              <w:t>(Les juges Pelletier, Gauthier et Scott)</w:t>
            </w:r>
          </w:p>
          <w:p w:rsidR="00B32E7C" w:rsidRPr="00B32E7C" w:rsidRDefault="00F52446" w:rsidP="00B32E7C">
            <w:pPr>
              <w:jc w:val="both"/>
              <w:rPr>
                <w:sz w:val="20"/>
              </w:rPr>
            </w:pPr>
            <w:hyperlink r:id="rId43" w:history="1">
              <w:r w:rsidR="00B32E7C" w:rsidRPr="00B32E7C">
                <w:rPr>
                  <w:rStyle w:val="Hyperlink"/>
                  <w:sz w:val="20"/>
                </w:rPr>
                <w:t>2016 CAF 81</w:t>
              </w:r>
            </w:hyperlink>
          </w:p>
          <w:p w:rsidR="00B32E7C" w:rsidRPr="00B32E7C" w:rsidRDefault="00B32E7C" w:rsidP="00B32E7C">
            <w:pPr>
              <w:jc w:val="both"/>
              <w:rPr>
                <w:sz w:val="20"/>
                <w:lang w:val="fr-FR"/>
              </w:rPr>
            </w:pPr>
          </w:p>
        </w:tc>
        <w:tc>
          <w:tcPr>
            <w:tcW w:w="243" w:type="pct"/>
          </w:tcPr>
          <w:p w:rsidR="00B32E7C" w:rsidRPr="00B32E7C" w:rsidRDefault="00B32E7C" w:rsidP="00B32E7C">
            <w:pPr>
              <w:jc w:val="both"/>
              <w:rPr>
                <w:sz w:val="20"/>
                <w:lang w:val="fr-FR"/>
              </w:rPr>
            </w:pPr>
          </w:p>
        </w:tc>
        <w:tc>
          <w:tcPr>
            <w:tcW w:w="2330" w:type="pct"/>
          </w:tcPr>
          <w:p w:rsidR="00B32E7C" w:rsidRPr="00B32E7C" w:rsidRDefault="00B32E7C" w:rsidP="00B32E7C">
            <w:pPr>
              <w:jc w:val="both"/>
              <w:rPr>
                <w:sz w:val="20"/>
              </w:rPr>
            </w:pPr>
            <w:r w:rsidRPr="00B32E7C">
              <w:rPr>
                <w:sz w:val="20"/>
              </w:rPr>
              <w:t>Appel rejeté</w:t>
            </w:r>
          </w:p>
        </w:tc>
      </w:tr>
      <w:tr w:rsidR="00B32E7C" w:rsidRPr="00B32E7C" w:rsidTr="00E95A6A">
        <w:tc>
          <w:tcPr>
            <w:tcW w:w="2427" w:type="pct"/>
            <w:gridSpan w:val="2"/>
          </w:tcPr>
          <w:p w:rsidR="00B32E7C" w:rsidRPr="00B32E7C" w:rsidRDefault="00B32E7C" w:rsidP="00B32E7C">
            <w:pPr>
              <w:jc w:val="both"/>
              <w:rPr>
                <w:sz w:val="20"/>
              </w:rPr>
            </w:pPr>
            <w:r w:rsidRPr="00B32E7C">
              <w:rPr>
                <w:sz w:val="20"/>
              </w:rPr>
              <w:t>Le 13 mai 2016</w:t>
            </w:r>
          </w:p>
          <w:p w:rsidR="00B32E7C" w:rsidRPr="00B32E7C" w:rsidRDefault="00B32E7C" w:rsidP="00B32E7C">
            <w:pPr>
              <w:jc w:val="both"/>
              <w:rPr>
                <w:sz w:val="20"/>
                <w:lang w:val="fr-FR"/>
              </w:rPr>
            </w:pPr>
            <w:r w:rsidRPr="00B32E7C">
              <w:rPr>
                <w:sz w:val="20"/>
              </w:rPr>
              <w:t>Cour suprême du Canada</w:t>
            </w:r>
          </w:p>
        </w:tc>
        <w:tc>
          <w:tcPr>
            <w:tcW w:w="243" w:type="pct"/>
          </w:tcPr>
          <w:p w:rsidR="00B32E7C" w:rsidRPr="00B32E7C" w:rsidRDefault="00B32E7C" w:rsidP="00B32E7C">
            <w:pPr>
              <w:jc w:val="both"/>
              <w:rPr>
                <w:sz w:val="20"/>
                <w:lang w:val="fr-FR"/>
              </w:rPr>
            </w:pPr>
          </w:p>
        </w:tc>
        <w:tc>
          <w:tcPr>
            <w:tcW w:w="2330" w:type="pct"/>
          </w:tcPr>
          <w:p w:rsidR="00B32E7C" w:rsidRPr="00B32E7C" w:rsidRDefault="00B32E7C" w:rsidP="00B32E7C">
            <w:pPr>
              <w:jc w:val="both"/>
              <w:rPr>
                <w:sz w:val="20"/>
              </w:rPr>
            </w:pPr>
            <w:r w:rsidRPr="00B32E7C">
              <w:rPr>
                <w:sz w:val="20"/>
              </w:rPr>
              <w:t>Demande d’autorisation d’appel déposée</w:t>
            </w:r>
          </w:p>
          <w:p w:rsidR="00B32E7C" w:rsidRPr="00B32E7C" w:rsidRDefault="00B32E7C" w:rsidP="00B32E7C">
            <w:pPr>
              <w:jc w:val="both"/>
              <w:rPr>
                <w:sz w:val="20"/>
              </w:rPr>
            </w:pPr>
          </w:p>
        </w:tc>
      </w:tr>
    </w:tbl>
    <w:p w:rsidR="00B32E7C" w:rsidRPr="00B32E7C" w:rsidRDefault="00B32E7C" w:rsidP="00B32E7C">
      <w:pPr>
        <w:jc w:val="both"/>
        <w:rPr>
          <w:sz w:val="20"/>
        </w:rPr>
      </w:pPr>
    </w:p>
    <w:p w:rsidR="00EF3C03" w:rsidRDefault="00EF3C03" w:rsidP="0042396F">
      <w:pPr>
        <w:rPr>
          <w:rFonts w:eastAsiaTheme="minorEastAsia"/>
          <w:sz w:val="20"/>
          <w:lang w:val="fr-CA" w:eastAsia="en-CA"/>
        </w:rPr>
      </w:pPr>
    </w:p>
    <w:p w:rsidR="00873B07" w:rsidRDefault="00873B07" w:rsidP="0042396F">
      <w:pPr>
        <w:rPr>
          <w:rFonts w:eastAsiaTheme="minorEastAsia"/>
          <w:sz w:val="20"/>
          <w:lang w:val="fr-CA" w:eastAsia="en-CA"/>
        </w:rPr>
      </w:pPr>
    </w:p>
    <w:p w:rsidR="00D3344A" w:rsidRPr="0019547E" w:rsidRDefault="00D3344A" w:rsidP="00D3344A">
      <w:pPr>
        <w:widowControl w:val="0"/>
        <w:outlineLvl w:val="0"/>
      </w:pPr>
      <w:r w:rsidRPr="0019547E">
        <w:t xml:space="preserve">Supreme Court of Canada / Cour suprême du </w:t>
      </w:r>
      <w:proofErr w:type="gramStart"/>
      <w:r w:rsidRPr="0019547E">
        <w:t>Canad</w:t>
      </w:r>
      <w:r w:rsidR="00EE289F" w:rsidRPr="0019547E">
        <w:t>a</w:t>
      </w:r>
      <w:r w:rsidRPr="0019547E">
        <w:t xml:space="preserve"> :</w:t>
      </w:r>
      <w:proofErr w:type="gramEnd"/>
      <w:r w:rsidRPr="0019547E">
        <w:t xml:space="preserve"> </w:t>
      </w:r>
    </w:p>
    <w:p w:rsidR="00D3344A" w:rsidRPr="0019547E" w:rsidRDefault="00F52446" w:rsidP="00D3344A">
      <w:pPr>
        <w:widowControl w:val="0"/>
        <w:outlineLvl w:val="0"/>
        <w:rPr>
          <w:u w:val="single"/>
        </w:rPr>
      </w:pPr>
      <w:hyperlink r:id="rId44" w:history="1">
        <w:r w:rsidR="00D3344A" w:rsidRPr="0019547E">
          <w:rPr>
            <w:rStyle w:val="Hyperlink"/>
          </w:rPr>
          <w:t>comments-commentaires@scc-csc.ca</w:t>
        </w:r>
      </w:hyperlink>
    </w:p>
    <w:p w:rsidR="00D3344A" w:rsidRPr="0019547E" w:rsidRDefault="0065588C" w:rsidP="00D3344A">
      <w:pPr>
        <w:widowControl w:val="0"/>
        <w:outlineLvl w:val="0"/>
      </w:pPr>
      <w:r w:rsidRPr="0019547E">
        <w:t>613-</w:t>
      </w:r>
      <w:r w:rsidR="00D3344A" w:rsidRPr="0019547E">
        <w:t>995-4330</w:t>
      </w:r>
    </w:p>
    <w:p w:rsidR="00497B5E" w:rsidRPr="0019547E" w:rsidRDefault="00497B5E" w:rsidP="00497B5E">
      <w:pPr>
        <w:widowControl w:val="0"/>
        <w:rPr>
          <w:sz w:val="20"/>
        </w:rPr>
      </w:pPr>
    </w:p>
    <w:p w:rsidR="00F6251B" w:rsidRPr="0019547E" w:rsidRDefault="003F43E6" w:rsidP="00F6251B">
      <w:pPr>
        <w:pStyle w:val="Footer"/>
        <w:jc w:val="center"/>
      </w:pPr>
      <w:r w:rsidRPr="0019547E">
        <w:t>- 30 -</w:t>
      </w:r>
    </w:p>
    <w:p w:rsidR="00F6251B" w:rsidRPr="0019547E" w:rsidRDefault="00F6251B" w:rsidP="00F6251B">
      <w:pPr>
        <w:pStyle w:val="Footer"/>
        <w:jc w:val="center"/>
      </w:pPr>
    </w:p>
    <w:p w:rsidR="00F6251B" w:rsidRPr="0019547E" w:rsidRDefault="00F6251B" w:rsidP="00F6251B">
      <w:pPr>
        <w:pStyle w:val="Footer"/>
        <w:jc w:val="center"/>
      </w:pPr>
    </w:p>
    <w:sectPr w:rsidR="00F6251B" w:rsidRPr="0019547E" w:rsidSect="00524822">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6"/>
  </w:num>
  <w:num w:numId="2">
    <w:abstractNumId w:val="8"/>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7"/>
  </w:num>
  <w:num w:numId="12">
    <w:abstractNumId w:val="4"/>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20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37D5"/>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E02"/>
    <w:rsid w:val="00033257"/>
    <w:rsid w:val="00033935"/>
    <w:rsid w:val="00033D1E"/>
    <w:rsid w:val="00033D28"/>
    <w:rsid w:val="000343B3"/>
    <w:rsid w:val="0003496D"/>
    <w:rsid w:val="00034A7F"/>
    <w:rsid w:val="00035790"/>
    <w:rsid w:val="000368C3"/>
    <w:rsid w:val="00041B58"/>
    <w:rsid w:val="00042069"/>
    <w:rsid w:val="00042390"/>
    <w:rsid w:val="0004298B"/>
    <w:rsid w:val="00043FDE"/>
    <w:rsid w:val="000467DE"/>
    <w:rsid w:val="00046CB2"/>
    <w:rsid w:val="00047188"/>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75EC"/>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8BE"/>
    <w:rsid w:val="0017098A"/>
    <w:rsid w:val="001716F7"/>
    <w:rsid w:val="001739C2"/>
    <w:rsid w:val="00173B3A"/>
    <w:rsid w:val="00174655"/>
    <w:rsid w:val="00174D90"/>
    <w:rsid w:val="0017656E"/>
    <w:rsid w:val="00176790"/>
    <w:rsid w:val="00176D8B"/>
    <w:rsid w:val="00181375"/>
    <w:rsid w:val="001813C3"/>
    <w:rsid w:val="001819DA"/>
    <w:rsid w:val="00182705"/>
    <w:rsid w:val="00182DFB"/>
    <w:rsid w:val="001838E0"/>
    <w:rsid w:val="00183A15"/>
    <w:rsid w:val="00185355"/>
    <w:rsid w:val="00185D52"/>
    <w:rsid w:val="001866BF"/>
    <w:rsid w:val="00186884"/>
    <w:rsid w:val="001878EB"/>
    <w:rsid w:val="0019000C"/>
    <w:rsid w:val="0019030D"/>
    <w:rsid w:val="0019092C"/>
    <w:rsid w:val="00190C7A"/>
    <w:rsid w:val="00190F7F"/>
    <w:rsid w:val="00194559"/>
    <w:rsid w:val="001947C1"/>
    <w:rsid w:val="001948EC"/>
    <w:rsid w:val="00194F2A"/>
    <w:rsid w:val="0019508F"/>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3BCD"/>
    <w:rsid w:val="001E7B18"/>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69FE"/>
    <w:rsid w:val="00217135"/>
    <w:rsid w:val="0022132D"/>
    <w:rsid w:val="00221D16"/>
    <w:rsid w:val="00222064"/>
    <w:rsid w:val="00222CAE"/>
    <w:rsid w:val="00223622"/>
    <w:rsid w:val="00223B83"/>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4AAA"/>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0D2"/>
    <w:rsid w:val="002A5245"/>
    <w:rsid w:val="002A55D1"/>
    <w:rsid w:val="002A5C41"/>
    <w:rsid w:val="002A5CF5"/>
    <w:rsid w:val="002A6EA4"/>
    <w:rsid w:val="002A7839"/>
    <w:rsid w:val="002A7B04"/>
    <w:rsid w:val="002A7E9D"/>
    <w:rsid w:val="002B15AC"/>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828"/>
    <w:rsid w:val="00357895"/>
    <w:rsid w:val="00357916"/>
    <w:rsid w:val="00357B15"/>
    <w:rsid w:val="00360B19"/>
    <w:rsid w:val="00360FCE"/>
    <w:rsid w:val="00362E82"/>
    <w:rsid w:val="00364001"/>
    <w:rsid w:val="00365DC3"/>
    <w:rsid w:val="0036633C"/>
    <w:rsid w:val="00366CA4"/>
    <w:rsid w:val="0036763E"/>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432"/>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0AAA"/>
    <w:rsid w:val="005812EF"/>
    <w:rsid w:val="00582010"/>
    <w:rsid w:val="0058254B"/>
    <w:rsid w:val="0058351E"/>
    <w:rsid w:val="00587914"/>
    <w:rsid w:val="0059181C"/>
    <w:rsid w:val="005925EC"/>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374E"/>
    <w:rsid w:val="005E4545"/>
    <w:rsid w:val="005E4A75"/>
    <w:rsid w:val="005E4E13"/>
    <w:rsid w:val="005E5730"/>
    <w:rsid w:val="005E7327"/>
    <w:rsid w:val="005E73A1"/>
    <w:rsid w:val="005E7458"/>
    <w:rsid w:val="005E76FD"/>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7BE"/>
    <w:rsid w:val="00632A4A"/>
    <w:rsid w:val="00634573"/>
    <w:rsid w:val="00635A24"/>
    <w:rsid w:val="00636ADD"/>
    <w:rsid w:val="00640221"/>
    <w:rsid w:val="006406E5"/>
    <w:rsid w:val="00640B24"/>
    <w:rsid w:val="006417BC"/>
    <w:rsid w:val="00641C9C"/>
    <w:rsid w:val="00642EB3"/>
    <w:rsid w:val="006433F1"/>
    <w:rsid w:val="006441AD"/>
    <w:rsid w:val="006442C8"/>
    <w:rsid w:val="00646E32"/>
    <w:rsid w:val="00647687"/>
    <w:rsid w:val="0065353F"/>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956"/>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6C85"/>
    <w:rsid w:val="006A7D6E"/>
    <w:rsid w:val="006A7FA7"/>
    <w:rsid w:val="006B0634"/>
    <w:rsid w:val="006B1C34"/>
    <w:rsid w:val="006B1FF1"/>
    <w:rsid w:val="006B293F"/>
    <w:rsid w:val="006B34DE"/>
    <w:rsid w:val="006B35F3"/>
    <w:rsid w:val="006B40C1"/>
    <w:rsid w:val="006B460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D2D"/>
    <w:rsid w:val="006E4EB7"/>
    <w:rsid w:val="006E7F81"/>
    <w:rsid w:val="006F1443"/>
    <w:rsid w:val="006F1C69"/>
    <w:rsid w:val="006F2579"/>
    <w:rsid w:val="006F2855"/>
    <w:rsid w:val="006F2887"/>
    <w:rsid w:val="006F5439"/>
    <w:rsid w:val="006F713E"/>
    <w:rsid w:val="006F750C"/>
    <w:rsid w:val="006F7EB1"/>
    <w:rsid w:val="00700AD5"/>
    <w:rsid w:val="00702B93"/>
    <w:rsid w:val="00702D4F"/>
    <w:rsid w:val="00703D5F"/>
    <w:rsid w:val="007045FC"/>
    <w:rsid w:val="0070488F"/>
    <w:rsid w:val="00704CDE"/>
    <w:rsid w:val="00704CF9"/>
    <w:rsid w:val="00705711"/>
    <w:rsid w:val="0070582E"/>
    <w:rsid w:val="007073E2"/>
    <w:rsid w:val="00710713"/>
    <w:rsid w:val="007123C3"/>
    <w:rsid w:val="0071266E"/>
    <w:rsid w:val="007130F7"/>
    <w:rsid w:val="00714183"/>
    <w:rsid w:val="00715CA4"/>
    <w:rsid w:val="00715E75"/>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59CD"/>
    <w:rsid w:val="007F7F32"/>
    <w:rsid w:val="00800DF8"/>
    <w:rsid w:val="00801E32"/>
    <w:rsid w:val="008021FD"/>
    <w:rsid w:val="008026FA"/>
    <w:rsid w:val="008036BE"/>
    <w:rsid w:val="00803B18"/>
    <w:rsid w:val="00803B2E"/>
    <w:rsid w:val="00804BA2"/>
    <w:rsid w:val="00804FE6"/>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C1F"/>
    <w:rsid w:val="00820876"/>
    <w:rsid w:val="0082143F"/>
    <w:rsid w:val="0082159A"/>
    <w:rsid w:val="00822064"/>
    <w:rsid w:val="008220AD"/>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103"/>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3B07"/>
    <w:rsid w:val="00874308"/>
    <w:rsid w:val="00877B13"/>
    <w:rsid w:val="00877B18"/>
    <w:rsid w:val="00880AB5"/>
    <w:rsid w:val="00880AD5"/>
    <w:rsid w:val="00880C01"/>
    <w:rsid w:val="00881457"/>
    <w:rsid w:val="00882802"/>
    <w:rsid w:val="00882B0F"/>
    <w:rsid w:val="008836A7"/>
    <w:rsid w:val="00884467"/>
    <w:rsid w:val="00887F03"/>
    <w:rsid w:val="00893B95"/>
    <w:rsid w:val="008941B2"/>
    <w:rsid w:val="008A0018"/>
    <w:rsid w:val="008A1084"/>
    <w:rsid w:val="008A1DA7"/>
    <w:rsid w:val="008A3884"/>
    <w:rsid w:val="008A49EA"/>
    <w:rsid w:val="008A4ABF"/>
    <w:rsid w:val="008A739F"/>
    <w:rsid w:val="008B0108"/>
    <w:rsid w:val="008B18E3"/>
    <w:rsid w:val="008B3670"/>
    <w:rsid w:val="008B4157"/>
    <w:rsid w:val="008B4A24"/>
    <w:rsid w:val="008B5AFF"/>
    <w:rsid w:val="008B5E0B"/>
    <w:rsid w:val="008B758A"/>
    <w:rsid w:val="008B7CD2"/>
    <w:rsid w:val="008C0C4F"/>
    <w:rsid w:val="008C0F75"/>
    <w:rsid w:val="008C12F3"/>
    <w:rsid w:val="008C277A"/>
    <w:rsid w:val="008C561D"/>
    <w:rsid w:val="008C62EC"/>
    <w:rsid w:val="008C7911"/>
    <w:rsid w:val="008C7FAF"/>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2BB"/>
    <w:rsid w:val="0090688C"/>
    <w:rsid w:val="0090766E"/>
    <w:rsid w:val="009119D3"/>
    <w:rsid w:val="00913DCC"/>
    <w:rsid w:val="00917B21"/>
    <w:rsid w:val="00922101"/>
    <w:rsid w:val="00922A4B"/>
    <w:rsid w:val="009241BB"/>
    <w:rsid w:val="009244F7"/>
    <w:rsid w:val="00924C0D"/>
    <w:rsid w:val="0092587F"/>
    <w:rsid w:val="00925AA4"/>
    <w:rsid w:val="009313BE"/>
    <w:rsid w:val="00932FE2"/>
    <w:rsid w:val="009340AB"/>
    <w:rsid w:val="00936192"/>
    <w:rsid w:val="0094066E"/>
    <w:rsid w:val="0094182D"/>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6AC"/>
    <w:rsid w:val="00A47031"/>
    <w:rsid w:val="00A4765E"/>
    <w:rsid w:val="00A50604"/>
    <w:rsid w:val="00A50E26"/>
    <w:rsid w:val="00A522C3"/>
    <w:rsid w:val="00A52331"/>
    <w:rsid w:val="00A524A6"/>
    <w:rsid w:val="00A54818"/>
    <w:rsid w:val="00A55DC6"/>
    <w:rsid w:val="00A55DD4"/>
    <w:rsid w:val="00A56859"/>
    <w:rsid w:val="00A569E0"/>
    <w:rsid w:val="00A60CA4"/>
    <w:rsid w:val="00A61446"/>
    <w:rsid w:val="00A61D87"/>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15C6"/>
    <w:rsid w:val="00A9205F"/>
    <w:rsid w:val="00A92AC2"/>
    <w:rsid w:val="00A9456E"/>
    <w:rsid w:val="00A948B2"/>
    <w:rsid w:val="00A95355"/>
    <w:rsid w:val="00A960E9"/>
    <w:rsid w:val="00A97B41"/>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2FCF"/>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AF71D2"/>
    <w:rsid w:val="00B02C5B"/>
    <w:rsid w:val="00B02DE3"/>
    <w:rsid w:val="00B037AA"/>
    <w:rsid w:val="00B054BA"/>
    <w:rsid w:val="00B06804"/>
    <w:rsid w:val="00B07908"/>
    <w:rsid w:val="00B1256E"/>
    <w:rsid w:val="00B13787"/>
    <w:rsid w:val="00B1445B"/>
    <w:rsid w:val="00B15801"/>
    <w:rsid w:val="00B1644E"/>
    <w:rsid w:val="00B17AAC"/>
    <w:rsid w:val="00B215D0"/>
    <w:rsid w:val="00B21F73"/>
    <w:rsid w:val="00B22D7B"/>
    <w:rsid w:val="00B23A32"/>
    <w:rsid w:val="00B23A60"/>
    <w:rsid w:val="00B23D80"/>
    <w:rsid w:val="00B243A4"/>
    <w:rsid w:val="00B245B8"/>
    <w:rsid w:val="00B24ABA"/>
    <w:rsid w:val="00B255C5"/>
    <w:rsid w:val="00B25FB2"/>
    <w:rsid w:val="00B274C7"/>
    <w:rsid w:val="00B27DB4"/>
    <w:rsid w:val="00B30861"/>
    <w:rsid w:val="00B32E7C"/>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67ED"/>
    <w:rsid w:val="00B46CB0"/>
    <w:rsid w:val="00B5139A"/>
    <w:rsid w:val="00B52315"/>
    <w:rsid w:val="00B52DAB"/>
    <w:rsid w:val="00B539BE"/>
    <w:rsid w:val="00B5549D"/>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3DB6"/>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EEF"/>
    <w:rsid w:val="00BF1FCA"/>
    <w:rsid w:val="00BF7494"/>
    <w:rsid w:val="00C00650"/>
    <w:rsid w:val="00C021BB"/>
    <w:rsid w:val="00C037A3"/>
    <w:rsid w:val="00C03932"/>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35AB"/>
    <w:rsid w:val="00C45F01"/>
    <w:rsid w:val="00C4698C"/>
    <w:rsid w:val="00C5207F"/>
    <w:rsid w:val="00C52D21"/>
    <w:rsid w:val="00C5543B"/>
    <w:rsid w:val="00C573B1"/>
    <w:rsid w:val="00C600EE"/>
    <w:rsid w:val="00C62E03"/>
    <w:rsid w:val="00C64192"/>
    <w:rsid w:val="00C67D33"/>
    <w:rsid w:val="00C72D39"/>
    <w:rsid w:val="00C7351D"/>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871F5"/>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AA4"/>
    <w:rsid w:val="00D01406"/>
    <w:rsid w:val="00D015A7"/>
    <w:rsid w:val="00D0250E"/>
    <w:rsid w:val="00D0423A"/>
    <w:rsid w:val="00D04A90"/>
    <w:rsid w:val="00D06EF2"/>
    <w:rsid w:val="00D07131"/>
    <w:rsid w:val="00D07526"/>
    <w:rsid w:val="00D07E3B"/>
    <w:rsid w:val="00D1308F"/>
    <w:rsid w:val="00D14B1E"/>
    <w:rsid w:val="00D1550B"/>
    <w:rsid w:val="00D17E05"/>
    <w:rsid w:val="00D17F23"/>
    <w:rsid w:val="00D207B2"/>
    <w:rsid w:val="00D216CF"/>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231"/>
    <w:rsid w:val="00D65507"/>
    <w:rsid w:val="00D6599A"/>
    <w:rsid w:val="00D669A4"/>
    <w:rsid w:val="00D66E91"/>
    <w:rsid w:val="00D66EFA"/>
    <w:rsid w:val="00D709B7"/>
    <w:rsid w:val="00D7143F"/>
    <w:rsid w:val="00D72409"/>
    <w:rsid w:val="00D72A0C"/>
    <w:rsid w:val="00D73621"/>
    <w:rsid w:val="00D7507B"/>
    <w:rsid w:val="00D7557F"/>
    <w:rsid w:val="00D75794"/>
    <w:rsid w:val="00D75BC9"/>
    <w:rsid w:val="00D77016"/>
    <w:rsid w:val="00D77153"/>
    <w:rsid w:val="00D81BB1"/>
    <w:rsid w:val="00D84F6A"/>
    <w:rsid w:val="00D8506B"/>
    <w:rsid w:val="00D855D0"/>
    <w:rsid w:val="00D85A8B"/>
    <w:rsid w:val="00D86ADC"/>
    <w:rsid w:val="00D90791"/>
    <w:rsid w:val="00D90F27"/>
    <w:rsid w:val="00D90F8B"/>
    <w:rsid w:val="00D91524"/>
    <w:rsid w:val="00D928A3"/>
    <w:rsid w:val="00D93A74"/>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0A3"/>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0415"/>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D6D"/>
    <w:rsid w:val="00E30FF3"/>
    <w:rsid w:val="00E3151F"/>
    <w:rsid w:val="00E31BA9"/>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872"/>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29FE"/>
    <w:rsid w:val="00E82B29"/>
    <w:rsid w:val="00E82B62"/>
    <w:rsid w:val="00E841D8"/>
    <w:rsid w:val="00E850A8"/>
    <w:rsid w:val="00E858D9"/>
    <w:rsid w:val="00E85DC1"/>
    <w:rsid w:val="00E862F4"/>
    <w:rsid w:val="00E9032B"/>
    <w:rsid w:val="00E90B5E"/>
    <w:rsid w:val="00E92DE1"/>
    <w:rsid w:val="00E93717"/>
    <w:rsid w:val="00E9546A"/>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5B05"/>
    <w:rsid w:val="00EE69B9"/>
    <w:rsid w:val="00EE75E5"/>
    <w:rsid w:val="00EF1864"/>
    <w:rsid w:val="00EF26B4"/>
    <w:rsid w:val="00EF33BF"/>
    <w:rsid w:val="00EF3C03"/>
    <w:rsid w:val="00EF41F1"/>
    <w:rsid w:val="00EF6E6D"/>
    <w:rsid w:val="00EF775A"/>
    <w:rsid w:val="00F00020"/>
    <w:rsid w:val="00F02E36"/>
    <w:rsid w:val="00F03426"/>
    <w:rsid w:val="00F04707"/>
    <w:rsid w:val="00F04ACD"/>
    <w:rsid w:val="00F0539D"/>
    <w:rsid w:val="00F0571B"/>
    <w:rsid w:val="00F07867"/>
    <w:rsid w:val="00F107A8"/>
    <w:rsid w:val="00F10F01"/>
    <w:rsid w:val="00F110F6"/>
    <w:rsid w:val="00F122E7"/>
    <w:rsid w:val="00F13D28"/>
    <w:rsid w:val="00F14BA7"/>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69"/>
    <w:rsid w:val="00F33889"/>
    <w:rsid w:val="00F35C22"/>
    <w:rsid w:val="00F37FE3"/>
    <w:rsid w:val="00F41337"/>
    <w:rsid w:val="00F41940"/>
    <w:rsid w:val="00F44405"/>
    <w:rsid w:val="00F44796"/>
    <w:rsid w:val="00F46255"/>
    <w:rsid w:val="00F47DC5"/>
    <w:rsid w:val="00F50A23"/>
    <w:rsid w:val="00F518F3"/>
    <w:rsid w:val="00F52446"/>
    <w:rsid w:val="00F5367B"/>
    <w:rsid w:val="00F54B12"/>
    <w:rsid w:val="00F5608F"/>
    <w:rsid w:val="00F6027C"/>
    <w:rsid w:val="00F60DAD"/>
    <w:rsid w:val="00F60DE0"/>
    <w:rsid w:val="00F617DE"/>
    <w:rsid w:val="00F6194D"/>
    <w:rsid w:val="00F61F8E"/>
    <w:rsid w:val="00F62233"/>
    <w:rsid w:val="00F6251B"/>
    <w:rsid w:val="00F626C6"/>
    <w:rsid w:val="00F63405"/>
    <w:rsid w:val="00F64156"/>
    <w:rsid w:val="00F70C8A"/>
    <w:rsid w:val="00F71087"/>
    <w:rsid w:val="00F71242"/>
    <w:rsid w:val="00F7246A"/>
    <w:rsid w:val="00F73A04"/>
    <w:rsid w:val="00F74DE7"/>
    <w:rsid w:val="00F76A83"/>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2D03"/>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A5"/>
    <w:rsid w:val="00FF58F3"/>
    <w:rsid w:val="00FF5AA4"/>
    <w:rsid w:val="00FF6251"/>
    <w:rsid w:val="00FF71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0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reflex3-alt">
    <w:name w:val="reflex3-alt"/>
    <w:basedOn w:val="DefaultParagraphFont"/>
    <w:rsid w:val="008A0018"/>
  </w:style>
  <w:style w:type="character" w:customStyle="1" w:styleId="citationcar">
    <w:name w:val="citationcar"/>
    <w:basedOn w:val="DefaultParagraphFont"/>
    <w:rsid w:val="00EF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103" TargetMode="External"/><Relationship Id="rId18" Type="http://schemas.openxmlformats.org/officeDocument/2006/relationships/hyperlink" Target="http://www.canlii.org/en/bc/bcsc/doc/2014/2014bcsc1524/2014bcsc1524.html?autocompleteStr=2014%20BCSC%201524&amp;autocompletePos=1" TargetMode="External"/><Relationship Id="rId26" Type="http://schemas.openxmlformats.org/officeDocument/2006/relationships/hyperlink" Target="http://canlii.ca/t/gjdsx" TargetMode="External"/><Relationship Id="rId39" Type="http://schemas.openxmlformats.org/officeDocument/2006/relationships/hyperlink" Target="http://www.canlii.org/fr/qc/qcca/doc/2016/2016qcca737/2016qcca737.html?autocompleteStr=2016%20QCCA%20737&amp;autocompletePos=1" TargetMode="External"/><Relationship Id="rId3" Type="http://schemas.openxmlformats.org/officeDocument/2006/relationships/styles" Target="styles.xml"/><Relationship Id="rId21" Type="http://schemas.openxmlformats.org/officeDocument/2006/relationships/hyperlink" Target="http://www.canlii.org/fr/ca/cfpi/doc/2016/2016cf179/2016cf179.html" TargetMode="External"/><Relationship Id="rId34" Type="http://schemas.openxmlformats.org/officeDocument/2006/relationships/hyperlink" Target="http://www.canlii.org/en/mb/mbqb/doc/2014/2014mbqb99/2014mbqb99.html?autocompleteStr=2014%20MBQB%2099&amp;autocompletePos=1" TargetMode="External"/><Relationship Id="rId42" Type="http://schemas.openxmlformats.org/officeDocument/2006/relationships/hyperlink" Target="http://www.canlii.org/fr/ca/cfpi/doc/2015/2015cf541/2015cf541.html?resultIndex=1"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c-csc.ca/case-dossier/info/sum-som-eng.aspx?cas=37040" TargetMode="External"/><Relationship Id="rId17" Type="http://schemas.openxmlformats.org/officeDocument/2006/relationships/hyperlink" Target="http://www.canlii.org/en/bc/bcca/doc/2016/2016bcca176/2016bcca176.html?searchUrlHash=AAAAAAAAAAEAFzIwMTQgQkNTQyAxNTI0IChDYW5MSUkpAAAAAQANLzIwMTRiY3NjMTUyNAE&amp;resultIndex=2" TargetMode="External"/><Relationship Id="rId25" Type="http://schemas.openxmlformats.org/officeDocument/2006/relationships/hyperlink" Target="http://www.canlii.org/en/nb/nbca/doc/2016/2016nbca17/2016nbca17.html?searchUrlHash=AAAAAAAAAAEAFjIwMTUgTkJRQiAxMzYgKENhbkxJSSkAAAABAAwvMjAxNW5icWIxMzYB&amp;resultIndex=1" TargetMode="External"/><Relationship Id="rId33" Type="http://schemas.openxmlformats.org/officeDocument/2006/relationships/hyperlink" Target="http://www.canlii.org/en/mb/mbca/doc/2016/2016mbca42/2016mbca42.html?resultIndex=1" TargetMode="External"/><Relationship Id="rId38" Type="http://schemas.openxmlformats.org/officeDocument/2006/relationships/hyperlink" Target="http://www.canlii.org/fr/qc/qccs/doc/2014/2014qccs3901/2014qccs3901.html"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anlii.org/en/bc/bcsc/doc/2014/2014bcsc1524/2014bcsc1524.html?autocompleteStr=2014%20BCSC%201524&amp;autocompletePos=1" TargetMode="External"/><Relationship Id="rId20" Type="http://schemas.openxmlformats.org/officeDocument/2006/relationships/hyperlink" Target="http://canlii.ca/t/gnlgh" TargetMode="External"/><Relationship Id="rId29" Type="http://schemas.openxmlformats.org/officeDocument/2006/relationships/hyperlink" Target="http://canlii.ca/t/gppgg" TargetMode="External"/><Relationship Id="rId41" Type="http://schemas.openxmlformats.org/officeDocument/2006/relationships/hyperlink" Target="http://www.canlii.org/fr/ca/caf/doc/2016/2016caf81/2016caf81.html?searchUrlHash=AAAAAAAAAAEAFDIwMTUgQ0YgNTQxIChDYW5MSUkpAAAAAQALLzIwMTVmY3Q1NDEB&amp;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090" TargetMode="External"/><Relationship Id="rId24" Type="http://schemas.openxmlformats.org/officeDocument/2006/relationships/hyperlink" Target="http://www.canlii.org/en/nb/nbqb/doc/2015/2015nbqb136/2015nbqb136.html?autocompleteStr=2015%20NBQB%20136&amp;autocompletePos=1" TargetMode="External"/><Relationship Id="rId32" Type="http://schemas.openxmlformats.org/officeDocument/2006/relationships/hyperlink" Target="http://www.canlii.org/en/mb/mbqb/doc/2014/2014mbqb99/2014mbqb99.html?autocompleteStr=2014%20MBQB%2099&amp;autocompletePos=1" TargetMode="External"/><Relationship Id="rId37" Type="http://schemas.openxmlformats.org/officeDocument/2006/relationships/hyperlink" Target="http://www.canlii.org/fr/qc/qcca/doc/2016/2016qcca737/2016qcca737.html?autocompleteStr=2016%20QCCA%20737&amp;autocompletePos=1" TargetMode="External"/><Relationship Id="rId40" Type="http://schemas.openxmlformats.org/officeDocument/2006/relationships/hyperlink" Target="http://www.canlii.org/en/ca/fct/doc/2015/2015fc541/2015fc541.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c-csc.ca/case-dossier/info/sum-som-fra.aspx?cas=37020" TargetMode="External"/><Relationship Id="rId23" Type="http://schemas.openxmlformats.org/officeDocument/2006/relationships/hyperlink" Target="http://www.canlii.org/en/nb/nbca/doc/2016/2016nbca17/2016nbca17.html?searchUrlHash=AAAAAAAAAAEAFjIwMTUgTkJRQiAxMzYgKENhbkxJSSkAAAABAAwvMjAxNW5icWIxMzYB&amp;resultIndex=1" TargetMode="External"/><Relationship Id="rId28" Type="http://schemas.openxmlformats.org/officeDocument/2006/relationships/hyperlink" Target="http://canlii.ca/t/gjdsx" TargetMode="External"/><Relationship Id="rId36" Type="http://schemas.openxmlformats.org/officeDocument/2006/relationships/hyperlink" Target="http://www.canlii.org/fr/qc/qccs/doc/2014/2014qccs3901/2014qccs3901.html" TargetMode="External"/><Relationship Id="rId49" Type="http://schemas.openxmlformats.org/officeDocument/2006/relationships/header" Target="header3.xml"/><Relationship Id="rId10" Type="http://schemas.openxmlformats.org/officeDocument/2006/relationships/hyperlink" Target="http://www.scc-csc.ca/case-dossier/info/sum-som-eng.aspx?cas=37035" TargetMode="External"/><Relationship Id="rId19" Type="http://schemas.openxmlformats.org/officeDocument/2006/relationships/hyperlink" Target="http://www.canlii.org/en/bc/bcca/doc/2016/2016bcca176/2016bcca176.html?searchUrlHash=AAAAAAAAAAEAFzIwMTQgQkNTQyAxNTI0IChDYW5MSUkpAAAAAQANLzIwMTRiY3NjMTUyNAE&amp;resultIndex=2" TargetMode="External"/><Relationship Id="rId31" Type="http://schemas.openxmlformats.org/officeDocument/2006/relationships/hyperlink" Target="http://www.canlii.org/fr/ca/cfpi/doc/2016/2016cf257/2016cf257.html" TargetMode="External"/><Relationship Id="rId44" Type="http://schemas.openxmlformats.org/officeDocument/2006/relationships/hyperlink" Target="mailto:comments-commentaires@scc-csc.c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7061" TargetMode="External"/><Relationship Id="rId14" Type="http://schemas.openxmlformats.org/officeDocument/2006/relationships/hyperlink" Target="http://www.scc-csc.ca/case-dossier/info/sum-som-fra.aspx?cas=37089" TargetMode="External"/><Relationship Id="rId22" Type="http://schemas.openxmlformats.org/officeDocument/2006/relationships/hyperlink" Target="http://www.canlii.org/en/nb/nbqb/doc/2015/2015nbqb136/2015nbqb136.html?autocompleteStr=2015%20NBQB%20136&amp;autocompletePos=1" TargetMode="External"/><Relationship Id="rId27" Type="http://schemas.openxmlformats.org/officeDocument/2006/relationships/hyperlink" Target="http://canlii.ca/t/gppgg" TargetMode="External"/><Relationship Id="rId30" Type="http://schemas.openxmlformats.org/officeDocument/2006/relationships/hyperlink" Target="http://www.canlii.org/en/ca/fct/doc/2016/2016fc257/2016fc257.html?resultIndex=1" TargetMode="External"/><Relationship Id="rId35" Type="http://schemas.openxmlformats.org/officeDocument/2006/relationships/hyperlink" Target="http://www.canlii.org/en/mb/mbca/doc/2016/2016mbca42/2016mbca42.html?resultIndex=1" TargetMode="External"/><Relationship Id="rId43" Type="http://schemas.openxmlformats.org/officeDocument/2006/relationships/hyperlink" Target="http://www.canlii.org/fr/ca/caf/doc/2016/2016caf81/2016caf81.html?searchUrlHash=AAAAAAAAAAEAFDIwMTUgQ0YgNTQxIChDYW5MSUkpAAAAAQALLzIwMTVmY3Q1NDEB&amp;resultIndex=1" TargetMode="External"/><Relationship Id="rId48" Type="http://schemas.openxmlformats.org/officeDocument/2006/relationships/footer" Target="footer2.xml"/><Relationship Id="rId8" Type="http://schemas.openxmlformats.org/officeDocument/2006/relationships/hyperlink" Target="http://www.scc-csc.ca/case-dossier/info/sum-som-eng.aspx?cas=37081"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75CE4-285A-4ED8-851E-876716CA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6677</Words>
  <Characters>38064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44652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2016-09-23T14:03:00Z</dcterms:created>
  <dcterms:modified xsi:type="dcterms:W3CDTF">2016-09-30T16:47:00Z</dcterms:modified>
</cp:coreProperties>
</file>