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45752" w:rsidRDefault="003F43E6" w:rsidP="00122CE1">
      <w:pPr>
        <w:pStyle w:val="Header"/>
        <w:tabs>
          <w:tab w:val="left" w:pos="1620"/>
          <w:tab w:val="left" w:pos="1710"/>
        </w:tabs>
        <w:jc w:val="center"/>
        <w:rPr>
          <w:b/>
          <w:sz w:val="32"/>
        </w:rPr>
      </w:pPr>
      <w:r w:rsidRPr="00945752">
        <w:rPr>
          <w:b/>
          <w:sz w:val="32"/>
        </w:rPr>
        <w:t>Supreme Court of Canada / Cour suprême du Canada</w:t>
      </w:r>
    </w:p>
    <w:p w:rsidR="003F43E6" w:rsidRPr="00945752" w:rsidRDefault="003F43E6" w:rsidP="006F2579">
      <w:pPr>
        <w:widowControl w:val="0"/>
        <w:rPr>
          <w:i/>
        </w:rPr>
      </w:pPr>
    </w:p>
    <w:p w:rsidR="006F2579" w:rsidRPr="00945752" w:rsidRDefault="006F2579" w:rsidP="006F2579">
      <w:pPr>
        <w:widowControl w:val="0"/>
        <w:rPr>
          <w:i/>
        </w:rPr>
      </w:pPr>
      <w:r w:rsidRPr="00945752">
        <w:rPr>
          <w:i/>
        </w:rPr>
        <w:t>(le français suit)</w:t>
      </w:r>
    </w:p>
    <w:p w:rsidR="006F2579" w:rsidRPr="00945752" w:rsidRDefault="006F2579" w:rsidP="006F2579">
      <w:pPr>
        <w:widowControl w:val="0"/>
      </w:pPr>
    </w:p>
    <w:p w:rsidR="006F2579" w:rsidRPr="00945752" w:rsidRDefault="00B07908" w:rsidP="006F2579">
      <w:pPr>
        <w:widowControl w:val="0"/>
        <w:jc w:val="center"/>
        <w:rPr>
          <w:b/>
        </w:rPr>
      </w:pPr>
      <w:r w:rsidRPr="00945752">
        <w:fldChar w:fldCharType="begin"/>
      </w:r>
      <w:r w:rsidR="006F2579" w:rsidRPr="00945752">
        <w:instrText xml:space="preserve"> SEQ CHAPTER \h \r 1</w:instrText>
      </w:r>
      <w:r w:rsidRPr="00945752">
        <w:fldChar w:fldCharType="end"/>
      </w:r>
      <w:r w:rsidR="006F2579" w:rsidRPr="00945752">
        <w:rPr>
          <w:b/>
        </w:rPr>
        <w:t>JUDGMENT</w:t>
      </w:r>
      <w:r w:rsidR="00B17AAC" w:rsidRPr="00945752">
        <w:rPr>
          <w:b/>
        </w:rPr>
        <w:t>S</w:t>
      </w:r>
      <w:r w:rsidR="006F2579" w:rsidRPr="00945752">
        <w:rPr>
          <w:b/>
        </w:rPr>
        <w:t xml:space="preserve"> TO B</w:t>
      </w:r>
      <w:r w:rsidR="00001846" w:rsidRPr="00945752">
        <w:rPr>
          <w:b/>
        </w:rPr>
        <w:t>E RENDERED IN LEAVE APPLICATION</w:t>
      </w:r>
      <w:r w:rsidR="00E94FDF" w:rsidRPr="00945752">
        <w:rPr>
          <w:b/>
        </w:rPr>
        <w:t>S</w:t>
      </w:r>
    </w:p>
    <w:p w:rsidR="006F2579" w:rsidRPr="00945752" w:rsidRDefault="006F2579" w:rsidP="006F2579">
      <w:pPr>
        <w:widowControl w:val="0"/>
      </w:pPr>
    </w:p>
    <w:p w:rsidR="006F2579" w:rsidRPr="00945752" w:rsidRDefault="00213196" w:rsidP="006F2579">
      <w:pPr>
        <w:widowControl w:val="0"/>
        <w:rPr>
          <w:b/>
        </w:rPr>
      </w:pPr>
      <w:r w:rsidRPr="00945752">
        <w:rPr>
          <w:b/>
        </w:rPr>
        <w:t>November</w:t>
      </w:r>
      <w:r w:rsidR="00FD37D0" w:rsidRPr="00945752">
        <w:rPr>
          <w:b/>
        </w:rPr>
        <w:t xml:space="preserve"> </w:t>
      </w:r>
      <w:r w:rsidR="00032CDB">
        <w:rPr>
          <w:b/>
        </w:rPr>
        <w:t>14</w:t>
      </w:r>
      <w:r w:rsidR="00AB5538" w:rsidRPr="00945752">
        <w:rPr>
          <w:b/>
        </w:rPr>
        <w:t>,</w:t>
      </w:r>
      <w:r w:rsidR="006F2579" w:rsidRPr="00945752">
        <w:rPr>
          <w:b/>
        </w:rPr>
        <w:t xml:space="preserve"> </w:t>
      </w:r>
      <w:r w:rsidR="0054689F" w:rsidRPr="00945752">
        <w:rPr>
          <w:b/>
        </w:rPr>
        <w:t>201</w:t>
      </w:r>
      <w:r w:rsidR="00A151D1" w:rsidRPr="00945752">
        <w:rPr>
          <w:b/>
        </w:rPr>
        <w:t>7</w:t>
      </w:r>
    </w:p>
    <w:p w:rsidR="006F2579" w:rsidRPr="00945752" w:rsidRDefault="00674F39" w:rsidP="006F2579">
      <w:pPr>
        <w:widowControl w:val="0"/>
        <w:rPr>
          <w:b/>
        </w:rPr>
      </w:pPr>
      <w:r w:rsidRPr="00945752">
        <w:rPr>
          <w:b/>
        </w:rPr>
        <w:t>For immediate release</w:t>
      </w:r>
    </w:p>
    <w:p w:rsidR="006F2579" w:rsidRPr="00945752" w:rsidRDefault="006F2579" w:rsidP="006F2579">
      <w:pPr>
        <w:widowControl w:val="0"/>
      </w:pPr>
    </w:p>
    <w:p w:rsidR="006F2579" w:rsidRPr="007153A4" w:rsidRDefault="006F2579" w:rsidP="006F2579">
      <w:pPr>
        <w:widowControl w:val="0"/>
        <w:rPr>
          <w:lang w:val="fr-CA"/>
        </w:rPr>
      </w:pPr>
      <w:r w:rsidRPr="00945752">
        <w:rPr>
          <w:b/>
        </w:rPr>
        <w:t>OTTAWA</w:t>
      </w:r>
      <w:r w:rsidRPr="00945752">
        <w:t xml:space="preserve"> – The Supreme Court of Canad</w:t>
      </w:r>
      <w:r w:rsidR="006246E4" w:rsidRPr="00945752">
        <w:t>a</w:t>
      </w:r>
      <w:r w:rsidRPr="00945752">
        <w:t xml:space="preserve"> announced today that judgment in the following application</w:t>
      </w:r>
      <w:r w:rsidR="008600ED" w:rsidRPr="00945752">
        <w:t>s</w:t>
      </w:r>
      <w:r w:rsidRPr="00945752">
        <w:t xml:space="preserve"> for leave to appeal will be delivered at 9:45 a.m. E</w:t>
      </w:r>
      <w:r w:rsidR="00213196" w:rsidRPr="00945752">
        <w:t>S</w:t>
      </w:r>
      <w:r w:rsidRPr="00945752">
        <w:t xml:space="preserve">T on Thursday, </w:t>
      </w:r>
      <w:r w:rsidR="008A41DE" w:rsidRPr="00945752">
        <w:t>November</w:t>
      </w:r>
      <w:r w:rsidR="00780317" w:rsidRPr="00945752">
        <w:t xml:space="preserve"> </w:t>
      </w:r>
      <w:r w:rsidR="00032CDB">
        <w:t>16</w:t>
      </w:r>
      <w:r w:rsidR="007E112F" w:rsidRPr="00945752">
        <w:t>,</w:t>
      </w:r>
      <w:r w:rsidR="002F38D7" w:rsidRPr="00945752">
        <w:t xml:space="preserve"> </w:t>
      </w:r>
      <w:r w:rsidR="006648D1" w:rsidRPr="00945752">
        <w:t>201</w:t>
      </w:r>
      <w:r w:rsidR="00A151D1" w:rsidRPr="00945752">
        <w:t>7</w:t>
      </w:r>
      <w:r w:rsidRPr="00945752">
        <w:t xml:space="preserve">. </w:t>
      </w:r>
      <w:r w:rsidRPr="007153A4">
        <w:rPr>
          <w:lang w:val="fr-CA"/>
        </w:rPr>
        <w:t>This list is subject to chang</w:t>
      </w:r>
      <w:r w:rsidR="00192F7F" w:rsidRPr="007153A4">
        <w:rPr>
          <w:lang w:val="fr-CA"/>
        </w:rPr>
        <w:t>e</w:t>
      </w:r>
      <w:r w:rsidRPr="007153A4">
        <w:rPr>
          <w:lang w:val="fr-CA"/>
        </w:rPr>
        <w:t>.</w:t>
      </w:r>
    </w:p>
    <w:p w:rsidR="00FF5AA4" w:rsidRPr="007153A4" w:rsidRDefault="00FF5AA4" w:rsidP="006F2579">
      <w:pPr>
        <w:widowControl w:val="0"/>
        <w:rPr>
          <w:lang w:val="fr-CA"/>
        </w:rPr>
      </w:pPr>
    </w:p>
    <w:p w:rsidR="00B43418" w:rsidRPr="007153A4" w:rsidRDefault="00B43418" w:rsidP="006F2579">
      <w:pPr>
        <w:widowControl w:val="0"/>
        <w:rPr>
          <w:lang w:val="fr-CA"/>
        </w:rPr>
      </w:pPr>
    </w:p>
    <w:p w:rsidR="006F2579" w:rsidRPr="00945752" w:rsidRDefault="006F2579" w:rsidP="006F2579">
      <w:pPr>
        <w:widowControl w:val="0"/>
        <w:jc w:val="center"/>
        <w:rPr>
          <w:lang w:val="fr-CA"/>
        </w:rPr>
      </w:pPr>
      <w:r w:rsidRPr="00945752">
        <w:rPr>
          <w:b/>
          <w:lang w:val="fr-CA"/>
        </w:rPr>
        <w:t>PROCHAIN</w:t>
      </w:r>
      <w:r w:rsidR="00B17AAC" w:rsidRPr="00945752">
        <w:rPr>
          <w:b/>
          <w:lang w:val="fr-CA"/>
        </w:rPr>
        <w:t>S</w:t>
      </w:r>
      <w:r w:rsidRPr="00945752">
        <w:rPr>
          <w:b/>
          <w:lang w:val="fr-CA"/>
        </w:rPr>
        <w:t xml:space="preserve"> JUGEMENT</w:t>
      </w:r>
      <w:r w:rsidR="00B17AAC" w:rsidRPr="00945752">
        <w:rPr>
          <w:b/>
          <w:lang w:val="fr-CA"/>
        </w:rPr>
        <w:t>S</w:t>
      </w:r>
      <w:r w:rsidR="00001846" w:rsidRPr="00945752">
        <w:rPr>
          <w:b/>
          <w:lang w:val="fr-CA"/>
        </w:rPr>
        <w:t xml:space="preserve"> SUR DEMANDE</w:t>
      </w:r>
      <w:r w:rsidR="00B17AAC" w:rsidRPr="00945752">
        <w:rPr>
          <w:b/>
          <w:lang w:val="fr-CA"/>
        </w:rPr>
        <w:t>S</w:t>
      </w:r>
      <w:r w:rsidRPr="00945752">
        <w:rPr>
          <w:b/>
          <w:lang w:val="fr-CA"/>
        </w:rPr>
        <w:t xml:space="preserve"> D’AUTORISATION</w:t>
      </w:r>
    </w:p>
    <w:p w:rsidR="006F2579" w:rsidRPr="00945752" w:rsidRDefault="006F2579" w:rsidP="006F2579">
      <w:pPr>
        <w:widowControl w:val="0"/>
        <w:rPr>
          <w:lang w:val="fr-CA"/>
        </w:rPr>
      </w:pPr>
    </w:p>
    <w:p w:rsidR="006F2579" w:rsidRPr="00945752" w:rsidRDefault="006F2579" w:rsidP="006F2579">
      <w:pPr>
        <w:widowControl w:val="0"/>
        <w:rPr>
          <w:b/>
          <w:lang w:val="fr-CA"/>
        </w:rPr>
      </w:pPr>
      <w:r w:rsidRPr="00945752">
        <w:rPr>
          <w:b/>
          <w:lang w:val="fr-CA"/>
        </w:rPr>
        <w:t>Le</w:t>
      </w:r>
      <w:r w:rsidR="00957A76" w:rsidRPr="00945752">
        <w:rPr>
          <w:b/>
          <w:lang w:val="fr-CA"/>
        </w:rPr>
        <w:t xml:space="preserve"> </w:t>
      </w:r>
      <w:r w:rsidR="00032CDB">
        <w:rPr>
          <w:b/>
          <w:lang w:val="fr-CA"/>
        </w:rPr>
        <w:t>14</w:t>
      </w:r>
      <w:r w:rsidR="00FD37D0" w:rsidRPr="00945752">
        <w:rPr>
          <w:b/>
          <w:lang w:val="fr-CA"/>
        </w:rPr>
        <w:t xml:space="preserve"> </w:t>
      </w:r>
      <w:r w:rsidR="00213196" w:rsidRPr="00945752">
        <w:rPr>
          <w:b/>
          <w:lang w:val="fr-CA"/>
        </w:rPr>
        <w:t>novem</w:t>
      </w:r>
      <w:r w:rsidR="00CA5C69" w:rsidRPr="00945752">
        <w:rPr>
          <w:b/>
          <w:lang w:val="fr-CA"/>
        </w:rPr>
        <w:t>bre</w:t>
      </w:r>
      <w:r w:rsidR="00A151D1" w:rsidRPr="00945752">
        <w:rPr>
          <w:b/>
          <w:lang w:val="fr-CA"/>
        </w:rPr>
        <w:t xml:space="preserve"> 2017</w:t>
      </w:r>
    </w:p>
    <w:p w:rsidR="006F2579" w:rsidRPr="00945752" w:rsidRDefault="006F2579" w:rsidP="006F2579">
      <w:pPr>
        <w:widowControl w:val="0"/>
        <w:rPr>
          <w:b/>
          <w:lang w:val="fr-CA"/>
        </w:rPr>
      </w:pPr>
      <w:r w:rsidRPr="00945752">
        <w:rPr>
          <w:b/>
          <w:lang w:val="fr-CA"/>
        </w:rPr>
        <w:t>Pour diffusion immédiate</w:t>
      </w:r>
    </w:p>
    <w:p w:rsidR="006F2579" w:rsidRPr="00945752" w:rsidRDefault="006F2579" w:rsidP="006F2579">
      <w:pPr>
        <w:widowControl w:val="0"/>
        <w:rPr>
          <w:b/>
          <w:lang w:val="fr-CA"/>
        </w:rPr>
      </w:pPr>
    </w:p>
    <w:p w:rsidR="006F2579" w:rsidRPr="00945752" w:rsidRDefault="006F2579" w:rsidP="006F2579">
      <w:pPr>
        <w:widowControl w:val="0"/>
        <w:rPr>
          <w:lang w:val="fr-CA"/>
        </w:rPr>
      </w:pPr>
      <w:r w:rsidRPr="00945752">
        <w:rPr>
          <w:b/>
          <w:lang w:val="fr-CA"/>
        </w:rPr>
        <w:t>OTTAWA</w:t>
      </w:r>
      <w:r w:rsidRPr="00945752">
        <w:rPr>
          <w:lang w:val="fr-CA"/>
        </w:rPr>
        <w:t xml:space="preserve"> – La Cour suprême du Canada annonce que jugement ser</w:t>
      </w:r>
      <w:r w:rsidR="004259F9" w:rsidRPr="00945752">
        <w:rPr>
          <w:lang w:val="fr-CA"/>
        </w:rPr>
        <w:t>a</w:t>
      </w:r>
      <w:r w:rsidRPr="00945752">
        <w:rPr>
          <w:lang w:val="fr-CA"/>
        </w:rPr>
        <w:t xml:space="preserve"> rendu dans l</w:t>
      </w:r>
      <w:r w:rsidR="008600ED" w:rsidRPr="00945752">
        <w:rPr>
          <w:lang w:val="fr-CA"/>
        </w:rPr>
        <w:t>es</w:t>
      </w:r>
      <w:r w:rsidRPr="00945752">
        <w:rPr>
          <w:lang w:val="fr-CA"/>
        </w:rPr>
        <w:t xml:space="preserve"> demande</w:t>
      </w:r>
      <w:r w:rsidR="008600ED" w:rsidRPr="00945752">
        <w:rPr>
          <w:lang w:val="fr-CA"/>
        </w:rPr>
        <w:t>s</w:t>
      </w:r>
      <w:r w:rsidRPr="00945752">
        <w:rPr>
          <w:lang w:val="fr-CA"/>
        </w:rPr>
        <w:t xml:space="preserve"> d</w:t>
      </w:r>
      <w:r w:rsidR="00001846" w:rsidRPr="00945752">
        <w:rPr>
          <w:lang w:val="fr-CA"/>
        </w:rPr>
        <w:t>’autorisation d’appel suivante</w:t>
      </w:r>
      <w:r w:rsidR="008600ED" w:rsidRPr="00945752">
        <w:rPr>
          <w:lang w:val="fr-CA"/>
        </w:rPr>
        <w:t>s</w:t>
      </w:r>
      <w:r w:rsidRPr="00945752">
        <w:rPr>
          <w:lang w:val="fr-CA"/>
        </w:rPr>
        <w:t xml:space="preserve"> le jeudi </w:t>
      </w:r>
      <w:r w:rsidR="00032CDB">
        <w:rPr>
          <w:lang w:val="fr-CA"/>
        </w:rPr>
        <w:t>16</w:t>
      </w:r>
      <w:r w:rsidR="00780317" w:rsidRPr="00945752">
        <w:rPr>
          <w:lang w:val="fr-CA"/>
        </w:rPr>
        <w:t xml:space="preserve"> </w:t>
      </w:r>
      <w:r w:rsidR="008A41DE" w:rsidRPr="00945752">
        <w:rPr>
          <w:lang w:val="fr-CA"/>
        </w:rPr>
        <w:t>n</w:t>
      </w:r>
      <w:r w:rsidR="006B60A2" w:rsidRPr="00945752">
        <w:rPr>
          <w:lang w:val="fr-CA"/>
        </w:rPr>
        <w:t>o</w:t>
      </w:r>
      <w:r w:rsidR="008A41DE" w:rsidRPr="00945752">
        <w:rPr>
          <w:lang w:val="fr-CA"/>
        </w:rPr>
        <w:t>vem</w:t>
      </w:r>
      <w:r w:rsidR="006B60A2" w:rsidRPr="00945752">
        <w:rPr>
          <w:lang w:val="fr-CA"/>
        </w:rPr>
        <w:t>bre</w:t>
      </w:r>
      <w:r w:rsidR="00674329" w:rsidRPr="00945752">
        <w:rPr>
          <w:lang w:val="fr-CA"/>
        </w:rPr>
        <w:t xml:space="preserve"> </w:t>
      </w:r>
      <w:r w:rsidR="006648D1" w:rsidRPr="00945752">
        <w:rPr>
          <w:lang w:val="fr-CA"/>
        </w:rPr>
        <w:t>201</w:t>
      </w:r>
      <w:r w:rsidR="00A151D1" w:rsidRPr="00945752">
        <w:rPr>
          <w:lang w:val="fr-CA"/>
        </w:rPr>
        <w:t>7</w:t>
      </w:r>
      <w:r w:rsidRPr="00945752">
        <w:rPr>
          <w:lang w:val="fr-CA"/>
        </w:rPr>
        <w:t xml:space="preserve">, à 9 h 45 </w:t>
      </w:r>
      <w:r w:rsidR="000627A2" w:rsidRPr="00945752">
        <w:rPr>
          <w:lang w:val="fr-CA"/>
        </w:rPr>
        <w:t>H</w:t>
      </w:r>
      <w:r w:rsidR="00213196" w:rsidRPr="00945752">
        <w:rPr>
          <w:lang w:val="fr-CA"/>
        </w:rPr>
        <w:t>N</w:t>
      </w:r>
      <w:r w:rsidRPr="00945752">
        <w:rPr>
          <w:lang w:val="fr-CA"/>
        </w:rPr>
        <w:t>E. Cette liste est sujette à modifications.</w:t>
      </w:r>
    </w:p>
    <w:p w:rsidR="0080556B" w:rsidRPr="00945752" w:rsidRDefault="0080556B" w:rsidP="009B14F4">
      <w:pPr>
        <w:widowControl w:val="0"/>
        <w:jc w:val="both"/>
        <w:rPr>
          <w:sz w:val="20"/>
          <w:lang w:val="fr-CA"/>
        </w:rPr>
      </w:pPr>
    </w:p>
    <w:p w:rsidR="001838E0" w:rsidRPr="00945752" w:rsidRDefault="003D353C" w:rsidP="009B14F4">
      <w:pPr>
        <w:widowControl w:val="0"/>
        <w:jc w:val="both"/>
        <w:rPr>
          <w:sz w:val="20"/>
          <w:lang w:val="fr-CA"/>
        </w:rPr>
      </w:pPr>
      <w:r w:rsidRPr="0094575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A169B5">
      <w:pPr>
        <w:tabs>
          <w:tab w:val="left" w:pos="900"/>
          <w:tab w:val="center" w:pos="5760"/>
        </w:tabs>
        <w:ind w:left="360" w:hanging="360"/>
        <w:rPr>
          <w:sz w:val="20"/>
          <w:lang w:val="fr-CA"/>
        </w:rPr>
      </w:pPr>
    </w:p>
    <w:p w:rsidR="007C204B" w:rsidRPr="00BE7433" w:rsidRDefault="007C204B" w:rsidP="00BE7433">
      <w:pPr>
        <w:pStyle w:val="ListParagraph"/>
        <w:numPr>
          <w:ilvl w:val="0"/>
          <w:numId w:val="33"/>
        </w:numPr>
        <w:ind w:left="360"/>
        <w:rPr>
          <w:sz w:val="20"/>
          <w:lang w:val="fr-CA"/>
        </w:rPr>
      </w:pPr>
      <w:r w:rsidRPr="00BE7433">
        <w:rPr>
          <w:i/>
          <w:sz w:val="20"/>
        </w:rPr>
        <w:t>S.A. v. Metro Vancouver Housing Corporation</w:t>
      </w:r>
      <w:r w:rsidRPr="00BE7433">
        <w:rPr>
          <w:sz w:val="20"/>
        </w:rPr>
        <w:t xml:space="preserve"> (B.C.) </w:t>
      </w:r>
      <w:r w:rsidRPr="00BE7433">
        <w:rPr>
          <w:sz w:val="20"/>
          <w:lang w:val="fr-CA"/>
        </w:rPr>
        <w:t>(Civil) (By Leave)</w:t>
      </w:r>
      <w:r w:rsidR="001A66AF" w:rsidRPr="00BE7433">
        <w:rPr>
          <w:sz w:val="20"/>
          <w:lang w:val="fr-CA"/>
        </w:rPr>
        <w:t xml:space="preserve"> (</w:t>
      </w:r>
      <w:hyperlink r:id="rId8" w:history="1">
        <w:r w:rsidR="001A66AF" w:rsidRPr="00BE7433">
          <w:rPr>
            <w:rStyle w:val="Hyperlink"/>
            <w:sz w:val="20"/>
            <w:szCs w:val="20"/>
            <w:lang w:val="fr-CA"/>
          </w:rPr>
          <w:t>37</w:t>
        </w:r>
        <w:r w:rsidR="00DE6C81" w:rsidRPr="00BE7433">
          <w:rPr>
            <w:rStyle w:val="Hyperlink"/>
            <w:sz w:val="20"/>
            <w:szCs w:val="20"/>
            <w:lang w:val="fr-CA"/>
          </w:rPr>
          <w:t>551</w:t>
        </w:r>
      </w:hyperlink>
      <w:r w:rsidR="001A66AF" w:rsidRPr="00BE7433">
        <w:rPr>
          <w:sz w:val="20"/>
          <w:lang w:val="fr-CA"/>
        </w:rPr>
        <w:t>)</w:t>
      </w:r>
    </w:p>
    <w:p w:rsidR="007C204B" w:rsidRPr="00187102" w:rsidRDefault="007C204B" w:rsidP="00BE7433">
      <w:pPr>
        <w:ind w:left="360" w:hanging="360"/>
        <w:rPr>
          <w:sz w:val="20"/>
          <w:lang w:val="fr-CA"/>
        </w:rPr>
      </w:pPr>
    </w:p>
    <w:p w:rsidR="007C204B" w:rsidRPr="00BE7433" w:rsidRDefault="007C204B" w:rsidP="00BE7433">
      <w:pPr>
        <w:pStyle w:val="ListParagraph"/>
        <w:numPr>
          <w:ilvl w:val="0"/>
          <w:numId w:val="33"/>
        </w:numPr>
        <w:ind w:left="360"/>
        <w:jc w:val="both"/>
        <w:rPr>
          <w:sz w:val="20"/>
          <w:lang w:val="fr-FR"/>
        </w:rPr>
      </w:pPr>
      <w:r w:rsidRPr="00BE7433">
        <w:rPr>
          <w:i/>
          <w:sz w:val="20"/>
          <w:lang w:val="fr-FR"/>
        </w:rPr>
        <w:t>Yves Brunette, ès qualités de fiduciaire de Fiducie Maynard 2004 et a</w:t>
      </w:r>
      <w:r w:rsidR="00AE7160" w:rsidRPr="00BE7433">
        <w:rPr>
          <w:i/>
          <w:sz w:val="20"/>
          <w:lang w:val="fr-FR"/>
        </w:rPr>
        <w:t>utre</w:t>
      </w:r>
      <w:r w:rsidRPr="00BE7433">
        <w:rPr>
          <w:i/>
          <w:sz w:val="20"/>
          <w:lang w:val="fr-FR"/>
        </w:rPr>
        <w:t xml:space="preserve"> c. Legault Joly Thiffault, s.e.n.c.l.r. et a</w:t>
      </w:r>
      <w:r w:rsidR="00AE7160" w:rsidRPr="00BE7433">
        <w:rPr>
          <w:i/>
          <w:sz w:val="20"/>
          <w:lang w:val="fr-FR"/>
        </w:rPr>
        <w:t>utres</w:t>
      </w:r>
      <w:r w:rsidRPr="00BE7433">
        <w:rPr>
          <w:sz w:val="20"/>
          <w:lang w:val="fr-FR"/>
        </w:rPr>
        <w:t xml:space="preserve"> (Qc) (Civile) (Autorisation) </w:t>
      </w:r>
      <w:r w:rsidR="001A66AF" w:rsidRPr="00BE7433">
        <w:rPr>
          <w:sz w:val="20"/>
          <w:lang w:val="fr-CA"/>
        </w:rPr>
        <w:t>(</w:t>
      </w:r>
      <w:hyperlink r:id="rId9" w:history="1">
        <w:r w:rsidR="001A66AF" w:rsidRPr="00BE7433">
          <w:rPr>
            <w:rStyle w:val="Hyperlink"/>
            <w:sz w:val="20"/>
            <w:szCs w:val="20"/>
            <w:lang w:val="fr-CA"/>
          </w:rPr>
          <w:t>37</w:t>
        </w:r>
        <w:r w:rsidR="00AE7160" w:rsidRPr="00BE7433">
          <w:rPr>
            <w:rStyle w:val="Hyperlink"/>
            <w:sz w:val="20"/>
            <w:szCs w:val="20"/>
            <w:lang w:val="fr-CA"/>
          </w:rPr>
          <w:t>56</w:t>
        </w:r>
        <w:r w:rsidR="001A66AF" w:rsidRPr="00BE7433">
          <w:rPr>
            <w:rStyle w:val="Hyperlink"/>
            <w:sz w:val="20"/>
            <w:szCs w:val="20"/>
            <w:lang w:val="fr-CA"/>
          </w:rPr>
          <w:t>6</w:t>
        </w:r>
      </w:hyperlink>
      <w:r w:rsidR="001A66AF" w:rsidRPr="00BE7433">
        <w:rPr>
          <w:sz w:val="20"/>
          <w:lang w:val="fr-CA"/>
        </w:rPr>
        <w:t>)</w:t>
      </w:r>
    </w:p>
    <w:p w:rsidR="007C204B" w:rsidRPr="00187102" w:rsidRDefault="007C204B" w:rsidP="00BE7433">
      <w:pPr>
        <w:ind w:left="360" w:hanging="360"/>
        <w:rPr>
          <w:sz w:val="20"/>
          <w:lang w:val="fr-FR"/>
        </w:rPr>
      </w:pPr>
    </w:p>
    <w:p w:rsidR="007C204B" w:rsidRPr="00BE7433" w:rsidRDefault="007C204B" w:rsidP="00BE7433">
      <w:pPr>
        <w:pStyle w:val="ListParagraph"/>
        <w:numPr>
          <w:ilvl w:val="0"/>
          <w:numId w:val="33"/>
        </w:numPr>
        <w:ind w:left="360"/>
        <w:jc w:val="both"/>
        <w:rPr>
          <w:sz w:val="20"/>
          <w:lang w:val="fr-CA"/>
        </w:rPr>
      </w:pPr>
      <w:r w:rsidRPr="00BE7433">
        <w:rPr>
          <w:i/>
          <w:sz w:val="20"/>
          <w:lang w:val="fr-FR"/>
        </w:rPr>
        <w:t xml:space="preserve">Sa Majesté la Reine c. Christian Bertrand </w:t>
      </w:r>
      <w:r w:rsidRPr="00BE7433">
        <w:rPr>
          <w:sz w:val="20"/>
          <w:lang w:val="fr-FR"/>
        </w:rPr>
        <w:t>(Qc) (Criminelle) (Autorisation)</w:t>
      </w:r>
      <w:r w:rsidR="001A66AF" w:rsidRPr="00BE7433">
        <w:rPr>
          <w:sz w:val="20"/>
          <w:lang w:val="fr-FR"/>
        </w:rPr>
        <w:t xml:space="preserve"> </w:t>
      </w:r>
      <w:r w:rsidR="001A66AF" w:rsidRPr="00BE7433">
        <w:rPr>
          <w:sz w:val="20"/>
          <w:lang w:val="fr-CA"/>
        </w:rPr>
        <w:t>(</w:t>
      </w:r>
      <w:hyperlink r:id="rId10" w:history="1">
        <w:r w:rsidR="001A66AF" w:rsidRPr="00BE7433">
          <w:rPr>
            <w:rStyle w:val="Hyperlink"/>
            <w:sz w:val="20"/>
            <w:szCs w:val="20"/>
            <w:lang w:val="fr-CA"/>
          </w:rPr>
          <w:t>37</w:t>
        </w:r>
        <w:r w:rsidR="00A2186A" w:rsidRPr="00BE7433">
          <w:rPr>
            <w:rStyle w:val="Hyperlink"/>
            <w:sz w:val="20"/>
            <w:szCs w:val="20"/>
            <w:lang w:val="fr-CA"/>
          </w:rPr>
          <w:t>587</w:t>
        </w:r>
      </w:hyperlink>
      <w:r w:rsidR="001A66AF" w:rsidRPr="00BE7433">
        <w:rPr>
          <w:sz w:val="20"/>
          <w:lang w:val="fr-CA"/>
        </w:rPr>
        <w:t>)</w:t>
      </w:r>
    </w:p>
    <w:p w:rsidR="007C204B" w:rsidRPr="007F6BC7" w:rsidRDefault="007C204B" w:rsidP="00BE7433">
      <w:pPr>
        <w:tabs>
          <w:tab w:val="left" w:pos="720"/>
          <w:tab w:val="center" w:pos="5760"/>
        </w:tabs>
        <w:ind w:left="360" w:hanging="360"/>
        <w:jc w:val="both"/>
        <w:rPr>
          <w:sz w:val="20"/>
          <w:lang w:val="fr-CA"/>
        </w:rPr>
      </w:pPr>
    </w:p>
    <w:p w:rsidR="007C204B" w:rsidRPr="00BE7433" w:rsidRDefault="007C204B" w:rsidP="00BE7433">
      <w:pPr>
        <w:pStyle w:val="ListParagraph"/>
        <w:numPr>
          <w:ilvl w:val="0"/>
          <w:numId w:val="33"/>
        </w:numPr>
        <w:ind w:left="360"/>
        <w:jc w:val="both"/>
        <w:rPr>
          <w:sz w:val="20"/>
          <w:lang w:val="en-CA"/>
        </w:rPr>
      </w:pPr>
      <w:r w:rsidRPr="00BE7433">
        <w:rPr>
          <w:i/>
          <w:sz w:val="20"/>
          <w:lang w:val="en-CA"/>
        </w:rPr>
        <w:t>Damion Sinclair v. Her Majesty the Queen</w:t>
      </w:r>
      <w:r w:rsidRPr="00BE7433">
        <w:rPr>
          <w:sz w:val="20"/>
          <w:lang w:val="en-CA"/>
        </w:rPr>
        <w:t xml:space="preserve"> (Ont.) (Criminal) (By Leave)</w:t>
      </w:r>
      <w:r w:rsidR="001A66AF" w:rsidRPr="00BE7433">
        <w:rPr>
          <w:sz w:val="20"/>
          <w:lang w:val="en-CA"/>
        </w:rPr>
        <w:t xml:space="preserve"> </w:t>
      </w:r>
      <w:r w:rsidR="001A66AF" w:rsidRPr="00BE7433">
        <w:rPr>
          <w:sz w:val="20"/>
        </w:rPr>
        <w:t>(</w:t>
      </w:r>
      <w:hyperlink r:id="rId11" w:history="1">
        <w:r w:rsidR="001A66AF" w:rsidRPr="00BE7433">
          <w:rPr>
            <w:rStyle w:val="Hyperlink"/>
            <w:sz w:val="20"/>
            <w:szCs w:val="20"/>
          </w:rPr>
          <w:t>37</w:t>
        </w:r>
        <w:r w:rsidR="00AA4886" w:rsidRPr="00BE7433">
          <w:rPr>
            <w:rStyle w:val="Hyperlink"/>
            <w:sz w:val="20"/>
            <w:szCs w:val="20"/>
          </w:rPr>
          <w:t>598</w:t>
        </w:r>
      </w:hyperlink>
      <w:r w:rsidR="001A66AF" w:rsidRPr="00BE7433">
        <w:rPr>
          <w:sz w:val="20"/>
        </w:rPr>
        <w:t>)</w:t>
      </w:r>
    </w:p>
    <w:p w:rsidR="007C204B" w:rsidRPr="00187102" w:rsidRDefault="007C204B" w:rsidP="00BE7433">
      <w:pPr>
        <w:ind w:left="360" w:hanging="360"/>
        <w:jc w:val="both"/>
        <w:rPr>
          <w:sz w:val="20"/>
          <w:lang w:val="en-CA"/>
        </w:rPr>
      </w:pPr>
    </w:p>
    <w:p w:rsidR="007C204B" w:rsidRPr="00BE7433" w:rsidRDefault="007C204B" w:rsidP="00BE7433">
      <w:pPr>
        <w:pStyle w:val="ListParagraph"/>
        <w:numPr>
          <w:ilvl w:val="0"/>
          <w:numId w:val="33"/>
        </w:numPr>
        <w:ind w:left="360"/>
        <w:jc w:val="both"/>
        <w:rPr>
          <w:sz w:val="20"/>
          <w:lang w:val="en-CA"/>
        </w:rPr>
      </w:pPr>
      <w:r w:rsidRPr="00BE7433">
        <w:rPr>
          <w:i/>
          <w:sz w:val="20"/>
          <w:lang w:val="fr-CA"/>
        </w:rPr>
        <w:t>I.J. v. J.A.M. et al.</w:t>
      </w:r>
      <w:r w:rsidRPr="00BE7433">
        <w:rPr>
          <w:sz w:val="20"/>
          <w:lang w:val="fr-CA"/>
        </w:rPr>
        <w:t xml:space="preserve"> </w:t>
      </w:r>
      <w:r w:rsidRPr="00BE7433">
        <w:rPr>
          <w:sz w:val="20"/>
          <w:lang w:val="en-CA"/>
        </w:rPr>
        <w:t>(B.C.) (Civil) (By Leave)</w:t>
      </w:r>
      <w:r w:rsidR="001A66AF" w:rsidRPr="00BE7433">
        <w:rPr>
          <w:sz w:val="20"/>
          <w:lang w:val="en-CA"/>
        </w:rPr>
        <w:t xml:space="preserve"> </w:t>
      </w:r>
      <w:r w:rsidR="001A66AF" w:rsidRPr="00BE7433">
        <w:rPr>
          <w:sz w:val="20"/>
        </w:rPr>
        <w:t>(</w:t>
      </w:r>
      <w:hyperlink r:id="rId12" w:history="1">
        <w:r w:rsidR="001A66AF" w:rsidRPr="00BE7433">
          <w:rPr>
            <w:rStyle w:val="Hyperlink"/>
            <w:sz w:val="20"/>
            <w:szCs w:val="20"/>
          </w:rPr>
          <w:t>376</w:t>
        </w:r>
        <w:r w:rsidR="005F06EC" w:rsidRPr="00BE7433">
          <w:rPr>
            <w:rStyle w:val="Hyperlink"/>
            <w:sz w:val="20"/>
            <w:szCs w:val="20"/>
          </w:rPr>
          <w:t>69</w:t>
        </w:r>
      </w:hyperlink>
      <w:r w:rsidR="001A66AF" w:rsidRPr="00BE7433">
        <w:rPr>
          <w:sz w:val="20"/>
        </w:rPr>
        <w:t>)</w:t>
      </w:r>
    </w:p>
    <w:p w:rsidR="007C204B" w:rsidRPr="00187102" w:rsidRDefault="007C204B" w:rsidP="00BE7433">
      <w:pPr>
        <w:ind w:left="360" w:hanging="360"/>
        <w:jc w:val="both"/>
        <w:rPr>
          <w:sz w:val="20"/>
          <w:lang w:val="en-CA"/>
        </w:rPr>
      </w:pPr>
    </w:p>
    <w:p w:rsidR="007C204B" w:rsidRPr="00BE7433" w:rsidRDefault="007C204B" w:rsidP="00BE7433">
      <w:pPr>
        <w:pStyle w:val="ListParagraph"/>
        <w:numPr>
          <w:ilvl w:val="0"/>
          <w:numId w:val="33"/>
        </w:numPr>
        <w:ind w:left="360"/>
        <w:jc w:val="both"/>
        <w:rPr>
          <w:sz w:val="20"/>
          <w:lang w:val="en-CA"/>
        </w:rPr>
      </w:pPr>
      <w:r w:rsidRPr="00BE7433">
        <w:rPr>
          <w:i/>
          <w:sz w:val="20"/>
          <w:lang w:val="en-CA"/>
        </w:rPr>
        <w:t>Wayne Mikkelsen et al. v. Truman Development Corporation</w:t>
      </w:r>
      <w:r w:rsidRPr="00BE7433">
        <w:rPr>
          <w:sz w:val="20"/>
          <w:lang w:val="en-CA"/>
        </w:rPr>
        <w:t xml:space="preserve"> (Alta.) (Civil) (By Leave)</w:t>
      </w:r>
      <w:r w:rsidR="001A66AF" w:rsidRPr="00BE7433">
        <w:rPr>
          <w:sz w:val="20"/>
          <w:lang w:val="en-CA"/>
        </w:rPr>
        <w:t xml:space="preserve"> </w:t>
      </w:r>
      <w:r w:rsidR="001A66AF" w:rsidRPr="00BE7433">
        <w:rPr>
          <w:sz w:val="20"/>
        </w:rPr>
        <w:t>(</w:t>
      </w:r>
      <w:hyperlink r:id="rId13" w:history="1">
        <w:r w:rsidR="001A66AF" w:rsidRPr="00BE7433">
          <w:rPr>
            <w:rStyle w:val="Hyperlink"/>
            <w:sz w:val="20"/>
            <w:szCs w:val="20"/>
          </w:rPr>
          <w:t>37</w:t>
        </w:r>
        <w:r w:rsidR="00F351D3" w:rsidRPr="00BE7433">
          <w:rPr>
            <w:rStyle w:val="Hyperlink"/>
            <w:sz w:val="20"/>
            <w:szCs w:val="20"/>
          </w:rPr>
          <w:t>57</w:t>
        </w:r>
        <w:r w:rsidR="001A66AF" w:rsidRPr="00BE7433">
          <w:rPr>
            <w:rStyle w:val="Hyperlink"/>
            <w:sz w:val="20"/>
            <w:szCs w:val="20"/>
          </w:rPr>
          <w:t>2</w:t>
        </w:r>
      </w:hyperlink>
      <w:r w:rsidR="001A66AF" w:rsidRPr="00BE7433">
        <w:rPr>
          <w:sz w:val="20"/>
        </w:rPr>
        <w:t>)</w:t>
      </w:r>
    </w:p>
    <w:p w:rsidR="00032CDB" w:rsidRDefault="00032CDB" w:rsidP="00BE7433">
      <w:pPr>
        <w:tabs>
          <w:tab w:val="left" w:pos="900"/>
          <w:tab w:val="center" w:pos="5760"/>
        </w:tabs>
        <w:ind w:left="360" w:hanging="360"/>
        <w:rPr>
          <w:sz w:val="20"/>
        </w:rPr>
      </w:pPr>
    </w:p>
    <w:p w:rsidR="00881918" w:rsidRPr="00BE7433" w:rsidRDefault="00881918" w:rsidP="00BE7433">
      <w:pPr>
        <w:pStyle w:val="ListParagraph"/>
        <w:numPr>
          <w:ilvl w:val="0"/>
          <w:numId w:val="33"/>
        </w:numPr>
        <w:tabs>
          <w:tab w:val="left" w:pos="900"/>
          <w:tab w:val="center" w:pos="5760"/>
        </w:tabs>
        <w:ind w:left="360"/>
        <w:rPr>
          <w:sz w:val="20"/>
        </w:rPr>
      </w:pPr>
      <w:r w:rsidRPr="00BE7433">
        <w:rPr>
          <w:i/>
          <w:sz w:val="20"/>
        </w:rPr>
        <w:t>David Barer v. Knight Brothers LLC</w:t>
      </w:r>
      <w:r w:rsidRPr="00BE7433">
        <w:rPr>
          <w:sz w:val="20"/>
        </w:rPr>
        <w:t xml:space="preserve"> (Que.) (Civil) (By Leave) </w:t>
      </w:r>
      <w:r w:rsidRPr="00BE7433">
        <w:rPr>
          <w:sz w:val="20"/>
          <w:szCs w:val="20"/>
        </w:rPr>
        <w:t>(</w:t>
      </w:r>
      <w:hyperlink r:id="rId14" w:history="1">
        <w:r w:rsidRPr="00BE7433">
          <w:rPr>
            <w:rStyle w:val="Hyperlink"/>
            <w:sz w:val="20"/>
            <w:szCs w:val="20"/>
          </w:rPr>
          <w:t>375</w:t>
        </w:r>
        <w:r w:rsidRPr="00BE7433">
          <w:rPr>
            <w:rStyle w:val="Hyperlink"/>
            <w:sz w:val="20"/>
          </w:rPr>
          <w:t>94</w:t>
        </w:r>
      </w:hyperlink>
      <w:r w:rsidRPr="00BE7433">
        <w:rPr>
          <w:sz w:val="20"/>
          <w:szCs w:val="20"/>
        </w:rPr>
        <w:t>)</w:t>
      </w:r>
    </w:p>
    <w:p w:rsidR="00881918" w:rsidRPr="007C204B" w:rsidRDefault="00881918" w:rsidP="00A169B5">
      <w:pPr>
        <w:tabs>
          <w:tab w:val="left" w:pos="900"/>
          <w:tab w:val="center" w:pos="5760"/>
        </w:tabs>
        <w:ind w:left="360" w:hanging="360"/>
        <w:rPr>
          <w:sz w:val="20"/>
        </w:rPr>
      </w:pPr>
    </w:p>
    <w:p w:rsidR="008A41DE" w:rsidRDefault="008A41DE"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88"/>
        <w:gridCol w:w="3511"/>
        <w:gridCol w:w="451"/>
        <w:gridCol w:w="4320"/>
      </w:tblGrid>
      <w:tr w:rsidR="00610AEB" w:rsidRPr="00610AEB" w:rsidTr="007153A4">
        <w:tc>
          <w:tcPr>
            <w:tcW w:w="533" w:type="pct"/>
          </w:tcPr>
          <w:p w:rsidR="00610AEB" w:rsidRPr="00610AEB" w:rsidRDefault="00610AEB" w:rsidP="00610AEB">
            <w:pPr>
              <w:jc w:val="both"/>
              <w:rPr>
                <w:sz w:val="20"/>
              </w:rPr>
            </w:pPr>
            <w:r w:rsidRPr="00610AEB">
              <w:rPr>
                <w:rStyle w:val="SCCFileNumberChar"/>
                <w:sz w:val="20"/>
                <w:szCs w:val="20"/>
              </w:rPr>
              <w:t>37551</w:t>
            </w:r>
          </w:p>
        </w:tc>
        <w:tc>
          <w:tcPr>
            <w:tcW w:w="4467" w:type="pct"/>
            <w:gridSpan w:val="3"/>
          </w:tcPr>
          <w:p w:rsidR="00610AEB" w:rsidRPr="00B10D6D" w:rsidRDefault="00610AEB" w:rsidP="00610AEB">
            <w:pPr>
              <w:pStyle w:val="SCCLsocParty"/>
              <w:jc w:val="both"/>
              <w:rPr>
                <w:b/>
                <w:sz w:val="20"/>
                <w:szCs w:val="20"/>
                <w:lang w:val="en-US"/>
              </w:rPr>
            </w:pPr>
            <w:r w:rsidRPr="00B10D6D">
              <w:rPr>
                <w:b/>
                <w:sz w:val="20"/>
                <w:szCs w:val="20"/>
                <w:lang w:val="en-US"/>
              </w:rPr>
              <w:t xml:space="preserve">S.A. v. Metro Vancouver Housing Corporation </w:t>
            </w:r>
          </w:p>
          <w:p w:rsidR="00610AEB" w:rsidRPr="00610AEB" w:rsidRDefault="00610AEB" w:rsidP="00610AEB">
            <w:pPr>
              <w:jc w:val="both"/>
              <w:rPr>
                <w:sz w:val="20"/>
              </w:rPr>
            </w:pPr>
            <w:r w:rsidRPr="00610AEB">
              <w:rPr>
                <w:sz w:val="20"/>
              </w:rPr>
              <w:t xml:space="preserve"> (B.C.) (Civil) (By Leave)</w:t>
            </w:r>
          </w:p>
        </w:tc>
      </w:tr>
      <w:tr w:rsidR="00610AEB" w:rsidRPr="00610AEB" w:rsidTr="00203DCA">
        <w:tc>
          <w:tcPr>
            <w:tcW w:w="5000" w:type="pct"/>
            <w:gridSpan w:val="4"/>
          </w:tcPr>
          <w:p w:rsidR="00610AEB" w:rsidRPr="00610AEB" w:rsidRDefault="00610AEB" w:rsidP="00610AEB">
            <w:pPr>
              <w:jc w:val="both"/>
              <w:rPr>
                <w:sz w:val="20"/>
              </w:rPr>
            </w:pPr>
            <w:r w:rsidRPr="00610AEB">
              <w:rPr>
                <w:sz w:val="20"/>
              </w:rPr>
              <w:t>Contracts – Interpretation – Breach – Trusts – Whether the assets held in discretionary trust are the assets of a trust beneficiary when determining entitlement to social assistance benefits.</w:t>
            </w:r>
          </w:p>
        </w:tc>
      </w:tr>
      <w:tr w:rsidR="00610AEB" w:rsidRPr="00610AEB" w:rsidTr="00203DCA">
        <w:tc>
          <w:tcPr>
            <w:tcW w:w="5000" w:type="pct"/>
            <w:gridSpan w:val="4"/>
          </w:tcPr>
          <w:p w:rsidR="00610AEB" w:rsidRPr="00610AEB" w:rsidRDefault="00610AEB" w:rsidP="00610AEB">
            <w:pPr>
              <w:jc w:val="both"/>
              <w:rPr>
                <w:sz w:val="20"/>
              </w:rPr>
            </w:pPr>
          </w:p>
          <w:p w:rsidR="00610AEB" w:rsidRPr="00610AEB" w:rsidRDefault="00610AEB" w:rsidP="00610AEB">
            <w:pPr>
              <w:jc w:val="both"/>
              <w:rPr>
                <w:sz w:val="20"/>
              </w:rPr>
            </w:pPr>
            <w:r w:rsidRPr="00610AEB">
              <w:rPr>
                <w:sz w:val="20"/>
              </w:rPr>
              <w:t xml:space="preserve">The applicant is a 56 year old woman with disabilities and cannot work. She receives benefits pursuant to the </w:t>
            </w:r>
            <w:r w:rsidRPr="00610AEB">
              <w:rPr>
                <w:i/>
                <w:sz w:val="20"/>
              </w:rPr>
              <w:t>Employment and Assistance for Persons with Disabilities Act</w:t>
            </w:r>
            <w:r w:rsidRPr="00610AEB">
              <w:rPr>
                <w:sz w:val="20"/>
              </w:rPr>
              <w:t xml:space="preserve">, S.B.C. 2002, </w:t>
            </w:r>
            <w:proofErr w:type="gramStart"/>
            <w:r w:rsidRPr="00610AEB">
              <w:rPr>
                <w:sz w:val="20"/>
              </w:rPr>
              <w:t>c</w:t>
            </w:r>
            <w:proofErr w:type="gramEnd"/>
            <w:r w:rsidRPr="00610AEB">
              <w:rPr>
                <w:sz w:val="20"/>
              </w:rPr>
              <w:t xml:space="preserve">. 41. She is the sole beneficiary of a discretionary trust set up through a variation of her deceased father’s will by court order dated 2012 (the “Trust”), of which she and her sister are co-trustees. The respondent (“MVHC”) operates non-profit subsidized housing facilities </w:t>
            </w:r>
            <w:r w:rsidRPr="00610AEB">
              <w:rPr>
                <w:sz w:val="20"/>
              </w:rPr>
              <w:lastRenderedPageBreak/>
              <w:t>in Vancouver, including the place where the applicant has resided since 1992. In addition to providing affordable housing, MVHC has an additional rental assistance program. Due to its policy of precluding subsidized rent to persons with assets greater than $25,000, MVHC demanded the applicant provide information about the Trust, including the amount held in trust. When she refused, she was informed that her subsidized rent would end. She has paid the rent differential under protest.</w:t>
            </w:r>
          </w:p>
          <w:p w:rsidR="00610AEB" w:rsidRPr="00610AEB" w:rsidRDefault="00610AEB" w:rsidP="00610AEB">
            <w:pPr>
              <w:jc w:val="both"/>
              <w:rPr>
                <w:sz w:val="20"/>
              </w:rPr>
            </w:pPr>
          </w:p>
          <w:p w:rsidR="00610AEB" w:rsidRPr="00610AEB" w:rsidRDefault="00610AEB" w:rsidP="00610AEB">
            <w:pPr>
              <w:jc w:val="both"/>
              <w:rPr>
                <w:sz w:val="20"/>
              </w:rPr>
            </w:pPr>
            <w:r w:rsidRPr="00610AEB">
              <w:rPr>
                <w:sz w:val="20"/>
              </w:rPr>
              <w:t>The applicant brought a petition for a declaration that the Trust is not an asset for the purposes of determining her subsidized rent, and for reimbursement of the additional amount she has paid. MVHC brought a petition seeking declarations that the disclosure of financial information to qualify for subsidized rent requires the disclosure of beneficial interests in assets, including the Trust, and that MVHC is contractually entitled to that financial information. The British Columbia Supreme Court dismissed the applicant’s petition and allowed MVHC’s petition. The British Columbia Court of Appeal dismissed the appeals.</w:t>
            </w:r>
          </w:p>
          <w:p w:rsidR="00610AEB" w:rsidRPr="00610AEB" w:rsidRDefault="00610AEB" w:rsidP="00610AEB">
            <w:pPr>
              <w:jc w:val="both"/>
              <w:rPr>
                <w:sz w:val="20"/>
              </w:rPr>
            </w:pPr>
          </w:p>
        </w:tc>
      </w:tr>
      <w:tr w:rsidR="00610AEB" w:rsidRPr="00610AEB" w:rsidTr="00203DCA">
        <w:tc>
          <w:tcPr>
            <w:tcW w:w="2427" w:type="pct"/>
            <w:gridSpan w:val="2"/>
          </w:tcPr>
          <w:p w:rsidR="00610AEB" w:rsidRPr="00610AEB" w:rsidRDefault="00610AEB" w:rsidP="00610AEB">
            <w:pPr>
              <w:jc w:val="both"/>
              <w:rPr>
                <w:sz w:val="20"/>
              </w:rPr>
            </w:pPr>
            <w:r w:rsidRPr="00610AEB">
              <w:rPr>
                <w:sz w:val="20"/>
              </w:rPr>
              <w:lastRenderedPageBreak/>
              <w:t>December 3, 2015</w:t>
            </w:r>
          </w:p>
          <w:p w:rsidR="00610AEB" w:rsidRPr="00610AEB" w:rsidRDefault="00610AEB" w:rsidP="00610AEB">
            <w:pPr>
              <w:jc w:val="both"/>
              <w:rPr>
                <w:sz w:val="20"/>
              </w:rPr>
            </w:pPr>
            <w:r w:rsidRPr="00610AEB">
              <w:rPr>
                <w:sz w:val="20"/>
              </w:rPr>
              <w:t>Supreme Court of British Columbia</w:t>
            </w:r>
          </w:p>
          <w:p w:rsidR="00610AEB" w:rsidRPr="00610AEB" w:rsidRDefault="00610AEB" w:rsidP="00610AEB">
            <w:pPr>
              <w:jc w:val="both"/>
              <w:rPr>
                <w:sz w:val="20"/>
              </w:rPr>
            </w:pPr>
            <w:r w:rsidRPr="00610AEB">
              <w:rPr>
                <w:sz w:val="20"/>
              </w:rPr>
              <w:t>(</w:t>
            </w:r>
            <w:proofErr w:type="spellStart"/>
            <w:r w:rsidRPr="00610AEB">
              <w:rPr>
                <w:sz w:val="20"/>
              </w:rPr>
              <w:t>Steeves</w:t>
            </w:r>
            <w:proofErr w:type="spellEnd"/>
            <w:r w:rsidRPr="00610AEB">
              <w:rPr>
                <w:sz w:val="20"/>
              </w:rPr>
              <w:t xml:space="preserve"> J.)</w:t>
            </w:r>
          </w:p>
          <w:p w:rsidR="00610AEB" w:rsidRPr="00610AEB" w:rsidRDefault="00610AEB" w:rsidP="00610AEB">
            <w:pPr>
              <w:jc w:val="both"/>
              <w:rPr>
                <w:rStyle w:val="reflex3-alt"/>
                <w:sz w:val="20"/>
                <w:lang w:val="en"/>
              </w:rPr>
            </w:pPr>
            <w:r w:rsidRPr="00610AEB">
              <w:rPr>
                <w:rStyle w:val="reflex3-alt"/>
                <w:sz w:val="20"/>
                <w:lang w:val="en"/>
              </w:rPr>
              <w:t xml:space="preserve">2015 BCSC 2260 </w:t>
            </w:r>
          </w:p>
          <w:p w:rsidR="00610AEB" w:rsidRPr="00610AEB" w:rsidRDefault="00610AEB" w:rsidP="00610AEB">
            <w:pPr>
              <w:jc w:val="both"/>
              <w:rPr>
                <w:rStyle w:val="reflex3-alt"/>
                <w:sz w:val="20"/>
                <w:lang w:val="en"/>
              </w:rPr>
            </w:pPr>
            <w:r w:rsidRPr="00610AEB">
              <w:rPr>
                <w:sz w:val="20"/>
              </w:rPr>
              <w:t>S155776; S156499</w:t>
            </w:r>
          </w:p>
          <w:p w:rsidR="00610AEB" w:rsidRPr="00610AEB" w:rsidRDefault="00610AEB" w:rsidP="00610AEB">
            <w:pPr>
              <w:jc w:val="both"/>
              <w:rPr>
                <w:sz w:val="20"/>
                <w:lang w:val="en"/>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Applicant’s petition dismissed, Respondent’s petition granted</w:t>
            </w:r>
          </w:p>
          <w:p w:rsidR="00610AEB" w:rsidRPr="00610AEB" w:rsidRDefault="00610AEB" w:rsidP="00610AEB">
            <w:pPr>
              <w:jc w:val="both"/>
              <w:rPr>
                <w:sz w:val="20"/>
              </w:rPr>
            </w:pPr>
          </w:p>
        </w:tc>
      </w:tr>
      <w:tr w:rsidR="00610AEB" w:rsidRPr="00610AEB" w:rsidTr="00203DCA">
        <w:tc>
          <w:tcPr>
            <w:tcW w:w="2427" w:type="pct"/>
            <w:gridSpan w:val="2"/>
          </w:tcPr>
          <w:p w:rsidR="00610AEB" w:rsidRPr="00610AEB" w:rsidRDefault="00610AEB" w:rsidP="00610AEB">
            <w:pPr>
              <w:jc w:val="both"/>
              <w:rPr>
                <w:sz w:val="20"/>
              </w:rPr>
            </w:pPr>
            <w:r w:rsidRPr="00610AEB">
              <w:rPr>
                <w:sz w:val="20"/>
              </w:rPr>
              <w:t>January 6, 2017</w:t>
            </w:r>
          </w:p>
          <w:p w:rsidR="00610AEB" w:rsidRPr="00610AEB" w:rsidRDefault="00610AEB" w:rsidP="00610AEB">
            <w:pPr>
              <w:jc w:val="both"/>
              <w:rPr>
                <w:sz w:val="20"/>
              </w:rPr>
            </w:pPr>
            <w:r w:rsidRPr="00610AEB">
              <w:rPr>
                <w:sz w:val="20"/>
              </w:rPr>
              <w:t>Court of Appeal for British Columbia</w:t>
            </w:r>
          </w:p>
          <w:p w:rsidR="00610AEB" w:rsidRPr="00610AEB" w:rsidRDefault="00610AEB" w:rsidP="00610AEB">
            <w:pPr>
              <w:jc w:val="both"/>
              <w:rPr>
                <w:sz w:val="20"/>
              </w:rPr>
            </w:pPr>
            <w:r w:rsidRPr="00610AEB">
              <w:rPr>
                <w:sz w:val="20"/>
              </w:rPr>
              <w:t>(Vancouver)</w:t>
            </w:r>
          </w:p>
          <w:p w:rsidR="00610AEB" w:rsidRPr="00610AEB" w:rsidRDefault="00610AEB" w:rsidP="00610AEB">
            <w:pPr>
              <w:jc w:val="both"/>
              <w:rPr>
                <w:sz w:val="20"/>
              </w:rPr>
            </w:pPr>
            <w:r w:rsidRPr="00610AEB">
              <w:rPr>
                <w:sz w:val="20"/>
              </w:rPr>
              <w:t xml:space="preserve">(Smith, Bennett and </w:t>
            </w:r>
            <w:proofErr w:type="spellStart"/>
            <w:r w:rsidRPr="00610AEB">
              <w:rPr>
                <w:sz w:val="20"/>
              </w:rPr>
              <w:t>Goepel</w:t>
            </w:r>
            <w:proofErr w:type="spellEnd"/>
            <w:r w:rsidRPr="00610AEB">
              <w:rPr>
                <w:sz w:val="20"/>
              </w:rPr>
              <w:t xml:space="preserve"> JJ.A.)</w:t>
            </w:r>
          </w:p>
          <w:p w:rsidR="00610AEB" w:rsidRPr="00610AEB" w:rsidRDefault="007153A4" w:rsidP="00610AEB">
            <w:pPr>
              <w:jc w:val="both"/>
              <w:rPr>
                <w:sz w:val="20"/>
              </w:rPr>
            </w:pPr>
            <w:hyperlink r:id="rId15" w:history="1">
              <w:r w:rsidR="00610AEB" w:rsidRPr="00610AEB">
                <w:rPr>
                  <w:rStyle w:val="Hyperlink"/>
                  <w:sz w:val="20"/>
                </w:rPr>
                <w:t>2017 BCCA 2</w:t>
              </w:r>
            </w:hyperlink>
            <w:r w:rsidR="00610AEB" w:rsidRPr="00610AEB">
              <w:rPr>
                <w:sz w:val="20"/>
              </w:rPr>
              <w:t>; CA43354; CA43355</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Appeals dismissed</w:t>
            </w:r>
          </w:p>
          <w:p w:rsidR="00610AEB" w:rsidRPr="00610AEB" w:rsidRDefault="00610AEB" w:rsidP="00610AEB">
            <w:pPr>
              <w:jc w:val="both"/>
              <w:rPr>
                <w:sz w:val="20"/>
              </w:rPr>
            </w:pPr>
          </w:p>
        </w:tc>
      </w:tr>
      <w:tr w:rsidR="00610AEB" w:rsidRPr="00610AEB" w:rsidTr="00203DCA">
        <w:tc>
          <w:tcPr>
            <w:tcW w:w="2427" w:type="pct"/>
            <w:gridSpan w:val="2"/>
          </w:tcPr>
          <w:p w:rsidR="00610AEB" w:rsidRPr="00610AEB" w:rsidRDefault="00610AEB" w:rsidP="00610AEB">
            <w:pPr>
              <w:jc w:val="both"/>
              <w:rPr>
                <w:sz w:val="20"/>
              </w:rPr>
            </w:pPr>
            <w:r w:rsidRPr="00610AEB">
              <w:rPr>
                <w:sz w:val="20"/>
              </w:rPr>
              <w:t>May 1, 2017</w:t>
            </w:r>
          </w:p>
          <w:p w:rsidR="00610AEB" w:rsidRPr="00610AEB" w:rsidRDefault="00610AEB" w:rsidP="00610AEB">
            <w:pPr>
              <w:jc w:val="both"/>
              <w:rPr>
                <w:sz w:val="20"/>
              </w:rPr>
            </w:pPr>
            <w:r w:rsidRPr="00610AEB">
              <w:rPr>
                <w:sz w:val="20"/>
              </w:rPr>
              <w:t>Supreme Court of Canada</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Motions for an extension of time to serve and file the application and for an anonymity order and publication ban, and application for leave to appeal filed</w:t>
            </w:r>
          </w:p>
        </w:tc>
      </w:tr>
    </w:tbl>
    <w:p w:rsidR="00610AEB" w:rsidRDefault="00610AEB" w:rsidP="00610AEB">
      <w:pPr>
        <w:jc w:val="both"/>
        <w:rPr>
          <w:sz w:val="20"/>
        </w:rPr>
      </w:pPr>
    </w:p>
    <w:p w:rsidR="00B10D6D" w:rsidRPr="00610AEB" w:rsidRDefault="00B10D6D" w:rsidP="00610A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88"/>
        <w:gridCol w:w="3511"/>
        <w:gridCol w:w="451"/>
        <w:gridCol w:w="4320"/>
      </w:tblGrid>
      <w:tr w:rsidR="00610AEB" w:rsidRPr="007153A4" w:rsidTr="007153A4">
        <w:tc>
          <w:tcPr>
            <w:tcW w:w="533" w:type="pct"/>
          </w:tcPr>
          <w:p w:rsidR="00610AEB" w:rsidRPr="00610AEB" w:rsidRDefault="00610AEB" w:rsidP="00610AEB">
            <w:pPr>
              <w:jc w:val="both"/>
              <w:rPr>
                <w:sz w:val="20"/>
                <w:lang w:val="fr-CA"/>
              </w:rPr>
            </w:pPr>
            <w:r w:rsidRPr="00610AEB">
              <w:rPr>
                <w:rStyle w:val="SCCFileNumberChar"/>
                <w:sz w:val="20"/>
                <w:szCs w:val="20"/>
                <w:lang w:val="fr-CA"/>
              </w:rPr>
              <w:t>37551</w:t>
            </w:r>
          </w:p>
        </w:tc>
        <w:tc>
          <w:tcPr>
            <w:tcW w:w="4467" w:type="pct"/>
            <w:gridSpan w:val="3"/>
          </w:tcPr>
          <w:p w:rsidR="00610AEB" w:rsidRPr="00B10D6D" w:rsidRDefault="00610AEB" w:rsidP="00610AEB">
            <w:pPr>
              <w:pStyle w:val="SCCLsocParty"/>
              <w:jc w:val="both"/>
              <w:rPr>
                <w:b/>
                <w:sz w:val="20"/>
                <w:szCs w:val="20"/>
                <w:lang w:val="en-US"/>
              </w:rPr>
            </w:pPr>
            <w:r w:rsidRPr="00B10D6D">
              <w:rPr>
                <w:b/>
                <w:sz w:val="20"/>
                <w:szCs w:val="20"/>
                <w:lang w:val="en-US"/>
              </w:rPr>
              <w:t xml:space="preserve">S.A. c. Metro Vancouver Housing Corporation </w:t>
            </w:r>
          </w:p>
          <w:p w:rsidR="00610AEB" w:rsidRPr="00610AEB" w:rsidRDefault="00610AEB" w:rsidP="00610AEB">
            <w:pPr>
              <w:jc w:val="both"/>
              <w:rPr>
                <w:sz w:val="20"/>
                <w:lang w:val="fr-CA"/>
              </w:rPr>
            </w:pPr>
            <w:r w:rsidRPr="00610AEB">
              <w:rPr>
                <w:sz w:val="20"/>
              </w:rPr>
              <w:t xml:space="preserve"> </w:t>
            </w:r>
            <w:r w:rsidRPr="00610AEB">
              <w:rPr>
                <w:sz w:val="20"/>
                <w:lang w:val="fr-CA"/>
              </w:rPr>
              <w:t>(C.-B.) (Civile) (Sur autorisation)</w:t>
            </w:r>
          </w:p>
        </w:tc>
      </w:tr>
      <w:tr w:rsidR="00610AEB" w:rsidRPr="007153A4" w:rsidTr="00203DCA">
        <w:tc>
          <w:tcPr>
            <w:tcW w:w="5000" w:type="pct"/>
            <w:gridSpan w:val="4"/>
          </w:tcPr>
          <w:p w:rsidR="00610AEB" w:rsidRPr="00610AEB" w:rsidRDefault="00610AEB" w:rsidP="00610AEB">
            <w:pPr>
              <w:jc w:val="both"/>
              <w:rPr>
                <w:sz w:val="20"/>
                <w:lang w:val="fr-CA"/>
              </w:rPr>
            </w:pPr>
            <w:bookmarkStart w:id="0" w:name="_GoBack"/>
            <w:bookmarkEnd w:id="0"/>
            <w:r w:rsidRPr="00610AEB">
              <w:rPr>
                <w:sz w:val="20"/>
                <w:lang w:val="fr-CA"/>
              </w:rPr>
              <w:t>Contrats – Interprétation – Violation – Fiducies – Les éléments d’actif détenus dans une fiducie discrétionnaire sont-ils les éléments d’actif d’un bénéficiaire de la fiducie dans la détermination du droit à des prestations d’aide sociale?</w:t>
            </w:r>
          </w:p>
        </w:tc>
      </w:tr>
      <w:tr w:rsidR="00610AEB" w:rsidRPr="007153A4" w:rsidTr="00203DCA">
        <w:tc>
          <w:tcPr>
            <w:tcW w:w="5000" w:type="pct"/>
            <w:gridSpan w:val="4"/>
          </w:tcPr>
          <w:p w:rsidR="00610AEB" w:rsidRPr="00610AEB" w:rsidRDefault="00610AEB" w:rsidP="00610AEB">
            <w:pPr>
              <w:jc w:val="both"/>
              <w:rPr>
                <w:sz w:val="20"/>
                <w:lang w:val="fr-CA"/>
              </w:rPr>
            </w:pPr>
          </w:p>
          <w:p w:rsidR="00610AEB" w:rsidRPr="00610AEB" w:rsidRDefault="00610AEB" w:rsidP="00610AEB">
            <w:pPr>
              <w:jc w:val="both"/>
              <w:rPr>
                <w:sz w:val="20"/>
                <w:lang w:val="fr-CA"/>
              </w:rPr>
            </w:pPr>
            <w:r w:rsidRPr="00610AEB">
              <w:rPr>
                <w:sz w:val="20"/>
                <w:lang w:val="fr-CA"/>
              </w:rPr>
              <w:t>La demanderesse, une femme âgée de 56 ans, a des incapacités et ne peut travailler. Elle reçoit des prestations sous le régime de l’</w:t>
            </w:r>
            <w:r w:rsidRPr="00610AEB">
              <w:rPr>
                <w:i/>
                <w:sz w:val="20"/>
                <w:lang w:val="fr-CA"/>
              </w:rPr>
              <w:t>Employment and Assistance for Persons with Disabilities Act</w:t>
            </w:r>
            <w:r w:rsidRPr="00610AEB">
              <w:rPr>
                <w:sz w:val="20"/>
                <w:lang w:val="fr-CA"/>
              </w:rPr>
              <w:t>, S.B.C. 2002, ch. 41. Elle est l’unique bénéficiaire d’une fiducie discrétionnaire établie par une modification du testament de son défunt père par ordonnance judiciaire datée de 2012 (la « fiducie »), dont elle et sa sœur sont les cofiduciaires. L’intimée (« MVHC ») exploite des habitations subventionnées sans but lucratif à Vancouver, y compris l’endroit où habite la demanderesse depuis 1992. En plus de fournir des logements abordables, MVHC a un programme additionnel de subvention de logements locatifs. En raison de sa politique qui empêche les personnes ayant plus de 25 000 $ d’actif de bénéficier de loyers subventionnés, MVHC a demandé à la demanderesse des renseignements sur la fiducie, y compris le montant détenu en fiducie. Lorsqu’elle a refusé, elle a été informée que son loyer cesserait d’être subventionné.  Elle a payé le plein loyer sous toute réserve.</w:t>
            </w:r>
          </w:p>
          <w:p w:rsidR="00610AEB" w:rsidRPr="00610AEB" w:rsidRDefault="00610AEB" w:rsidP="00610AEB">
            <w:pPr>
              <w:jc w:val="both"/>
              <w:rPr>
                <w:sz w:val="20"/>
                <w:lang w:val="fr-CA"/>
              </w:rPr>
            </w:pPr>
          </w:p>
          <w:p w:rsidR="00610AEB" w:rsidRPr="00610AEB" w:rsidRDefault="00610AEB" w:rsidP="00610AEB">
            <w:pPr>
              <w:jc w:val="both"/>
              <w:rPr>
                <w:sz w:val="20"/>
                <w:lang w:val="fr-CA"/>
              </w:rPr>
            </w:pPr>
            <w:r w:rsidRPr="00610AEB">
              <w:rPr>
                <w:sz w:val="20"/>
                <w:lang w:val="fr-CA"/>
              </w:rPr>
              <w:t xml:space="preserve">La demanderesse a présenté une requête en jugement déclarant que la fiducie n’est pas un élément d’actif aux fins de déterminer son loyer subventionné et pour obtenir le remboursement du montant additionnel qu’elle a payé.  MVHC a présenté une requête en jugement déclarant que la communication de renseignements financiers pour avoir droit au loyer subventionné oblige la communication des intérêts bénéficiaires à l’égard d’éléments d’actif, y compris la fiducie, et que la MVHC a contractuellement le droit à ces renseignements financiers. La Cour suprême de la </w:t>
            </w:r>
            <w:r w:rsidRPr="00610AEB">
              <w:rPr>
                <w:sz w:val="20"/>
                <w:lang w:val="fr-CA"/>
              </w:rPr>
              <w:lastRenderedPageBreak/>
              <w:t>Colombie-Britannique a rejeté la requête de la demanderesse et a accueilli celle de MVHC. La Cour d’appel de la Colombie-Britannique a rejeté les appels.</w:t>
            </w:r>
          </w:p>
          <w:p w:rsidR="00610AEB" w:rsidRPr="00610AEB" w:rsidRDefault="00610AEB" w:rsidP="00610AEB">
            <w:pPr>
              <w:jc w:val="both"/>
              <w:rPr>
                <w:sz w:val="20"/>
                <w:lang w:val="fr-CA"/>
              </w:rPr>
            </w:pPr>
          </w:p>
        </w:tc>
      </w:tr>
      <w:tr w:rsidR="00610AEB" w:rsidRPr="007153A4" w:rsidTr="00203DCA">
        <w:tc>
          <w:tcPr>
            <w:tcW w:w="2427" w:type="pct"/>
            <w:gridSpan w:val="2"/>
          </w:tcPr>
          <w:p w:rsidR="00610AEB" w:rsidRPr="00610AEB" w:rsidRDefault="00610AEB" w:rsidP="00610AEB">
            <w:pPr>
              <w:jc w:val="both"/>
              <w:rPr>
                <w:sz w:val="20"/>
                <w:lang w:val="fr-CA"/>
              </w:rPr>
            </w:pPr>
            <w:r w:rsidRPr="00610AEB">
              <w:rPr>
                <w:sz w:val="20"/>
                <w:lang w:val="fr-CA"/>
              </w:rPr>
              <w:lastRenderedPageBreak/>
              <w:t>3 décembre 2015</w:t>
            </w:r>
          </w:p>
          <w:p w:rsidR="00610AEB" w:rsidRPr="00610AEB" w:rsidRDefault="00610AEB" w:rsidP="00610AEB">
            <w:pPr>
              <w:jc w:val="both"/>
              <w:rPr>
                <w:sz w:val="20"/>
                <w:lang w:val="fr-CA"/>
              </w:rPr>
            </w:pPr>
            <w:r w:rsidRPr="00610AEB">
              <w:rPr>
                <w:sz w:val="20"/>
                <w:lang w:val="fr-CA"/>
              </w:rPr>
              <w:t>Cour suprême de la Colombie-Britannique</w:t>
            </w:r>
          </w:p>
          <w:p w:rsidR="00610AEB" w:rsidRPr="00610AEB" w:rsidRDefault="00610AEB" w:rsidP="00610AEB">
            <w:pPr>
              <w:jc w:val="both"/>
              <w:rPr>
                <w:sz w:val="20"/>
                <w:lang w:val="fr-CA"/>
              </w:rPr>
            </w:pPr>
            <w:r w:rsidRPr="00610AEB">
              <w:rPr>
                <w:sz w:val="20"/>
                <w:lang w:val="fr-CA"/>
              </w:rPr>
              <w:t>(Juge Steeves)</w:t>
            </w:r>
          </w:p>
          <w:p w:rsidR="00610AEB" w:rsidRPr="00610AEB" w:rsidRDefault="00610AEB" w:rsidP="00610AEB">
            <w:pPr>
              <w:jc w:val="both"/>
              <w:rPr>
                <w:rStyle w:val="reflex3-alt"/>
                <w:sz w:val="20"/>
                <w:lang w:val="fr-CA"/>
              </w:rPr>
            </w:pPr>
            <w:r w:rsidRPr="00610AEB">
              <w:rPr>
                <w:rStyle w:val="reflex3-alt"/>
                <w:sz w:val="20"/>
                <w:lang w:val="fr-CA"/>
              </w:rPr>
              <w:t xml:space="preserve">2015 BCSC 2260 </w:t>
            </w:r>
          </w:p>
          <w:p w:rsidR="00610AEB" w:rsidRPr="00610AEB" w:rsidRDefault="00610AEB" w:rsidP="00610AEB">
            <w:pPr>
              <w:jc w:val="both"/>
              <w:rPr>
                <w:rStyle w:val="reflex3-alt"/>
                <w:sz w:val="20"/>
                <w:lang w:val="fr-CA"/>
              </w:rPr>
            </w:pPr>
            <w:r w:rsidRPr="00610AEB">
              <w:rPr>
                <w:sz w:val="20"/>
                <w:lang w:val="fr-CA"/>
              </w:rPr>
              <w:t>S155776; S156499</w:t>
            </w:r>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Jugement rejetant la requête de la demanderesse et accueillant la requête de l’intimée</w:t>
            </w:r>
          </w:p>
          <w:p w:rsidR="00610AEB" w:rsidRPr="00610AEB" w:rsidRDefault="00610AEB" w:rsidP="00610AEB">
            <w:pPr>
              <w:jc w:val="both"/>
              <w:rPr>
                <w:sz w:val="20"/>
                <w:lang w:val="fr-CA"/>
              </w:rPr>
            </w:pPr>
          </w:p>
        </w:tc>
      </w:tr>
      <w:tr w:rsidR="00610AEB" w:rsidRPr="00610AEB" w:rsidTr="00203DCA">
        <w:tc>
          <w:tcPr>
            <w:tcW w:w="2427" w:type="pct"/>
            <w:gridSpan w:val="2"/>
          </w:tcPr>
          <w:p w:rsidR="00610AEB" w:rsidRPr="00610AEB" w:rsidRDefault="00610AEB" w:rsidP="00610AEB">
            <w:pPr>
              <w:jc w:val="both"/>
              <w:rPr>
                <w:sz w:val="20"/>
                <w:lang w:val="fr-CA"/>
              </w:rPr>
            </w:pPr>
            <w:r w:rsidRPr="00610AEB">
              <w:rPr>
                <w:sz w:val="20"/>
                <w:lang w:val="fr-CA"/>
              </w:rPr>
              <w:t>6 janvier 2017</w:t>
            </w:r>
          </w:p>
          <w:p w:rsidR="00610AEB" w:rsidRPr="00610AEB" w:rsidRDefault="00610AEB" w:rsidP="00610AEB">
            <w:pPr>
              <w:jc w:val="both"/>
              <w:rPr>
                <w:sz w:val="20"/>
                <w:lang w:val="fr-CA"/>
              </w:rPr>
            </w:pPr>
            <w:r w:rsidRPr="00610AEB">
              <w:rPr>
                <w:sz w:val="20"/>
                <w:lang w:val="fr-CA"/>
              </w:rPr>
              <w:t>Cour d’appel de la Colombie-Britannique</w:t>
            </w:r>
          </w:p>
          <w:p w:rsidR="00610AEB" w:rsidRPr="00610AEB" w:rsidRDefault="00610AEB" w:rsidP="00610AEB">
            <w:pPr>
              <w:jc w:val="both"/>
              <w:rPr>
                <w:sz w:val="20"/>
                <w:lang w:val="fr-CA"/>
              </w:rPr>
            </w:pPr>
            <w:r w:rsidRPr="00610AEB">
              <w:rPr>
                <w:sz w:val="20"/>
                <w:lang w:val="fr-CA"/>
              </w:rPr>
              <w:t>(Vancouver)</w:t>
            </w:r>
          </w:p>
          <w:p w:rsidR="00610AEB" w:rsidRPr="00610AEB" w:rsidRDefault="00610AEB" w:rsidP="00610AEB">
            <w:pPr>
              <w:jc w:val="both"/>
              <w:rPr>
                <w:sz w:val="20"/>
                <w:lang w:val="fr-CA"/>
              </w:rPr>
            </w:pPr>
            <w:r w:rsidRPr="00610AEB">
              <w:rPr>
                <w:sz w:val="20"/>
                <w:lang w:val="fr-CA"/>
              </w:rPr>
              <w:t>(Juges Smith, Bennett et Goepel)</w:t>
            </w:r>
          </w:p>
          <w:p w:rsidR="00610AEB" w:rsidRPr="00610AEB" w:rsidRDefault="007153A4" w:rsidP="00610AEB">
            <w:pPr>
              <w:jc w:val="both"/>
              <w:rPr>
                <w:sz w:val="20"/>
                <w:lang w:val="fr-CA"/>
              </w:rPr>
            </w:pPr>
            <w:hyperlink r:id="rId16" w:history="1">
              <w:r w:rsidR="00610AEB" w:rsidRPr="00610AEB">
                <w:rPr>
                  <w:rStyle w:val="Hyperlink"/>
                  <w:sz w:val="20"/>
                  <w:lang w:val="fr-CA"/>
                </w:rPr>
                <w:t>2017 BCCA 2</w:t>
              </w:r>
            </w:hyperlink>
            <w:r w:rsidR="00610AEB" w:rsidRPr="00610AEB">
              <w:rPr>
                <w:sz w:val="20"/>
                <w:lang w:val="fr-CA"/>
              </w:rPr>
              <w:t>; CA43354; CA43355</w:t>
            </w:r>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Rejet des appels</w:t>
            </w:r>
          </w:p>
          <w:p w:rsidR="00610AEB" w:rsidRPr="00610AEB" w:rsidRDefault="00610AEB" w:rsidP="00610AEB">
            <w:pPr>
              <w:jc w:val="both"/>
              <w:rPr>
                <w:sz w:val="20"/>
                <w:lang w:val="fr-CA"/>
              </w:rPr>
            </w:pPr>
          </w:p>
        </w:tc>
      </w:tr>
      <w:tr w:rsidR="00610AEB" w:rsidRPr="007153A4" w:rsidTr="00203DCA">
        <w:tc>
          <w:tcPr>
            <w:tcW w:w="2427" w:type="pct"/>
            <w:gridSpan w:val="2"/>
          </w:tcPr>
          <w:p w:rsidR="00610AEB" w:rsidRPr="00610AEB" w:rsidRDefault="00610AEB" w:rsidP="00610AEB">
            <w:pPr>
              <w:jc w:val="both"/>
              <w:rPr>
                <w:sz w:val="20"/>
                <w:lang w:val="fr-CA"/>
              </w:rPr>
            </w:pPr>
            <w:r w:rsidRPr="00610AEB">
              <w:rPr>
                <w:sz w:val="20"/>
                <w:lang w:val="fr-CA"/>
              </w:rPr>
              <w:t>1</w:t>
            </w:r>
            <w:r w:rsidRPr="00610AEB">
              <w:rPr>
                <w:sz w:val="20"/>
                <w:vertAlign w:val="superscript"/>
                <w:lang w:val="fr-CA"/>
              </w:rPr>
              <w:t>er</w:t>
            </w:r>
            <w:r w:rsidRPr="00610AEB">
              <w:rPr>
                <w:sz w:val="20"/>
                <w:lang w:val="fr-CA"/>
              </w:rPr>
              <w:t xml:space="preserve"> mai 2017</w:t>
            </w:r>
          </w:p>
          <w:p w:rsidR="00610AEB" w:rsidRPr="00610AEB" w:rsidRDefault="00610AEB" w:rsidP="00610AEB">
            <w:pPr>
              <w:jc w:val="both"/>
              <w:rPr>
                <w:sz w:val="20"/>
                <w:lang w:val="fr-CA"/>
              </w:rPr>
            </w:pPr>
            <w:r w:rsidRPr="00610AEB">
              <w:rPr>
                <w:sz w:val="20"/>
                <w:lang w:val="fr-CA"/>
              </w:rPr>
              <w:t>Cour suprême du Canada</w:t>
            </w: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Dépôt des requêtes en prorogation du délai de signification et de dépôt de la demande et en vue d’obtenir une ordonnance d’anonymat et d’ordonnance de non-publication et de la demande d’autorisation d’appel</w:t>
            </w:r>
          </w:p>
        </w:tc>
      </w:tr>
    </w:tbl>
    <w:p w:rsidR="00610AEB" w:rsidRPr="00610AEB" w:rsidRDefault="00610AEB" w:rsidP="00610AEB">
      <w:pPr>
        <w:jc w:val="both"/>
        <w:rPr>
          <w:sz w:val="20"/>
          <w:lang w:val="fr-CA"/>
        </w:rPr>
      </w:pPr>
    </w:p>
    <w:p w:rsidR="00610AEB" w:rsidRPr="00610AEB" w:rsidRDefault="00610AEB" w:rsidP="00610AEB">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lang w:val="en-CA"/>
              </w:rPr>
            </w:pPr>
            <w:r w:rsidRPr="00610AEB">
              <w:rPr>
                <w:rStyle w:val="SCCFileNumberChar"/>
                <w:sz w:val="20"/>
                <w:szCs w:val="20"/>
              </w:rPr>
              <w:t>37566</w:t>
            </w:r>
          </w:p>
        </w:tc>
        <w:tc>
          <w:tcPr>
            <w:tcW w:w="4457" w:type="pct"/>
            <w:gridSpan w:val="3"/>
          </w:tcPr>
          <w:p w:rsidR="00610AEB" w:rsidRPr="00B10D6D" w:rsidRDefault="00610AEB" w:rsidP="00610AEB">
            <w:pPr>
              <w:pStyle w:val="SCCLsocParty"/>
              <w:jc w:val="both"/>
              <w:rPr>
                <w:b/>
                <w:sz w:val="20"/>
                <w:szCs w:val="20"/>
                <w:lang w:val="en-CA"/>
              </w:rPr>
            </w:pPr>
            <w:r w:rsidRPr="00B10D6D">
              <w:rPr>
                <w:b/>
                <w:sz w:val="20"/>
                <w:szCs w:val="20"/>
                <w:lang w:val="en-CA"/>
              </w:rPr>
              <w:t>Yves Brunette, in his capacity as trustee of Fiducie Maynard 2004, Jean M. Maynard, in his capacity as trustee of Fiducie Maynard 2004 v. Legault Joly Thiffault LLP, LJT Fiscalité Inc., LJT Corporatif Inc., LJT Conseil Inc., LJT Litige Inc., LJT Immobilier Inc., Lehoux Boivin Comptables Agréés, s.e.n.c., Marcel Chaput and Fiscaliste M.C. Inc.</w:t>
            </w:r>
          </w:p>
          <w:p w:rsidR="00610AEB" w:rsidRPr="00610AEB" w:rsidRDefault="00610AEB" w:rsidP="00610AEB">
            <w:pPr>
              <w:jc w:val="both"/>
              <w:rPr>
                <w:sz w:val="20"/>
                <w:lang w:val="en-CA"/>
              </w:rPr>
            </w:pPr>
            <w:r w:rsidRPr="00610AEB">
              <w:rPr>
                <w:sz w:val="20"/>
                <w:lang w:val="en-CA"/>
              </w:rPr>
              <w:t>(Que.) (Civil) (By Leave)</w:t>
            </w:r>
          </w:p>
        </w:tc>
      </w:tr>
      <w:tr w:rsidR="00610AEB" w:rsidRPr="00610AEB" w:rsidTr="00E95A6A">
        <w:tc>
          <w:tcPr>
            <w:tcW w:w="5000" w:type="pct"/>
            <w:gridSpan w:val="4"/>
          </w:tcPr>
          <w:p w:rsidR="00610AEB" w:rsidRPr="00610AEB" w:rsidRDefault="00610AEB" w:rsidP="00610AEB">
            <w:pPr>
              <w:jc w:val="both"/>
              <w:rPr>
                <w:sz w:val="20"/>
                <w:lang w:val="en-CA"/>
              </w:rPr>
            </w:pPr>
            <w:proofErr w:type="gramStart"/>
            <w:r w:rsidRPr="00610AEB">
              <w:rPr>
                <w:sz w:val="20"/>
                <w:lang w:val="en-CA"/>
              </w:rPr>
              <w:t xml:space="preserve">Civil liability — Commercial law — Corporations — Corporate veil  — Shareholders’ personal interests separate from those of corporation — Whether there is categorical rule in Quebec civil law to effect that shareholder may not sue party for loss in value of shareholder’s shares as result of breach of contract by that party in relation to corporation — Whether action may be dismissed at preliminary exception stage, without any substantive analysis of causation, solely because injury suffered is considered </w:t>
            </w:r>
            <w:r w:rsidRPr="00610AEB">
              <w:rPr>
                <w:i/>
                <w:sz w:val="20"/>
                <w:lang w:val="en-CA"/>
              </w:rPr>
              <w:t>prima facie</w:t>
            </w:r>
            <w:r w:rsidRPr="00610AEB">
              <w:rPr>
                <w:sz w:val="20"/>
                <w:lang w:val="en-CA"/>
              </w:rPr>
              <w:t xml:space="preserve"> indirect.</w:t>
            </w:r>
            <w:proofErr w:type="gramEnd"/>
          </w:p>
        </w:tc>
      </w:tr>
      <w:tr w:rsidR="00610AEB" w:rsidRPr="00610AEB" w:rsidTr="00E95A6A">
        <w:tc>
          <w:tcPr>
            <w:tcW w:w="5000" w:type="pct"/>
            <w:gridSpan w:val="4"/>
          </w:tcPr>
          <w:p w:rsidR="00610AEB" w:rsidRPr="00610AEB" w:rsidRDefault="00610AEB" w:rsidP="00610AEB">
            <w:pPr>
              <w:jc w:val="both"/>
              <w:rPr>
                <w:sz w:val="20"/>
                <w:lang w:val="en-CA"/>
              </w:rPr>
            </w:pPr>
          </w:p>
        </w:tc>
      </w:tr>
      <w:tr w:rsidR="00610AEB" w:rsidRPr="00610AEB" w:rsidTr="00E95A6A">
        <w:tc>
          <w:tcPr>
            <w:tcW w:w="5000" w:type="pct"/>
            <w:gridSpan w:val="4"/>
          </w:tcPr>
          <w:p w:rsidR="00610AEB" w:rsidRPr="00610AEB" w:rsidRDefault="00610AEB" w:rsidP="00610AEB">
            <w:pPr>
              <w:jc w:val="both"/>
              <w:rPr>
                <w:sz w:val="20"/>
                <w:lang w:val="en-CA"/>
              </w:rPr>
            </w:pPr>
            <w:r w:rsidRPr="00610AEB">
              <w:rPr>
                <w:sz w:val="20"/>
                <w:lang w:val="en-CA"/>
              </w:rPr>
              <w:t xml:space="preserve">Between 2004 and 2008, the Melior Group, which </w:t>
            </w:r>
            <w:proofErr w:type="gramStart"/>
            <w:r w:rsidRPr="00610AEB">
              <w:rPr>
                <w:sz w:val="20"/>
                <w:lang w:val="en-CA"/>
              </w:rPr>
              <w:t>was made up</w:t>
            </w:r>
            <w:proofErr w:type="gramEnd"/>
            <w:r w:rsidRPr="00610AEB">
              <w:rPr>
                <w:sz w:val="20"/>
                <w:lang w:val="en-CA"/>
              </w:rPr>
              <w:t xml:space="preserve"> of a large number of corporations whose share capital was held in whole or in part by 9143</w:t>
            </w:r>
            <w:r w:rsidRPr="00610AEB">
              <w:rPr>
                <w:sz w:val="20"/>
                <w:lang w:val="en-CA"/>
              </w:rPr>
              <w:noBreakHyphen/>
              <w:t xml:space="preserve">1304 Québec inc., developed projects to build, renovate and manage seniors’ residences. In 2009, Revenu Québec issued notices of assessment against several corporations in the Group. The issuance of the notices, which </w:t>
            </w:r>
            <w:proofErr w:type="gramStart"/>
            <w:r w:rsidRPr="00610AEB">
              <w:rPr>
                <w:sz w:val="20"/>
                <w:lang w:val="en-CA"/>
              </w:rPr>
              <w:t>was accompanied</w:t>
            </w:r>
            <w:proofErr w:type="gramEnd"/>
            <w:r w:rsidRPr="00610AEB">
              <w:rPr>
                <w:sz w:val="20"/>
                <w:lang w:val="en-CA"/>
              </w:rPr>
              <w:t xml:space="preserve"> by collection action, resulted in the bankruptcy of several of those corporations and of 9143</w:t>
            </w:r>
            <w:r w:rsidRPr="00610AEB">
              <w:rPr>
                <w:sz w:val="20"/>
                <w:lang w:val="en-CA"/>
              </w:rPr>
              <w:noBreakHyphen/>
              <w:t xml:space="preserve">1304 Québec inc. </w:t>
            </w:r>
            <w:proofErr w:type="gramStart"/>
            <w:r w:rsidRPr="00610AEB">
              <w:rPr>
                <w:sz w:val="20"/>
                <w:lang w:val="en-CA"/>
              </w:rPr>
              <w:t>The applicants, Yves Brunette and Jean M. Maynard, trustees of Fiducie Maynard 2004, the sole shareholder of 9143</w:t>
            </w:r>
            <w:r w:rsidRPr="00610AEB">
              <w:rPr>
                <w:sz w:val="20"/>
                <w:lang w:val="en-CA"/>
              </w:rPr>
              <w:noBreakHyphen/>
              <w:t>1304 Québec inc., then instituted a civil liability action for the loss in the value of the trust patrimony against the respondents, Legault Joly Thiffault LLP, LJT Fiscalité inc., LJT Corporatif inc., LJT Conseil inc., LJT Litige inc., LJT Immobilier inc., Lehoux Boivin Comptables Agréés, s.e.n.c., Marcel Chaput and Fiscaliste M.C. inc.</w:t>
            </w:r>
            <w:proofErr w:type="gramEnd"/>
            <w:r w:rsidRPr="00610AEB">
              <w:rPr>
                <w:sz w:val="20"/>
                <w:lang w:val="en-CA"/>
              </w:rPr>
              <w:t xml:space="preserve"> The respondents </w:t>
            </w:r>
            <w:proofErr w:type="gramStart"/>
            <w:r w:rsidRPr="00610AEB">
              <w:rPr>
                <w:sz w:val="20"/>
                <w:lang w:val="en-CA"/>
              </w:rPr>
              <w:t>were alleged</w:t>
            </w:r>
            <w:proofErr w:type="gramEnd"/>
            <w:r w:rsidRPr="00610AEB">
              <w:rPr>
                <w:sz w:val="20"/>
                <w:lang w:val="en-CA"/>
              </w:rPr>
              <w:t xml:space="preserve"> to have committed professional misconduct in setting up a tax structure that was supposed to manage the corporations’ consumption taxes and that turned out to be non</w:t>
            </w:r>
            <w:r w:rsidRPr="00610AEB">
              <w:rPr>
                <w:sz w:val="20"/>
                <w:lang w:val="en-CA"/>
              </w:rPr>
              <w:noBreakHyphen/>
              <w:t>compliant with legislation.</w:t>
            </w:r>
          </w:p>
          <w:p w:rsidR="00610AEB" w:rsidRPr="00610AEB" w:rsidRDefault="00610AEB" w:rsidP="00610AEB">
            <w:pPr>
              <w:jc w:val="both"/>
              <w:rPr>
                <w:sz w:val="20"/>
                <w:lang w:val="en-CA"/>
              </w:rPr>
            </w:pPr>
          </w:p>
        </w:tc>
      </w:tr>
      <w:tr w:rsidR="00610AEB" w:rsidRPr="00610AEB" w:rsidTr="00E95A6A">
        <w:tc>
          <w:tcPr>
            <w:tcW w:w="2427" w:type="pct"/>
            <w:gridSpan w:val="2"/>
          </w:tcPr>
          <w:p w:rsidR="00610AEB" w:rsidRPr="00610AEB" w:rsidRDefault="00610AEB" w:rsidP="00610AEB">
            <w:pPr>
              <w:jc w:val="both"/>
              <w:rPr>
                <w:sz w:val="20"/>
                <w:lang w:val="en-CA"/>
              </w:rPr>
            </w:pPr>
            <w:r w:rsidRPr="00610AEB">
              <w:rPr>
                <w:sz w:val="20"/>
                <w:lang w:val="en-CA"/>
              </w:rPr>
              <w:t>July 22, 2015</w:t>
            </w:r>
          </w:p>
          <w:p w:rsidR="00610AEB" w:rsidRPr="00610AEB" w:rsidRDefault="00610AEB" w:rsidP="00610AEB">
            <w:pPr>
              <w:jc w:val="both"/>
              <w:rPr>
                <w:sz w:val="20"/>
                <w:lang w:val="en-CA"/>
              </w:rPr>
            </w:pPr>
            <w:r w:rsidRPr="00610AEB">
              <w:rPr>
                <w:sz w:val="20"/>
                <w:lang w:val="en-CA"/>
              </w:rPr>
              <w:t>Quebec Superior Court</w:t>
            </w:r>
          </w:p>
          <w:p w:rsidR="00610AEB" w:rsidRPr="00610AEB" w:rsidRDefault="00610AEB" w:rsidP="00610AEB">
            <w:pPr>
              <w:jc w:val="both"/>
              <w:rPr>
                <w:sz w:val="20"/>
                <w:lang w:val="en-CA"/>
              </w:rPr>
            </w:pPr>
            <w:r w:rsidRPr="00610AEB">
              <w:rPr>
                <w:sz w:val="20"/>
                <w:lang w:val="en-CA"/>
              </w:rPr>
              <w:t>(Mayrand J.)</w:t>
            </w:r>
          </w:p>
          <w:p w:rsidR="00610AEB" w:rsidRPr="00610AEB" w:rsidRDefault="007153A4" w:rsidP="00610AEB">
            <w:pPr>
              <w:jc w:val="both"/>
              <w:rPr>
                <w:sz w:val="20"/>
                <w:lang w:val="en-CA"/>
              </w:rPr>
            </w:pPr>
            <w:hyperlink r:id="rId17" w:history="1">
              <w:r w:rsidR="00610AEB" w:rsidRPr="00610AEB">
                <w:rPr>
                  <w:rStyle w:val="Hyperlink"/>
                  <w:sz w:val="20"/>
                  <w:lang w:val="en-CA"/>
                </w:rPr>
                <w:t>2015 QCCS 3482</w:t>
              </w:r>
            </w:hyperlink>
          </w:p>
          <w:p w:rsidR="00610AEB" w:rsidRPr="00610AEB" w:rsidRDefault="00610AEB" w:rsidP="00610AEB">
            <w:pPr>
              <w:jc w:val="both"/>
              <w:rPr>
                <w:sz w:val="20"/>
                <w:lang w:val="en-CA"/>
              </w:rPr>
            </w:pPr>
            <w:r w:rsidRPr="00610AEB">
              <w:rPr>
                <w:sz w:val="20"/>
                <w:lang w:val="en-CA"/>
              </w:rPr>
              <w:t xml:space="preserve"> </w:t>
            </w:r>
          </w:p>
        </w:tc>
        <w:tc>
          <w:tcPr>
            <w:tcW w:w="243" w:type="pct"/>
          </w:tcPr>
          <w:p w:rsidR="00610AEB" w:rsidRPr="00610AEB" w:rsidRDefault="00610AEB" w:rsidP="00610AEB">
            <w:pPr>
              <w:jc w:val="both"/>
              <w:rPr>
                <w:sz w:val="20"/>
                <w:lang w:val="en-CA"/>
              </w:rPr>
            </w:pPr>
          </w:p>
        </w:tc>
        <w:tc>
          <w:tcPr>
            <w:tcW w:w="2330" w:type="pct"/>
          </w:tcPr>
          <w:p w:rsidR="00610AEB" w:rsidRPr="00610AEB" w:rsidRDefault="00610AEB" w:rsidP="00610AEB">
            <w:pPr>
              <w:jc w:val="both"/>
              <w:rPr>
                <w:sz w:val="20"/>
                <w:lang w:val="en-CA"/>
              </w:rPr>
            </w:pPr>
            <w:r w:rsidRPr="00610AEB">
              <w:rPr>
                <w:sz w:val="20"/>
                <w:lang w:val="en-CA"/>
              </w:rPr>
              <w:t>Motion to dismiss allowed</w:t>
            </w:r>
          </w:p>
          <w:p w:rsidR="00610AEB" w:rsidRPr="00610AEB" w:rsidRDefault="00610AEB" w:rsidP="00610AEB">
            <w:pPr>
              <w:jc w:val="both"/>
              <w:rPr>
                <w:sz w:val="20"/>
                <w:lang w:val="en-CA"/>
              </w:rPr>
            </w:pPr>
            <w:r w:rsidRPr="00610AEB">
              <w:rPr>
                <w:sz w:val="20"/>
                <w:lang w:val="en-CA"/>
              </w:rPr>
              <w:t>Re-reamended motion to institute proceedings, with particulars, dismissed</w:t>
            </w:r>
          </w:p>
          <w:p w:rsidR="00610AEB" w:rsidRPr="00610AEB" w:rsidRDefault="00610AEB" w:rsidP="00610AEB">
            <w:pPr>
              <w:jc w:val="both"/>
              <w:rPr>
                <w:sz w:val="20"/>
                <w:lang w:val="en-CA"/>
              </w:rPr>
            </w:pPr>
            <w:r w:rsidRPr="00610AEB">
              <w:rPr>
                <w:sz w:val="20"/>
                <w:lang w:val="en-CA"/>
              </w:rPr>
              <w:t xml:space="preserve"> </w:t>
            </w:r>
          </w:p>
        </w:tc>
      </w:tr>
      <w:tr w:rsidR="00610AEB" w:rsidRPr="00610AEB" w:rsidTr="00E95A6A">
        <w:tc>
          <w:tcPr>
            <w:tcW w:w="2427" w:type="pct"/>
            <w:gridSpan w:val="2"/>
          </w:tcPr>
          <w:p w:rsidR="00610AEB" w:rsidRPr="00610AEB" w:rsidRDefault="00610AEB" w:rsidP="00610AEB">
            <w:pPr>
              <w:jc w:val="both"/>
              <w:rPr>
                <w:sz w:val="20"/>
                <w:lang w:val="en-CA"/>
              </w:rPr>
            </w:pPr>
            <w:r w:rsidRPr="00610AEB">
              <w:rPr>
                <w:sz w:val="20"/>
                <w:lang w:val="en-CA"/>
              </w:rPr>
              <w:t>March 8, 2017</w:t>
            </w:r>
          </w:p>
          <w:p w:rsidR="00610AEB" w:rsidRPr="00610AEB" w:rsidRDefault="00610AEB" w:rsidP="00610AEB">
            <w:pPr>
              <w:jc w:val="both"/>
              <w:rPr>
                <w:sz w:val="20"/>
                <w:lang w:val="en-CA"/>
              </w:rPr>
            </w:pPr>
            <w:r w:rsidRPr="00610AEB">
              <w:rPr>
                <w:sz w:val="20"/>
                <w:lang w:val="en-CA"/>
              </w:rPr>
              <w:t>Quebec Court of Appeal (Montréal)</w:t>
            </w:r>
          </w:p>
          <w:p w:rsidR="00610AEB" w:rsidRPr="00610AEB" w:rsidRDefault="00610AEB" w:rsidP="00610AEB">
            <w:pPr>
              <w:jc w:val="both"/>
              <w:rPr>
                <w:sz w:val="20"/>
                <w:lang w:val="en-CA"/>
              </w:rPr>
            </w:pPr>
            <w:r w:rsidRPr="00610AEB">
              <w:rPr>
                <w:sz w:val="20"/>
                <w:lang w:val="en-CA"/>
              </w:rPr>
              <w:lastRenderedPageBreak/>
              <w:t>(Morissette, Bich and Hogue JJ.A.)</w:t>
            </w:r>
          </w:p>
          <w:p w:rsidR="00610AEB" w:rsidRPr="00610AEB" w:rsidRDefault="007153A4" w:rsidP="00610AEB">
            <w:pPr>
              <w:jc w:val="both"/>
              <w:rPr>
                <w:sz w:val="20"/>
                <w:lang w:val="en-CA"/>
              </w:rPr>
            </w:pPr>
            <w:hyperlink r:id="rId18" w:history="1">
              <w:r w:rsidR="00610AEB" w:rsidRPr="00610AEB">
                <w:rPr>
                  <w:rStyle w:val="Hyperlink"/>
                  <w:sz w:val="20"/>
                  <w:lang w:val="en-CA"/>
                </w:rPr>
                <w:t>2017 QCCA 391</w:t>
              </w:r>
            </w:hyperlink>
          </w:p>
          <w:p w:rsidR="00610AEB" w:rsidRPr="00610AEB" w:rsidRDefault="00610AEB" w:rsidP="00610AEB">
            <w:pPr>
              <w:jc w:val="both"/>
              <w:rPr>
                <w:sz w:val="20"/>
                <w:lang w:val="en-CA"/>
              </w:rPr>
            </w:pPr>
            <w:r w:rsidRPr="00610AEB">
              <w:rPr>
                <w:sz w:val="20"/>
                <w:lang w:val="en-CA"/>
              </w:rPr>
              <w:t xml:space="preserve"> </w:t>
            </w:r>
          </w:p>
        </w:tc>
        <w:tc>
          <w:tcPr>
            <w:tcW w:w="243" w:type="pct"/>
          </w:tcPr>
          <w:p w:rsidR="00610AEB" w:rsidRPr="00610AEB" w:rsidRDefault="00610AEB" w:rsidP="00610AEB">
            <w:pPr>
              <w:jc w:val="both"/>
              <w:rPr>
                <w:sz w:val="20"/>
                <w:lang w:val="en-CA"/>
              </w:rPr>
            </w:pPr>
          </w:p>
        </w:tc>
        <w:tc>
          <w:tcPr>
            <w:tcW w:w="2330" w:type="pct"/>
          </w:tcPr>
          <w:p w:rsidR="00610AEB" w:rsidRPr="00610AEB" w:rsidRDefault="00610AEB" w:rsidP="00610AEB">
            <w:pPr>
              <w:jc w:val="both"/>
              <w:rPr>
                <w:sz w:val="20"/>
                <w:lang w:val="en-CA"/>
              </w:rPr>
            </w:pPr>
            <w:r w:rsidRPr="00610AEB">
              <w:rPr>
                <w:sz w:val="20"/>
                <w:lang w:val="en-CA"/>
              </w:rPr>
              <w:t>Appeal dismissed</w:t>
            </w:r>
          </w:p>
          <w:p w:rsidR="00610AEB" w:rsidRPr="00610AEB" w:rsidRDefault="00610AEB" w:rsidP="00610AEB">
            <w:pPr>
              <w:jc w:val="both"/>
              <w:rPr>
                <w:sz w:val="20"/>
                <w:lang w:val="en-CA"/>
              </w:rPr>
            </w:pPr>
            <w:r w:rsidRPr="00610AEB">
              <w:rPr>
                <w:sz w:val="20"/>
                <w:lang w:val="en-CA"/>
              </w:rPr>
              <w:t xml:space="preserve"> </w:t>
            </w:r>
          </w:p>
        </w:tc>
      </w:tr>
      <w:tr w:rsidR="00610AEB" w:rsidRPr="00610AEB" w:rsidTr="00E95A6A">
        <w:tc>
          <w:tcPr>
            <w:tcW w:w="2427" w:type="pct"/>
            <w:gridSpan w:val="2"/>
          </w:tcPr>
          <w:p w:rsidR="00610AEB" w:rsidRPr="00610AEB" w:rsidRDefault="00610AEB" w:rsidP="00610AEB">
            <w:pPr>
              <w:jc w:val="both"/>
              <w:rPr>
                <w:sz w:val="20"/>
                <w:lang w:val="en-CA"/>
              </w:rPr>
            </w:pPr>
            <w:r w:rsidRPr="00610AEB">
              <w:rPr>
                <w:sz w:val="20"/>
                <w:lang w:val="en-CA"/>
              </w:rPr>
              <w:lastRenderedPageBreak/>
              <w:t>May 8, 2017</w:t>
            </w:r>
          </w:p>
          <w:p w:rsidR="00610AEB" w:rsidRPr="00610AEB" w:rsidRDefault="00610AEB" w:rsidP="00610AEB">
            <w:pPr>
              <w:jc w:val="both"/>
              <w:rPr>
                <w:sz w:val="20"/>
                <w:lang w:val="en-CA"/>
              </w:rPr>
            </w:pPr>
            <w:r w:rsidRPr="00610AEB">
              <w:rPr>
                <w:sz w:val="20"/>
                <w:lang w:val="en-CA"/>
              </w:rPr>
              <w:t>Supreme Court of Canada</w:t>
            </w:r>
          </w:p>
        </w:tc>
        <w:tc>
          <w:tcPr>
            <w:tcW w:w="243" w:type="pct"/>
          </w:tcPr>
          <w:p w:rsidR="00610AEB" w:rsidRPr="00610AEB" w:rsidRDefault="00610AEB" w:rsidP="00610AEB">
            <w:pPr>
              <w:jc w:val="both"/>
              <w:rPr>
                <w:sz w:val="20"/>
                <w:lang w:val="en-CA"/>
              </w:rPr>
            </w:pPr>
          </w:p>
        </w:tc>
        <w:tc>
          <w:tcPr>
            <w:tcW w:w="2330" w:type="pct"/>
          </w:tcPr>
          <w:p w:rsidR="00610AEB" w:rsidRPr="00610AEB" w:rsidRDefault="00610AEB" w:rsidP="00610AEB">
            <w:pPr>
              <w:jc w:val="both"/>
              <w:rPr>
                <w:sz w:val="20"/>
                <w:lang w:val="en-CA"/>
              </w:rPr>
            </w:pPr>
            <w:r w:rsidRPr="00610AEB">
              <w:rPr>
                <w:sz w:val="20"/>
                <w:lang w:val="en-CA"/>
              </w:rPr>
              <w:t>Application for leave to appeal filed</w:t>
            </w:r>
          </w:p>
          <w:p w:rsidR="00610AEB" w:rsidRPr="00610AEB" w:rsidRDefault="00610AEB" w:rsidP="00610AEB">
            <w:pPr>
              <w:jc w:val="both"/>
              <w:rPr>
                <w:sz w:val="20"/>
                <w:lang w:val="en-CA"/>
              </w:rPr>
            </w:pPr>
          </w:p>
        </w:tc>
      </w:tr>
    </w:tbl>
    <w:p w:rsidR="00610AEB" w:rsidRDefault="00610AEB" w:rsidP="00610AEB">
      <w:pPr>
        <w:jc w:val="both"/>
        <w:rPr>
          <w:sz w:val="20"/>
          <w:lang w:val="en-CA"/>
        </w:rPr>
      </w:pPr>
    </w:p>
    <w:p w:rsidR="00B10D6D" w:rsidRPr="00610AEB" w:rsidRDefault="00B10D6D" w:rsidP="00610AE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37566</w:t>
            </w:r>
          </w:p>
        </w:tc>
        <w:tc>
          <w:tcPr>
            <w:tcW w:w="4457" w:type="pct"/>
            <w:gridSpan w:val="3"/>
          </w:tcPr>
          <w:p w:rsidR="00610AEB" w:rsidRPr="00B10D6D" w:rsidRDefault="00610AEB" w:rsidP="00610AEB">
            <w:pPr>
              <w:pStyle w:val="SCCLsocParty"/>
              <w:jc w:val="both"/>
              <w:rPr>
                <w:b/>
                <w:sz w:val="20"/>
                <w:szCs w:val="20"/>
              </w:rPr>
            </w:pPr>
            <w:r w:rsidRPr="00B10D6D">
              <w:rPr>
                <w:b/>
                <w:sz w:val="20"/>
                <w:szCs w:val="20"/>
              </w:rPr>
              <w:t xml:space="preserve">Yves Brunette, ès qualités de fiduciaire de Fiducie Maynard 2004, Jean M. Maynard, ès qualités de fiduciaire de Fiducie Maynard 2004 c. Legault Joly </w:t>
            </w:r>
            <w:proofErr w:type="spellStart"/>
            <w:r w:rsidRPr="00B10D6D">
              <w:rPr>
                <w:b/>
                <w:sz w:val="20"/>
                <w:szCs w:val="20"/>
              </w:rPr>
              <w:t>Thiffault</w:t>
            </w:r>
            <w:proofErr w:type="spellEnd"/>
            <w:r w:rsidRPr="00B10D6D">
              <w:rPr>
                <w:b/>
                <w:sz w:val="20"/>
                <w:szCs w:val="20"/>
              </w:rPr>
              <w:t xml:space="preserve">, </w:t>
            </w:r>
            <w:proofErr w:type="gramStart"/>
            <w:r w:rsidRPr="00B10D6D">
              <w:rPr>
                <w:b/>
                <w:sz w:val="20"/>
                <w:szCs w:val="20"/>
              </w:rPr>
              <w:t>s.e.n.c.r.l.,</w:t>
            </w:r>
            <w:proofErr w:type="gramEnd"/>
            <w:r w:rsidRPr="00B10D6D">
              <w:rPr>
                <w:b/>
                <w:sz w:val="20"/>
                <w:szCs w:val="20"/>
              </w:rPr>
              <w:t xml:space="preserve"> LJT Fiscalité Inc., LJT Corporatif Inc., LJT Conseil Inc., LJT Litige Inc., LJT Immobilier Inc., </w:t>
            </w:r>
            <w:proofErr w:type="spellStart"/>
            <w:r w:rsidRPr="00B10D6D">
              <w:rPr>
                <w:b/>
                <w:sz w:val="20"/>
                <w:szCs w:val="20"/>
              </w:rPr>
              <w:t>Lehoux</w:t>
            </w:r>
            <w:proofErr w:type="spellEnd"/>
            <w:r w:rsidRPr="00B10D6D">
              <w:rPr>
                <w:b/>
                <w:sz w:val="20"/>
                <w:szCs w:val="20"/>
              </w:rPr>
              <w:t xml:space="preserve"> Boivin Comptables Agréés, s.e.n.c., Marcel Chaput et Fiscaliste M.C. Inc.</w:t>
            </w:r>
          </w:p>
          <w:p w:rsidR="00610AEB" w:rsidRPr="00610AEB" w:rsidRDefault="00610AEB" w:rsidP="00610AEB">
            <w:pPr>
              <w:jc w:val="both"/>
              <w:rPr>
                <w:sz w:val="20"/>
              </w:rPr>
            </w:pPr>
            <w:r w:rsidRPr="00610AEB">
              <w:rPr>
                <w:sz w:val="20"/>
              </w:rPr>
              <w:t>(Qc) (Civile) (Autorisation)</w:t>
            </w: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Responsabilité civile — Droit commercial — Sociétés par actions — Voile corporatif  — Intérêts personnels des actionnaires distincts de ceux de la société — Existe-t-il en droit civil québécois une règle catégorique selon laquelle un actionnaire ne peut poursuivre une partie pour la perte de valeur de ses actions, suite à un manquement contractuel de cette partie envers elle? — Un recours peut-il être rejeté, au stade des moyens préliminaires et sans procéder à une analyse de la causalité sur le fond, pour l’unique raison que le préjudice subi serait jugé indirect </w:t>
            </w:r>
            <w:r w:rsidRPr="00610AEB">
              <w:rPr>
                <w:i/>
                <w:sz w:val="20"/>
                <w:lang w:val="fr-CA"/>
              </w:rPr>
              <w:t xml:space="preserve">prima </w:t>
            </w:r>
            <w:proofErr w:type="spellStart"/>
            <w:r w:rsidRPr="00610AEB">
              <w:rPr>
                <w:i/>
                <w:sz w:val="20"/>
                <w:lang w:val="fr-CA"/>
              </w:rPr>
              <w:t>facie</w:t>
            </w:r>
            <w:proofErr w:type="spellEnd"/>
            <w:r w:rsidRPr="00610AEB">
              <w:rPr>
                <w:sz w:val="20"/>
                <w:lang w:val="fr-CA"/>
              </w:rPr>
              <w:t>?</w:t>
            </w:r>
          </w:p>
        </w:tc>
      </w:tr>
      <w:tr w:rsidR="00610AEB" w:rsidRPr="007153A4" w:rsidTr="00E95A6A">
        <w:tc>
          <w:tcPr>
            <w:tcW w:w="5000" w:type="pct"/>
            <w:gridSpan w:val="4"/>
          </w:tcPr>
          <w:p w:rsidR="00610AEB" w:rsidRPr="00610AEB" w:rsidRDefault="00610AEB" w:rsidP="00610AEB">
            <w:pPr>
              <w:jc w:val="both"/>
              <w:rPr>
                <w:sz w:val="20"/>
                <w:lang w:val="fr-CA"/>
              </w:rPr>
            </w:pP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Entre 2004 et 2008, le Groupe </w:t>
            </w:r>
            <w:proofErr w:type="spellStart"/>
            <w:r w:rsidRPr="00610AEB">
              <w:rPr>
                <w:sz w:val="20"/>
                <w:lang w:val="fr-CA"/>
              </w:rPr>
              <w:t>Melior</w:t>
            </w:r>
            <w:proofErr w:type="spellEnd"/>
            <w:r w:rsidRPr="00610AEB">
              <w:rPr>
                <w:sz w:val="20"/>
                <w:lang w:val="fr-CA"/>
              </w:rPr>
              <w:t xml:space="preserve">, composé de nombreuses sociétés donc le </w:t>
            </w:r>
            <w:proofErr w:type="spellStart"/>
            <w:r w:rsidRPr="00610AEB">
              <w:rPr>
                <w:sz w:val="20"/>
                <w:lang w:val="fr-CA"/>
              </w:rPr>
              <w:t>capital-action</w:t>
            </w:r>
            <w:proofErr w:type="spellEnd"/>
            <w:r w:rsidRPr="00610AEB">
              <w:rPr>
                <w:sz w:val="20"/>
                <w:lang w:val="fr-CA"/>
              </w:rPr>
              <w:t xml:space="preserve"> est détenu en tout ou en partie par la société 9143-1304 Québec inc., développe des projets de construction, de réfection et de gestion de résidences pour aînés. En 2009, Revenu Québec émet des avis de cotisation à l’encontre de plusieurs sociétés du Groupe. L’émission de ces avis accompagnée de mesures de perception ont entraîné la faillite des plusieurs de ces sociétés et de la société 9143-1304 Québec inc. Les demandeurs, Messieurs Yves Brunette et Jean M. Maynard, fiduciaires de la Fiducie Maynard 2004, actionnaire unique de 9143-1304 Québec inc., ont alors entrepris une action en responsabilité civile pour perte de valeur du patrimoine de la fiducie contre les intimés, Legault Joly </w:t>
            </w:r>
            <w:proofErr w:type="spellStart"/>
            <w:r w:rsidRPr="00610AEB">
              <w:rPr>
                <w:sz w:val="20"/>
                <w:lang w:val="fr-CA"/>
              </w:rPr>
              <w:t>Thiffault</w:t>
            </w:r>
            <w:proofErr w:type="spellEnd"/>
            <w:r w:rsidRPr="00610AEB">
              <w:rPr>
                <w:sz w:val="20"/>
                <w:lang w:val="fr-CA"/>
              </w:rPr>
              <w:t xml:space="preserve">, s.e.n.c.r.l., LJT Fiscalité inc., LJT Corporatif inc., LJT Conseil inc., LJT Litige inc., LJT Immobilier inc., </w:t>
            </w:r>
            <w:proofErr w:type="spellStart"/>
            <w:r w:rsidRPr="00610AEB">
              <w:rPr>
                <w:sz w:val="20"/>
                <w:lang w:val="fr-CA"/>
              </w:rPr>
              <w:t>Lehoux</w:t>
            </w:r>
            <w:proofErr w:type="spellEnd"/>
            <w:r w:rsidRPr="00610AEB">
              <w:rPr>
                <w:sz w:val="20"/>
                <w:lang w:val="fr-CA"/>
              </w:rPr>
              <w:t xml:space="preserve"> Boivin Comptables Agréés, s.e.n.c., Marcel Chaput et Fiscaliste M.C. inc. Ces derniers auraient commis des fautes professionnelles dans la mise en place d’une structure fiscale qui devait assurer la gestion des taxes à la consommation de ces sociétés et qui s’est avérée non conforme à la législation.</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Le 22 juillet 2015</w:t>
            </w:r>
          </w:p>
          <w:p w:rsidR="00610AEB" w:rsidRPr="00610AEB" w:rsidRDefault="00610AEB" w:rsidP="00610AEB">
            <w:pPr>
              <w:jc w:val="both"/>
              <w:rPr>
                <w:sz w:val="20"/>
                <w:lang w:val="fr-CA"/>
              </w:rPr>
            </w:pPr>
            <w:r w:rsidRPr="00610AEB">
              <w:rPr>
                <w:sz w:val="20"/>
                <w:lang w:val="fr-CA"/>
              </w:rPr>
              <w:t>Cour supérieure du Québec</w:t>
            </w:r>
          </w:p>
          <w:p w:rsidR="00610AEB" w:rsidRPr="00610AEB" w:rsidRDefault="00610AEB" w:rsidP="00610AEB">
            <w:pPr>
              <w:jc w:val="both"/>
              <w:rPr>
                <w:sz w:val="20"/>
              </w:rPr>
            </w:pPr>
            <w:r w:rsidRPr="00610AEB">
              <w:rPr>
                <w:sz w:val="20"/>
              </w:rPr>
              <w:t xml:space="preserve">(La </w:t>
            </w:r>
            <w:proofErr w:type="spellStart"/>
            <w:r w:rsidRPr="00610AEB">
              <w:rPr>
                <w:sz w:val="20"/>
              </w:rPr>
              <w:t>juge</w:t>
            </w:r>
            <w:proofErr w:type="spellEnd"/>
            <w:r w:rsidRPr="00610AEB">
              <w:rPr>
                <w:sz w:val="20"/>
              </w:rPr>
              <w:t xml:space="preserve"> </w:t>
            </w:r>
            <w:proofErr w:type="spellStart"/>
            <w:r w:rsidRPr="00610AEB">
              <w:rPr>
                <w:sz w:val="20"/>
              </w:rPr>
              <w:t>Mayrand</w:t>
            </w:r>
            <w:proofErr w:type="spellEnd"/>
            <w:r w:rsidRPr="00610AEB">
              <w:rPr>
                <w:sz w:val="20"/>
              </w:rPr>
              <w:t>)</w:t>
            </w:r>
          </w:p>
          <w:p w:rsidR="00610AEB" w:rsidRPr="00610AEB" w:rsidRDefault="007153A4" w:rsidP="00610AEB">
            <w:pPr>
              <w:jc w:val="both"/>
              <w:rPr>
                <w:sz w:val="20"/>
              </w:rPr>
            </w:pPr>
            <w:hyperlink r:id="rId19" w:history="1">
              <w:r w:rsidR="00610AEB" w:rsidRPr="00610AEB">
                <w:rPr>
                  <w:rStyle w:val="Hyperlink"/>
                  <w:sz w:val="20"/>
                </w:rPr>
                <w:t>2015 QCCS 3482</w:t>
              </w:r>
            </w:hyperlink>
          </w:p>
          <w:p w:rsidR="00610AEB" w:rsidRPr="00610AEB" w:rsidRDefault="00610AEB" w:rsidP="00610AEB">
            <w:pPr>
              <w:jc w:val="both"/>
              <w:rPr>
                <w:sz w:val="20"/>
              </w:rPr>
            </w:pPr>
            <w:r w:rsidRPr="00610AEB">
              <w:rPr>
                <w:sz w:val="20"/>
              </w:rPr>
              <w:t xml:space="preserve"> </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Requête en irrecevabilité accueillie.</w:t>
            </w:r>
          </w:p>
          <w:p w:rsidR="00610AEB" w:rsidRPr="00610AEB" w:rsidRDefault="00610AEB" w:rsidP="00610AEB">
            <w:pPr>
              <w:jc w:val="both"/>
              <w:rPr>
                <w:sz w:val="20"/>
                <w:lang w:val="fr-CA"/>
              </w:rPr>
            </w:pPr>
            <w:r w:rsidRPr="00610AEB">
              <w:rPr>
                <w:sz w:val="20"/>
                <w:lang w:val="fr-CA"/>
              </w:rPr>
              <w:t xml:space="preserve">Requête introductive d’instance </w:t>
            </w:r>
            <w:proofErr w:type="spellStart"/>
            <w:r w:rsidRPr="00610AEB">
              <w:rPr>
                <w:sz w:val="20"/>
                <w:lang w:val="fr-CA"/>
              </w:rPr>
              <w:t>ré-ré</w:t>
            </w:r>
            <w:proofErr w:type="spellEnd"/>
            <w:r w:rsidRPr="00610AEB">
              <w:rPr>
                <w:sz w:val="20"/>
                <w:lang w:val="fr-CA"/>
              </w:rPr>
              <w:t> amendée et précisée rejetée.</w:t>
            </w:r>
          </w:p>
          <w:p w:rsidR="00610AEB" w:rsidRPr="00610AEB" w:rsidRDefault="00610AEB" w:rsidP="00610AEB">
            <w:pPr>
              <w:jc w:val="both"/>
              <w:rPr>
                <w:sz w:val="20"/>
                <w:lang w:val="fr-CA"/>
              </w:rPr>
            </w:pPr>
            <w:r w:rsidRPr="00610AEB">
              <w:rPr>
                <w:sz w:val="20"/>
                <w:lang w:val="fr-CA"/>
              </w:rPr>
              <w:t xml:space="preserve"> </w:t>
            </w:r>
          </w:p>
        </w:tc>
      </w:tr>
      <w:tr w:rsidR="00610AEB" w:rsidRPr="00610AEB" w:rsidTr="00E95A6A">
        <w:tc>
          <w:tcPr>
            <w:tcW w:w="2427" w:type="pct"/>
            <w:gridSpan w:val="2"/>
          </w:tcPr>
          <w:p w:rsidR="00610AEB" w:rsidRPr="00610AEB" w:rsidRDefault="00610AEB" w:rsidP="00610AEB">
            <w:pPr>
              <w:jc w:val="both"/>
              <w:rPr>
                <w:sz w:val="20"/>
                <w:lang w:val="fr-CA"/>
              </w:rPr>
            </w:pPr>
            <w:r w:rsidRPr="00610AEB">
              <w:rPr>
                <w:sz w:val="20"/>
                <w:lang w:val="fr-CA"/>
              </w:rPr>
              <w:t>Le 8 mars 2017</w:t>
            </w:r>
          </w:p>
          <w:p w:rsidR="00610AEB" w:rsidRPr="00610AEB" w:rsidRDefault="00610AEB" w:rsidP="00610AEB">
            <w:pPr>
              <w:jc w:val="both"/>
              <w:rPr>
                <w:sz w:val="20"/>
                <w:lang w:val="fr-CA"/>
              </w:rPr>
            </w:pPr>
            <w:r w:rsidRPr="00610AEB">
              <w:rPr>
                <w:sz w:val="20"/>
                <w:lang w:val="fr-CA"/>
              </w:rPr>
              <w:t>Cour d’appel du Québec (Montréal)</w:t>
            </w:r>
          </w:p>
          <w:p w:rsidR="00610AEB" w:rsidRPr="00610AEB" w:rsidRDefault="00610AEB" w:rsidP="00610AEB">
            <w:pPr>
              <w:jc w:val="both"/>
              <w:rPr>
                <w:sz w:val="20"/>
                <w:lang w:val="fr-CA"/>
              </w:rPr>
            </w:pPr>
            <w:r w:rsidRPr="00610AEB">
              <w:rPr>
                <w:sz w:val="20"/>
                <w:lang w:val="fr-CA"/>
              </w:rPr>
              <w:t xml:space="preserve">(Les juges Morissette, </w:t>
            </w:r>
            <w:proofErr w:type="spellStart"/>
            <w:r w:rsidRPr="00610AEB">
              <w:rPr>
                <w:sz w:val="20"/>
                <w:lang w:val="fr-CA"/>
              </w:rPr>
              <w:t>Bich</w:t>
            </w:r>
            <w:proofErr w:type="spellEnd"/>
            <w:r w:rsidRPr="00610AEB">
              <w:rPr>
                <w:sz w:val="20"/>
                <w:lang w:val="fr-CA"/>
              </w:rPr>
              <w:t xml:space="preserve"> et </w:t>
            </w:r>
            <w:proofErr w:type="spellStart"/>
            <w:r w:rsidRPr="00610AEB">
              <w:rPr>
                <w:sz w:val="20"/>
                <w:lang w:val="fr-CA"/>
              </w:rPr>
              <w:t>Hogue</w:t>
            </w:r>
            <w:proofErr w:type="spellEnd"/>
            <w:r w:rsidRPr="00610AEB">
              <w:rPr>
                <w:sz w:val="20"/>
                <w:lang w:val="fr-CA"/>
              </w:rPr>
              <w:t>)</w:t>
            </w:r>
          </w:p>
          <w:p w:rsidR="00610AEB" w:rsidRPr="00610AEB" w:rsidRDefault="007153A4" w:rsidP="00610AEB">
            <w:pPr>
              <w:jc w:val="both"/>
              <w:rPr>
                <w:sz w:val="20"/>
              </w:rPr>
            </w:pPr>
            <w:hyperlink r:id="rId20" w:history="1">
              <w:r w:rsidR="00610AEB" w:rsidRPr="00610AEB">
                <w:rPr>
                  <w:rStyle w:val="Hyperlink"/>
                  <w:sz w:val="20"/>
                </w:rPr>
                <w:t>2017 QCCA 391</w:t>
              </w:r>
            </w:hyperlink>
          </w:p>
          <w:p w:rsidR="00610AEB" w:rsidRPr="00610AEB" w:rsidRDefault="00610AEB" w:rsidP="00610AEB">
            <w:pPr>
              <w:jc w:val="both"/>
              <w:rPr>
                <w:sz w:val="20"/>
                <w:lang w:val="fr-FR"/>
              </w:rPr>
            </w:pPr>
            <w:r w:rsidRPr="00610AEB">
              <w:rPr>
                <w:sz w:val="20"/>
                <w:lang w:val="fr-FR"/>
              </w:rPr>
              <w:t xml:space="preserve"> </w:t>
            </w:r>
          </w:p>
        </w:tc>
        <w:tc>
          <w:tcPr>
            <w:tcW w:w="243" w:type="pct"/>
          </w:tcPr>
          <w:p w:rsidR="00610AEB" w:rsidRPr="00610AEB" w:rsidRDefault="00610AEB" w:rsidP="00610AEB">
            <w:pPr>
              <w:jc w:val="both"/>
              <w:rPr>
                <w:sz w:val="20"/>
                <w:lang w:val="fr-FR"/>
              </w:rPr>
            </w:pPr>
          </w:p>
        </w:tc>
        <w:tc>
          <w:tcPr>
            <w:tcW w:w="2330" w:type="pct"/>
          </w:tcPr>
          <w:p w:rsidR="00610AEB" w:rsidRPr="00610AEB" w:rsidRDefault="00610AEB" w:rsidP="00610AEB">
            <w:pPr>
              <w:jc w:val="both"/>
              <w:rPr>
                <w:sz w:val="20"/>
              </w:rPr>
            </w:pPr>
            <w:r w:rsidRPr="00610AEB">
              <w:rPr>
                <w:sz w:val="20"/>
              </w:rPr>
              <w:t>Appel rejeté.</w:t>
            </w:r>
          </w:p>
          <w:p w:rsidR="00610AEB" w:rsidRPr="00610AEB" w:rsidRDefault="00610AEB" w:rsidP="00610AEB">
            <w:pPr>
              <w:jc w:val="both"/>
              <w:rPr>
                <w:sz w:val="20"/>
              </w:rPr>
            </w:pPr>
            <w:r w:rsidRPr="00610AEB">
              <w:rPr>
                <w:sz w:val="20"/>
              </w:rPr>
              <w:t xml:space="preserve"> </w:t>
            </w:r>
          </w:p>
        </w:tc>
      </w:tr>
      <w:tr w:rsidR="00610AEB" w:rsidRPr="00610AEB" w:rsidTr="00E95A6A">
        <w:tc>
          <w:tcPr>
            <w:tcW w:w="2427" w:type="pct"/>
            <w:gridSpan w:val="2"/>
          </w:tcPr>
          <w:p w:rsidR="00610AEB" w:rsidRPr="00610AEB" w:rsidRDefault="00610AEB" w:rsidP="00610AEB">
            <w:pPr>
              <w:jc w:val="both"/>
              <w:rPr>
                <w:sz w:val="20"/>
                <w:lang w:val="fr-CA"/>
              </w:rPr>
            </w:pPr>
            <w:r w:rsidRPr="00610AEB">
              <w:rPr>
                <w:sz w:val="20"/>
                <w:lang w:val="fr-CA"/>
              </w:rPr>
              <w:t>Le 8 mai 2017</w:t>
            </w:r>
          </w:p>
          <w:p w:rsidR="00610AEB" w:rsidRPr="00610AEB" w:rsidRDefault="00610AEB" w:rsidP="00610AEB">
            <w:pPr>
              <w:jc w:val="both"/>
              <w:rPr>
                <w:sz w:val="20"/>
                <w:lang w:val="fr-FR"/>
              </w:rPr>
            </w:pPr>
            <w:r w:rsidRPr="00610AEB">
              <w:rPr>
                <w:sz w:val="20"/>
                <w:lang w:val="fr-CA"/>
              </w:rPr>
              <w:t>Cour suprême du Canada</w:t>
            </w:r>
          </w:p>
        </w:tc>
        <w:tc>
          <w:tcPr>
            <w:tcW w:w="243" w:type="pct"/>
          </w:tcPr>
          <w:p w:rsidR="00610AEB" w:rsidRPr="00610AEB" w:rsidRDefault="00610AEB" w:rsidP="00610AEB">
            <w:pPr>
              <w:jc w:val="both"/>
              <w:rPr>
                <w:sz w:val="20"/>
                <w:lang w:val="fr-FR"/>
              </w:rPr>
            </w:pPr>
          </w:p>
        </w:tc>
        <w:tc>
          <w:tcPr>
            <w:tcW w:w="2330" w:type="pct"/>
          </w:tcPr>
          <w:p w:rsidR="00610AEB" w:rsidRPr="00610AEB" w:rsidRDefault="00610AEB" w:rsidP="00610AEB">
            <w:pPr>
              <w:jc w:val="both"/>
              <w:rPr>
                <w:sz w:val="20"/>
              </w:rPr>
            </w:pPr>
            <w:r w:rsidRPr="00610AEB">
              <w:rPr>
                <w:sz w:val="20"/>
              </w:rPr>
              <w:t>Demande d’autorisation d’appel déposée.</w:t>
            </w:r>
          </w:p>
          <w:p w:rsidR="00610AEB" w:rsidRPr="00610AEB" w:rsidRDefault="00610AEB" w:rsidP="00610AEB">
            <w:pPr>
              <w:jc w:val="both"/>
              <w:rPr>
                <w:sz w:val="20"/>
              </w:rPr>
            </w:pPr>
          </w:p>
        </w:tc>
      </w:tr>
    </w:tbl>
    <w:p w:rsidR="00610AEB" w:rsidRPr="00610AEB" w:rsidRDefault="00610AEB" w:rsidP="00610AEB">
      <w:pPr>
        <w:jc w:val="both"/>
        <w:rPr>
          <w:sz w:val="20"/>
        </w:rPr>
      </w:pPr>
    </w:p>
    <w:p w:rsidR="00610AEB" w:rsidRPr="00610AEB" w:rsidRDefault="00610AEB" w:rsidP="00610AEB">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10AEB" w:rsidRPr="00610AEB" w:rsidTr="0028138C">
        <w:trPr>
          <w:gridAfter w:val="1"/>
          <w:wAfter w:w="48" w:type="pct"/>
        </w:trPr>
        <w:tc>
          <w:tcPr>
            <w:tcW w:w="538" w:type="pct"/>
          </w:tcPr>
          <w:p w:rsidR="00610AEB" w:rsidRPr="00610AEB" w:rsidRDefault="00610AEB" w:rsidP="00610AEB">
            <w:pPr>
              <w:jc w:val="both"/>
              <w:rPr>
                <w:sz w:val="20"/>
                <w:lang w:val="en-CA"/>
              </w:rPr>
            </w:pPr>
            <w:r w:rsidRPr="00610AEB">
              <w:rPr>
                <w:rStyle w:val="SCCFileNumberChar"/>
                <w:sz w:val="20"/>
                <w:szCs w:val="20"/>
              </w:rPr>
              <w:t>37587</w:t>
            </w:r>
          </w:p>
        </w:tc>
        <w:tc>
          <w:tcPr>
            <w:tcW w:w="4414" w:type="pct"/>
            <w:gridSpan w:val="3"/>
          </w:tcPr>
          <w:p w:rsidR="00610AEB" w:rsidRPr="00B10D6D" w:rsidRDefault="00610AEB" w:rsidP="00610AEB">
            <w:pPr>
              <w:pStyle w:val="SCCLsocParty"/>
              <w:jc w:val="both"/>
              <w:rPr>
                <w:b/>
                <w:sz w:val="20"/>
                <w:szCs w:val="20"/>
                <w:lang w:val="en-CA"/>
              </w:rPr>
            </w:pPr>
            <w:r w:rsidRPr="00B10D6D">
              <w:rPr>
                <w:b/>
                <w:sz w:val="20"/>
                <w:szCs w:val="20"/>
                <w:lang w:val="en-CA"/>
              </w:rPr>
              <w:t>Her Majesty the Queen v. Christian Bertrand</w:t>
            </w:r>
          </w:p>
          <w:p w:rsidR="00610AEB" w:rsidRPr="00610AEB" w:rsidRDefault="00610AEB" w:rsidP="00610AEB">
            <w:pPr>
              <w:jc w:val="both"/>
              <w:rPr>
                <w:sz w:val="20"/>
                <w:lang w:val="en-CA"/>
              </w:rPr>
            </w:pPr>
            <w:r w:rsidRPr="00610AEB">
              <w:rPr>
                <w:sz w:val="20"/>
                <w:lang w:val="en-CA"/>
              </w:rPr>
              <w:t>(Que.) (Criminal) (By Leave)</w:t>
            </w:r>
          </w:p>
        </w:tc>
      </w:tr>
      <w:tr w:rsidR="00610AEB" w:rsidRPr="00610AEB" w:rsidTr="0028138C">
        <w:trPr>
          <w:gridAfter w:val="1"/>
          <w:wAfter w:w="48" w:type="pct"/>
        </w:trPr>
        <w:tc>
          <w:tcPr>
            <w:tcW w:w="4952" w:type="pct"/>
            <w:gridSpan w:val="4"/>
          </w:tcPr>
          <w:p w:rsidR="00610AEB" w:rsidRPr="00610AEB" w:rsidRDefault="00610AEB" w:rsidP="00610AEB">
            <w:pPr>
              <w:jc w:val="both"/>
              <w:rPr>
                <w:sz w:val="20"/>
                <w:lang w:val="en-CA"/>
              </w:rPr>
            </w:pPr>
            <w:proofErr w:type="gramStart"/>
            <w:r w:rsidRPr="00610AEB">
              <w:rPr>
                <w:sz w:val="20"/>
                <w:lang w:val="en-CA"/>
              </w:rPr>
              <w:t>Criminal law — Charge to jury — Defence — Automatism — Mental disorder automatism — Charge to jury not mentioning both automatism defences — Evidence excluded from trial after being presented to jury — Whether Court of Appeal erred in law in holding that both forms of automatism had to be put to jury — Whether Court of Appeal could order new trial on basis of partial presentation of video interrogation of accused.</w:t>
            </w:r>
            <w:proofErr w:type="gramEnd"/>
          </w:p>
        </w:tc>
      </w:tr>
      <w:tr w:rsidR="00610AEB" w:rsidRPr="00610AEB" w:rsidTr="0028138C">
        <w:trPr>
          <w:gridAfter w:val="1"/>
          <w:wAfter w:w="48" w:type="pct"/>
        </w:trPr>
        <w:tc>
          <w:tcPr>
            <w:tcW w:w="4952" w:type="pct"/>
            <w:gridSpan w:val="4"/>
          </w:tcPr>
          <w:p w:rsidR="00610AEB" w:rsidRPr="00610AEB" w:rsidRDefault="00610AEB" w:rsidP="00610AEB">
            <w:pPr>
              <w:jc w:val="both"/>
              <w:rPr>
                <w:sz w:val="20"/>
                <w:lang w:val="en-CA"/>
              </w:rPr>
            </w:pPr>
          </w:p>
          <w:p w:rsidR="00610AEB" w:rsidRPr="00610AEB" w:rsidRDefault="00610AEB" w:rsidP="00610AEB">
            <w:pPr>
              <w:jc w:val="both"/>
              <w:rPr>
                <w:sz w:val="20"/>
                <w:lang w:val="en-CA"/>
              </w:rPr>
            </w:pPr>
            <w:r w:rsidRPr="00610AEB">
              <w:rPr>
                <w:sz w:val="20"/>
                <w:lang w:val="en-CA"/>
              </w:rPr>
              <w:lastRenderedPageBreak/>
              <w:t xml:space="preserve">The respondent, who had severe personality disorders, did not deny that he had killed his victim by hitting him several times in the head with an iron bar. The trial judge instructed the jury on the defence of insanity, including mental disorder automatism. The jury convicted the respondent of </w:t>
            </w:r>
            <w:proofErr w:type="gramStart"/>
            <w:r w:rsidRPr="00610AEB">
              <w:rPr>
                <w:sz w:val="20"/>
                <w:lang w:val="en-CA"/>
              </w:rPr>
              <w:t>first degree</w:t>
            </w:r>
            <w:proofErr w:type="gramEnd"/>
            <w:r w:rsidRPr="00610AEB">
              <w:rPr>
                <w:sz w:val="20"/>
                <w:lang w:val="en-CA"/>
              </w:rPr>
              <w:t xml:space="preserve"> murder. </w:t>
            </w:r>
          </w:p>
          <w:p w:rsidR="00610AEB" w:rsidRPr="00610AEB" w:rsidRDefault="00610AEB" w:rsidP="00610AEB">
            <w:pPr>
              <w:jc w:val="both"/>
              <w:rPr>
                <w:sz w:val="20"/>
                <w:lang w:val="en-CA"/>
              </w:rPr>
            </w:pPr>
          </w:p>
          <w:p w:rsidR="00610AEB" w:rsidRPr="00610AEB" w:rsidRDefault="00610AEB" w:rsidP="00610AEB">
            <w:pPr>
              <w:jc w:val="both"/>
              <w:rPr>
                <w:sz w:val="20"/>
                <w:lang w:val="en-CA"/>
              </w:rPr>
            </w:pPr>
            <w:r w:rsidRPr="00610AEB">
              <w:rPr>
                <w:sz w:val="20"/>
                <w:lang w:val="en-CA"/>
              </w:rPr>
              <w:t xml:space="preserve">The Court of Appeal allowed the appeal </w:t>
            </w:r>
            <w:proofErr w:type="gramStart"/>
            <w:r w:rsidRPr="00610AEB">
              <w:rPr>
                <w:sz w:val="20"/>
                <w:lang w:val="en-CA"/>
              </w:rPr>
              <w:t>on the grounds that</w:t>
            </w:r>
            <w:proofErr w:type="gramEnd"/>
            <w:r w:rsidRPr="00610AEB">
              <w:rPr>
                <w:sz w:val="20"/>
                <w:lang w:val="en-CA"/>
              </w:rPr>
              <w:t xml:space="preserve"> the trial judge had not instructed the jury on the defence of non</w:t>
            </w:r>
            <w:r w:rsidRPr="00610AEB">
              <w:rPr>
                <w:sz w:val="20"/>
                <w:lang w:val="en-CA"/>
              </w:rPr>
              <w:noBreakHyphen/>
              <w:t xml:space="preserve">mental disorder automatism and that prejudicial evidence, which had ultimately been excluded by the trial judge, might have unduly influenced the members of the jury. </w:t>
            </w:r>
          </w:p>
        </w:tc>
      </w:tr>
      <w:tr w:rsidR="00610AEB" w:rsidRPr="00610AEB" w:rsidTr="0028138C">
        <w:trPr>
          <w:gridAfter w:val="1"/>
          <w:wAfter w:w="48" w:type="pct"/>
        </w:trPr>
        <w:tc>
          <w:tcPr>
            <w:tcW w:w="4952" w:type="pct"/>
            <w:gridSpan w:val="4"/>
          </w:tcPr>
          <w:p w:rsidR="00610AEB" w:rsidRPr="00610AEB" w:rsidRDefault="00610AEB" w:rsidP="00610AEB">
            <w:pPr>
              <w:jc w:val="both"/>
              <w:rPr>
                <w:sz w:val="20"/>
                <w:lang w:val="en-CA"/>
              </w:rPr>
            </w:pPr>
          </w:p>
        </w:tc>
      </w:tr>
      <w:tr w:rsidR="00610AEB" w:rsidRPr="00610AEB" w:rsidTr="0028138C">
        <w:tblPrEx>
          <w:tblCellMar>
            <w:bottom w:w="0" w:type="dxa"/>
          </w:tblCellMar>
        </w:tblPrEx>
        <w:tc>
          <w:tcPr>
            <w:tcW w:w="2367" w:type="pct"/>
            <w:gridSpan w:val="2"/>
          </w:tcPr>
          <w:p w:rsidR="00610AEB" w:rsidRPr="00610AEB" w:rsidRDefault="00610AEB" w:rsidP="00610AEB">
            <w:pPr>
              <w:jc w:val="both"/>
              <w:rPr>
                <w:sz w:val="20"/>
                <w:lang w:val="en-CA"/>
              </w:rPr>
            </w:pPr>
            <w:r w:rsidRPr="00610AEB">
              <w:rPr>
                <w:sz w:val="20"/>
                <w:lang w:val="en-CA"/>
              </w:rPr>
              <w:t>November 3, 2014</w:t>
            </w:r>
          </w:p>
          <w:p w:rsidR="00610AEB" w:rsidRPr="00610AEB" w:rsidRDefault="00610AEB" w:rsidP="00610AEB">
            <w:pPr>
              <w:jc w:val="both"/>
              <w:rPr>
                <w:sz w:val="20"/>
                <w:lang w:val="en-CA"/>
              </w:rPr>
            </w:pPr>
            <w:r w:rsidRPr="00610AEB">
              <w:rPr>
                <w:sz w:val="20"/>
                <w:lang w:val="en-CA"/>
              </w:rPr>
              <w:t>Quebec Superior Court</w:t>
            </w:r>
          </w:p>
          <w:p w:rsidR="00610AEB" w:rsidRPr="00610AEB" w:rsidRDefault="00610AEB" w:rsidP="00610AEB">
            <w:pPr>
              <w:jc w:val="both"/>
              <w:rPr>
                <w:sz w:val="20"/>
                <w:lang w:val="en-CA"/>
              </w:rPr>
            </w:pPr>
            <w:r w:rsidRPr="00610AEB">
              <w:rPr>
                <w:sz w:val="20"/>
                <w:lang w:val="en-CA"/>
              </w:rPr>
              <w:t>(Dumas J.)</w:t>
            </w:r>
          </w:p>
          <w:p w:rsidR="00610AEB" w:rsidRPr="00610AEB" w:rsidRDefault="007153A4" w:rsidP="00610AEB">
            <w:pPr>
              <w:jc w:val="both"/>
              <w:rPr>
                <w:sz w:val="20"/>
                <w:lang w:val="en-CA"/>
              </w:rPr>
            </w:pPr>
            <w:hyperlink r:id="rId21" w:history="1">
              <w:r w:rsidR="00610AEB" w:rsidRPr="00610AEB">
                <w:rPr>
                  <w:rStyle w:val="Hyperlink"/>
                  <w:sz w:val="20"/>
                  <w:lang w:val="en-CA"/>
                </w:rPr>
                <w:t>2014 QCCS 5574</w:t>
              </w:r>
            </w:hyperlink>
          </w:p>
          <w:p w:rsidR="00610AEB" w:rsidRPr="00610AEB" w:rsidRDefault="00610AEB" w:rsidP="00610AEB">
            <w:pPr>
              <w:jc w:val="both"/>
              <w:rPr>
                <w:sz w:val="20"/>
                <w:lang w:val="en-CA"/>
              </w:rPr>
            </w:pPr>
          </w:p>
        </w:tc>
        <w:tc>
          <w:tcPr>
            <w:tcW w:w="267" w:type="pct"/>
          </w:tcPr>
          <w:p w:rsidR="00610AEB" w:rsidRPr="00610AEB" w:rsidRDefault="00610AEB" w:rsidP="00610AEB">
            <w:pPr>
              <w:jc w:val="both"/>
              <w:rPr>
                <w:sz w:val="20"/>
                <w:lang w:val="en-CA"/>
              </w:rPr>
            </w:pPr>
          </w:p>
        </w:tc>
        <w:tc>
          <w:tcPr>
            <w:tcW w:w="2366" w:type="pct"/>
            <w:gridSpan w:val="2"/>
          </w:tcPr>
          <w:p w:rsidR="00610AEB" w:rsidRPr="00610AEB" w:rsidRDefault="00610AEB" w:rsidP="00610AEB">
            <w:pPr>
              <w:jc w:val="both"/>
              <w:rPr>
                <w:sz w:val="20"/>
                <w:lang w:val="en-CA"/>
              </w:rPr>
            </w:pPr>
            <w:r w:rsidRPr="00610AEB">
              <w:rPr>
                <w:sz w:val="20"/>
                <w:lang w:val="en-CA"/>
              </w:rPr>
              <w:t>Defence of insanity put to jury</w:t>
            </w:r>
          </w:p>
          <w:p w:rsidR="00610AEB" w:rsidRPr="00610AEB" w:rsidRDefault="00610AEB" w:rsidP="00610AEB">
            <w:pPr>
              <w:jc w:val="both"/>
              <w:rPr>
                <w:sz w:val="20"/>
                <w:lang w:val="en-CA"/>
              </w:rPr>
            </w:pPr>
          </w:p>
        </w:tc>
      </w:tr>
      <w:tr w:rsidR="00610AEB" w:rsidRPr="00610AEB" w:rsidTr="0028138C">
        <w:tblPrEx>
          <w:tblCellMar>
            <w:bottom w:w="0" w:type="dxa"/>
          </w:tblCellMar>
        </w:tblPrEx>
        <w:tc>
          <w:tcPr>
            <w:tcW w:w="2367" w:type="pct"/>
            <w:gridSpan w:val="2"/>
          </w:tcPr>
          <w:p w:rsidR="00610AEB" w:rsidRPr="00610AEB" w:rsidRDefault="00610AEB" w:rsidP="00610AEB">
            <w:pPr>
              <w:jc w:val="both"/>
              <w:rPr>
                <w:sz w:val="20"/>
                <w:lang w:val="en-CA"/>
              </w:rPr>
            </w:pPr>
            <w:r w:rsidRPr="00610AEB">
              <w:rPr>
                <w:sz w:val="20"/>
                <w:lang w:val="en-CA"/>
              </w:rPr>
              <w:t>November 7, 2017</w:t>
            </w:r>
          </w:p>
          <w:p w:rsidR="00610AEB" w:rsidRPr="00610AEB" w:rsidRDefault="00610AEB" w:rsidP="00610AEB">
            <w:pPr>
              <w:jc w:val="both"/>
              <w:rPr>
                <w:sz w:val="20"/>
                <w:lang w:val="en-CA"/>
              </w:rPr>
            </w:pPr>
            <w:r w:rsidRPr="00610AEB">
              <w:rPr>
                <w:sz w:val="20"/>
                <w:lang w:val="en-CA"/>
              </w:rPr>
              <w:t>Quebec Superior Court</w:t>
            </w:r>
          </w:p>
          <w:p w:rsidR="00610AEB" w:rsidRPr="00610AEB" w:rsidRDefault="00610AEB" w:rsidP="00610AEB">
            <w:pPr>
              <w:jc w:val="both"/>
              <w:rPr>
                <w:sz w:val="20"/>
                <w:lang w:val="en-CA"/>
              </w:rPr>
            </w:pPr>
            <w:r w:rsidRPr="00610AEB">
              <w:rPr>
                <w:sz w:val="20"/>
                <w:lang w:val="en-CA"/>
              </w:rPr>
              <w:t>(Dumas J.)</w:t>
            </w:r>
          </w:p>
          <w:p w:rsidR="00610AEB" w:rsidRPr="00610AEB" w:rsidRDefault="00610AEB" w:rsidP="00610AEB">
            <w:pPr>
              <w:jc w:val="both"/>
              <w:rPr>
                <w:sz w:val="20"/>
                <w:lang w:val="en-CA"/>
              </w:rPr>
            </w:pPr>
          </w:p>
        </w:tc>
        <w:tc>
          <w:tcPr>
            <w:tcW w:w="267" w:type="pct"/>
          </w:tcPr>
          <w:p w:rsidR="00610AEB" w:rsidRPr="00610AEB" w:rsidRDefault="00610AEB" w:rsidP="00610AEB">
            <w:pPr>
              <w:jc w:val="both"/>
              <w:rPr>
                <w:sz w:val="20"/>
                <w:lang w:val="en-CA"/>
              </w:rPr>
            </w:pPr>
          </w:p>
        </w:tc>
        <w:tc>
          <w:tcPr>
            <w:tcW w:w="2366" w:type="pct"/>
            <w:gridSpan w:val="2"/>
          </w:tcPr>
          <w:p w:rsidR="00610AEB" w:rsidRPr="00610AEB" w:rsidRDefault="00610AEB" w:rsidP="00610AEB">
            <w:pPr>
              <w:jc w:val="both"/>
              <w:rPr>
                <w:sz w:val="20"/>
                <w:lang w:val="en-CA"/>
              </w:rPr>
            </w:pPr>
            <w:r w:rsidRPr="00610AEB">
              <w:rPr>
                <w:sz w:val="20"/>
                <w:lang w:val="en-CA"/>
              </w:rPr>
              <w:t>Respondent convicted of first degree murder</w:t>
            </w:r>
          </w:p>
        </w:tc>
      </w:tr>
      <w:tr w:rsidR="00610AEB" w:rsidRPr="00610AEB" w:rsidTr="0028138C">
        <w:tblPrEx>
          <w:tblCellMar>
            <w:bottom w:w="0" w:type="dxa"/>
          </w:tblCellMar>
        </w:tblPrEx>
        <w:tc>
          <w:tcPr>
            <w:tcW w:w="2367" w:type="pct"/>
            <w:gridSpan w:val="2"/>
          </w:tcPr>
          <w:p w:rsidR="00610AEB" w:rsidRPr="00610AEB" w:rsidRDefault="00610AEB" w:rsidP="00610AEB">
            <w:pPr>
              <w:jc w:val="both"/>
              <w:rPr>
                <w:sz w:val="20"/>
                <w:lang w:val="en-CA"/>
              </w:rPr>
            </w:pPr>
            <w:r w:rsidRPr="00610AEB">
              <w:rPr>
                <w:sz w:val="20"/>
                <w:lang w:val="en-CA"/>
              </w:rPr>
              <w:t>March 30, 2017</w:t>
            </w:r>
          </w:p>
          <w:p w:rsidR="00610AEB" w:rsidRPr="00610AEB" w:rsidRDefault="00610AEB" w:rsidP="00610AEB">
            <w:pPr>
              <w:jc w:val="both"/>
              <w:rPr>
                <w:sz w:val="20"/>
                <w:lang w:val="en-CA"/>
              </w:rPr>
            </w:pPr>
            <w:r w:rsidRPr="00610AEB">
              <w:rPr>
                <w:sz w:val="20"/>
                <w:lang w:val="en-CA"/>
              </w:rPr>
              <w:t>Quebec Court of Appeal (Montréal)</w:t>
            </w:r>
          </w:p>
          <w:p w:rsidR="00610AEB" w:rsidRPr="00610AEB" w:rsidRDefault="00610AEB" w:rsidP="00610AEB">
            <w:pPr>
              <w:jc w:val="both"/>
              <w:rPr>
                <w:sz w:val="20"/>
                <w:lang w:val="en-CA"/>
              </w:rPr>
            </w:pPr>
            <w:r w:rsidRPr="00610AEB">
              <w:rPr>
                <w:sz w:val="20"/>
                <w:lang w:val="en-CA"/>
              </w:rPr>
              <w:t xml:space="preserve">(Duval Hesler </w:t>
            </w:r>
            <w:proofErr w:type="gramStart"/>
            <w:r w:rsidRPr="00610AEB">
              <w:rPr>
                <w:sz w:val="20"/>
                <w:lang w:val="en-CA"/>
              </w:rPr>
              <w:t>C.J. and Marcotte</w:t>
            </w:r>
            <w:proofErr w:type="gramEnd"/>
            <w:r w:rsidRPr="00610AEB">
              <w:rPr>
                <w:sz w:val="20"/>
                <w:lang w:val="en-CA"/>
              </w:rPr>
              <w:t xml:space="preserve"> and Émond JJ.A.)</w:t>
            </w:r>
          </w:p>
          <w:p w:rsidR="00610AEB" w:rsidRPr="00610AEB" w:rsidRDefault="007153A4" w:rsidP="00610AEB">
            <w:pPr>
              <w:jc w:val="both"/>
              <w:rPr>
                <w:sz w:val="20"/>
                <w:lang w:val="en-CA"/>
              </w:rPr>
            </w:pPr>
            <w:hyperlink r:id="rId22" w:history="1">
              <w:r w:rsidR="00610AEB" w:rsidRPr="00610AEB">
                <w:rPr>
                  <w:rStyle w:val="Hyperlink"/>
                  <w:sz w:val="20"/>
                  <w:lang w:val="en-CA"/>
                </w:rPr>
                <w:t>2017 QCCA 488</w:t>
              </w:r>
            </w:hyperlink>
            <w:r w:rsidR="00610AEB" w:rsidRPr="00610AEB">
              <w:rPr>
                <w:sz w:val="20"/>
                <w:lang w:val="en-CA"/>
              </w:rPr>
              <w:t xml:space="preserve"> </w:t>
            </w:r>
          </w:p>
          <w:p w:rsidR="00610AEB" w:rsidRPr="00610AEB" w:rsidRDefault="00610AEB" w:rsidP="00610AEB">
            <w:pPr>
              <w:jc w:val="both"/>
              <w:rPr>
                <w:sz w:val="20"/>
                <w:lang w:val="en-CA"/>
              </w:rPr>
            </w:pPr>
          </w:p>
        </w:tc>
        <w:tc>
          <w:tcPr>
            <w:tcW w:w="267" w:type="pct"/>
          </w:tcPr>
          <w:p w:rsidR="00610AEB" w:rsidRPr="00610AEB" w:rsidRDefault="00610AEB" w:rsidP="00610AEB">
            <w:pPr>
              <w:jc w:val="both"/>
              <w:rPr>
                <w:sz w:val="20"/>
                <w:lang w:val="en-CA"/>
              </w:rPr>
            </w:pPr>
          </w:p>
        </w:tc>
        <w:tc>
          <w:tcPr>
            <w:tcW w:w="2366" w:type="pct"/>
            <w:gridSpan w:val="2"/>
          </w:tcPr>
          <w:p w:rsidR="00610AEB" w:rsidRPr="00610AEB" w:rsidRDefault="00610AEB" w:rsidP="00610AEB">
            <w:pPr>
              <w:jc w:val="both"/>
              <w:rPr>
                <w:sz w:val="20"/>
                <w:lang w:val="en-CA"/>
              </w:rPr>
            </w:pPr>
            <w:r w:rsidRPr="00610AEB">
              <w:rPr>
                <w:sz w:val="20"/>
                <w:lang w:val="en-CA"/>
              </w:rPr>
              <w:t>Appeal allowed; new trial ordered</w:t>
            </w:r>
          </w:p>
          <w:p w:rsidR="00610AEB" w:rsidRPr="00610AEB" w:rsidRDefault="00610AEB" w:rsidP="00610AEB">
            <w:pPr>
              <w:jc w:val="both"/>
              <w:rPr>
                <w:sz w:val="20"/>
                <w:lang w:val="en-CA"/>
              </w:rPr>
            </w:pPr>
          </w:p>
        </w:tc>
      </w:tr>
      <w:tr w:rsidR="00610AEB" w:rsidRPr="00610AEB" w:rsidTr="0028138C">
        <w:tblPrEx>
          <w:tblCellMar>
            <w:bottom w:w="0" w:type="dxa"/>
          </w:tblCellMar>
        </w:tblPrEx>
        <w:tc>
          <w:tcPr>
            <w:tcW w:w="2367" w:type="pct"/>
            <w:gridSpan w:val="2"/>
          </w:tcPr>
          <w:p w:rsidR="00610AEB" w:rsidRPr="00610AEB" w:rsidRDefault="00610AEB" w:rsidP="00610AEB">
            <w:pPr>
              <w:jc w:val="both"/>
              <w:rPr>
                <w:sz w:val="20"/>
                <w:lang w:val="en-CA"/>
              </w:rPr>
            </w:pPr>
            <w:r w:rsidRPr="00610AEB">
              <w:rPr>
                <w:sz w:val="20"/>
                <w:lang w:val="en-CA"/>
              </w:rPr>
              <w:t>May 29, 2017</w:t>
            </w:r>
          </w:p>
          <w:p w:rsidR="00610AEB" w:rsidRPr="00610AEB" w:rsidRDefault="00610AEB" w:rsidP="00610AEB">
            <w:pPr>
              <w:jc w:val="both"/>
              <w:rPr>
                <w:sz w:val="20"/>
                <w:lang w:val="en-CA"/>
              </w:rPr>
            </w:pPr>
            <w:r w:rsidRPr="00610AEB">
              <w:rPr>
                <w:sz w:val="20"/>
                <w:lang w:val="en-CA"/>
              </w:rPr>
              <w:t>Supreme Court of Canada</w:t>
            </w:r>
          </w:p>
        </w:tc>
        <w:tc>
          <w:tcPr>
            <w:tcW w:w="267" w:type="pct"/>
          </w:tcPr>
          <w:p w:rsidR="00610AEB" w:rsidRPr="00610AEB" w:rsidRDefault="00610AEB" w:rsidP="00610AEB">
            <w:pPr>
              <w:jc w:val="both"/>
              <w:rPr>
                <w:sz w:val="20"/>
                <w:lang w:val="en-CA"/>
              </w:rPr>
            </w:pPr>
          </w:p>
        </w:tc>
        <w:tc>
          <w:tcPr>
            <w:tcW w:w="2366" w:type="pct"/>
            <w:gridSpan w:val="2"/>
          </w:tcPr>
          <w:p w:rsidR="00610AEB" w:rsidRPr="00610AEB" w:rsidRDefault="00610AEB" w:rsidP="00610AEB">
            <w:pPr>
              <w:jc w:val="both"/>
              <w:rPr>
                <w:sz w:val="20"/>
                <w:lang w:val="en-CA"/>
              </w:rPr>
            </w:pPr>
            <w:r w:rsidRPr="00610AEB">
              <w:rPr>
                <w:sz w:val="20"/>
                <w:lang w:val="en-CA"/>
              </w:rPr>
              <w:t>Application for leave to appeal filed</w:t>
            </w:r>
          </w:p>
          <w:p w:rsidR="00610AEB" w:rsidRPr="00610AEB" w:rsidRDefault="00610AEB" w:rsidP="00610AEB">
            <w:pPr>
              <w:jc w:val="both"/>
              <w:rPr>
                <w:sz w:val="20"/>
                <w:lang w:val="en-CA"/>
              </w:rPr>
            </w:pPr>
          </w:p>
        </w:tc>
      </w:tr>
    </w:tbl>
    <w:p w:rsidR="00610AEB" w:rsidRDefault="00610AEB" w:rsidP="00610AEB">
      <w:pPr>
        <w:jc w:val="both"/>
        <w:rPr>
          <w:sz w:val="20"/>
          <w:lang w:val="en-CA"/>
        </w:rPr>
      </w:pPr>
    </w:p>
    <w:p w:rsidR="00B10D6D" w:rsidRPr="00610AEB" w:rsidRDefault="00B10D6D" w:rsidP="00610AE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10AEB" w:rsidRPr="00610AEB" w:rsidTr="0028138C">
        <w:trPr>
          <w:gridAfter w:val="1"/>
          <w:wAfter w:w="48" w:type="pct"/>
        </w:trPr>
        <w:tc>
          <w:tcPr>
            <w:tcW w:w="538" w:type="pct"/>
          </w:tcPr>
          <w:p w:rsidR="00610AEB" w:rsidRPr="00610AEB" w:rsidRDefault="00610AEB" w:rsidP="00610AEB">
            <w:pPr>
              <w:jc w:val="both"/>
              <w:rPr>
                <w:sz w:val="20"/>
              </w:rPr>
            </w:pPr>
            <w:r w:rsidRPr="00610AEB">
              <w:rPr>
                <w:rStyle w:val="SCCFileNumberChar"/>
                <w:sz w:val="20"/>
                <w:szCs w:val="20"/>
              </w:rPr>
              <w:t>37587</w:t>
            </w:r>
          </w:p>
        </w:tc>
        <w:tc>
          <w:tcPr>
            <w:tcW w:w="4414" w:type="pct"/>
            <w:gridSpan w:val="3"/>
          </w:tcPr>
          <w:p w:rsidR="00610AEB" w:rsidRPr="00B10D6D" w:rsidRDefault="00610AEB" w:rsidP="00610AEB">
            <w:pPr>
              <w:pStyle w:val="SCCLsocParty"/>
              <w:jc w:val="both"/>
              <w:rPr>
                <w:b/>
                <w:sz w:val="20"/>
                <w:szCs w:val="20"/>
              </w:rPr>
            </w:pPr>
            <w:r w:rsidRPr="00B10D6D">
              <w:rPr>
                <w:b/>
                <w:sz w:val="20"/>
                <w:szCs w:val="20"/>
              </w:rPr>
              <w:t>Sa Majesté la Reine c. Christian Bertrand</w:t>
            </w:r>
          </w:p>
          <w:p w:rsidR="00610AEB" w:rsidRPr="00610AEB" w:rsidRDefault="00610AEB" w:rsidP="00610AEB">
            <w:pPr>
              <w:jc w:val="both"/>
              <w:rPr>
                <w:sz w:val="20"/>
              </w:rPr>
            </w:pPr>
            <w:r w:rsidRPr="00610AEB">
              <w:rPr>
                <w:sz w:val="20"/>
              </w:rPr>
              <w:t>(Qc) (Criminelle) (Autorisation)</w:t>
            </w:r>
          </w:p>
        </w:tc>
      </w:tr>
      <w:tr w:rsidR="00610AEB" w:rsidRPr="007153A4" w:rsidTr="0028138C">
        <w:trPr>
          <w:gridAfter w:val="1"/>
          <w:wAfter w:w="48" w:type="pct"/>
        </w:trPr>
        <w:tc>
          <w:tcPr>
            <w:tcW w:w="4952" w:type="pct"/>
            <w:gridSpan w:val="4"/>
          </w:tcPr>
          <w:p w:rsidR="00610AEB" w:rsidRPr="00610AEB" w:rsidRDefault="00610AEB" w:rsidP="00610AEB">
            <w:pPr>
              <w:jc w:val="both"/>
              <w:rPr>
                <w:sz w:val="20"/>
                <w:lang w:val="fr-CA"/>
              </w:rPr>
            </w:pPr>
            <w:r w:rsidRPr="00610AEB">
              <w:rPr>
                <w:sz w:val="20"/>
                <w:lang w:val="fr-CA"/>
              </w:rPr>
              <w:t>Droit criminel — Exposé au jury — Moyen de défense — Automatisme — Automatisme avec troubles mentaux — Exposé au jury ne mentionnant pas les deux moyens de défense d’automatisme — Preuve exclue du procès après avoir été présentée au jury — La Cour d’appel a-t-elle erré en droit en décidant que les deux formes d’automatisme devaient être présentées au jury? — La Cour d’appel pouvait-elle ordonner la tenue d’un nouveau procès sur la base de la présentation partielle de l’interrogatoire vidéo de l’accusé?</w:t>
            </w:r>
          </w:p>
        </w:tc>
      </w:tr>
      <w:tr w:rsidR="00610AEB" w:rsidRPr="007153A4" w:rsidTr="0028138C">
        <w:trPr>
          <w:gridAfter w:val="1"/>
          <w:wAfter w:w="48" w:type="pct"/>
        </w:trPr>
        <w:tc>
          <w:tcPr>
            <w:tcW w:w="4952" w:type="pct"/>
            <w:gridSpan w:val="4"/>
          </w:tcPr>
          <w:p w:rsidR="00610AEB" w:rsidRPr="00610AEB" w:rsidRDefault="00610AEB" w:rsidP="00610AEB">
            <w:pPr>
              <w:jc w:val="both"/>
              <w:rPr>
                <w:sz w:val="20"/>
                <w:lang w:val="fr-CA"/>
              </w:rPr>
            </w:pPr>
          </w:p>
          <w:p w:rsidR="00610AEB" w:rsidRPr="00610AEB" w:rsidRDefault="00610AEB" w:rsidP="00610AEB">
            <w:pPr>
              <w:jc w:val="both"/>
              <w:rPr>
                <w:sz w:val="20"/>
                <w:lang w:val="fr-CA"/>
              </w:rPr>
            </w:pPr>
            <w:r w:rsidRPr="00610AEB">
              <w:rPr>
                <w:sz w:val="20"/>
                <w:lang w:val="fr-CA"/>
              </w:rPr>
              <w:t xml:space="preserve">L’intimé, présentant des troubles de personnalité sévères, ne nie pas avoir tué sa victime en le frappant plusieurs fois à la tête avec une barre de fer. Le juge du procès a donné au jury des directives sur le moyen de défense de l’aliénation mentale, incluant l’automatisme avec troubles mentaux. Le jury a déclaré l’intimé coupable de meurtre au premier degré. </w:t>
            </w:r>
          </w:p>
          <w:p w:rsidR="00610AEB" w:rsidRPr="00610AEB" w:rsidRDefault="00610AEB" w:rsidP="00610AEB">
            <w:pPr>
              <w:jc w:val="both"/>
              <w:rPr>
                <w:sz w:val="20"/>
                <w:lang w:val="fr-CA"/>
              </w:rPr>
            </w:pPr>
          </w:p>
          <w:p w:rsidR="00610AEB" w:rsidRPr="00610AEB" w:rsidRDefault="00610AEB" w:rsidP="00610AEB">
            <w:pPr>
              <w:jc w:val="both"/>
              <w:rPr>
                <w:sz w:val="20"/>
                <w:lang w:val="fr-CA"/>
              </w:rPr>
            </w:pPr>
            <w:r w:rsidRPr="00610AEB">
              <w:rPr>
                <w:sz w:val="20"/>
                <w:lang w:val="fr-CA"/>
              </w:rPr>
              <w:t xml:space="preserve">La Cour d’appel accueille l’appel aux motifs que le juge du procès n’a pas donné de directives au jury portant sur la défense d’automatisme sans troubles mentaux et qu’une preuve préjudiciable, éventuellement écartée par le juge du procès, est susceptible d’avoir indûment influencé les membres du jury. </w:t>
            </w:r>
          </w:p>
        </w:tc>
      </w:tr>
      <w:tr w:rsidR="00610AEB" w:rsidRPr="007153A4" w:rsidTr="0028138C">
        <w:trPr>
          <w:gridAfter w:val="1"/>
          <w:wAfter w:w="48" w:type="pct"/>
        </w:trPr>
        <w:tc>
          <w:tcPr>
            <w:tcW w:w="4952" w:type="pct"/>
            <w:gridSpan w:val="4"/>
          </w:tcPr>
          <w:p w:rsidR="00610AEB" w:rsidRPr="00610AEB" w:rsidRDefault="00610AEB" w:rsidP="00610AEB">
            <w:pPr>
              <w:jc w:val="both"/>
              <w:rPr>
                <w:sz w:val="20"/>
                <w:lang w:val="fr-CA"/>
              </w:rPr>
            </w:pPr>
          </w:p>
        </w:tc>
      </w:tr>
      <w:tr w:rsidR="00610AEB" w:rsidRPr="007153A4" w:rsidTr="0028138C">
        <w:tblPrEx>
          <w:tblCellMar>
            <w:bottom w:w="0" w:type="dxa"/>
          </w:tblCellMar>
        </w:tblPrEx>
        <w:tc>
          <w:tcPr>
            <w:tcW w:w="2367" w:type="pct"/>
            <w:gridSpan w:val="2"/>
          </w:tcPr>
          <w:p w:rsidR="00610AEB" w:rsidRPr="00610AEB" w:rsidRDefault="00610AEB" w:rsidP="00610AEB">
            <w:pPr>
              <w:jc w:val="both"/>
              <w:rPr>
                <w:sz w:val="20"/>
                <w:lang w:val="fr-CA"/>
              </w:rPr>
            </w:pPr>
            <w:r w:rsidRPr="00610AEB">
              <w:rPr>
                <w:sz w:val="20"/>
                <w:lang w:val="fr-CA"/>
              </w:rPr>
              <w:t>Le 3 novembre 2014</w:t>
            </w:r>
          </w:p>
          <w:p w:rsidR="00610AEB" w:rsidRPr="00610AEB" w:rsidRDefault="00610AEB" w:rsidP="00610AEB">
            <w:pPr>
              <w:jc w:val="both"/>
              <w:rPr>
                <w:sz w:val="20"/>
                <w:lang w:val="fr-CA"/>
              </w:rPr>
            </w:pPr>
            <w:r w:rsidRPr="00610AEB">
              <w:rPr>
                <w:sz w:val="20"/>
                <w:lang w:val="fr-CA"/>
              </w:rPr>
              <w:t>Cour supérieure du Québec</w:t>
            </w:r>
          </w:p>
          <w:p w:rsidR="00610AEB" w:rsidRPr="00610AEB" w:rsidRDefault="00610AEB" w:rsidP="00610AEB">
            <w:pPr>
              <w:jc w:val="both"/>
              <w:rPr>
                <w:sz w:val="20"/>
              </w:rPr>
            </w:pPr>
            <w:r w:rsidRPr="00610AEB">
              <w:rPr>
                <w:sz w:val="20"/>
              </w:rPr>
              <w:t xml:space="preserve">(Le </w:t>
            </w:r>
            <w:proofErr w:type="spellStart"/>
            <w:r w:rsidRPr="00610AEB">
              <w:rPr>
                <w:sz w:val="20"/>
              </w:rPr>
              <w:t>juge</w:t>
            </w:r>
            <w:proofErr w:type="spellEnd"/>
            <w:r w:rsidRPr="00610AEB">
              <w:rPr>
                <w:sz w:val="20"/>
              </w:rPr>
              <w:t xml:space="preserve"> Dumas)</w:t>
            </w:r>
          </w:p>
          <w:p w:rsidR="00610AEB" w:rsidRPr="00610AEB" w:rsidRDefault="007153A4" w:rsidP="00610AEB">
            <w:pPr>
              <w:jc w:val="both"/>
              <w:rPr>
                <w:sz w:val="20"/>
                <w:lang w:val="fr-FR"/>
              </w:rPr>
            </w:pPr>
            <w:hyperlink r:id="rId23" w:history="1">
              <w:r w:rsidR="00610AEB" w:rsidRPr="00610AEB">
                <w:rPr>
                  <w:rStyle w:val="Hyperlink"/>
                  <w:sz w:val="20"/>
                  <w:lang w:val="fr-FR"/>
                </w:rPr>
                <w:t>2014 QCCS 5574</w:t>
              </w:r>
            </w:hyperlink>
          </w:p>
          <w:p w:rsidR="00610AEB" w:rsidRPr="00610AEB" w:rsidRDefault="00610AEB" w:rsidP="00610AEB">
            <w:pPr>
              <w:jc w:val="both"/>
              <w:rPr>
                <w:sz w:val="20"/>
              </w:rPr>
            </w:pPr>
          </w:p>
        </w:tc>
        <w:tc>
          <w:tcPr>
            <w:tcW w:w="267" w:type="pct"/>
          </w:tcPr>
          <w:p w:rsidR="00610AEB" w:rsidRPr="00610AEB" w:rsidRDefault="00610AEB" w:rsidP="00610AEB">
            <w:pPr>
              <w:jc w:val="both"/>
              <w:rPr>
                <w:sz w:val="20"/>
              </w:rPr>
            </w:pPr>
          </w:p>
        </w:tc>
        <w:tc>
          <w:tcPr>
            <w:tcW w:w="2366" w:type="pct"/>
            <w:gridSpan w:val="2"/>
          </w:tcPr>
          <w:p w:rsidR="00610AEB" w:rsidRPr="00610AEB" w:rsidRDefault="00610AEB" w:rsidP="00610AEB">
            <w:pPr>
              <w:jc w:val="both"/>
              <w:rPr>
                <w:sz w:val="20"/>
                <w:lang w:val="fr-CA"/>
              </w:rPr>
            </w:pPr>
            <w:r w:rsidRPr="00610AEB">
              <w:rPr>
                <w:sz w:val="20"/>
                <w:lang w:val="fr-CA"/>
              </w:rPr>
              <w:t>Défense d’aliénation mentale présentée au jury</w:t>
            </w:r>
          </w:p>
          <w:p w:rsidR="00610AEB" w:rsidRPr="00610AEB" w:rsidRDefault="00610AEB" w:rsidP="00610AEB">
            <w:pPr>
              <w:jc w:val="both"/>
              <w:rPr>
                <w:sz w:val="20"/>
                <w:lang w:val="fr-CA"/>
              </w:rPr>
            </w:pPr>
          </w:p>
        </w:tc>
      </w:tr>
      <w:tr w:rsidR="00610AEB" w:rsidRPr="007153A4" w:rsidTr="0028138C">
        <w:tblPrEx>
          <w:tblCellMar>
            <w:bottom w:w="0" w:type="dxa"/>
          </w:tblCellMar>
        </w:tblPrEx>
        <w:tc>
          <w:tcPr>
            <w:tcW w:w="2367" w:type="pct"/>
            <w:gridSpan w:val="2"/>
          </w:tcPr>
          <w:p w:rsidR="00610AEB" w:rsidRPr="00610AEB" w:rsidRDefault="00610AEB" w:rsidP="00610AEB">
            <w:pPr>
              <w:jc w:val="both"/>
              <w:rPr>
                <w:sz w:val="20"/>
                <w:lang w:val="fr-CA"/>
              </w:rPr>
            </w:pPr>
            <w:r w:rsidRPr="00610AEB">
              <w:rPr>
                <w:sz w:val="20"/>
                <w:lang w:val="fr-CA"/>
              </w:rPr>
              <w:t>Le 7 novembre 2017</w:t>
            </w:r>
          </w:p>
          <w:p w:rsidR="00610AEB" w:rsidRPr="00610AEB" w:rsidRDefault="00610AEB" w:rsidP="00610AEB">
            <w:pPr>
              <w:jc w:val="both"/>
              <w:rPr>
                <w:sz w:val="20"/>
                <w:lang w:val="fr-CA"/>
              </w:rPr>
            </w:pPr>
            <w:r w:rsidRPr="00610AEB">
              <w:rPr>
                <w:sz w:val="20"/>
                <w:lang w:val="fr-CA"/>
              </w:rPr>
              <w:t>Cour supérieure du Québec</w:t>
            </w:r>
          </w:p>
          <w:p w:rsidR="00610AEB" w:rsidRPr="00610AEB" w:rsidRDefault="00610AEB" w:rsidP="00610AEB">
            <w:pPr>
              <w:jc w:val="both"/>
              <w:rPr>
                <w:sz w:val="20"/>
              </w:rPr>
            </w:pPr>
            <w:r w:rsidRPr="00610AEB">
              <w:rPr>
                <w:sz w:val="20"/>
              </w:rPr>
              <w:t xml:space="preserve">(Le </w:t>
            </w:r>
            <w:proofErr w:type="spellStart"/>
            <w:r w:rsidRPr="00610AEB">
              <w:rPr>
                <w:sz w:val="20"/>
              </w:rPr>
              <w:t>juge</w:t>
            </w:r>
            <w:proofErr w:type="spellEnd"/>
            <w:r w:rsidRPr="00610AEB">
              <w:rPr>
                <w:sz w:val="20"/>
              </w:rPr>
              <w:t xml:space="preserve"> Dumas)</w:t>
            </w:r>
          </w:p>
          <w:p w:rsidR="00610AEB" w:rsidRPr="00610AEB" w:rsidRDefault="00610AEB" w:rsidP="00610AEB">
            <w:pPr>
              <w:jc w:val="both"/>
              <w:rPr>
                <w:sz w:val="20"/>
              </w:rPr>
            </w:pPr>
          </w:p>
        </w:tc>
        <w:tc>
          <w:tcPr>
            <w:tcW w:w="267" w:type="pct"/>
          </w:tcPr>
          <w:p w:rsidR="00610AEB" w:rsidRPr="00610AEB" w:rsidRDefault="00610AEB" w:rsidP="00610AEB">
            <w:pPr>
              <w:jc w:val="both"/>
              <w:rPr>
                <w:sz w:val="20"/>
              </w:rPr>
            </w:pPr>
          </w:p>
        </w:tc>
        <w:tc>
          <w:tcPr>
            <w:tcW w:w="2366" w:type="pct"/>
            <w:gridSpan w:val="2"/>
          </w:tcPr>
          <w:p w:rsidR="00610AEB" w:rsidRPr="00610AEB" w:rsidRDefault="00610AEB" w:rsidP="00610AEB">
            <w:pPr>
              <w:jc w:val="both"/>
              <w:rPr>
                <w:sz w:val="20"/>
                <w:lang w:val="fr-CA"/>
              </w:rPr>
            </w:pPr>
            <w:r w:rsidRPr="00610AEB">
              <w:rPr>
                <w:sz w:val="20"/>
                <w:lang w:val="fr-CA"/>
              </w:rPr>
              <w:t>Déclaration de culpabilité de meurtre au premier degré</w:t>
            </w:r>
          </w:p>
        </w:tc>
      </w:tr>
      <w:tr w:rsidR="00610AEB" w:rsidRPr="00610AEB" w:rsidTr="0028138C">
        <w:tblPrEx>
          <w:tblCellMar>
            <w:bottom w:w="0" w:type="dxa"/>
          </w:tblCellMar>
        </w:tblPrEx>
        <w:tc>
          <w:tcPr>
            <w:tcW w:w="2367" w:type="pct"/>
            <w:gridSpan w:val="2"/>
          </w:tcPr>
          <w:p w:rsidR="00610AEB" w:rsidRPr="00610AEB" w:rsidRDefault="00610AEB" w:rsidP="00610AEB">
            <w:pPr>
              <w:jc w:val="both"/>
              <w:rPr>
                <w:sz w:val="20"/>
                <w:lang w:val="fr-CA"/>
              </w:rPr>
            </w:pPr>
            <w:r w:rsidRPr="00610AEB">
              <w:rPr>
                <w:sz w:val="20"/>
                <w:lang w:val="fr-CA"/>
              </w:rPr>
              <w:t>Le 30 mars 2017</w:t>
            </w:r>
          </w:p>
          <w:p w:rsidR="00610AEB" w:rsidRPr="00610AEB" w:rsidRDefault="00610AEB" w:rsidP="00610AEB">
            <w:pPr>
              <w:jc w:val="both"/>
              <w:rPr>
                <w:sz w:val="20"/>
                <w:lang w:val="fr-CA"/>
              </w:rPr>
            </w:pPr>
            <w:r w:rsidRPr="00610AEB">
              <w:rPr>
                <w:sz w:val="20"/>
                <w:lang w:val="fr-CA"/>
              </w:rPr>
              <w:lastRenderedPageBreak/>
              <w:t>Cour d’appel du Québec (Montréal)</w:t>
            </w:r>
          </w:p>
          <w:p w:rsidR="00610AEB" w:rsidRPr="00610AEB" w:rsidRDefault="00610AEB" w:rsidP="00610AEB">
            <w:pPr>
              <w:jc w:val="both"/>
              <w:rPr>
                <w:sz w:val="20"/>
                <w:lang w:val="fr-CA"/>
              </w:rPr>
            </w:pPr>
            <w:r w:rsidRPr="00610AEB">
              <w:rPr>
                <w:sz w:val="20"/>
                <w:lang w:val="fr-CA"/>
              </w:rPr>
              <w:t xml:space="preserve">(La juge en chef Duval </w:t>
            </w:r>
            <w:proofErr w:type="spellStart"/>
            <w:r w:rsidRPr="00610AEB">
              <w:rPr>
                <w:sz w:val="20"/>
                <w:lang w:val="fr-CA"/>
              </w:rPr>
              <w:t>Hesler</w:t>
            </w:r>
            <w:proofErr w:type="spellEnd"/>
            <w:r w:rsidRPr="00610AEB">
              <w:rPr>
                <w:sz w:val="20"/>
                <w:lang w:val="fr-CA"/>
              </w:rPr>
              <w:t xml:space="preserve"> et les juges Marcotte et </w:t>
            </w:r>
            <w:proofErr w:type="spellStart"/>
            <w:r w:rsidRPr="00610AEB">
              <w:rPr>
                <w:sz w:val="20"/>
                <w:lang w:val="fr-CA"/>
              </w:rPr>
              <w:t>Émond</w:t>
            </w:r>
            <w:proofErr w:type="spellEnd"/>
            <w:r w:rsidRPr="00610AEB">
              <w:rPr>
                <w:sz w:val="20"/>
                <w:lang w:val="fr-CA"/>
              </w:rPr>
              <w:t>)</w:t>
            </w:r>
          </w:p>
          <w:p w:rsidR="00610AEB" w:rsidRPr="00610AEB" w:rsidRDefault="007153A4" w:rsidP="00610AEB">
            <w:pPr>
              <w:jc w:val="both"/>
              <w:rPr>
                <w:sz w:val="20"/>
                <w:lang w:val="fr-FR"/>
              </w:rPr>
            </w:pPr>
            <w:hyperlink r:id="rId24" w:history="1">
              <w:r w:rsidR="00610AEB" w:rsidRPr="00610AEB">
                <w:rPr>
                  <w:rStyle w:val="Hyperlink"/>
                  <w:sz w:val="20"/>
                  <w:lang w:val="fr-FR"/>
                </w:rPr>
                <w:t>2017 QCCA 488</w:t>
              </w:r>
            </w:hyperlink>
            <w:r w:rsidR="00610AEB" w:rsidRPr="00610AEB">
              <w:rPr>
                <w:sz w:val="20"/>
                <w:lang w:val="fr-FR"/>
              </w:rPr>
              <w:t xml:space="preserve"> </w:t>
            </w:r>
          </w:p>
          <w:p w:rsidR="00610AEB" w:rsidRPr="00610AEB" w:rsidRDefault="00610AEB" w:rsidP="00610AEB">
            <w:pPr>
              <w:jc w:val="both"/>
              <w:rPr>
                <w:sz w:val="20"/>
              </w:rPr>
            </w:pPr>
          </w:p>
        </w:tc>
        <w:tc>
          <w:tcPr>
            <w:tcW w:w="267" w:type="pct"/>
          </w:tcPr>
          <w:p w:rsidR="00610AEB" w:rsidRPr="00610AEB" w:rsidRDefault="00610AEB" w:rsidP="00610AEB">
            <w:pPr>
              <w:jc w:val="both"/>
              <w:rPr>
                <w:sz w:val="20"/>
              </w:rPr>
            </w:pPr>
          </w:p>
        </w:tc>
        <w:tc>
          <w:tcPr>
            <w:tcW w:w="2366" w:type="pct"/>
            <w:gridSpan w:val="2"/>
          </w:tcPr>
          <w:p w:rsidR="00610AEB" w:rsidRPr="00610AEB" w:rsidRDefault="00610AEB" w:rsidP="00610AEB">
            <w:pPr>
              <w:jc w:val="both"/>
              <w:rPr>
                <w:sz w:val="20"/>
              </w:rPr>
            </w:pPr>
            <w:r w:rsidRPr="00610AEB">
              <w:rPr>
                <w:sz w:val="20"/>
              </w:rPr>
              <w:t>Appel accueilli; Nouveau procès ordonné</w:t>
            </w:r>
          </w:p>
          <w:p w:rsidR="00610AEB" w:rsidRPr="00610AEB" w:rsidRDefault="00610AEB" w:rsidP="00610AEB">
            <w:pPr>
              <w:jc w:val="both"/>
              <w:rPr>
                <w:sz w:val="20"/>
              </w:rPr>
            </w:pPr>
          </w:p>
        </w:tc>
      </w:tr>
      <w:tr w:rsidR="00610AEB" w:rsidRPr="00610AEB" w:rsidTr="0028138C">
        <w:tblPrEx>
          <w:tblCellMar>
            <w:bottom w:w="0" w:type="dxa"/>
          </w:tblCellMar>
        </w:tblPrEx>
        <w:tc>
          <w:tcPr>
            <w:tcW w:w="2367" w:type="pct"/>
            <w:gridSpan w:val="2"/>
          </w:tcPr>
          <w:p w:rsidR="00610AEB" w:rsidRPr="00610AEB" w:rsidRDefault="00610AEB" w:rsidP="00610AEB">
            <w:pPr>
              <w:jc w:val="both"/>
              <w:rPr>
                <w:sz w:val="20"/>
                <w:lang w:val="fr-CA"/>
              </w:rPr>
            </w:pPr>
            <w:r w:rsidRPr="00610AEB">
              <w:rPr>
                <w:sz w:val="20"/>
                <w:lang w:val="fr-CA"/>
              </w:rPr>
              <w:lastRenderedPageBreak/>
              <w:t>Le 29 mai 2017</w:t>
            </w:r>
          </w:p>
          <w:p w:rsidR="00610AEB" w:rsidRPr="00610AEB" w:rsidRDefault="00610AEB" w:rsidP="00610AEB">
            <w:pPr>
              <w:jc w:val="both"/>
              <w:rPr>
                <w:sz w:val="20"/>
                <w:lang w:val="fr-CA"/>
              </w:rPr>
            </w:pPr>
            <w:r w:rsidRPr="00610AEB">
              <w:rPr>
                <w:sz w:val="20"/>
                <w:lang w:val="fr-CA"/>
              </w:rPr>
              <w:t>Cour suprême du Canada</w:t>
            </w:r>
          </w:p>
        </w:tc>
        <w:tc>
          <w:tcPr>
            <w:tcW w:w="267" w:type="pct"/>
          </w:tcPr>
          <w:p w:rsidR="00610AEB" w:rsidRPr="00610AEB" w:rsidRDefault="00610AEB" w:rsidP="00610AEB">
            <w:pPr>
              <w:jc w:val="both"/>
              <w:rPr>
                <w:sz w:val="20"/>
                <w:lang w:val="fr-CA"/>
              </w:rPr>
            </w:pPr>
          </w:p>
        </w:tc>
        <w:tc>
          <w:tcPr>
            <w:tcW w:w="2366" w:type="pct"/>
            <w:gridSpan w:val="2"/>
          </w:tcPr>
          <w:p w:rsidR="00610AEB" w:rsidRPr="00610AEB" w:rsidRDefault="00610AEB" w:rsidP="00610AEB">
            <w:pPr>
              <w:jc w:val="both"/>
              <w:rPr>
                <w:sz w:val="20"/>
              </w:rPr>
            </w:pPr>
            <w:r w:rsidRPr="00610AEB">
              <w:rPr>
                <w:sz w:val="20"/>
              </w:rPr>
              <w:t>Demande d’autorisation d’appel déposée</w:t>
            </w:r>
          </w:p>
          <w:p w:rsidR="00610AEB" w:rsidRPr="00610AEB" w:rsidRDefault="00610AEB" w:rsidP="00610AEB">
            <w:pPr>
              <w:jc w:val="both"/>
              <w:rPr>
                <w:sz w:val="20"/>
              </w:rPr>
            </w:pPr>
          </w:p>
        </w:tc>
      </w:tr>
    </w:tbl>
    <w:p w:rsidR="00610AEB" w:rsidRPr="00610AEB" w:rsidRDefault="00610AEB" w:rsidP="00610AEB">
      <w:pPr>
        <w:jc w:val="both"/>
        <w:rPr>
          <w:sz w:val="20"/>
        </w:rPr>
      </w:pPr>
    </w:p>
    <w:p w:rsidR="00610AEB" w:rsidRPr="00610AEB" w:rsidRDefault="00610AEB" w:rsidP="00610AEB">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37598</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Damion Sinclair v. Her Majesty the Queen</w:t>
            </w:r>
          </w:p>
          <w:p w:rsidR="00610AEB" w:rsidRPr="00610AEB" w:rsidRDefault="00610AEB" w:rsidP="00610AEB">
            <w:pPr>
              <w:jc w:val="both"/>
              <w:rPr>
                <w:sz w:val="20"/>
              </w:rPr>
            </w:pPr>
            <w:r w:rsidRPr="00610AEB">
              <w:rPr>
                <w:sz w:val="20"/>
              </w:rPr>
              <w:t>(Ont.) (Criminal) (By Leave)</w:t>
            </w:r>
          </w:p>
        </w:tc>
      </w:tr>
      <w:tr w:rsidR="00610AEB" w:rsidRPr="00610AEB" w:rsidTr="00E95A6A">
        <w:tc>
          <w:tcPr>
            <w:tcW w:w="5000" w:type="pct"/>
            <w:gridSpan w:val="4"/>
          </w:tcPr>
          <w:p w:rsidR="00610AEB" w:rsidRPr="00610AEB" w:rsidRDefault="00610AEB" w:rsidP="00610AEB">
            <w:pPr>
              <w:jc w:val="both"/>
              <w:rPr>
                <w:sz w:val="20"/>
              </w:rPr>
            </w:pPr>
            <w:r w:rsidRPr="00610AEB">
              <w:rPr>
                <w:sz w:val="20"/>
              </w:rPr>
              <w:t xml:space="preserve">Criminal law – </w:t>
            </w:r>
            <w:proofErr w:type="spellStart"/>
            <w:r w:rsidRPr="00610AEB">
              <w:rPr>
                <w:sz w:val="20"/>
              </w:rPr>
              <w:t>Defences</w:t>
            </w:r>
            <w:proofErr w:type="spellEnd"/>
            <w:r w:rsidRPr="00610AEB">
              <w:rPr>
                <w:sz w:val="20"/>
              </w:rPr>
              <w:t xml:space="preserve"> – Self-</w:t>
            </w:r>
            <w:proofErr w:type="spellStart"/>
            <w:r w:rsidRPr="00610AEB">
              <w:rPr>
                <w:sz w:val="20"/>
              </w:rPr>
              <w:t>defence</w:t>
            </w:r>
            <w:proofErr w:type="spellEnd"/>
            <w:r w:rsidRPr="00610AEB">
              <w:rPr>
                <w:sz w:val="20"/>
              </w:rPr>
              <w:t xml:space="preserve"> – Whether the Court of Appeal erred in holding that there was no air of reality to an apprehended assault – Whether the Court of Appeal erred in holding that the trial judge properly instructed the jury as to the significance of the applicant’s failure to avoid the fatal confrontation.</w:t>
            </w:r>
          </w:p>
          <w:p w:rsidR="00610AEB" w:rsidRPr="00610AEB" w:rsidRDefault="00610AEB" w:rsidP="00610AEB">
            <w:pPr>
              <w:jc w:val="both"/>
              <w:rPr>
                <w:sz w:val="20"/>
              </w:rPr>
            </w:pPr>
          </w:p>
        </w:tc>
      </w:tr>
      <w:tr w:rsidR="00610AEB" w:rsidRPr="00610AEB" w:rsidTr="00E95A6A">
        <w:tc>
          <w:tcPr>
            <w:tcW w:w="5000" w:type="pct"/>
            <w:gridSpan w:val="4"/>
          </w:tcPr>
          <w:p w:rsidR="00610AEB" w:rsidRPr="00610AEB" w:rsidRDefault="00610AEB" w:rsidP="00610AEB">
            <w:pPr>
              <w:jc w:val="both"/>
              <w:rPr>
                <w:sz w:val="20"/>
                <w:lang w:val="en"/>
              </w:rPr>
            </w:pPr>
            <w:r w:rsidRPr="00610AEB">
              <w:rPr>
                <w:sz w:val="20"/>
              </w:rPr>
              <w:t>O</w:t>
            </w:r>
            <w:r w:rsidRPr="00610AEB">
              <w:rPr>
                <w:sz w:val="20"/>
                <w:lang w:val="en"/>
              </w:rPr>
              <w:t>n the day of the shooting, Mr. Barton was with some friends outside an apartment building. The applicant, Mr. Sinclair, passed by the group and one of Mr. Barton’s friends made a comment to Mr. Sinclair which he said he perceived as a threat. Mr. Sinclair offered no response, except to put his hand in his pocket indicating that he was armed. Mr. Barton became angry and was heard to say “what’s wrong with the nigga. The nigga is dead”. Later that same day, Mr. Barton approached Mr. Sinclair. Their meeting was brief. Mr. Sinclair shot Mr. Barton once, the bullet hitting him in the heart. Mr. Barton died. Mr. Sinclair said he shot Mr. Barton in</w:t>
            </w:r>
            <w:r w:rsidRPr="00610AEB">
              <w:rPr>
                <w:sz w:val="20"/>
              </w:rPr>
              <w:t xml:space="preserve"> self-defence</w:t>
            </w:r>
            <w:r w:rsidRPr="00610AEB">
              <w:rPr>
                <w:sz w:val="20"/>
                <w:lang w:val="en"/>
              </w:rPr>
              <w:t>. Mr. </w:t>
            </w:r>
            <w:r w:rsidRPr="00610AEB">
              <w:rPr>
                <w:sz w:val="20"/>
              </w:rPr>
              <w:t xml:space="preserve">Sinclair testified that Mr. Barton unlawfully assaulted him by grabbing his shoulder with his left hand and had his right hand in his pants pocket as if he was trying to pull something out of his pocket. Mr. Sinclair was convicted of second degree murder after a trial by judge and jury. The jury rejected Mr. Sinclair’s argument that he acted in </w:t>
            </w:r>
            <w:proofErr w:type="spellStart"/>
            <w:r w:rsidRPr="00610AEB">
              <w:rPr>
                <w:sz w:val="20"/>
              </w:rPr>
              <w:t>self-defence</w:t>
            </w:r>
            <w:proofErr w:type="spellEnd"/>
            <w:r w:rsidRPr="00610AEB">
              <w:rPr>
                <w:sz w:val="20"/>
              </w:rPr>
              <w:t>. Leave to appeal sentence was granted. The sentence and conviction appeals were dismissed.</w:t>
            </w:r>
          </w:p>
        </w:tc>
      </w:tr>
      <w:tr w:rsidR="00610AEB" w:rsidRPr="00610AEB" w:rsidTr="00E95A6A">
        <w:tc>
          <w:tcPr>
            <w:tcW w:w="5000" w:type="pct"/>
            <w:gridSpan w:val="4"/>
          </w:tcPr>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December 9, 2010</w:t>
            </w:r>
          </w:p>
          <w:p w:rsidR="00610AEB" w:rsidRPr="00610AEB" w:rsidRDefault="00610AEB" w:rsidP="00610AEB">
            <w:pPr>
              <w:jc w:val="both"/>
              <w:rPr>
                <w:sz w:val="20"/>
              </w:rPr>
            </w:pPr>
            <w:r w:rsidRPr="00610AEB">
              <w:rPr>
                <w:sz w:val="20"/>
              </w:rPr>
              <w:t>Ontario Superior Court of Justice</w:t>
            </w:r>
          </w:p>
          <w:p w:rsidR="00610AEB" w:rsidRPr="00610AEB" w:rsidRDefault="00610AEB" w:rsidP="00610AEB">
            <w:pPr>
              <w:jc w:val="both"/>
              <w:rPr>
                <w:sz w:val="20"/>
              </w:rPr>
            </w:pPr>
            <w:r w:rsidRPr="00610AEB">
              <w:rPr>
                <w:sz w:val="20"/>
              </w:rPr>
              <w:t>(</w:t>
            </w:r>
            <w:proofErr w:type="spellStart"/>
            <w:r w:rsidRPr="00610AEB">
              <w:rPr>
                <w:sz w:val="20"/>
              </w:rPr>
              <w:t>O'Marra</w:t>
            </w:r>
            <w:proofErr w:type="spellEnd"/>
            <w:r w:rsidRPr="00610AEB">
              <w:rPr>
                <w:sz w:val="20"/>
              </w:rPr>
              <w:t xml:space="preserve"> J.)</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Conviction for second degree murder</w:t>
            </w:r>
          </w:p>
          <w:p w:rsidR="00610AEB" w:rsidRPr="00610AEB" w:rsidRDefault="00610AEB" w:rsidP="00610AEB">
            <w:pPr>
              <w:jc w:val="both"/>
              <w:rPr>
                <w:sz w:val="20"/>
              </w:rPr>
            </w:pP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 xml:space="preserve">January 18, 2017 </w:t>
            </w:r>
          </w:p>
          <w:p w:rsidR="00610AEB" w:rsidRPr="00610AEB" w:rsidRDefault="00610AEB" w:rsidP="00610AEB">
            <w:pPr>
              <w:jc w:val="both"/>
              <w:rPr>
                <w:sz w:val="20"/>
              </w:rPr>
            </w:pPr>
            <w:r w:rsidRPr="00610AEB">
              <w:rPr>
                <w:sz w:val="20"/>
              </w:rPr>
              <w:t>Court of Appeal for Ontario</w:t>
            </w:r>
          </w:p>
          <w:p w:rsidR="00610AEB" w:rsidRPr="00610AEB" w:rsidRDefault="00610AEB" w:rsidP="00610AEB">
            <w:pPr>
              <w:jc w:val="both"/>
              <w:rPr>
                <w:sz w:val="20"/>
              </w:rPr>
            </w:pPr>
            <w:r w:rsidRPr="00610AEB">
              <w:rPr>
                <w:sz w:val="20"/>
              </w:rPr>
              <w:t xml:space="preserve">(Watt, </w:t>
            </w:r>
            <w:proofErr w:type="spellStart"/>
            <w:r w:rsidRPr="00610AEB">
              <w:rPr>
                <w:sz w:val="20"/>
              </w:rPr>
              <w:t>Lauwers</w:t>
            </w:r>
            <w:proofErr w:type="spellEnd"/>
            <w:r w:rsidRPr="00610AEB">
              <w:rPr>
                <w:sz w:val="20"/>
              </w:rPr>
              <w:t>, Miller JJ.A.)</w:t>
            </w:r>
          </w:p>
          <w:p w:rsidR="00610AEB" w:rsidRPr="00610AEB" w:rsidRDefault="00610AEB" w:rsidP="00610AEB">
            <w:pPr>
              <w:jc w:val="both"/>
              <w:rPr>
                <w:sz w:val="20"/>
              </w:rPr>
            </w:pPr>
            <w:r w:rsidRPr="00610AEB">
              <w:rPr>
                <w:sz w:val="20"/>
              </w:rPr>
              <w:t>2017 ONCA 38; C55487</w:t>
            </w:r>
          </w:p>
          <w:p w:rsidR="00610AEB" w:rsidRPr="00610AEB" w:rsidRDefault="007153A4" w:rsidP="00610AEB">
            <w:pPr>
              <w:jc w:val="both"/>
              <w:rPr>
                <w:rStyle w:val="documentstaticurl"/>
                <w:sz w:val="20"/>
              </w:rPr>
            </w:pPr>
            <w:hyperlink r:id="rId25" w:history="1">
              <w:r w:rsidR="00610AEB" w:rsidRPr="00610AEB">
                <w:rPr>
                  <w:rStyle w:val="Hyperlink"/>
                  <w:sz w:val="20"/>
                </w:rPr>
                <w:t>http://canlii.ca/t/gwz9j</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Leave to appeal sentence granted; sentence and conviction appeals dismissed</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May 26, 2017</w:t>
            </w:r>
          </w:p>
          <w:p w:rsidR="00610AEB" w:rsidRPr="00610AEB" w:rsidRDefault="00610AEB" w:rsidP="00610AEB">
            <w:pPr>
              <w:jc w:val="both"/>
              <w:rPr>
                <w:sz w:val="20"/>
              </w:rPr>
            </w:pPr>
            <w:r w:rsidRPr="00610AEB">
              <w:rPr>
                <w:sz w:val="20"/>
              </w:rPr>
              <w:t>Supreme Court of Canada</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Motion for an extension of time to serve and file the application for leave to appeal and application for leave to appeal filed</w:t>
            </w:r>
          </w:p>
        </w:tc>
      </w:tr>
    </w:tbl>
    <w:p w:rsidR="00610AEB" w:rsidRDefault="00610AEB" w:rsidP="00610AEB">
      <w:pPr>
        <w:jc w:val="both"/>
        <w:rPr>
          <w:sz w:val="20"/>
        </w:rPr>
      </w:pPr>
    </w:p>
    <w:p w:rsidR="00B10D6D" w:rsidRPr="00610AEB" w:rsidRDefault="00B10D6D" w:rsidP="00610A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37598</w:t>
            </w:r>
          </w:p>
        </w:tc>
        <w:tc>
          <w:tcPr>
            <w:tcW w:w="4457" w:type="pct"/>
            <w:gridSpan w:val="3"/>
          </w:tcPr>
          <w:p w:rsidR="00610AEB" w:rsidRPr="00B10D6D" w:rsidRDefault="00610AEB" w:rsidP="00610AEB">
            <w:pPr>
              <w:pStyle w:val="SCCLsocParty"/>
              <w:jc w:val="both"/>
              <w:rPr>
                <w:b/>
                <w:sz w:val="20"/>
                <w:szCs w:val="20"/>
              </w:rPr>
            </w:pPr>
            <w:r w:rsidRPr="00B10D6D">
              <w:rPr>
                <w:b/>
                <w:sz w:val="20"/>
                <w:szCs w:val="20"/>
              </w:rPr>
              <w:t>Damion Sinclair c. Sa Majesté la Reine</w:t>
            </w:r>
          </w:p>
          <w:p w:rsidR="00610AEB" w:rsidRPr="00610AEB" w:rsidRDefault="00610AEB" w:rsidP="00610AEB">
            <w:pPr>
              <w:jc w:val="both"/>
              <w:rPr>
                <w:sz w:val="20"/>
              </w:rPr>
            </w:pPr>
            <w:r w:rsidRPr="00610AEB">
              <w:rPr>
                <w:sz w:val="20"/>
              </w:rPr>
              <w:t xml:space="preserve">(Ont.) (Criminelle) (Sur </w:t>
            </w:r>
            <w:proofErr w:type="spellStart"/>
            <w:r w:rsidRPr="00610AEB">
              <w:rPr>
                <w:sz w:val="20"/>
              </w:rPr>
              <w:t>autorisation</w:t>
            </w:r>
            <w:proofErr w:type="spellEnd"/>
            <w:r w:rsidRPr="00610AEB">
              <w:rPr>
                <w:sz w:val="20"/>
              </w:rPr>
              <w:t>)</w:t>
            </w: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Droit criminel – Moyens de défense – Légitime défense – La Cour d’appel a-t-elle conclu à tort que l’agression appréhendée était invraisemblable? – La Cour d’appel a-t-elle conclu à tort que le juge du procès avait donné au jury des directives appropriées sur l’importance du fait que le demandeur n’a pas évité la confrontation fatale? </w:t>
            </w:r>
          </w:p>
          <w:p w:rsidR="00610AEB" w:rsidRPr="00610AEB" w:rsidRDefault="00610AEB" w:rsidP="00610AEB">
            <w:pPr>
              <w:jc w:val="both"/>
              <w:rPr>
                <w:sz w:val="20"/>
                <w:lang w:val="fr-CA"/>
              </w:rPr>
            </w:pP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Le jour de l’homicide, M. Barton se trouvait à l’extérieur d’un immeuble d’habitation en compagnie de quelques amis. Le demandeur, M. Sinclair, a croisé le groupe et l’un des amis de M. Barton a fait un commentaire à M. Sinclair que ce dernier affirme avoir perçu comme une menace. M. Sinclair n’a pas répondu, si ce n’est en mettant sa main dans sa poche pour indiquer qu’il était armé. M. Barton s’est fâché et on l’a entendu dire : « Qu’est-ce qui cloche avec le nègre. Le nègre est mort. » Plus tard ce jour-là, M. Barton a accosté M. Sinclair. Leur rencontre fut brève. </w:t>
            </w:r>
            <w:r w:rsidRPr="00610AEB">
              <w:rPr>
                <w:sz w:val="20"/>
                <w:lang w:val="fr-CA"/>
              </w:rPr>
              <w:lastRenderedPageBreak/>
              <w:t>M. Sinclair a tiré un coup de feu en direction de M. Barton et la balle l’a atteint au cœur. M. Barton est mort. M. Sinclair dit avoir tiré sur M. Barton en légitime défense. Selon lui, M. Barton l’a illégalement agressé en l’agrippant par l’épaule avec sa main gauche et a introduit sa main droite dans sa poche de pantalon comme s’il essayait d’en extirper quelque chose. M. Sinclair a été reconnu coupable de meurtre au deuxième degré au terme d’un procès devant juge et jury. Le jury a rejeté l’argument de M. Sinclair qu’il avait agi en légitime défense. L’autorisation d’interjeter appel de la peine a été accordée. Les appels formés contre la peine et la déclaration de culpabilité ont été rejetés.</w:t>
            </w:r>
          </w:p>
        </w:tc>
      </w:tr>
      <w:tr w:rsidR="00610AEB" w:rsidRPr="007153A4" w:rsidTr="00E95A6A">
        <w:tc>
          <w:tcPr>
            <w:tcW w:w="5000" w:type="pct"/>
            <w:gridSpan w:val="4"/>
          </w:tcPr>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 xml:space="preserve">9 décembre 2010 </w:t>
            </w:r>
          </w:p>
          <w:p w:rsidR="00610AEB" w:rsidRPr="00610AEB" w:rsidRDefault="00610AEB" w:rsidP="00610AEB">
            <w:pPr>
              <w:jc w:val="both"/>
              <w:rPr>
                <w:sz w:val="20"/>
                <w:lang w:val="fr-CA"/>
              </w:rPr>
            </w:pPr>
            <w:r w:rsidRPr="00610AEB">
              <w:rPr>
                <w:sz w:val="20"/>
                <w:lang w:val="fr-CA"/>
              </w:rPr>
              <w:t xml:space="preserve">Cour supérieure de justice de l’Ontario </w:t>
            </w:r>
          </w:p>
          <w:p w:rsidR="00610AEB" w:rsidRPr="00610AEB" w:rsidRDefault="00610AEB" w:rsidP="00610AEB">
            <w:pPr>
              <w:jc w:val="both"/>
              <w:rPr>
                <w:sz w:val="20"/>
              </w:rPr>
            </w:pPr>
            <w:r w:rsidRPr="00610AEB">
              <w:rPr>
                <w:sz w:val="20"/>
              </w:rPr>
              <w:t>(</w:t>
            </w:r>
            <w:proofErr w:type="spellStart"/>
            <w:r w:rsidRPr="00610AEB">
              <w:rPr>
                <w:sz w:val="20"/>
              </w:rPr>
              <w:t>Juge</w:t>
            </w:r>
            <w:proofErr w:type="spellEnd"/>
            <w:r w:rsidRPr="00610AEB">
              <w:rPr>
                <w:sz w:val="20"/>
              </w:rPr>
              <w:t xml:space="preserve"> </w:t>
            </w:r>
            <w:proofErr w:type="spellStart"/>
            <w:r w:rsidRPr="00610AEB">
              <w:rPr>
                <w:sz w:val="20"/>
              </w:rPr>
              <w:t>O’Marra</w:t>
            </w:r>
            <w:proofErr w:type="spellEnd"/>
            <w:r w:rsidRPr="00610AEB">
              <w:rPr>
                <w:sz w:val="20"/>
              </w:rPr>
              <w:t>)</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Déclaration de culpabilité pour meurtre au deuxième degré</w:t>
            </w:r>
          </w:p>
          <w:p w:rsidR="00610AEB" w:rsidRPr="00610AEB" w:rsidRDefault="00610AEB" w:rsidP="00610AEB">
            <w:pPr>
              <w:jc w:val="both"/>
              <w:rPr>
                <w:sz w:val="20"/>
                <w:lang w:val="fr-CA"/>
              </w:rPr>
            </w:pP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 xml:space="preserve">18 janvier 2017 </w:t>
            </w:r>
          </w:p>
          <w:p w:rsidR="00610AEB" w:rsidRPr="00610AEB" w:rsidRDefault="00610AEB" w:rsidP="00610AEB">
            <w:pPr>
              <w:jc w:val="both"/>
              <w:rPr>
                <w:sz w:val="20"/>
                <w:lang w:val="fr-CA"/>
              </w:rPr>
            </w:pPr>
            <w:r w:rsidRPr="00610AEB">
              <w:rPr>
                <w:sz w:val="20"/>
                <w:lang w:val="fr-CA"/>
              </w:rPr>
              <w:t>Cour d’appel de l’Ontario</w:t>
            </w:r>
          </w:p>
          <w:p w:rsidR="00610AEB" w:rsidRPr="00610AEB" w:rsidRDefault="00610AEB" w:rsidP="00610AEB">
            <w:pPr>
              <w:jc w:val="both"/>
              <w:rPr>
                <w:sz w:val="20"/>
                <w:lang w:val="fr-CA"/>
              </w:rPr>
            </w:pPr>
            <w:r w:rsidRPr="00610AEB">
              <w:rPr>
                <w:sz w:val="20"/>
                <w:lang w:val="fr-CA"/>
              </w:rPr>
              <w:t xml:space="preserve">(Juges Watt, </w:t>
            </w:r>
            <w:proofErr w:type="spellStart"/>
            <w:r w:rsidRPr="00610AEB">
              <w:rPr>
                <w:sz w:val="20"/>
                <w:lang w:val="fr-CA"/>
              </w:rPr>
              <w:t>Lauwers</w:t>
            </w:r>
            <w:proofErr w:type="spellEnd"/>
            <w:r w:rsidRPr="00610AEB">
              <w:rPr>
                <w:sz w:val="20"/>
                <w:lang w:val="fr-CA"/>
              </w:rPr>
              <w:t xml:space="preserve"> et Miller)</w:t>
            </w:r>
          </w:p>
          <w:p w:rsidR="00610AEB" w:rsidRPr="00610AEB" w:rsidRDefault="00610AEB" w:rsidP="00610AEB">
            <w:pPr>
              <w:jc w:val="both"/>
              <w:rPr>
                <w:sz w:val="20"/>
              </w:rPr>
            </w:pPr>
            <w:r w:rsidRPr="00610AEB">
              <w:rPr>
                <w:sz w:val="20"/>
              </w:rPr>
              <w:t>2017 ONCA 38; C55487</w:t>
            </w:r>
          </w:p>
          <w:p w:rsidR="00610AEB" w:rsidRPr="00610AEB" w:rsidRDefault="007153A4" w:rsidP="00610AEB">
            <w:pPr>
              <w:jc w:val="both"/>
              <w:rPr>
                <w:rStyle w:val="documentstaticurl"/>
                <w:sz w:val="20"/>
              </w:rPr>
            </w:pPr>
            <w:hyperlink r:id="rId26" w:history="1">
              <w:r w:rsidR="00610AEB" w:rsidRPr="00610AEB">
                <w:rPr>
                  <w:rStyle w:val="Hyperlink"/>
                  <w:sz w:val="20"/>
                </w:rPr>
                <w:t>http://canlii.ca/t/gwz9j</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Octroi de l’autorisation d’interjeter appel de la peine et rejet des appels formés contre la déclaration de culpabilité</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26 mai 2017</w:t>
            </w:r>
          </w:p>
          <w:p w:rsidR="00610AEB" w:rsidRPr="00610AEB" w:rsidRDefault="00610AEB" w:rsidP="00610AEB">
            <w:pPr>
              <w:jc w:val="both"/>
              <w:rPr>
                <w:sz w:val="20"/>
                <w:lang w:val="fr-CA"/>
              </w:rPr>
            </w:pPr>
            <w:r w:rsidRPr="00610AEB">
              <w:rPr>
                <w:sz w:val="20"/>
                <w:lang w:val="fr-CA"/>
              </w:rPr>
              <w:t>Cour suprême du Canada</w:t>
            </w: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 xml:space="preserve">Dépôt de la requête en prorogation du délai pour signifier et déposer la demande d’autorisation d’appel ainsi que de la demande d’autorisation d’appel </w:t>
            </w:r>
          </w:p>
        </w:tc>
      </w:tr>
    </w:tbl>
    <w:p w:rsidR="00610AEB" w:rsidRPr="00610AEB" w:rsidRDefault="00610AEB" w:rsidP="00610AEB">
      <w:pPr>
        <w:jc w:val="both"/>
        <w:rPr>
          <w:sz w:val="20"/>
          <w:lang w:val="fr-CA"/>
        </w:rPr>
      </w:pPr>
    </w:p>
    <w:p w:rsidR="00610AEB" w:rsidRPr="00610AEB" w:rsidRDefault="00610AEB" w:rsidP="00610AEB">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37669</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I.J. v. J.A.M., S.C.M.I.</w:t>
            </w:r>
          </w:p>
          <w:p w:rsidR="00610AEB" w:rsidRPr="00610AEB" w:rsidRDefault="00610AEB" w:rsidP="00610AEB">
            <w:pPr>
              <w:jc w:val="both"/>
              <w:rPr>
                <w:sz w:val="20"/>
              </w:rPr>
            </w:pPr>
            <w:r w:rsidRPr="00610AEB">
              <w:rPr>
                <w:sz w:val="20"/>
              </w:rPr>
              <w:t>(B.C.) (Civil) (By Leave)</w:t>
            </w:r>
          </w:p>
        </w:tc>
      </w:tr>
      <w:tr w:rsidR="00610AEB" w:rsidRPr="00610AEB" w:rsidTr="00E95A6A">
        <w:tc>
          <w:tcPr>
            <w:tcW w:w="5000" w:type="pct"/>
            <w:gridSpan w:val="4"/>
          </w:tcPr>
          <w:p w:rsidR="00610AEB" w:rsidRPr="00610AEB" w:rsidRDefault="00610AEB" w:rsidP="00610AEB">
            <w:pPr>
              <w:pStyle w:val="SCCBanSummary"/>
              <w:rPr>
                <w:sz w:val="20"/>
                <w:szCs w:val="20"/>
              </w:rPr>
            </w:pPr>
            <w:r w:rsidRPr="00610AEB">
              <w:rPr>
                <w:sz w:val="20"/>
                <w:szCs w:val="20"/>
              </w:rPr>
              <w:t>(Publication ban in case) (Publication ban on party) (Court file contains information that is not available for inspection by the public)</w:t>
            </w:r>
          </w:p>
          <w:p w:rsidR="00610AEB" w:rsidRPr="00610AEB" w:rsidRDefault="00610AEB" w:rsidP="00610AEB">
            <w:pPr>
              <w:jc w:val="both"/>
              <w:rPr>
                <w:sz w:val="20"/>
              </w:rPr>
            </w:pPr>
          </w:p>
        </w:tc>
      </w:tr>
      <w:tr w:rsidR="00610AEB" w:rsidRPr="00610AEB" w:rsidTr="00E95A6A">
        <w:tc>
          <w:tcPr>
            <w:tcW w:w="5000" w:type="pct"/>
            <w:gridSpan w:val="4"/>
          </w:tcPr>
          <w:p w:rsidR="00610AEB" w:rsidRPr="00610AEB" w:rsidRDefault="00610AEB" w:rsidP="00610AEB">
            <w:pPr>
              <w:jc w:val="both"/>
              <w:rPr>
                <w:sz w:val="20"/>
              </w:rPr>
            </w:pPr>
            <w:r w:rsidRPr="00610AEB">
              <w:rPr>
                <w:sz w:val="20"/>
              </w:rPr>
              <w:t xml:space="preserve">Judgments and orders – Reasons – Applicant’s civil action against respondents alleging, </w:t>
            </w:r>
            <w:r w:rsidRPr="00610AEB">
              <w:rPr>
                <w:i/>
                <w:sz w:val="20"/>
              </w:rPr>
              <w:t>inter alia</w:t>
            </w:r>
            <w:r w:rsidRPr="00610AEB">
              <w:rPr>
                <w:sz w:val="20"/>
              </w:rPr>
              <w:t>, sexual assault, sexual harassment, breach of contract and breach of settlement agreement dismissed – Whether Court of Appeal heard applicant’s three appeals on their merits – Whether trial judge changed meaning and performance of contract – Whether trial judge improperly assessed credibility of witnesses – Whether lower courts cited non-existing orders, removed evidence, and changed meaning of conditional release – Whether trial judge erred in making costs award</w:t>
            </w:r>
          </w:p>
          <w:p w:rsidR="00610AEB" w:rsidRPr="00610AEB" w:rsidRDefault="00610AEB" w:rsidP="00610AEB">
            <w:pPr>
              <w:jc w:val="both"/>
              <w:rPr>
                <w:sz w:val="20"/>
              </w:rPr>
            </w:pPr>
          </w:p>
        </w:tc>
      </w:tr>
      <w:tr w:rsidR="00610AEB" w:rsidRPr="00610AEB" w:rsidTr="00E95A6A">
        <w:tc>
          <w:tcPr>
            <w:tcW w:w="5000" w:type="pct"/>
            <w:gridSpan w:val="4"/>
          </w:tcPr>
          <w:p w:rsidR="00610AEB" w:rsidRPr="00610AEB" w:rsidRDefault="00610AEB" w:rsidP="00610AEB">
            <w:pPr>
              <w:jc w:val="both"/>
              <w:rPr>
                <w:sz w:val="20"/>
              </w:rPr>
            </w:pPr>
            <w:r w:rsidRPr="00610AEB">
              <w:rPr>
                <w:sz w:val="20"/>
              </w:rPr>
              <w:t>Following the termination of her employment with S.C.M.I. as chief information officer in 2009, I.J. entered into a settlement agreement that provided her with a severance package. She executed a general release in favour of S.C.M.I. and J.A.M., its president and chief executive officer, regarding any liability arising from her employment. I.J. later filed an action in the Supreme Court of British Columbia making claims relating to her employment at S.C.M.I including allegations of sexual assault, sexual harassment, breach of contract and breach of the terms of the settlement agreement.</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December 15, 2014</w:t>
            </w:r>
          </w:p>
          <w:p w:rsidR="00610AEB" w:rsidRPr="00610AEB" w:rsidRDefault="00610AEB" w:rsidP="00610AEB">
            <w:pPr>
              <w:jc w:val="both"/>
              <w:rPr>
                <w:sz w:val="20"/>
              </w:rPr>
            </w:pPr>
            <w:r w:rsidRPr="00610AEB">
              <w:rPr>
                <w:sz w:val="20"/>
              </w:rPr>
              <w:t>Supreme Court of British Columbia</w:t>
            </w:r>
          </w:p>
          <w:p w:rsidR="00610AEB" w:rsidRPr="00610AEB" w:rsidRDefault="00610AEB" w:rsidP="00610AEB">
            <w:pPr>
              <w:jc w:val="both"/>
              <w:rPr>
                <w:sz w:val="20"/>
              </w:rPr>
            </w:pPr>
            <w:r w:rsidRPr="00610AEB">
              <w:rPr>
                <w:sz w:val="20"/>
              </w:rPr>
              <w:t>(</w:t>
            </w:r>
            <w:proofErr w:type="spellStart"/>
            <w:r w:rsidRPr="00610AEB">
              <w:rPr>
                <w:sz w:val="20"/>
              </w:rPr>
              <w:t>Burnyeat</w:t>
            </w:r>
            <w:proofErr w:type="spellEnd"/>
            <w:r w:rsidRPr="00610AEB">
              <w:rPr>
                <w:sz w:val="20"/>
              </w:rPr>
              <w:t xml:space="preserve"> J.)</w:t>
            </w:r>
          </w:p>
          <w:p w:rsidR="00610AEB" w:rsidRPr="00610AEB" w:rsidRDefault="00610AEB" w:rsidP="00610AEB">
            <w:pPr>
              <w:jc w:val="both"/>
              <w:rPr>
                <w:sz w:val="20"/>
              </w:rPr>
            </w:pPr>
            <w:r w:rsidRPr="00610AEB">
              <w:rPr>
                <w:sz w:val="20"/>
              </w:rPr>
              <w:t>2014 BCSC 2372</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Applicant’s action against respondents dismissed</w:t>
            </w:r>
          </w:p>
          <w:p w:rsidR="00610AEB" w:rsidRPr="00610AEB" w:rsidRDefault="00610AEB" w:rsidP="00610AEB">
            <w:pPr>
              <w:jc w:val="both"/>
              <w:rPr>
                <w:sz w:val="20"/>
              </w:rPr>
            </w:pP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July 23, 2015</w:t>
            </w:r>
          </w:p>
          <w:p w:rsidR="00610AEB" w:rsidRPr="00610AEB" w:rsidRDefault="00610AEB" w:rsidP="00610AEB">
            <w:pPr>
              <w:jc w:val="both"/>
              <w:rPr>
                <w:sz w:val="20"/>
              </w:rPr>
            </w:pPr>
            <w:r w:rsidRPr="00610AEB">
              <w:rPr>
                <w:sz w:val="20"/>
              </w:rPr>
              <w:t>Supreme Court of British Columbia</w:t>
            </w:r>
          </w:p>
          <w:p w:rsidR="00610AEB" w:rsidRPr="00610AEB" w:rsidRDefault="00610AEB" w:rsidP="00610AEB">
            <w:pPr>
              <w:jc w:val="both"/>
              <w:rPr>
                <w:sz w:val="20"/>
              </w:rPr>
            </w:pPr>
            <w:r w:rsidRPr="00610AEB">
              <w:rPr>
                <w:sz w:val="20"/>
              </w:rPr>
              <w:t>(</w:t>
            </w:r>
            <w:proofErr w:type="spellStart"/>
            <w:r w:rsidRPr="00610AEB">
              <w:rPr>
                <w:sz w:val="20"/>
              </w:rPr>
              <w:t>Burnyeat</w:t>
            </w:r>
            <w:proofErr w:type="spellEnd"/>
            <w:r w:rsidRPr="00610AEB">
              <w:rPr>
                <w:sz w:val="20"/>
              </w:rPr>
              <w:t xml:space="preserve"> J.)</w:t>
            </w:r>
          </w:p>
          <w:p w:rsidR="00610AEB" w:rsidRPr="00610AEB" w:rsidRDefault="00610AEB" w:rsidP="00610AEB">
            <w:pPr>
              <w:jc w:val="both"/>
              <w:rPr>
                <w:sz w:val="20"/>
              </w:rPr>
            </w:pPr>
            <w:r w:rsidRPr="00610AEB">
              <w:rPr>
                <w:sz w:val="20"/>
              </w:rPr>
              <w:t>Unreported</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Costs award against applicant</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lastRenderedPageBreak/>
              <w:t>September 28, 2015</w:t>
            </w:r>
          </w:p>
          <w:p w:rsidR="00610AEB" w:rsidRPr="00610AEB" w:rsidRDefault="00610AEB" w:rsidP="00610AEB">
            <w:pPr>
              <w:jc w:val="both"/>
              <w:rPr>
                <w:sz w:val="20"/>
              </w:rPr>
            </w:pPr>
            <w:r w:rsidRPr="00610AEB">
              <w:rPr>
                <w:sz w:val="20"/>
              </w:rPr>
              <w:t>Supreme Court of British Columbia</w:t>
            </w:r>
          </w:p>
          <w:p w:rsidR="00610AEB" w:rsidRPr="00610AEB" w:rsidRDefault="00610AEB" w:rsidP="00610AEB">
            <w:pPr>
              <w:jc w:val="both"/>
              <w:rPr>
                <w:sz w:val="20"/>
              </w:rPr>
            </w:pPr>
            <w:r w:rsidRPr="00610AEB">
              <w:rPr>
                <w:sz w:val="20"/>
              </w:rPr>
              <w:t>(</w:t>
            </w:r>
            <w:proofErr w:type="spellStart"/>
            <w:r w:rsidRPr="00610AEB">
              <w:rPr>
                <w:sz w:val="20"/>
              </w:rPr>
              <w:t>Burnyeat</w:t>
            </w:r>
            <w:proofErr w:type="spellEnd"/>
            <w:r w:rsidRPr="00610AEB">
              <w:rPr>
                <w:sz w:val="20"/>
              </w:rPr>
              <w:t xml:space="preserve"> J.)</w:t>
            </w:r>
          </w:p>
          <w:p w:rsidR="00610AEB" w:rsidRPr="00610AEB" w:rsidRDefault="00610AEB" w:rsidP="00610AEB">
            <w:pPr>
              <w:jc w:val="both"/>
              <w:rPr>
                <w:sz w:val="20"/>
              </w:rPr>
            </w:pPr>
            <w:r w:rsidRPr="00610AEB">
              <w:rPr>
                <w:sz w:val="20"/>
              </w:rPr>
              <w:t>Unreported</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Order clarifying that S.C.M.I. to restore original listings relating to applicant on its website for a period of one year after final disposition of Court of Appeal</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February 28, 2017</w:t>
            </w:r>
          </w:p>
          <w:p w:rsidR="00610AEB" w:rsidRPr="00610AEB" w:rsidRDefault="00610AEB" w:rsidP="00610AEB">
            <w:pPr>
              <w:jc w:val="both"/>
              <w:rPr>
                <w:sz w:val="20"/>
              </w:rPr>
            </w:pPr>
            <w:r w:rsidRPr="00610AEB">
              <w:rPr>
                <w:sz w:val="20"/>
              </w:rPr>
              <w:t xml:space="preserve">Court of Appeal for British Columbia </w:t>
            </w:r>
          </w:p>
          <w:p w:rsidR="00610AEB" w:rsidRPr="00610AEB" w:rsidRDefault="00610AEB" w:rsidP="00610AEB">
            <w:pPr>
              <w:jc w:val="both"/>
              <w:rPr>
                <w:sz w:val="20"/>
              </w:rPr>
            </w:pPr>
            <w:r w:rsidRPr="00610AEB">
              <w:rPr>
                <w:sz w:val="20"/>
              </w:rPr>
              <w:t>(Vancouver)</w:t>
            </w:r>
          </w:p>
          <w:p w:rsidR="00610AEB" w:rsidRPr="00610AEB" w:rsidRDefault="00610AEB" w:rsidP="00610AEB">
            <w:pPr>
              <w:jc w:val="both"/>
              <w:rPr>
                <w:sz w:val="20"/>
              </w:rPr>
            </w:pPr>
            <w:r w:rsidRPr="00610AEB">
              <w:rPr>
                <w:sz w:val="20"/>
              </w:rPr>
              <w:t>(Frankel, Harris and Savage JJ.A.)</w:t>
            </w:r>
          </w:p>
          <w:p w:rsidR="00610AEB" w:rsidRPr="00610AEB" w:rsidRDefault="00610AEB" w:rsidP="00610AEB">
            <w:pPr>
              <w:jc w:val="both"/>
              <w:rPr>
                <w:sz w:val="20"/>
              </w:rPr>
            </w:pPr>
            <w:r w:rsidRPr="00610AEB">
              <w:rPr>
                <w:sz w:val="20"/>
              </w:rPr>
              <w:t>2017 BCCA 95</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Applicant’s appeal dismissed</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April 27, 2017</w:t>
            </w:r>
          </w:p>
          <w:p w:rsidR="00610AEB" w:rsidRPr="00610AEB" w:rsidRDefault="00610AEB" w:rsidP="00610AEB">
            <w:pPr>
              <w:jc w:val="both"/>
              <w:rPr>
                <w:sz w:val="20"/>
              </w:rPr>
            </w:pPr>
            <w:r w:rsidRPr="00610AEB">
              <w:rPr>
                <w:sz w:val="20"/>
              </w:rPr>
              <w:t>Supreme Court of Canada</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Application for leave to appeal and related motions filed</w:t>
            </w:r>
          </w:p>
        </w:tc>
      </w:tr>
    </w:tbl>
    <w:p w:rsidR="00610AEB" w:rsidRDefault="00610AEB" w:rsidP="00610AEB">
      <w:pPr>
        <w:jc w:val="both"/>
        <w:rPr>
          <w:sz w:val="20"/>
        </w:rPr>
      </w:pPr>
    </w:p>
    <w:p w:rsidR="00B10D6D" w:rsidRPr="00610AEB" w:rsidRDefault="00B10D6D" w:rsidP="00610A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7153A4" w:rsidTr="00E95A6A">
        <w:tc>
          <w:tcPr>
            <w:tcW w:w="543" w:type="pct"/>
          </w:tcPr>
          <w:p w:rsidR="00610AEB" w:rsidRPr="00610AEB" w:rsidRDefault="00610AEB" w:rsidP="00610AEB">
            <w:pPr>
              <w:jc w:val="both"/>
              <w:rPr>
                <w:sz w:val="20"/>
              </w:rPr>
            </w:pPr>
            <w:r w:rsidRPr="00610AEB">
              <w:rPr>
                <w:rStyle w:val="SCCFileNumberChar"/>
                <w:sz w:val="20"/>
                <w:szCs w:val="20"/>
              </w:rPr>
              <w:t>37669</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I.J. c. J.A.M., S.C.M.I.</w:t>
            </w:r>
          </w:p>
          <w:p w:rsidR="00610AEB" w:rsidRPr="00610AEB" w:rsidRDefault="00610AEB" w:rsidP="00610AEB">
            <w:pPr>
              <w:jc w:val="both"/>
              <w:rPr>
                <w:sz w:val="20"/>
                <w:lang w:val="fr-CA"/>
              </w:rPr>
            </w:pPr>
            <w:r w:rsidRPr="00610AEB">
              <w:rPr>
                <w:sz w:val="20"/>
                <w:lang w:val="fr-CA"/>
              </w:rPr>
              <w:t>(C.-B.) (Civile) (Sur autorisation)</w:t>
            </w:r>
          </w:p>
        </w:tc>
      </w:tr>
      <w:tr w:rsidR="00610AEB" w:rsidRPr="007153A4" w:rsidTr="00E95A6A">
        <w:tc>
          <w:tcPr>
            <w:tcW w:w="5000" w:type="pct"/>
            <w:gridSpan w:val="4"/>
          </w:tcPr>
          <w:p w:rsidR="00610AEB" w:rsidRPr="00610AEB" w:rsidRDefault="00610AEB" w:rsidP="00610AEB">
            <w:pPr>
              <w:pStyle w:val="SCCBanSummary"/>
              <w:rPr>
                <w:sz w:val="20"/>
                <w:szCs w:val="20"/>
                <w:lang w:val="fr-CA"/>
              </w:rPr>
            </w:pPr>
            <w:r w:rsidRPr="00610AEB">
              <w:rPr>
                <w:sz w:val="20"/>
                <w:szCs w:val="20"/>
                <w:lang w:val="fr-CA"/>
              </w:rPr>
              <w:t>(Ordonnance de non-publication dans le dossier) (Ordonnance de non-publication visant une partie) (Le dossier de la cour renferme des données que le public n’est pas autorisé à consulter)</w:t>
            </w:r>
          </w:p>
          <w:p w:rsidR="00610AEB" w:rsidRPr="00610AEB" w:rsidRDefault="00610AEB" w:rsidP="00610AEB">
            <w:pPr>
              <w:jc w:val="both"/>
              <w:rPr>
                <w:sz w:val="20"/>
                <w:lang w:val="fr-CA"/>
              </w:rPr>
            </w:pP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Jugements et ordonnances – Motifs – Rejet de l’action civile intentée par la demanderesse contre les intimés pour, entre autres, agression sexuelle, harcèlement sexuel, rupture de contrat et violation de la convention de règlement – La Cour d’appel a-t-elle entendu les trois appels de la demanderesse sur le fond? – Le juge de première instance a-t-il modifié le sens et l’exécution du contrat? – Le juge de première instance a-t-il mal évalué la crédibilité des témoins? – Les juridictions inférieures ont-elles cité des ordonnances inexistantes, écarté des éléments de preuve et modifié le sens de la décharge conditionnelle? – Le juge de première instance a-t-il commis une erreur en adjugeant les dépens? </w:t>
            </w:r>
          </w:p>
          <w:p w:rsidR="00610AEB" w:rsidRPr="00610AEB" w:rsidRDefault="00610AEB" w:rsidP="00610AEB">
            <w:pPr>
              <w:jc w:val="both"/>
              <w:rPr>
                <w:sz w:val="20"/>
                <w:lang w:val="fr-CA"/>
              </w:rPr>
            </w:pP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Après la cessation de son emploi chez S.C.M.I. en tant qu’agente d’information en chef en 2009, I.J. a conclu une convention de règlement qui lui accordait une indemnité de départ. Elle a signé une décharge générale de responsabilité en faveur de S.C.M.I. et de J.A.M., son président et directeur général, à l’égard de l’emploi </w:t>
            </w:r>
            <w:proofErr w:type="gramStart"/>
            <w:r w:rsidRPr="00610AEB">
              <w:rPr>
                <w:sz w:val="20"/>
                <w:lang w:val="fr-CA"/>
              </w:rPr>
              <w:t>de I.J</w:t>
            </w:r>
            <w:proofErr w:type="gramEnd"/>
            <w:r w:rsidRPr="00610AEB">
              <w:rPr>
                <w:sz w:val="20"/>
                <w:lang w:val="fr-CA"/>
              </w:rPr>
              <w:t>. Cette dernière a par la suite intenté en Cour suprême de la Colombie-Britannique une action dans laquelle elle fait des prétentions concernant son emploi chez S.C.M.I, notamment des allégations d’agression sexuelle, de harcèlement sexuel, de rupture de contrat et de violation de la convention de règlement.</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15 décembre 2014</w:t>
            </w:r>
          </w:p>
          <w:p w:rsidR="00610AEB" w:rsidRPr="00610AEB" w:rsidRDefault="00610AEB" w:rsidP="00610AEB">
            <w:pPr>
              <w:jc w:val="both"/>
              <w:rPr>
                <w:sz w:val="20"/>
                <w:lang w:val="fr-CA"/>
              </w:rPr>
            </w:pPr>
            <w:r w:rsidRPr="00610AEB">
              <w:rPr>
                <w:sz w:val="20"/>
                <w:lang w:val="fr-CA"/>
              </w:rPr>
              <w:t>Cour suprême de la Colombie-Britannique</w:t>
            </w:r>
          </w:p>
          <w:p w:rsidR="00610AEB" w:rsidRPr="00610AEB" w:rsidRDefault="00610AEB" w:rsidP="00610AEB">
            <w:pPr>
              <w:jc w:val="both"/>
              <w:rPr>
                <w:sz w:val="20"/>
              </w:rPr>
            </w:pPr>
            <w:r w:rsidRPr="00610AEB">
              <w:rPr>
                <w:sz w:val="20"/>
              </w:rPr>
              <w:t>(Juge Burnyeat)</w:t>
            </w:r>
          </w:p>
          <w:p w:rsidR="00610AEB" w:rsidRPr="00610AEB" w:rsidRDefault="00610AEB" w:rsidP="00610AEB">
            <w:pPr>
              <w:jc w:val="both"/>
              <w:rPr>
                <w:sz w:val="20"/>
              </w:rPr>
            </w:pPr>
            <w:r w:rsidRPr="00610AEB">
              <w:rPr>
                <w:sz w:val="20"/>
              </w:rPr>
              <w:t>2014 BCSC 2372</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Rejet de l’action intentée par la demanderesse contre les intimés</w:t>
            </w:r>
          </w:p>
          <w:p w:rsidR="00610AEB" w:rsidRPr="00610AEB" w:rsidRDefault="00610AEB" w:rsidP="00610AEB">
            <w:pPr>
              <w:jc w:val="both"/>
              <w:rPr>
                <w:sz w:val="20"/>
                <w:lang w:val="fr-CA"/>
              </w:rPr>
            </w:pP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23 juillet 2015</w:t>
            </w:r>
          </w:p>
          <w:p w:rsidR="00610AEB" w:rsidRPr="00610AEB" w:rsidRDefault="00610AEB" w:rsidP="00610AEB">
            <w:pPr>
              <w:jc w:val="both"/>
              <w:rPr>
                <w:sz w:val="20"/>
                <w:lang w:val="fr-CA"/>
              </w:rPr>
            </w:pPr>
            <w:r w:rsidRPr="00610AEB">
              <w:rPr>
                <w:sz w:val="20"/>
                <w:lang w:val="fr-CA"/>
              </w:rPr>
              <w:t>Cour suprême de la Colombie-Britannique</w:t>
            </w:r>
          </w:p>
          <w:p w:rsidR="00610AEB" w:rsidRPr="00610AEB" w:rsidRDefault="00610AEB" w:rsidP="00610AEB">
            <w:pPr>
              <w:jc w:val="both"/>
              <w:rPr>
                <w:sz w:val="20"/>
              </w:rPr>
            </w:pPr>
            <w:r w:rsidRPr="00610AEB">
              <w:rPr>
                <w:sz w:val="20"/>
              </w:rPr>
              <w:t>(Juge Burnyeat)</w:t>
            </w:r>
          </w:p>
          <w:p w:rsidR="00610AEB" w:rsidRPr="00610AEB" w:rsidRDefault="00610AEB" w:rsidP="00610AEB">
            <w:pPr>
              <w:jc w:val="both"/>
              <w:rPr>
                <w:sz w:val="20"/>
              </w:rPr>
            </w:pPr>
            <w:r w:rsidRPr="00610AEB">
              <w:rPr>
                <w:sz w:val="20"/>
              </w:rPr>
              <w:t>Non publiée</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Condamnation de la demanderesse aux dépens</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28 septembre 2015</w:t>
            </w:r>
          </w:p>
          <w:p w:rsidR="00610AEB" w:rsidRPr="00610AEB" w:rsidRDefault="00610AEB" w:rsidP="00610AEB">
            <w:pPr>
              <w:jc w:val="both"/>
              <w:rPr>
                <w:sz w:val="20"/>
                <w:lang w:val="fr-CA"/>
              </w:rPr>
            </w:pPr>
            <w:r w:rsidRPr="00610AEB">
              <w:rPr>
                <w:sz w:val="20"/>
                <w:lang w:val="fr-CA"/>
              </w:rPr>
              <w:t>Cour suprême de la Colombie-Britannique</w:t>
            </w:r>
          </w:p>
          <w:p w:rsidR="00610AEB" w:rsidRPr="00610AEB" w:rsidRDefault="00610AEB" w:rsidP="00610AEB">
            <w:pPr>
              <w:jc w:val="both"/>
              <w:rPr>
                <w:sz w:val="20"/>
              </w:rPr>
            </w:pPr>
            <w:r w:rsidRPr="00610AEB">
              <w:rPr>
                <w:sz w:val="20"/>
              </w:rPr>
              <w:t>(Juge Burnyeat)</w:t>
            </w:r>
          </w:p>
          <w:p w:rsidR="00610AEB" w:rsidRPr="00610AEB" w:rsidRDefault="00610AEB" w:rsidP="00610AEB">
            <w:pPr>
              <w:jc w:val="both"/>
              <w:rPr>
                <w:sz w:val="20"/>
              </w:rPr>
            </w:pPr>
            <w:r w:rsidRPr="00610AEB">
              <w:rPr>
                <w:sz w:val="20"/>
              </w:rPr>
              <w:t>Non publiée</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Ordonnance précisant que S.C.M.I. doit rétablir les inscriptions initiales liées à la demanderesse sur son site Web durant l’année qui suit la décision définitive de la Cour d’appel</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28 février 2017</w:t>
            </w:r>
          </w:p>
          <w:p w:rsidR="00610AEB" w:rsidRPr="00610AEB" w:rsidRDefault="00610AEB" w:rsidP="00610AEB">
            <w:pPr>
              <w:jc w:val="both"/>
              <w:rPr>
                <w:sz w:val="20"/>
                <w:lang w:val="fr-CA"/>
              </w:rPr>
            </w:pPr>
            <w:r w:rsidRPr="00610AEB">
              <w:rPr>
                <w:sz w:val="20"/>
                <w:lang w:val="fr-CA"/>
              </w:rPr>
              <w:t xml:space="preserve">Cour d’appel de la Colombie-Britannique </w:t>
            </w:r>
          </w:p>
          <w:p w:rsidR="00610AEB" w:rsidRPr="00610AEB" w:rsidRDefault="00610AEB" w:rsidP="00610AEB">
            <w:pPr>
              <w:jc w:val="both"/>
              <w:rPr>
                <w:sz w:val="20"/>
                <w:lang w:val="fr-CA"/>
              </w:rPr>
            </w:pPr>
            <w:r w:rsidRPr="00610AEB">
              <w:rPr>
                <w:sz w:val="20"/>
                <w:lang w:val="fr-CA"/>
              </w:rPr>
              <w:t>(Vancouver)</w:t>
            </w:r>
          </w:p>
          <w:p w:rsidR="00610AEB" w:rsidRPr="00610AEB" w:rsidRDefault="00610AEB" w:rsidP="00610AEB">
            <w:pPr>
              <w:jc w:val="both"/>
              <w:rPr>
                <w:sz w:val="20"/>
                <w:lang w:val="fr-CA"/>
              </w:rPr>
            </w:pPr>
            <w:r w:rsidRPr="00610AEB">
              <w:rPr>
                <w:sz w:val="20"/>
                <w:lang w:val="fr-CA"/>
              </w:rPr>
              <w:lastRenderedPageBreak/>
              <w:t xml:space="preserve">(Juges </w:t>
            </w:r>
            <w:proofErr w:type="spellStart"/>
            <w:r w:rsidRPr="00610AEB">
              <w:rPr>
                <w:sz w:val="20"/>
                <w:lang w:val="fr-CA"/>
              </w:rPr>
              <w:t>Frankel</w:t>
            </w:r>
            <w:proofErr w:type="spellEnd"/>
            <w:r w:rsidRPr="00610AEB">
              <w:rPr>
                <w:sz w:val="20"/>
                <w:lang w:val="fr-CA"/>
              </w:rPr>
              <w:t>, Harris et Savage)</w:t>
            </w:r>
          </w:p>
          <w:p w:rsidR="00610AEB" w:rsidRPr="00610AEB" w:rsidRDefault="00610AEB" w:rsidP="00610AEB">
            <w:pPr>
              <w:jc w:val="both"/>
              <w:rPr>
                <w:sz w:val="20"/>
              </w:rPr>
            </w:pPr>
            <w:r w:rsidRPr="00610AEB">
              <w:rPr>
                <w:sz w:val="20"/>
              </w:rPr>
              <w:t>2017 BCCA 95</w:t>
            </w:r>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Rejet de l’appel de la demanderesse</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27 avril 2017</w:t>
            </w:r>
          </w:p>
          <w:p w:rsidR="00610AEB" w:rsidRPr="00610AEB" w:rsidRDefault="00610AEB" w:rsidP="00610AEB">
            <w:pPr>
              <w:jc w:val="both"/>
              <w:rPr>
                <w:sz w:val="20"/>
                <w:lang w:val="fr-CA"/>
              </w:rPr>
            </w:pPr>
            <w:r w:rsidRPr="00610AEB">
              <w:rPr>
                <w:sz w:val="20"/>
                <w:lang w:val="fr-CA"/>
              </w:rPr>
              <w:t>Cour suprême du Canada</w:t>
            </w: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Dépôt de la demande d’autorisation d’appel et des requêtes connexes</w:t>
            </w:r>
          </w:p>
        </w:tc>
      </w:tr>
    </w:tbl>
    <w:p w:rsidR="00610AEB" w:rsidRPr="00610AEB" w:rsidRDefault="00610AEB" w:rsidP="00610AEB">
      <w:pPr>
        <w:jc w:val="both"/>
        <w:rPr>
          <w:sz w:val="20"/>
          <w:lang w:val="fr-CA"/>
        </w:rPr>
      </w:pPr>
    </w:p>
    <w:p w:rsidR="00610AEB" w:rsidRPr="00610AEB" w:rsidRDefault="00610AEB" w:rsidP="00610AEB">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37572</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 xml:space="preserve">Wayne </w:t>
            </w:r>
            <w:proofErr w:type="spellStart"/>
            <w:r w:rsidRPr="00B10D6D">
              <w:rPr>
                <w:b/>
                <w:sz w:val="20"/>
                <w:szCs w:val="20"/>
                <w:lang w:val="en-US"/>
              </w:rPr>
              <w:t>Mikkelsen</w:t>
            </w:r>
            <w:proofErr w:type="spellEnd"/>
            <w:r w:rsidRPr="00B10D6D">
              <w:rPr>
                <w:b/>
                <w:sz w:val="20"/>
                <w:szCs w:val="20"/>
                <w:lang w:val="en-US"/>
              </w:rPr>
              <w:t xml:space="preserve">, Colin Wade </w:t>
            </w:r>
            <w:proofErr w:type="spellStart"/>
            <w:r w:rsidRPr="00B10D6D">
              <w:rPr>
                <w:b/>
                <w:sz w:val="20"/>
                <w:szCs w:val="20"/>
                <w:lang w:val="en-US"/>
              </w:rPr>
              <w:t>Mikkelsen</w:t>
            </w:r>
            <w:proofErr w:type="spellEnd"/>
            <w:r w:rsidRPr="00B10D6D">
              <w:rPr>
                <w:b/>
                <w:sz w:val="20"/>
                <w:szCs w:val="20"/>
                <w:lang w:val="en-US"/>
              </w:rPr>
              <w:t xml:space="preserve">, </w:t>
            </w:r>
            <w:proofErr w:type="spellStart"/>
            <w:r w:rsidRPr="00B10D6D">
              <w:rPr>
                <w:b/>
                <w:sz w:val="20"/>
                <w:szCs w:val="20"/>
                <w:lang w:val="en-US"/>
              </w:rPr>
              <w:t>Meghen</w:t>
            </w:r>
            <w:proofErr w:type="spellEnd"/>
            <w:r w:rsidRPr="00B10D6D">
              <w:rPr>
                <w:b/>
                <w:sz w:val="20"/>
                <w:szCs w:val="20"/>
                <w:lang w:val="en-US"/>
              </w:rPr>
              <w:t xml:space="preserve"> </w:t>
            </w:r>
            <w:proofErr w:type="spellStart"/>
            <w:r w:rsidRPr="00B10D6D">
              <w:rPr>
                <w:b/>
                <w:sz w:val="20"/>
                <w:szCs w:val="20"/>
                <w:lang w:val="en-US"/>
              </w:rPr>
              <w:t>Anine</w:t>
            </w:r>
            <w:proofErr w:type="spellEnd"/>
            <w:r w:rsidRPr="00B10D6D">
              <w:rPr>
                <w:b/>
                <w:sz w:val="20"/>
                <w:szCs w:val="20"/>
                <w:lang w:val="en-US"/>
              </w:rPr>
              <w:t xml:space="preserve"> </w:t>
            </w:r>
            <w:proofErr w:type="spellStart"/>
            <w:r w:rsidRPr="00B10D6D">
              <w:rPr>
                <w:b/>
                <w:sz w:val="20"/>
                <w:szCs w:val="20"/>
                <w:lang w:val="en-US"/>
              </w:rPr>
              <w:t>Mikkelsen</w:t>
            </w:r>
            <w:proofErr w:type="spellEnd"/>
            <w:r w:rsidRPr="00B10D6D">
              <w:rPr>
                <w:b/>
                <w:sz w:val="20"/>
                <w:szCs w:val="20"/>
                <w:lang w:val="en-US"/>
              </w:rPr>
              <w:t xml:space="preserve">, Alana Denise </w:t>
            </w:r>
            <w:proofErr w:type="spellStart"/>
            <w:r w:rsidRPr="00B10D6D">
              <w:rPr>
                <w:b/>
                <w:sz w:val="20"/>
                <w:szCs w:val="20"/>
                <w:lang w:val="en-US"/>
              </w:rPr>
              <w:t>Mikkelsen</w:t>
            </w:r>
            <w:proofErr w:type="spellEnd"/>
            <w:r w:rsidRPr="00B10D6D">
              <w:rPr>
                <w:b/>
                <w:sz w:val="20"/>
                <w:szCs w:val="20"/>
                <w:lang w:val="en-US"/>
              </w:rPr>
              <w:t xml:space="preserve"> v. Truman Development Corporation</w:t>
            </w:r>
          </w:p>
          <w:p w:rsidR="00610AEB" w:rsidRPr="00610AEB" w:rsidRDefault="00610AEB" w:rsidP="00610AEB">
            <w:pPr>
              <w:jc w:val="both"/>
              <w:rPr>
                <w:sz w:val="20"/>
              </w:rPr>
            </w:pPr>
            <w:r w:rsidRPr="00610AEB">
              <w:rPr>
                <w:sz w:val="20"/>
              </w:rPr>
              <w:t>(Alta.) (Civil) (By Leave)</w:t>
            </w:r>
          </w:p>
        </w:tc>
      </w:tr>
      <w:tr w:rsidR="00610AEB" w:rsidRPr="00610AEB" w:rsidTr="00E95A6A">
        <w:tc>
          <w:tcPr>
            <w:tcW w:w="5000" w:type="pct"/>
            <w:gridSpan w:val="4"/>
          </w:tcPr>
          <w:p w:rsidR="00610AEB" w:rsidRPr="00610AEB" w:rsidRDefault="00610AEB" w:rsidP="00610AEB">
            <w:pPr>
              <w:jc w:val="both"/>
              <w:rPr>
                <w:sz w:val="20"/>
              </w:rPr>
            </w:pPr>
            <w:r w:rsidRPr="00610AEB">
              <w:rPr>
                <w:sz w:val="20"/>
              </w:rPr>
              <w:t>Contracts – Commercial contracts – Unconscionability – Parties in disagreement over nature and effect of alleged agreements concerning development of land owned by applicants – What is the test for determining whether an agreement is unconscionable? – Is a realisable benefit an incontrovertible benefit? – Is a terminated contract a juristic reason barring unjust enrichment? – What must a court consider when determining whether a contract was formed?</w:t>
            </w:r>
          </w:p>
          <w:p w:rsidR="00610AEB" w:rsidRPr="00610AEB" w:rsidRDefault="00610AEB" w:rsidP="00610AEB">
            <w:pPr>
              <w:jc w:val="both"/>
              <w:rPr>
                <w:sz w:val="20"/>
              </w:rPr>
            </w:pPr>
          </w:p>
        </w:tc>
      </w:tr>
      <w:tr w:rsidR="00610AEB" w:rsidRPr="00610AEB" w:rsidTr="00B10D6D">
        <w:trPr>
          <w:trHeight w:val="4590"/>
        </w:trPr>
        <w:tc>
          <w:tcPr>
            <w:tcW w:w="5000" w:type="pct"/>
            <w:gridSpan w:val="4"/>
          </w:tcPr>
          <w:p w:rsidR="00610AEB" w:rsidRPr="00610AEB" w:rsidRDefault="00610AEB" w:rsidP="00610AEB">
            <w:pPr>
              <w:jc w:val="both"/>
              <w:rPr>
                <w:sz w:val="20"/>
                <w:lang w:val="en"/>
              </w:rPr>
            </w:pPr>
            <w:r w:rsidRPr="00610AEB">
              <w:rPr>
                <w:sz w:val="20"/>
              </w:rPr>
              <w:t>Mr. </w:t>
            </w:r>
            <w:proofErr w:type="spellStart"/>
            <w:r w:rsidRPr="00610AEB">
              <w:rPr>
                <w:sz w:val="20"/>
              </w:rPr>
              <w:t>Mikkelsen</w:t>
            </w:r>
            <w:proofErr w:type="spellEnd"/>
            <w:r w:rsidRPr="00610AEB">
              <w:rPr>
                <w:sz w:val="20"/>
                <w:lang w:val="en"/>
              </w:rPr>
              <w:t>, owned a section of land near Langdon, Alberta that his family had farmed for many years. He and the principal of Truman Development Corporation (“Truman”), Mr. </w:t>
            </w:r>
            <w:proofErr w:type="spellStart"/>
            <w:r w:rsidRPr="00610AEB">
              <w:rPr>
                <w:sz w:val="20"/>
                <w:lang w:val="en"/>
              </w:rPr>
              <w:t>Trutina</w:t>
            </w:r>
            <w:proofErr w:type="spellEnd"/>
            <w:r w:rsidRPr="00610AEB">
              <w:rPr>
                <w:sz w:val="20"/>
                <w:lang w:val="en"/>
              </w:rPr>
              <w:t xml:space="preserve">, met at the </w:t>
            </w:r>
            <w:proofErr w:type="spellStart"/>
            <w:r w:rsidRPr="00610AEB">
              <w:rPr>
                <w:sz w:val="20"/>
                <w:lang w:val="en"/>
              </w:rPr>
              <w:t>Mikkelsen</w:t>
            </w:r>
            <w:proofErr w:type="spellEnd"/>
            <w:r w:rsidRPr="00610AEB">
              <w:rPr>
                <w:sz w:val="20"/>
                <w:lang w:val="en"/>
              </w:rPr>
              <w:t xml:space="preserve"> farm in January, 2007, and signed the joint venture agreement that allegedly permitted Truman to develop the lands at a future date. Due to some deficiencies in that agreement, Mr. and Ms. </w:t>
            </w:r>
            <w:proofErr w:type="spellStart"/>
            <w:r w:rsidRPr="00610AEB">
              <w:rPr>
                <w:sz w:val="20"/>
                <w:lang w:val="en"/>
              </w:rPr>
              <w:t>Mikkelsen</w:t>
            </w:r>
            <w:proofErr w:type="spellEnd"/>
            <w:r w:rsidRPr="00610AEB">
              <w:rPr>
                <w:sz w:val="20"/>
                <w:lang w:val="en"/>
              </w:rPr>
              <w:t xml:space="preserve"> attended before a lawyer to re-sign the agreement a couple of weeks later. Truman filed caveats against the land. There were further discussions between the parties about Mr. </w:t>
            </w:r>
            <w:proofErr w:type="spellStart"/>
            <w:r w:rsidRPr="00610AEB">
              <w:rPr>
                <w:sz w:val="20"/>
                <w:lang w:val="en"/>
              </w:rPr>
              <w:t>Mikkelsen’s</w:t>
            </w:r>
            <w:proofErr w:type="spellEnd"/>
            <w:r w:rsidRPr="00610AEB">
              <w:rPr>
                <w:sz w:val="20"/>
                <w:lang w:val="en"/>
              </w:rPr>
              <w:t xml:space="preserve"> desire to roll the land over to himself and his three children. On December 10, 2007, the parties met again and signed a Termination Agreement which stated: “. . . the Joint Venture </w:t>
            </w:r>
            <w:proofErr w:type="gramStart"/>
            <w:r w:rsidRPr="00610AEB">
              <w:rPr>
                <w:sz w:val="20"/>
                <w:lang w:val="en"/>
              </w:rPr>
              <w:t>Agreement .</w:t>
            </w:r>
            <w:proofErr w:type="gramEnd"/>
            <w:r w:rsidRPr="00610AEB">
              <w:rPr>
                <w:sz w:val="20"/>
                <w:lang w:val="en"/>
              </w:rPr>
              <w:t> . . will be terminated as of this date and that the caveat in favor of Truman Development Corporation will be removed.” Not all of the caveats were removed by Truman. Mr. </w:t>
            </w:r>
            <w:proofErr w:type="spellStart"/>
            <w:r w:rsidRPr="00610AEB">
              <w:rPr>
                <w:sz w:val="20"/>
                <w:lang w:val="en"/>
              </w:rPr>
              <w:t>Mikkelsen</w:t>
            </w:r>
            <w:proofErr w:type="spellEnd"/>
            <w:r w:rsidRPr="00610AEB">
              <w:rPr>
                <w:sz w:val="20"/>
                <w:lang w:val="en"/>
              </w:rPr>
              <w:t xml:space="preserve"> did roll the lands over to himself and his three children. Mr. </w:t>
            </w:r>
            <w:proofErr w:type="spellStart"/>
            <w:r w:rsidRPr="00610AEB">
              <w:rPr>
                <w:sz w:val="20"/>
                <w:lang w:val="en"/>
              </w:rPr>
              <w:t>Trutina</w:t>
            </w:r>
            <w:proofErr w:type="spellEnd"/>
            <w:r w:rsidRPr="00610AEB">
              <w:rPr>
                <w:sz w:val="20"/>
                <w:lang w:val="en"/>
              </w:rPr>
              <w:t xml:space="preserve"> continued work on the potential planning, development, and subdivision of the Langdon and </w:t>
            </w:r>
            <w:proofErr w:type="spellStart"/>
            <w:r w:rsidRPr="00610AEB">
              <w:rPr>
                <w:sz w:val="20"/>
                <w:lang w:val="en"/>
              </w:rPr>
              <w:t>neighbouring</w:t>
            </w:r>
            <w:proofErr w:type="spellEnd"/>
            <w:r w:rsidRPr="00610AEB">
              <w:rPr>
                <w:sz w:val="20"/>
                <w:lang w:val="en"/>
              </w:rPr>
              <w:t xml:space="preserve"> lands. In 2011, Mr. </w:t>
            </w:r>
            <w:proofErr w:type="spellStart"/>
            <w:r w:rsidRPr="00610AEB">
              <w:rPr>
                <w:sz w:val="20"/>
                <w:lang w:val="en"/>
              </w:rPr>
              <w:t>Mikkelsen</w:t>
            </w:r>
            <w:proofErr w:type="spellEnd"/>
            <w:r w:rsidRPr="00610AEB">
              <w:rPr>
                <w:sz w:val="20"/>
                <w:lang w:val="en"/>
              </w:rPr>
              <w:t xml:space="preserve"> discovered that the caveats had not all been removed from his land and commenced an action. At trial, Mr. and Ms. </w:t>
            </w:r>
            <w:proofErr w:type="spellStart"/>
            <w:r w:rsidRPr="00610AEB">
              <w:rPr>
                <w:sz w:val="20"/>
                <w:lang w:val="en"/>
              </w:rPr>
              <w:t>Mikkelsen</w:t>
            </w:r>
            <w:proofErr w:type="spellEnd"/>
            <w:r w:rsidRPr="00610AEB">
              <w:rPr>
                <w:sz w:val="20"/>
                <w:lang w:val="en"/>
              </w:rPr>
              <w:t xml:space="preserve"> alleged that they did not understand the nature of the joint venture agreement, and that they signed the agreement thinking it was only a “working arrangement”. Mr. </w:t>
            </w:r>
            <w:proofErr w:type="spellStart"/>
            <w:r w:rsidRPr="00610AEB">
              <w:rPr>
                <w:sz w:val="20"/>
                <w:lang w:val="en"/>
              </w:rPr>
              <w:t>Trutina</w:t>
            </w:r>
            <w:proofErr w:type="spellEnd"/>
            <w:r w:rsidRPr="00610AEB">
              <w:rPr>
                <w:sz w:val="20"/>
                <w:lang w:val="en"/>
              </w:rPr>
              <w:t xml:space="preserve"> disclaimed the validity of the Termination Agreement on several ground, asserting that it was only executed to permit the rollover to the children, after which time the joint venture would remain in effect. Truman had spent $438,368.06 on the planning and pre-development of the Langdon and adjacent lands. The </w:t>
            </w:r>
            <w:proofErr w:type="spellStart"/>
            <w:r w:rsidRPr="00610AEB">
              <w:rPr>
                <w:sz w:val="20"/>
                <w:lang w:val="en"/>
              </w:rPr>
              <w:t>Mikkelsens</w:t>
            </w:r>
            <w:proofErr w:type="spellEnd"/>
            <w:r w:rsidRPr="00610AEB">
              <w:rPr>
                <w:sz w:val="20"/>
                <w:lang w:val="en"/>
              </w:rPr>
              <w:t xml:space="preserve"> sought to have the caveats removed from their property, to have the joint venture agreement declared invalid and the termination agreement enforced and damages. Truman counterclaimed for specific performance of the joint venture agreement, damages and to recover pre-development costs from the </w:t>
            </w:r>
            <w:proofErr w:type="spellStart"/>
            <w:r w:rsidRPr="00610AEB">
              <w:rPr>
                <w:sz w:val="20"/>
                <w:lang w:val="en"/>
              </w:rPr>
              <w:t>Mikkelsens</w:t>
            </w:r>
            <w:proofErr w:type="spellEnd"/>
            <w:r w:rsidRPr="00610AEB">
              <w:rPr>
                <w:sz w:val="20"/>
                <w:lang w:val="en"/>
              </w:rPr>
              <w:t xml:space="preserve"> it had incurred. </w:t>
            </w:r>
          </w:p>
          <w:p w:rsidR="00610AEB" w:rsidRPr="00610AEB" w:rsidRDefault="00610AEB" w:rsidP="00610AEB">
            <w:pPr>
              <w:jc w:val="both"/>
              <w:rPr>
                <w:sz w:val="20"/>
                <w:lang w:val="en"/>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February 3, 2016</w:t>
            </w:r>
          </w:p>
          <w:p w:rsidR="00610AEB" w:rsidRPr="00610AEB" w:rsidRDefault="00610AEB" w:rsidP="00610AEB">
            <w:pPr>
              <w:jc w:val="both"/>
              <w:rPr>
                <w:sz w:val="20"/>
              </w:rPr>
            </w:pPr>
            <w:r w:rsidRPr="00610AEB">
              <w:rPr>
                <w:sz w:val="20"/>
              </w:rPr>
              <w:t>Court of Queen’s Bench of Alberta</w:t>
            </w:r>
          </w:p>
          <w:p w:rsidR="00610AEB" w:rsidRPr="00610AEB" w:rsidRDefault="00610AEB" w:rsidP="00610AEB">
            <w:pPr>
              <w:jc w:val="both"/>
              <w:rPr>
                <w:sz w:val="20"/>
              </w:rPr>
            </w:pPr>
            <w:r w:rsidRPr="00610AEB">
              <w:rPr>
                <w:sz w:val="20"/>
              </w:rPr>
              <w:t>(</w:t>
            </w:r>
            <w:proofErr w:type="spellStart"/>
            <w:r w:rsidRPr="00610AEB">
              <w:rPr>
                <w:sz w:val="20"/>
              </w:rPr>
              <w:t>Erb</w:t>
            </w:r>
            <w:proofErr w:type="spellEnd"/>
            <w:r w:rsidRPr="00610AEB">
              <w:rPr>
                <w:sz w:val="20"/>
              </w:rPr>
              <w:t xml:space="preserve"> J.)</w:t>
            </w:r>
          </w:p>
          <w:p w:rsidR="00610AEB" w:rsidRPr="00610AEB" w:rsidRDefault="007153A4" w:rsidP="00610AEB">
            <w:pPr>
              <w:jc w:val="both"/>
              <w:rPr>
                <w:sz w:val="20"/>
              </w:rPr>
            </w:pPr>
            <w:hyperlink r:id="rId27" w:history="1">
              <w:r w:rsidR="00610AEB" w:rsidRPr="00610AEB">
                <w:rPr>
                  <w:rStyle w:val="Hyperlink"/>
                  <w:sz w:val="20"/>
                </w:rPr>
                <w:t>2016 ABQB 23</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Declaration that no binding contract formed between parties; Caveats registered against land ordered discharged; Respondent’s counterclaim to recover proportionate share of pre-development costs from applicant granted</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May 6, 2016</w:t>
            </w:r>
          </w:p>
          <w:p w:rsidR="00610AEB" w:rsidRPr="00610AEB" w:rsidRDefault="00610AEB" w:rsidP="00610AEB">
            <w:pPr>
              <w:jc w:val="both"/>
              <w:rPr>
                <w:sz w:val="20"/>
              </w:rPr>
            </w:pPr>
            <w:r w:rsidRPr="00610AEB">
              <w:rPr>
                <w:sz w:val="20"/>
              </w:rPr>
              <w:t>Court of Queen’s Bench of Alberta</w:t>
            </w:r>
          </w:p>
          <w:p w:rsidR="00610AEB" w:rsidRPr="00610AEB" w:rsidRDefault="00610AEB" w:rsidP="00610AEB">
            <w:pPr>
              <w:jc w:val="both"/>
              <w:rPr>
                <w:sz w:val="20"/>
              </w:rPr>
            </w:pPr>
            <w:r w:rsidRPr="00610AEB">
              <w:rPr>
                <w:sz w:val="20"/>
              </w:rPr>
              <w:t>(</w:t>
            </w:r>
            <w:proofErr w:type="spellStart"/>
            <w:r w:rsidRPr="00610AEB">
              <w:rPr>
                <w:sz w:val="20"/>
              </w:rPr>
              <w:t>Erb</w:t>
            </w:r>
            <w:proofErr w:type="spellEnd"/>
            <w:r w:rsidRPr="00610AEB">
              <w:rPr>
                <w:sz w:val="20"/>
              </w:rPr>
              <w:t xml:space="preserve"> J.)</w:t>
            </w:r>
          </w:p>
          <w:p w:rsidR="00610AEB" w:rsidRPr="00610AEB" w:rsidRDefault="007153A4" w:rsidP="00610AEB">
            <w:pPr>
              <w:jc w:val="both"/>
              <w:rPr>
                <w:rStyle w:val="Hyperlink"/>
                <w:sz w:val="20"/>
              </w:rPr>
            </w:pPr>
            <w:hyperlink r:id="rId28" w:history="1">
              <w:r w:rsidR="00610AEB" w:rsidRPr="00610AEB">
                <w:rPr>
                  <w:rStyle w:val="Hyperlink"/>
                  <w:sz w:val="20"/>
                </w:rPr>
                <w:t>2016 ABQB 255</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 xml:space="preserve">Applicants ordered to pay respondent $130,847.19 for pre-development costs; Applicants awarded trial costs of $200,000 </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March 24, 2017</w:t>
            </w:r>
          </w:p>
          <w:p w:rsidR="00610AEB" w:rsidRPr="00610AEB" w:rsidRDefault="00610AEB" w:rsidP="00610AEB">
            <w:pPr>
              <w:jc w:val="both"/>
              <w:rPr>
                <w:sz w:val="20"/>
              </w:rPr>
            </w:pPr>
            <w:r w:rsidRPr="00610AEB">
              <w:rPr>
                <w:sz w:val="20"/>
              </w:rPr>
              <w:t>Court of Appeal of Alberta (Calgary)</w:t>
            </w:r>
          </w:p>
          <w:p w:rsidR="00610AEB" w:rsidRPr="00610AEB" w:rsidRDefault="00610AEB" w:rsidP="00610AEB">
            <w:pPr>
              <w:jc w:val="both"/>
              <w:rPr>
                <w:sz w:val="20"/>
              </w:rPr>
            </w:pPr>
            <w:r w:rsidRPr="00610AEB">
              <w:rPr>
                <w:sz w:val="20"/>
              </w:rPr>
              <w:t xml:space="preserve">(Martin, </w:t>
            </w:r>
            <w:proofErr w:type="spellStart"/>
            <w:r w:rsidRPr="00610AEB">
              <w:rPr>
                <w:sz w:val="20"/>
              </w:rPr>
              <w:t>Slatter</w:t>
            </w:r>
            <w:proofErr w:type="spellEnd"/>
            <w:r w:rsidRPr="00610AEB">
              <w:rPr>
                <w:sz w:val="20"/>
              </w:rPr>
              <w:t xml:space="preserve"> and Veldhuis JJ.A.)</w:t>
            </w:r>
          </w:p>
          <w:p w:rsidR="00610AEB" w:rsidRPr="00610AEB" w:rsidRDefault="007153A4" w:rsidP="00610AEB">
            <w:pPr>
              <w:jc w:val="both"/>
              <w:rPr>
                <w:sz w:val="20"/>
              </w:rPr>
            </w:pPr>
            <w:hyperlink r:id="rId29" w:history="1">
              <w:r w:rsidR="00610AEB" w:rsidRPr="00610AEB">
                <w:rPr>
                  <w:rStyle w:val="Hyperlink"/>
                  <w:sz w:val="20"/>
                </w:rPr>
                <w:t>2017 ABCA 99</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Respondent’s appeal allowed in part; Award of pre-development costs increased to $264,750.89; Joint venture agreement held to be valid and binding, but terminated; Appeal from costs award dismissed</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May 23, 2017</w:t>
            </w:r>
          </w:p>
          <w:p w:rsidR="00610AEB" w:rsidRPr="00610AEB" w:rsidRDefault="00610AEB" w:rsidP="00610AEB">
            <w:pPr>
              <w:jc w:val="both"/>
              <w:rPr>
                <w:sz w:val="20"/>
              </w:rPr>
            </w:pPr>
            <w:r w:rsidRPr="00610AEB">
              <w:rPr>
                <w:sz w:val="20"/>
              </w:rPr>
              <w:lastRenderedPageBreak/>
              <w:t>Supreme Court of Canada</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Application for leave to appeal filed</w:t>
            </w:r>
          </w:p>
          <w:p w:rsidR="00610AEB" w:rsidRPr="00610AEB" w:rsidRDefault="00610AEB" w:rsidP="00610AEB">
            <w:pPr>
              <w:jc w:val="both"/>
              <w:rPr>
                <w:sz w:val="20"/>
              </w:rPr>
            </w:pPr>
          </w:p>
        </w:tc>
      </w:tr>
    </w:tbl>
    <w:p w:rsidR="00610AEB" w:rsidRDefault="00610AEB" w:rsidP="00610AEB">
      <w:pPr>
        <w:jc w:val="both"/>
        <w:rPr>
          <w:sz w:val="20"/>
        </w:rPr>
      </w:pPr>
    </w:p>
    <w:p w:rsidR="00B10D6D" w:rsidRPr="00610AEB" w:rsidRDefault="00B10D6D" w:rsidP="00610A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37572</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 xml:space="preserve">Wayne </w:t>
            </w:r>
            <w:proofErr w:type="spellStart"/>
            <w:r w:rsidRPr="00B10D6D">
              <w:rPr>
                <w:b/>
                <w:sz w:val="20"/>
                <w:szCs w:val="20"/>
                <w:lang w:val="en-US"/>
              </w:rPr>
              <w:t>Mikkelsen</w:t>
            </w:r>
            <w:proofErr w:type="spellEnd"/>
            <w:r w:rsidRPr="00B10D6D">
              <w:rPr>
                <w:b/>
                <w:sz w:val="20"/>
                <w:szCs w:val="20"/>
                <w:lang w:val="en-US"/>
              </w:rPr>
              <w:t xml:space="preserve">, Colin Wade </w:t>
            </w:r>
            <w:proofErr w:type="spellStart"/>
            <w:r w:rsidRPr="00B10D6D">
              <w:rPr>
                <w:b/>
                <w:sz w:val="20"/>
                <w:szCs w:val="20"/>
                <w:lang w:val="en-US"/>
              </w:rPr>
              <w:t>Mikkelsen</w:t>
            </w:r>
            <w:proofErr w:type="spellEnd"/>
            <w:r w:rsidRPr="00B10D6D">
              <w:rPr>
                <w:b/>
                <w:sz w:val="20"/>
                <w:szCs w:val="20"/>
                <w:lang w:val="en-US"/>
              </w:rPr>
              <w:t xml:space="preserve">, </w:t>
            </w:r>
            <w:proofErr w:type="spellStart"/>
            <w:r w:rsidRPr="00B10D6D">
              <w:rPr>
                <w:b/>
                <w:sz w:val="20"/>
                <w:szCs w:val="20"/>
                <w:lang w:val="en-US"/>
              </w:rPr>
              <w:t>Meghen</w:t>
            </w:r>
            <w:proofErr w:type="spellEnd"/>
            <w:r w:rsidRPr="00B10D6D">
              <w:rPr>
                <w:b/>
                <w:sz w:val="20"/>
                <w:szCs w:val="20"/>
                <w:lang w:val="en-US"/>
              </w:rPr>
              <w:t xml:space="preserve"> </w:t>
            </w:r>
            <w:proofErr w:type="spellStart"/>
            <w:r w:rsidRPr="00B10D6D">
              <w:rPr>
                <w:b/>
                <w:sz w:val="20"/>
                <w:szCs w:val="20"/>
                <w:lang w:val="en-US"/>
              </w:rPr>
              <w:t>Anine</w:t>
            </w:r>
            <w:proofErr w:type="spellEnd"/>
            <w:r w:rsidRPr="00B10D6D">
              <w:rPr>
                <w:b/>
                <w:sz w:val="20"/>
                <w:szCs w:val="20"/>
                <w:lang w:val="en-US"/>
              </w:rPr>
              <w:t xml:space="preserve"> </w:t>
            </w:r>
            <w:proofErr w:type="spellStart"/>
            <w:r w:rsidRPr="00B10D6D">
              <w:rPr>
                <w:b/>
                <w:sz w:val="20"/>
                <w:szCs w:val="20"/>
                <w:lang w:val="en-US"/>
              </w:rPr>
              <w:t>Mikkelsen</w:t>
            </w:r>
            <w:proofErr w:type="spellEnd"/>
            <w:r w:rsidRPr="00B10D6D">
              <w:rPr>
                <w:b/>
                <w:sz w:val="20"/>
                <w:szCs w:val="20"/>
                <w:lang w:val="en-US"/>
              </w:rPr>
              <w:t xml:space="preserve">, Alana Denise </w:t>
            </w:r>
            <w:proofErr w:type="spellStart"/>
            <w:r w:rsidRPr="00B10D6D">
              <w:rPr>
                <w:b/>
                <w:sz w:val="20"/>
                <w:szCs w:val="20"/>
                <w:lang w:val="en-US"/>
              </w:rPr>
              <w:t>Mikkelsen</w:t>
            </w:r>
            <w:proofErr w:type="spellEnd"/>
            <w:r w:rsidRPr="00B10D6D">
              <w:rPr>
                <w:b/>
                <w:sz w:val="20"/>
                <w:szCs w:val="20"/>
                <w:lang w:val="en-US"/>
              </w:rPr>
              <w:t xml:space="preserve"> c. Truman Development Corporation</w:t>
            </w:r>
          </w:p>
          <w:p w:rsidR="00610AEB" w:rsidRPr="00610AEB" w:rsidRDefault="00610AEB" w:rsidP="00610AEB">
            <w:pPr>
              <w:jc w:val="both"/>
              <w:rPr>
                <w:sz w:val="20"/>
              </w:rPr>
            </w:pPr>
            <w:r w:rsidRPr="00610AEB">
              <w:rPr>
                <w:sz w:val="20"/>
              </w:rPr>
              <w:t>(Alb.) (Civile) (Sur autorisation)</w:t>
            </w: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Contrats – Contrats commerciaux – Iniquité – Désaccord entre les parties sur la nature et l’effet de conventions alléguées relatives à l’aménagement d’un terrain appartenant aux demandeurs – Quel est le test applicable pour juger si une convention est inique? – Un bénéfice réalisable est-il un bénéfice irréfutable? – Un contrat résilié constitue-t-il un motif juridique excluant l’enrichissement sans cause? – Que doit prendre en considération le tribunal pour décider s’il y a eu formation d’un contrat?</w:t>
            </w:r>
          </w:p>
          <w:p w:rsidR="00610AEB" w:rsidRPr="00610AEB" w:rsidRDefault="00610AEB" w:rsidP="00610AEB">
            <w:pPr>
              <w:jc w:val="both"/>
              <w:rPr>
                <w:sz w:val="20"/>
                <w:lang w:val="fr-CA"/>
              </w:rPr>
            </w:pPr>
          </w:p>
        </w:tc>
      </w:tr>
      <w:tr w:rsidR="00610AEB" w:rsidRPr="007153A4" w:rsidTr="00B10D6D">
        <w:trPr>
          <w:trHeight w:val="5103"/>
        </w:trPr>
        <w:tc>
          <w:tcPr>
            <w:tcW w:w="5000" w:type="pct"/>
            <w:gridSpan w:val="4"/>
          </w:tcPr>
          <w:p w:rsidR="00610AEB" w:rsidRPr="00610AEB" w:rsidRDefault="00610AEB" w:rsidP="00610AEB">
            <w:pPr>
              <w:jc w:val="both"/>
              <w:rPr>
                <w:sz w:val="20"/>
                <w:lang w:val="fr-CA"/>
              </w:rPr>
            </w:pPr>
            <w:r w:rsidRPr="00610AEB">
              <w:rPr>
                <w:sz w:val="20"/>
                <w:lang w:val="fr-CA"/>
              </w:rPr>
              <w:t xml:space="preserve">Monsieur </w:t>
            </w:r>
            <w:proofErr w:type="spellStart"/>
            <w:r w:rsidRPr="00610AEB">
              <w:rPr>
                <w:sz w:val="20"/>
                <w:lang w:val="fr-CA"/>
              </w:rPr>
              <w:t>Mikkelsen</w:t>
            </w:r>
            <w:proofErr w:type="spellEnd"/>
            <w:r w:rsidRPr="00610AEB">
              <w:rPr>
                <w:sz w:val="20"/>
                <w:lang w:val="fr-CA"/>
              </w:rPr>
              <w:t xml:space="preserve"> était propriétaire d’une parcelle de terrain située près de Langdon, en Alberta, que sa famille avait cultivée depuis de nombreuses années. Lui et le directeur de Truman Development Corporation (« Truman »), M. Trutina, se sont rencontrés à la ferme des Mikkelsen en janvier 2007 et ont signé l’entente de coentreprise qui aurait permis à Truman d’aménager les terrains à l’avenir. À cause de certaines failles relevées dans cette entente, M. et M</w:t>
            </w:r>
            <w:r w:rsidRPr="00610AEB">
              <w:rPr>
                <w:sz w:val="20"/>
                <w:vertAlign w:val="superscript"/>
                <w:lang w:val="fr-CA"/>
              </w:rPr>
              <w:t>me</w:t>
            </w:r>
            <w:r w:rsidRPr="00610AEB">
              <w:rPr>
                <w:sz w:val="20"/>
                <w:lang w:val="fr-CA"/>
              </w:rPr>
              <w:t> </w:t>
            </w:r>
            <w:proofErr w:type="spellStart"/>
            <w:r w:rsidRPr="00610AEB">
              <w:rPr>
                <w:sz w:val="20"/>
                <w:lang w:val="fr-CA"/>
              </w:rPr>
              <w:t>Mikkelsen</w:t>
            </w:r>
            <w:proofErr w:type="spellEnd"/>
            <w:r w:rsidRPr="00610AEB">
              <w:rPr>
                <w:sz w:val="20"/>
                <w:lang w:val="fr-CA"/>
              </w:rPr>
              <w:t xml:space="preserve"> se sont présentés quelques semaines plus tard chez un avocat pour signer à nouveau l’entente. Truman a enregistré des caveats à l’égard du terrain. Les parties ont ensuite discuté du désir de M. </w:t>
            </w:r>
            <w:proofErr w:type="spellStart"/>
            <w:r w:rsidRPr="00610AEB">
              <w:rPr>
                <w:sz w:val="20"/>
                <w:lang w:val="fr-CA"/>
              </w:rPr>
              <w:t>Mikkelsen</w:t>
            </w:r>
            <w:proofErr w:type="spellEnd"/>
            <w:r w:rsidRPr="00610AEB">
              <w:rPr>
                <w:sz w:val="20"/>
                <w:lang w:val="fr-CA"/>
              </w:rPr>
              <w:t xml:space="preserve"> de céder le terrain à lui-même et à ses trois enfants. Le 10 décembre 2007, les parties se sont rencontrées encore une fois et ont signé un accord de résiliation qui prévoyait : « l’entente de coentreprise […] sera résilié à compter de la date d’aujourd’hui et le caveat en faveur de Truman </w:t>
            </w:r>
            <w:proofErr w:type="spellStart"/>
            <w:r w:rsidRPr="00610AEB">
              <w:rPr>
                <w:sz w:val="20"/>
                <w:lang w:val="fr-CA"/>
              </w:rPr>
              <w:t>Development</w:t>
            </w:r>
            <w:proofErr w:type="spellEnd"/>
            <w:r w:rsidRPr="00610AEB">
              <w:rPr>
                <w:sz w:val="20"/>
                <w:lang w:val="fr-CA"/>
              </w:rPr>
              <w:t xml:space="preserve"> Corporation sera retiré ». Aucun des </w:t>
            </w:r>
            <w:proofErr w:type="spellStart"/>
            <w:r w:rsidRPr="00610AEB">
              <w:rPr>
                <w:sz w:val="20"/>
                <w:lang w:val="fr-CA"/>
              </w:rPr>
              <w:t>caveats</w:t>
            </w:r>
            <w:proofErr w:type="spellEnd"/>
            <w:r w:rsidRPr="00610AEB">
              <w:rPr>
                <w:sz w:val="20"/>
                <w:lang w:val="fr-CA"/>
              </w:rPr>
              <w:t xml:space="preserve"> n’a été retiré par Truman. M. </w:t>
            </w:r>
            <w:proofErr w:type="spellStart"/>
            <w:r w:rsidRPr="00610AEB">
              <w:rPr>
                <w:sz w:val="20"/>
                <w:lang w:val="fr-CA"/>
              </w:rPr>
              <w:t>Mikkelsen</w:t>
            </w:r>
            <w:proofErr w:type="spellEnd"/>
            <w:r w:rsidRPr="00610AEB">
              <w:rPr>
                <w:sz w:val="20"/>
                <w:lang w:val="fr-CA"/>
              </w:rPr>
              <w:t xml:space="preserve"> a effectivement cédé les terrains à lui-même et à ses trois enfants. M. </w:t>
            </w:r>
            <w:proofErr w:type="spellStart"/>
            <w:r w:rsidRPr="00610AEB">
              <w:rPr>
                <w:sz w:val="20"/>
                <w:lang w:val="fr-CA"/>
              </w:rPr>
              <w:t>Trutina</w:t>
            </w:r>
            <w:proofErr w:type="spellEnd"/>
            <w:r w:rsidRPr="00610AEB">
              <w:rPr>
                <w:sz w:val="20"/>
                <w:lang w:val="fr-CA"/>
              </w:rPr>
              <w:t xml:space="preserve"> a poursuivi le travail de planification potentielle, d’aménagement et de lotissement du terrain de Langdon et des terrains avoisinants. En 2011, M. Mikkelsen s’est rendu compte que les caveats n’avaient pas du tout été retirés de son terrain et il a intenté une action. Au procès, M. et M</w:t>
            </w:r>
            <w:r w:rsidRPr="00610AEB">
              <w:rPr>
                <w:sz w:val="20"/>
                <w:vertAlign w:val="superscript"/>
                <w:lang w:val="fr-CA"/>
              </w:rPr>
              <w:t>me</w:t>
            </w:r>
            <w:r w:rsidRPr="00610AEB">
              <w:rPr>
                <w:sz w:val="20"/>
                <w:lang w:val="fr-CA"/>
              </w:rPr>
              <w:t xml:space="preserve"> Mikkelsen ont prétendu qu’ils ne saisissaient pas la nature de l’entente de coentreprise et qu’ils l’avaient signée en croyant qu’il s’agissait seulement d’une « entente de travail ». M. Trutina a nié la validité de l’accord de résiliation pour plusieurs motifs, affirmant qu’il n’a été signé que pour permettre la cession aux enfants, après quoi l’entente de coentreprise resterait en vigueur. Truman avait dépensé 438 368,06 $ sur la planification et l’aménagement préalable du terrain de Langdon et des terrains adjacents. Les Mikkelsen ont cherché à faire retirer les caveats de leur propriété, à faire déclarer l’entente de coentreprise invalide, à faire exécuter l’accord de résiliation et à obtenir des dommages-intérêts. Truman a présenté une demande reconventionnelle pour obtenir l’exécution en nature de l’entente de coentreprise, des dommages-intérêts et récupérer auprès des Mikkelsen les frais préalables à l’aménagement qu’il avait engagés.  </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3 février 2016</w:t>
            </w:r>
          </w:p>
          <w:p w:rsidR="00610AEB" w:rsidRPr="00610AEB" w:rsidRDefault="00610AEB" w:rsidP="00610AEB">
            <w:pPr>
              <w:jc w:val="both"/>
              <w:rPr>
                <w:sz w:val="20"/>
                <w:lang w:val="fr-CA"/>
              </w:rPr>
            </w:pPr>
            <w:r w:rsidRPr="00610AEB">
              <w:rPr>
                <w:sz w:val="20"/>
                <w:lang w:val="fr-CA"/>
              </w:rPr>
              <w:t>Cour du Banc de la Reine de l’Alberta</w:t>
            </w:r>
          </w:p>
          <w:p w:rsidR="00610AEB" w:rsidRPr="00610AEB" w:rsidRDefault="00610AEB" w:rsidP="00610AEB">
            <w:pPr>
              <w:jc w:val="both"/>
              <w:rPr>
                <w:sz w:val="20"/>
              </w:rPr>
            </w:pPr>
            <w:r w:rsidRPr="00610AEB">
              <w:rPr>
                <w:sz w:val="20"/>
              </w:rPr>
              <w:t>(Juge Erb)</w:t>
            </w:r>
          </w:p>
          <w:p w:rsidR="00610AEB" w:rsidRPr="00610AEB" w:rsidRDefault="007153A4" w:rsidP="00610AEB">
            <w:pPr>
              <w:jc w:val="both"/>
              <w:rPr>
                <w:sz w:val="20"/>
              </w:rPr>
            </w:pPr>
            <w:hyperlink r:id="rId30" w:history="1">
              <w:r w:rsidR="00610AEB" w:rsidRPr="00610AEB">
                <w:rPr>
                  <w:rStyle w:val="Hyperlink"/>
                  <w:sz w:val="20"/>
                </w:rPr>
                <w:t>2016 ABQB 23</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 xml:space="preserve">Jugement déclaratoire portant qu’aucun contrat exécutoire n’a été formé entre les parties; levée des caveats enregistrés à l’égard du terrain; demande reconventionnelle de l’intimé en vue de  récupérer auprès du demandeur une part proportionnelle des frais préalables à l’aménagement accueillie </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6 mai 2016</w:t>
            </w:r>
          </w:p>
          <w:p w:rsidR="00610AEB" w:rsidRPr="00610AEB" w:rsidRDefault="00610AEB" w:rsidP="00610AEB">
            <w:pPr>
              <w:jc w:val="both"/>
              <w:rPr>
                <w:sz w:val="20"/>
                <w:lang w:val="fr-CA"/>
              </w:rPr>
            </w:pPr>
            <w:r w:rsidRPr="00610AEB">
              <w:rPr>
                <w:sz w:val="20"/>
                <w:lang w:val="fr-CA"/>
              </w:rPr>
              <w:t>Cour du Banc de la Reine de l’Alberta</w:t>
            </w:r>
          </w:p>
          <w:p w:rsidR="00610AEB" w:rsidRPr="00610AEB" w:rsidRDefault="00610AEB" w:rsidP="00610AEB">
            <w:pPr>
              <w:jc w:val="both"/>
              <w:rPr>
                <w:sz w:val="20"/>
              </w:rPr>
            </w:pPr>
            <w:r w:rsidRPr="00610AEB">
              <w:rPr>
                <w:sz w:val="20"/>
              </w:rPr>
              <w:t>(Juge Erb)</w:t>
            </w:r>
          </w:p>
          <w:p w:rsidR="00610AEB" w:rsidRPr="00610AEB" w:rsidRDefault="007153A4" w:rsidP="00610AEB">
            <w:pPr>
              <w:jc w:val="both"/>
              <w:rPr>
                <w:rStyle w:val="Hyperlink"/>
                <w:sz w:val="20"/>
              </w:rPr>
            </w:pPr>
            <w:hyperlink r:id="rId31" w:history="1">
              <w:r w:rsidR="00610AEB" w:rsidRPr="00610AEB">
                <w:rPr>
                  <w:rStyle w:val="Hyperlink"/>
                  <w:sz w:val="20"/>
                </w:rPr>
                <w:t>2016 ABQB 255</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 xml:space="preserve">Demandeurs tenus de verser à l’intimée 130 847,19 $ en frais préalables à l’aménagement; adjudication aux demandeurs de 200 000 $ en dépens pour le procès </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24 mars 2017</w:t>
            </w:r>
          </w:p>
          <w:p w:rsidR="00610AEB" w:rsidRPr="00610AEB" w:rsidRDefault="00610AEB" w:rsidP="00610AEB">
            <w:pPr>
              <w:jc w:val="both"/>
              <w:rPr>
                <w:sz w:val="20"/>
                <w:lang w:val="fr-CA"/>
              </w:rPr>
            </w:pPr>
            <w:r w:rsidRPr="00610AEB">
              <w:rPr>
                <w:sz w:val="20"/>
                <w:lang w:val="fr-CA"/>
              </w:rPr>
              <w:t>Cour d’appel de l’Alberta (Calgary)</w:t>
            </w:r>
          </w:p>
          <w:p w:rsidR="00610AEB" w:rsidRPr="00610AEB" w:rsidRDefault="00610AEB" w:rsidP="00610AEB">
            <w:pPr>
              <w:jc w:val="both"/>
              <w:rPr>
                <w:sz w:val="20"/>
                <w:lang w:val="fr-CA"/>
              </w:rPr>
            </w:pPr>
            <w:r w:rsidRPr="00610AEB">
              <w:rPr>
                <w:sz w:val="20"/>
                <w:lang w:val="fr-CA"/>
              </w:rPr>
              <w:t>(Juges Martin, Slatter et Veldhuis)</w:t>
            </w:r>
          </w:p>
          <w:p w:rsidR="00610AEB" w:rsidRPr="00610AEB" w:rsidRDefault="007153A4" w:rsidP="00610AEB">
            <w:pPr>
              <w:jc w:val="both"/>
              <w:rPr>
                <w:sz w:val="20"/>
              </w:rPr>
            </w:pPr>
            <w:hyperlink r:id="rId32" w:history="1">
              <w:r w:rsidR="00610AEB" w:rsidRPr="00610AEB">
                <w:rPr>
                  <w:rStyle w:val="Hyperlink"/>
                  <w:sz w:val="20"/>
                </w:rPr>
                <w:t>2017 ABCA 99</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lang w:val="fr-CA"/>
              </w:rPr>
            </w:pPr>
            <w:r w:rsidRPr="00610AEB">
              <w:rPr>
                <w:sz w:val="20"/>
                <w:lang w:val="fr-CA"/>
              </w:rPr>
              <w:t>Appel de l’intimée accueilli en partie; augmentation des frais préalables à l’aménagement à 264 750,89 $; entente de coentreprise jugée valide et exécutoire, mais résiliée; rejet de l’appel formé contre les dépens adjugés</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lastRenderedPageBreak/>
              <w:t>23 mai 2017</w:t>
            </w:r>
          </w:p>
          <w:p w:rsidR="00610AEB" w:rsidRPr="00610AEB" w:rsidRDefault="00610AEB" w:rsidP="00610AEB">
            <w:pPr>
              <w:jc w:val="both"/>
              <w:rPr>
                <w:sz w:val="20"/>
                <w:lang w:val="fr-CA"/>
              </w:rPr>
            </w:pPr>
            <w:r w:rsidRPr="00610AEB">
              <w:rPr>
                <w:sz w:val="20"/>
                <w:lang w:val="fr-CA"/>
              </w:rPr>
              <w:t>Cour suprême du Canada</w:t>
            </w: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 xml:space="preserve">Dépôt de la demande d’autorisation d’appel </w:t>
            </w:r>
          </w:p>
          <w:p w:rsidR="00610AEB" w:rsidRPr="00610AEB" w:rsidRDefault="00610AEB" w:rsidP="00610AEB">
            <w:pPr>
              <w:jc w:val="both"/>
              <w:rPr>
                <w:sz w:val="20"/>
                <w:lang w:val="fr-CA"/>
              </w:rPr>
            </w:pPr>
          </w:p>
        </w:tc>
      </w:tr>
    </w:tbl>
    <w:p w:rsidR="00610AEB" w:rsidRPr="00610AEB" w:rsidRDefault="00610AEB" w:rsidP="00610AEB">
      <w:pPr>
        <w:jc w:val="both"/>
        <w:rPr>
          <w:sz w:val="20"/>
          <w:lang w:val="fr-CA"/>
        </w:rPr>
      </w:pPr>
    </w:p>
    <w:p w:rsidR="00610AEB" w:rsidRPr="00610AEB" w:rsidRDefault="00610AEB" w:rsidP="00610AEB">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rPr>
            </w:pPr>
            <w:r w:rsidRPr="00610AEB">
              <w:rPr>
                <w:rStyle w:val="SCCFileNumberChar"/>
                <w:sz w:val="20"/>
                <w:szCs w:val="20"/>
              </w:rPr>
              <w:t>37594</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David Barer v. Knight Brothers LLC</w:t>
            </w:r>
          </w:p>
          <w:p w:rsidR="00610AEB" w:rsidRPr="00610AEB" w:rsidRDefault="00610AEB" w:rsidP="00B10D6D">
            <w:pPr>
              <w:jc w:val="both"/>
              <w:rPr>
                <w:sz w:val="20"/>
              </w:rPr>
            </w:pPr>
            <w:r w:rsidRPr="00610AEB">
              <w:rPr>
                <w:sz w:val="20"/>
              </w:rPr>
              <w:t>(Que.) (Civil) (By Leave)</w:t>
            </w:r>
          </w:p>
        </w:tc>
      </w:tr>
      <w:tr w:rsidR="00610AEB" w:rsidRPr="00610AEB" w:rsidTr="00E95A6A">
        <w:tc>
          <w:tcPr>
            <w:tcW w:w="5000" w:type="pct"/>
            <w:gridSpan w:val="4"/>
          </w:tcPr>
          <w:p w:rsidR="00610AEB" w:rsidRPr="00610AEB" w:rsidRDefault="00610AEB" w:rsidP="00610AEB">
            <w:pPr>
              <w:jc w:val="both"/>
              <w:rPr>
                <w:sz w:val="20"/>
              </w:rPr>
            </w:pPr>
            <w:r w:rsidRPr="00610AEB">
              <w:rPr>
                <w:sz w:val="20"/>
              </w:rPr>
              <w:t xml:space="preserve">Private international law – Foreign judgments – Enforcement – </w:t>
            </w:r>
            <w:r w:rsidRPr="00610AEB">
              <w:rPr>
                <w:iCs/>
                <w:sz w:val="20"/>
                <w:lang w:val="en-GB"/>
              </w:rPr>
              <w:t xml:space="preserve">Jurisdiction of foreign authorities – </w:t>
            </w:r>
            <w:r w:rsidRPr="00610AEB">
              <w:rPr>
                <w:sz w:val="20"/>
              </w:rPr>
              <w:t xml:space="preserve">To what extent can a person, residing and domiciled in Québec, raise certain substantive legal issues within, and in support of, a motion to contest the jurisdiction of a foreign court where he is being sued, without being considered to have submitted to the jurisdiction of that foreign court under article 3168(6) of the </w:t>
            </w:r>
            <w:r w:rsidRPr="00610AEB">
              <w:rPr>
                <w:i/>
                <w:sz w:val="20"/>
              </w:rPr>
              <w:t>Civil Code of Québec</w:t>
            </w:r>
            <w:r w:rsidRPr="00610AEB">
              <w:rPr>
                <w:sz w:val="20"/>
              </w:rPr>
              <w:t xml:space="preserve">? – How should the requirement in article 3164 of the </w:t>
            </w:r>
            <w:r w:rsidRPr="00610AEB">
              <w:rPr>
                <w:i/>
                <w:sz w:val="20"/>
              </w:rPr>
              <w:t>Civil Code of Québec</w:t>
            </w:r>
            <w:r w:rsidRPr="00610AEB">
              <w:rPr>
                <w:sz w:val="20"/>
              </w:rPr>
              <w:t xml:space="preserve"> that the foreign dispute be “substantially connected” with the foreign jurisdiction be applied in respect of a defendant who may have “submitted to the jurisdiction” of the foreign jurisdiction (article 3168(6) of the </w:t>
            </w:r>
            <w:r w:rsidRPr="00610AEB">
              <w:rPr>
                <w:i/>
                <w:sz w:val="20"/>
              </w:rPr>
              <w:t>Civil Code of Québec</w:t>
            </w:r>
            <w:r w:rsidRPr="00610AEB">
              <w:rPr>
                <w:sz w:val="20"/>
              </w:rPr>
              <w:t xml:space="preserve">), as well as in respect of the other provisions of article 3168 of the </w:t>
            </w:r>
            <w:r w:rsidRPr="00610AEB">
              <w:rPr>
                <w:i/>
                <w:sz w:val="20"/>
              </w:rPr>
              <w:t>Civil Code of Québec</w:t>
            </w:r>
            <w:r w:rsidRPr="00610AEB">
              <w:rPr>
                <w:sz w:val="20"/>
              </w:rPr>
              <w:t>?</w:t>
            </w:r>
          </w:p>
        </w:tc>
      </w:tr>
      <w:tr w:rsidR="00610AEB" w:rsidRPr="00610AEB" w:rsidTr="00E95A6A">
        <w:tc>
          <w:tcPr>
            <w:tcW w:w="5000" w:type="pct"/>
            <w:gridSpan w:val="4"/>
          </w:tcPr>
          <w:p w:rsidR="00610AEB" w:rsidRPr="00610AEB" w:rsidRDefault="00610AEB" w:rsidP="00610AEB">
            <w:pPr>
              <w:jc w:val="both"/>
              <w:rPr>
                <w:sz w:val="20"/>
              </w:rPr>
            </w:pPr>
          </w:p>
        </w:tc>
      </w:tr>
      <w:tr w:rsidR="00610AEB" w:rsidRPr="00610AEB" w:rsidTr="00E95A6A">
        <w:tc>
          <w:tcPr>
            <w:tcW w:w="5000" w:type="pct"/>
            <w:gridSpan w:val="4"/>
          </w:tcPr>
          <w:p w:rsidR="00610AEB" w:rsidRPr="00610AEB" w:rsidRDefault="00610AEB" w:rsidP="00610AEB">
            <w:pPr>
              <w:autoSpaceDE w:val="0"/>
              <w:autoSpaceDN w:val="0"/>
              <w:adjustRightInd w:val="0"/>
              <w:jc w:val="both"/>
              <w:rPr>
                <w:sz w:val="20"/>
              </w:rPr>
            </w:pPr>
            <w:r w:rsidRPr="00610AEB">
              <w:rPr>
                <w:sz w:val="20"/>
              </w:rPr>
              <w:t>The Applicant is a Canadian businessman residing and domiciled in Québec, who was operating a company based in Vermont (Barer Engineering Company of America, or “BEC”). The Respondent initiated legal proceedings before the United States District Court for the District of Utah (the “Utah Court”) against BEC and the Applicant personally, as well as a company based in Québec and run by the Applicant, for amounts claimed to be due under a contract. The Applicant made a motion to dismiss the lawsuit for lack of jurisdiction with respect to himself personally. The motion was dismissed and subsequently, on January 18, 2013, a default judgment was rendered against the Applicant. The Respondent thereafter sought recognition and enforcement against the Applicant of the judgment rendered by the Utah Court (the “Utah Judgment”).</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May 5, 2016</w:t>
            </w:r>
          </w:p>
          <w:p w:rsidR="00610AEB" w:rsidRPr="00610AEB" w:rsidRDefault="00610AEB" w:rsidP="00610AEB">
            <w:pPr>
              <w:jc w:val="both"/>
              <w:rPr>
                <w:sz w:val="20"/>
              </w:rPr>
            </w:pPr>
            <w:r w:rsidRPr="00610AEB">
              <w:rPr>
                <w:sz w:val="20"/>
              </w:rPr>
              <w:t>Superior Court of Quebec</w:t>
            </w:r>
          </w:p>
          <w:p w:rsidR="00610AEB" w:rsidRPr="00610AEB" w:rsidRDefault="00610AEB" w:rsidP="00610AEB">
            <w:pPr>
              <w:jc w:val="both"/>
              <w:rPr>
                <w:sz w:val="20"/>
              </w:rPr>
            </w:pPr>
            <w:r w:rsidRPr="00610AEB">
              <w:rPr>
                <w:sz w:val="20"/>
              </w:rPr>
              <w:t>(Blanchard J.)</w:t>
            </w:r>
          </w:p>
          <w:p w:rsidR="00610AEB" w:rsidRPr="00610AEB" w:rsidRDefault="00610AEB" w:rsidP="00610AEB">
            <w:pPr>
              <w:jc w:val="both"/>
              <w:rPr>
                <w:sz w:val="20"/>
              </w:rPr>
            </w:pPr>
            <w:r w:rsidRPr="00610AEB">
              <w:rPr>
                <w:sz w:val="20"/>
              </w:rPr>
              <w:t>No. 500-17-076332-132</w:t>
            </w:r>
          </w:p>
          <w:p w:rsidR="00610AEB" w:rsidRPr="00610AEB" w:rsidRDefault="007153A4" w:rsidP="00610AEB">
            <w:pPr>
              <w:jc w:val="both"/>
              <w:rPr>
                <w:sz w:val="20"/>
              </w:rPr>
            </w:pPr>
            <w:hyperlink r:id="rId33" w:history="1">
              <w:r w:rsidR="00610AEB" w:rsidRPr="00610AEB">
                <w:rPr>
                  <w:rStyle w:val="Hyperlink"/>
                  <w:sz w:val="20"/>
                </w:rPr>
                <w:t>2016 QCCS 3471</w:t>
              </w:r>
            </w:hyperlink>
          </w:p>
          <w:p w:rsidR="00610AEB" w:rsidRPr="00610AEB" w:rsidRDefault="00610AEB" w:rsidP="00610AEB">
            <w:pPr>
              <w:jc w:val="both"/>
              <w:rPr>
                <w:sz w:val="20"/>
              </w:rPr>
            </w:pP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Motion seeking recognition and enforcement against Applicant of Utah Judgment allowed.</w:t>
            </w:r>
          </w:p>
          <w:p w:rsidR="00610AEB" w:rsidRPr="00610AEB" w:rsidRDefault="00610AEB" w:rsidP="00610AEB">
            <w:pPr>
              <w:jc w:val="both"/>
              <w:rPr>
                <w:sz w:val="20"/>
              </w:rPr>
            </w:pP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August 29, 2016</w:t>
            </w:r>
          </w:p>
          <w:p w:rsidR="00610AEB" w:rsidRPr="00610AEB" w:rsidRDefault="00610AEB" w:rsidP="00610AEB">
            <w:pPr>
              <w:jc w:val="both"/>
              <w:rPr>
                <w:sz w:val="20"/>
              </w:rPr>
            </w:pPr>
            <w:r w:rsidRPr="00610AEB">
              <w:rPr>
                <w:sz w:val="20"/>
              </w:rPr>
              <w:t>Court of Appeal of Quebec (Montréal)</w:t>
            </w:r>
          </w:p>
          <w:p w:rsidR="00610AEB" w:rsidRPr="00610AEB" w:rsidRDefault="00610AEB" w:rsidP="00610AEB">
            <w:pPr>
              <w:jc w:val="both"/>
              <w:rPr>
                <w:sz w:val="20"/>
                <w:lang w:val="fr-CA"/>
              </w:rPr>
            </w:pPr>
            <w:r w:rsidRPr="00610AEB">
              <w:rPr>
                <w:sz w:val="20"/>
                <w:lang w:val="fr-CA"/>
              </w:rPr>
              <w:t xml:space="preserve">(Morissette, Gagnon and </w:t>
            </w:r>
            <w:proofErr w:type="spellStart"/>
            <w:r w:rsidRPr="00610AEB">
              <w:rPr>
                <w:sz w:val="20"/>
                <w:lang w:val="fr-CA"/>
              </w:rPr>
              <w:t>Hogue</w:t>
            </w:r>
            <w:proofErr w:type="spellEnd"/>
            <w:r w:rsidRPr="00610AEB">
              <w:rPr>
                <w:sz w:val="20"/>
                <w:lang w:val="fr-CA"/>
              </w:rPr>
              <w:t xml:space="preserve"> JJ.A.)</w:t>
            </w:r>
          </w:p>
          <w:p w:rsidR="00610AEB" w:rsidRPr="00610AEB" w:rsidRDefault="00610AEB" w:rsidP="00610AEB">
            <w:pPr>
              <w:jc w:val="both"/>
              <w:rPr>
                <w:sz w:val="20"/>
                <w:lang w:val="fr-CA"/>
              </w:rPr>
            </w:pPr>
            <w:r w:rsidRPr="00610AEB">
              <w:rPr>
                <w:sz w:val="20"/>
                <w:lang w:val="fr-CA"/>
              </w:rPr>
              <w:t xml:space="preserve">No. </w:t>
            </w:r>
            <w:r w:rsidRPr="00610AEB">
              <w:rPr>
                <w:sz w:val="20"/>
              </w:rPr>
              <w:t>500-09-026130-161</w:t>
            </w:r>
          </w:p>
          <w:p w:rsidR="00610AEB" w:rsidRPr="00610AEB" w:rsidRDefault="007153A4" w:rsidP="00610AEB">
            <w:pPr>
              <w:jc w:val="both"/>
              <w:rPr>
                <w:sz w:val="20"/>
              </w:rPr>
            </w:pPr>
            <w:hyperlink r:id="rId34" w:history="1">
              <w:r w:rsidR="00610AEB" w:rsidRPr="00610AEB">
                <w:rPr>
                  <w:rStyle w:val="Hyperlink"/>
                  <w:sz w:val="20"/>
                </w:rPr>
                <w:t>2016 QCCA 1400</w:t>
              </w:r>
            </w:hyperlink>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en"/>
              </w:rPr>
            </w:pPr>
            <w:r w:rsidRPr="00610AEB">
              <w:rPr>
                <w:sz w:val="20"/>
                <w:lang w:val="en"/>
              </w:rPr>
              <w:t>Motion seeking suretyship to guarantee payment of Applicant’s appeal ordered.</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May 5, 2017</w:t>
            </w:r>
          </w:p>
          <w:p w:rsidR="00610AEB" w:rsidRPr="00610AEB" w:rsidRDefault="00610AEB" w:rsidP="00610AEB">
            <w:pPr>
              <w:jc w:val="both"/>
              <w:rPr>
                <w:sz w:val="20"/>
              </w:rPr>
            </w:pPr>
            <w:r w:rsidRPr="00610AEB">
              <w:rPr>
                <w:sz w:val="20"/>
              </w:rPr>
              <w:t>Court of Appeal of Quebec (Montréal)</w:t>
            </w:r>
          </w:p>
          <w:p w:rsidR="00610AEB" w:rsidRPr="00610AEB" w:rsidRDefault="00610AEB" w:rsidP="00610AEB">
            <w:pPr>
              <w:jc w:val="both"/>
              <w:rPr>
                <w:sz w:val="20"/>
              </w:rPr>
            </w:pPr>
            <w:r w:rsidRPr="00610AEB">
              <w:rPr>
                <w:sz w:val="20"/>
              </w:rPr>
              <w:t>(</w:t>
            </w:r>
            <w:proofErr w:type="spellStart"/>
            <w:r w:rsidRPr="00610AEB">
              <w:rPr>
                <w:sz w:val="20"/>
              </w:rPr>
              <w:t>Vézina</w:t>
            </w:r>
            <w:proofErr w:type="spellEnd"/>
            <w:r w:rsidRPr="00610AEB">
              <w:rPr>
                <w:sz w:val="20"/>
              </w:rPr>
              <w:t xml:space="preserve">, </w:t>
            </w:r>
            <w:proofErr w:type="spellStart"/>
            <w:r w:rsidRPr="00610AEB">
              <w:rPr>
                <w:sz w:val="20"/>
              </w:rPr>
              <w:t>Mainville</w:t>
            </w:r>
            <w:proofErr w:type="spellEnd"/>
            <w:r w:rsidRPr="00610AEB">
              <w:rPr>
                <w:sz w:val="20"/>
              </w:rPr>
              <w:t xml:space="preserve"> and Jacques (</w:t>
            </w:r>
            <w:r w:rsidRPr="00610AEB">
              <w:rPr>
                <w:i/>
                <w:sz w:val="20"/>
              </w:rPr>
              <w:t>ad hoc</w:t>
            </w:r>
            <w:r w:rsidRPr="00610AEB">
              <w:rPr>
                <w:sz w:val="20"/>
              </w:rPr>
              <w:t>) JJ.A.)</w:t>
            </w:r>
          </w:p>
          <w:p w:rsidR="00610AEB" w:rsidRPr="00610AEB" w:rsidRDefault="00610AEB" w:rsidP="00610AEB">
            <w:pPr>
              <w:jc w:val="both"/>
              <w:rPr>
                <w:sz w:val="20"/>
                <w:lang w:val="fr-CA"/>
              </w:rPr>
            </w:pPr>
            <w:r w:rsidRPr="00610AEB">
              <w:rPr>
                <w:sz w:val="20"/>
              </w:rPr>
              <w:t>No. 500-09-026130-161</w:t>
            </w:r>
          </w:p>
          <w:p w:rsidR="00610AEB" w:rsidRPr="00610AEB" w:rsidRDefault="007153A4" w:rsidP="00610AEB">
            <w:pPr>
              <w:jc w:val="both"/>
              <w:rPr>
                <w:sz w:val="20"/>
              </w:rPr>
            </w:pPr>
            <w:hyperlink r:id="rId35" w:history="1">
              <w:r w:rsidR="00610AEB" w:rsidRPr="00610AEB">
                <w:rPr>
                  <w:rStyle w:val="Hyperlink"/>
                  <w:sz w:val="20"/>
                </w:rPr>
                <w:t>2017 QCCA 597</w:t>
              </w:r>
            </w:hyperlink>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rPr>
            </w:pPr>
            <w:r w:rsidRPr="00610AEB">
              <w:rPr>
                <w:sz w:val="20"/>
              </w:rPr>
              <w:t>Appeal dismissed.</w:t>
            </w:r>
          </w:p>
          <w:p w:rsidR="00610AEB" w:rsidRPr="00610AEB" w:rsidRDefault="00610AEB" w:rsidP="00610AEB">
            <w:pPr>
              <w:jc w:val="both"/>
              <w:rPr>
                <w:sz w:val="20"/>
              </w:rPr>
            </w:pPr>
          </w:p>
        </w:tc>
      </w:tr>
      <w:tr w:rsidR="00610AEB" w:rsidRPr="00610AEB" w:rsidTr="00E95A6A">
        <w:tc>
          <w:tcPr>
            <w:tcW w:w="2427" w:type="pct"/>
            <w:gridSpan w:val="2"/>
          </w:tcPr>
          <w:p w:rsidR="00610AEB" w:rsidRPr="00610AEB" w:rsidRDefault="00610AEB" w:rsidP="00610AEB">
            <w:pPr>
              <w:jc w:val="both"/>
              <w:rPr>
                <w:sz w:val="20"/>
              </w:rPr>
            </w:pPr>
            <w:r w:rsidRPr="00610AEB">
              <w:rPr>
                <w:sz w:val="20"/>
              </w:rPr>
              <w:t>June 5, 2017</w:t>
            </w:r>
          </w:p>
          <w:p w:rsidR="00610AEB" w:rsidRPr="00610AEB" w:rsidRDefault="00610AEB" w:rsidP="00610AEB">
            <w:pPr>
              <w:jc w:val="both"/>
              <w:rPr>
                <w:sz w:val="20"/>
              </w:rPr>
            </w:pPr>
            <w:r w:rsidRPr="00610AEB">
              <w:rPr>
                <w:sz w:val="20"/>
              </w:rPr>
              <w:t>Supreme Court of Canada</w:t>
            </w:r>
          </w:p>
        </w:tc>
        <w:tc>
          <w:tcPr>
            <w:tcW w:w="243" w:type="pct"/>
          </w:tcPr>
          <w:p w:rsidR="00610AEB" w:rsidRPr="00610AEB" w:rsidRDefault="00610AEB" w:rsidP="00610AEB">
            <w:pPr>
              <w:jc w:val="both"/>
              <w:rPr>
                <w:sz w:val="20"/>
              </w:rPr>
            </w:pPr>
          </w:p>
        </w:tc>
        <w:tc>
          <w:tcPr>
            <w:tcW w:w="2330" w:type="pct"/>
          </w:tcPr>
          <w:p w:rsidR="00610AEB" w:rsidRPr="00610AEB" w:rsidRDefault="00610AEB" w:rsidP="00610AEB">
            <w:pPr>
              <w:jc w:val="both"/>
              <w:rPr>
                <w:sz w:val="20"/>
              </w:rPr>
            </w:pPr>
            <w:r w:rsidRPr="00610AEB">
              <w:rPr>
                <w:sz w:val="20"/>
              </w:rPr>
              <w:t>Application for leave to appeal filed.</w:t>
            </w:r>
          </w:p>
        </w:tc>
      </w:tr>
    </w:tbl>
    <w:p w:rsidR="00610AEB" w:rsidRDefault="00610AEB" w:rsidP="00610AEB">
      <w:pPr>
        <w:jc w:val="both"/>
        <w:rPr>
          <w:sz w:val="20"/>
        </w:rPr>
      </w:pPr>
    </w:p>
    <w:p w:rsidR="00B10D6D" w:rsidRPr="00610AEB" w:rsidRDefault="00B10D6D" w:rsidP="00610A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0AEB" w:rsidRPr="00610AEB" w:rsidTr="00E95A6A">
        <w:tc>
          <w:tcPr>
            <w:tcW w:w="543" w:type="pct"/>
          </w:tcPr>
          <w:p w:rsidR="00610AEB" w:rsidRPr="00610AEB" w:rsidRDefault="00610AEB" w:rsidP="00610AEB">
            <w:pPr>
              <w:jc w:val="both"/>
              <w:rPr>
                <w:sz w:val="20"/>
                <w:lang w:val="fr-CA"/>
              </w:rPr>
            </w:pPr>
            <w:r w:rsidRPr="00610AEB">
              <w:rPr>
                <w:rStyle w:val="SCCFileNumberChar"/>
                <w:sz w:val="20"/>
                <w:szCs w:val="20"/>
                <w:lang w:val="fr-CA"/>
              </w:rPr>
              <w:t>37594</w:t>
            </w:r>
          </w:p>
        </w:tc>
        <w:tc>
          <w:tcPr>
            <w:tcW w:w="4457" w:type="pct"/>
            <w:gridSpan w:val="3"/>
          </w:tcPr>
          <w:p w:rsidR="00610AEB" w:rsidRPr="00B10D6D" w:rsidRDefault="00610AEB" w:rsidP="00610AEB">
            <w:pPr>
              <w:pStyle w:val="SCCLsocParty"/>
              <w:jc w:val="both"/>
              <w:rPr>
                <w:b/>
                <w:sz w:val="20"/>
                <w:szCs w:val="20"/>
                <w:lang w:val="en-US"/>
              </w:rPr>
            </w:pPr>
            <w:r w:rsidRPr="00B10D6D">
              <w:rPr>
                <w:b/>
                <w:sz w:val="20"/>
                <w:szCs w:val="20"/>
                <w:lang w:val="en-US"/>
              </w:rPr>
              <w:t>David Barer c. Knight Brothers LLC</w:t>
            </w:r>
          </w:p>
          <w:p w:rsidR="00610AEB" w:rsidRPr="00610AEB" w:rsidRDefault="00610AEB" w:rsidP="00B10D6D">
            <w:pPr>
              <w:jc w:val="both"/>
              <w:rPr>
                <w:sz w:val="20"/>
                <w:lang w:val="fr-CA"/>
              </w:rPr>
            </w:pPr>
            <w:r w:rsidRPr="00610AEB">
              <w:rPr>
                <w:sz w:val="20"/>
                <w:lang w:val="fr-CA"/>
              </w:rPr>
              <w:t>(</w:t>
            </w:r>
            <w:proofErr w:type="spellStart"/>
            <w:r w:rsidRPr="00610AEB">
              <w:rPr>
                <w:sz w:val="20"/>
                <w:lang w:val="fr-CA"/>
              </w:rPr>
              <w:t>Qué</w:t>
            </w:r>
            <w:proofErr w:type="spellEnd"/>
            <w:r w:rsidRPr="00610AEB">
              <w:rPr>
                <w:sz w:val="20"/>
                <w:lang w:val="fr-CA"/>
              </w:rPr>
              <w:t>.) (Civile) (Sur autorisation)</w:t>
            </w:r>
          </w:p>
        </w:tc>
      </w:tr>
      <w:tr w:rsidR="00610AEB" w:rsidRPr="007153A4" w:rsidTr="00E95A6A">
        <w:tc>
          <w:tcPr>
            <w:tcW w:w="5000" w:type="pct"/>
            <w:gridSpan w:val="4"/>
          </w:tcPr>
          <w:p w:rsidR="00610AEB" w:rsidRPr="00610AEB" w:rsidRDefault="00610AEB" w:rsidP="00610AEB">
            <w:pPr>
              <w:jc w:val="both"/>
              <w:rPr>
                <w:sz w:val="20"/>
                <w:lang w:val="fr-CA"/>
              </w:rPr>
            </w:pPr>
            <w:r w:rsidRPr="00610AEB">
              <w:rPr>
                <w:sz w:val="20"/>
                <w:lang w:val="fr-CA"/>
              </w:rPr>
              <w:t xml:space="preserve">Droit international privé – Jugements étrangers – Exécution – </w:t>
            </w:r>
            <w:r w:rsidRPr="00610AEB">
              <w:rPr>
                <w:iCs/>
                <w:sz w:val="20"/>
                <w:lang w:val="fr-CA"/>
              </w:rPr>
              <w:t xml:space="preserve">Compétence des autorités étrangères – </w:t>
            </w:r>
            <w:r w:rsidRPr="00610AEB">
              <w:rPr>
                <w:sz w:val="20"/>
                <w:lang w:val="fr-CA"/>
              </w:rPr>
              <w:t xml:space="preserve">Dans quelle mesure une personne, résidante et domiciliée au Québec, peut-elle soulever certaines questions juridiques de fond dans une requête – et au soutien de la requête – visant à contester la compétence d’un tribunal étranger où elle est </w:t>
            </w:r>
            <w:r w:rsidRPr="00610AEB">
              <w:rPr>
                <w:sz w:val="20"/>
                <w:lang w:val="fr-CA"/>
              </w:rPr>
              <w:lastRenderedPageBreak/>
              <w:t xml:space="preserve">poursuivie, sans être considérée comme ayant reconnu la compétence de ce tribunal étranger comme le prévoit l’article 3168(6) du </w:t>
            </w:r>
            <w:r w:rsidRPr="00610AEB">
              <w:rPr>
                <w:i/>
                <w:sz w:val="20"/>
                <w:lang w:val="fr-CA"/>
              </w:rPr>
              <w:t>Code civil du Québec</w:t>
            </w:r>
            <w:r w:rsidRPr="00610AEB">
              <w:rPr>
                <w:sz w:val="20"/>
                <w:lang w:val="fr-CA"/>
              </w:rPr>
              <w:t xml:space="preserve">? – Comment l’exigence prévue à l’article 3164 du </w:t>
            </w:r>
            <w:r w:rsidRPr="00610AEB">
              <w:rPr>
                <w:i/>
                <w:sz w:val="20"/>
                <w:lang w:val="fr-CA"/>
              </w:rPr>
              <w:t>Code civil du Québec</w:t>
            </w:r>
            <w:r w:rsidRPr="00610AEB">
              <w:rPr>
                <w:sz w:val="20"/>
                <w:lang w:val="fr-CA"/>
              </w:rPr>
              <w:t xml:space="preserve"> selon laquelle le litige étranger doit « se rattache[r] de façon importante » au ressort étranger </w:t>
            </w:r>
            <w:proofErr w:type="spellStart"/>
            <w:r w:rsidRPr="00610AEB">
              <w:rPr>
                <w:sz w:val="20"/>
                <w:lang w:val="fr-CA"/>
              </w:rPr>
              <w:t>doit-elle</w:t>
            </w:r>
            <w:proofErr w:type="spellEnd"/>
            <w:r w:rsidRPr="00610AEB">
              <w:rPr>
                <w:sz w:val="20"/>
                <w:lang w:val="fr-CA"/>
              </w:rPr>
              <w:t xml:space="preserve"> être appliquée à l’égard d’un défendeur qui a pu reconnaître la compétence du tribunal étranger (article 3168(6) du </w:t>
            </w:r>
            <w:r w:rsidRPr="00610AEB">
              <w:rPr>
                <w:i/>
                <w:sz w:val="20"/>
                <w:lang w:val="fr-CA"/>
              </w:rPr>
              <w:t>Code civil du Québec</w:t>
            </w:r>
            <w:r w:rsidRPr="00610AEB">
              <w:rPr>
                <w:sz w:val="20"/>
                <w:lang w:val="fr-CA"/>
              </w:rPr>
              <w:t xml:space="preserve">), et à l’égard des autres dispositions de l’article 3168 du </w:t>
            </w:r>
            <w:r w:rsidRPr="00610AEB">
              <w:rPr>
                <w:i/>
                <w:sz w:val="20"/>
                <w:lang w:val="fr-CA"/>
              </w:rPr>
              <w:t>Code civil du Québec</w:t>
            </w:r>
            <w:r w:rsidRPr="00610AEB">
              <w:rPr>
                <w:sz w:val="20"/>
                <w:lang w:val="fr-CA"/>
              </w:rPr>
              <w:t>?</w:t>
            </w:r>
          </w:p>
        </w:tc>
      </w:tr>
      <w:tr w:rsidR="00610AEB" w:rsidRPr="007153A4" w:rsidTr="00E95A6A">
        <w:tc>
          <w:tcPr>
            <w:tcW w:w="5000" w:type="pct"/>
            <w:gridSpan w:val="4"/>
          </w:tcPr>
          <w:p w:rsidR="00610AEB" w:rsidRPr="00610AEB" w:rsidRDefault="00610AEB" w:rsidP="00610AEB">
            <w:pPr>
              <w:jc w:val="both"/>
              <w:rPr>
                <w:sz w:val="20"/>
                <w:lang w:val="fr-CA"/>
              </w:rPr>
            </w:pPr>
          </w:p>
        </w:tc>
      </w:tr>
      <w:tr w:rsidR="00610AEB" w:rsidRPr="007153A4" w:rsidTr="00E95A6A">
        <w:tc>
          <w:tcPr>
            <w:tcW w:w="5000" w:type="pct"/>
            <w:gridSpan w:val="4"/>
          </w:tcPr>
          <w:p w:rsidR="00610AEB" w:rsidRPr="00610AEB" w:rsidRDefault="00610AEB" w:rsidP="00610AEB">
            <w:pPr>
              <w:autoSpaceDE w:val="0"/>
              <w:autoSpaceDN w:val="0"/>
              <w:adjustRightInd w:val="0"/>
              <w:jc w:val="both"/>
              <w:rPr>
                <w:sz w:val="20"/>
                <w:lang w:val="fr-CA"/>
              </w:rPr>
            </w:pPr>
            <w:r w:rsidRPr="00610AEB">
              <w:rPr>
                <w:sz w:val="20"/>
                <w:lang w:val="fr-CA"/>
              </w:rPr>
              <w:t>Le demandeur, un homme d’affaire canadien résidant et domicilié au Québec, exploitait une entreprise ayant son siège au Vermont (</w:t>
            </w:r>
            <w:proofErr w:type="spellStart"/>
            <w:r w:rsidRPr="00610AEB">
              <w:rPr>
                <w:sz w:val="20"/>
                <w:lang w:val="fr-CA"/>
              </w:rPr>
              <w:t>Barer</w:t>
            </w:r>
            <w:proofErr w:type="spellEnd"/>
            <w:r w:rsidRPr="00610AEB">
              <w:rPr>
                <w:sz w:val="20"/>
                <w:lang w:val="fr-CA"/>
              </w:rPr>
              <w:t xml:space="preserve"> Engineering </w:t>
            </w:r>
            <w:proofErr w:type="spellStart"/>
            <w:r w:rsidRPr="00610AEB">
              <w:rPr>
                <w:sz w:val="20"/>
                <w:lang w:val="fr-CA"/>
              </w:rPr>
              <w:t>Company</w:t>
            </w:r>
            <w:proofErr w:type="spellEnd"/>
            <w:r w:rsidRPr="00610AEB">
              <w:rPr>
                <w:sz w:val="20"/>
                <w:lang w:val="fr-CA"/>
              </w:rPr>
              <w:t xml:space="preserve"> of </w:t>
            </w:r>
            <w:proofErr w:type="spellStart"/>
            <w:r w:rsidRPr="00610AEB">
              <w:rPr>
                <w:sz w:val="20"/>
                <w:lang w:val="fr-CA"/>
              </w:rPr>
              <w:t>America</w:t>
            </w:r>
            <w:proofErr w:type="spellEnd"/>
            <w:r w:rsidRPr="00610AEB">
              <w:rPr>
                <w:sz w:val="20"/>
                <w:lang w:val="fr-CA"/>
              </w:rPr>
              <w:t>, ou « BEC »). L’intimée a introduit une procédure judiciaire devant la cour de district des États-Unis pour le district de l’Utah (le « tribunal de l’Utah ») contre BEC et le demandeur personnellement, ainsi qu’une société ayant son siège au Québec et exploité par le demandeur, pour des montants qu’elle allègue être dus en vertu d’un contrat. Le demandeur a présenté une requête en irrecevabilité de la poursuite pour défaut de compétence en ce qui le concernait personnellement. La requête a été rejetée et subséquemment, le 18 janvier 2013, un jugement par défaut a été rendu contre le demandeur. L’intimée a ensuite demandé la reconnaissance du jugement rendu par le tribunal de l’Utah et son exécution contre le demandeur (le « jugement de l’Utah »).</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5 mai 2016</w:t>
            </w:r>
          </w:p>
          <w:p w:rsidR="00610AEB" w:rsidRPr="00610AEB" w:rsidRDefault="00610AEB" w:rsidP="00610AEB">
            <w:pPr>
              <w:jc w:val="both"/>
              <w:rPr>
                <w:sz w:val="20"/>
                <w:lang w:val="fr-CA"/>
              </w:rPr>
            </w:pPr>
            <w:r w:rsidRPr="00610AEB">
              <w:rPr>
                <w:sz w:val="20"/>
                <w:lang w:val="fr-CA"/>
              </w:rPr>
              <w:t>Cour supérieure du Québec</w:t>
            </w:r>
          </w:p>
          <w:p w:rsidR="00610AEB" w:rsidRPr="00610AEB" w:rsidRDefault="00610AEB" w:rsidP="00610AEB">
            <w:pPr>
              <w:jc w:val="both"/>
              <w:rPr>
                <w:sz w:val="20"/>
                <w:lang w:val="fr-CA"/>
              </w:rPr>
            </w:pPr>
            <w:r w:rsidRPr="00610AEB">
              <w:rPr>
                <w:sz w:val="20"/>
                <w:lang w:val="fr-CA"/>
              </w:rPr>
              <w:t>(Juge Blanchard)</w:t>
            </w:r>
          </w:p>
          <w:p w:rsidR="00610AEB" w:rsidRPr="00610AEB" w:rsidRDefault="00610AEB" w:rsidP="00610AEB">
            <w:pPr>
              <w:jc w:val="both"/>
              <w:rPr>
                <w:sz w:val="20"/>
                <w:lang w:val="fr-CA"/>
              </w:rPr>
            </w:pPr>
            <w:r w:rsidRPr="00610AEB">
              <w:rPr>
                <w:sz w:val="20"/>
                <w:lang w:val="fr-CA"/>
              </w:rPr>
              <w:t>N</w:t>
            </w:r>
            <w:r w:rsidRPr="00610AEB">
              <w:rPr>
                <w:sz w:val="20"/>
                <w:vertAlign w:val="superscript"/>
                <w:lang w:val="fr-CA"/>
              </w:rPr>
              <w:t>o</w:t>
            </w:r>
            <w:r w:rsidRPr="00610AEB">
              <w:rPr>
                <w:sz w:val="20"/>
                <w:lang w:val="fr-CA"/>
              </w:rPr>
              <w:t xml:space="preserve"> 500-17-076332-132</w:t>
            </w:r>
          </w:p>
          <w:p w:rsidR="00610AEB" w:rsidRPr="00610AEB" w:rsidRDefault="007153A4" w:rsidP="00610AEB">
            <w:pPr>
              <w:jc w:val="both"/>
              <w:rPr>
                <w:sz w:val="20"/>
                <w:lang w:val="fr-CA"/>
              </w:rPr>
            </w:pPr>
            <w:hyperlink r:id="rId36" w:history="1">
              <w:r w:rsidR="00610AEB" w:rsidRPr="00610AEB">
                <w:rPr>
                  <w:rStyle w:val="Hyperlink"/>
                  <w:sz w:val="20"/>
                  <w:lang w:val="fr-CA"/>
                </w:rPr>
                <w:t>2016 QCCS 3471</w:t>
              </w:r>
            </w:hyperlink>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Jugement accueillant la requête en reconnaissance et en exécution contre le demandeur du jugement de l’Utah.</w:t>
            </w:r>
          </w:p>
          <w:p w:rsidR="00610AEB" w:rsidRPr="00610AEB" w:rsidRDefault="00610AEB" w:rsidP="00610AEB">
            <w:pPr>
              <w:jc w:val="both"/>
              <w:rPr>
                <w:sz w:val="20"/>
                <w:lang w:val="fr-CA"/>
              </w:rPr>
            </w:pP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29 août 2016</w:t>
            </w:r>
          </w:p>
          <w:p w:rsidR="00610AEB" w:rsidRPr="00610AEB" w:rsidRDefault="00610AEB" w:rsidP="00610AEB">
            <w:pPr>
              <w:jc w:val="both"/>
              <w:rPr>
                <w:sz w:val="20"/>
                <w:lang w:val="fr-CA"/>
              </w:rPr>
            </w:pPr>
            <w:r w:rsidRPr="00610AEB">
              <w:rPr>
                <w:sz w:val="20"/>
                <w:lang w:val="fr-CA"/>
              </w:rPr>
              <w:t>Cour d’appel du Québec (Montréal)</w:t>
            </w:r>
          </w:p>
          <w:p w:rsidR="00610AEB" w:rsidRPr="00610AEB" w:rsidRDefault="00610AEB" w:rsidP="00610AEB">
            <w:pPr>
              <w:jc w:val="both"/>
              <w:rPr>
                <w:sz w:val="20"/>
                <w:lang w:val="fr-CA"/>
              </w:rPr>
            </w:pPr>
            <w:r w:rsidRPr="00610AEB">
              <w:rPr>
                <w:sz w:val="20"/>
                <w:lang w:val="fr-CA"/>
              </w:rPr>
              <w:t xml:space="preserve">(Juges Morissette, Gagnon et </w:t>
            </w:r>
            <w:proofErr w:type="spellStart"/>
            <w:r w:rsidRPr="00610AEB">
              <w:rPr>
                <w:sz w:val="20"/>
                <w:lang w:val="fr-CA"/>
              </w:rPr>
              <w:t>Hogue</w:t>
            </w:r>
            <w:proofErr w:type="spellEnd"/>
            <w:r w:rsidRPr="00610AEB">
              <w:rPr>
                <w:sz w:val="20"/>
                <w:lang w:val="fr-CA"/>
              </w:rPr>
              <w:t>)</w:t>
            </w:r>
          </w:p>
          <w:p w:rsidR="00610AEB" w:rsidRPr="00610AEB" w:rsidRDefault="00610AEB" w:rsidP="00610AEB">
            <w:pPr>
              <w:jc w:val="both"/>
              <w:rPr>
                <w:sz w:val="20"/>
                <w:lang w:val="fr-CA"/>
              </w:rPr>
            </w:pPr>
            <w:r w:rsidRPr="00610AEB">
              <w:rPr>
                <w:sz w:val="20"/>
                <w:lang w:val="fr-CA"/>
              </w:rPr>
              <w:t>N</w:t>
            </w:r>
            <w:r w:rsidRPr="00610AEB">
              <w:rPr>
                <w:sz w:val="20"/>
                <w:vertAlign w:val="superscript"/>
                <w:lang w:val="fr-CA"/>
              </w:rPr>
              <w:t>o</w:t>
            </w:r>
            <w:r w:rsidRPr="00610AEB">
              <w:rPr>
                <w:sz w:val="20"/>
                <w:lang w:val="fr-CA"/>
              </w:rPr>
              <w:t xml:space="preserve"> 500-09-026130-161</w:t>
            </w:r>
          </w:p>
          <w:p w:rsidR="00610AEB" w:rsidRPr="00610AEB" w:rsidRDefault="007153A4" w:rsidP="00610AEB">
            <w:pPr>
              <w:jc w:val="both"/>
              <w:rPr>
                <w:sz w:val="20"/>
                <w:lang w:val="fr-CA"/>
              </w:rPr>
            </w:pPr>
            <w:hyperlink r:id="rId37" w:history="1">
              <w:r w:rsidR="00610AEB" w:rsidRPr="00610AEB">
                <w:rPr>
                  <w:rStyle w:val="Hyperlink"/>
                  <w:sz w:val="20"/>
                  <w:lang w:val="fr-CA"/>
                </w:rPr>
                <w:t>2016 QCCA 1400</w:t>
              </w:r>
            </w:hyperlink>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Ordonnance accueillant la requête en cautionnement afin de garantir le paiement des frais de l’appel du demandeur.</w:t>
            </w:r>
          </w:p>
          <w:p w:rsidR="00610AEB" w:rsidRPr="00610AEB" w:rsidRDefault="00610AEB" w:rsidP="00610AEB">
            <w:pPr>
              <w:jc w:val="both"/>
              <w:rPr>
                <w:sz w:val="20"/>
                <w:lang w:val="fr-CA"/>
              </w:rPr>
            </w:pPr>
          </w:p>
        </w:tc>
      </w:tr>
      <w:tr w:rsidR="00610AEB" w:rsidRPr="00610AEB" w:rsidTr="00E95A6A">
        <w:tc>
          <w:tcPr>
            <w:tcW w:w="2427" w:type="pct"/>
            <w:gridSpan w:val="2"/>
          </w:tcPr>
          <w:p w:rsidR="00610AEB" w:rsidRPr="00610AEB" w:rsidRDefault="00610AEB" w:rsidP="00610AEB">
            <w:pPr>
              <w:jc w:val="both"/>
              <w:rPr>
                <w:sz w:val="20"/>
                <w:lang w:val="fr-CA"/>
              </w:rPr>
            </w:pPr>
            <w:r w:rsidRPr="00610AEB">
              <w:rPr>
                <w:sz w:val="20"/>
                <w:lang w:val="fr-CA"/>
              </w:rPr>
              <w:t>5 mai 2017</w:t>
            </w:r>
          </w:p>
          <w:p w:rsidR="00610AEB" w:rsidRPr="00610AEB" w:rsidRDefault="00610AEB" w:rsidP="00610AEB">
            <w:pPr>
              <w:jc w:val="both"/>
              <w:rPr>
                <w:sz w:val="20"/>
                <w:lang w:val="fr-CA"/>
              </w:rPr>
            </w:pPr>
            <w:r w:rsidRPr="00610AEB">
              <w:rPr>
                <w:sz w:val="20"/>
                <w:lang w:val="fr-CA"/>
              </w:rPr>
              <w:t>Cour d’appel du Québec (Montréal)</w:t>
            </w:r>
          </w:p>
          <w:p w:rsidR="00610AEB" w:rsidRPr="00610AEB" w:rsidRDefault="00610AEB" w:rsidP="00610AEB">
            <w:pPr>
              <w:jc w:val="both"/>
              <w:rPr>
                <w:sz w:val="20"/>
                <w:lang w:val="fr-CA"/>
              </w:rPr>
            </w:pPr>
            <w:r w:rsidRPr="00610AEB">
              <w:rPr>
                <w:sz w:val="20"/>
                <w:lang w:val="fr-CA"/>
              </w:rPr>
              <w:t>(Juges Vézina, Mainville et Jacques (</w:t>
            </w:r>
            <w:r w:rsidRPr="00610AEB">
              <w:rPr>
                <w:i/>
                <w:sz w:val="20"/>
                <w:lang w:val="fr-CA"/>
              </w:rPr>
              <w:t>ad hoc</w:t>
            </w:r>
            <w:r w:rsidRPr="00610AEB">
              <w:rPr>
                <w:sz w:val="20"/>
                <w:lang w:val="fr-CA"/>
              </w:rPr>
              <w:t>)</w:t>
            </w:r>
          </w:p>
          <w:p w:rsidR="00610AEB" w:rsidRPr="00610AEB" w:rsidRDefault="00610AEB" w:rsidP="00610AEB">
            <w:pPr>
              <w:jc w:val="both"/>
              <w:rPr>
                <w:sz w:val="20"/>
                <w:lang w:val="fr-CA"/>
              </w:rPr>
            </w:pPr>
            <w:r w:rsidRPr="00610AEB">
              <w:rPr>
                <w:sz w:val="20"/>
                <w:lang w:val="fr-CA"/>
              </w:rPr>
              <w:t>N</w:t>
            </w:r>
            <w:r w:rsidRPr="00610AEB">
              <w:rPr>
                <w:sz w:val="20"/>
                <w:vertAlign w:val="superscript"/>
                <w:lang w:val="fr-CA"/>
              </w:rPr>
              <w:t>o</w:t>
            </w:r>
            <w:r w:rsidRPr="00610AEB">
              <w:rPr>
                <w:sz w:val="20"/>
                <w:lang w:val="fr-CA"/>
              </w:rPr>
              <w:t xml:space="preserve"> 500-09-026130-161</w:t>
            </w:r>
          </w:p>
          <w:p w:rsidR="00610AEB" w:rsidRPr="00610AEB" w:rsidRDefault="007153A4" w:rsidP="00610AEB">
            <w:pPr>
              <w:jc w:val="both"/>
              <w:rPr>
                <w:rStyle w:val="Hyperlink"/>
                <w:sz w:val="20"/>
                <w:lang w:val="fr-CA"/>
              </w:rPr>
            </w:pPr>
            <w:hyperlink r:id="rId38" w:history="1">
              <w:r w:rsidR="00610AEB" w:rsidRPr="00610AEB">
                <w:rPr>
                  <w:rStyle w:val="Hyperlink"/>
                  <w:sz w:val="20"/>
                  <w:lang w:val="fr-CA"/>
                </w:rPr>
                <w:t>2017 QCCA 597</w:t>
              </w:r>
            </w:hyperlink>
          </w:p>
          <w:p w:rsidR="00610AEB" w:rsidRPr="00610AEB" w:rsidRDefault="00610AEB" w:rsidP="00610AEB">
            <w:pPr>
              <w:jc w:val="both"/>
              <w:rPr>
                <w:sz w:val="20"/>
                <w:lang w:val="fr-CA"/>
              </w:rPr>
            </w:pP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Rejet de l’appel.</w:t>
            </w:r>
          </w:p>
          <w:p w:rsidR="00610AEB" w:rsidRPr="00610AEB" w:rsidRDefault="00610AEB" w:rsidP="00610AEB">
            <w:pPr>
              <w:jc w:val="both"/>
              <w:rPr>
                <w:sz w:val="20"/>
                <w:lang w:val="fr-CA"/>
              </w:rPr>
            </w:pPr>
          </w:p>
        </w:tc>
      </w:tr>
      <w:tr w:rsidR="00610AEB" w:rsidRPr="007153A4" w:rsidTr="00E95A6A">
        <w:tc>
          <w:tcPr>
            <w:tcW w:w="2427" w:type="pct"/>
            <w:gridSpan w:val="2"/>
          </w:tcPr>
          <w:p w:rsidR="00610AEB" w:rsidRPr="00610AEB" w:rsidRDefault="00610AEB" w:rsidP="00610AEB">
            <w:pPr>
              <w:jc w:val="both"/>
              <w:rPr>
                <w:sz w:val="20"/>
                <w:lang w:val="fr-CA"/>
              </w:rPr>
            </w:pPr>
            <w:r w:rsidRPr="00610AEB">
              <w:rPr>
                <w:sz w:val="20"/>
                <w:lang w:val="fr-CA"/>
              </w:rPr>
              <w:t>5 juin 2017</w:t>
            </w:r>
          </w:p>
          <w:p w:rsidR="00610AEB" w:rsidRPr="00610AEB" w:rsidRDefault="00610AEB" w:rsidP="00610AEB">
            <w:pPr>
              <w:jc w:val="both"/>
              <w:rPr>
                <w:sz w:val="20"/>
                <w:lang w:val="fr-CA"/>
              </w:rPr>
            </w:pPr>
            <w:r w:rsidRPr="00610AEB">
              <w:rPr>
                <w:sz w:val="20"/>
                <w:lang w:val="fr-CA"/>
              </w:rPr>
              <w:t>Cour suprême du Canada</w:t>
            </w:r>
          </w:p>
        </w:tc>
        <w:tc>
          <w:tcPr>
            <w:tcW w:w="243" w:type="pct"/>
          </w:tcPr>
          <w:p w:rsidR="00610AEB" w:rsidRPr="00610AEB" w:rsidRDefault="00610AEB" w:rsidP="00610AEB">
            <w:pPr>
              <w:jc w:val="both"/>
              <w:rPr>
                <w:sz w:val="20"/>
                <w:lang w:val="fr-CA"/>
              </w:rPr>
            </w:pPr>
          </w:p>
        </w:tc>
        <w:tc>
          <w:tcPr>
            <w:tcW w:w="2330" w:type="pct"/>
          </w:tcPr>
          <w:p w:rsidR="00610AEB" w:rsidRPr="00610AEB" w:rsidRDefault="00610AEB" w:rsidP="00610AEB">
            <w:pPr>
              <w:jc w:val="both"/>
              <w:rPr>
                <w:sz w:val="20"/>
                <w:lang w:val="fr-CA"/>
              </w:rPr>
            </w:pPr>
            <w:r w:rsidRPr="00610AEB">
              <w:rPr>
                <w:sz w:val="20"/>
                <w:lang w:val="fr-CA"/>
              </w:rPr>
              <w:t>Dépôt de la demande d’autorisation d’appel.</w:t>
            </w:r>
          </w:p>
        </w:tc>
      </w:tr>
    </w:tbl>
    <w:p w:rsidR="00610AEB" w:rsidRPr="00610AEB" w:rsidRDefault="00610AEB" w:rsidP="00A169B5">
      <w:pPr>
        <w:tabs>
          <w:tab w:val="left" w:pos="900"/>
          <w:tab w:val="center" w:pos="5760"/>
        </w:tabs>
        <w:ind w:left="360" w:hanging="360"/>
        <w:rPr>
          <w:sz w:val="20"/>
          <w:lang w:val="fr-CA"/>
        </w:rPr>
      </w:pPr>
    </w:p>
    <w:p w:rsidR="00610AEB" w:rsidRPr="00610AEB" w:rsidRDefault="00610AEB" w:rsidP="00A169B5">
      <w:pPr>
        <w:tabs>
          <w:tab w:val="left" w:pos="900"/>
          <w:tab w:val="center" w:pos="5760"/>
        </w:tabs>
        <w:ind w:left="360" w:hanging="360"/>
        <w:rPr>
          <w:sz w:val="20"/>
          <w:lang w:val="fr-CA"/>
        </w:rPr>
      </w:pPr>
    </w:p>
    <w:p w:rsidR="00691CDA" w:rsidRPr="00610AEB" w:rsidRDefault="00691CDA" w:rsidP="00A169B5">
      <w:pPr>
        <w:tabs>
          <w:tab w:val="left" w:pos="900"/>
          <w:tab w:val="center" w:pos="5760"/>
        </w:tabs>
        <w:ind w:left="360" w:hanging="360"/>
        <w:rPr>
          <w:sz w:val="20"/>
          <w:lang w:val="fr-CA"/>
        </w:rPr>
      </w:pPr>
    </w:p>
    <w:p w:rsidR="00D3344A" w:rsidRPr="00945752" w:rsidRDefault="00D3344A" w:rsidP="00D3344A">
      <w:pPr>
        <w:widowControl w:val="0"/>
        <w:outlineLvl w:val="0"/>
      </w:pPr>
      <w:r w:rsidRPr="00945752">
        <w:t xml:space="preserve">Supreme Court of Canada / Cour suprême du </w:t>
      </w:r>
      <w:proofErr w:type="gramStart"/>
      <w:r w:rsidRPr="00945752">
        <w:t>Canad</w:t>
      </w:r>
      <w:r w:rsidR="00EE289F" w:rsidRPr="00945752">
        <w:t>a</w:t>
      </w:r>
      <w:r w:rsidRPr="00945752">
        <w:t xml:space="preserve"> :</w:t>
      </w:r>
      <w:proofErr w:type="gramEnd"/>
    </w:p>
    <w:p w:rsidR="00D3344A" w:rsidRPr="00945752" w:rsidRDefault="007153A4" w:rsidP="00D3344A">
      <w:pPr>
        <w:widowControl w:val="0"/>
        <w:outlineLvl w:val="0"/>
        <w:rPr>
          <w:u w:val="single"/>
        </w:rPr>
      </w:pPr>
      <w:hyperlink r:id="rId39" w:history="1">
        <w:r w:rsidR="009B7391" w:rsidRPr="00945752">
          <w:rPr>
            <w:rStyle w:val="Hyperlink"/>
          </w:rPr>
          <w:t>comments-commentaires@scc-csc.ca</w:t>
        </w:r>
      </w:hyperlink>
    </w:p>
    <w:p w:rsidR="00D3344A" w:rsidRPr="00945752" w:rsidRDefault="0065588C" w:rsidP="00D3344A">
      <w:pPr>
        <w:widowControl w:val="0"/>
        <w:outlineLvl w:val="0"/>
      </w:pPr>
      <w:r w:rsidRPr="00945752">
        <w:t>613-</w:t>
      </w:r>
      <w:r w:rsidR="00D3344A" w:rsidRPr="00945752">
        <w:t>995-4330</w:t>
      </w:r>
    </w:p>
    <w:p w:rsidR="00497B5E" w:rsidRPr="00945752" w:rsidRDefault="00497B5E" w:rsidP="00497B5E">
      <w:pPr>
        <w:widowControl w:val="0"/>
        <w:rPr>
          <w:sz w:val="20"/>
        </w:rPr>
      </w:pPr>
    </w:p>
    <w:p w:rsidR="00F6251B" w:rsidRPr="006E558B" w:rsidRDefault="003F43E6" w:rsidP="00F6251B">
      <w:pPr>
        <w:pStyle w:val="Footer"/>
        <w:jc w:val="center"/>
      </w:pPr>
      <w:r w:rsidRPr="00945752">
        <w:t>- 30 -</w:t>
      </w:r>
    </w:p>
    <w:p w:rsidR="00F6251B" w:rsidRPr="006E558B" w:rsidRDefault="00F6251B" w:rsidP="00F6251B">
      <w:pPr>
        <w:pStyle w:val="Footer"/>
        <w:jc w:val="center"/>
      </w:pPr>
    </w:p>
    <w:sectPr w:rsidR="00F6251B" w:rsidRPr="006E558B" w:rsidSect="0052482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4"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18"/>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12"/>
  </w:num>
  <w:num w:numId="13">
    <w:abstractNumId w:val="6"/>
  </w:num>
  <w:num w:numId="14">
    <w:abstractNumId w:val="2"/>
  </w:num>
  <w:num w:numId="15">
    <w:abstractNumId w:val="28"/>
  </w:num>
  <w:num w:numId="16">
    <w:abstractNumId w:val="3"/>
  </w:num>
  <w:num w:numId="17">
    <w:abstractNumId w:val="9"/>
  </w:num>
  <w:num w:numId="18">
    <w:abstractNumId w:val="30"/>
  </w:num>
  <w:num w:numId="19">
    <w:abstractNumId w:val="31"/>
  </w:num>
  <w:num w:numId="20">
    <w:abstractNumId w:val="5"/>
  </w:num>
  <w:num w:numId="21">
    <w:abstractNumId w:val="17"/>
  </w:num>
  <w:num w:numId="22">
    <w:abstractNumId w:val="24"/>
  </w:num>
  <w:num w:numId="23">
    <w:abstractNumId w:val="22"/>
  </w:num>
  <w:num w:numId="24">
    <w:abstractNumId w:val="13"/>
  </w:num>
  <w:num w:numId="25">
    <w:abstractNumId w:val="15"/>
  </w:num>
  <w:num w:numId="26">
    <w:abstractNumId w:val="16"/>
  </w:num>
  <w:num w:numId="27">
    <w:abstractNumId w:val="23"/>
  </w:num>
  <w:num w:numId="28">
    <w:abstractNumId w:val="19"/>
  </w:num>
  <w:num w:numId="29">
    <w:abstractNumId w:val="27"/>
  </w:num>
  <w:num w:numId="30">
    <w:abstractNumId w:val="21"/>
  </w:num>
  <w:num w:numId="31">
    <w:abstractNumId w:val="25"/>
  </w:num>
  <w:num w:numId="32">
    <w:abstractNumId w:val="29"/>
  </w:num>
  <w:num w:numId="3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AEB"/>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73"/>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3A4"/>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6BC7"/>
    <w:rsid w:val="007F7F32"/>
    <w:rsid w:val="00800A70"/>
    <w:rsid w:val="00800DF8"/>
    <w:rsid w:val="008017C2"/>
    <w:rsid w:val="00801E32"/>
    <w:rsid w:val="008021FD"/>
    <w:rsid w:val="00802554"/>
    <w:rsid w:val="008026FA"/>
    <w:rsid w:val="00802DB4"/>
    <w:rsid w:val="008036BE"/>
    <w:rsid w:val="00803B18"/>
    <w:rsid w:val="00803B2E"/>
    <w:rsid w:val="00804BA2"/>
    <w:rsid w:val="00804FE6"/>
    <w:rsid w:val="00805224"/>
    <w:rsid w:val="0080556B"/>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5752"/>
    <w:rsid w:val="00946910"/>
    <w:rsid w:val="00947C38"/>
    <w:rsid w:val="00952CCB"/>
    <w:rsid w:val="00953BFE"/>
    <w:rsid w:val="009550BB"/>
    <w:rsid w:val="00955992"/>
    <w:rsid w:val="00956067"/>
    <w:rsid w:val="00956244"/>
    <w:rsid w:val="00957342"/>
    <w:rsid w:val="009574F2"/>
    <w:rsid w:val="00957921"/>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537"/>
    <w:rsid w:val="00AD7DC1"/>
    <w:rsid w:val="00AE07B8"/>
    <w:rsid w:val="00AE2C85"/>
    <w:rsid w:val="00AE328A"/>
    <w:rsid w:val="00AE42F5"/>
    <w:rsid w:val="00AE4721"/>
    <w:rsid w:val="00AE4C09"/>
    <w:rsid w:val="00AE541B"/>
    <w:rsid w:val="00AE56D5"/>
    <w:rsid w:val="00AE7160"/>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0D6D"/>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E0A6E"/>
    <w:rsid w:val="00CE113C"/>
    <w:rsid w:val="00CE1F89"/>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4B7"/>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alt">
    <w:name w:val="reflex3-alt"/>
    <w:basedOn w:val="DefaultParagraphFont"/>
    <w:rsid w:val="00610AEB"/>
  </w:style>
  <w:style w:type="character" w:customStyle="1" w:styleId="documentstaticurl">
    <w:name w:val="documentstaticurl"/>
    <w:basedOn w:val="DefaultParagraphFont"/>
    <w:rsid w:val="0061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51" TargetMode="External"/><Relationship Id="rId13" Type="http://schemas.openxmlformats.org/officeDocument/2006/relationships/hyperlink" Target="http://www.scc-csc.ca/case-dossier/info/sum-som-eng.aspx?cas=37572" TargetMode="External"/><Relationship Id="rId18" Type="http://schemas.openxmlformats.org/officeDocument/2006/relationships/hyperlink" Target="https://www.canlii.org/fr/qc/qcca/doc/2017/2017qcca391/2017qcca391.pdf" TargetMode="External"/><Relationship Id="rId26" Type="http://schemas.openxmlformats.org/officeDocument/2006/relationships/hyperlink" Target="http://canlii.ca/t/gwz9j" TargetMode="External"/><Relationship Id="rId39"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canlii.org/fr/qc/qccs/doc/2014/2014qccs5574/2014qccs5574.html" TargetMode="External"/><Relationship Id="rId34" Type="http://schemas.openxmlformats.org/officeDocument/2006/relationships/hyperlink" Target="https://www.canlii.org/en/qc/qcca/doc/2016/2016qcca1400/2016qcca1400.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669" TargetMode="External"/><Relationship Id="rId17" Type="http://schemas.openxmlformats.org/officeDocument/2006/relationships/hyperlink" Target="https://www.canlii.org/fr/qc/qccs/doc/2015/2015qccs3482/2015qccs3482.pdf" TargetMode="External"/><Relationship Id="rId25" Type="http://schemas.openxmlformats.org/officeDocument/2006/relationships/hyperlink" Target="http://canlii.ca/t/gwz9j" TargetMode="External"/><Relationship Id="rId33" Type="http://schemas.openxmlformats.org/officeDocument/2006/relationships/hyperlink" Target="https://www.canlii.org/en/qc/qccs/doc/2016/2016qccs3471/2016qccs3471.html" TargetMode="External"/><Relationship Id="rId38" Type="http://schemas.openxmlformats.org/officeDocument/2006/relationships/hyperlink" Target="https://www.canlii.org/en/qc/qcca/doc/2017/2017qcca597/2017qcca597.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bc/bcca/doc/2017/2017bcca2/2017bcca2.html?autocompleteStr=2017%20BCCA%202&amp;autocompletePos=1" TargetMode="External"/><Relationship Id="rId20" Type="http://schemas.openxmlformats.org/officeDocument/2006/relationships/hyperlink" Target="https://www.canlii.org/fr/qc/qcca/doc/2017/2017qcca391/2017qcca391.pdf" TargetMode="External"/><Relationship Id="rId29" Type="http://schemas.openxmlformats.org/officeDocument/2006/relationships/hyperlink" Target="http://canlii.ca/t/h2sw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98" TargetMode="External"/><Relationship Id="rId24" Type="http://schemas.openxmlformats.org/officeDocument/2006/relationships/hyperlink" Target="https://www.canlii.org/fr/qc/qcca/doc/2017/2017qcca488/2017qcca488.html" TargetMode="External"/><Relationship Id="rId32" Type="http://schemas.openxmlformats.org/officeDocument/2006/relationships/hyperlink" Target="http://canlii.ca/t/h2swf" TargetMode="External"/><Relationship Id="rId37" Type="http://schemas.openxmlformats.org/officeDocument/2006/relationships/hyperlink" Target="https://www.canlii.org/en/qc/qcca/doc/2016/2016qcca1400/2016qcca1400.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bc/bcca/doc/2017/2017bcca2/2017bcca2.html?autocompleteStr=2017%20BCCA%202&amp;autocompletePos=1" TargetMode="External"/><Relationship Id="rId23" Type="http://schemas.openxmlformats.org/officeDocument/2006/relationships/hyperlink" Target="https://www.canlii.org/fr/qc/qccs/doc/2014/2014qccs5574/2014qccs5574.html" TargetMode="External"/><Relationship Id="rId28" Type="http://schemas.openxmlformats.org/officeDocument/2006/relationships/hyperlink" Target="http://canlii.ca/t/gr71v" TargetMode="External"/><Relationship Id="rId36" Type="http://schemas.openxmlformats.org/officeDocument/2006/relationships/hyperlink" Target="https://www.canlii.org/en/qc/qccs/doc/2016/2016qccs3471/2016qccs3471.html" TargetMode="External"/><Relationship Id="rId10" Type="http://schemas.openxmlformats.org/officeDocument/2006/relationships/hyperlink" Target="http://www.scc-csc.ca/case-dossier/info/sum-som-fra.aspx?cas=37587" TargetMode="External"/><Relationship Id="rId19" Type="http://schemas.openxmlformats.org/officeDocument/2006/relationships/hyperlink" Target="https://www.canlii.org/fr/qc/qccs/doc/2015/2015qccs3482/2015qccs3482.pdf" TargetMode="External"/><Relationship Id="rId31" Type="http://schemas.openxmlformats.org/officeDocument/2006/relationships/hyperlink" Target="http://canlii.ca/t/gr71v"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fra.aspx?cas=37566" TargetMode="External"/><Relationship Id="rId14" Type="http://schemas.openxmlformats.org/officeDocument/2006/relationships/hyperlink" Target="http://www.scc-csc.ca/case-dossier/info/sum-som-eng.aspx?cas=37594" TargetMode="External"/><Relationship Id="rId22" Type="http://schemas.openxmlformats.org/officeDocument/2006/relationships/hyperlink" Target="https://www.canlii.org/fr/qc/qcca/doc/2017/2017qcca488/2017qcca488.html" TargetMode="External"/><Relationship Id="rId27" Type="http://schemas.openxmlformats.org/officeDocument/2006/relationships/hyperlink" Target="http://canlii.ca/t/gn6kx" TargetMode="External"/><Relationship Id="rId30" Type="http://schemas.openxmlformats.org/officeDocument/2006/relationships/hyperlink" Target="http://canlii.ca/t/gn6kx" TargetMode="External"/><Relationship Id="rId35" Type="http://schemas.openxmlformats.org/officeDocument/2006/relationships/hyperlink" Target="https://www.canlii.org/en/qc/qcca/doc/2017/2017qcca597/2017qcca597.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1C0B-C1BC-4AA0-943E-D9A68BBF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38720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2017-11-14T15:27:00Z</dcterms:created>
  <dcterms:modified xsi:type="dcterms:W3CDTF">2017-11-17T19:52:00Z</dcterms:modified>
</cp:coreProperties>
</file>