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D770F2" w:rsidRDefault="00F61846" w:rsidP="00122CE1">
      <w:pPr>
        <w:pStyle w:val="Header"/>
        <w:tabs>
          <w:tab w:val="left" w:pos="1620"/>
          <w:tab w:val="left" w:pos="1710"/>
        </w:tabs>
        <w:jc w:val="center"/>
        <w:rPr>
          <w:b/>
          <w:sz w:val="32"/>
        </w:rPr>
      </w:pPr>
      <w:r w:rsidRPr="00D770F2">
        <w:rPr>
          <w:b/>
          <w:sz w:val="32"/>
        </w:rPr>
        <w:t>S</w:t>
      </w:r>
      <w:r w:rsidR="003F43E6" w:rsidRPr="00D770F2">
        <w:rPr>
          <w:b/>
          <w:sz w:val="32"/>
        </w:rPr>
        <w:t>upreme Court of Canada / Cour suprême du Canada</w:t>
      </w:r>
    </w:p>
    <w:p w:rsidR="003F43E6" w:rsidRPr="00D770F2" w:rsidRDefault="003F43E6" w:rsidP="006F2579">
      <w:pPr>
        <w:widowControl w:val="0"/>
        <w:rPr>
          <w:i/>
        </w:rPr>
      </w:pPr>
    </w:p>
    <w:p w:rsidR="006F2579" w:rsidRPr="00D770F2" w:rsidRDefault="006F2579" w:rsidP="006F2579">
      <w:pPr>
        <w:widowControl w:val="0"/>
        <w:rPr>
          <w:i/>
        </w:rPr>
      </w:pPr>
      <w:r w:rsidRPr="00D770F2">
        <w:rPr>
          <w:i/>
        </w:rPr>
        <w:t>(le français suit)</w:t>
      </w:r>
    </w:p>
    <w:p w:rsidR="006F2579" w:rsidRPr="00D770F2" w:rsidRDefault="006F2579" w:rsidP="006F2579">
      <w:pPr>
        <w:widowControl w:val="0"/>
      </w:pPr>
    </w:p>
    <w:p w:rsidR="006F2579" w:rsidRPr="00D770F2" w:rsidRDefault="00B07908" w:rsidP="006F2579">
      <w:pPr>
        <w:widowControl w:val="0"/>
        <w:jc w:val="center"/>
        <w:rPr>
          <w:b/>
        </w:rPr>
      </w:pPr>
      <w:r w:rsidRPr="00D770F2">
        <w:fldChar w:fldCharType="begin"/>
      </w:r>
      <w:r w:rsidR="006F2579" w:rsidRPr="00D770F2">
        <w:instrText xml:space="preserve"> SEQ CHAPTER \h \r 1</w:instrText>
      </w:r>
      <w:r w:rsidRPr="00D770F2">
        <w:fldChar w:fldCharType="end"/>
      </w:r>
      <w:r w:rsidR="006F2579" w:rsidRPr="00D770F2">
        <w:rPr>
          <w:b/>
        </w:rPr>
        <w:t>JUDGMENT</w:t>
      </w:r>
      <w:r w:rsidR="00B17AAC" w:rsidRPr="00D770F2">
        <w:rPr>
          <w:b/>
        </w:rPr>
        <w:t>S</w:t>
      </w:r>
      <w:r w:rsidR="006F2579" w:rsidRPr="00D770F2">
        <w:rPr>
          <w:b/>
        </w:rPr>
        <w:t xml:space="preserve"> TO B</w:t>
      </w:r>
      <w:r w:rsidR="00001846" w:rsidRPr="00D770F2">
        <w:rPr>
          <w:b/>
        </w:rPr>
        <w:t>E RENDERED IN LEAVE APPLICATION</w:t>
      </w:r>
      <w:r w:rsidR="00E94FDF" w:rsidRPr="00D770F2">
        <w:rPr>
          <w:b/>
        </w:rPr>
        <w:t>S</w:t>
      </w:r>
    </w:p>
    <w:p w:rsidR="006F2579" w:rsidRPr="00D770F2" w:rsidRDefault="006F2579" w:rsidP="006F2579">
      <w:pPr>
        <w:widowControl w:val="0"/>
      </w:pPr>
    </w:p>
    <w:p w:rsidR="006F2579" w:rsidRPr="00D770F2" w:rsidRDefault="00951718" w:rsidP="006F2579">
      <w:pPr>
        <w:widowControl w:val="0"/>
        <w:rPr>
          <w:b/>
        </w:rPr>
      </w:pPr>
      <w:r w:rsidRPr="00D770F2">
        <w:rPr>
          <w:b/>
        </w:rPr>
        <w:t xml:space="preserve">March </w:t>
      </w:r>
      <w:r w:rsidR="003B7D49" w:rsidRPr="00D770F2">
        <w:rPr>
          <w:b/>
        </w:rPr>
        <w:t>12</w:t>
      </w:r>
      <w:r w:rsidR="004441C7" w:rsidRPr="00D770F2">
        <w:rPr>
          <w:b/>
        </w:rPr>
        <w:t>,</w:t>
      </w:r>
      <w:r w:rsidR="006F2579" w:rsidRPr="00D770F2">
        <w:rPr>
          <w:b/>
        </w:rPr>
        <w:t xml:space="preserve"> </w:t>
      </w:r>
      <w:r w:rsidR="0054689F" w:rsidRPr="00D770F2">
        <w:rPr>
          <w:b/>
        </w:rPr>
        <w:t>201</w:t>
      </w:r>
      <w:r w:rsidR="00685F7C" w:rsidRPr="00D770F2">
        <w:rPr>
          <w:b/>
        </w:rPr>
        <w:t>8</w:t>
      </w:r>
    </w:p>
    <w:p w:rsidR="006F2579" w:rsidRPr="00D770F2" w:rsidRDefault="00674F39" w:rsidP="006F2579">
      <w:pPr>
        <w:widowControl w:val="0"/>
        <w:rPr>
          <w:b/>
        </w:rPr>
      </w:pPr>
      <w:r w:rsidRPr="00D770F2">
        <w:rPr>
          <w:b/>
        </w:rPr>
        <w:t>For immediate release</w:t>
      </w:r>
    </w:p>
    <w:p w:rsidR="006F2579" w:rsidRPr="00D770F2" w:rsidRDefault="006F2579" w:rsidP="006F2579">
      <w:pPr>
        <w:widowControl w:val="0"/>
      </w:pPr>
    </w:p>
    <w:p w:rsidR="006F2579" w:rsidRPr="0030635C" w:rsidRDefault="006F2579" w:rsidP="006F2579">
      <w:pPr>
        <w:widowControl w:val="0"/>
        <w:rPr>
          <w:lang w:val="fr-CA"/>
        </w:rPr>
      </w:pPr>
      <w:r w:rsidRPr="00D770F2">
        <w:rPr>
          <w:b/>
        </w:rPr>
        <w:t>OTTAWA</w:t>
      </w:r>
      <w:r w:rsidRPr="00D770F2">
        <w:t xml:space="preserve"> – The Supreme Court of Canad</w:t>
      </w:r>
      <w:r w:rsidR="006246E4" w:rsidRPr="00D770F2">
        <w:t>a</w:t>
      </w:r>
      <w:r w:rsidRPr="00D770F2">
        <w:t xml:space="preserve"> announced today that judgment in the following application</w:t>
      </w:r>
      <w:r w:rsidR="008600ED" w:rsidRPr="00D770F2">
        <w:t>s</w:t>
      </w:r>
      <w:r w:rsidRPr="00D770F2">
        <w:t xml:space="preserve"> for leave to appeal will be delivered at 9:45 a.m. E</w:t>
      </w:r>
      <w:r w:rsidR="003B7D49" w:rsidRPr="00D770F2">
        <w:t>D</w:t>
      </w:r>
      <w:r w:rsidRPr="00D770F2">
        <w:t xml:space="preserve">T on Thursday, </w:t>
      </w:r>
      <w:r w:rsidR="00951718" w:rsidRPr="00D770F2">
        <w:t>March</w:t>
      </w:r>
      <w:r w:rsidR="00780317" w:rsidRPr="00D770F2">
        <w:t xml:space="preserve"> </w:t>
      </w:r>
      <w:r w:rsidR="003B7D49" w:rsidRPr="00D770F2">
        <w:t>15</w:t>
      </w:r>
      <w:r w:rsidR="007E112F" w:rsidRPr="00D770F2">
        <w:t>,</w:t>
      </w:r>
      <w:r w:rsidR="002F38D7" w:rsidRPr="00D770F2">
        <w:t xml:space="preserve"> </w:t>
      </w:r>
      <w:r w:rsidR="006648D1" w:rsidRPr="00D770F2">
        <w:t>201</w:t>
      </w:r>
      <w:r w:rsidR="00685F7C" w:rsidRPr="00D770F2">
        <w:t>8</w:t>
      </w:r>
      <w:r w:rsidRPr="00D770F2">
        <w:t xml:space="preserve">. </w:t>
      </w:r>
      <w:r w:rsidRPr="0030635C">
        <w:rPr>
          <w:lang w:val="fr-CA"/>
        </w:rPr>
        <w:t>This list is subject to chang</w:t>
      </w:r>
      <w:r w:rsidR="00192F7F" w:rsidRPr="0030635C">
        <w:rPr>
          <w:lang w:val="fr-CA"/>
        </w:rPr>
        <w:t>e</w:t>
      </w:r>
      <w:r w:rsidRPr="0030635C">
        <w:rPr>
          <w:lang w:val="fr-CA"/>
        </w:rPr>
        <w:t>.</w:t>
      </w:r>
    </w:p>
    <w:p w:rsidR="00FF5AA4" w:rsidRPr="0030635C" w:rsidRDefault="00FF5AA4" w:rsidP="006F2579">
      <w:pPr>
        <w:widowControl w:val="0"/>
        <w:rPr>
          <w:lang w:val="fr-CA"/>
        </w:rPr>
      </w:pPr>
    </w:p>
    <w:p w:rsidR="00B43418" w:rsidRPr="0030635C" w:rsidRDefault="00B43418" w:rsidP="006F2579">
      <w:pPr>
        <w:widowControl w:val="0"/>
        <w:rPr>
          <w:lang w:val="fr-CA"/>
        </w:rPr>
      </w:pPr>
    </w:p>
    <w:p w:rsidR="006F2579" w:rsidRPr="00D770F2" w:rsidRDefault="006F2579" w:rsidP="006F2579">
      <w:pPr>
        <w:widowControl w:val="0"/>
        <w:jc w:val="center"/>
        <w:rPr>
          <w:lang w:val="fr-CA"/>
        </w:rPr>
      </w:pPr>
      <w:r w:rsidRPr="00D770F2">
        <w:rPr>
          <w:b/>
          <w:lang w:val="fr-CA"/>
        </w:rPr>
        <w:t>PROCHAIN</w:t>
      </w:r>
      <w:r w:rsidR="00B17AAC" w:rsidRPr="00D770F2">
        <w:rPr>
          <w:b/>
          <w:lang w:val="fr-CA"/>
        </w:rPr>
        <w:t>S</w:t>
      </w:r>
      <w:r w:rsidRPr="00D770F2">
        <w:rPr>
          <w:b/>
          <w:lang w:val="fr-CA"/>
        </w:rPr>
        <w:t xml:space="preserve"> JUGEMENT</w:t>
      </w:r>
      <w:r w:rsidR="00B17AAC" w:rsidRPr="00D770F2">
        <w:rPr>
          <w:b/>
          <w:lang w:val="fr-CA"/>
        </w:rPr>
        <w:t>S</w:t>
      </w:r>
      <w:r w:rsidR="00001846" w:rsidRPr="00D770F2">
        <w:rPr>
          <w:b/>
          <w:lang w:val="fr-CA"/>
        </w:rPr>
        <w:t xml:space="preserve"> SUR DEMANDE</w:t>
      </w:r>
      <w:r w:rsidR="00B17AAC" w:rsidRPr="00D770F2">
        <w:rPr>
          <w:b/>
          <w:lang w:val="fr-CA"/>
        </w:rPr>
        <w:t>S</w:t>
      </w:r>
      <w:r w:rsidRPr="00D770F2">
        <w:rPr>
          <w:b/>
          <w:lang w:val="fr-CA"/>
        </w:rPr>
        <w:t xml:space="preserve"> D’AUTORISATION</w:t>
      </w:r>
    </w:p>
    <w:p w:rsidR="006F2579" w:rsidRPr="00D770F2" w:rsidRDefault="006F2579" w:rsidP="006F2579">
      <w:pPr>
        <w:widowControl w:val="0"/>
        <w:rPr>
          <w:lang w:val="fr-CA"/>
        </w:rPr>
      </w:pPr>
    </w:p>
    <w:p w:rsidR="006F2579" w:rsidRPr="00D770F2" w:rsidRDefault="006F2579" w:rsidP="006F2579">
      <w:pPr>
        <w:widowControl w:val="0"/>
        <w:rPr>
          <w:b/>
          <w:lang w:val="fr-CA"/>
        </w:rPr>
      </w:pPr>
      <w:r w:rsidRPr="00D770F2">
        <w:rPr>
          <w:b/>
          <w:lang w:val="fr-CA"/>
        </w:rPr>
        <w:t>Le</w:t>
      </w:r>
      <w:r w:rsidR="00957A76" w:rsidRPr="00D770F2">
        <w:rPr>
          <w:b/>
          <w:lang w:val="fr-CA"/>
        </w:rPr>
        <w:t xml:space="preserve"> </w:t>
      </w:r>
      <w:r w:rsidR="003B7D49" w:rsidRPr="00D770F2">
        <w:rPr>
          <w:b/>
          <w:lang w:val="fr-CA"/>
        </w:rPr>
        <w:t>12</w:t>
      </w:r>
      <w:r w:rsidR="00FD37D0" w:rsidRPr="00D770F2">
        <w:rPr>
          <w:b/>
          <w:lang w:val="fr-CA"/>
        </w:rPr>
        <w:t xml:space="preserve"> </w:t>
      </w:r>
      <w:r w:rsidR="00951718" w:rsidRPr="00D770F2">
        <w:rPr>
          <w:b/>
          <w:lang w:val="fr-CA"/>
        </w:rPr>
        <w:t>mars</w:t>
      </w:r>
      <w:r w:rsidR="00A151D1" w:rsidRPr="00D770F2">
        <w:rPr>
          <w:b/>
          <w:lang w:val="fr-CA"/>
        </w:rPr>
        <w:t xml:space="preserve"> 201</w:t>
      </w:r>
      <w:r w:rsidR="00685F7C" w:rsidRPr="00D770F2">
        <w:rPr>
          <w:b/>
          <w:lang w:val="fr-CA"/>
        </w:rPr>
        <w:t>8</w:t>
      </w:r>
    </w:p>
    <w:p w:rsidR="006F2579" w:rsidRPr="00D770F2" w:rsidRDefault="006F2579" w:rsidP="006F2579">
      <w:pPr>
        <w:widowControl w:val="0"/>
        <w:rPr>
          <w:b/>
          <w:lang w:val="fr-CA"/>
        </w:rPr>
      </w:pPr>
      <w:r w:rsidRPr="00D770F2">
        <w:rPr>
          <w:b/>
          <w:lang w:val="fr-CA"/>
        </w:rPr>
        <w:t>Pour diffusion immédiate</w:t>
      </w:r>
    </w:p>
    <w:p w:rsidR="006F2579" w:rsidRPr="00D770F2" w:rsidRDefault="006F2579" w:rsidP="006F2579">
      <w:pPr>
        <w:widowControl w:val="0"/>
        <w:rPr>
          <w:b/>
          <w:lang w:val="fr-CA"/>
        </w:rPr>
      </w:pPr>
    </w:p>
    <w:p w:rsidR="006F2579" w:rsidRPr="00D770F2" w:rsidRDefault="006F2579" w:rsidP="006F2579">
      <w:pPr>
        <w:widowControl w:val="0"/>
        <w:rPr>
          <w:lang w:val="fr-CA"/>
        </w:rPr>
      </w:pPr>
      <w:r w:rsidRPr="00D770F2">
        <w:rPr>
          <w:b/>
          <w:lang w:val="fr-CA"/>
        </w:rPr>
        <w:t>OTTAWA</w:t>
      </w:r>
      <w:r w:rsidRPr="00D770F2">
        <w:rPr>
          <w:lang w:val="fr-CA"/>
        </w:rPr>
        <w:t xml:space="preserve"> – La Cour suprême du Canada annonce que jugement ser</w:t>
      </w:r>
      <w:r w:rsidR="004259F9" w:rsidRPr="00D770F2">
        <w:rPr>
          <w:lang w:val="fr-CA"/>
        </w:rPr>
        <w:t>a</w:t>
      </w:r>
      <w:r w:rsidRPr="00D770F2">
        <w:rPr>
          <w:lang w:val="fr-CA"/>
        </w:rPr>
        <w:t xml:space="preserve"> rendu dans l</w:t>
      </w:r>
      <w:r w:rsidR="008600ED" w:rsidRPr="00D770F2">
        <w:rPr>
          <w:lang w:val="fr-CA"/>
        </w:rPr>
        <w:t>es</w:t>
      </w:r>
      <w:r w:rsidRPr="00D770F2">
        <w:rPr>
          <w:lang w:val="fr-CA"/>
        </w:rPr>
        <w:t xml:space="preserve"> demande</w:t>
      </w:r>
      <w:r w:rsidR="008600ED" w:rsidRPr="00D770F2">
        <w:rPr>
          <w:lang w:val="fr-CA"/>
        </w:rPr>
        <w:t>s</w:t>
      </w:r>
      <w:r w:rsidRPr="00D770F2">
        <w:rPr>
          <w:lang w:val="fr-CA"/>
        </w:rPr>
        <w:t xml:space="preserve"> d</w:t>
      </w:r>
      <w:r w:rsidR="00001846" w:rsidRPr="00D770F2">
        <w:rPr>
          <w:lang w:val="fr-CA"/>
        </w:rPr>
        <w:t>’autorisation d’appel suivante</w:t>
      </w:r>
      <w:r w:rsidR="008600ED" w:rsidRPr="00D770F2">
        <w:rPr>
          <w:lang w:val="fr-CA"/>
        </w:rPr>
        <w:t>s</w:t>
      </w:r>
      <w:r w:rsidRPr="00D770F2">
        <w:rPr>
          <w:lang w:val="fr-CA"/>
        </w:rPr>
        <w:t xml:space="preserve"> le jeudi </w:t>
      </w:r>
      <w:r w:rsidR="003B7D49" w:rsidRPr="00D770F2">
        <w:rPr>
          <w:lang w:val="fr-CA"/>
        </w:rPr>
        <w:t>15</w:t>
      </w:r>
      <w:r w:rsidR="00780317" w:rsidRPr="00D770F2">
        <w:rPr>
          <w:lang w:val="fr-CA"/>
        </w:rPr>
        <w:t xml:space="preserve"> </w:t>
      </w:r>
      <w:r w:rsidR="00951718" w:rsidRPr="00D770F2">
        <w:rPr>
          <w:lang w:val="fr-CA"/>
        </w:rPr>
        <w:t>mars</w:t>
      </w:r>
      <w:r w:rsidR="00674329" w:rsidRPr="00D770F2">
        <w:rPr>
          <w:lang w:val="fr-CA"/>
        </w:rPr>
        <w:t xml:space="preserve"> </w:t>
      </w:r>
      <w:r w:rsidR="006648D1" w:rsidRPr="00D770F2">
        <w:rPr>
          <w:lang w:val="fr-CA"/>
        </w:rPr>
        <w:t>201</w:t>
      </w:r>
      <w:r w:rsidR="00685F7C" w:rsidRPr="00D770F2">
        <w:rPr>
          <w:lang w:val="fr-CA"/>
        </w:rPr>
        <w:t>8</w:t>
      </w:r>
      <w:r w:rsidRPr="00D770F2">
        <w:rPr>
          <w:lang w:val="fr-CA"/>
        </w:rPr>
        <w:t xml:space="preserve">, à 9 h 45 </w:t>
      </w:r>
      <w:r w:rsidR="000627A2" w:rsidRPr="00D770F2">
        <w:rPr>
          <w:lang w:val="fr-CA"/>
        </w:rPr>
        <w:t>H</w:t>
      </w:r>
      <w:r w:rsidR="003B7D49" w:rsidRPr="00D770F2">
        <w:rPr>
          <w:lang w:val="fr-CA"/>
        </w:rPr>
        <w:t>A</w:t>
      </w:r>
      <w:r w:rsidRPr="00D770F2">
        <w:rPr>
          <w:lang w:val="fr-CA"/>
        </w:rPr>
        <w:t>E. Cette liste est sujette à modifications.</w:t>
      </w:r>
    </w:p>
    <w:p w:rsidR="0080556B" w:rsidRPr="00D770F2" w:rsidRDefault="0080556B" w:rsidP="009B14F4">
      <w:pPr>
        <w:widowControl w:val="0"/>
        <w:jc w:val="both"/>
        <w:rPr>
          <w:sz w:val="20"/>
          <w:lang w:val="fr-CA"/>
        </w:rPr>
      </w:pPr>
    </w:p>
    <w:p w:rsidR="001838E0" w:rsidRPr="00D770F2" w:rsidRDefault="003D353C" w:rsidP="009B14F4">
      <w:pPr>
        <w:widowControl w:val="0"/>
        <w:jc w:val="both"/>
        <w:rPr>
          <w:sz w:val="20"/>
          <w:lang w:val="fr-CA"/>
        </w:rPr>
      </w:pPr>
      <w:r w:rsidRPr="00D770F2">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957A1E" w:rsidRPr="00D770F2" w:rsidRDefault="00957A1E" w:rsidP="00957A1E">
      <w:pPr>
        <w:jc w:val="both"/>
        <w:rPr>
          <w:sz w:val="20"/>
          <w:lang w:val="fr-CA"/>
        </w:rPr>
      </w:pPr>
    </w:p>
    <w:p w:rsidR="0090368C" w:rsidRPr="00D770F2" w:rsidRDefault="0090368C" w:rsidP="00FD3DE0">
      <w:pPr>
        <w:pStyle w:val="ListParagraph"/>
        <w:numPr>
          <w:ilvl w:val="0"/>
          <w:numId w:val="20"/>
        </w:numPr>
        <w:ind w:left="360"/>
        <w:jc w:val="both"/>
        <w:rPr>
          <w:sz w:val="20"/>
          <w:szCs w:val="20"/>
          <w:lang w:val="fr-FR"/>
        </w:rPr>
      </w:pPr>
      <w:r w:rsidRPr="00D770F2">
        <w:rPr>
          <w:i/>
          <w:sz w:val="20"/>
          <w:szCs w:val="20"/>
          <w:lang w:val="fr-FR"/>
        </w:rPr>
        <w:t>Sa Majesté la Reine c. Marc Cyr-Langlois</w:t>
      </w:r>
      <w:r w:rsidRPr="00D770F2">
        <w:rPr>
          <w:sz w:val="20"/>
          <w:szCs w:val="20"/>
          <w:lang w:val="fr-FR"/>
        </w:rPr>
        <w:t xml:space="preserve"> (Qc) (Criminelle) (Autorisation) </w:t>
      </w:r>
      <w:r w:rsidR="001B3EE2" w:rsidRPr="00D770F2">
        <w:rPr>
          <w:sz w:val="20"/>
          <w:lang w:val="fr-CA"/>
        </w:rPr>
        <w:t>(</w:t>
      </w:r>
      <w:hyperlink r:id="rId7" w:history="1">
        <w:r w:rsidR="001B3EE2" w:rsidRPr="00D770F2">
          <w:rPr>
            <w:rStyle w:val="Hyperlink"/>
            <w:sz w:val="20"/>
            <w:szCs w:val="20"/>
            <w:lang w:val="fr-CA"/>
          </w:rPr>
          <w:t>37</w:t>
        </w:r>
        <w:r w:rsidR="005F6751" w:rsidRPr="00D770F2">
          <w:rPr>
            <w:rStyle w:val="Hyperlink"/>
            <w:sz w:val="20"/>
            <w:lang w:val="fr-CA"/>
          </w:rPr>
          <w:t>7</w:t>
        </w:r>
        <w:r w:rsidR="001B3EE2" w:rsidRPr="00D770F2">
          <w:rPr>
            <w:rStyle w:val="Hyperlink"/>
            <w:sz w:val="20"/>
            <w:szCs w:val="20"/>
            <w:lang w:val="fr-CA"/>
          </w:rPr>
          <w:t>6</w:t>
        </w:r>
        <w:r w:rsidR="005F6751" w:rsidRPr="00D770F2">
          <w:rPr>
            <w:rStyle w:val="Hyperlink"/>
            <w:sz w:val="20"/>
            <w:lang w:val="fr-CA"/>
          </w:rPr>
          <w:t>0</w:t>
        </w:r>
      </w:hyperlink>
      <w:r w:rsidR="001B3EE2" w:rsidRPr="00D770F2">
        <w:rPr>
          <w:sz w:val="20"/>
          <w:lang w:val="fr-CA"/>
        </w:rPr>
        <w:t>)</w:t>
      </w:r>
    </w:p>
    <w:p w:rsidR="0090368C" w:rsidRPr="00D770F2" w:rsidRDefault="0090368C" w:rsidP="00FD3DE0">
      <w:pPr>
        <w:ind w:left="360" w:hanging="360"/>
        <w:jc w:val="both"/>
        <w:rPr>
          <w:sz w:val="20"/>
          <w:lang w:val="fr-FR"/>
        </w:rPr>
      </w:pPr>
    </w:p>
    <w:p w:rsidR="0090368C" w:rsidRPr="00D770F2" w:rsidRDefault="0090368C" w:rsidP="00FD3DE0">
      <w:pPr>
        <w:pStyle w:val="ListParagraph"/>
        <w:numPr>
          <w:ilvl w:val="0"/>
          <w:numId w:val="20"/>
        </w:numPr>
        <w:ind w:left="360"/>
        <w:jc w:val="both"/>
        <w:rPr>
          <w:sz w:val="20"/>
          <w:lang w:val="en-CA"/>
        </w:rPr>
      </w:pPr>
      <w:r w:rsidRPr="00D770F2">
        <w:rPr>
          <w:i/>
          <w:sz w:val="20"/>
          <w:lang w:val="en-CA"/>
        </w:rPr>
        <w:t xml:space="preserve">Kevin David Patterson v. Canada (The Minister of Justice) et al. </w:t>
      </w:r>
      <w:r w:rsidRPr="00D770F2">
        <w:rPr>
          <w:sz w:val="20"/>
          <w:lang w:val="en-CA"/>
        </w:rPr>
        <w:t xml:space="preserve">(B.C.) (Criminal) (By Leave) </w:t>
      </w:r>
      <w:r w:rsidR="001B3EE2" w:rsidRPr="00D770F2">
        <w:rPr>
          <w:sz w:val="20"/>
        </w:rPr>
        <w:t>(</w:t>
      </w:r>
      <w:hyperlink r:id="rId8" w:history="1">
        <w:r w:rsidR="001B3EE2" w:rsidRPr="00D770F2">
          <w:rPr>
            <w:rStyle w:val="Hyperlink"/>
            <w:sz w:val="20"/>
            <w:szCs w:val="20"/>
          </w:rPr>
          <w:t>37</w:t>
        </w:r>
        <w:r w:rsidR="005F6751" w:rsidRPr="00D770F2">
          <w:rPr>
            <w:rStyle w:val="Hyperlink"/>
            <w:sz w:val="20"/>
          </w:rPr>
          <w:t>4</w:t>
        </w:r>
        <w:r w:rsidR="001B3EE2" w:rsidRPr="00D770F2">
          <w:rPr>
            <w:rStyle w:val="Hyperlink"/>
            <w:sz w:val="20"/>
            <w:szCs w:val="20"/>
          </w:rPr>
          <w:t>6</w:t>
        </w:r>
        <w:r w:rsidR="005F6751" w:rsidRPr="00D770F2">
          <w:rPr>
            <w:rStyle w:val="Hyperlink"/>
            <w:sz w:val="20"/>
          </w:rPr>
          <w:t>9</w:t>
        </w:r>
      </w:hyperlink>
      <w:r w:rsidR="001B3EE2" w:rsidRPr="00D770F2">
        <w:rPr>
          <w:sz w:val="20"/>
        </w:rPr>
        <w:t>)</w:t>
      </w:r>
    </w:p>
    <w:p w:rsidR="0090368C" w:rsidRPr="00D770F2" w:rsidRDefault="0090368C" w:rsidP="00FD3DE0">
      <w:pPr>
        <w:ind w:left="360" w:hanging="360"/>
        <w:jc w:val="both"/>
        <w:rPr>
          <w:sz w:val="20"/>
          <w:lang w:val="en-CA"/>
        </w:rPr>
      </w:pPr>
    </w:p>
    <w:p w:rsidR="0090368C" w:rsidRPr="00D770F2" w:rsidRDefault="0090368C" w:rsidP="00FD3DE0">
      <w:pPr>
        <w:pStyle w:val="ListParagraph"/>
        <w:numPr>
          <w:ilvl w:val="0"/>
          <w:numId w:val="20"/>
        </w:numPr>
        <w:ind w:left="360"/>
        <w:jc w:val="both"/>
        <w:rPr>
          <w:sz w:val="20"/>
          <w:szCs w:val="20"/>
        </w:rPr>
      </w:pPr>
      <w:r w:rsidRPr="00D770F2">
        <w:rPr>
          <w:i/>
          <w:sz w:val="20"/>
          <w:szCs w:val="20"/>
          <w:lang w:val="en-CA"/>
        </w:rPr>
        <w:t xml:space="preserve">Arland Richard Bruce v. Mark Steven Cohon et al. </w:t>
      </w:r>
      <w:r w:rsidRPr="00D770F2">
        <w:rPr>
          <w:sz w:val="20"/>
          <w:szCs w:val="20"/>
          <w:lang w:val="en-CA"/>
        </w:rPr>
        <w:t xml:space="preserve">(B.C.) (Civil) (By Leave) </w:t>
      </w:r>
      <w:r w:rsidR="001B3EE2" w:rsidRPr="00D770F2">
        <w:rPr>
          <w:sz w:val="20"/>
        </w:rPr>
        <w:t>(</w:t>
      </w:r>
      <w:hyperlink r:id="rId9" w:history="1">
        <w:r w:rsidR="001B3EE2" w:rsidRPr="00D770F2">
          <w:rPr>
            <w:rStyle w:val="Hyperlink"/>
            <w:sz w:val="20"/>
            <w:szCs w:val="20"/>
          </w:rPr>
          <w:t>376</w:t>
        </w:r>
        <w:r w:rsidR="005F6751" w:rsidRPr="00D770F2">
          <w:rPr>
            <w:rStyle w:val="Hyperlink"/>
            <w:sz w:val="20"/>
          </w:rPr>
          <w:t>9</w:t>
        </w:r>
        <w:r w:rsidR="001B3EE2" w:rsidRPr="00D770F2">
          <w:rPr>
            <w:rStyle w:val="Hyperlink"/>
            <w:sz w:val="20"/>
            <w:szCs w:val="20"/>
          </w:rPr>
          <w:t>6</w:t>
        </w:r>
      </w:hyperlink>
      <w:r w:rsidR="001B3EE2" w:rsidRPr="00D770F2">
        <w:rPr>
          <w:sz w:val="20"/>
        </w:rPr>
        <w:t>)</w:t>
      </w:r>
    </w:p>
    <w:p w:rsidR="0090368C" w:rsidRPr="00D770F2" w:rsidRDefault="0090368C" w:rsidP="00FD3DE0">
      <w:pPr>
        <w:ind w:left="360" w:hanging="360"/>
        <w:jc w:val="both"/>
        <w:rPr>
          <w:sz w:val="20"/>
        </w:rPr>
      </w:pPr>
    </w:p>
    <w:p w:rsidR="0090368C" w:rsidRPr="00D770F2" w:rsidRDefault="0090368C" w:rsidP="00FD3DE0">
      <w:pPr>
        <w:pStyle w:val="ListParagraph"/>
        <w:numPr>
          <w:ilvl w:val="0"/>
          <w:numId w:val="20"/>
        </w:numPr>
        <w:ind w:left="360"/>
        <w:jc w:val="both"/>
        <w:rPr>
          <w:sz w:val="20"/>
          <w:szCs w:val="20"/>
        </w:rPr>
      </w:pPr>
      <w:r w:rsidRPr="00D770F2">
        <w:rPr>
          <w:i/>
          <w:sz w:val="20"/>
          <w:szCs w:val="20"/>
          <w:lang w:val="en-CA"/>
        </w:rPr>
        <w:t>David Mandel et al. v. Morguard Residential</w:t>
      </w:r>
      <w:r w:rsidRPr="00D770F2">
        <w:rPr>
          <w:sz w:val="20"/>
          <w:szCs w:val="20"/>
          <w:lang w:val="en-CA"/>
        </w:rPr>
        <w:t xml:space="preserve"> (Ont.) (Civil) (By Leave)</w:t>
      </w:r>
      <w:r w:rsidR="001B3EE2" w:rsidRPr="00D770F2">
        <w:rPr>
          <w:sz w:val="20"/>
          <w:lang w:val="en-CA"/>
        </w:rPr>
        <w:t xml:space="preserve"> </w:t>
      </w:r>
      <w:r w:rsidR="001B3EE2" w:rsidRPr="00D770F2">
        <w:rPr>
          <w:sz w:val="20"/>
        </w:rPr>
        <w:t>(</w:t>
      </w:r>
      <w:hyperlink r:id="rId10" w:history="1">
        <w:r w:rsidR="001B3EE2" w:rsidRPr="00D770F2">
          <w:rPr>
            <w:rStyle w:val="Hyperlink"/>
            <w:sz w:val="20"/>
            <w:szCs w:val="20"/>
          </w:rPr>
          <w:t>37</w:t>
        </w:r>
        <w:r w:rsidR="005F6751" w:rsidRPr="00D770F2">
          <w:rPr>
            <w:rStyle w:val="Hyperlink"/>
            <w:sz w:val="20"/>
          </w:rPr>
          <w:t>72</w:t>
        </w:r>
        <w:r w:rsidR="001B3EE2" w:rsidRPr="00D770F2">
          <w:rPr>
            <w:rStyle w:val="Hyperlink"/>
            <w:sz w:val="20"/>
            <w:szCs w:val="20"/>
          </w:rPr>
          <w:t>8</w:t>
        </w:r>
      </w:hyperlink>
      <w:r w:rsidR="001B3EE2" w:rsidRPr="00D770F2">
        <w:rPr>
          <w:sz w:val="20"/>
        </w:rPr>
        <w:t>)</w:t>
      </w:r>
    </w:p>
    <w:p w:rsidR="0090368C" w:rsidRPr="00D770F2" w:rsidRDefault="0090368C" w:rsidP="00FD3DE0">
      <w:pPr>
        <w:ind w:left="360" w:hanging="360"/>
        <w:jc w:val="both"/>
        <w:rPr>
          <w:sz w:val="20"/>
          <w:lang w:val="en-CA"/>
        </w:rPr>
      </w:pPr>
    </w:p>
    <w:p w:rsidR="0090368C" w:rsidRPr="00D770F2" w:rsidRDefault="0090368C" w:rsidP="00FD3DE0">
      <w:pPr>
        <w:pStyle w:val="ListParagraph"/>
        <w:numPr>
          <w:ilvl w:val="0"/>
          <w:numId w:val="20"/>
        </w:numPr>
        <w:ind w:left="360"/>
        <w:jc w:val="both"/>
        <w:rPr>
          <w:sz w:val="20"/>
          <w:szCs w:val="20"/>
          <w:lang w:val="en-CA"/>
        </w:rPr>
      </w:pPr>
      <w:r w:rsidRPr="00D770F2">
        <w:rPr>
          <w:i/>
          <w:sz w:val="20"/>
          <w:szCs w:val="20"/>
          <w:lang w:val="en-CA"/>
        </w:rPr>
        <w:t>Shawn David Olfman v. RBC Life Insurance Company</w:t>
      </w:r>
      <w:r w:rsidRPr="00D770F2">
        <w:rPr>
          <w:sz w:val="20"/>
          <w:szCs w:val="20"/>
          <w:lang w:val="en-CA"/>
        </w:rPr>
        <w:t xml:space="preserve"> (Man.) (Civil) (By Leave)</w:t>
      </w:r>
      <w:r w:rsidR="001B3EE2" w:rsidRPr="00D770F2">
        <w:rPr>
          <w:sz w:val="20"/>
          <w:lang w:val="en-CA"/>
        </w:rPr>
        <w:t xml:space="preserve"> </w:t>
      </w:r>
      <w:r w:rsidR="001B3EE2" w:rsidRPr="00D770F2">
        <w:rPr>
          <w:sz w:val="20"/>
          <w:lang w:val="fr-CA"/>
        </w:rPr>
        <w:t>(</w:t>
      </w:r>
      <w:hyperlink r:id="rId11" w:history="1">
        <w:r w:rsidR="001B3EE2" w:rsidRPr="00D770F2">
          <w:rPr>
            <w:rStyle w:val="Hyperlink"/>
            <w:sz w:val="20"/>
            <w:szCs w:val="20"/>
            <w:lang w:val="fr-CA"/>
          </w:rPr>
          <w:t>3</w:t>
        </w:r>
        <w:r w:rsidR="005E41CC" w:rsidRPr="00D770F2">
          <w:rPr>
            <w:rStyle w:val="Hyperlink"/>
            <w:sz w:val="20"/>
            <w:lang w:val="fr-CA"/>
          </w:rPr>
          <w:t>5875</w:t>
        </w:r>
      </w:hyperlink>
      <w:r w:rsidR="001B3EE2" w:rsidRPr="00D770F2">
        <w:rPr>
          <w:sz w:val="20"/>
          <w:lang w:val="fr-CA"/>
        </w:rPr>
        <w:t>)</w:t>
      </w:r>
    </w:p>
    <w:p w:rsidR="0090368C" w:rsidRPr="00D770F2" w:rsidRDefault="0090368C" w:rsidP="00FD3DE0">
      <w:pPr>
        <w:ind w:left="360" w:hanging="360"/>
        <w:jc w:val="both"/>
        <w:rPr>
          <w:sz w:val="20"/>
          <w:lang w:val="en-CA"/>
        </w:rPr>
      </w:pPr>
    </w:p>
    <w:p w:rsidR="0090368C" w:rsidRPr="00D770F2" w:rsidRDefault="0090368C" w:rsidP="00FD3DE0">
      <w:pPr>
        <w:pStyle w:val="ListParagraph"/>
        <w:numPr>
          <w:ilvl w:val="0"/>
          <w:numId w:val="20"/>
        </w:numPr>
        <w:ind w:left="360"/>
        <w:jc w:val="both"/>
        <w:rPr>
          <w:sz w:val="20"/>
          <w:szCs w:val="20"/>
          <w:lang w:val="fr-FR"/>
        </w:rPr>
      </w:pPr>
      <w:r w:rsidRPr="00D770F2">
        <w:rPr>
          <w:i/>
          <w:sz w:val="20"/>
          <w:szCs w:val="20"/>
          <w:lang w:val="fr-FR"/>
        </w:rPr>
        <w:t>Construction de Castel inc. c. Ellen Paré, ès qualités de juge de la partie XV et a</w:t>
      </w:r>
      <w:r w:rsidR="00701BDD" w:rsidRPr="00D770F2">
        <w:rPr>
          <w:i/>
          <w:sz w:val="20"/>
          <w:szCs w:val="20"/>
          <w:lang w:val="fr-FR"/>
        </w:rPr>
        <w:t>utre</w:t>
      </w:r>
      <w:r w:rsidRPr="00D770F2">
        <w:rPr>
          <w:i/>
          <w:sz w:val="20"/>
          <w:szCs w:val="20"/>
          <w:lang w:val="fr-FR"/>
        </w:rPr>
        <w:t xml:space="preserve"> </w:t>
      </w:r>
      <w:r w:rsidR="00471789" w:rsidRPr="00D770F2">
        <w:rPr>
          <w:sz w:val="20"/>
          <w:lang w:val="fr-FR"/>
        </w:rPr>
        <w:t>(Qc) (Civile) (Autorisation)</w:t>
      </w:r>
      <w:r w:rsidR="001B3EE2" w:rsidRPr="00D770F2">
        <w:rPr>
          <w:sz w:val="20"/>
          <w:lang w:val="fr-FR"/>
        </w:rPr>
        <w:t xml:space="preserve"> </w:t>
      </w:r>
      <w:r w:rsidR="001B3EE2" w:rsidRPr="00D770F2">
        <w:rPr>
          <w:sz w:val="20"/>
          <w:lang w:val="fr-CA"/>
        </w:rPr>
        <w:t>(</w:t>
      </w:r>
      <w:hyperlink r:id="rId12" w:history="1">
        <w:r w:rsidR="001B3EE2" w:rsidRPr="00D770F2">
          <w:rPr>
            <w:rStyle w:val="Hyperlink"/>
            <w:sz w:val="20"/>
            <w:szCs w:val="20"/>
            <w:lang w:val="fr-CA"/>
          </w:rPr>
          <w:t>37</w:t>
        </w:r>
        <w:r w:rsidR="00471789" w:rsidRPr="00D770F2">
          <w:rPr>
            <w:rStyle w:val="Hyperlink"/>
            <w:sz w:val="20"/>
            <w:lang w:val="fr-CA"/>
          </w:rPr>
          <w:t>834</w:t>
        </w:r>
      </w:hyperlink>
      <w:r w:rsidR="001B3EE2" w:rsidRPr="00D770F2">
        <w:rPr>
          <w:sz w:val="20"/>
          <w:lang w:val="fr-CA"/>
        </w:rPr>
        <w:t>)</w:t>
      </w:r>
    </w:p>
    <w:p w:rsidR="0090368C" w:rsidRPr="00D770F2" w:rsidRDefault="0090368C" w:rsidP="00FD3DE0">
      <w:pPr>
        <w:ind w:left="360" w:hanging="360"/>
        <w:jc w:val="both"/>
        <w:rPr>
          <w:sz w:val="20"/>
          <w:lang w:val="fr-FR"/>
        </w:rPr>
      </w:pPr>
    </w:p>
    <w:p w:rsidR="0090368C" w:rsidRPr="00D770F2" w:rsidRDefault="0090368C" w:rsidP="00FD3DE0">
      <w:pPr>
        <w:pStyle w:val="ListParagraph"/>
        <w:numPr>
          <w:ilvl w:val="0"/>
          <w:numId w:val="20"/>
        </w:numPr>
        <w:ind w:left="360"/>
        <w:jc w:val="both"/>
        <w:rPr>
          <w:sz w:val="20"/>
          <w:lang w:val="fr-CA"/>
        </w:rPr>
      </w:pPr>
      <w:r w:rsidRPr="00D770F2">
        <w:rPr>
          <w:i/>
          <w:sz w:val="20"/>
          <w:lang w:val="fr-FR"/>
        </w:rPr>
        <w:t>Camions Daimler Canada ltée c. Camions Sterling de Lévis inc. et a</w:t>
      </w:r>
      <w:r w:rsidR="002C4DD7" w:rsidRPr="00D770F2">
        <w:rPr>
          <w:i/>
          <w:sz w:val="20"/>
          <w:lang w:val="fr-FR"/>
        </w:rPr>
        <w:t>utres</w:t>
      </w:r>
      <w:r w:rsidRPr="00D770F2">
        <w:rPr>
          <w:sz w:val="20"/>
          <w:lang w:val="fr-FR"/>
        </w:rPr>
        <w:t xml:space="preserve"> </w:t>
      </w:r>
      <w:r w:rsidRPr="00D770F2">
        <w:rPr>
          <w:sz w:val="20"/>
          <w:lang w:val="fr-CA"/>
        </w:rPr>
        <w:t>(Qc) (Civile) (Autorisation)</w:t>
      </w:r>
      <w:r w:rsidR="001B3EE2" w:rsidRPr="00D770F2">
        <w:rPr>
          <w:sz w:val="20"/>
          <w:lang w:val="fr-CA"/>
        </w:rPr>
        <w:t xml:space="preserve"> (</w:t>
      </w:r>
      <w:hyperlink r:id="rId13" w:history="1">
        <w:r w:rsidR="001B3EE2" w:rsidRPr="00D770F2">
          <w:rPr>
            <w:rStyle w:val="Hyperlink"/>
            <w:sz w:val="20"/>
            <w:szCs w:val="20"/>
            <w:lang w:val="fr-CA"/>
          </w:rPr>
          <w:t>376</w:t>
        </w:r>
        <w:r w:rsidR="00F50665" w:rsidRPr="00D770F2">
          <w:rPr>
            <w:rStyle w:val="Hyperlink"/>
            <w:sz w:val="20"/>
            <w:lang w:val="fr-CA"/>
          </w:rPr>
          <w:t>95</w:t>
        </w:r>
      </w:hyperlink>
      <w:r w:rsidR="001B3EE2" w:rsidRPr="00D770F2">
        <w:rPr>
          <w:sz w:val="20"/>
          <w:lang w:val="fr-CA"/>
        </w:rPr>
        <w:t>)</w:t>
      </w:r>
    </w:p>
    <w:p w:rsidR="0090368C" w:rsidRPr="00D770F2" w:rsidRDefault="0090368C" w:rsidP="00FD3DE0">
      <w:pPr>
        <w:ind w:left="360" w:hanging="360"/>
        <w:rPr>
          <w:sz w:val="20"/>
          <w:lang w:val="fr-CA"/>
        </w:rPr>
      </w:pPr>
    </w:p>
    <w:p w:rsidR="0090368C" w:rsidRPr="00D770F2" w:rsidRDefault="0090368C" w:rsidP="00FD3DE0">
      <w:pPr>
        <w:pStyle w:val="ListParagraph"/>
        <w:numPr>
          <w:ilvl w:val="0"/>
          <w:numId w:val="20"/>
        </w:numPr>
        <w:ind w:left="360"/>
        <w:jc w:val="both"/>
        <w:rPr>
          <w:sz w:val="20"/>
          <w:szCs w:val="20"/>
          <w:lang w:val="fr-CA"/>
        </w:rPr>
      </w:pPr>
      <w:r w:rsidRPr="00D770F2">
        <w:rPr>
          <w:i/>
          <w:sz w:val="20"/>
          <w:szCs w:val="20"/>
          <w:lang w:val="en-CA"/>
        </w:rPr>
        <w:t>Her Majesty the Queen v. M.H.</w:t>
      </w:r>
      <w:r w:rsidRPr="00D770F2">
        <w:rPr>
          <w:sz w:val="20"/>
          <w:szCs w:val="20"/>
          <w:lang w:val="en-CA"/>
        </w:rPr>
        <w:t xml:space="preserve"> (B.C.) </w:t>
      </w:r>
      <w:r w:rsidRPr="00D770F2">
        <w:rPr>
          <w:sz w:val="20"/>
          <w:szCs w:val="20"/>
          <w:lang w:val="fr-CA"/>
        </w:rPr>
        <w:t>(Criminal) (By Leave)</w:t>
      </w:r>
      <w:r w:rsidR="001B3EE2" w:rsidRPr="00D770F2">
        <w:rPr>
          <w:sz w:val="20"/>
          <w:lang w:val="fr-CA"/>
        </w:rPr>
        <w:t xml:space="preserve"> (</w:t>
      </w:r>
      <w:hyperlink r:id="rId14" w:history="1">
        <w:r w:rsidR="001B3EE2" w:rsidRPr="00D770F2">
          <w:rPr>
            <w:rStyle w:val="Hyperlink"/>
            <w:sz w:val="20"/>
            <w:szCs w:val="20"/>
            <w:lang w:val="fr-CA"/>
          </w:rPr>
          <w:t>37</w:t>
        </w:r>
        <w:r w:rsidR="00F50665" w:rsidRPr="00D770F2">
          <w:rPr>
            <w:rStyle w:val="Hyperlink"/>
            <w:sz w:val="20"/>
            <w:lang w:val="fr-CA"/>
          </w:rPr>
          <w:t>792</w:t>
        </w:r>
      </w:hyperlink>
      <w:r w:rsidR="001B3EE2" w:rsidRPr="00D770F2">
        <w:rPr>
          <w:sz w:val="20"/>
          <w:lang w:val="fr-CA"/>
        </w:rPr>
        <w:t>)</w:t>
      </w:r>
    </w:p>
    <w:p w:rsidR="0090368C" w:rsidRPr="00D770F2" w:rsidRDefault="0090368C" w:rsidP="00FD3DE0">
      <w:pPr>
        <w:ind w:left="360" w:hanging="360"/>
        <w:jc w:val="both"/>
        <w:rPr>
          <w:sz w:val="20"/>
          <w:lang w:val="fr-CA"/>
        </w:rPr>
      </w:pPr>
    </w:p>
    <w:p w:rsidR="0090368C" w:rsidRPr="00D770F2" w:rsidRDefault="0090368C" w:rsidP="00FD3DE0">
      <w:pPr>
        <w:pStyle w:val="ListParagraph"/>
        <w:numPr>
          <w:ilvl w:val="0"/>
          <w:numId w:val="20"/>
        </w:numPr>
        <w:ind w:left="360"/>
        <w:jc w:val="both"/>
        <w:rPr>
          <w:sz w:val="20"/>
          <w:lang w:val="fr-FR"/>
        </w:rPr>
      </w:pPr>
      <w:r w:rsidRPr="00D770F2">
        <w:rPr>
          <w:i/>
          <w:sz w:val="20"/>
          <w:lang w:val="fr-FR"/>
        </w:rPr>
        <w:t>Gestion Éric Tardi</w:t>
      </w:r>
      <w:r w:rsidR="00AA509E" w:rsidRPr="00D770F2">
        <w:rPr>
          <w:i/>
          <w:sz w:val="20"/>
          <w:lang w:val="fr-FR"/>
        </w:rPr>
        <w:t>f</w:t>
      </w:r>
      <w:r w:rsidRPr="00D770F2">
        <w:rPr>
          <w:i/>
          <w:sz w:val="20"/>
          <w:lang w:val="fr-FR"/>
        </w:rPr>
        <w:t xml:space="preserve"> inc., maintenant connue sous le nom de Entreprises T.B. inc. et a</w:t>
      </w:r>
      <w:r w:rsidR="00AA509E" w:rsidRPr="00D770F2">
        <w:rPr>
          <w:i/>
          <w:sz w:val="20"/>
          <w:lang w:val="fr-FR"/>
        </w:rPr>
        <w:t>utre</w:t>
      </w:r>
      <w:r w:rsidRPr="00D770F2">
        <w:rPr>
          <w:i/>
          <w:sz w:val="20"/>
          <w:lang w:val="fr-FR"/>
        </w:rPr>
        <w:t xml:space="preserve"> c. Banque Royal</w:t>
      </w:r>
      <w:r w:rsidR="00AA509E" w:rsidRPr="00D770F2">
        <w:rPr>
          <w:i/>
          <w:sz w:val="20"/>
          <w:lang w:val="fr-FR"/>
        </w:rPr>
        <w:t>e</w:t>
      </w:r>
      <w:r w:rsidRPr="00D770F2">
        <w:rPr>
          <w:i/>
          <w:sz w:val="20"/>
          <w:lang w:val="fr-FR"/>
        </w:rPr>
        <w:t xml:space="preserve"> du Canada </w:t>
      </w:r>
      <w:r w:rsidR="00E7637E" w:rsidRPr="00D770F2">
        <w:rPr>
          <w:sz w:val="20"/>
          <w:lang w:val="fr-FR"/>
        </w:rPr>
        <w:t>(Qc) (Civile) (Autorisation)</w:t>
      </w:r>
      <w:r w:rsidR="001B3EE2" w:rsidRPr="00D770F2">
        <w:rPr>
          <w:sz w:val="20"/>
          <w:lang w:val="fr-FR"/>
        </w:rPr>
        <w:t xml:space="preserve"> </w:t>
      </w:r>
      <w:r w:rsidR="001B3EE2" w:rsidRPr="00D770F2">
        <w:rPr>
          <w:sz w:val="20"/>
          <w:lang w:val="fr-CA"/>
        </w:rPr>
        <w:t>(</w:t>
      </w:r>
      <w:hyperlink r:id="rId15" w:history="1">
        <w:r w:rsidR="001B3EE2" w:rsidRPr="00D770F2">
          <w:rPr>
            <w:rStyle w:val="Hyperlink"/>
            <w:sz w:val="20"/>
            <w:szCs w:val="20"/>
            <w:lang w:val="fr-CA"/>
          </w:rPr>
          <w:t>37</w:t>
        </w:r>
        <w:r w:rsidR="00E7637E" w:rsidRPr="00D770F2">
          <w:rPr>
            <w:rStyle w:val="Hyperlink"/>
            <w:sz w:val="20"/>
            <w:lang w:val="fr-CA"/>
          </w:rPr>
          <w:t>54</w:t>
        </w:r>
        <w:r w:rsidR="001B3EE2" w:rsidRPr="00D770F2">
          <w:rPr>
            <w:rStyle w:val="Hyperlink"/>
            <w:sz w:val="20"/>
            <w:szCs w:val="20"/>
            <w:lang w:val="fr-CA"/>
          </w:rPr>
          <w:t>8</w:t>
        </w:r>
      </w:hyperlink>
      <w:r w:rsidR="001B3EE2" w:rsidRPr="00D770F2">
        <w:rPr>
          <w:sz w:val="20"/>
          <w:lang w:val="fr-CA"/>
        </w:rPr>
        <w:t>)</w:t>
      </w:r>
    </w:p>
    <w:p w:rsidR="00615E96" w:rsidRPr="00D770F2" w:rsidRDefault="00615E96" w:rsidP="00FD3DE0">
      <w:pPr>
        <w:ind w:left="360" w:hanging="360"/>
        <w:jc w:val="both"/>
        <w:rPr>
          <w:sz w:val="20"/>
          <w:lang w:val="fr-CA"/>
        </w:rPr>
      </w:pPr>
    </w:p>
    <w:p w:rsidR="00615E96" w:rsidRPr="00D770F2" w:rsidRDefault="00615E96" w:rsidP="00FD3DE0">
      <w:pPr>
        <w:pStyle w:val="ListParagraph"/>
        <w:numPr>
          <w:ilvl w:val="0"/>
          <w:numId w:val="20"/>
        </w:numPr>
        <w:ind w:left="360"/>
        <w:rPr>
          <w:sz w:val="20"/>
        </w:rPr>
      </w:pPr>
      <w:r w:rsidRPr="00D770F2">
        <w:rPr>
          <w:i/>
          <w:sz w:val="20"/>
        </w:rPr>
        <w:t>Iranian Ministry of Information and Security et al. v. Edwards Tracy, by his Litigation Guardian, Charles Murphy et al.</w:t>
      </w:r>
      <w:r w:rsidRPr="00D770F2">
        <w:rPr>
          <w:sz w:val="20"/>
        </w:rPr>
        <w:t xml:space="preserve"> (Ont.) (Civil) (By Leave)</w:t>
      </w:r>
      <w:r w:rsidR="001B3EE2" w:rsidRPr="00D770F2">
        <w:rPr>
          <w:sz w:val="20"/>
        </w:rPr>
        <w:t xml:space="preserve"> (</w:t>
      </w:r>
      <w:hyperlink r:id="rId16" w:history="1">
        <w:r w:rsidR="001B3EE2" w:rsidRPr="00D770F2">
          <w:rPr>
            <w:rStyle w:val="Hyperlink"/>
            <w:sz w:val="20"/>
            <w:szCs w:val="20"/>
          </w:rPr>
          <w:t>37</w:t>
        </w:r>
        <w:r w:rsidR="0035093A" w:rsidRPr="00D770F2">
          <w:rPr>
            <w:rStyle w:val="Hyperlink"/>
            <w:sz w:val="20"/>
          </w:rPr>
          <w:t>759</w:t>
        </w:r>
      </w:hyperlink>
      <w:r w:rsidR="001B3EE2" w:rsidRPr="00D770F2">
        <w:rPr>
          <w:sz w:val="20"/>
        </w:rPr>
        <w:t>)</w:t>
      </w:r>
    </w:p>
    <w:p w:rsidR="00615E96" w:rsidRPr="00D770F2" w:rsidRDefault="00615E96" w:rsidP="00FD3DE0">
      <w:pPr>
        <w:ind w:left="360" w:hanging="360"/>
        <w:jc w:val="both"/>
        <w:rPr>
          <w:sz w:val="20"/>
        </w:rPr>
      </w:pPr>
    </w:p>
    <w:p w:rsidR="00956115" w:rsidRPr="00D770F2" w:rsidRDefault="00956115" w:rsidP="00FD3DE0">
      <w:pPr>
        <w:pStyle w:val="ListParagraph"/>
        <w:numPr>
          <w:ilvl w:val="0"/>
          <w:numId w:val="20"/>
        </w:numPr>
        <w:ind w:left="360"/>
        <w:jc w:val="both"/>
        <w:rPr>
          <w:sz w:val="20"/>
          <w:szCs w:val="20"/>
          <w:lang w:val="en-CA"/>
        </w:rPr>
      </w:pPr>
      <w:r w:rsidRPr="00D770F2">
        <w:rPr>
          <w:i/>
          <w:sz w:val="20"/>
          <w:szCs w:val="20"/>
          <w:lang w:val="en-CA"/>
        </w:rPr>
        <w:t xml:space="preserve">Deborah Dieckmann v. Her Majesty the Queen </w:t>
      </w:r>
      <w:r w:rsidRPr="00D770F2">
        <w:rPr>
          <w:sz w:val="20"/>
          <w:szCs w:val="20"/>
          <w:lang w:val="en-CA"/>
        </w:rPr>
        <w:t>(Ont.) (Criminal) (By Leave)</w:t>
      </w:r>
      <w:r w:rsidR="001B3EE2" w:rsidRPr="00D770F2">
        <w:rPr>
          <w:sz w:val="20"/>
          <w:lang w:val="en-CA"/>
        </w:rPr>
        <w:t xml:space="preserve"> </w:t>
      </w:r>
      <w:r w:rsidR="001B3EE2" w:rsidRPr="00D770F2">
        <w:rPr>
          <w:sz w:val="20"/>
        </w:rPr>
        <w:t>(</w:t>
      </w:r>
      <w:hyperlink r:id="rId17" w:history="1">
        <w:r w:rsidR="001B3EE2" w:rsidRPr="00D770F2">
          <w:rPr>
            <w:rStyle w:val="Hyperlink"/>
            <w:sz w:val="20"/>
            <w:szCs w:val="20"/>
          </w:rPr>
          <w:t>37</w:t>
        </w:r>
        <w:r w:rsidR="0035093A" w:rsidRPr="00D770F2">
          <w:rPr>
            <w:rStyle w:val="Hyperlink"/>
            <w:sz w:val="20"/>
          </w:rPr>
          <w:t>78</w:t>
        </w:r>
        <w:r w:rsidR="001B3EE2" w:rsidRPr="00D770F2">
          <w:rPr>
            <w:rStyle w:val="Hyperlink"/>
            <w:sz w:val="20"/>
            <w:szCs w:val="20"/>
          </w:rPr>
          <w:t>8</w:t>
        </w:r>
      </w:hyperlink>
      <w:r w:rsidR="001B3EE2" w:rsidRPr="00D770F2">
        <w:rPr>
          <w:sz w:val="20"/>
        </w:rPr>
        <w:t>)</w:t>
      </w:r>
    </w:p>
    <w:p w:rsidR="00956115" w:rsidRPr="00D770F2" w:rsidRDefault="00956115" w:rsidP="00FD3DE0">
      <w:pPr>
        <w:widowControl w:val="0"/>
        <w:ind w:left="360" w:hanging="360"/>
        <w:jc w:val="both"/>
        <w:rPr>
          <w:sz w:val="20"/>
          <w:lang w:val="en-CA"/>
        </w:rPr>
      </w:pPr>
    </w:p>
    <w:p w:rsidR="00956115" w:rsidRPr="00D770F2" w:rsidRDefault="00956115" w:rsidP="00FD3DE0">
      <w:pPr>
        <w:pStyle w:val="ListParagraph"/>
        <w:numPr>
          <w:ilvl w:val="0"/>
          <w:numId w:val="20"/>
        </w:numPr>
        <w:ind w:left="360"/>
        <w:jc w:val="both"/>
        <w:rPr>
          <w:sz w:val="20"/>
          <w:szCs w:val="20"/>
          <w:lang w:val="en-CA"/>
        </w:rPr>
      </w:pPr>
      <w:r w:rsidRPr="00D770F2">
        <w:rPr>
          <w:i/>
          <w:sz w:val="20"/>
          <w:szCs w:val="20"/>
          <w:lang w:val="en-CA"/>
        </w:rPr>
        <w:t>Nazir Karigar v. Her Majesty the Queen</w:t>
      </w:r>
      <w:r w:rsidRPr="00D770F2">
        <w:rPr>
          <w:sz w:val="20"/>
          <w:szCs w:val="20"/>
          <w:lang w:val="en-CA"/>
        </w:rPr>
        <w:t xml:space="preserve"> (Ont.) (Criminal) (By Leave)</w:t>
      </w:r>
      <w:r w:rsidR="001B3EE2" w:rsidRPr="00D770F2">
        <w:rPr>
          <w:sz w:val="20"/>
          <w:lang w:val="en-CA"/>
        </w:rPr>
        <w:t xml:space="preserve"> </w:t>
      </w:r>
      <w:r w:rsidR="001B3EE2" w:rsidRPr="00D770F2">
        <w:rPr>
          <w:sz w:val="20"/>
          <w:lang w:val="fr-CA"/>
        </w:rPr>
        <w:t>(</w:t>
      </w:r>
      <w:hyperlink r:id="rId18" w:history="1">
        <w:r w:rsidR="001B3EE2" w:rsidRPr="00D770F2">
          <w:rPr>
            <w:rStyle w:val="Hyperlink"/>
            <w:sz w:val="20"/>
            <w:szCs w:val="20"/>
            <w:lang w:val="fr-CA"/>
          </w:rPr>
          <w:t>37</w:t>
        </w:r>
        <w:r w:rsidR="0035093A" w:rsidRPr="00D770F2">
          <w:rPr>
            <w:rStyle w:val="Hyperlink"/>
            <w:sz w:val="20"/>
            <w:lang w:val="fr-CA"/>
          </w:rPr>
          <w:t>784</w:t>
        </w:r>
      </w:hyperlink>
      <w:r w:rsidR="001B3EE2" w:rsidRPr="00D770F2">
        <w:rPr>
          <w:sz w:val="20"/>
          <w:lang w:val="fr-CA"/>
        </w:rPr>
        <w:t>)</w:t>
      </w:r>
    </w:p>
    <w:p w:rsidR="00956115" w:rsidRPr="00D770F2" w:rsidRDefault="00956115" w:rsidP="00FD3DE0">
      <w:pPr>
        <w:widowControl w:val="0"/>
        <w:ind w:left="360" w:hanging="360"/>
        <w:jc w:val="both"/>
        <w:rPr>
          <w:sz w:val="20"/>
          <w:lang w:val="en-CA"/>
        </w:rPr>
      </w:pPr>
    </w:p>
    <w:p w:rsidR="00956115" w:rsidRPr="00D770F2" w:rsidRDefault="00956115" w:rsidP="00FD3DE0">
      <w:pPr>
        <w:pStyle w:val="ListParagraph"/>
        <w:numPr>
          <w:ilvl w:val="0"/>
          <w:numId w:val="20"/>
        </w:numPr>
        <w:ind w:left="360"/>
        <w:jc w:val="both"/>
        <w:rPr>
          <w:sz w:val="20"/>
          <w:lang w:val="en-CA"/>
        </w:rPr>
      </w:pPr>
      <w:r w:rsidRPr="00D770F2">
        <w:rPr>
          <w:i/>
          <w:sz w:val="20"/>
          <w:lang w:val="en-CA"/>
        </w:rPr>
        <w:t>Merchant Law Group LLP v. Attorney General of Canada on behalf of Her Majesty the Queen in Right of Canada</w:t>
      </w:r>
      <w:r w:rsidRPr="00D770F2">
        <w:rPr>
          <w:sz w:val="20"/>
          <w:lang w:val="en-CA"/>
        </w:rPr>
        <w:t xml:space="preserve"> (Sask.) (Civil) (By Leave)</w:t>
      </w:r>
      <w:r w:rsidR="001B3EE2" w:rsidRPr="00D770F2">
        <w:rPr>
          <w:sz w:val="20"/>
          <w:lang w:val="en-CA"/>
        </w:rPr>
        <w:t xml:space="preserve"> </w:t>
      </w:r>
      <w:r w:rsidR="001B3EE2" w:rsidRPr="00D770F2">
        <w:rPr>
          <w:sz w:val="20"/>
          <w:lang w:val="fr-CA"/>
        </w:rPr>
        <w:t>(</w:t>
      </w:r>
      <w:hyperlink r:id="rId19" w:history="1">
        <w:r w:rsidR="001B3EE2" w:rsidRPr="00D770F2">
          <w:rPr>
            <w:rStyle w:val="Hyperlink"/>
            <w:sz w:val="20"/>
            <w:szCs w:val="20"/>
            <w:lang w:val="fr-CA"/>
          </w:rPr>
          <w:t>37</w:t>
        </w:r>
        <w:r w:rsidR="00AD620C" w:rsidRPr="00D770F2">
          <w:rPr>
            <w:rStyle w:val="Hyperlink"/>
            <w:sz w:val="20"/>
            <w:lang w:val="fr-CA"/>
          </w:rPr>
          <w:t>794</w:t>
        </w:r>
      </w:hyperlink>
      <w:r w:rsidR="001B3EE2" w:rsidRPr="00D770F2">
        <w:rPr>
          <w:sz w:val="20"/>
          <w:lang w:val="fr-CA"/>
        </w:rPr>
        <w:t>)</w:t>
      </w:r>
    </w:p>
    <w:p w:rsidR="00956115" w:rsidRPr="00D770F2" w:rsidRDefault="00956115" w:rsidP="00FD3DE0">
      <w:pPr>
        <w:widowControl w:val="0"/>
        <w:ind w:left="360" w:hanging="360"/>
        <w:jc w:val="both"/>
        <w:rPr>
          <w:sz w:val="20"/>
          <w:lang w:val="en-CA"/>
        </w:rPr>
      </w:pPr>
    </w:p>
    <w:p w:rsidR="00956115" w:rsidRPr="00D770F2" w:rsidRDefault="00956115" w:rsidP="00FD3DE0">
      <w:pPr>
        <w:pStyle w:val="ListParagraph"/>
        <w:numPr>
          <w:ilvl w:val="0"/>
          <w:numId w:val="20"/>
        </w:numPr>
        <w:ind w:left="360"/>
        <w:jc w:val="both"/>
        <w:rPr>
          <w:sz w:val="20"/>
          <w:szCs w:val="20"/>
          <w:lang w:val="en-CA"/>
        </w:rPr>
      </w:pPr>
      <w:r w:rsidRPr="00D770F2">
        <w:rPr>
          <w:i/>
          <w:sz w:val="20"/>
          <w:szCs w:val="20"/>
          <w:lang w:val="en-CA"/>
        </w:rPr>
        <w:t>Estate of Henry Goldentuler v. Robert Crosbie et al.</w:t>
      </w:r>
      <w:r w:rsidRPr="00D770F2">
        <w:rPr>
          <w:sz w:val="20"/>
          <w:szCs w:val="20"/>
          <w:lang w:val="en-CA"/>
        </w:rPr>
        <w:t xml:space="preserve"> (Ont.) (Civil) (By Leave)</w:t>
      </w:r>
      <w:r w:rsidR="001B3EE2" w:rsidRPr="00D770F2">
        <w:rPr>
          <w:sz w:val="20"/>
          <w:lang w:val="en-CA"/>
        </w:rPr>
        <w:t xml:space="preserve"> </w:t>
      </w:r>
      <w:r w:rsidR="001B3EE2" w:rsidRPr="00D770F2">
        <w:rPr>
          <w:sz w:val="20"/>
        </w:rPr>
        <w:t>(</w:t>
      </w:r>
      <w:hyperlink r:id="rId20" w:history="1">
        <w:r w:rsidR="001B3EE2" w:rsidRPr="00D770F2">
          <w:rPr>
            <w:rStyle w:val="Hyperlink"/>
            <w:sz w:val="20"/>
            <w:szCs w:val="20"/>
          </w:rPr>
          <w:t>37</w:t>
        </w:r>
        <w:r w:rsidR="00442540" w:rsidRPr="00D770F2">
          <w:rPr>
            <w:rStyle w:val="Hyperlink"/>
            <w:sz w:val="20"/>
          </w:rPr>
          <w:t>733</w:t>
        </w:r>
      </w:hyperlink>
      <w:r w:rsidR="001B3EE2" w:rsidRPr="00D770F2">
        <w:rPr>
          <w:sz w:val="20"/>
        </w:rPr>
        <w:t>)</w:t>
      </w:r>
    </w:p>
    <w:p w:rsidR="00956115" w:rsidRPr="00D770F2" w:rsidRDefault="00956115" w:rsidP="00FD3DE0">
      <w:pPr>
        <w:ind w:left="360" w:hanging="360"/>
        <w:jc w:val="both"/>
        <w:rPr>
          <w:sz w:val="20"/>
          <w:lang w:val="en-CA"/>
        </w:rPr>
      </w:pPr>
    </w:p>
    <w:p w:rsidR="00956115" w:rsidRPr="00D770F2" w:rsidRDefault="00956115" w:rsidP="00FD3DE0">
      <w:pPr>
        <w:pStyle w:val="ListParagraph"/>
        <w:numPr>
          <w:ilvl w:val="0"/>
          <w:numId w:val="20"/>
        </w:numPr>
        <w:ind w:left="360"/>
        <w:jc w:val="both"/>
        <w:rPr>
          <w:sz w:val="20"/>
          <w:szCs w:val="20"/>
          <w:lang w:val="en-CA"/>
        </w:rPr>
      </w:pPr>
      <w:r w:rsidRPr="00D770F2">
        <w:rPr>
          <w:i/>
          <w:sz w:val="20"/>
          <w:szCs w:val="20"/>
          <w:lang w:val="en-CA"/>
        </w:rPr>
        <w:t>John Meulendyks et al. v. Her Majesty the Queen</w:t>
      </w:r>
      <w:r w:rsidRPr="00D770F2">
        <w:rPr>
          <w:sz w:val="20"/>
          <w:szCs w:val="20"/>
          <w:lang w:val="en-CA"/>
        </w:rPr>
        <w:t xml:space="preserve"> (Ont.) (Criminal) (By Leave)</w:t>
      </w:r>
      <w:r w:rsidR="001B3EE2" w:rsidRPr="00D770F2">
        <w:rPr>
          <w:sz w:val="20"/>
          <w:lang w:val="en-CA"/>
        </w:rPr>
        <w:t xml:space="preserve"> </w:t>
      </w:r>
      <w:r w:rsidR="001B3EE2" w:rsidRPr="00D770F2">
        <w:rPr>
          <w:sz w:val="20"/>
        </w:rPr>
        <w:t>(</w:t>
      </w:r>
      <w:hyperlink r:id="rId21" w:history="1">
        <w:r w:rsidR="001B3EE2" w:rsidRPr="00D770F2">
          <w:rPr>
            <w:rStyle w:val="Hyperlink"/>
            <w:sz w:val="20"/>
            <w:szCs w:val="20"/>
          </w:rPr>
          <w:t>37</w:t>
        </w:r>
        <w:r w:rsidR="00195688" w:rsidRPr="00D770F2">
          <w:rPr>
            <w:rStyle w:val="Hyperlink"/>
            <w:sz w:val="20"/>
          </w:rPr>
          <w:t>807</w:t>
        </w:r>
      </w:hyperlink>
      <w:r w:rsidR="001B3EE2" w:rsidRPr="00D770F2">
        <w:rPr>
          <w:sz w:val="20"/>
        </w:rPr>
        <w:t>)</w:t>
      </w:r>
    </w:p>
    <w:p w:rsidR="00956115" w:rsidRPr="00D770F2" w:rsidRDefault="00956115" w:rsidP="00FD3DE0">
      <w:pPr>
        <w:ind w:left="360" w:hanging="360"/>
        <w:jc w:val="both"/>
        <w:rPr>
          <w:sz w:val="20"/>
          <w:lang w:val="en-CA"/>
        </w:rPr>
      </w:pPr>
    </w:p>
    <w:p w:rsidR="00956115" w:rsidRPr="00D770F2" w:rsidRDefault="00956115" w:rsidP="00FD3DE0">
      <w:pPr>
        <w:pStyle w:val="ListParagraph"/>
        <w:numPr>
          <w:ilvl w:val="0"/>
          <w:numId w:val="20"/>
        </w:numPr>
        <w:ind w:left="360"/>
        <w:jc w:val="both"/>
        <w:rPr>
          <w:sz w:val="20"/>
          <w:szCs w:val="20"/>
          <w:lang w:val="en-CA"/>
        </w:rPr>
      </w:pPr>
      <w:r w:rsidRPr="00D770F2">
        <w:rPr>
          <w:i/>
          <w:sz w:val="20"/>
          <w:szCs w:val="20"/>
          <w:lang w:val="en-CA"/>
        </w:rPr>
        <w:t>Aviva Insurance Company of Canada v. Erin Dittmann</w:t>
      </w:r>
      <w:r w:rsidRPr="00D770F2">
        <w:rPr>
          <w:sz w:val="20"/>
          <w:szCs w:val="20"/>
          <w:lang w:val="en-CA"/>
        </w:rPr>
        <w:t xml:space="preserve"> (Ont.) (Civil) (By Leave)</w:t>
      </w:r>
      <w:r w:rsidR="001B3EE2" w:rsidRPr="00D770F2">
        <w:rPr>
          <w:sz w:val="20"/>
          <w:lang w:val="en-CA"/>
        </w:rPr>
        <w:t xml:space="preserve"> </w:t>
      </w:r>
      <w:r w:rsidR="001B3EE2" w:rsidRPr="00D770F2">
        <w:rPr>
          <w:sz w:val="20"/>
          <w:lang w:val="fr-CA"/>
        </w:rPr>
        <w:t>(</w:t>
      </w:r>
      <w:hyperlink r:id="rId22" w:history="1">
        <w:r w:rsidR="001B3EE2" w:rsidRPr="00D770F2">
          <w:rPr>
            <w:rStyle w:val="Hyperlink"/>
            <w:sz w:val="20"/>
            <w:szCs w:val="20"/>
            <w:lang w:val="fr-CA"/>
          </w:rPr>
          <w:t>37</w:t>
        </w:r>
        <w:r w:rsidR="00195688" w:rsidRPr="00D770F2">
          <w:rPr>
            <w:rStyle w:val="Hyperlink"/>
            <w:sz w:val="20"/>
            <w:lang w:val="fr-CA"/>
          </w:rPr>
          <w:t>7</w:t>
        </w:r>
        <w:r w:rsidR="001B3EE2" w:rsidRPr="00D770F2">
          <w:rPr>
            <w:rStyle w:val="Hyperlink"/>
            <w:sz w:val="20"/>
            <w:szCs w:val="20"/>
            <w:lang w:val="fr-CA"/>
          </w:rPr>
          <w:t>6</w:t>
        </w:r>
        <w:r w:rsidR="00195688" w:rsidRPr="00D770F2">
          <w:rPr>
            <w:rStyle w:val="Hyperlink"/>
            <w:sz w:val="20"/>
            <w:lang w:val="fr-CA"/>
          </w:rPr>
          <w:t>2</w:t>
        </w:r>
      </w:hyperlink>
      <w:r w:rsidR="001B3EE2" w:rsidRPr="00D770F2">
        <w:rPr>
          <w:sz w:val="20"/>
          <w:lang w:val="fr-CA"/>
        </w:rPr>
        <w:t>)</w:t>
      </w:r>
    </w:p>
    <w:p w:rsidR="00615E96" w:rsidRPr="00D770F2" w:rsidRDefault="00615E96" w:rsidP="00FD3DE0">
      <w:pPr>
        <w:ind w:left="360" w:hanging="360"/>
        <w:jc w:val="both"/>
        <w:rPr>
          <w:sz w:val="20"/>
        </w:rPr>
      </w:pPr>
    </w:p>
    <w:p w:rsidR="00956115" w:rsidRPr="00D770F2" w:rsidRDefault="00956115" w:rsidP="00FD3DE0">
      <w:pPr>
        <w:pStyle w:val="ListParagraph"/>
        <w:numPr>
          <w:ilvl w:val="0"/>
          <w:numId w:val="20"/>
        </w:numPr>
        <w:ind w:left="360"/>
        <w:jc w:val="both"/>
        <w:rPr>
          <w:sz w:val="20"/>
          <w:lang w:val="en-CA"/>
        </w:rPr>
      </w:pPr>
      <w:r w:rsidRPr="00D770F2">
        <w:rPr>
          <w:i/>
          <w:sz w:val="20"/>
          <w:lang w:val="en-CA"/>
        </w:rPr>
        <w:t>Brenlee Kemp on her own behalf and as Executrix of the Estate of Shannon Jean Kemp, deceased v. Vancouver Coastal Health Authority Ltd., dba Vancouver General Hospital et al.</w:t>
      </w:r>
      <w:r w:rsidRPr="00D770F2">
        <w:rPr>
          <w:sz w:val="20"/>
          <w:lang w:val="en-CA"/>
        </w:rPr>
        <w:t xml:space="preserve"> (B.C.) (Civil) (By Leave)</w:t>
      </w:r>
      <w:r w:rsidR="001B3EE2" w:rsidRPr="00D770F2">
        <w:rPr>
          <w:sz w:val="20"/>
          <w:lang w:val="en-CA"/>
        </w:rPr>
        <w:t xml:space="preserve"> </w:t>
      </w:r>
      <w:r w:rsidR="001B3EE2" w:rsidRPr="00D770F2">
        <w:rPr>
          <w:sz w:val="20"/>
        </w:rPr>
        <w:t>(</w:t>
      </w:r>
      <w:hyperlink r:id="rId23" w:history="1">
        <w:r w:rsidR="001B3EE2" w:rsidRPr="00D770F2">
          <w:rPr>
            <w:rStyle w:val="Hyperlink"/>
            <w:sz w:val="20"/>
            <w:szCs w:val="20"/>
          </w:rPr>
          <w:t>37</w:t>
        </w:r>
        <w:r w:rsidR="00195688" w:rsidRPr="00D770F2">
          <w:rPr>
            <w:rStyle w:val="Hyperlink"/>
            <w:sz w:val="20"/>
          </w:rPr>
          <w:t>734</w:t>
        </w:r>
      </w:hyperlink>
      <w:r w:rsidR="001B3EE2" w:rsidRPr="00D770F2">
        <w:rPr>
          <w:sz w:val="20"/>
        </w:rPr>
        <w:t>)</w:t>
      </w:r>
    </w:p>
    <w:p w:rsidR="00EC6001" w:rsidRPr="00D770F2" w:rsidRDefault="00EC6001" w:rsidP="00957A1E">
      <w:pPr>
        <w:jc w:val="both"/>
        <w:rPr>
          <w:sz w:val="20"/>
        </w:rPr>
      </w:pPr>
    </w:p>
    <w:p w:rsidR="004441C7" w:rsidRPr="00D770F2" w:rsidRDefault="004441C7" w:rsidP="00957A1E">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591A8C" w:rsidRPr="00D770F2" w:rsidTr="006F56EE">
        <w:trPr>
          <w:gridAfter w:val="1"/>
          <w:wAfter w:w="48" w:type="pct"/>
        </w:trPr>
        <w:tc>
          <w:tcPr>
            <w:tcW w:w="538" w:type="pct"/>
          </w:tcPr>
          <w:p w:rsidR="00591A8C" w:rsidRPr="00D770F2" w:rsidRDefault="00591A8C" w:rsidP="006F56EE">
            <w:pPr>
              <w:jc w:val="both"/>
              <w:rPr>
                <w:sz w:val="20"/>
                <w:lang w:val="en-CA"/>
              </w:rPr>
            </w:pPr>
            <w:r w:rsidRPr="00D770F2">
              <w:rPr>
                <w:rStyle w:val="SCCFileNumberChar"/>
                <w:sz w:val="20"/>
                <w:szCs w:val="20"/>
              </w:rPr>
              <w:t>37760</w:t>
            </w:r>
          </w:p>
        </w:tc>
        <w:tc>
          <w:tcPr>
            <w:tcW w:w="4414" w:type="pct"/>
            <w:gridSpan w:val="3"/>
          </w:tcPr>
          <w:p w:rsidR="00591A8C" w:rsidRPr="00D770F2" w:rsidRDefault="00591A8C" w:rsidP="006F56EE">
            <w:pPr>
              <w:pStyle w:val="SCCLsocParty"/>
              <w:jc w:val="both"/>
              <w:rPr>
                <w:b/>
                <w:sz w:val="20"/>
                <w:szCs w:val="20"/>
                <w:lang w:val="en-CA"/>
              </w:rPr>
            </w:pPr>
            <w:r w:rsidRPr="00D770F2">
              <w:rPr>
                <w:b/>
                <w:sz w:val="20"/>
                <w:szCs w:val="20"/>
                <w:lang w:val="en-CA"/>
              </w:rPr>
              <w:t>Her Majesty the Queen v. Marc Cyr-Langlois</w:t>
            </w:r>
          </w:p>
          <w:p w:rsidR="00591A8C" w:rsidRPr="00D770F2" w:rsidRDefault="00591A8C" w:rsidP="006F56EE">
            <w:pPr>
              <w:jc w:val="both"/>
              <w:rPr>
                <w:sz w:val="20"/>
                <w:lang w:val="en-CA"/>
              </w:rPr>
            </w:pPr>
            <w:r w:rsidRPr="00D770F2">
              <w:rPr>
                <w:sz w:val="20"/>
                <w:lang w:val="en-CA"/>
              </w:rPr>
              <w:t>(Que.) (Criminal) (By Leave)</w:t>
            </w:r>
          </w:p>
        </w:tc>
      </w:tr>
      <w:tr w:rsidR="00591A8C" w:rsidRPr="00D770F2" w:rsidTr="006F56EE">
        <w:trPr>
          <w:gridAfter w:val="1"/>
          <w:wAfter w:w="48" w:type="pct"/>
        </w:trPr>
        <w:tc>
          <w:tcPr>
            <w:tcW w:w="4952" w:type="pct"/>
            <w:gridSpan w:val="4"/>
          </w:tcPr>
          <w:p w:rsidR="00591A8C" w:rsidRPr="00D770F2" w:rsidRDefault="00591A8C" w:rsidP="006F56EE">
            <w:pPr>
              <w:jc w:val="both"/>
              <w:rPr>
                <w:sz w:val="20"/>
                <w:lang w:val="en-CA"/>
              </w:rPr>
            </w:pPr>
            <w:proofErr w:type="gramStart"/>
            <w:r w:rsidRPr="00D770F2">
              <w:rPr>
                <w:sz w:val="20"/>
                <w:lang w:val="en-CA"/>
              </w:rPr>
              <w:t>Criminal law – Evidence – Presumption of accuracy and presumptions of identity in prosecutions for driving with blood alcohol level over legal limit – Failure to observe accused prior to administration of breathalyzer test – Whether recommendations have effect of creating additional burden of proof for Crown, with respect to improper operation of breathalyzer instrument, in order for Crown to benefit from presumptions of accuracy and identity in s. 258 Cr.C. – Whether accused can discharge burden of proving improper operation of breathalyzer instrument on basis of mere theoretical possibility of inaccurate result rather than evidence of direct connection between improper operation and reliability of results.</w:t>
            </w:r>
            <w:proofErr w:type="gramEnd"/>
          </w:p>
        </w:tc>
      </w:tr>
      <w:tr w:rsidR="00591A8C" w:rsidRPr="00D770F2" w:rsidTr="006F56EE">
        <w:trPr>
          <w:gridAfter w:val="1"/>
          <w:wAfter w:w="48" w:type="pct"/>
        </w:trPr>
        <w:tc>
          <w:tcPr>
            <w:tcW w:w="4952" w:type="pct"/>
            <w:gridSpan w:val="4"/>
          </w:tcPr>
          <w:p w:rsidR="00591A8C" w:rsidRPr="00D770F2" w:rsidRDefault="00591A8C" w:rsidP="006F56EE">
            <w:pPr>
              <w:jc w:val="both"/>
              <w:rPr>
                <w:sz w:val="20"/>
                <w:lang w:val="en-CA"/>
              </w:rPr>
            </w:pPr>
          </w:p>
        </w:tc>
      </w:tr>
      <w:tr w:rsidR="00591A8C" w:rsidRPr="00D770F2" w:rsidTr="006F56EE">
        <w:trPr>
          <w:gridAfter w:val="1"/>
          <w:wAfter w:w="48" w:type="pct"/>
        </w:trPr>
        <w:tc>
          <w:tcPr>
            <w:tcW w:w="4952" w:type="pct"/>
            <w:gridSpan w:val="4"/>
          </w:tcPr>
          <w:p w:rsidR="00591A8C" w:rsidRPr="00D770F2" w:rsidRDefault="00591A8C" w:rsidP="006F56EE">
            <w:pPr>
              <w:jc w:val="both"/>
              <w:rPr>
                <w:sz w:val="20"/>
                <w:lang w:val="en-CA"/>
              </w:rPr>
            </w:pPr>
            <w:r w:rsidRPr="00D770F2">
              <w:rPr>
                <w:sz w:val="20"/>
                <w:lang w:val="en-CA"/>
              </w:rPr>
              <w:t xml:space="preserve">Mr. Cyr-Langlois </w:t>
            </w:r>
            <w:proofErr w:type="gramStart"/>
            <w:r w:rsidRPr="00D770F2">
              <w:rPr>
                <w:sz w:val="20"/>
                <w:lang w:val="en-CA"/>
              </w:rPr>
              <w:t>was charged</w:t>
            </w:r>
            <w:proofErr w:type="gramEnd"/>
            <w:r w:rsidRPr="00D770F2">
              <w:rPr>
                <w:sz w:val="20"/>
                <w:lang w:val="en-CA"/>
              </w:rPr>
              <w:t xml:space="preserve"> with two counts of impaired driving.</w:t>
            </w:r>
          </w:p>
          <w:p w:rsidR="00591A8C" w:rsidRPr="00D770F2" w:rsidRDefault="00591A8C" w:rsidP="006F56EE">
            <w:pPr>
              <w:jc w:val="both"/>
              <w:rPr>
                <w:sz w:val="20"/>
                <w:lang w:val="en-CA"/>
              </w:rPr>
            </w:pPr>
          </w:p>
          <w:p w:rsidR="00591A8C" w:rsidRPr="00D770F2" w:rsidRDefault="00591A8C" w:rsidP="006F56EE">
            <w:pPr>
              <w:jc w:val="both"/>
              <w:rPr>
                <w:sz w:val="20"/>
                <w:lang w:val="en-CA"/>
              </w:rPr>
            </w:pPr>
            <w:r w:rsidRPr="00D770F2">
              <w:rPr>
                <w:sz w:val="20"/>
                <w:lang w:val="en-CA"/>
              </w:rPr>
              <w:t xml:space="preserve">He </w:t>
            </w:r>
            <w:proofErr w:type="gramStart"/>
            <w:r w:rsidRPr="00D770F2">
              <w:rPr>
                <w:sz w:val="20"/>
                <w:lang w:val="en-CA"/>
              </w:rPr>
              <w:t>was stopped while driving his vehicle and taken to the police station for a breathalyzer test</w:t>
            </w:r>
            <w:proofErr w:type="gramEnd"/>
            <w:r w:rsidRPr="00D770F2">
              <w:rPr>
                <w:sz w:val="20"/>
                <w:lang w:val="en-CA"/>
              </w:rPr>
              <w:t xml:space="preserve">. He </w:t>
            </w:r>
            <w:proofErr w:type="gramStart"/>
            <w:r w:rsidRPr="00D770F2">
              <w:rPr>
                <w:sz w:val="20"/>
                <w:lang w:val="en-CA"/>
              </w:rPr>
              <w:t>was put</w:t>
            </w:r>
            <w:proofErr w:type="gramEnd"/>
            <w:r w:rsidRPr="00D770F2">
              <w:rPr>
                <w:sz w:val="20"/>
                <w:lang w:val="en-CA"/>
              </w:rPr>
              <w:t xml:space="preserve"> in an interrogation room around 12:58 a.m. The two police officers were busy taking the steps required for Mr. Cyr-Langlois to exercise his right to counsel and preparing the breathalyzer device. As a result, they failed to observe Mr. Cyr-Langlois during the 20 minutes preceding the breathalyzer test. The first blood alcohol test </w:t>
            </w:r>
            <w:proofErr w:type="gramStart"/>
            <w:r w:rsidRPr="00D770F2">
              <w:rPr>
                <w:sz w:val="20"/>
                <w:lang w:val="en-CA"/>
              </w:rPr>
              <w:t>was administered</w:t>
            </w:r>
            <w:proofErr w:type="gramEnd"/>
            <w:r w:rsidRPr="00D770F2">
              <w:rPr>
                <w:sz w:val="20"/>
                <w:lang w:val="en-CA"/>
              </w:rPr>
              <w:t xml:space="preserve"> at 1:08 a.m. and the second at 1:30 a.m. The results showed a blood alcohol level exceeding 80 mg of alcohol in 100 mL of blood</w:t>
            </w:r>
            <w:r w:rsidR="006F56EE" w:rsidRPr="00D770F2">
              <w:rPr>
                <w:sz w:val="20"/>
                <w:lang w:val="en-CA"/>
              </w:rPr>
              <w:t>.</w:t>
            </w:r>
          </w:p>
          <w:p w:rsidR="00591A8C" w:rsidRPr="00D770F2" w:rsidRDefault="00591A8C" w:rsidP="006F56EE">
            <w:pPr>
              <w:jc w:val="both"/>
              <w:rPr>
                <w:sz w:val="20"/>
                <w:lang w:val="en-CA"/>
              </w:rPr>
            </w:pPr>
          </w:p>
          <w:p w:rsidR="00591A8C" w:rsidRPr="00D770F2" w:rsidRDefault="00591A8C" w:rsidP="006F56EE">
            <w:pPr>
              <w:jc w:val="both"/>
              <w:rPr>
                <w:sz w:val="20"/>
                <w:lang w:val="en-CA"/>
              </w:rPr>
            </w:pPr>
            <w:r w:rsidRPr="00D770F2">
              <w:rPr>
                <w:sz w:val="20"/>
                <w:lang w:val="en-CA"/>
              </w:rPr>
              <w:t xml:space="preserve">At trial, the issue was whether the officer who had operated the breathalyzer instrument had completed the necessary observation period before administering the test and whether evidence that the observation period had not been complied with could deprive the Crown of the presumptions established by s. 258(1)(c) of the </w:t>
            </w:r>
            <w:r w:rsidRPr="00D770F2">
              <w:rPr>
                <w:i/>
                <w:sz w:val="20"/>
                <w:lang w:val="en-CA"/>
              </w:rPr>
              <w:t>Criminal Code</w:t>
            </w:r>
            <w:r w:rsidR="006F56EE" w:rsidRPr="00D770F2">
              <w:rPr>
                <w:sz w:val="20"/>
                <w:lang w:val="en-CA"/>
              </w:rPr>
              <w:t>.</w:t>
            </w:r>
          </w:p>
          <w:p w:rsidR="00591A8C" w:rsidRPr="00D770F2" w:rsidRDefault="00591A8C" w:rsidP="006F56EE">
            <w:pPr>
              <w:jc w:val="both"/>
              <w:rPr>
                <w:sz w:val="20"/>
                <w:lang w:val="en-CA"/>
              </w:rPr>
            </w:pPr>
          </w:p>
        </w:tc>
      </w:tr>
      <w:tr w:rsidR="00591A8C" w:rsidRPr="00D770F2" w:rsidTr="006F56EE">
        <w:tblPrEx>
          <w:tblCellMar>
            <w:bottom w:w="0" w:type="dxa"/>
          </w:tblCellMar>
        </w:tblPrEx>
        <w:tc>
          <w:tcPr>
            <w:tcW w:w="2367" w:type="pct"/>
            <w:gridSpan w:val="2"/>
          </w:tcPr>
          <w:p w:rsidR="00591A8C" w:rsidRPr="00D770F2" w:rsidRDefault="00591A8C" w:rsidP="006F56EE">
            <w:pPr>
              <w:jc w:val="both"/>
              <w:rPr>
                <w:sz w:val="20"/>
                <w:lang w:val="en-CA"/>
              </w:rPr>
            </w:pPr>
            <w:r w:rsidRPr="00D770F2">
              <w:rPr>
                <w:sz w:val="20"/>
                <w:lang w:val="en-CA"/>
              </w:rPr>
              <w:t>December 19, 2014</w:t>
            </w:r>
          </w:p>
          <w:p w:rsidR="00591A8C" w:rsidRPr="00D770F2" w:rsidRDefault="00591A8C" w:rsidP="006F56EE">
            <w:pPr>
              <w:jc w:val="both"/>
              <w:rPr>
                <w:sz w:val="20"/>
                <w:lang w:val="en-CA"/>
              </w:rPr>
            </w:pPr>
            <w:r w:rsidRPr="00D770F2">
              <w:rPr>
                <w:sz w:val="20"/>
                <w:lang w:val="en-CA"/>
              </w:rPr>
              <w:t>Court of Québec</w:t>
            </w:r>
          </w:p>
          <w:p w:rsidR="00591A8C" w:rsidRPr="00D770F2" w:rsidRDefault="00591A8C" w:rsidP="006F56EE">
            <w:pPr>
              <w:jc w:val="both"/>
              <w:rPr>
                <w:sz w:val="20"/>
                <w:lang w:val="en-CA"/>
              </w:rPr>
            </w:pPr>
            <w:r w:rsidRPr="00D770F2">
              <w:rPr>
                <w:sz w:val="20"/>
                <w:lang w:val="en-CA"/>
              </w:rPr>
              <w:t>(Judge Richer)</w:t>
            </w:r>
          </w:p>
          <w:p w:rsidR="00591A8C" w:rsidRPr="00D770F2" w:rsidRDefault="00591A8C" w:rsidP="006F56EE">
            <w:pPr>
              <w:jc w:val="both"/>
              <w:rPr>
                <w:sz w:val="20"/>
                <w:lang w:val="en-CA"/>
              </w:rPr>
            </w:pPr>
            <w:r w:rsidRPr="00D770F2">
              <w:rPr>
                <w:sz w:val="20"/>
                <w:lang w:val="en-CA"/>
              </w:rPr>
              <w:t>No. 700-01-113752-128</w:t>
            </w:r>
          </w:p>
          <w:p w:rsidR="00591A8C" w:rsidRPr="00D770F2" w:rsidRDefault="00591A8C" w:rsidP="006F56EE">
            <w:pPr>
              <w:jc w:val="both"/>
              <w:rPr>
                <w:sz w:val="20"/>
                <w:lang w:val="en-CA"/>
              </w:rPr>
            </w:pPr>
          </w:p>
        </w:tc>
        <w:tc>
          <w:tcPr>
            <w:tcW w:w="267" w:type="pct"/>
          </w:tcPr>
          <w:p w:rsidR="00591A8C" w:rsidRPr="00D770F2" w:rsidRDefault="00591A8C" w:rsidP="006F56EE">
            <w:pPr>
              <w:jc w:val="both"/>
              <w:rPr>
                <w:sz w:val="20"/>
                <w:lang w:val="en-CA"/>
              </w:rPr>
            </w:pPr>
          </w:p>
        </w:tc>
        <w:tc>
          <w:tcPr>
            <w:tcW w:w="2366" w:type="pct"/>
            <w:gridSpan w:val="2"/>
          </w:tcPr>
          <w:p w:rsidR="00591A8C" w:rsidRPr="00D770F2" w:rsidRDefault="00591A8C" w:rsidP="006F56EE">
            <w:pPr>
              <w:jc w:val="both"/>
              <w:rPr>
                <w:sz w:val="20"/>
                <w:lang w:val="en-CA"/>
              </w:rPr>
            </w:pPr>
            <w:r w:rsidRPr="00D770F2">
              <w:rPr>
                <w:sz w:val="20"/>
                <w:lang w:val="en-CA"/>
              </w:rPr>
              <w:t>Accused acquitted of two counts of impaired driving</w:t>
            </w:r>
          </w:p>
          <w:p w:rsidR="00591A8C" w:rsidRPr="00D770F2" w:rsidRDefault="00591A8C" w:rsidP="006F56EE">
            <w:pPr>
              <w:jc w:val="both"/>
              <w:rPr>
                <w:sz w:val="20"/>
                <w:lang w:val="en-CA"/>
              </w:rPr>
            </w:pPr>
          </w:p>
        </w:tc>
      </w:tr>
      <w:tr w:rsidR="00591A8C" w:rsidRPr="00D770F2" w:rsidTr="006F56EE">
        <w:tblPrEx>
          <w:tblCellMar>
            <w:bottom w:w="0" w:type="dxa"/>
          </w:tblCellMar>
        </w:tblPrEx>
        <w:tc>
          <w:tcPr>
            <w:tcW w:w="2367" w:type="pct"/>
            <w:gridSpan w:val="2"/>
          </w:tcPr>
          <w:p w:rsidR="00591A8C" w:rsidRPr="00D770F2" w:rsidRDefault="00591A8C" w:rsidP="006F56EE">
            <w:pPr>
              <w:jc w:val="both"/>
              <w:rPr>
                <w:sz w:val="20"/>
                <w:lang w:val="en-CA"/>
              </w:rPr>
            </w:pPr>
            <w:r w:rsidRPr="00D770F2">
              <w:rPr>
                <w:sz w:val="20"/>
                <w:lang w:val="en-CA"/>
              </w:rPr>
              <w:t>September 16, 2015</w:t>
            </w:r>
          </w:p>
          <w:p w:rsidR="00591A8C" w:rsidRPr="00D770F2" w:rsidRDefault="00591A8C" w:rsidP="006F56EE">
            <w:pPr>
              <w:jc w:val="both"/>
              <w:rPr>
                <w:sz w:val="20"/>
                <w:lang w:val="en-CA"/>
              </w:rPr>
            </w:pPr>
            <w:r w:rsidRPr="00D770F2">
              <w:rPr>
                <w:sz w:val="20"/>
                <w:lang w:val="en-CA"/>
              </w:rPr>
              <w:t>Quebec Superior Court</w:t>
            </w:r>
          </w:p>
          <w:p w:rsidR="00591A8C" w:rsidRPr="00D770F2" w:rsidRDefault="00591A8C" w:rsidP="006F56EE">
            <w:pPr>
              <w:jc w:val="both"/>
              <w:rPr>
                <w:sz w:val="20"/>
                <w:lang w:val="en-CA"/>
              </w:rPr>
            </w:pPr>
            <w:r w:rsidRPr="00D770F2">
              <w:rPr>
                <w:sz w:val="20"/>
                <w:lang w:val="en-CA"/>
              </w:rPr>
              <w:t>(Zigman J.)</w:t>
            </w:r>
          </w:p>
          <w:p w:rsidR="00591A8C" w:rsidRPr="00D770F2" w:rsidRDefault="009479D6" w:rsidP="006F56EE">
            <w:pPr>
              <w:jc w:val="both"/>
              <w:rPr>
                <w:sz w:val="20"/>
                <w:lang w:val="en-CA"/>
              </w:rPr>
            </w:pPr>
            <w:hyperlink r:id="rId24" w:history="1">
              <w:r w:rsidR="00591A8C" w:rsidRPr="00D770F2">
                <w:rPr>
                  <w:rStyle w:val="Hyperlink"/>
                  <w:sz w:val="20"/>
                  <w:lang w:val="en-CA"/>
                </w:rPr>
                <w:t>2015 QCCS 4369</w:t>
              </w:r>
            </w:hyperlink>
          </w:p>
          <w:p w:rsidR="00591A8C" w:rsidRPr="00D770F2" w:rsidRDefault="00591A8C" w:rsidP="006F56EE">
            <w:pPr>
              <w:jc w:val="both"/>
              <w:rPr>
                <w:sz w:val="20"/>
                <w:lang w:val="en-CA"/>
              </w:rPr>
            </w:pPr>
          </w:p>
        </w:tc>
        <w:tc>
          <w:tcPr>
            <w:tcW w:w="267" w:type="pct"/>
          </w:tcPr>
          <w:p w:rsidR="00591A8C" w:rsidRPr="00D770F2" w:rsidRDefault="00591A8C" w:rsidP="006F56EE">
            <w:pPr>
              <w:jc w:val="both"/>
              <w:rPr>
                <w:sz w:val="20"/>
                <w:lang w:val="en-CA"/>
              </w:rPr>
            </w:pPr>
          </w:p>
        </w:tc>
        <w:tc>
          <w:tcPr>
            <w:tcW w:w="2366" w:type="pct"/>
            <w:gridSpan w:val="2"/>
          </w:tcPr>
          <w:p w:rsidR="00591A8C" w:rsidRPr="00D770F2" w:rsidRDefault="00591A8C" w:rsidP="006F56EE">
            <w:pPr>
              <w:jc w:val="both"/>
              <w:rPr>
                <w:sz w:val="20"/>
                <w:lang w:val="en-CA"/>
              </w:rPr>
            </w:pPr>
            <w:r w:rsidRPr="00D770F2">
              <w:rPr>
                <w:sz w:val="20"/>
                <w:lang w:val="en-CA"/>
              </w:rPr>
              <w:t>Appeal allowed; new trial ordered</w:t>
            </w:r>
          </w:p>
          <w:p w:rsidR="00591A8C" w:rsidRPr="00D770F2" w:rsidRDefault="00591A8C" w:rsidP="006F56EE">
            <w:pPr>
              <w:jc w:val="both"/>
              <w:rPr>
                <w:sz w:val="20"/>
                <w:lang w:val="en-CA"/>
              </w:rPr>
            </w:pPr>
          </w:p>
        </w:tc>
      </w:tr>
      <w:tr w:rsidR="00591A8C" w:rsidRPr="00D770F2" w:rsidTr="006F56EE">
        <w:tblPrEx>
          <w:tblCellMar>
            <w:bottom w:w="0" w:type="dxa"/>
          </w:tblCellMar>
        </w:tblPrEx>
        <w:tc>
          <w:tcPr>
            <w:tcW w:w="2367" w:type="pct"/>
            <w:gridSpan w:val="2"/>
          </w:tcPr>
          <w:p w:rsidR="00591A8C" w:rsidRPr="00D770F2" w:rsidRDefault="00591A8C" w:rsidP="006F56EE">
            <w:pPr>
              <w:jc w:val="both"/>
              <w:rPr>
                <w:sz w:val="20"/>
                <w:lang w:val="en-CA"/>
              </w:rPr>
            </w:pPr>
            <w:r w:rsidRPr="00D770F2">
              <w:rPr>
                <w:sz w:val="20"/>
                <w:lang w:val="en-CA"/>
              </w:rPr>
              <w:t>June 29, 2017</w:t>
            </w:r>
          </w:p>
          <w:p w:rsidR="00591A8C" w:rsidRPr="00D770F2" w:rsidRDefault="00591A8C" w:rsidP="006F56EE">
            <w:pPr>
              <w:jc w:val="both"/>
              <w:rPr>
                <w:sz w:val="20"/>
                <w:lang w:val="en-CA"/>
              </w:rPr>
            </w:pPr>
            <w:r w:rsidRPr="00D770F2">
              <w:rPr>
                <w:sz w:val="20"/>
                <w:lang w:val="en-CA"/>
              </w:rPr>
              <w:t>Quebec Court of Appeal (Montréal)</w:t>
            </w:r>
          </w:p>
          <w:p w:rsidR="00591A8C" w:rsidRPr="00D770F2" w:rsidRDefault="00591A8C" w:rsidP="006F56EE">
            <w:pPr>
              <w:jc w:val="both"/>
              <w:rPr>
                <w:sz w:val="20"/>
                <w:lang w:val="en-CA"/>
              </w:rPr>
            </w:pPr>
            <w:r w:rsidRPr="00D770F2">
              <w:rPr>
                <w:sz w:val="20"/>
                <w:lang w:val="en-CA"/>
              </w:rPr>
              <w:t>(Chamberland and Hogue JJ.A. and Bélanger J.A. [</w:t>
            </w:r>
            <w:r w:rsidRPr="00D770F2">
              <w:rPr>
                <w:i/>
                <w:sz w:val="20"/>
                <w:lang w:val="en-CA"/>
              </w:rPr>
              <w:t>dissenting</w:t>
            </w:r>
            <w:r w:rsidRPr="00D770F2">
              <w:rPr>
                <w:sz w:val="20"/>
                <w:lang w:val="en-CA"/>
              </w:rPr>
              <w:t>])</w:t>
            </w:r>
          </w:p>
          <w:p w:rsidR="00591A8C" w:rsidRPr="00D770F2" w:rsidRDefault="009479D6" w:rsidP="006F56EE">
            <w:pPr>
              <w:jc w:val="both"/>
              <w:rPr>
                <w:sz w:val="20"/>
                <w:lang w:val="en-CA"/>
              </w:rPr>
            </w:pPr>
            <w:hyperlink r:id="rId25" w:history="1">
              <w:r w:rsidR="00591A8C" w:rsidRPr="00D770F2">
                <w:rPr>
                  <w:rStyle w:val="Hyperlink"/>
                  <w:sz w:val="20"/>
                  <w:lang w:val="en-CA"/>
                </w:rPr>
                <w:t>2017 QCCA 1033</w:t>
              </w:r>
            </w:hyperlink>
          </w:p>
          <w:p w:rsidR="00591A8C" w:rsidRPr="00D770F2" w:rsidRDefault="00591A8C" w:rsidP="006F56EE">
            <w:pPr>
              <w:jc w:val="both"/>
              <w:rPr>
                <w:sz w:val="20"/>
                <w:lang w:val="en-CA"/>
              </w:rPr>
            </w:pPr>
          </w:p>
        </w:tc>
        <w:tc>
          <w:tcPr>
            <w:tcW w:w="267" w:type="pct"/>
          </w:tcPr>
          <w:p w:rsidR="00591A8C" w:rsidRPr="00D770F2" w:rsidRDefault="00591A8C" w:rsidP="006F56EE">
            <w:pPr>
              <w:jc w:val="both"/>
              <w:rPr>
                <w:sz w:val="20"/>
                <w:lang w:val="en-CA"/>
              </w:rPr>
            </w:pPr>
          </w:p>
        </w:tc>
        <w:tc>
          <w:tcPr>
            <w:tcW w:w="2366" w:type="pct"/>
            <w:gridSpan w:val="2"/>
          </w:tcPr>
          <w:p w:rsidR="00591A8C" w:rsidRPr="00D770F2" w:rsidRDefault="00591A8C" w:rsidP="006F56EE">
            <w:pPr>
              <w:jc w:val="both"/>
              <w:rPr>
                <w:sz w:val="20"/>
                <w:lang w:val="en-CA"/>
              </w:rPr>
            </w:pPr>
            <w:r w:rsidRPr="00D770F2">
              <w:rPr>
                <w:sz w:val="20"/>
                <w:lang w:val="en-CA"/>
              </w:rPr>
              <w:t>Appeal allowed; acquittal restored</w:t>
            </w:r>
          </w:p>
          <w:p w:rsidR="00591A8C" w:rsidRPr="00D770F2" w:rsidRDefault="00591A8C" w:rsidP="006F56EE">
            <w:pPr>
              <w:jc w:val="both"/>
              <w:rPr>
                <w:sz w:val="20"/>
                <w:lang w:val="en-CA"/>
              </w:rPr>
            </w:pPr>
          </w:p>
        </w:tc>
      </w:tr>
      <w:tr w:rsidR="00591A8C" w:rsidRPr="00D770F2" w:rsidTr="006F56EE">
        <w:tblPrEx>
          <w:tblCellMar>
            <w:bottom w:w="0" w:type="dxa"/>
          </w:tblCellMar>
        </w:tblPrEx>
        <w:tc>
          <w:tcPr>
            <w:tcW w:w="2367" w:type="pct"/>
            <w:gridSpan w:val="2"/>
          </w:tcPr>
          <w:p w:rsidR="00591A8C" w:rsidRPr="00D770F2" w:rsidRDefault="00591A8C" w:rsidP="006F56EE">
            <w:pPr>
              <w:jc w:val="both"/>
              <w:rPr>
                <w:sz w:val="20"/>
                <w:lang w:val="en-CA"/>
              </w:rPr>
            </w:pPr>
            <w:r w:rsidRPr="00D770F2">
              <w:rPr>
                <w:sz w:val="20"/>
                <w:lang w:val="en-CA"/>
              </w:rPr>
              <w:t>September 26, 2017</w:t>
            </w:r>
          </w:p>
          <w:p w:rsidR="00591A8C" w:rsidRPr="00D770F2" w:rsidRDefault="00591A8C" w:rsidP="006F56EE">
            <w:pPr>
              <w:jc w:val="both"/>
              <w:rPr>
                <w:sz w:val="20"/>
                <w:lang w:val="en-CA"/>
              </w:rPr>
            </w:pPr>
            <w:r w:rsidRPr="00D770F2">
              <w:rPr>
                <w:sz w:val="20"/>
                <w:lang w:val="en-CA"/>
              </w:rPr>
              <w:t>Supreme Court of Canada</w:t>
            </w:r>
          </w:p>
        </w:tc>
        <w:tc>
          <w:tcPr>
            <w:tcW w:w="267" w:type="pct"/>
          </w:tcPr>
          <w:p w:rsidR="00591A8C" w:rsidRPr="00D770F2" w:rsidRDefault="00591A8C" w:rsidP="006F56EE">
            <w:pPr>
              <w:jc w:val="both"/>
              <w:rPr>
                <w:sz w:val="20"/>
                <w:lang w:val="en-CA"/>
              </w:rPr>
            </w:pPr>
          </w:p>
        </w:tc>
        <w:tc>
          <w:tcPr>
            <w:tcW w:w="2366" w:type="pct"/>
            <w:gridSpan w:val="2"/>
          </w:tcPr>
          <w:p w:rsidR="00591A8C" w:rsidRPr="00D770F2" w:rsidRDefault="00591A8C" w:rsidP="006F56EE">
            <w:pPr>
              <w:jc w:val="both"/>
              <w:rPr>
                <w:sz w:val="20"/>
                <w:lang w:val="en-CA"/>
              </w:rPr>
            </w:pPr>
            <w:r w:rsidRPr="00D770F2">
              <w:rPr>
                <w:sz w:val="20"/>
                <w:lang w:val="en-CA"/>
              </w:rPr>
              <w:t>Application for leave to appeal filed</w:t>
            </w:r>
          </w:p>
          <w:p w:rsidR="00591A8C" w:rsidRPr="00D770F2" w:rsidRDefault="00591A8C" w:rsidP="006F56EE">
            <w:pPr>
              <w:jc w:val="both"/>
              <w:rPr>
                <w:sz w:val="20"/>
                <w:lang w:val="en-CA"/>
              </w:rPr>
            </w:pPr>
          </w:p>
        </w:tc>
      </w:tr>
    </w:tbl>
    <w:p w:rsidR="00591A8C" w:rsidRPr="00D770F2" w:rsidRDefault="00591A8C" w:rsidP="006F56EE">
      <w:pPr>
        <w:jc w:val="both"/>
        <w:rPr>
          <w:sz w:val="20"/>
          <w:lang w:val="en-CA"/>
        </w:rPr>
      </w:pPr>
    </w:p>
    <w:p w:rsidR="006F56EE" w:rsidRPr="00D770F2" w:rsidRDefault="006F56EE" w:rsidP="006F56EE">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591A8C" w:rsidRPr="00D770F2" w:rsidTr="006F56EE">
        <w:trPr>
          <w:gridAfter w:val="1"/>
          <w:wAfter w:w="48" w:type="pct"/>
        </w:trPr>
        <w:tc>
          <w:tcPr>
            <w:tcW w:w="538" w:type="pct"/>
          </w:tcPr>
          <w:p w:rsidR="00591A8C" w:rsidRPr="00D770F2" w:rsidRDefault="00591A8C" w:rsidP="006F56EE">
            <w:pPr>
              <w:jc w:val="both"/>
              <w:rPr>
                <w:sz w:val="20"/>
              </w:rPr>
            </w:pPr>
            <w:r w:rsidRPr="00D770F2">
              <w:rPr>
                <w:rStyle w:val="SCCFileNumberChar"/>
                <w:sz w:val="20"/>
                <w:szCs w:val="20"/>
              </w:rPr>
              <w:t>37760</w:t>
            </w:r>
          </w:p>
        </w:tc>
        <w:tc>
          <w:tcPr>
            <w:tcW w:w="4414" w:type="pct"/>
            <w:gridSpan w:val="3"/>
          </w:tcPr>
          <w:p w:rsidR="00591A8C" w:rsidRPr="00D770F2" w:rsidRDefault="00591A8C" w:rsidP="006F56EE">
            <w:pPr>
              <w:pStyle w:val="SCCLsocParty"/>
              <w:jc w:val="both"/>
              <w:rPr>
                <w:b/>
                <w:sz w:val="20"/>
                <w:szCs w:val="20"/>
              </w:rPr>
            </w:pPr>
            <w:r w:rsidRPr="00D770F2">
              <w:rPr>
                <w:b/>
                <w:sz w:val="20"/>
                <w:szCs w:val="20"/>
              </w:rPr>
              <w:t>Sa Majesté la Reine c. Marc Cyr-Langlois</w:t>
            </w:r>
          </w:p>
          <w:p w:rsidR="00591A8C" w:rsidRPr="00D770F2" w:rsidRDefault="00591A8C" w:rsidP="006F56EE">
            <w:pPr>
              <w:jc w:val="both"/>
              <w:rPr>
                <w:sz w:val="20"/>
              </w:rPr>
            </w:pPr>
            <w:r w:rsidRPr="00D770F2">
              <w:rPr>
                <w:sz w:val="20"/>
              </w:rPr>
              <w:t>(Qc) (Criminelle) (Autorisation)</w:t>
            </w:r>
          </w:p>
        </w:tc>
      </w:tr>
      <w:tr w:rsidR="00591A8C" w:rsidRPr="0030635C" w:rsidTr="006F56EE">
        <w:trPr>
          <w:gridAfter w:val="1"/>
          <w:wAfter w:w="48" w:type="pct"/>
        </w:trPr>
        <w:tc>
          <w:tcPr>
            <w:tcW w:w="4952" w:type="pct"/>
            <w:gridSpan w:val="4"/>
          </w:tcPr>
          <w:p w:rsidR="00591A8C" w:rsidRPr="00D770F2" w:rsidRDefault="00591A8C" w:rsidP="006F56EE">
            <w:pPr>
              <w:jc w:val="both"/>
              <w:rPr>
                <w:sz w:val="20"/>
                <w:lang w:val="fr-CA"/>
              </w:rPr>
            </w:pPr>
            <w:r w:rsidRPr="00D770F2">
              <w:rPr>
                <w:sz w:val="20"/>
                <w:lang w:val="fr-CA"/>
              </w:rPr>
              <w:t xml:space="preserve">Droit criminel – Preuve – Présomption d’exactitude et les présomptions d’identité en matière de poursuites pour conduite avec une alcoolémie supérieure à la limite légale – Omission d’observer l’accusé avant l’administration de l’alcootest – Les recommandations </w:t>
            </w:r>
            <w:proofErr w:type="spellStart"/>
            <w:r w:rsidRPr="00D770F2">
              <w:rPr>
                <w:sz w:val="20"/>
                <w:lang w:val="fr-CA"/>
              </w:rPr>
              <w:t>ont-elles</w:t>
            </w:r>
            <w:proofErr w:type="spellEnd"/>
            <w:r w:rsidRPr="00D770F2">
              <w:rPr>
                <w:sz w:val="20"/>
                <w:lang w:val="fr-CA"/>
              </w:rPr>
              <w:t xml:space="preserve"> pour effet de créer un fardeau de preuve supplémentaire au ministère public, en regard de la mauvaise utilisation de l’alcootest, pour que ce dernier puisse bénéficier des présomptions d’exactitude et d’identité de l’article 258 C.cr.? – Un accusé peut-il s’acquitter de son fardeau de preuve sur la mauvaise utilisation d’un alcootest sur la base d’une simple possibilité théorique d’un résultat inexact, plutôt que d’une preuve d’un lien direct entre la mauvaise utilisation et la fiabilité des résultats?</w:t>
            </w:r>
          </w:p>
        </w:tc>
      </w:tr>
      <w:tr w:rsidR="00591A8C" w:rsidRPr="0030635C" w:rsidTr="006F56EE">
        <w:trPr>
          <w:gridAfter w:val="1"/>
          <w:wAfter w:w="48" w:type="pct"/>
        </w:trPr>
        <w:tc>
          <w:tcPr>
            <w:tcW w:w="4952" w:type="pct"/>
            <w:gridSpan w:val="4"/>
          </w:tcPr>
          <w:p w:rsidR="00591A8C" w:rsidRPr="00D770F2" w:rsidRDefault="00591A8C" w:rsidP="006F56EE">
            <w:pPr>
              <w:jc w:val="both"/>
              <w:rPr>
                <w:sz w:val="20"/>
                <w:lang w:val="fr-CA"/>
              </w:rPr>
            </w:pPr>
          </w:p>
        </w:tc>
      </w:tr>
      <w:tr w:rsidR="00591A8C" w:rsidRPr="0030635C" w:rsidTr="006F56EE">
        <w:trPr>
          <w:gridAfter w:val="1"/>
          <w:wAfter w:w="48" w:type="pct"/>
        </w:trPr>
        <w:tc>
          <w:tcPr>
            <w:tcW w:w="4952" w:type="pct"/>
            <w:gridSpan w:val="4"/>
          </w:tcPr>
          <w:p w:rsidR="00591A8C" w:rsidRPr="00D770F2" w:rsidRDefault="00591A8C" w:rsidP="006F56EE">
            <w:pPr>
              <w:jc w:val="both"/>
              <w:rPr>
                <w:sz w:val="20"/>
                <w:lang w:val="fr-CA"/>
              </w:rPr>
            </w:pPr>
            <w:r w:rsidRPr="00D770F2">
              <w:rPr>
                <w:sz w:val="20"/>
                <w:lang w:val="fr-CA"/>
              </w:rPr>
              <w:t>M. Cyr-Langlois fait face à deux chefs d’accusation en lien avec sa conduite automobile alors que ses capacités sont prétendument affaiblies.</w:t>
            </w:r>
          </w:p>
          <w:p w:rsidR="00591A8C" w:rsidRPr="00D770F2" w:rsidRDefault="00591A8C" w:rsidP="006F56EE">
            <w:pPr>
              <w:jc w:val="both"/>
              <w:rPr>
                <w:sz w:val="20"/>
                <w:lang w:val="fr-CA"/>
              </w:rPr>
            </w:pPr>
          </w:p>
          <w:p w:rsidR="00591A8C" w:rsidRPr="00D770F2" w:rsidRDefault="00591A8C" w:rsidP="006F56EE">
            <w:pPr>
              <w:jc w:val="both"/>
              <w:rPr>
                <w:sz w:val="20"/>
                <w:lang w:val="fr-FR"/>
              </w:rPr>
            </w:pPr>
            <w:r w:rsidRPr="00D770F2">
              <w:rPr>
                <w:sz w:val="20"/>
                <w:lang w:val="fr-FR"/>
              </w:rPr>
              <w:t>M. Cyr-Langlois est intercepté au volant de son véhicule et conduit au poste de police pour subir un alcootest. Vers 0 h 58, M. Cyr-Langlois est installé dans une salle d’interrogatoire. Les deux agents de police s’affairent à entreprendre les démarches pour exercer le droit de M. Cyr-Langlois à un avocat et à préparer l’appareil d’alcootest. Ils omettent donc d’observer M. Cyr-Langlois pendant les vingt minutes précédant l’alcootest. Le premier test d’alcoolémie est administré à 1 h 08 et le second à 1 h 30. Les résultats indiquent un taux d’alcool dans le sang supérieur à 80 milligrammes par 100 millilitres de sang.</w:t>
            </w:r>
          </w:p>
          <w:p w:rsidR="00591A8C" w:rsidRPr="00D770F2" w:rsidRDefault="00591A8C" w:rsidP="006F56EE">
            <w:pPr>
              <w:jc w:val="both"/>
              <w:rPr>
                <w:sz w:val="20"/>
                <w:lang w:val="fr-FR"/>
              </w:rPr>
            </w:pPr>
          </w:p>
          <w:p w:rsidR="00591A8C" w:rsidRPr="00D770F2" w:rsidRDefault="00591A8C" w:rsidP="006F56EE">
            <w:pPr>
              <w:jc w:val="both"/>
              <w:rPr>
                <w:sz w:val="20"/>
                <w:lang w:val="fr-FR"/>
              </w:rPr>
            </w:pPr>
            <w:r w:rsidRPr="00D770F2">
              <w:rPr>
                <w:sz w:val="20"/>
                <w:lang w:val="fr-FR"/>
              </w:rPr>
              <w:t xml:space="preserve">Au procès, la question soulevée est celle de savoir si l’agent ayant opéré l’alcootest a respecté la période d’observation nécessaire avant d’administrer le test et si une preuve voulant que la période d’observation n’ait pas été respectée peut priver le ministère public des présomptions établies par l’article 258(1)c) du </w:t>
            </w:r>
            <w:r w:rsidRPr="00D770F2">
              <w:rPr>
                <w:i/>
                <w:sz w:val="20"/>
                <w:lang w:val="fr-FR"/>
              </w:rPr>
              <w:t>Code criminel</w:t>
            </w:r>
            <w:r w:rsidR="006F56EE" w:rsidRPr="00D770F2">
              <w:rPr>
                <w:sz w:val="20"/>
                <w:lang w:val="fr-FR"/>
              </w:rPr>
              <w:t>.</w:t>
            </w:r>
          </w:p>
          <w:p w:rsidR="00591A8C" w:rsidRPr="00D770F2" w:rsidRDefault="00591A8C" w:rsidP="006F56EE">
            <w:pPr>
              <w:jc w:val="both"/>
              <w:rPr>
                <w:sz w:val="20"/>
                <w:lang w:val="fr-CA"/>
              </w:rPr>
            </w:pPr>
          </w:p>
        </w:tc>
      </w:tr>
      <w:tr w:rsidR="00591A8C" w:rsidRPr="0030635C" w:rsidTr="006F56EE">
        <w:tblPrEx>
          <w:tblCellMar>
            <w:bottom w:w="0" w:type="dxa"/>
          </w:tblCellMar>
        </w:tblPrEx>
        <w:tc>
          <w:tcPr>
            <w:tcW w:w="2367" w:type="pct"/>
            <w:gridSpan w:val="2"/>
          </w:tcPr>
          <w:p w:rsidR="00591A8C" w:rsidRPr="00D770F2" w:rsidRDefault="00591A8C" w:rsidP="006F56EE">
            <w:pPr>
              <w:jc w:val="both"/>
              <w:rPr>
                <w:sz w:val="20"/>
                <w:lang w:val="fr-CA"/>
              </w:rPr>
            </w:pPr>
            <w:r w:rsidRPr="00D770F2">
              <w:rPr>
                <w:sz w:val="20"/>
                <w:lang w:val="fr-CA"/>
              </w:rPr>
              <w:t>Le 19 décembre 2014</w:t>
            </w:r>
          </w:p>
          <w:p w:rsidR="00591A8C" w:rsidRPr="00D770F2" w:rsidRDefault="00591A8C" w:rsidP="006F56EE">
            <w:pPr>
              <w:jc w:val="both"/>
              <w:rPr>
                <w:sz w:val="20"/>
                <w:lang w:val="fr-CA"/>
              </w:rPr>
            </w:pPr>
            <w:r w:rsidRPr="00D770F2">
              <w:rPr>
                <w:sz w:val="20"/>
                <w:lang w:val="fr-CA"/>
              </w:rPr>
              <w:t>Cour du Québec</w:t>
            </w:r>
          </w:p>
          <w:p w:rsidR="00591A8C" w:rsidRPr="00D770F2" w:rsidRDefault="00591A8C" w:rsidP="006F56EE">
            <w:pPr>
              <w:jc w:val="both"/>
              <w:rPr>
                <w:sz w:val="20"/>
                <w:lang w:val="fr-CA"/>
              </w:rPr>
            </w:pPr>
            <w:r w:rsidRPr="00D770F2">
              <w:rPr>
                <w:sz w:val="20"/>
                <w:lang w:val="fr-CA"/>
              </w:rPr>
              <w:t>(La juge Richer)</w:t>
            </w:r>
          </w:p>
          <w:p w:rsidR="00591A8C" w:rsidRPr="00D770F2" w:rsidRDefault="00591A8C" w:rsidP="006F56EE">
            <w:pPr>
              <w:jc w:val="both"/>
              <w:rPr>
                <w:sz w:val="20"/>
              </w:rPr>
            </w:pPr>
            <w:r w:rsidRPr="00D770F2">
              <w:rPr>
                <w:sz w:val="20"/>
              </w:rPr>
              <w:t>No. 700-01-113752-128</w:t>
            </w:r>
          </w:p>
          <w:p w:rsidR="00591A8C" w:rsidRPr="00D770F2" w:rsidRDefault="00591A8C" w:rsidP="006F56EE">
            <w:pPr>
              <w:jc w:val="both"/>
              <w:rPr>
                <w:sz w:val="20"/>
              </w:rPr>
            </w:pPr>
          </w:p>
        </w:tc>
        <w:tc>
          <w:tcPr>
            <w:tcW w:w="267" w:type="pct"/>
          </w:tcPr>
          <w:p w:rsidR="00591A8C" w:rsidRPr="00D770F2" w:rsidRDefault="00591A8C" w:rsidP="006F56EE">
            <w:pPr>
              <w:jc w:val="both"/>
              <w:rPr>
                <w:sz w:val="20"/>
              </w:rPr>
            </w:pPr>
          </w:p>
        </w:tc>
        <w:tc>
          <w:tcPr>
            <w:tcW w:w="2366" w:type="pct"/>
            <w:gridSpan w:val="2"/>
          </w:tcPr>
          <w:p w:rsidR="00591A8C" w:rsidRPr="00D770F2" w:rsidRDefault="00591A8C" w:rsidP="006F56EE">
            <w:pPr>
              <w:jc w:val="both"/>
              <w:rPr>
                <w:sz w:val="20"/>
                <w:lang w:val="fr-CA"/>
              </w:rPr>
            </w:pPr>
            <w:r w:rsidRPr="00D770F2">
              <w:rPr>
                <w:sz w:val="20"/>
                <w:lang w:val="fr-CA"/>
              </w:rPr>
              <w:t>Acquittement sur les deux chefs d’accusation de conduite avec facultés affaiblies</w:t>
            </w:r>
          </w:p>
          <w:p w:rsidR="00591A8C" w:rsidRPr="00D770F2" w:rsidRDefault="00591A8C" w:rsidP="006F56EE">
            <w:pPr>
              <w:jc w:val="both"/>
              <w:rPr>
                <w:sz w:val="20"/>
                <w:lang w:val="fr-CA"/>
              </w:rPr>
            </w:pPr>
          </w:p>
        </w:tc>
      </w:tr>
      <w:tr w:rsidR="00591A8C" w:rsidRPr="00D770F2" w:rsidTr="006F56EE">
        <w:tblPrEx>
          <w:tblCellMar>
            <w:bottom w:w="0" w:type="dxa"/>
          </w:tblCellMar>
        </w:tblPrEx>
        <w:tc>
          <w:tcPr>
            <w:tcW w:w="2367" w:type="pct"/>
            <w:gridSpan w:val="2"/>
          </w:tcPr>
          <w:p w:rsidR="00591A8C" w:rsidRPr="00D770F2" w:rsidRDefault="00591A8C" w:rsidP="006F56EE">
            <w:pPr>
              <w:jc w:val="both"/>
              <w:rPr>
                <w:sz w:val="20"/>
                <w:lang w:val="fr-CA"/>
              </w:rPr>
            </w:pPr>
            <w:r w:rsidRPr="00D770F2">
              <w:rPr>
                <w:sz w:val="20"/>
                <w:lang w:val="fr-CA"/>
              </w:rPr>
              <w:t>Le 16 septembre 2015</w:t>
            </w:r>
          </w:p>
          <w:p w:rsidR="00591A8C" w:rsidRPr="00D770F2" w:rsidRDefault="00591A8C" w:rsidP="006F56EE">
            <w:pPr>
              <w:jc w:val="both"/>
              <w:rPr>
                <w:sz w:val="20"/>
                <w:lang w:val="fr-CA"/>
              </w:rPr>
            </w:pPr>
            <w:r w:rsidRPr="00D770F2">
              <w:rPr>
                <w:sz w:val="20"/>
                <w:lang w:val="fr-CA"/>
              </w:rPr>
              <w:t>Cour supérieure du Québec</w:t>
            </w:r>
          </w:p>
          <w:p w:rsidR="00591A8C" w:rsidRPr="00D770F2" w:rsidRDefault="00591A8C" w:rsidP="006F56EE">
            <w:pPr>
              <w:jc w:val="both"/>
              <w:rPr>
                <w:sz w:val="20"/>
              </w:rPr>
            </w:pPr>
            <w:r w:rsidRPr="00D770F2">
              <w:rPr>
                <w:sz w:val="20"/>
              </w:rPr>
              <w:t xml:space="preserve">(Le </w:t>
            </w:r>
            <w:proofErr w:type="spellStart"/>
            <w:r w:rsidRPr="00D770F2">
              <w:rPr>
                <w:sz w:val="20"/>
              </w:rPr>
              <w:t>juge</w:t>
            </w:r>
            <w:proofErr w:type="spellEnd"/>
            <w:r w:rsidRPr="00D770F2">
              <w:rPr>
                <w:sz w:val="20"/>
              </w:rPr>
              <w:t xml:space="preserve"> </w:t>
            </w:r>
            <w:proofErr w:type="spellStart"/>
            <w:r w:rsidRPr="00D770F2">
              <w:rPr>
                <w:sz w:val="20"/>
              </w:rPr>
              <w:t>Zigman</w:t>
            </w:r>
            <w:proofErr w:type="spellEnd"/>
            <w:r w:rsidRPr="00D770F2">
              <w:rPr>
                <w:sz w:val="20"/>
              </w:rPr>
              <w:t>)</w:t>
            </w:r>
          </w:p>
          <w:p w:rsidR="00591A8C" w:rsidRPr="00D770F2" w:rsidRDefault="009479D6" w:rsidP="006F56EE">
            <w:pPr>
              <w:jc w:val="both"/>
              <w:rPr>
                <w:sz w:val="20"/>
              </w:rPr>
            </w:pPr>
            <w:hyperlink r:id="rId26" w:history="1">
              <w:r w:rsidR="00591A8C" w:rsidRPr="00D770F2">
                <w:rPr>
                  <w:rStyle w:val="Hyperlink"/>
                  <w:sz w:val="20"/>
                </w:rPr>
                <w:t>2015 QCCS 4369</w:t>
              </w:r>
            </w:hyperlink>
          </w:p>
          <w:p w:rsidR="00591A8C" w:rsidRPr="00D770F2" w:rsidRDefault="00591A8C" w:rsidP="006F56EE">
            <w:pPr>
              <w:jc w:val="both"/>
              <w:rPr>
                <w:sz w:val="20"/>
              </w:rPr>
            </w:pPr>
          </w:p>
        </w:tc>
        <w:tc>
          <w:tcPr>
            <w:tcW w:w="267" w:type="pct"/>
          </w:tcPr>
          <w:p w:rsidR="00591A8C" w:rsidRPr="00D770F2" w:rsidRDefault="00591A8C" w:rsidP="006F56EE">
            <w:pPr>
              <w:jc w:val="both"/>
              <w:rPr>
                <w:sz w:val="20"/>
              </w:rPr>
            </w:pPr>
          </w:p>
        </w:tc>
        <w:tc>
          <w:tcPr>
            <w:tcW w:w="2366" w:type="pct"/>
            <w:gridSpan w:val="2"/>
          </w:tcPr>
          <w:p w:rsidR="00591A8C" w:rsidRPr="00D770F2" w:rsidRDefault="00591A8C" w:rsidP="006F56EE">
            <w:pPr>
              <w:jc w:val="both"/>
              <w:rPr>
                <w:sz w:val="20"/>
              </w:rPr>
            </w:pPr>
            <w:r w:rsidRPr="00D770F2">
              <w:rPr>
                <w:sz w:val="20"/>
              </w:rPr>
              <w:t>Appel accueilli; Nouveau procès ordonné</w:t>
            </w:r>
          </w:p>
          <w:p w:rsidR="00591A8C" w:rsidRPr="00D770F2" w:rsidRDefault="00591A8C" w:rsidP="006F56EE">
            <w:pPr>
              <w:jc w:val="both"/>
              <w:rPr>
                <w:sz w:val="20"/>
              </w:rPr>
            </w:pPr>
          </w:p>
        </w:tc>
      </w:tr>
      <w:tr w:rsidR="00591A8C" w:rsidRPr="00D770F2" w:rsidTr="006F56EE">
        <w:tblPrEx>
          <w:tblCellMar>
            <w:bottom w:w="0" w:type="dxa"/>
          </w:tblCellMar>
        </w:tblPrEx>
        <w:tc>
          <w:tcPr>
            <w:tcW w:w="2367" w:type="pct"/>
            <w:gridSpan w:val="2"/>
          </w:tcPr>
          <w:p w:rsidR="00591A8C" w:rsidRPr="00D770F2" w:rsidRDefault="00591A8C" w:rsidP="006F56EE">
            <w:pPr>
              <w:jc w:val="both"/>
              <w:rPr>
                <w:sz w:val="20"/>
                <w:lang w:val="fr-CA"/>
              </w:rPr>
            </w:pPr>
            <w:r w:rsidRPr="00D770F2">
              <w:rPr>
                <w:sz w:val="20"/>
                <w:lang w:val="fr-CA"/>
              </w:rPr>
              <w:t>Le 29 juin 2017</w:t>
            </w:r>
          </w:p>
          <w:p w:rsidR="00591A8C" w:rsidRPr="00D770F2" w:rsidRDefault="00591A8C" w:rsidP="006F56EE">
            <w:pPr>
              <w:jc w:val="both"/>
              <w:rPr>
                <w:sz w:val="20"/>
                <w:lang w:val="fr-CA"/>
              </w:rPr>
            </w:pPr>
            <w:r w:rsidRPr="00D770F2">
              <w:rPr>
                <w:sz w:val="20"/>
                <w:lang w:val="fr-CA"/>
              </w:rPr>
              <w:t>Cour d’appel du Québec (Montréal)</w:t>
            </w:r>
          </w:p>
          <w:p w:rsidR="00591A8C" w:rsidRPr="00D770F2" w:rsidRDefault="00591A8C" w:rsidP="006F56EE">
            <w:pPr>
              <w:jc w:val="both"/>
              <w:rPr>
                <w:sz w:val="20"/>
                <w:lang w:val="fr-CA"/>
              </w:rPr>
            </w:pPr>
            <w:r w:rsidRPr="00D770F2">
              <w:rPr>
                <w:sz w:val="20"/>
                <w:lang w:val="fr-CA"/>
              </w:rPr>
              <w:t xml:space="preserve">(Les juges Chamberland et </w:t>
            </w:r>
            <w:proofErr w:type="spellStart"/>
            <w:r w:rsidRPr="00D770F2">
              <w:rPr>
                <w:sz w:val="20"/>
                <w:lang w:val="fr-CA"/>
              </w:rPr>
              <w:t>Hogue</w:t>
            </w:r>
            <w:proofErr w:type="spellEnd"/>
            <w:r w:rsidRPr="00D770F2">
              <w:rPr>
                <w:sz w:val="20"/>
                <w:lang w:val="fr-CA"/>
              </w:rPr>
              <w:t>, et la juge Bélanger [</w:t>
            </w:r>
            <w:r w:rsidRPr="00D770F2">
              <w:rPr>
                <w:i/>
                <w:sz w:val="20"/>
                <w:lang w:val="fr-CA"/>
              </w:rPr>
              <w:t>dissidente</w:t>
            </w:r>
            <w:r w:rsidRPr="00D770F2">
              <w:rPr>
                <w:sz w:val="20"/>
                <w:lang w:val="fr-CA"/>
              </w:rPr>
              <w:t>])</w:t>
            </w:r>
          </w:p>
          <w:p w:rsidR="00591A8C" w:rsidRPr="00D770F2" w:rsidRDefault="009479D6" w:rsidP="006F56EE">
            <w:pPr>
              <w:jc w:val="both"/>
              <w:rPr>
                <w:sz w:val="20"/>
              </w:rPr>
            </w:pPr>
            <w:hyperlink r:id="rId27" w:history="1">
              <w:r w:rsidR="00591A8C" w:rsidRPr="00D770F2">
                <w:rPr>
                  <w:rStyle w:val="Hyperlink"/>
                  <w:sz w:val="20"/>
                </w:rPr>
                <w:t>2017 QCCA 1033</w:t>
              </w:r>
            </w:hyperlink>
          </w:p>
          <w:p w:rsidR="00591A8C" w:rsidRPr="00D770F2" w:rsidRDefault="00591A8C" w:rsidP="006F56EE">
            <w:pPr>
              <w:jc w:val="both"/>
              <w:rPr>
                <w:sz w:val="20"/>
              </w:rPr>
            </w:pPr>
          </w:p>
        </w:tc>
        <w:tc>
          <w:tcPr>
            <w:tcW w:w="267" w:type="pct"/>
          </w:tcPr>
          <w:p w:rsidR="00591A8C" w:rsidRPr="00D770F2" w:rsidRDefault="00591A8C" w:rsidP="006F56EE">
            <w:pPr>
              <w:jc w:val="both"/>
              <w:rPr>
                <w:sz w:val="20"/>
              </w:rPr>
            </w:pPr>
          </w:p>
        </w:tc>
        <w:tc>
          <w:tcPr>
            <w:tcW w:w="2366" w:type="pct"/>
            <w:gridSpan w:val="2"/>
          </w:tcPr>
          <w:p w:rsidR="00591A8C" w:rsidRPr="00D770F2" w:rsidRDefault="00591A8C" w:rsidP="006F56EE">
            <w:pPr>
              <w:jc w:val="both"/>
              <w:rPr>
                <w:sz w:val="20"/>
              </w:rPr>
            </w:pPr>
            <w:r w:rsidRPr="00D770F2">
              <w:rPr>
                <w:sz w:val="20"/>
              </w:rPr>
              <w:t>Appel accueilli; verdict d’acquittement rétablit</w:t>
            </w:r>
          </w:p>
          <w:p w:rsidR="00591A8C" w:rsidRPr="00D770F2" w:rsidRDefault="00591A8C" w:rsidP="006F56EE">
            <w:pPr>
              <w:jc w:val="both"/>
              <w:rPr>
                <w:sz w:val="20"/>
              </w:rPr>
            </w:pPr>
          </w:p>
        </w:tc>
      </w:tr>
      <w:tr w:rsidR="00591A8C" w:rsidRPr="00D770F2" w:rsidTr="006F56EE">
        <w:tblPrEx>
          <w:tblCellMar>
            <w:bottom w:w="0" w:type="dxa"/>
          </w:tblCellMar>
        </w:tblPrEx>
        <w:tc>
          <w:tcPr>
            <w:tcW w:w="2367" w:type="pct"/>
            <w:gridSpan w:val="2"/>
          </w:tcPr>
          <w:p w:rsidR="00591A8C" w:rsidRPr="00D770F2" w:rsidRDefault="00591A8C" w:rsidP="006F56EE">
            <w:pPr>
              <w:jc w:val="both"/>
              <w:rPr>
                <w:sz w:val="20"/>
                <w:lang w:val="fr-CA"/>
              </w:rPr>
            </w:pPr>
            <w:r w:rsidRPr="00D770F2">
              <w:rPr>
                <w:sz w:val="20"/>
                <w:lang w:val="fr-CA"/>
              </w:rPr>
              <w:t>Le 26 septembre 2017</w:t>
            </w:r>
          </w:p>
          <w:p w:rsidR="00591A8C" w:rsidRPr="00D770F2" w:rsidRDefault="00591A8C" w:rsidP="006F56EE">
            <w:pPr>
              <w:jc w:val="both"/>
              <w:rPr>
                <w:sz w:val="20"/>
                <w:lang w:val="fr-CA"/>
              </w:rPr>
            </w:pPr>
            <w:r w:rsidRPr="00D770F2">
              <w:rPr>
                <w:sz w:val="20"/>
                <w:lang w:val="fr-CA"/>
              </w:rPr>
              <w:t>Cour suprême du Canada</w:t>
            </w:r>
          </w:p>
        </w:tc>
        <w:tc>
          <w:tcPr>
            <w:tcW w:w="267" w:type="pct"/>
          </w:tcPr>
          <w:p w:rsidR="00591A8C" w:rsidRPr="00D770F2" w:rsidRDefault="00591A8C" w:rsidP="006F56EE">
            <w:pPr>
              <w:jc w:val="both"/>
              <w:rPr>
                <w:sz w:val="20"/>
                <w:lang w:val="fr-CA"/>
              </w:rPr>
            </w:pPr>
          </w:p>
        </w:tc>
        <w:tc>
          <w:tcPr>
            <w:tcW w:w="2366" w:type="pct"/>
            <w:gridSpan w:val="2"/>
          </w:tcPr>
          <w:p w:rsidR="00591A8C" w:rsidRPr="00D770F2" w:rsidRDefault="00591A8C" w:rsidP="006F56EE">
            <w:pPr>
              <w:jc w:val="both"/>
              <w:rPr>
                <w:sz w:val="20"/>
              </w:rPr>
            </w:pPr>
            <w:r w:rsidRPr="00D770F2">
              <w:rPr>
                <w:sz w:val="20"/>
              </w:rPr>
              <w:t>Demande d’autorisation d’appel déposée</w:t>
            </w:r>
          </w:p>
          <w:p w:rsidR="00591A8C" w:rsidRPr="00D770F2" w:rsidRDefault="00591A8C" w:rsidP="006F56EE">
            <w:pPr>
              <w:jc w:val="both"/>
              <w:rPr>
                <w:sz w:val="20"/>
              </w:rPr>
            </w:pPr>
          </w:p>
        </w:tc>
      </w:tr>
    </w:tbl>
    <w:p w:rsidR="00591A8C" w:rsidRPr="00D770F2" w:rsidRDefault="00591A8C" w:rsidP="006F56EE">
      <w:pPr>
        <w:jc w:val="both"/>
        <w:rPr>
          <w:sz w:val="20"/>
        </w:rPr>
      </w:pPr>
    </w:p>
    <w:p w:rsidR="001E6FC9" w:rsidRPr="00D770F2" w:rsidRDefault="001E6FC9" w:rsidP="006F56E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91A8C" w:rsidRPr="00D770F2" w:rsidTr="006F56EE">
        <w:tc>
          <w:tcPr>
            <w:tcW w:w="543" w:type="pct"/>
          </w:tcPr>
          <w:p w:rsidR="00591A8C" w:rsidRPr="00D770F2" w:rsidRDefault="00591A8C" w:rsidP="006F56EE">
            <w:pPr>
              <w:jc w:val="both"/>
              <w:rPr>
                <w:sz w:val="20"/>
              </w:rPr>
            </w:pPr>
            <w:r w:rsidRPr="00D770F2">
              <w:rPr>
                <w:rStyle w:val="SCCFileNumberChar"/>
                <w:sz w:val="20"/>
                <w:szCs w:val="20"/>
              </w:rPr>
              <w:t>37469</w:t>
            </w:r>
          </w:p>
        </w:tc>
        <w:tc>
          <w:tcPr>
            <w:tcW w:w="4457" w:type="pct"/>
            <w:gridSpan w:val="3"/>
          </w:tcPr>
          <w:p w:rsidR="00591A8C" w:rsidRPr="00D770F2" w:rsidRDefault="00591A8C" w:rsidP="006F56EE">
            <w:pPr>
              <w:pStyle w:val="SCCLsocParty"/>
              <w:jc w:val="both"/>
              <w:rPr>
                <w:b/>
                <w:sz w:val="20"/>
                <w:szCs w:val="20"/>
                <w:lang w:val="en-US"/>
              </w:rPr>
            </w:pPr>
            <w:r w:rsidRPr="00D770F2">
              <w:rPr>
                <w:b/>
                <w:sz w:val="20"/>
                <w:szCs w:val="20"/>
                <w:lang w:val="en-US"/>
              </w:rPr>
              <w:t>Kevin David Patterson v. Canada (The Minister of Justice), The Attorney General of Canada (On Behalf of The United States of America)</w:t>
            </w:r>
          </w:p>
          <w:p w:rsidR="00591A8C" w:rsidRPr="00D770F2" w:rsidRDefault="00591A8C" w:rsidP="006F56EE">
            <w:pPr>
              <w:jc w:val="both"/>
              <w:rPr>
                <w:sz w:val="20"/>
              </w:rPr>
            </w:pPr>
            <w:r w:rsidRPr="00D770F2">
              <w:rPr>
                <w:sz w:val="20"/>
              </w:rPr>
              <w:t>(B.C.) (Criminal) (By Leave)</w:t>
            </w:r>
          </w:p>
        </w:tc>
      </w:tr>
      <w:tr w:rsidR="00591A8C" w:rsidRPr="00D770F2" w:rsidTr="006F56EE">
        <w:tc>
          <w:tcPr>
            <w:tcW w:w="5000" w:type="pct"/>
            <w:gridSpan w:val="4"/>
          </w:tcPr>
          <w:p w:rsidR="00591A8C" w:rsidRPr="00D770F2" w:rsidRDefault="00591A8C" w:rsidP="006F56EE">
            <w:pPr>
              <w:jc w:val="both"/>
              <w:rPr>
                <w:sz w:val="20"/>
              </w:rPr>
            </w:pPr>
            <w:r w:rsidRPr="00D770F2">
              <w:rPr>
                <w:sz w:val="20"/>
              </w:rPr>
              <w:t>Extradition – Committal – Surrender – Whether applicant raises a legal issue – Whether issue is of public importance?</w:t>
            </w:r>
          </w:p>
          <w:p w:rsidR="00591A8C" w:rsidRPr="00D770F2" w:rsidRDefault="00591A8C" w:rsidP="006F56EE">
            <w:pPr>
              <w:jc w:val="both"/>
              <w:rPr>
                <w:sz w:val="20"/>
              </w:rPr>
            </w:pPr>
          </w:p>
        </w:tc>
      </w:tr>
      <w:tr w:rsidR="00591A8C" w:rsidRPr="00D770F2" w:rsidTr="006F56EE">
        <w:tc>
          <w:tcPr>
            <w:tcW w:w="5000" w:type="pct"/>
            <w:gridSpan w:val="4"/>
          </w:tcPr>
          <w:p w:rsidR="00591A8C" w:rsidRPr="00D770F2" w:rsidRDefault="00591A8C" w:rsidP="006F56EE">
            <w:pPr>
              <w:jc w:val="both"/>
              <w:rPr>
                <w:sz w:val="20"/>
              </w:rPr>
            </w:pPr>
            <w:r w:rsidRPr="00D770F2">
              <w:rPr>
                <w:sz w:val="20"/>
              </w:rPr>
              <w:t>The United States of America requests extradition of Mr. Patterson to stand trial in the State of Washington on charges of murder in the first degree with a deadly weapon sentence enhancement, robbery in the first degree with a deadly weapon sentence enhancement, and theft of a motor vehicle, in respect of the murder of Mr. Bergeson and the theft of Mr. Bergeson’s motor vehicle, identification documents and credit cards.</w:t>
            </w:r>
          </w:p>
          <w:p w:rsidR="006F56EE" w:rsidRPr="00D770F2" w:rsidRDefault="006F56EE" w:rsidP="006F56EE">
            <w:pPr>
              <w:jc w:val="both"/>
              <w:rPr>
                <w:sz w:val="20"/>
              </w:rPr>
            </w:pPr>
          </w:p>
        </w:tc>
      </w:tr>
      <w:tr w:rsidR="00591A8C" w:rsidRPr="00D770F2" w:rsidTr="006F56EE">
        <w:tc>
          <w:tcPr>
            <w:tcW w:w="2427" w:type="pct"/>
            <w:gridSpan w:val="2"/>
          </w:tcPr>
          <w:p w:rsidR="00591A8C" w:rsidRPr="00D770F2" w:rsidRDefault="00591A8C" w:rsidP="006F56EE">
            <w:pPr>
              <w:jc w:val="both"/>
              <w:rPr>
                <w:sz w:val="20"/>
              </w:rPr>
            </w:pPr>
            <w:r w:rsidRPr="00D770F2">
              <w:rPr>
                <w:sz w:val="20"/>
              </w:rPr>
              <w:t>May 4, 2015</w:t>
            </w:r>
          </w:p>
          <w:p w:rsidR="00591A8C" w:rsidRPr="00D770F2" w:rsidRDefault="00591A8C" w:rsidP="006F56EE">
            <w:pPr>
              <w:jc w:val="both"/>
              <w:rPr>
                <w:sz w:val="20"/>
              </w:rPr>
            </w:pPr>
            <w:r w:rsidRPr="00D770F2">
              <w:rPr>
                <w:sz w:val="20"/>
              </w:rPr>
              <w:t>Supreme Court of British Columbia</w:t>
            </w:r>
          </w:p>
          <w:p w:rsidR="00591A8C" w:rsidRPr="00D770F2" w:rsidRDefault="00591A8C" w:rsidP="006F56EE">
            <w:pPr>
              <w:jc w:val="both"/>
              <w:rPr>
                <w:sz w:val="20"/>
              </w:rPr>
            </w:pPr>
            <w:r w:rsidRPr="00D770F2">
              <w:rPr>
                <w:sz w:val="20"/>
              </w:rPr>
              <w:t>(</w:t>
            </w:r>
            <w:proofErr w:type="spellStart"/>
            <w:r w:rsidRPr="00D770F2">
              <w:rPr>
                <w:sz w:val="20"/>
              </w:rPr>
              <w:t>Gerow</w:t>
            </w:r>
            <w:proofErr w:type="spellEnd"/>
            <w:r w:rsidRPr="00D770F2">
              <w:rPr>
                <w:sz w:val="20"/>
              </w:rPr>
              <w:t xml:space="preserve"> J.)</w:t>
            </w:r>
          </w:p>
          <w:p w:rsidR="00591A8C" w:rsidRPr="00D770F2" w:rsidRDefault="00591A8C" w:rsidP="006F56EE">
            <w:pPr>
              <w:jc w:val="both"/>
              <w:rPr>
                <w:sz w:val="20"/>
              </w:rPr>
            </w:pPr>
            <w:r w:rsidRPr="00D770F2">
              <w:rPr>
                <w:sz w:val="20"/>
              </w:rPr>
              <w:t>2015 BCSC 1018 (Unreported)</w:t>
            </w:r>
          </w:p>
          <w:p w:rsidR="00591A8C" w:rsidRPr="00D770F2" w:rsidRDefault="00591A8C" w:rsidP="006F56EE">
            <w:pPr>
              <w:jc w:val="both"/>
              <w:rPr>
                <w:sz w:val="20"/>
              </w:rPr>
            </w:pPr>
          </w:p>
        </w:tc>
        <w:tc>
          <w:tcPr>
            <w:tcW w:w="243" w:type="pct"/>
          </w:tcPr>
          <w:p w:rsidR="00591A8C" w:rsidRPr="00D770F2" w:rsidRDefault="00591A8C" w:rsidP="006F56EE">
            <w:pPr>
              <w:jc w:val="both"/>
              <w:rPr>
                <w:sz w:val="20"/>
              </w:rPr>
            </w:pPr>
          </w:p>
        </w:tc>
        <w:tc>
          <w:tcPr>
            <w:tcW w:w="2330" w:type="pct"/>
          </w:tcPr>
          <w:p w:rsidR="00591A8C" w:rsidRPr="00D770F2" w:rsidRDefault="00591A8C" w:rsidP="006F56EE">
            <w:pPr>
              <w:jc w:val="both"/>
              <w:rPr>
                <w:sz w:val="20"/>
              </w:rPr>
            </w:pPr>
            <w:r w:rsidRPr="00D770F2">
              <w:rPr>
                <w:sz w:val="20"/>
              </w:rPr>
              <w:t xml:space="preserve">Order for committal into custody to await surrender for extradition </w:t>
            </w:r>
          </w:p>
        </w:tc>
      </w:tr>
      <w:tr w:rsidR="00591A8C" w:rsidRPr="00D770F2" w:rsidTr="006F56EE">
        <w:tc>
          <w:tcPr>
            <w:tcW w:w="2427" w:type="pct"/>
            <w:gridSpan w:val="2"/>
          </w:tcPr>
          <w:p w:rsidR="00591A8C" w:rsidRPr="00D770F2" w:rsidRDefault="00591A8C" w:rsidP="006F56EE">
            <w:pPr>
              <w:jc w:val="both"/>
              <w:rPr>
                <w:sz w:val="20"/>
              </w:rPr>
            </w:pPr>
            <w:r w:rsidRPr="00D770F2">
              <w:rPr>
                <w:sz w:val="20"/>
              </w:rPr>
              <w:t>October 17, 2015</w:t>
            </w:r>
          </w:p>
          <w:p w:rsidR="00591A8C" w:rsidRPr="00D770F2" w:rsidRDefault="00591A8C" w:rsidP="006F56EE">
            <w:pPr>
              <w:jc w:val="both"/>
              <w:rPr>
                <w:sz w:val="20"/>
              </w:rPr>
            </w:pPr>
            <w:r w:rsidRPr="00D770F2">
              <w:rPr>
                <w:sz w:val="20"/>
              </w:rPr>
              <w:t xml:space="preserve">Minister of Justice  </w:t>
            </w:r>
          </w:p>
          <w:p w:rsidR="00591A8C" w:rsidRPr="00D770F2" w:rsidRDefault="00591A8C" w:rsidP="006F56EE">
            <w:pPr>
              <w:jc w:val="both"/>
              <w:rPr>
                <w:sz w:val="20"/>
              </w:rPr>
            </w:pPr>
            <w:r w:rsidRPr="00D770F2">
              <w:rPr>
                <w:sz w:val="20"/>
              </w:rPr>
              <w:t>(Hon. P. McKay)</w:t>
            </w:r>
          </w:p>
          <w:p w:rsidR="00591A8C" w:rsidRPr="00D770F2" w:rsidRDefault="00591A8C" w:rsidP="006F56EE">
            <w:pPr>
              <w:jc w:val="both"/>
              <w:rPr>
                <w:sz w:val="20"/>
              </w:rPr>
            </w:pPr>
          </w:p>
        </w:tc>
        <w:tc>
          <w:tcPr>
            <w:tcW w:w="243" w:type="pct"/>
          </w:tcPr>
          <w:p w:rsidR="00591A8C" w:rsidRPr="00D770F2" w:rsidRDefault="00591A8C" w:rsidP="006F56EE">
            <w:pPr>
              <w:jc w:val="both"/>
              <w:rPr>
                <w:sz w:val="20"/>
              </w:rPr>
            </w:pPr>
          </w:p>
        </w:tc>
        <w:tc>
          <w:tcPr>
            <w:tcW w:w="2330" w:type="pct"/>
          </w:tcPr>
          <w:p w:rsidR="00591A8C" w:rsidRPr="00D770F2" w:rsidRDefault="00591A8C" w:rsidP="006F56EE">
            <w:pPr>
              <w:jc w:val="both"/>
              <w:rPr>
                <w:sz w:val="20"/>
              </w:rPr>
            </w:pPr>
            <w:r w:rsidRPr="00D770F2">
              <w:rPr>
                <w:sz w:val="20"/>
              </w:rPr>
              <w:t xml:space="preserve">Order to surrender </w:t>
            </w:r>
          </w:p>
        </w:tc>
      </w:tr>
      <w:tr w:rsidR="00591A8C" w:rsidRPr="00D770F2" w:rsidTr="006F56EE">
        <w:tc>
          <w:tcPr>
            <w:tcW w:w="2427" w:type="pct"/>
            <w:gridSpan w:val="2"/>
          </w:tcPr>
          <w:p w:rsidR="00591A8C" w:rsidRPr="00D770F2" w:rsidRDefault="00591A8C" w:rsidP="006F56EE">
            <w:pPr>
              <w:jc w:val="both"/>
              <w:rPr>
                <w:sz w:val="20"/>
              </w:rPr>
            </w:pPr>
            <w:r w:rsidRPr="00D770F2">
              <w:rPr>
                <w:sz w:val="20"/>
              </w:rPr>
              <w:t>June 2, 2016</w:t>
            </w:r>
          </w:p>
          <w:p w:rsidR="00591A8C" w:rsidRPr="00D770F2" w:rsidRDefault="00591A8C" w:rsidP="006F56EE">
            <w:pPr>
              <w:jc w:val="both"/>
              <w:rPr>
                <w:sz w:val="20"/>
              </w:rPr>
            </w:pPr>
            <w:r w:rsidRPr="00D770F2">
              <w:rPr>
                <w:sz w:val="20"/>
              </w:rPr>
              <w:t xml:space="preserve">Minister of Justice  </w:t>
            </w:r>
          </w:p>
          <w:p w:rsidR="00591A8C" w:rsidRPr="00D770F2" w:rsidRDefault="00591A8C" w:rsidP="006F56EE">
            <w:pPr>
              <w:jc w:val="both"/>
              <w:rPr>
                <w:sz w:val="20"/>
              </w:rPr>
            </w:pPr>
            <w:r w:rsidRPr="00D770F2">
              <w:rPr>
                <w:sz w:val="20"/>
              </w:rPr>
              <w:t>(Hon. J. Wilson-</w:t>
            </w:r>
            <w:proofErr w:type="spellStart"/>
            <w:r w:rsidRPr="00D770F2">
              <w:rPr>
                <w:sz w:val="20"/>
              </w:rPr>
              <w:t>Raybould</w:t>
            </w:r>
            <w:proofErr w:type="spellEnd"/>
            <w:r w:rsidRPr="00D770F2">
              <w:rPr>
                <w:sz w:val="20"/>
              </w:rPr>
              <w:t>)</w:t>
            </w:r>
          </w:p>
          <w:p w:rsidR="00591A8C" w:rsidRPr="00D770F2" w:rsidRDefault="00591A8C" w:rsidP="006F56EE">
            <w:pPr>
              <w:jc w:val="both"/>
              <w:rPr>
                <w:sz w:val="20"/>
              </w:rPr>
            </w:pPr>
          </w:p>
        </w:tc>
        <w:tc>
          <w:tcPr>
            <w:tcW w:w="243" w:type="pct"/>
          </w:tcPr>
          <w:p w:rsidR="00591A8C" w:rsidRPr="00D770F2" w:rsidRDefault="00591A8C" w:rsidP="006F56EE">
            <w:pPr>
              <w:jc w:val="both"/>
              <w:rPr>
                <w:sz w:val="20"/>
              </w:rPr>
            </w:pPr>
          </w:p>
        </w:tc>
        <w:tc>
          <w:tcPr>
            <w:tcW w:w="2330" w:type="pct"/>
          </w:tcPr>
          <w:p w:rsidR="00591A8C" w:rsidRPr="00D770F2" w:rsidRDefault="00591A8C" w:rsidP="006F56EE">
            <w:pPr>
              <w:jc w:val="both"/>
              <w:rPr>
                <w:sz w:val="20"/>
              </w:rPr>
            </w:pPr>
            <w:r w:rsidRPr="00D770F2">
              <w:rPr>
                <w:sz w:val="20"/>
              </w:rPr>
              <w:t>Reconsideration of surrender order dismissed</w:t>
            </w:r>
          </w:p>
        </w:tc>
      </w:tr>
      <w:tr w:rsidR="00591A8C" w:rsidRPr="00D770F2" w:rsidTr="006F56EE">
        <w:tc>
          <w:tcPr>
            <w:tcW w:w="2427" w:type="pct"/>
            <w:gridSpan w:val="2"/>
          </w:tcPr>
          <w:p w:rsidR="00591A8C" w:rsidRPr="00D770F2" w:rsidRDefault="00591A8C" w:rsidP="006F56EE">
            <w:pPr>
              <w:jc w:val="both"/>
              <w:rPr>
                <w:sz w:val="20"/>
              </w:rPr>
            </w:pPr>
            <w:r w:rsidRPr="00D770F2">
              <w:rPr>
                <w:sz w:val="20"/>
              </w:rPr>
              <w:t>February 3, 2017</w:t>
            </w:r>
          </w:p>
          <w:p w:rsidR="00591A8C" w:rsidRPr="00D770F2" w:rsidRDefault="00591A8C" w:rsidP="006F56EE">
            <w:pPr>
              <w:jc w:val="both"/>
              <w:rPr>
                <w:sz w:val="20"/>
              </w:rPr>
            </w:pPr>
            <w:r w:rsidRPr="00D770F2">
              <w:rPr>
                <w:sz w:val="20"/>
              </w:rPr>
              <w:t xml:space="preserve">Court of Appeal for British Columbia </w:t>
            </w:r>
          </w:p>
          <w:p w:rsidR="00591A8C" w:rsidRPr="00D770F2" w:rsidRDefault="00591A8C" w:rsidP="006F56EE">
            <w:pPr>
              <w:jc w:val="both"/>
              <w:rPr>
                <w:sz w:val="20"/>
              </w:rPr>
            </w:pPr>
            <w:r w:rsidRPr="00D770F2">
              <w:rPr>
                <w:sz w:val="20"/>
              </w:rPr>
              <w:t>(Vancouver)</w:t>
            </w:r>
          </w:p>
          <w:p w:rsidR="00591A8C" w:rsidRPr="00D770F2" w:rsidRDefault="00591A8C" w:rsidP="006F56EE">
            <w:pPr>
              <w:jc w:val="both"/>
              <w:rPr>
                <w:sz w:val="20"/>
              </w:rPr>
            </w:pPr>
            <w:r w:rsidRPr="00D770F2">
              <w:rPr>
                <w:sz w:val="20"/>
              </w:rPr>
              <w:t>(</w:t>
            </w:r>
            <w:proofErr w:type="spellStart"/>
            <w:r w:rsidRPr="00D770F2">
              <w:rPr>
                <w:sz w:val="20"/>
              </w:rPr>
              <w:t>Groberman</w:t>
            </w:r>
            <w:proofErr w:type="spellEnd"/>
            <w:r w:rsidRPr="00D770F2">
              <w:rPr>
                <w:sz w:val="20"/>
              </w:rPr>
              <w:t>, Mackenzie, Dickson JJ.A.)</w:t>
            </w:r>
          </w:p>
          <w:p w:rsidR="00591A8C" w:rsidRPr="00D770F2" w:rsidRDefault="00591A8C" w:rsidP="006F56EE">
            <w:pPr>
              <w:jc w:val="both"/>
              <w:rPr>
                <w:sz w:val="20"/>
              </w:rPr>
            </w:pPr>
            <w:r w:rsidRPr="00D770F2">
              <w:rPr>
                <w:sz w:val="20"/>
              </w:rPr>
              <w:t xml:space="preserve">CA42903; </w:t>
            </w:r>
            <w:hyperlink r:id="rId28" w:history="1">
              <w:r w:rsidRPr="00D770F2">
                <w:rPr>
                  <w:rStyle w:val="Hyperlink"/>
                  <w:sz w:val="20"/>
                </w:rPr>
                <w:t>2017 BCCA 52</w:t>
              </w:r>
            </w:hyperlink>
          </w:p>
          <w:p w:rsidR="00591A8C" w:rsidRPr="00D770F2" w:rsidRDefault="00591A8C" w:rsidP="006F56EE">
            <w:pPr>
              <w:jc w:val="both"/>
              <w:rPr>
                <w:sz w:val="20"/>
              </w:rPr>
            </w:pPr>
          </w:p>
        </w:tc>
        <w:tc>
          <w:tcPr>
            <w:tcW w:w="243" w:type="pct"/>
          </w:tcPr>
          <w:p w:rsidR="00591A8C" w:rsidRPr="00D770F2" w:rsidRDefault="00591A8C" w:rsidP="006F56EE">
            <w:pPr>
              <w:jc w:val="both"/>
              <w:rPr>
                <w:sz w:val="20"/>
              </w:rPr>
            </w:pPr>
          </w:p>
        </w:tc>
        <w:tc>
          <w:tcPr>
            <w:tcW w:w="2330" w:type="pct"/>
          </w:tcPr>
          <w:p w:rsidR="00591A8C" w:rsidRPr="00D770F2" w:rsidRDefault="00591A8C" w:rsidP="006F56EE">
            <w:pPr>
              <w:jc w:val="both"/>
              <w:rPr>
                <w:sz w:val="20"/>
              </w:rPr>
            </w:pPr>
            <w:r w:rsidRPr="00D770F2">
              <w:rPr>
                <w:sz w:val="20"/>
              </w:rPr>
              <w:t>Motion to adduce fresh evidence dismissed, Appeal from committal order and Application for judicial review dismissed</w:t>
            </w:r>
          </w:p>
        </w:tc>
      </w:tr>
      <w:tr w:rsidR="00591A8C" w:rsidRPr="00D770F2" w:rsidTr="006F56EE">
        <w:tc>
          <w:tcPr>
            <w:tcW w:w="2427" w:type="pct"/>
            <w:gridSpan w:val="2"/>
          </w:tcPr>
          <w:p w:rsidR="00591A8C" w:rsidRPr="00D770F2" w:rsidRDefault="00591A8C" w:rsidP="006F56EE">
            <w:pPr>
              <w:jc w:val="both"/>
              <w:rPr>
                <w:sz w:val="20"/>
              </w:rPr>
            </w:pPr>
            <w:r w:rsidRPr="00D770F2">
              <w:rPr>
                <w:sz w:val="20"/>
              </w:rPr>
              <w:t>September 27, 2017</w:t>
            </w:r>
          </w:p>
          <w:p w:rsidR="00591A8C" w:rsidRPr="00D770F2" w:rsidRDefault="00591A8C" w:rsidP="006F56EE">
            <w:pPr>
              <w:jc w:val="both"/>
              <w:rPr>
                <w:sz w:val="20"/>
              </w:rPr>
            </w:pPr>
            <w:r w:rsidRPr="00D770F2">
              <w:rPr>
                <w:sz w:val="20"/>
              </w:rPr>
              <w:t>Supreme Court of Canada</w:t>
            </w:r>
          </w:p>
        </w:tc>
        <w:tc>
          <w:tcPr>
            <w:tcW w:w="243" w:type="pct"/>
          </w:tcPr>
          <w:p w:rsidR="00591A8C" w:rsidRPr="00D770F2" w:rsidRDefault="00591A8C" w:rsidP="006F56EE">
            <w:pPr>
              <w:jc w:val="both"/>
              <w:rPr>
                <w:sz w:val="20"/>
              </w:rPr>
            </w:pPr>
          </w:p>
        </w:tc>
        <w:tc>
          <w:tcPr>
            <w:tcW w:w="2330" w:type="pct"/>
          </w:tcPr>
          <w:p w:rsidR="00591A8C" w:rsidRPr="00D770F2" w:rsidRDefault="00591A8C" w:rsidP="006F56EE">
            <w:pPr>
              <w:jc w:val="both"/>
              <w:rPr>
                <w:sz w:val="20"/>
              </w:rPr>
            </w:pPr>
            <w:r w:rsidRPr="00D770F2">
              <w:rPr>
                <w:sz w:val="20"/>
              </w:rPr>
              <w:t>Motion for extension of time to serve and file application for leave to appeal and Application for leave to appeal filed</w:t>
            </w:r>
          </w:p>
        </w:tc>
      </w:tr>
    </w:tbl>
    <w:p w:rsidR="00591A8C" w:rsidRPr="00D770F2" w:rsidRDefault="00591A8C" w:rsidP="006F56EE">
      <w:pPr>
        <w:jc w:val="both"/>
        <w:rPr>
          <w:sz w:val="20"/>
        </w:rPr>
      </w:pPr>
    </w:p>
    <w:p w:rsidR="006F56EE" w:rsidRPr="00D770F2" w:rsidRDefault="006F56EE" w:rsidP="006F56E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91A8C" w:rsidRPr="0030635C" w:rsidTr="006F56EE">
        <w:tc>
          <w:tcPr>
            <w:tcW w:w="543" w:type="pct"/>
          </w:tcPr>
          <w:p w:rsidR="00591A8C" w:rsidRPr="00D770F2" w:rsidRDefault="00591A8C" w:rsidP="006F56EE">
            <w:pPr>
              <w:jc w:val="both"/>
              <w:rPr>
                <w:sz w:val="20"/>
                <w:lang w:val="fr-CA"/>
              </w:rPr>
            </w:pPr>
            <w:r w:rsidRPr="00D770F2">
              <w:rPr>
                <w:rStyle w:val="SCCFileNumberChar"/>
                <w:sz w:val="20"/>
                <w:szCs w:val="20"/>
                <w:lang w:val="fr-CA"/>
              </w:rPr>
              <w:t>37469</w:t>
            </w:r>
          </w:p>
        </w:tc>
        <w:tc>
          <w:tcPr>
            <w:tcW w:w="4457" w:type="pct"/>
            <w:gridSpan w:val="3"/>
          </w:tcPr>
          <w:p w:rsidR="00591A8C" w:rsidRPr="00D770F2" w:rsidRDefault="00591A8C" w:rsidP="006F56EE">
            <w:pPr>
              <w:pStyle w:val="SCCLsocParty"/>
              <w:jc w:val="both"/>
              <w:rPr>
                <w:b/>
                <w:sz w:val="20"/>
                <w:szCs w:val="20"/>
              </w:rPr>
            </w:pPr>
            <w:r w:rsidRPr="00D770F2">
              <w:rPr>
                <w:b/>
                <w:sz w:val="20"/>
                <w:szCs w:val="20"/>
              </w:rPr>
              <w:t>Kevin David Patterson c. Canada (ministre de la Justice), procureur général du Canada (au nom des États-Unis d’Amérique)</w:t>
            </w:r>
          </w:p>
          <w:p w:rsidR="00591A8C" w:rsidRPr="00D770F2" w:rsidRDefault="00591A8C" w:rsidP="006F56EE">
            <w:pPr>
              <w:jc w:val="both"/>
              <w:rPr>
                <w:sz w:val="20"/>
                <w:lang w:val="fr-CA"/>
              </w:rPr>
            </w:pPr>
            <w:r w:rsidRPr="00D770F2">
              <w:rPr>
                <w:sz w:val="20"/>
                <w:lang w:val="fr-CA"/>
              </w:rPr>
              <w:t>(C.-B.) (Criminelle) (Sur autorisation)</w:t>
            </w:r>
          </w:p>
        </w:tc>
      </w:tr>
      <w:tr w:rsidR="00591A8C" w:rsidRPr="0030635C" w:rsidTr="006F56EE">
        <w:tc>
          <w:tcPr>
            <w:tcW w:w="5000" w:type="pct"/>
            <w:gridSpan w:val="4"/>
          </w:tcPr>
          <w:p w:rsidR="00591A8C" w:rsidRPr="00D770F2" w:rsidRDefault="00591A8C" w:rsidP="006F56EE">
            <w:pPr>
              <w:jc w:val="both"/>
              <w:rPr>
                <w:sz w:val="20"/>
                <w:lang w:val="fr-CA"/>
              </w:rPr>
            </w:pPr>
            <w:r w:rsidRPr="00D770F2">
              <w:rPr>
                <w:sz w:val="20"/>
                <w:lang w:val="fr-CA"/>
              </w:rPr>
              <w:t>Extradition – Incarcération – Remise – Le demandeur soulève-t-il une question de droit? – La question revêt-elle de l’importance pour le public?</w:t>
            </w:r>
          </w:p>
          <w:p w:rsidR="00591A8C" w:rsidRPr="00D770F2" w:rsidRDefault="00591A8C" w:rsidP="006F56EE">
            <w:pPr>
              <w:jc w:val="both"/>
              <w:rPr>
                <w:sz w:val="20"/>
                <w:lang w:val="fr-CA"/>
              </w:rPr>
            </w:pPr>
          </w:p>
        </w:tc>
      </w:tr>
      <w:tr w:rsidR="00591A8C" w:rsidRPr="0030635C" w:rsidTr="006F56EE">
        <w:tc>
          <w:tcPr>
            <w:tcW w:w="5000" w:type="pct"/>
            <w:gridSpan w:val="4"/>
          </w:tcPr>
          <w:p w:rsidR="00591A8C" w:rsidRPr="00D770F2" w:rsidRDefault="00591A8C" w:rsidP="006F56EE">
            <w:pPr>
              <w:jc w:val="both"/>
              <w:rPr>
                <w:sz w:val="20"/>
                <w:lang w:val="fr-CA"/>
              </w:rPr>
            </w:pPr>
            <w:r w:rsidRPr="00D770F2">
              <w:rPr>
                <w:sz w:val="20"/>
                <w:lang w:val="fr-CA"/>
              </w:rPr>
              <w:t>Les États-Unis d’Amérique demandent l’extradition de M. Patterson afin qu’il subisse son procès dans l’État de Washington pour répondre à des accusations de meurtre au premier degré avec une peine plus lourde parce que commis avec une arme meurtrière, de vol qualifié au premier degré avec une peine plus lourde parce que commis avec une arme meurtrière et de vol d’un véhicule automobile en rapport avec le meurtre de M. Bergson et le vol du véhicule automobile, des pièces d’identité et des cartes de crédit de ce dernier.</w:t>
            </w:r>
          </w:p>
          <w:p w:rsidR="00591A8C" w:rsidRPr="00D770F2" w:rsidRDefault="00591A8C" w:rsidP="006F56EE">
            <w:pPr>
              <w:jc w:val="both"/>
              <w:rPr>
                <w:sz w:val="20"/>
                <w:lang w:val="fr-CA"/>
              </w:rPr>
            </w:pPr>
          </w:p>
        </w:tc>
      </w:tr>
      <w:tr w:rsidR="00591A8C" w:rsidRPr="0030635C" w:rsidTr="006F56EE">
        <w:tc>
          <w:tcPr>
            <w:tcW w:w="2427" w:type="pct"/>
            <w:gridSpan w:val="2"/>
          </w:tcPr>
          <w:p w:rsidR="00591A8C" w:rsidRPr="00D770F2" w:rsidRDefault="00591A8C" w:rsidP="006F56EE">
            <w:pPr>
              <w:jc w:val="both"/>
              <w:rPr>
                <w:sz w:val="20"/>
                <w:lang w:val="fr-CA"/>
              </w:rPr>
            </w:pPr>
            <w:r w:rsidRPr="00D770F2">
              <w:rPr>
                <w:sz w:val="20"/>
                <w:lang w:val="fr-CA"/>
              </w:rPr>
              <w:t>4 mai 2015</w:t>
            </w:r>
          </w:p>
          <w:p w:rsidR="00591A8C" w:rsidRPr="00D770F2" w:rsidRDefault="00591A8C" w:rsidP="006F56EE">
            <w:pPr>
              <w:jc w:val="both"/>
              <w:rPr>
                <w:sz w:val="20"/>
                <w:lang w:val="fr-CA"/>
              </w:rPr>
            </w:pPr>
            <w:r w:rsidRPr="00D770F2">
              <w:rPr>
                <w:sz w:val="20"/>
                <w:lang w:val="fr-CA"/>
              </w:rPr>
              <w:t>Cour suprême de la Colombie-Britannique</w:t>
            </w:r>
          </w:p>
          <w:p w:rsidR="00591A8C" w:rsidRPr="00D770F2" w:rsidRDefault="00591A8C" w:rsidP="006F56EE">
            <w:pPr>
              <w:jc w:val="both"/>
              <w:rPr>
                <w:sz w:val="20"/>
                <w:lang w:val="fr-CA"/>
              </w:rPr>
            </w:pPr>
            <w:r w:rsidRPr="00D770F2">
              <w:rPr>
                <w:sz w:val="20"/>
                <w:lang w:val="fr-CA"/>
              </w:rPr>
              <w:t>(Juge Gerow)</w:t>
            </w:r>
          </w:p>
          <w:p w:rsidR="00591A8C" w:rsidRPr="00D770F2" w:rsidRDefault="00591A8C" w:rsidP="006F56EE">
            <w:pPr>
              <w:jc w:val="both"/>
              <w:rPr>
                <w:sz w:val="20"/>
                <w:lang w:val="fr-CA"/>
              </w:rPr>
            </w:pPr>
            <w:r w:rsidRPr="00D770F2">
              <w:rPr>
                <w:sz w:val="20"/>
                <w:lang w:val="fr-CA"/>
              </w:rPr>
              <w:t>2015 BCSC 1018 (non publié)</w:t>
            </w:r>
          </w:p>
          <w:p w:rsidR="00591A8C" w:rsidRPr="00D770F2" w:rsidRDefault="00591A8C" w:rsidP="006F56EE">
            <w:pPr>
              <w:jc w:val="both"/>
              <w:rPr>
                <w:sz w:val="20"/>
                <w:lang w:val="fr-CA"/>
              </w:rPr>
            </w:pPr>
          </w:p>
        </w:tc>
        <w:tc>
          <w:tcPr>
            <w:tcW w:w="243" w:type="pct"/>
          </w:tcPr>
          <w:p w:rsidR="00591A8C" w:rsidRPr="00D770F2" w:rsidRDefault="00591A8C" w:rsidP="006F56EE">
            <w:pPr>
              <w:jc w:val="both"/>
              <w:rPr>
                <w:sz w:val="20"/>
                <w:lang w:val="fr-CA"/>
              </w:rPr>
            </w:pPr>
          </w:p>
        </w:tc>
        <w:tc>
          <w:tcPr>
            <w:tcW w:w="2330" w:type="pct"/>
          </w:tcPr>
          <w:p w:rsidR="00591A8C" w:rsidRPr="00D770F2" w:rsidRDefault="00591A8C" w:rsidP="006F56EE">
            <w:pPr>
              <w:jc w:val="both"/>
              <w:rPr>
                <w:sz w:val="20"/>
                <w:lang w:val="fr-CA"/>
              </w:rPr>
            </w:pPr>
            <w:r w:rsidRPr="00D770F2">
              <w:rPr>
                <w:sz w:val="20"/>
                <w:lang w:val="fr-CA"/>
              </w:rPr>
              <w:t xml:space="preserve">Ordonnance d’incarcération en attendant l’extradition </w:t>
            </w:r>
          </w:p>
        </w:tc>
      </w:tr>
      <w:tr w:rsidR="00591A8C" w:rsidRPr="00D770F2" w:rsidTr="006F56EE">
        <w:tc>
          <w:tcPr>
            <w:tcW w:w="2427" w:type="pct"/>
            <w:gridSpan w:val="2"/>
          </w:tcPr>
          <w:p w:rsidR="00591A8C" w:rsidRPr="00D770F2" w:rsidRDefault="00591A8C" w:rsidP="006F56EE">
            <w:pPr>
              <w:jc w:val="both"/>
              <w:rPr>
                <w:sz w:val="20"/>
                <w:lang w:val="fr-CA"/>
              </w:rPr>
            </w:pPr>
            <w:r w:rsidRPr="00D770F2">
              <w:rPr>
                <w:sz w:val="20"/>
                <w:lang w:val="fr-CA"/>
              </w:rPr>
              <w:t>17 octobre 2015</w:t>
            </w:r>
          </w:p>
          <w:p w:rsidR="00591A8C" w:rsidRPr="00D770F2" w:rsidRDefault="00591A8C" w:rsidP="006F56EE">
            <w:pPr>
              <w:jc w:val="both"/>
              <w:rPr>
                <w:sz w:val="20"/>
                <w:lang w:val="fr-CA"/>
              </w:rPr>
            </w:pPr>
            <w:r w:rsidRPr="00D770F2">
              <w:rPr>
                <w:sz w:val="20"/>
                <w:lang w:val="fr-CA"/>
              </w:rPr>
              <w:t xml:space="preserve">Ministre de la Justice  </w:t>
            </w:r>
          </w:p>
          <w:p w:rsidR="00591A8C" w:rsidRPr="00D770F2" w:rsidRDefault="00591A8C" w:rsidP="006F56EE">
            <w:pPr>
              <w:jc w:val="both"/>
              <w:rPr>
                <w:sz w:val="20"/>
                <w:lang w:val="fr-CA"/>
              </w:rPr>
            </w:pPr>
            <w:r w:rsidRPr="00D770F2">
              <w:rPr>
                <w:sz w:val="20"/>
                <w:lang w:val="fr-CA"/>
              </w:rPr>
              <w:t>(L’hon. P. McKay)</w:t>
            </w:r>
          </w:p>
          <w:p w:rsidR="00591A8C" w:rsidRPr="00D770F2" w:rsidRDefault="00591A8C" w:rsidP="006F56EE">
            <w:pPr>
              <w:jc w:val="both"/>
              <w:rPr>
                <w:sz w:val="20"/>
                <w:lang w:val="fr-CA"/>
              </w:rPr>
            </w:pPr>
          </w:p>
        </w:tc>
        <w:tc>
          <w:tcPr>
            <w:tcW w:w="243" w:type="pct"/>
          </w:tcPr>
          <w:p w:rsidR="00591A8C" w:rsidRPr="00D770F2" w:rsidRDefault="00591A8C" w:rsidP="006F56EE">
            <w:pPr>
              <w:jc w:val="both"/>
              <w:rPr>
                <w:sz w:val="20"/>
                <w:lang w:val="fr-CA"/>
              </w:rPr>
            </w:pPr>
          </w:p>
        </w:tc>
        <w:tc>
          <w:tcPr>
            <w:tcW w:w="2330" w:type="pct"/>
          </w:tcPr>
          <w:p w:rsidR="00591A8C" w:rsidRPr="00D770F2" w:rsidRDefault="00591A8C" w:rsidP="006F56EE">
            <w:pPr>
              <w:jc w:val="both"/>
              <w:rPr>
                <w:sz w:val="20"/>
                <w:lang w:val="fr-CA"/>
              </w:rPr>
            </w:pPr>
            <w:r w:rsidRPr="00D770F2">
              <w:rPr>
                <w:sz w:val="20"/>
                <w:lang w:val="fr-CA"/>
              </w:rPr>
              <w:t xml:space="preserve">Arrêté d’extradition </w:t>
            </w:r>
          </w:p>
        </w:tc>
      </w:tr>
      <w:tr w:rsidR="00591A8C" w:rsidRPr="0030635C" w:rsidTr="006F56EE">
        <w:tc>
          <w:tcPr>
            <w:tcW w:w="2427" w:type="pct"/>
            <w:gridSpan w:val="2"/>
          </w:tcPr>
          <w:p w:rsidR="00591A8C" w:rsidRPr="00D770F2" w:rsidRDefault="00591A8C" w:rsidP="006F56EE">
            <w:pPr>
              <w:jc w:val="both"/>
              <w:rPr>
                <w:sz w:val="20"/>
                <w:lang w:val="fr-CA"/>
              </w:rPr>
            </w:pPr>
            <w:r w:rsidRPr="00D770F2">
              <w:rPr>
                <w:sz w:val="20"/>
                <w:lang w:val="fr-CA"/>
              </w:rPr>
              <w:t>2 juin 2016</w:t>
            </w:r>
          </w:p>
          <w:p w:rsidR="00591A8C" w:rsidRPr="00D770F2" w:rsidRDefault="00591A8C" w:rsidP="006F56EE">
            <w:pPr>
              <w:jc w:val="both"/>
              <w:rPr>
                <w:sz w:val="20"/>
                <w:lang w:val="fr-CA"/>
              </w:rPr>
            </w:pPr>
            <w:r w:rsidRPr="00D770F2">
              <w:rPr>
                <w:sz w:val="20"/>
                <w:lang w:val="fr-CA"/>
              </w:rPr>
              <w:t xml:space="preserve">Ministre Justice  </w:t>
            </w:r>
          </w:p>
          <w:p w:rsidR="00591A8C" w:rsidRPr="00D770F2" w:rsidRDefault="00591A8C" w:rsidP="006F56EE">
            <w:pPr>
              <w:jc w:val="both"/>
              <w:rPr>
                <w:sz w:val="20"/>
                <w:lang w:val="fr-CA"/>
              </w:rPr>
            </w:pPr>
            <w:r w:rsidRPr="00D770F2">
              <w:rPr>
                <w:sz w:val="20"/>
                <w:lang w:val="fr-CA"/>
              </w:rPr>
              <w:t>(L’hon. J. Wilson-Raybould)</w:t>
            </w:r>
          </w:p>
          <w:p w:rsidR="00591A8C" w:rsidRPr="00D770F2" w:rsidRDefault="00591A8C" w:rsidP="006F56EE">
            <w:pPr>
              <w:jc w:val="both"/>
              <w:rPr>
                <w:sz w:val="20"/>
                <w:lang w:val="fr-CA"/>
              </w:rPr>
            </w:pPr>
          </w:p>
        </w:tc>
        <w:tc>
          <w:tcPr>
            <w:tcW w:w="243" w:type="pct"/>
          </w:tcPr>
          <w:p w:rsidR="00591A8C" w:rsidRPr="00D770F2" w:rsidRDefault="00591A8C" w:rsidP="006F56EE">
            <w:pPr>
              <w:jc w:val="both"/>
              <w:rPr>
                <w:sz w:val="20"/>
                <w:lang w:val="fr-CA"/>
              </w:rPr>
            </w:pPr>
          </w:p>
        </w:tc>
        <w:tc>
          <w:tcPr>
            <w:tcW w:w="2330" w:type="pct"/>
          </w:tcPr>
          <w:p w:rsidR="00591A8C" w:rsidRPr="00D770F2" w:rsidRDefault="00591A8C" w:rsidP="006F56EE">
            <w:pPr>
              <w:jc w:val="both"/>
              <w:rPr>
                <w:sz w:val="20"/>
                <w:lang w:val="fr-CA"/>
              </w:rPr>
            </w:pPr>
            <w:r w:rsidRPr="00D770F2">
              <w:rPr>
                <w:sz w:val="20"/>
                <w:lang w:val="fr-CA"/>
              </w:rPr>
              <w:t>Rejet de la demande de réexamen de l’arrêté d’extradition</w:t>
            </w:r>
          </w:p>
        </w:tc>
      </w:tr>
      <w:tr w:rsidR="00591A8C" w:rsidRPr="0030635C" w:rsidTr="006F56EE">
        <w:tc>
          <w:tcPr>
            <w:tcW w:w="2427" w:type="pct"/>
            <w:gridSpan w:val="2"/>
          </w:tcPr>
          <w:p w:rsidR="00591A8C" w:rsidRPr="00D770F2" w:rsidRDefault="00591A8C" w:rsidP="006F56EE">
            <w:pPr>
              <w:jc w:val="both"/>
              <w:rPr>
                <w:sz w:val="20"/>
                <w:lang w:val="fr-CA"/>
              </w:rPr>
            </w:pPr>
            <w:r w:rsidRPr="00D770F2">
              <w:rPr>
                <w:sz w:val="20"/>
                <w:lang w:val="fr-CA"/>
              </w:rPr>
              <w:t>3 février 2017</w:t>
            </w:r>
          </w:p>
          <w:p w:rsidR="00591A8C" w:rsidRPr="00D770F2" w:rsidRDefault="00591A8C" w:rsidP="006F56EE">
            <w:pPr>
              <w:jc w:val="both"/>
              <w:rPr>
                <w:sz w:val="20"/>
                <w:lang w:val="fr-CA"/>
              </w:rPr>
            </w:pPr>
            <w:r w:rsidRPr="00D770F2">
              <w:rPr>
                <w:sz w:val="20"/>
                <w:lang w:val="fr-CA"/>
              </w:rPr>
              <w:t>Cour d’appel de la Colombie-Britannique</w:t>
            </w:r>
          </w:p>
          <w:p w:rsidR="00591A8C" w:rsidRPr="00D770F2" w:rsidRDefault="00591A8C" w:rsidP="006F56EE">
            <w:pPr>
              <w:jc w:val="both"/>
              <w:rPr>
                <w:sz w:val="20"/>
                <w:lang w:val="fr-CA"/>
              </w:rPr>
            </w:pPr>
            <w:r w:rsidRPr="00D770F2">
              <w:rPr>
                <w:sz w:val="20"/>
                <w:lang w:val="fr-CA"/>
              </w:rPr>
              <w:t>(Vancouver)</w:t>
            </w:r>
          </w:p>
          <w:p w:rsidR="00591A8C" w:rsidRPr="00D770F2" w:rsidRDefault="00591A8C" w:rsidP="006F56EE">
            <w:pPr>
              <w:jc w:val="both"/>
              <w:rPr>
                <w:sz w:val="20"/>
                <w:lang w:val="fr-CA"/>
              </w:rPr>
            </w:pPr>
            <w:r w:rsidRPr="00D770F2">
              <w:rPr>
                <w:sz w:val="20"/>
                <w:lang w:val="fr-CA"/>
              </w:rPr>
              <w:t>(Juges Groberman, Mackenzie et Dickson)</w:t>
            </w:r>
          </w:p>
          <w:p w:rsidR="00591A8C" w:rsidRPr="00D770F2" w:rsidRDefault="00591A8C" w:rsidP="006F56EE">
            <w:pPr>
              <w:jc w:val="both"/>
              <w:rPr>
                <w:sz w:val="20"/>
                <w:lang w:val="fr-CA"/>
              </w:rPr>
            </w:pPr>
            <w:r w:rsidRPr="00D770F2">
              <w:rPr>
                <w:sz w:val="20"/>
                <w:lang w:val="fr-CA"/>
              </w:rPr>
              <w:t xml:space="preserve">CA42903; </w:t>
            </w:r>
            <w:hyperlink r:id="rId29" w:history="1">
              <w:r w:rsidRPr="00D770F2">
                <w:rPr>
                  <w:rStyle w:val="Hyperlink"/>
                  <w:sz w:val="20"/>
                  <w:lang w:val="fr-CA"/>
                </w:rPr>
                <w:t>2017 BCCA 52</w:t>
              </w:r>
            </w:hyperlink>
          </w:p>
          <w:p w:rsidR="00591A8C" w:rsidRPr="00D770F2" w:rsidRDefault="00591A8C" w:rsidP="006F56EE">
            <w:pPr>
              <w:jc w:val="both"/>
              <w:rPr>
                <w:sz w:val="20"/>
                <w:lang w:val="fr-CA"/>
              </w:rPr>
            </w:pPr>
          </w:p>
        </w:tc>
        <w:tc>
          <w:tcPr>
            <w:tcW w:w="243" w:type="pct"/>
          </w:tcPr>
          <w:p w:rsidR="00591A8C" w:rsidRPr="00D770F2" w:rsidRDefault="00591A8C" w:rsidP="006F56EE">
            <w:pPr>
              <w:jc w:val="both"/>
              <w:rPr>
                <w:sz w:val="20"/>
                <w:lang w:val="fr-CA"/>
              </w:rPr>
            </w:pPr>
          </w:p>
        </w:tc>
        <w:tc>
          <w:tcPr>
            <w:tcW w:w="2330" w:type="pct"/>
          </w:tcPr>
          <w:p w:rsidR="00591A8C" w:rsidRPr="00D770F2" w:rsidRDefault="00591A8C" w:rsidP="006F56EE">
            <w:pPr>
              <w:jc w:val="both"/>
              <w:rPr>
                <w:sz w:val="20"/>
                <w:lang w:val="fr-CA"/>
              </w:rPr>
            </w:pPr>
            <w:r w:rsidRPr="00D770F2">
              <w:rPr>
                <w:sz w:val="20"/>
                <w:lang w:val="fr-CA"/>
              </w:rPr>
              <w:t>Rejet de la requête en vue de produire de nouveaux éléments de preuve; rejet de l’appel de l’ordonnance d’incarcération et de la demande de contrôle judiciaire</w:t>
            </w:r>
          </w:p>
        </w:tc>
      </w:tr>
      <w:tr w:rsidR="00591A8C" w:rsidRPr="0030635C" w:rsidTr="006F56EE">
        <w:tc>
          <w:tcPr>
            <w:tcW w:w="2427" w:type="pct"/>
            <w:gridSpan w:val="2"/>
          </w:tcPr>
          <w:p w:rsidR="00591A8C" w:rsidRPr="00D770F2" w:rsidRDefault="00591A8C" w:rsidP="006F56EE">
            <w:pPr>
              <w:jc w:val="both"/>
              <w:rPr>
                <w:sz w:val="20"/>
                <w:lang w:val="fr-CA"/>
              </w:rPr>
            </w:pPr>
            <w:r w:rsidRPr="00D770F2">
              <w:rPr>
                <w:sz w:val="20"/>
                <w:lang w:val="fr-CA"/>
              </w:rPr>
              <w:t>27 septembre 2017</w:t>
            </w:r>
          </w:p>
          <w:p w:rsidR="00591A8C" w:rsidRPr="00D770F2" w:rsidRDefault="00591A8C" w:rsidP="006F56EE">
            <w:pPr>
              <w:jc w:val="both"/>
              <w:rPr>
                <w:sz w:val="20"/>
                <w:lang w:val="fr-CA"/>
              </w:rPr>
            </w:pPr>
            <w:r w:rsidRPr="00D770F2">
              <w:rPr>
                <w:sz w:val="20"/>
                <w:lang w:val="fr-CA"/>
              </w:rPr>
              <w:t>Cour suprême du Canada</w:t>
            </w:r>
          </w:p>
        </w:tc>
        <w:tc>
          <w:tcPr>
            <w:tcW w:w="243" w:type="pct"/>
          </w:tcPr>
          <w:p w:rsidR="00591A8C" w:rsidRPr="00D770F2" w:rsidRDefault="00591A8C" w:rsidP="006F56EE">
            <w:pPr>
              <w:jc w:val="both"/>
              <w:rPr>
                <w:sz w:val="20"/>
                <w:lang w:val="fr-CA"/>
              </w:rPr>
            </w:pPr>
          </w:p>
        </w:tc>
        <w:tc>
          <w:tcPr>
            <w:tcW w:w="2330" w:type="pct"/>
          </w:tcPr>
          <w:p w:rsidR="00591A8C" w:rsidRPr="00D770F2" w:rsidRDefault="00591A8C" w:rsidP="006F56EE">
            <w:pPr>
              <w:jc w:val="both"/>
              <w:rPr>
                <w:sz w:val="20"/>
                <w:lang w:val="fr-CA"/>
              </w:rPr>
            </w:pPr>
            <w:r w:rsidRPr="00D770F2">
              <w:rPr>
                <w:sz w:val="20"/>
                <w:lang w:val="fr-CA"/>
              </w:rPr>
              <w:t>Dépôt de la requête en prorogation du délai de signification et de dépôt de la demande d’autorisation d’appel et de la demande d’autorisation d’appel</w:t>
            </w:r>
          </w:p>
        </w:tc>
      </w:tr>
    </w:tbl>
    <w:p w:rsidR="00591A8C" w:rsidRPr="00D770F2" w:rsidRDefault="00591A8C" w:rsidP="006F56EE">
      <w:pPr>
        <w:jc w:val="both"/>
        <w:rPr>
          <w:sz w:val="20"/>
          <w:lang w:val="fr-CA"/>
        </w:rPr>
      </w:pPr>
    </w:p>
    <w:p w:rsidR="001E6FC9" w:rsidRPr="00D770F2" w:rsidRDefault="001E6FC9" w:rsidP="006F56E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91A8C" w:rsidRPr="00D770F2" w:rsidTr="006F56EE">
        <w:tc>
          <w:tcPr>
            <w:tcW w:w="543" w:type="pct"/>
          </w:tcPr>
          <w:p w:rsidR="00591A8C" w:rsidRPr="00D770F2" w:rsidRDefault="00591A8C" w:rsidP="006F56EE">
            <w:pPr>
              <w:jc w:val="both"/>
              <w:rPr>
                <w:sz w:val="20"/>
              </w:rPr>
            </w:pPr>
            <w:r w:rsidRPr="00D770F2">
              <w:rPr>
                <w:rStyle w:val="SCCFileNumberChar"/>
                <w:sz w:val="20"/>
                <w:szCs w:val="20"/>
              </w:rPr>
              <w:t>37696</w:t>
            </w:r>
          </w:p>
        </w:tc>
        <w:tc>
          <w:tcPr>
            <w:tcW w:w="4457" w:type="pct"/>
            <w:gridSpan w:val="3"/>
          </w:tcPr>
          <w:p w:rsidR="00591A8C" w:rsidRPr="00D770F2" w:rsidRDefault="00591A8C" w:rsidP="006F56EE">
            <w:pPr>
              <w:pStyle w:val="SCCLsocParty"/>
              <w:jc w:val="both"/>
              <w:rPr>
                <w:b/>
                <w:sz w:val="20"/>
                <w:szCs w:val="20"/>
                <w:lang w:val="en-US"/>
              </w:rPr>
            </w:pPr>
            <w:r w:rsidRPr="00D770F2">
              <w:rPr>
                <w:b/>
                <w:sz w:val="20"/>
                <w:szCs w:val="20"/>
                <w:lang w:val="en-US"/>
              </w:rPr>
              <w:t>Arland Richard Bruce v. Mark Steven Cohon, B.C. Lions Football Club Inc., Edmonton Eskimo Football Club, Calgary Stampeders 2012 Inc., Saskatchewan Roughrider Football Club Inc., Winnipeg Blue Bombers, Hamilton Tiger-Cat Football Club, Toronto Argonauts Football Club Inc., Compagnie Club de Football des Alouettes de Montréal, Capital Gridiron Limited Partnership, Capital Gridiron GP Inc.</w:t>
            </w:r>
          </w:p>
          <w:p w:rsidR="00591A8C" w:rsidRPr="00D770F2" w:rsidRDefault="00591A8C" w:rsidP="006F56EE">
            <w:pPr>
              <w:jc w:val="both"/>
              <w:rPr>
                <w:sz w:val="20"/>
              </w:rPr>
            </w:pPr>
            <w:r w:rsidRPr="00D770F2">
              <w:rPr>
                <w:sz w:val="20"/>
              </w:rPr>
              <w:t>(B.C.) (Civil) (By Leave)</w:t>
            </w:r>
          </w:p>
        </w:tc>
      </w:tr>
      <w:tr w:rsidR="00591A8C" w:rsidRPr="00D770F2" w:rsidTr="006F56EE">
        <w:tc>
          <w:tcPr>
            <w:tcW w:w="5000" w:type="pct"/>
            <w:gridSpan w:val="4"/>
          </w:tcPr>
          <w:p w:rsidR="00591A8C" w:rsidRPr="00D770F2" w:rsidRDefault="00591A8C" w:rsidP="006F56EE">
            <w:pPr>
              <w:jc w:val="both"/>
              <w:rPr>
                <w:sz w:val="20"/>
              </w:rPr>
            </w:pPr>
            <w:r w:rsidRPr="00D770F2">
              <w:rPr>
                <w:sz w:val="20"/>
              </w:rPr>
              <w:t xml:space="preserve">Courts – Jurisdiction – Labour Relations – Collective Agreements – Arbitration – Torts – Negligent Misrepresentation – Does </w:t>
            </w:r>
            <w:r w:rsidRPr="00D770F2">
              <w:rPr>
                <w:i/>
                <w:sz w:val="20"/>
              </w:rPr>
              <w:t>Weber</w:t>
            </w:r>
            <w:r w:rsidRPr="00D770F2">
              <w:rPr>
                <w:sz w:val="20"/>
              </w:rPr>
              <w:t xml:space="preserve"> </w:t>
            </w:r>
            <w:r w:rsidRPr="00D770F2">
              <w:rPr>
                <w:i/>
                <w:sz w:val="20"/>
              </w:rPr>
              <w:t>v. Ontario Hydro</w:t>
            </w:r>
            <w:r w:rsidRPr="00D770F2">
              <w:rPr>
                <w:sz w:val="20"/>
              </w:rPr>
              <w:t xml:space="preserve">, [1995] 2 S.C.R. 929 permit the Respondents to take refuge in the collective agreement to escape the consequences of tortious conduct and financial responsibility for injured workers – Did the Respondents step outside the collective bargaining regime when they embarked upon a public concussion awareness campaign aimed at 750,000 Canadian athletes, parents, and coaches – Should the exclusive jurisdiction model apply in the absence of exclusive representation – Does the application of a </w:t>
            </w:r>
            <w:r w:rsidRPr="00D770F2">
              <w:rPr>
                <w:i/>
                <w:sz w:val="20"/>
              </w:rPr>
              <w:t>Weber</w:t>
            </w:r>
            <w:r w:rsidRPr="00D770F2">
              <w:rPr>
                <w:sz w:val="20"/>
              </w:rPr>
              <w:t xml:space="preserve"> analysis create an injustice or vulnerable class of workers in the context of the CFL collective bargaining agreement, which lacks exclusive representation, occupational health and safety regulation, and workers compensation benefits.</w:t>
            </w:r>
          </w:p>
          <w:p w:rsidR="00591A8C" w:rsidRPr="00D770F2" w:rsidRDefault="00591A8C" w:rsidP="006F56EE">
            <w:pPr>
              <w:jc w:val="both"/>
              <w:rPr>
                <w:sz w:val="20"/>
              </w:rPr>
            </w:pPr>
          </w:p>
        </w:tc>
      </w:tr>
      <w:tr w:rsidR="00591A8C" w:rsidRPr="00D770F2" w:rsidTr="006F56EE">
        <w:tc>
          <w:tcPr>
            <w:tcW w:w="5000" w:type="pct"/>
            <w:gridSpan w:val="4"/>
          </w:tcPr>
          <w:p w:rsidR="00591A8C" w:rsidRPr="00D770F2" w:rsidRDefault="00591A8C" w:rsidP="006F56EE">
            <w:pPr>
              <w:jc w:val="both"/>
              <w:rPr>
                <w:sz w:val="20"/>
              </w:rPr>
            </w:pPr>
            <w:r w:rsidRPr="00D770F2">
              <w:rPr>
                <w:sz w:val="20"/>
              </w:rPr>
              <w:t>The applicant played professional football for various teams in the Canadian Football League (“CFL”). He claims he suffered concussions when playing for the B.C. Lions in 2012, was showing continued symptoms in 2013, while playing for the Montreal Alouettes, and continues to suffer from chronic traumatic encephalopathy, depression, paranoia, delusions, headaches and other problems. He brought an action in damages against the B.C. Lions Football Club Inc. and Compagnie Club de Football des Alouettes de Montreal for negligence, failure to warn and negligent misrepresentation. He argued that they knew or should have known that he should not play while displaying the ongoing effects of concussion and that they denied the proven link between repetitive traumatic head impacts and cognitive brain injury, downplayed the dangers and concealed information about technology to record and report head trauma. He brought similar claims of negligent misrepresentation against the CFL and its member clubs and its commissioner. The respondents defended the claim on the basis that the matter must be the subject of a grievance and arbitration. The Supreme Court of British Columbia struck the applicant’s claim in its entirety, holding that the court lacked jurisdiction to consider the case since the dispute was one that had to be resolved through the grievance and arbitration process under the collective agreement. The Court of Appeal for British Columbia dismissed the appeal.</w:t>
            </w:r>
          </w:p>
        </w:tc>
      </w:tr>
      <w:tr w:rsidR="00591A8C" w:rsidRPr="00D770F2" w:rsidTr="006F56EE">
        <w:tc>
          <w:tcPr>
            <w:tcW w:w="5000" w:type="pct"/>
            <w:gridSpan w:val="4"/>
          </w:tcPr>
          <w:p w:rsidR="00591A8C" w:rsidRPr="00D770F2" w:rsidRDefault="00591A8C" w:rsidP="006F56EE">
            <w:pPr>
              <w:jc w:val="both"/>
              <w:rPr>
                <w:sz w:val="20"/>
              </w:rPr>
            </w:pPr>
          </w:p>
        </w:tc>
      </w:tr>
      <w:tr w:rsidR="00591A8C" w:rsidRPr="00D770F2" w:rsidTr="006F56EE">
        <w:tc>
          <w:tcPr>
            <w:tcW w:w="2427" w:type="pct"/>
            <w:gridSpan w:val="2"/>
          </w:tcPr>
          <w:p w:rsidR="00591A8C" w:rsidRPr="00D770F2" w:rsidRDefault="00591A8C" w:rsidP="006F56EE">
            <w:pPr>
              <w:jc w:val="both"/>
              <w:rPr>
                <w:sz w:val="20"/>
              </w:rPr>
            </w:pPr>
            <w:r w:rsidRPr="00D770F2">
              <w:rPr>
                <w:sz w:val="20"/>
              </w:rPr>
              <w:t>March 11, 2016</w:t>
            </w:r>
          </w:p>
          <w:p w:rsidR="00591A8C" w:rsidRPr="00D770F2" w:rsidRDefault="00591A8C" w:rsidP="006F56EE">
            <w:pPr>
              <w:jc w:val="both"/>
              <w:rPr>
                <w:sz w:val="20"/>
              </w:rPr>
            </w:pPr>
            <w:r w:rsidRPr="00D770F2">
              <w:rPr>
                <w:sz w:val="20"/>
              </w:rPr>
              <w:t>Supreme Court of British Columbia</w:t>
            </w:r>
          </w:p>
          <w:p w:rsidR="00591A8C" w:rsidRPr="00D770F2" w:rsidRDefault="00591A8C" w:rsidP="006F56EE">
            <w:pPr>
              <w:jc w:val="both"/>
              <w:rPr>
                <w:sz w:val="20"/>
              </w:rPr>
            </w:pPr>
            <w:r w:rsidRPr="00D770F2">
              <w:rPr>
                <w:sz w:val="20"/>
              </w:rPr>
              <w:t>(</w:t>
            </w:r>
            <w:proofErr w:type="spellStart"/>
            <w:r w:rsidRPr="00D770F2">
              <w:rPr>
                <w:sz w:val="20"/>
              </w:rPr>
              <w:t>Hinkson</w:t>
            </w:r>
            <w:proofErr w:type="spellEnd"/>
            <w:r w:rsidRPr="00D770F2">
              <w:rPr>
                <w:sz w:val="20"/>
              </w:rPr>
              <w:t xml:space="preserve"> C.J.)</w:t>
            </w:r>
          </w:p>
          <w:p w:rsidR="00591A8C" w:rsidRPr="00D770F2" w:rsidRDefault="009479D6" w:rsidP="006F56EE">
            <w:pPr>
              <w:jc w:val="both"/>
              <w:rPr>
                <w:sz w:val="20"/>
              </w:rPr>
            </w:pPr>
            <w:hyperlink r:id="rId30" w:history="1">
              <w:r w:rsidR="00591A8C" w:rsidRPr="00D770F2">
                <w:rPr>
                  <w:rStyle w:val="Hyperlink"/>
                  <w:sz w:val="20"/>
                </w:rPr>
                <w:t>2016 BCSC 419</w:t>
              </w:r>
            </w:hyperlink>
            <w:r w:rsidR="00591A8C" w:rsidRPr="00D770F2">
              <w:rPr>
                <w:sz w:val="20"/>
              </w:rPr>
              <w:t xml:space="preserve"> </w:t>
            </w:r>
          </w:p>
          <w:p w:rsidR="00591A8C" w:rsidRPr="00D770F2" w:rsidRDefault="00591A8C" w:rsidP="006F56EE">
            <w:pPr>
              <w:jc w:val="both"/>
              <w:rPr>
                <w:sz w:val="20"/>
              </w:rPr>
            </w:pPr>
          </w:p>
        </w:tc>
        <w:tc>
          <w:tcPr>
            <w:tcW w:w="243" w:type="pct"/>
          </w:tcPr>
          <w:p w:rsidR="00591A8C" w:rsidRPr="00D770F2" w:rsidRDefault="00591A8C" w:rsidP="006F56EE">
            <w:pPr>
              <w:jc w:val="both"/>
              <w:rPr>
                <w:sz w:val="20"/>
              </w:rPr>
            </w:pPr>
          </w:p>
        </w:tc>
        <w:tc>
          <w:tcPr>
            <w:tcW w:w="2330" w:type="pct"/>
          </w:tcPr>
          <w:p w:rsidR="00591A8C" w:rsidRPr="00D770F2" w:rsidRDefault="00591A8C" w:rsidP="006F56EE">
            <w:pPr>
              <w:jc w:val="both"/>
              <w:rPr>
                <w:sz w:val="20"/>
              </w:rPr>
            </w:pPr>
            <w:r w:rsidRPr="00D770F2">
              <w:rPr>
                <w:sz w:val="20"/>
              </w:rPr>
              <w:t>Respondents’ application granted and applicant’s claim struck in its entirety for lack of jurisdiction. Dispute must be resolved through the grievance and arbitration process under the collective agreement</w:t>
            </w:r>
          </w:p>
          <w:p w:rsidR="00591A8C" w:rsidRPr="00D770F2" w:rsidRDefault="00591A8C" w:rsidP="006F56EE">
            <w:pPr>
              <w:jc w:val="both"/>
              <w:rPr>
                <w:sz w:val="20"/>
              </w:rPr>
            </w:pPr>
          </w:p>
        </w:tc>
      </w:tr>
      <w:tr w:rsidR="00591A8C" w:rsidRPr="00D770F2" w:rsidTr="006F56EE">
        <w:tc>
          <w:tcPr>
            <w:tcW w:w="2427" w:type="pct"/>
            <w:gridSpan w:val="2"/>
          </w:tcPr>
          <w:p w:rsidR="00591A8C" w:rsidRPr="00D770F2" w:rsidRDefault="00591A8C" w:rsidP="006F56EE">
            <w:pPr>
              <w:jc w:val="both"/>
              <w:rPr>
                <w:sz w:val="20"/>
              </w:rPr>
            </w:pPr>
            <w:r w:rsidRPr="00D770F2">
              <w:rPr>
                <w:sz w:val="20"/>
              </w:rPr>
              <w:t>May 12, 2017</w:t>
            </w:r>
          </w:p>
          <w:p w:rsidR="00591A8C" w:rsidRPr="00D770F2" w:rsidRDefault="00591A8C" w:rsidP="006F56EE">
            <w:pPr>
              <w:jc w:val="both"/>
              <w:rPr>
                <w:sz w:val="20"/>
              </w:rPr>
            </w:pPr>
            <w:r w:rsidRPr="00D770F2">
              <w:rPr>
                <w:sz w:val="20"/>
              </w:rPr>
              <w:t xml:space="preserve">Court of Appeal for British Columbia </w:t>
            </w:r>
          </w:p>
          <w:p w:rsidR="00591A8C" w:rsidRPr="00D770F2" w:rsidRDefault="00591A8C" w:rsidP="006F56EE">
            <w:pPr>
              <w:jc w:val="both"/>
              <w:rPr>
                <w:sz w:val="20"/>
              </w:rPr>
            </w:pPr>
            <w:r w:rsidRPr="00D770F2">
              <w:rPr>
                <w:sz w:val="20"/>
              </w:rPr>
              <w:t>(Vancouver)</w:t>
            </w:r>
          </w:p>
          <w:p w:rsidR="00591A8C" w:rsidRPr="00D770F2" w:rsidRDefault="00591A8C" w:rsidP="006F56EE">
            <w:pPr>
              <w:jc w:val="both"/>
              <w:rPr>
                <w:sz w:val="20"/>
              </w:rPr>
            </w:pPr>
            <w:r w:rsidRPr="00D770F2">
              <w:rPr>
                <w:sz w:val="20"/>
              </w:rPr>
              <w:t>(Newbury, Stromberg-Stein and Fitch JJ.A.)</w:t>
            </w:r>
          </w:p>
          <w:p w:rsidR="00591A8C" w:rsidRPr="00D770F2" w:rsidRDefault="009479D6" w:rsidP="006F56EE">
            <w:pPr>
              <w:jc w:val="both"/>
              <w:rPr>
                <w:sz w:val="20"/>
              </w:rPr>
            </w:pPr>
            <w:hyperlink r:id="rId31" w:history="1">
              <w:r w:rsidR="00591A8C" w:rsidRPr="00D770F2">
                <w:rPr>
                  <w:rStyle w:val="Hyperlink"/>
                  <w:sz w:val="20"/>
                </w:rPr>
                <w:t>2017 BCCA 186</w:t>
              </w:r>
            </w:hyperlink>
            <w:r w:rsidR="00591A8C" w:rsidRPr="00D770F2">
              <w:rPr>
                <w:sz w:val="20"/>
              </w:rPr>
              <w:t>: CA43559</w:t>
            </w:r>
          </w:p>
          <w:p w:rsidR="00591A8C" w:rsidRPr="00D770F2" w:rsidRDefault="00591A8C" w:rsidP="006F56EE">
            <w:pPr>
              <w:jc w:val="both"/>
              <w:rPr>
                <w:sz w:val="20"/>
              </w:rPr>
            </w:pPr>
          </w:p>
        </w:tc>
        <w:tc>
          <w:tcPr>
            <w:tcW w:w="243" w:type="pct"/>
          </w:tcPr>
          <w:p w:rsidR="00591A8C" w:rsidRPr="00D770F2" w:rsidRDefault="00591A8C" w:rsidP="006F56EE">
            <w:pPr>
              <w:jc w:val="both"/>
              <w:rPr>
                <w:sz w:val="20"/>
              </w:rPr>
            </w:pPr>
          </w:p>
        </w:tc>
        <w:tc>
          <w:tcPr>
            <w:tcW w:w="2330" w:type="pct"/>
          </w:tcPr>
          <w:p w:rsidR="00591A8C" w:rsidRPr="00D770F2" w:rsidRDefault="00591A8C" w:rsidP="006F56EE">
            <w:pPr>
              <w:jc w:val="both"/>
              <w:rPr>
                <w:sz w:val="20"/>
              </w:rPr>
            </w:pPr>
            <w:r w:rsidRPr="00D770F2">
              <w:rPr>
                <w:sz w:val="20"/>
              </w:rPr>
              <w:t>Appeal dismissed</w:t>
            </w:r>
          </w:p>
          <w:p w:rsidR="00591A8C" w:rsidRPr="00D770F2" w:rsidRDefault="00591A8C" w:rsidP="006F56EE">
            <w:pPr>
              <w:jc w:val="both"/>
              <w:rPr>
                <w:sz w:val="20"/>
              </w:rPr>
            </w:pPr>
          </w:p>
        </w:tc>
      </w:tr>
      <w:tr w:rsidR="00591A8C" w:rsidRPr="00D770F2" w:rsidTr="006F56EE">
        <w:tc>
          <w:tcPr>
            <w:tcW w:w="2427" w:type="pct"/>
            <w:gridSpan w:val="2"/>
          </w:tcPr>
          <w:p w:rsidR="00591A8C" w:rsidRPr="00D770F2" w:rsidRDefault="00591A8C" w:rsidP="006F56EE">
            <w:pPr>
              <w:jc w:val="both"/>
              <w:rPr>
                <w:sz w:val="20"/>
              </w:rPr>
            </w:pPr>
            <w:r w:rsidRPr="00D770F2">
              <w:rPr>
                <w:sz w:val="20"/>
              </w:rPr>
              <w:t>August 11, 2017</w:t>
            </w:r>
          </w:p>
          <w:p w:rsidR="00591A8C" w:rsidRPr="00D770F2" w:rsidRDefault="00591A8C" w:rsidP="006F56EE">
            <w:pPr>
              <w:jc w:val="both"/>
              <w:rPr>
                <w:sz w:val="20"/>
              </w:rPr>
            </w:pPr>
            <w:r w:rsidRPr="00D770F2">
              <w:rPr>
                <w:sz w:val="20"/>
              </w:rPr>
              <w:t>Supreme Court of Canada</w:t>
            </w:r>
          </w:p>
        </w:tc>
        <w:tc>
          <w:tcPr>
            <w:tcW w:w="243" w:type="pct"/>
          </w:tcPr>
          <w:p w:rsidR="00591A8C" w:rsidRPr="00D770F2" w:rsidRDefault="00591A8C" w:rsidP="006F56EE">
            <w:pPr>
              <w:jc w:val="both"/>
              <w:rPr>
                <w:sz w:val="20"/>
              </w:rPr>
            </w:pPr>
          </w:p>
        </w:tc>
        <w:tc>
          <w:tcPr>
            <w:tcW w:w="2330" w:type="pct"/>
          </w:tcPr>
          <w:p w:rsidR="00591A8C" w:rsidRPr="00D770F2" w:rsidRDefault="00591A8C" w:rsidP="006F56EE">
            <w:pPr>
              <w:jc w:val="both"/>
              <w:rPr>
                <w:sz w:val="20"/>
              </w:rPr>
            </w:pPr>
            <w:r w:rsidRPr="00D770F2">
              <w:rPr>
                <w:sz w:val="20"/>
              </w:rPr>
              <w:t>Application for leave to appeal filed</w:t>
            </w:r>
          </w:p>
        </w:tc>
      </w:tr>
    </w:tbl>
    <w:p w:rsidR="00591A8C" w:rsidRPr="00D770F2" w:rsidRDefault="00591A8C" w:rsidP="006F56EE">
      <w:pPr>
        <w:jc w:val="both"/>
        <w:rPr>
          <w:sz w:val="20"/>
        </w:rPr>
      </w:pPr>
    </w:p>
    <w:p w:rsidR="006F56EE" w:rsidRPr="00D770F2" w:rsidRDefault="006F56EE" w:rsidP="006F56E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91A8C" w:rsidRPr="0030635C" w:rsidTr="006F56EE">
        <w:tc>
          <w:tcPr>
            <w:tcW w:w="543" w:type="pct"/>
          </w:tcPr>
          <w:p w:rsidR="00591A8C" w:rsidRPr="00D770F2" w:rsidRDefault="00591A8C" w:rsidP="006F56EE">
            <w:pPr>
              <w:jc w:val="both"/>
              <w:rPr>
                <w:sz w:val="20"/>
                <w:lang w:val="fr-CA"/>
              </w:rPr>
            </w:pPr>
            <w:r w:rsidRPr="00D770F2">
              <w:rPr>
                <w:rStyle w:val="SCCFileNumberChar"/>
                <w:sz w:val="20"/>
                <w:szCs w:val="20"/>
                <w:lang w:val="fr-CA"/>
              </w:rPr>
              <w:t>37696</w:t>
            </w:r>
          </w:p>
        </w:tc>
        <w:tc>
          <w:tcPr>
            <w:tcW w:w="4457" w:type="pct"/>
            <w:gridSpan w:val="3"/>
          </w:tcPr>
          <w:p w:rsidR="00591A8C" w:rsidRPr="00D770F2" w:rsidRDefault="00591A8C" w:rsidP="006F56EE">
            <w:pPr>
              <w:pStyle w:val="SCCLsocParty"/>
              <w:jc w:val="both"/>
              <w:rPr>
                <w:b/>
                <w:sz w:val="20"/>
                <w:szCs w:val="20"/>
                <w:lang w:val="en-US"/>
              </w:rPr>
            </w:pPr>
            <w:r w:rsidRPr="00D770F2">
              <w:rPr>
                <w:b/>
                <w:sz w:val="20"/>
                <w:szCs w:val="20"/>
                <w:lang w:val="en-US"/>
              </w:rPr>
              <w:t>Arland Richard Bruce c. Mark Steven Cohon, B.C. Lions Football Club Inc., Edmonton Eskimo Football Club, Calgary Stampeders 2012 Inc., Saskatchewan Roughrider Football Club Inc., Winnipeg Blue Bombers, Hamilton Tiger-Cat Football Club, Toronto Argonauts Football Club Inc., Compagnie Club de Football des Alouettes de Montréal, Capital Gridiron Limited Partnership, Capital Gridiron GP Inc.</w:t>
            </w:r>
          </w:p>
          <w:p w:rsidR="00591A8C" w:rsidRPr="00D770F2" w:rsidRDefault="00591A8C" w:rsidP="006F56EE">
            <w:pPr>
              <w:jc w:val="both"/>
              <w:rPr>
                <w:sz w:val="20"/>
                <w:lang w:val="fr-CA"/>
              </w:rPr>
            </w:pPr>
            <w:r w:rsidRPr="00D770F2">
              <w:rPr>
                <w:sz w:val="20"/>
                <w:lang w:val="fr-CA"/>
              </w:rPr>
              <w:t>(C.-B.) (Civile) (Sur autorisation)</w:t>
            </w:r>
          </w:p>
        </w:tc>
      </w:tr>
      <w:tr w:rsidR="00591A8C" w:rsidRPr="0030635C" w:rsidTr="006F56EE">
        <w:tc>
          <w:tcPr>
            <w:tcW w:w="5000" w:type="pct"/>
            <w:gridSpan w:val="4"/>
          </w:tcPr>
          <w:p w:rsidR="00591A8C" w:rsidRPr="00D770F2" w:rsidRDefault="00591A8C" w:rsidP="006F56EE">
            <w:pPr>
              <w:jc w:val="both"/>
              <w:rPr>
                <w:sz w:val="20"/>
                <w:lang w:val="fr-CA"/>
              </w:rPr>
            </w:pPr>
            <w:r w:rsidRPr="00D770F2">
              <w:rPr>
                <w:sz w:val="20"/>
                <w:lang w:val="fr-CA"/>
              </w:rPr>
              <w:t xml:space="preserve">Tribunaux – Compétence – Relations du travail – Conventions collectives – Arbitrage – Responsabilité délictuelle – Déclaration inexacte faite par négligence – L’arrêt </w:t>
            </w:r>
            <w:r w:rsidRPr="00D770F2">
              <w:rPr>
                <w:i/>
                <w:sz w:val="20"/>
                <w:lang w:val="fr-CA"/>
              </w:rPr>
              <w:t>Weber</w:t>
            </w:r>
            <w:r w:rsidRPr="00D770F2">
              <w:rPr>
                <w:sz w:val="20"/>
                <w:lang w:val="fr-CA"/>
              </w:rPr>
              <w:t xml:space="preserve"> </w:t>
            </w:r>
            <w:r w:rsidRPr="00D770F2">
              <w:rPr>
                <w:i/>
                <w:sz w:val="20"/>
                <w:lang w:val="fr-CA"/>
              </w:rPr>
              <w:t>c. Ontario Hydro</w:t>
            </w:r>
            <w:r w:rsidRPr="00D770F2">
              <w:rPr>
                <w:sz w:val="20"/>
                <w:lang w:val="fr-CA"/>
              </w:rPr>
              <w:t xml:space="preserve">, [1995] 2 R.C.S. 929 permet-il aux intimés de s’abriter derrière la convention collective pour échapper aux conséquences de leur conduite délictueuse et leur responsabilité financière à l’égard de travailleurs blessés? – Les intimés se sont-ils soustraits du régime de la convention collective lorsqu’ils ont lancé une campagne publique de sensibilisation à la problématique des commotions cérébrales visant 750 000 athlètes, parents et entraîneurs? – Le modèle de la compétence exclusive devrait-il s’appliquer en absence de représentation exclusive? – L’application d’une analyse fondée sur l’arrêt </w:t>
            </w:r>
            <w:r w:rsidRPr="00D770F2">
              <w:rPr>
                <w:i/>
                <w:sz w:val="20"/>
                <w:lang w:val="fr-CA"/>
              </w:rPr>
              <w:t>Weber</w:t>
            </w:r>
            <w:r w:rsidRPr="00D770F2">
              <w:rPr>
                <w:sz w:val="20"/>
                <w:lang w:val="fr-CA"/>
              </w:rPr>
              <w:t xml:space="preserve"> crée-t-elle une injustice ou un groupe vulnérable de travailleurs dans le contexte de la convention collective de la LCF, qui ne prévoit pas de représentation exclusive, de règlement sur la santé et la sécurité au travail ou d’indemnités d’accidents du travail?</w:t>
            </w:r>
          </w:p>
          <w:p w:rsidR="00591A8C" w:rsidRPr="00D770F2" w:rsidRDefault="00591A8C" w:rsidP="006F56EE">
            <w:pPr>
              <w:jc w:val="both"/>
              <w:rPr>
                <w:sz w:val="20"/>
                <w:lang w:val="fr-CA"/>
              </w:rPr>
            </w:pPr>
          </w:p>
        </w:tc>
      </w:tr>
      <w:tr w:rsidR="00591A8C" w:rsidRPr="0030635C" w:rsidTr="006F56EE">
        <w:tc>
          <w:tcPr>
            <w:tcW w:w="5000" w:type="pct"/>
            <w:gridSpan w:val="4"/>
          </w:tcPr>
          <w:p w:rsidR="00591A8C" w:rsidRPr="00D770F2" w:rsidRDefault="00591A8C" w:rsidP="006F56EE">
            <w:pPr>
              <w:jc w:val="both"/>
              <w:rPr>
                <w:sz w:val="20"/>
                <w:lang w:val="fr-CA"/>
              </w:rPr>
            </w:pPr>
            <w:r w:rsidRPr="00D770F2">
              <w:rPr>
                <w:sz w:val="20"/>
                <w:lang w:val="fr-CA"/>
              </w:rPr>
              <w:t>Le demandeur a joué au football professionnel pour diverses équipes de la Ligue canadienne de football (« LCF »). Il allègue avoir subi des commotions cérébrales alors qu’il jouait pour les Lions de la Colombie-Britannique en 2013, avoir présenté des symptômes continus en 2013, alors qu’il jouait pour les Alouettes de Montréal, et continuer de souffrir d’encéphalopathie traumatique chronique, de dépression, de paranoïa, de délires, de maux de tête et d’autres problèmes. Il a intenté une action en dommages-intérêts contre B.C. Lions Football Club Inc. et Compagnie Club de Football des Alouettes de Montréal pour négligence, défaut de mise en garde et déclarations inexactes faites par négligence. Selon le demandeur, les défenderesses savaient ou auraient dû savoir qu’il ne fallait pas qu’il joue alors qu’il présentait les effets continus de traumatisme cérébral, et elles ont nié le lien établi entre les impacts traumatiques répétés à la tête et les lésions cérébrales avec séquelles cognitives, minimisé les dangers et caché de l’information sur la technologie qui permet de consigner et déclarer les traumatismes crâniens. Il a introduit des demandes semblables fondées sur la déclaration inexacte faite par négligence contre la LCF, ses clubs membres et son commissaire. En guise de défense, les intimés ont plaidé que la question devait faire l’objet d’un grief et d’un arbitrage. La Cour suprême de la Colombie-Britannique a radié la demande au complet, statuant qu’elle n’avait pas compétence pour entendre la cause, puisque le différend devait être réglé par le processus de grief et d’arbitrage sous le régime de la convention collective. La Cour d’appel de la Colombie-Britannique a rejeté l’appel.</w:t>
            </w:r>
          </w:p>
        </w:tc>
      </w:tr>
      <w:tr w:rsidR="00591A8C" w:rsidRPr="0030635C" w:rsidTr="006F56EE">
        <w:tc>
          <w:tcPr>
            <w:tcW w:w="5000" w:type="pct"/>
            <w:gridSpan w:val="4"/>
          </w:tcPr>
          <w:p w:rsidR="00591A8C" w:rsidRPr="00D770F2" w:rsidRDefault="00591A8C" w:rsidP="006F56EE">
            <w:pPr>
              <w:jc w:val="both"/>
              <w:rPr>
                <w:sz w:val="20"/>
                <w:lang w:val="fr-CA"/>
              </w:rPr>
            </w:pPr>
          </w:p>
        </w:tc>
      </w:tr>
      <w:tr w:rsidR="00591A8C" w:rsidRPr="0030635C" w:rsidTr="006F56EE">
        <w:tc>
          <w:tcPr>
            <w:tcW w:w="2427" w:type="pct"/>
            <w:gridSpan w:val="2"/>
          </w:tcPr>
          <w:p w:rsidR="00591A8C" w:rsidRPr="00D770F2" w:rsidRDefault="00591A8C" w:rsidP="006F56EE">
            <w:pPr>
              <w:jc w:val="both"/>
              <w:rPr>
                <w:sz w:val="20"/>
                <w:lang w:val="fr-CA"/>
              </w:rPr>
            </w:pPr>
            <w:r w:rsidRPr="00D770F2">
              <w:rPr>
                <w:sz w:val="20"/>
                <w:lang w:val="fr-CA"/>
              </w:rPr>
              <w:t>11 mars 2016</w:t>
            </w:r>
          </w:p>
          <w:p w:rsidR="00591A8C" w:rsidRPr="00D770F2" w:rsidRDefault="00591A8C" w:rsidP="006F56EE">
            <w:pPr>
              <w:jc w:val="both"/>
              <w:rPr>
                <w:sz w:val="20"/>
                <w:lang w:val="fr-CA"/>
              </w:rPr>
            </w:pPr>
            <w:r w:rsidRPr="00D770F2">
              <w:rPr>
                <w:sz w:val="20"/>
                <w:lang w:val="fr-CA"/>
              </w:rPr>
              <w:t>Cour suprême de la Colombie-Britannique</w:t>
            </w:r>
          </w:p>
          <w:p w:rsidR="00591A8C" w:rsidRPr="00D770F2" w:rsidRDefault="00591A8C" w:rsidP="006F56EE">
            <w:pPr>
              <w:jc w:val="both"/>
              <w:rPr>
                <w:sz w:val="20"/>
                <w:lang w:val="fr-CA"/>
              </w:rPr>
            </w:pPr>
            <w:r w:rsidRPr="00D770F2">
              <w:rPr>
                <w:sz w:val="20"/>
                <w:lang w:val="fr-CA"/>
              </w:rPr>
              <w:t xml:space="preserve">(Juge en chef </w:t>
            </w:r>
            <w:proofErr w:type="spellStart"/>
            <w:r w:rsidRPr="00D770F2">
              <w:rPr>
                <w:sz w:val="20"/>
                <w:lang w:val="fr-CA"/>
              </w:rPr>
              <w:t>Hinkson</w:t>
            </w:r>
            <w:proofErr w:type="spellEnd"/>
            <w:r w:rsidRPr="00D770F2">
              <w:rPr>
                <w:sz w:val="20"/>
                <w:lang w:val="fr-CA"/>
              </w:rPr>
              <w:t>)</w:t>
            </w:r>
          </w:p>
          <w:p w:rsidR="00591A8C" w:rsidRPr="00D770F2" w:rsidRDefault="009479D6" w:rsidP="006F56EE">
            <w:pPr>
              <w:jc w:val="both"/>
              <w:rPr>
                <w:sz w:val="20"/>
                <w:lang w:val="fr-CA"/>
              </w:rPr>
            </w:pPr>
            <w:hyperlink r:id="rId32" w:history="1">
              <w:r w:rsidR="00591A8C" w:rsidRPr="00D770F2">
                <w:rPr>
                  <w:rStyle w:val="Hyperlink"/>
                  <w:sz w:val="20"/>
                  <w:lang w:val="fr-CA"/>
                </w:rPr>
                <w:t>2016 BCSC 419</w:t>
              </w:r>
            </w:hyperlink>
            <w:r w:rsidR="00591A8C" w:rsidRPr="00D770F2">
              <w:rPr>
                <w:sz w:val="20"/>
                <w:lang w:val="fr-CA"/>
              </w:rPr>
              <w:t xml:space="preserve"> </w:t>
            </w:r>
          </w:p>
          <w:p w:rsidR="00591A8C" w:rsidRPr="00D770F2" w:rsidRDefault="00591A8C" w:rsidP="006F56EE">
            <w:pPr>
              <w:jc w:val="both"/>
              <w:rPr>
                <w:sz w:val="20"/>
                <w:lang w:val="fr-CA"/>
              </w:rPr>
            </w:pPr>
          </w:p>
        </w:tc>
        <w:tc>
          <w:tcPr>
            <w:tcW w:w="243" w:type="pct"/>
          </w:tcPr>
          <w:p w:rsidR="00591A8C" w:rsidRPr="00D770F2" w:rsidRDefault="00591A8C" w:rsidP="006F56EE">
            <w:pPr>
              <w:jc w:val="both"/>
              <w:rPr>
                <w:sz w:val="20"/>
                <w:lang w:val="fr-CA"/>
              </w:rPr>
            </w:pPr>
          </w:p>
        </w:tc>
        <w:tc>
          <w:tcPr>
            <w:tcW w:w="2330" w:type="pct"/>
          </w:tcPr>
          <w:p w:rsidR="00591A8C" w:rsidRPr="00D770F2" w:rsidRDefault="00591A8C" w:rsidP="006F56EE">
            <w:pPr>
              <w:jc w:val="both"/>
              <w:rPr>
                <w:sz w:val="20"/>
                <w:lang w:val="fr-CA"/>
              </w:rPr>
            </w:pPr>
            <w:r w:rsidRPr="00D770F2">
              <w:rPr>
                <w:sz w:val="20"/>
                <w:lang w:val="fr-CA"/>
              </w:rPr>
              <w:t xml:space="preserve">Jugement accueillant la demande des intimés, radiant la demande du demandeur au complet vu l’absence de compétence et statuant que le différend doit être réglé par le processus de grief et d’arbitrage sous le régime de la convention collective </w:t>
            </w:r>
          </w:p>
          <w:p w:rsidR="00591A8C" w:rsidRPr="00D770F2" w:rsidRDefault="00591A8C" w:rsidP="006F56EE">
            <w:pPr>
              <w:jc w:val="both"/>
              <w:rPr>
                <w:sz w:val="20"/>
                <w:lang w:val="fr-CA"/>
              </w:rPr>
            </w:pPr>
          </w:p>
        </w:tc>
      </w:tr>
      <w:tr w:rsidR="00591A8C" w:rsidRPr="00D770F2" w:rsidTr="006F56EE">
        <w:tc>
          <w:tcPr>
            <w:tcW w:w="2427" w:type="pct"/>
            <w:gridSpan w:val="2"/>
          </w:tcPr>
          <w:p w:rsidR="00591A8C" w:rsidRPr="00D770F2" w:rsidRDefault="00591A8C" w:rsidP="006F56EE">
            <w:pPr>
              <w:jc w:val="both"/>
              <w:rPr>
                <w:sz w:val="20"/>
                <w:lang w:val="fr-CA"/>
              </w:rPr>
            </w:pPr>
            <w:r w:rsidRPr="00D770F2">
              <w:rPr>
                <w:sz w:val="20"/>
                <w:lang w:val="fr-CA"/>
              </w:rPr>
              <w:t>12 mai 2017</w:t>
            </w:r>
          </w:p>
          <w:p w:rsidR="00591A8C" w:rsidRPr="00D770F2" w:rsidRDefault="00591A8C" w:rsidP="006F56EE">
            <w:pPr>
              <w:jc w:val="both"/>
              <w:rPr>
                <w:sz w:val="20"/>
                <w:lang w:val="fr-CA"/>
              </w:rPr>
            </w:pPr>
            <w:r w:rsidRPr="00D770F2">
              <w:rPr>
                <w:sz w:val="20"/>
                <w:lang w:val="fr-CA"/>
              </w:rPr>
              <w:t>Cour d’appel de la Colombie-Britannique</w:t>
            </w:r>
          </w:p>
          <w:p w:rsidR="00591A8C" w:rsidRPr="00D770F2" w:rsidRDefault="00591A8C" w:rsidP="006F56EE">
            <w:pPr>
              <w:jc w:val="both"/>
              <w:rPr>
                <w:sz w:val="20"/>
                <w:lang w:val="fr-CA"/>
              </w:rPr>
            </w:pPr>
            <w:r w:rsidRPr="00D770F2">
              <w:rPr>
                <w:sz w:val="20"/>
                <w:lang w:val="fr-CA"/>
              </w:rPr>
              <w:t>(Vancouver)</w:t>
            </w:r>
          </w:p>
          <w:p w:rsidR="00591A8C" w:rsidRPr="00D770F2" w:rsidRDefault="00591A8C" w:rsidP="006F56EE">
            <w:pPr>
              <w:jc w:val="both"/>
              <w:rPr>
                <w:sz w:val="20"/>
                <w:lang w:val="fr-CA"/>
              </w:rPr>
            </w:pPr>
            <w:r w:rsidRPr="00D770F2">
              <w:rPr>
                <w:sz w:val="20"/>
                <w:lang w:val="fr-CA"/>
              </w:rPr>
              <w:t xml:space="preserve">(Juges Newbury, </w:t>
            </w:r>
            <w:proofErr w:type="spellStart"/>
            <w:r w:rsidRPr="00D770F2">
              <w:rPr>
                <w:sz w:val="20"/>
                <w:lang w:val="fr-CA"/>
              </w:rPr>
              <w:t>Stromberg</w:t>
            </w:r>
            <w:proofErr w:type="spellEnd"/>
            <w:r w:rsidRPr="00D770F2">
              <w:rPr>
                <w:sz w:val="20"/>
                <w:lang w:val="fr-CA"/>
              </w:rPr>
              <w:t xml:space="preserve">-Stein et </w:t>
            </w:r>
            <w:proofErr w:type="spellStart"/>
            <w:r w:rsidRPr="00D770F2">
              <w:rPr>
                <w:sz w:val="20"/>
                <w:lang w:val="fr-CA"/>
              </w:rPr>
              <w:t>Fitch</w:t>
            </w:r>
            <w:proofErr w:type="spellEnd"/>
            <w:r w:rsidRPr="00D770F2">
              <w:rPr>
                <w:sz w:val="20"/>
                <w:lang w:val="fr-CA"/>
              </w:rPr>
              <w:t>)</w:t>
            </w:r>
          </w:p>
          <w:p w:rsidR="00591A8C" w:rsidRPr="00D770F2" w:rsidRDefault="009479D6" w:rsidP="006F56EE">
            <w:pPr>
              <w:jc w:val="both"/>
              <w:rPr>
                <w:sz w:val="20"/>
                <w:lang w:val="fr-CA"/>
              </w:rPr>
            </w:pPr>
            <w:hyperlink r:id="rId33" w:history="1">
              <w:r w:rsidR="00591A8C" w:rsidRPr="00D770F2">
                <w:rPr>
                  <w:rStyle w:val="Hyperlink"/>
                  <w:sz w:val="20"/>
                </w:rPr>
                <w:t>2017 BCCA 186</w:t>
              </w:r>
            </w:hyperlink>
            <w:r w:rsidR="00591A8C" w:rsidRPr="00D770F2">
              <w:rPr>
                <w:sz w:val="20"/>
                <w:lang w:val="fr-CA"/>
              </w:rPr>
              <w:t>: CA43559</w:t>
            </w:r>
          </w:p>
          <w:p w:rsidR="00591A8C" w:rsidRPr="00D770F2" w:rsidRDefault="00591A8C" w:rsidP="006F56EE">
            <w:pPr>
              <w:jc w:val="both"/>
              <w:rPr>
                <w:sz w:val="20"/>
                <w:lang w:val="fr-CA"/>
              </w:rPr>
            </w:pPr>
          </w:p>
        </w:tc>
        <w:tc>
          <w:tcPr>
            <w:tcW w:w="243" w:type="pct"/>
          </w:tcPr>
          <w:p w:rsidR="00591A8C" w:rsidRPr="00D770F2" w:rsidRDefault="00591A8C" w:rsidP="006F56EE">
            <w:pPr>
              <w:jc w:val="both"/>
              <w:rPr>
                <w:sz w:val="20"/>
                <w:lang w:val="fr-CA"/>
              </w:rPr>
            </w:pPr>
          </w:p>
        </w:tc>
        <w:tc>
          <w:tcPr>
            <w:tcW w:w="2330" w:type="pct"/>
          </w:tcPr>
          <w:p w:rsidR="00591A8C" w:rsidRPr="00D770F2" w:rsidRDefault="00591A8C" w:rsidP="006F56EE">
            <w:pPr>
              <w:jc w:val="both"/>
              <w:rPr>
                <w:sz w:val="20"/>
                <w:lang w:val="fr-CA"/>
              </w:rPr>
            </w:pPr>
            <w:r w:rsidRPr="00D770F2">
              <w:rPr>
                <w:sz w:val="20"/>
                <w:lang w:val="fr-CA"/>
              </w:rPr>
              <w:t>Rejet de l’appel</w:t>
            </w:r>
          </w:p>
          <w:p w:rsidR="00591A8C" w:rsidRPr="00D770F2" w:rsidRDefault="00591A8C" w:rsidP="006F56EE">
            <w:pPr>
              <w:jc w:val="both"/>
              <w:rPr>
                <w:sz w:val="20"/>
                <w:lang w:val="fr-CA"/>
              </w:rPr>
            </w:pPr>
          </w:p>
        </w:tc>
      </w:tr>
      <w:tr w:rsidR="00591A8C" w:rsidRPr="0030635C" w:rsidTr="006F56EE">
        <w:tc>
          <w:tcPr>
            <w:tcW w:w="2427" w:type="pct"/>
            <w:gridSpan w:val="2"/>
          </w:tcPr>
          <w:p w:rsidR="00591A8C" w:rsidRPr="00D770F2" w:rsidRDefault="00591A8C" w:rsidP="006F56EE">
            <w:pPr>
              <w:jc w:val="both"/>
              <w:rPr>
                <w:sz w:val="20"/>
                <w:lang w:val="fr-CA"/>
              </w:rPr>
            </w:pPr>
            <w:r w:rsidRPr="00D770F2">
              <w:rPr>
                <w:sz w:val="20"/>
                <w:lang w:val="fr-CA"/>
              </w:rPr>
              <w:t>11 août 2017</w:t>
            </w:r>
          </w:p>
          <w:p w:rsidR="00591A8C" w:rsidRPr="00D770F2" w:rsidRDefault="00591A8C" w:rsidP="006F56EE">
            <w:pPr>
              <w:jc w:val="both"/>
              <w:rPr>
                <w:sz w:val="20"/>
                <w:lang w:val="fr-CA"/>
              </w:rPr>
            </w:pPr>
            <w:r w:rsidRPr="00D770F2">
              <w:rPr>
                <w:sz w:val="20"/>
                <w:lang w:val="fr-CA"/>
              </w:rPr>
              <w:t>Cour suprême du Canada</w:t>
            </w:r>
          </w:p>
        </w:tc>
        <w:tc>
          <w:tcPr>
            <w:tcW w:w="243" w:type="pct"/>
          </w:tcPr>
          <w:p w:rsidR="00591A8C" w:rsidRPr="00D770F2" w:rsidRDefault="00591A8C" w:rsidP="006F56EE">
            <w:pPr>
              <w:jc w:val="both"/>
              <w:rPr>
                <w:sz w:val="20"/>
                <w:lang w:val="fr-CA"/>
              </w:rPr>
            </w:pPr>
          </w:p>
        </w:tc>
        <w:tc>
          <w:tcPr>
            <w:tcW w:w="2330" w:type="pct"/>
          </w:tcPr>
          <w:p w:rsidR="00591A8C" w:rsidRPr="00D770F2" w:rsidRDefault="00591A8C" w:rsidP="006F56EE">
            <w:pPr>
              <w:jc w:val="both"/>
              <w:rPr>
                <w:sz w:val="20"/>
                <w:lang w:val="fr-CA"/>
              </w:rPr>
            </w:pPr>
            <w:r w:rsidRPr="00D770F2">
              <w:rPr>
                <w:sz w:val="20"/>
                <w:lang w:val="fr-CA"/>
              </w:rPr>
              <w:t>Dépôt de la demande d’autorisation d’appel</w:t>
            </w:r>
          </w:p>
        </w:tc>
      </w:tr>
    </w:tbl>
    <w:p w:rsidR="00591A8C" w:rsidRPr="00D770F2" w:rsidRDefault="00591A8C" w:rsidP="006F56EE">
      <w:pPr>
        <w:jc w:val="both"/>
        <w:rPr>
          <w:sz w:val="20"/>
          <w:lang w:val="fr-CA"/>
        </w:rPr>
      </w:pPr>
    </w:p>
    <w:p w:rsidR="001E6FC9" w:rsidRPr="00D770F2" w:rsidRDefault="001E6FC9" w:rsidP="006F56E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91A8C" w:rsidRPr="00D770F2" w:rsidTr="006F56EE">
        <w:tc>
          <w:tcPr>
            <w:tcW w:w="543" w:type="pct"/>
          </w:tcPr>
          <w:p w:rsidR="00591A8C" w:rsidRPr="00D770F2" w:rsidRDefault="00591A8C" w:rsidP="006F56EE">
            <w:pPr>
              <w:jc w:val="both"/>
              <w:rPr>
                <w:sz w:val="20"/>
              </w:rPr>
            </w:pPr>
            <w:r w:rsidRPr="00D770F2">
              <w:rPr>
                <w:rStyle w:val="SCCFileNumberChar"/>
                <w:sz w:val="20"/>
                <w:szCs w:val="20"/>
              </w:rPr>
              <w:t>37728</w:t>
            </w:r>
          </w:p>
        </w:tc>
        <w:tc>
          <w:tcPr>
            <w:tcW w:w="4457" w:type="pct"/>
            <w:gridSpan w:val="3"/>
          </w:tcPr>
          <w:p w:rsidR="00591A8C" w:rsidRPr="00D770F2" w:rsidRDefault="00591A8C" w:rsidP="006F56EE">
            <w:pPr>
              <w:pStyle w:val="SCCLsocParty"/>
              <w:jc w:val="both"/>
              <w:rPr>
                <w:b/>
                <w:sz w:val="20"/>
                <w:szCs w:val="20"/>
                <w:lang w:val="en-US"/>
              </w:rPr>
            </w:pPr>
            <w:r w:rsidRPr="00D770F2">
              <w:rPr>
                <w:b/>
                <w:sz w:val="20"/>
                <w:szCs w:val="20"/>
                <w:lang w:val="en-US"/>
              </w:rPr>
              <w:t>David Mandel, Bruce Anelevitz and Francis McGeachy v. Morguard Residential</w:t>
            </w:r>
          </w:p>
          <w:p w:rsidR="00591A8C" w:rsidRPr="00D770F2" w:rsidRDefault="00591A8C" w:rsidP="006F56EE">
            <w:pPr>
              <w:pStyle w:val="SCCLsocParty"/>
              <w:jc w:val="both"/>
              <w:rPr>
                <w:sz w:val="20"/>
                <w:szCs w:val="20"/>
              </w:rPr>
            </w:pPr>
            <w:r w:rsidRPr="00D770F2">
              <w:rPr>
                <w:sz w:val="20"/>
                <w:szCs w:val="20"/>
              </w:rPr>
              <w:t>(Ont.) (Civil) (By Leave)</w:t>
            </w:r>
          </w:p>
        </w:tc>
      </w:tr>
      <w:tr w:rsidR="00591A8C" w:rsidRPr="00D770F2" w:rsidTr="006F56EE">
        <w:tc>
          <w:tcPr>
            <w:tcW w:w="5000" w:type="pct"/>
            <w:gridSpan w:val="4"/>
          </w:tcPr>
          <w:p w:rsidR="00591A8C" w:rsidRPr="00D770F2" w:rsidRDefault="00591A8C" w:rsidP="006F56EE">
            <w:pPr>
              <w:jc w:val="both"/>
              <w:rPr>
                <w:sz w:val="20"/>
              </w:rPr>
            </w:pPr>
            <w:r w:rsidRPr="00D770F2">
              <w:rPr>
                <w:sz w:val="20"/>
              </w:rPr>
              <w:t xml:space="preserve">Administrative law – Appeals – Board and Tribunals – Landlord and tenant Board granting eviction orders – Appeals brought by the applicant tenants under the </w:t>
            </w:r>
            <w:r w:rsidRPr="00D770F2">
              <w:rPr>
                <w:i/>
                <w:sz w:val="20"/>
              </w:rPr>
              <w:t>Residential Tenancies Act</w:t>
            </w:r>
            <w:r w:rsidRPr="00D770F2">
              <w:rPr>
                <w:sz w:val="20"/>
              </w:rPr>
              <w:t xml:space="preserve">, </w:t>
            </w:r>
            <w:r w:rsidRPr="00D770F2">
              <w:rPr>
                <w:i/>
                <w:sz w:val="20"/>
              </w:rPr>
              <w:t>2006</w:t>
            </w:r>
            <w:r w:rsidRPr="00D770F2">
              <w:rPr>
                <w:sz w:val="20"/>
              </w:rPr>
              <w:t xml:space="preserve">, S.O. 2006, c. 17, from orders of the Landlord and Tenant Board terminating their tenancies and ordering them evicted – Leave to appeal dismissed by Court of Appeal – When can a statutory security of tenure provision be overridden – Can tenants be found to have contracted out of s. 37(5) of the </w:t>
            </w:r>
            <w:r w:rsidRPr="00D770F2">
              <w:rPr>
                <w:i/>
                <w:sz w:val="20"/>
              </w:rPr>
              <w:t>Act</w:t>
            </w:r>
            <w:r w:rsidRPr="00D770F2">
              <w:rPr>
                <w:sz w:val="20"/>
              </w:rPr>
              <w:t>, the</w:t>
            </w:r>
            <w:r w:rsidRPr="00D770F2">
              <w:rPr>
                <w:i/>
                <w:sz w:val="20"/>
              </w:rPr>
              <w:t xml:space="preserve"> </w:t>
            </w:r>
            <w:r w:rsidRPr="00D770F2">
              <w:rPr>
                <w:sz w:val="20"/>
              </w:rPr>
              <w:t xml:space="preserve">security of tenure provision – Notwithstanding s. 37(5) of the </w:t>
            </w:r>
            <w:r w:rsidRPr="00D770F2">
              <w:rPr>
                <w:i/>
                <w:sz w:val="20"/>
              </w:rPr>
              <w:t>Act</w:t>
            </w:r>
            <w:r w:rsidRPr="00D770F2">
              <w:rPr>
                <w:sz w:val="20"/>
              </w:rPr>
              <w:t xml:space="preserve">, is the consequence of failing to abide by the terms of a pre-existing agreement an eviction – Did the Landlord and Tenant Board err in applying ss. 1 and 202(1) of the </w:t>
            </w:r>
            <w:r w:rsidRPr="00D770F2">
              <w:rPr>
                <w:i/>
                <w:sz w:val="20"/>
              </w:rPr>
              <w:t>Act</w:t>
            </w:r>
            <w:r w:rsidRPr="00D770F2">
              <w:rPr>
                <w:sz w:val="20"/>
              </w:rPr>
              <w:t xml:space="preserve"> to secure this result – </w:t>
            </w:r>
            <w:r w:rsidRPr="00D770F2">
              <w:rPr>
                <w:i/>
                <w:sz w:val="20"/>
              </w:rPr>
              <w:t>Residential Tenancies Act</w:t>
            </w:r>
            <w:r w:rsidRPr="00D770F2">
              <w:rPr>
                <w:sz w:val="20"/>
              </w:rPr>
              <w:t xml:space="preserve">, </w:t>
            </w:r>
            <w:r w:rsidRPr="00D770F2">
              <w:rPr>
                <w:i/>
                <w:sz w:val="20"/>
              </w:rPr>
              <w:t>2006</w:t>
            </w:r>
            <w:r w:rsidRPr="00D770F2">
              <w:rPr>
                <w:sz w:val="20"/>
              </w:rPr>
              <w:t>, S.O. 2006, c. 17.</w:t>
            </w:r>
          </w:p>
        </w:tc>
      </w:tr>
      <w:tr w:rsidR="00591A8C" w:rsidRPr="00D770F2" w:rsidTr="006F56EE">
        <w:tc>
          <w:tcPr>
            <w:tcW w:w="5000" w:type="pct"/>
            <w:gridSpan w:val="4"/>
          </w:tcPr>
          <w:p w:rsidR="00591A8C" w:rsidRPr="00D770F2" w:rsidRDefault="00591A8C" w:rsidP="006F56EE">
            <w:pPr>
              <w:jc w:val="both"/>
              <w:rPr>
                <w:sz w:val="20"/>
              </w:rPr>
            </w:pPr>
          </w:p>
        </w:tc>
      </w:tr>
      <w:tr w:rsidR="00591A8C" w:rsidRPr="00D770F2" w:rsidTr="006F56EE">
        <w:tc>
          <w:tcPr>
            <w:tcW w:w="5000" w:type="pct"/>
            <w:gridSpan w:val="4"/>
          </w:tcPr>
          <w:p w:rsidR="00591A8C" w:rsidRPr="00D770F2" w:rsidRDefault="00591A8C" w:rsidP="006F56EE">
            <w:pPr>
              <w:jc w:val="both"/>
              <w:rPr>
                <w:sz w:val="20"/>
              </w:rPr>
            </w:pPr>
            <w:r w:rsidRPr="00D770F2">
              <w:rPr>
                <w:sz w:val="20"/>
                <w:lang w:val="en"/>
              </w:rPr>
              <w:t xml:space="preserve">As a condition of being granted a building permit, Morguard Residental entered into an agreement with the City of Toronto (the “s. 37 Agreement”) in which it agreed that once the redevelopment was completed, Morguard Residental would provide the displaced tenants with replacement units in a newly constructed building at a specified rent and compensate them for moving costs. Morguard Residental also voluntarily offered to make available to the tenants temporary relocation rental units, at a reduced rent, in other buildings that it owned. The applicant tenants each took up this offer and were relocated to units in the Colonnade in Yorkville, Toronto. Under the tenancy agreements for the temporary relocation units, the tenants were to vacate the temporary units once the redeveloped replacement building was ready for occupancy. This dispute arose because the applicant tenants refused to engage in the process of vacating the temporary units and moving to the redeveloped property in accordance with the terms of the tenancy agreements. Morguard Residental issued eviction orders against the applicant tenants. In response, the applicant tenants sought relief against eviction from the Landlord and Tenant Board. The Board terminated the tenancies of each of the applicant tenants. The applicant tenants had the eviction orders reviewed under s. 83 of the </w:t>
            </w:r>
            <w:r w:rsidRPr="00D770F2">
              <w:rPr>
                <w:i/>
                <w:sz w:val="20"/>
                <w:lang w:val="en"/>
              </w:rPr>
              <w:t>Residential Tenancies Act</w:t>
            </w:r>
            <w:r w:rsidRPr="00D770F2">
              <w:rPr>
                <w:sz w:val="20"/>
                <w:lang w:val="en"/>
              </w:rPr>
              <w:t xml:space="preserve">, 2006, S.O. 2006, c. 17. The Board denied the applicant tenants relief from eviction. </w:t>
            </w:r>
            <w:r w:rsidRPr="00D770F2">
              <w:rPr>
                <w:sz w:val="20"/>
              </w:rPr>
              <w:t xml:space="preserve">On February 2, 2017, the court dismissed the appeals brought by the applicants under the </w:t>
            </w:r>
            <w:r w:rsidRPr="00D770F2">
              <w:rPr>
                <w:i/>
                <w:sz w:val="20"/>
              </w:rPr>
              <w:t>Residential Tenancies Act</w:t>
            </w:r>
            <w:r w:rsidRPr="00D770F2">
              <w:rPr>
                <w:sz w:val="20"/>
              </w:rPr>
              <w:t xml:space="preserve">, </w:t>
            </w:r>
            <w:r w:rsidRPr="00D770F2">
              <w:rPr>
                <w:i/>
                <w:sz w:val="20"/>
              </w:rPr>
              <w:t>2006</w:t>
            </w:r>
            <w:r w:rsidRPr="00D770F2">
              <w:rPr>
                <w:sz w:val="20"/>
              </w:rPr>
              <w:t>, S.O. 2006, c. 17, from orders of the Landlord and Tenant Board terminating their tenancies and ordering them evicted. The Court of Appeal dismissed the application for leave to appeal.</w:t>
            </w:r>
          </w:p>
          <w:p w:rsidR="00591A8C" w:rsidRPr="00D770F2" w:rsidRDefault="00591A8C" w:rsidP="006F56EE">
            <w:pPr>
              <w:jc w:val="both"/>
              <w:rPr>
                <w:sz w:val="20"/>
                <w:lang w:val="en"/>
              </w:rPr>
            </w:pPr>
          </w:p>
        </w:tc>
      </w:tr>
      <w:tr w:rsidR="00591A8C" w:rsidRPr="00D770F2" w:rsidTr="006F56EE">
        <w:tc>
          <w:tcPr>
            <w:tcW w:w="2427" w:type="pct"/>
            <w:gridSpan w:val="2"/>
          </w:tcPr>
          <w:p w:rsidR="00591A8C" w:rsidRPr="00D770F2" w:rsidRDefault="00591A8C" w:rsidP="006F56EE">
            <w:pPr>
              <w:jc w:val="both"/>
              <w:rPr>
                <w:sz w:val="20"/>
              </w:rPr>
            </w:pPr>
            <w:r w:rsidRPr="00D770F2">
              <w:rPr>
                <w:sz w:val="20"/>
              </w:rPr>
              <w:t>March 10, 2014</w:t>
            </w:r>
          </w:p>
          <w:p w:rsidR="00591A8C" w:rsidRPr="00D770F2" w:rsidRDefault="00591A8C" w:rsidP="006F56EE">
            <w:pPr>
              <w:jc w:val="both"/>
              <w:rPr>
                <w:sz w:val="20"/>
              </w:rPr>
            </w:pPr>
            <w:r w:rsidRPr="00D770F2">
              <w:rPr>
                <w:sz w:val="20"/>
              </w:rPr>
              <w:t>Ontario Superior Court of Justice</w:t>
            </w:r>
          </w:p>
          <w:p w:rsidR="00591A8C" w:rsidRPr="00D770F2" w:rsidRDefault="00591A8C" w:rsidP="006F56EE">
            <w:pPr>
              <w:jc w:val="both"/>
              <w:rPr>
                <w:sz w:val="20"/>
              </w:rPr>
            </w:pPr>
            <w:r w:rsidRPr="00D770F2">
              <w:rPr>
                <w:sz w:val="20"/>
              </w:rPr>
              <w:t>(Mew J.)</w:t>
            </w:r>
          </w:p>
          <w:p w:rsidR="00591A8C" w:rsidRPr="00D770F2" w:rsidRDefault="00591A8C" w:rsidP="006F56EE">
            <w:pPr>
              <w:jc w:val="both"/>
              <w:rPr>
                <w:sz w:val="20"/>
              </w:rPr>
            </w:pPr>
            <w:r w:rsidRPr="00D770F2">
              <w:rPr>
                <w:sz w:val="20"/>
              </w:rPr>
              <w:t>2014 ONSC 1540</w:t>
            </w:r>
          </w:p>
          <w:p w:rsidR="00591A8C" w:rsidRPr="00D770F2" w:rsidRDefault="009479D6" w:rsidP="006F56EE">
            <w:pPr>
              <w:jc w:val="both"/>
              <w:rPr>
                <w:sz w:val="20"/>
              </w:rPr>
            </w:pPr>
            <w:hyperlink r:id="rId34" w:history="1">
              <w:r w:rsidR="00591A8C" w:rsidRPr="00D770F2">
                <w:rPr>
                  <w:rStyle w:val="Hyperlink"/>
                  <w:sz w:val="20"/>
                </w:rPr>
                <w:t>http://canlii.ca/t/g63fs</w:t>
              </w:r>
            </w:hyperlink>
          </w:p>
          <w:p w:rsidR="00591A8C" w:rsidRPr="00D770F2" w:rsidRDefault="00591A8C" w:rsidP="006F56EE">
            <w:pPr>
              <w:jc w:val="both"/>
              <w:rPr>
                <w:sz w:val="20"/>
              </w:rPr>
            </w:pPr>
          </w:p>
        </w:tc>
        <w:tc>
          <w:tcPr>
            <w:tcW w:w="243" w:type="pct"/>
          </w:tcPr>
          <w:p w:rsidR="00591A8C" w:rsidRPr="00D770F2" w:rsidRDefault="00591A8C" w:rsidP="006F56EE">
            <w:pPr>
              <w:jc w:val="both"/>
              <w:rPr>
                <w:sz w:val="20"/>
              </w:rPr>
            </w:pPr>
          </w:p>
        </w:tc>
        <w:tc>
          <w:tcPr>
            <w:tcW w:w="2330" w:type="pct"/>
          </w:tcPr>
          <w:p w:rsidR="00591A8C" w:rsidRPr="00D770F2" w:rsidRDefault="00591A8C" w:rsidP="006F56EE">
            <w:pPr>
              <w:jc w:val="both"/>
              <w:rPr>
                <w:sz w:val="20"/>
              </w:rPr>
            </w:pPr>
            <w:r w:rsidRPr="00D770F2">
              <w:rPr>
                <w:sz w:val="20"/>
              </w:rPr>
              <w:t>Applicant Mandel’s motion for an interlocutory injunction dismissed</w:t>
            </w:r>
          </w:p>
          <w:p w:rsidR="00591A8C" w:rsidRPr="00D770F2" w:rsidRDefault="00591A8C" w:rsidP="006F56EE">
            <w:pPr>
              <w:jc w:val="both"/>
              <w:rPr>
                <w:sz w:val="20"/>
              </w:rPr>
            </w:pPr>
          </w:p>
        </w:tc>
      </w:tr>
      <w:tr w:rsidR="00591A8C" w:rsidRPr="00D770F2" w:rsidTr="006F56EE">
        <w:tc>
          <w:tcPr>
            <w:tcW w:w="2427" w:type="pct"/>
            <w:gridSpan w:val="2"/>
          </w:tcPr>
          <w:p w:rsidR="00591A8C" w:rsidRPr="00D770F2" w:rsidRDefault="00591A8C" w:rsidP="006F56EE">
            <w:pPr>
              <w:jc w:val="both"/>
              <w:rPr>
                <w:sz w:val="20"/>
              </w:rPr>
            </w:pPr>
            <w:r w:rsidRPr="00D770F2">
              <w:rPr>
                <w:sz w:val="20"/>
              </w:rPr>
              <w:t>February 2, 2017</w:t>
            </w:r>
          </w:p>
          <w:p w:rsidR="00591A8C" w:rsidRPr="00D770F2" w:rsidRDefault="00591A8C" w:rsidP="006F56EE">
            <w:pPr>
              <w:jc w:val="both"/>
              <w:rPr>
                <w:sz w:val="20"/>
              </w:rPr>
            </w:pPr>
            <w:r w:rsidRPr="00D770F2">
              <w:rPr>
                <w:sz w:val="20"/>
              </w:rPr>
              <w:t>Ontario Superior Court of Justice</w:t>
            </w:r>
          </w:p>
          <w:p w:rsidR="00591A8C" w:rsidRPr="00D770F2" w:rsidRDefault="00591A8C" w:rsidP="006F56EE">
            <w:pPr>
              <w:jc w:val="both"/>
              <w:rPr>
                <w:sz w:val="20"/>
              </w:rPr>
            </w:pPr>
            <w:r w:rsidRPr="00D770F2">
              <w:rPr>
                <w:sz w:val="20"/>
              </w:rPr>
              <w:t>(Divisional Court)</w:t>
            </w:r>
          </w:p>
          <w:p w:rsidR="00591A8C" w:rsidRPr="00D770F2" w:rsidRDefault="00591A8C" w:rsidP="006F56EE">
            <w:pPr>
              <w:jc w:val="both"/>
              <w:rPr>
                <w:sz w:val="20"/>
              </w:rPr>
            </w:pPr>
            <w:r w:rsidRPr="00D770F2">
              <w:rPr>
                <w:sz w:val="20"/>
              </w:rPr>
              <w:t>(</w:t>
            </w:r>
            <w:proofErr w:type="spellStart"/>
            <w:r w:rsidRPr="00D770F2">
              <w:rPr>
                <w:sz w:val="20"/>
              </w:rPr>
              <w:t>Rady</w:t>
            </w:r>
            <w:proofErr w:type="spellEnd"/>
            <w:r w:rsidRPr="00D770F2">
              <w:rPr>
                <w:sz w:val="20"/>
              </w:rPr>
              <w:t xml:space="preserve">, </w:t>
            </w:r>
            <w:proofErr w:type="spellStart"/>
            <w:r w:rsidRPr="00D770F2">
              <w:rPr>
                <w:sz w:val="20"/>
              </w:rPr>
              <w:t>Dambrot</w:t>
            </w:r>
            <w:proofErr w:type="spellEnd"/>
            <w:r w:rsidRPr="00D770F2">
              <w:rPr>
                <w:sz w:val="20"/>
              </w:rPr>
              <w:t xml:space="preserve">, </w:t>
            </w:r>
            <w:proofErr w:type="spellStart"/>
            <w:r w:rsidRPr="00D770F2">
              <w:rPr>
                <w:sz w:val="20"/>
              </w:rPr>
              <w:t>Thorburn</w:t>
            </w:r>
            <w:proofErr w:type="spellEnd"/>
            <w:r w:rsidRPr="00D770F2">
              <w:rPr>
                <w:sz w:val="20"/>
              </w:rPr>
              <w:t> JJ.)</w:t>
            </w:r>
          </w:p>
          <w:p w:rsidR="00591A8C" w:rsidRPr="00D770F2" w:rsidRDefault="00591A8C" w:rsidP="006F56EE">
            <w:pPr>
              <w:jc w:val="both"/>
              <w:rPr>
                <w:sz w:val="20"/>
              </w:rPr>
            </w:pPr>
            <w:r w:rsidRPr="00D770F2">
              <w:rPr>
                <w:sz w:val="20"/>
              </w:rPr>
              <w:t>2017 ONSC 387</w:t>
            </w:r>
          </w:p>
          <w:p w:rsidR="00591A8C" w:rsidRPr="00D770F2" w:rsidRDefault="009479D6" w:rsidP="006F56EE">
            <w:pPr>
              <w:jc w:val="both"/>
              <w:rPr>
                <w:rStyle w:val="Hyperlink"/>
                <w:rFonts w:eastAsiaTheme="majorEastAsia"/>
                <w:sz w:val="20"/>
              </w:rPr>
            </w:pPr>
            <w:hyperlink r:id="rId35" w:history="1">
              <w:r w:rsidR="00591A8C" w:rsidRPr="00D770F2">
                <w:rPr>
                  <w:rStyle w:val="Hyperlink"/>
                  <w:rFonts w:eastAsiaTheme="majorEastAsia"/>
                  <w:sz w:val="20"/>
                </w:rPr>
                <w:t>http://canlii.ca/t/gx86n</w:t>
              </w:r>
            </w:hyperlink>
          </w:p>
          <w:p w:rsidR="00591A8C" w:rsidRPr="00D770F2" w:rsidRDefault="00591A8C" w:rsidP="006F56EE">
            <w:pPr>
              <w:jc w:val="both"/>
              <w:rPr>
                <w:sz w:val="20"/>
              </w:rPr>
            </w:pPr>
          </w:p>
        </w:tc>
        <w:tc>
          <w:tcPr>
            <w:tcW w:w="243" w:type="pct"/>
          </w:tcPr>
          <w:p w:rsidR="00591A8C" w:rsidRPr="00D770F2" w:rsidRDefault="00591A8C" w:rsidP="006F56EE">
            <w:pPr>
              <w:jc w:val="both"/>
              <w:rPr>
                <w:sz w:val="20"/>
              </w:rPr>
            </w:pPr>
          </w:p>
        </w:tc>
        <w:tc>
          <w:tcPr>
            <w:tcW w:w="2330" w:type="pct"/>
          </w:tcPr>
          <w:p w:rsidR="00591A8C" w:rsidRPr="00D770F2" w:rsidRDefault="00591A8C" w:rsidP="006F56EE">
            <w:pPr>
              <w:jc w:val="both"/>
              <w:rPr>
                <w:sz w:val="20"/>
              </w:rPr>
            </w:pPr>
            <w:r w:rsidRPr="00D770F2">
              <w:rPr>
                <w:sz w:val="20"/>
              </w:rPr>
              <w:t>Applicants’ appeals from orders of the Landlord and Tenant Board dismissed</w:t>
            </w:r>
          </w:p>
          <w:p w:rsidR="00591A8C" w:rsidRPr="00D770F2" w:rsidRDefault="00591A8C" w:rsidP="006F56EE">
            <w:pPr>
              <w:jc w:val="both"/>
              <w:rPr>
                <w:sz w:val="20"/>
              </w:rPr>
            </w:pPr>
          </w:p>
        </w:tc>
      </w:tr>
      <w:tr w:rsidR="00591A8C" w:rsidRPr="00D770F2" w:rsidTr="006F56EE">
        <w:tc>
          <w:tcPr>
            <w:tcW w:w="2427" w:type="pct"/>
            <w:gridSpan w:val="2"/>
          </w:tcPr>
          <w:p w:rsidR="00591A8C" w:rsidRPr="00D770F2" w:rsidRDefault="00591A8C" w:rsidP="006F56EE">
            <w:pPr>
              <w:jc w:val="both"/>
              <w:rPr>
                <w:sz w:val="20"/>
              </w:rPr>
            </w:pPr>
            <w:r w:rsidRPr="00D770F2">
              <w:rPr>
                <w:sz w:val="20"/>
              </w:rPr>
              <w:t>March 1, 2017</w:t>
            </w:r>
          </w:p>
          <w:p w:rsidR="00591A8C" w:rsidRPr="00D770F2" w:rsidRDefault="00591A8C" w:rsidP="006F56EE">
            <w:pPr>
              <w:jc w:val="both"/>
              <w:rPr>
                <w:sz w:val="20"/>
              </w:rPr>
            </w:pPr>
            <w:r w:rsidRPr="00D770F2">
              <w:rPr>
                <w:sz w:val="20"/>
              </w:rPr>
              <w:t>Court of Appeal for Ontario</w:t>
            </w:r>
          </w:p>
          <w:p w:rsidR="00591A8C" w:rsidRPr="00D770F2" w:rsidRDefault="00591A8C" w:rsidP="006F56EE">
            <w:pPr>
              <w:jc w:val="both"/>
              <w:rPr>
                <w:sz w:val="20"/>
              </w:rPr>
            </w:pPr>
            <w:r w:rsidRPr="00D770F2">
              <w:rPr>
                <w:sz w:val="20"/>
              </w:rPr>
              <w:t>(</w:t>
            </w:r>
            <w:proofErr w:type="spellStart"/>
            <w:r w:rsidRPr="00D770F2">
              <w:rPr>
                <w:sz w:val="20"/>
              </w:rPr>
              <w:t>Gillese</w:t>
            </w:r>
            <w:proofErr w:type="spellEnd"/>
            <w:r w:rsidRPr="00D770F2">
              <w:rPr>
                <w:sz w:val="20"/>
              </w:rPr>
              <w:t xml:space="preserve"> J.A.)</w:t>
            </w:r>
          </w:p>
          <w:p w:rsidR="00591A8C" w:rsidRPr="00D770F2" w:rsidRDefault="00591A8C" w:rsidP="006F56EE">
            <w:pPr>
              <w:jc w:val="both"/>
              <w:rPr>
                <w:sz w:val="20"/>
              </w:rPr>
            </w:pPr>
            <w:r w:rsidRPr="00D770F2">
              <w:rPr>
                <w:sz w:val="20"/>
              </w:rPr>
              <w:t>2017 ONCA 177; M47528(M47493)</w:t>
            </w:r>
          </w:p>
          <w:p w:rsidR="00591A8C" w:rsidRPr="00D770F2" w:rsidRDefault="009479D6" w:rsidP="006F56EE">
            <w:pPr>
              <w:jc w:val="both"/>
              <w:rPr>
                <w:sz w:val="20"/>
              </w:rPr>
            </w:pPr>
            <w:hyperlink r:id="rId36" w:history="1">
              <w:r w:rsidR="00591A8C" w:rsidRPr="00D770F2">
                <w:rPr>
                  <w:rStyle w:val="Hyperlink"/>
                  <w:rFonts w:eastAsiaTheme="majorEastAsia"/>
                  <w:sz w:val="20"/>
                </w:rPr>
                <w:t>http://canlii.ca/t/h03pp</w:t>
              </w:r>
            </w:hyperlink>
          </w:p>
          <w:p w:rsidR="00591A8C" w:rsidRPr="00D770F2" w:rsidRDefault="00591A8C" w:rsidP="006F56EE">
            <w:pPr>
              <w:jc w:val="both"/>
              <w:rPr>
                <w:sz w:val="20"/>
              </w:rPr>
            </w:pPr>
          </w:p>
        </w:tc>
        <w:tc>
          <w:tcPr>
            <w:tcW w:w="243" w:type="pct"/>
          </w:tcPr>
          <w:p w:rsidR="00591A8C" w:rsidRPr="00D770F2" w:rsidRDefault="00591A8C" w:rsidP="006F56EE">
            <w:pPr>
              <w:jc w:val="both"/>
              <w:rPr>
                <w:sz w:val="20"/>
              </w:rPr>
            </w:pPr>
          </w:p>
        </w:tc>
        <w:tc>
          <w:tcPr>
            <w:tcW w:w="2330" w:type="pct"/>
          </w:tcPr>
          <w:p w:rsidR="00591A8C" w:rsidRPr="00D770F2" w:rsidRDefault="00591A8C" w:rsidP="006F56EE">
            <w:pPr>
              <w:jc w:val="both"/>
              <w:rPr>
                <w:sz w:val="20"/>
              </w:rPr>
            </w:pPr>
            <w:r w:rsidRPr="00D770F2">
              <w:rPr>
                <w:sz w:val="20"/>
              </w:rPr>
              <w:t>Motion for a stay dismissed with costs fixed at $4860</w:t>
            </w:r>
          </w:p>
          <w:p w:rsidR="00591A8C" w:rsidRPr="00D770F2" w:rsidRDefault="00591A8C" w:rsidP="006F56EE">
            <w:pPr>
              <w:jc w:val="both"/>
              <w:rPr>
                <w:sz w:val="20"/>
              </w:rPr>
            </w:pPr>
          </w:p>
        </w:tc>
      </w:tr>
      <w:tr w:rsidR="00591A8C" w:rsidRPr="00D770F2" w:rsidTr="006F56EE">
        <w:tc>
          <w:tcPr>
            <w:tcW w:w="2427" w:type="pct"/>
            <w:gridSpan w:val="2"/>
          </w:tcPr>
          <w:p w:rsidR="00591A8C" w:rsidRPr="00D770F2" w:rsidRDefault="00591A8C" w:rsidP="006F56EE">
            <w:pPr>
              <w:jc w:val="both"/>
              <w:rPr>
                <w:sz w:val="20"/>
              </w:rPr>
            </w:pPr>
            <w:r w:rsidRPr="00D770F2">
              <w:rPr>
                <w:sz w:val="20"/>
              </w:rPr>
              <w:t>April 24, 2017</w:t>
            </w:r>
          </w:p>
          <w:p w:rsidR="00591A8C" w:rsidRPr="00D770F2" w:rsidRDefault="00591A8C" w:rsidP="006F56EE">
            <w:pPr>
              <w:jc w:val="both"/>
              <w:rPr>
                <w:sz w:val="20"/>
              </w:rPr>
            </w:pPr>
            <w:r w:rsidRPr="00D770F2">
              <w:rPr>
                <w:sz w:val="20"/>
              </w:rPr>
              <w:t>Ontario Superior Court of Justice</w:t>
            </w:r>
          </w:p>
          <w:p w:rsidR="00591A8C" w:rsidRPr="00D770F2" w:rsidRDefault="00591A8C" w:rsidP="006F56EE">
            <w:pPr>
              <w:jc w:val="both"/>
              <w:rPr>
                <w:sz w:val="20"/>
              </w:rPr>
            </w:pPr>
            <w:r w:rsidRPr="00D770F2">
              <w:rPr>
                <w:sz w:val="20"/>
              </w:rPr>
              <w:t>(Divisional Court)</w:t>
            </w:r>
          </w:p>
          <w:p w:rsidR="00591A8C" w:rsidRPr="00D770F2" w:rsidRDefault="00591A8C" w:rsidP="006F56EE">
            <w:pPr>
              <w:jc w:val="both"/>
              <w:rPr>
                <w:sz w:val="20"/>
              </w:rPr>
            </w:pPr>
            <w:r w:rsidRPr="00D770F2">
              <w:rPr>
                <w:sz w:val="20"/>
              </w:rPr>
              <w:t>(</w:t>
            </w:r>
            <w:proofErr w:type="spellStart"/>
            <w:r w:rsidRPr="00D770F2">
              <w:rPr>
                <w:sz w:val="20"/>
              </w:rPr>
              <w:t>Dambrot</w:t>
            </w:r>
            <w:proofErr w:type="spellEnd"/>
            <w:r w:rsidRPr="00D770F2">
              <w:rPr>
                <w:sz w:val="20"/>
              </w:rPr>
              <w:t xml:space="preserve">, </w:t>
            </w:r>
            <w:proofErr w:type="spellStart"/>
            <w:r w:rsidRPr="00D770F2">
              <w:rPr>
                <w:sz w:val="20"/>
              </w:rPr>
              <w:t>Rady</w:t>
            </w:r>
            <w:proofErr w:type="spellEnd"/>
            <w:r w:rsidRPr="00D770F2">
              <w:rPr>
                <w:sz w:val="20"/>
              </w:rPr>
              <w:t xml:space="preserve">, </w:t>
            </w:r>
            <w:proofErr w:type="spellStart"/>
            <w:r w:rsidRPr="00D770F2">
              <w:rPr>
                <w:sz w:val="20"/>
              </w:rPr>
              <w:t>Thorburn</w:t>
            </w:r>
            <w:proofErr w:type="spellEnd"/>
            <w:r w:rsidRPr="00D770F2">
              <w:rPr>
                <w:sz w:val="20"/>
              </w:rPr>
              <w:t xml:space="preserve"> JJ.)</w:t>
            </w:r>
          </w:p>
          <w:p w:rsidR="00591A8C" w:rsidRPr="00D770F2" w:rsidRDefault="00591A8C" w:rsidP="006F56EE">
            <w:pPr>
              <w:jc w:val="both"/>
              <w:rPr>
                <w:sz w:val="20"/>
              </w:rPr>
            </w:pPr>
          </w:p>
        </w:tc>
        <w:tc>
          <w:tcPr>
            <w:tcW w:w="243" w:type="pct"/>
          </w:tcPr>
          <w:p w:rsidR="00591A8C" w:rsidRPr="00D770F2" w:rsidRDefault="00591A8C" w:rsidP="006F56EE">
            <w:pPr>
              <w:jc w:val="both"/>
              <w:rPr>
                <w:sz w:val="20"/>
              </w:rPr>
            </w:pPr>
          </w:p>
        </w:tc>
        <w:tc>
          <w:tcPr>
            <w:tcW w:w="2330" w:type="pct"/>
          </w:tcPr>
          <w:p w:rsidR="00591A8C" w:rsidRPr="00D770F2" w:rsidRDefault="00591A8C" w:rsidP="006F56EE">
            <w:pPr>
              <w:jc w:val="both"/>
              <w:rPr>
                <w:sz w:val="20"/>
              </w:rPr>
            </w:pPr>
            <w:r w:rsidRPr="00D770F2">
              <w:rPr>
                <w:sz w:val="20"/>
              </w:rPr>
              <w:t xml:space="preserve">Costs ordered: in the amount of $3,500 awarded against each of the applicants individually </w:t>
            </w:r>
          </w:p>
          <w:p w:rsidR="00591A8C" w:rsidRPr="00D770F2" w:rsidRDefault="00591A8C" w:rsidP="006F56EE">
            <w:pPr>
              <w:jc w:val="both"/>
              <w:rPr>
                <w:sz w:val="20"/>
              </w:rPr>
            </w:pPr>
          </w:p>
        </w:tc>
      </w:tr>
      <w:tr w:rsidR="00591A8C" w:rsidRPr="00D770F2" w:rsidTr="006F56EE">
        <w:tc>
          <w:tcPr>
            <w:tcW w:w="2427" w:type="pct"/>
            <w:gridSpan w:val="2"/>
          </w:tcPr>
          <w:p w:rsidR="00591A8C" w:rsidRPr="00D770F2" w:rsidRDefault="00591A8C" w:rsidP="006F56EE">
            <w:pPr>
              <w:jc w:val="both"/>
              <w:rPr>
                <w:sz w:val="20"/>
              </w:rPr>
            </w:pPr>
            <w:r w:rsidRPr="00D770F2">
              <w:rPr>
                <w:sz w:val="20"/>
              </w:rPr>
              <w:t>May 19, 2017</w:t>
            </w:r>
          </w:p>
          <w:p w:rsidR="00591A8C" w:rsidRPr="00D770F2" w:rsidRDefault="00591A8C" w:rsidP="006F56EE">
            <w:pPr>
              <w:jc w:val="both"/>
              <w:rPr>
                <w:sz w:val="20"/>
              </w:rPr>
            </w:pPr>
            <w:r w:rsidRPr="00D770F2">
              <w:rPr>
                <w:sz w:val="20"/>
              </w:rPr>
              <w:t>Court of Appeal for Ontario</w:t>
            </w:r>
          </w:p>
          <w:p w:rsidR="00591A8C" w:rsidRPr="00D770F2" w:rsidRDefault="00591A8C" w:rsidP="006F56EE">
            <w:pPr>
              <w:jc w:val="both"/>
              <w:rPr>
                <w:sz w:val="20"/>
              </w:rPr>
            </w:pPr>
            <w:r w:rsidRPr="00D770F2">
              <w:rPr>
                <w:sz w:val="20"/>
              </w:rPr>
              <w:t>(</w:t>
            </w:r>
            <w:proofErr w:type="gramStart"/>
            <w:r w:rsidRPr="00D770F2">
              <w:rPr>
                <w:sz w:val="20"/>
              </w:rPr>
              <w:t>van</w:t>
            </w:r>
            <w:proofErr w:type="gramEnd"/>
            <w:r w:rsidRPr="00D770F2">
              <w:rPr>
                <w:sz w:val="20"/>
              </w:rPr>
              <w:t xml:space="preserve"> </w:t>
            </w:r>
            <w:proofErr w:type="spellStart"/>
            <w:r w:rsidRPr="00D770F2">
              <w:rPr>
                <w:sz w:val="20"/>
              </w:rPr>
              <w:t>Rensburg</w:t>
            </w:r>
            <w:proofErr w:type="spellEnd"/>
            <w:r w:rsidRPr="00D770F2">
              <w:rPr>
                <w:sz w:val="20"/>
              </w:rPr>
              <w:t xml:space="preserve">, </w:t>
            </w:r>
            <w:proofErr w:type="spellStart"/>
            <w:r w:rsidRPr="00D770F2">
              <w:rPr>
                <w:sz w:val="20"/>
              </w:rPr>
              <w:t>Huscroft</w:t>
            </w:r>
            <w:proofErr w:type="spellEnd"/>
            <w:r w:rsidRPr="00D770F2">
              <w:rPr>
                <w:sz w:val="20"/>
              </w:rPr>
              <w:t xml:space="preserve">, </w:t>
            </w:r>
            <w:proofErr w:type="spellStart"/>
            <w:r w:rsidRPr="00D770F2">
              <w:rPr>
                <w:sz w:val="20"/>
              </w:rPr>
              <w:t>LaForme</w:t>
            </w:r>
            <w:proofErr w:type="spellEnd"/>
            <w:r w:rsidRPr="00D770F2">
              <w:rPr>
                <w:sz w:val="20"/>
              </w:rPr>
              <w:t xml:space="preserve"> JJ.A.)</w:t>
            </w:r>
          </w:p>
          <w:p w:rsidR="00591A8C" w:rsidRPr="00D770F2" w:rsidRDefault="00591A8C" w:rsidP="006F56EE">
            <w:pPr>
              <w:jc w:val="both"/>
              <w:rPr>
                <w:sz w:val="20"/>
              </w:rPr>
            </w:pPr>
            <w:r w:rsidRPr="00D770F2">
              <w:rPr>
                <w:sz w:val="20"/>
              </w:rPr>
              <w:t>M47493</w:t>
            </w:r>
          </w:p>
          <w:p w:rsidR="00591A8C" w:rsidRPr="00D770F2" w:rsidRDefault="00591A8C" w:rsidP="006F56EE">
            <w:pPr>
              <w:jc w:val="both"/>
              <w:rPr>
                <w:sz w:val="20"/>
              </w:rPr>
            </w:pPr>
          </w:p>
        </w:tc>
        <w:tc>
          <w:tcPr>
            <w:tcW w:w="243" w:type="pct"/>
          </w:tcPr>
          <w:p w:rsidR="00591A8C" w:rsidRPr="00D770F2" w:rsidRDefault="00591A8C" w:rsidP="006F56EE">
            <w:pPr>
              <w:jc w:val="both"/>
              <w:rPr>
                <w:sz w:val="20"/>
              </w:rPr>
            </w:pPr>
          </w:p>
        </w:tc>
        <w:tc>
          <w:tcPr>
            <w:tcW w:w="2330" w:type="pct"/>
          </w:tcPr>
          <w:p w:rsidR="00591A8C" w:rsidRPr="00D770F2" w:rsidRDefault="00591A8C" w:rsidP="006F56EE">
            <w:pPr>
              <w:jc w:val="both"/>
              <w:rPr>
                <w:sz w:val="20"/>
              </w:rPr>
            </w:pPr>
            <w:r w:rsidRPr="00D770F2">
              <w:rPr>
                <w:sz w:val="20"/>
              </w:rPr>
              <w:t>Leave to appeal denied</w:t>
            </w:r>
          </w:p>
          <w:p w:rsidR="00591A8C" w:rsidRPr="00D770F2" w:rsidRDefault="00591A8C" w:rsidP="006F56EE">
            <w:pPr>
              <w:jc w:val="both"/>
              <w:rPr>
                <w:sz w:val="20"/>
              </w:rPr>
            </w:pPr>
          </w:p>
        </w:tc>
      </w:tr>
      <w:tr w:rsidR="00591A8C" w:rsidRPr="00D770F2" w:rsidTr="006F56EE">
        <w:tc>
          <w:tcPr>
            <w:tcW w:w="2427" w:type="pct"/>
            <w:gridSpan w:val="2"/>
          </w:tcPr>
          <w:p w:rsidR="00591A8C" w:rsidRPr="00D770F2" w:rsidRDefault="00591A8C" w:rsidP="006F56EE">
            <w:pPr>
              <w:jc w:val="both"/>
              <w:rPr>
                <w:sz w:val="20"/>
              </w:rPr>
            </w:pPr>
            <w:r w:rsidRPr="00D770F2">
              <w:rPr>
                <w:sz w:val="20"/>
              </w:rPr>
              <w:t>August 31, 2017</w:t>
            </w:r>
          </w:p>
          <w:p w:rsidR="00591A8C" w:rsidRPr="00D770F2" w:rsidRDefault="00591A8C" w:rsidP="006F56EE">
            <w:pPr>
              <w:jc w:val="both"/>
              <w:rPr>
                <w:sz w:val="20"/>
              </w:rPr>
            </w:pPr>
            <w:r w:rsidRPr="00D770F2">
              <w:rPr>
                <w:sz w:val="20"/>
              </w:rPr>
              <w:t>Supreme Court of Canada</w:t>
            </w:r>
          </w:p>
        </w:tc>
        <w:tc>
          <w:tcPr>
            <w:tcW w:w="243" w:type="pct"/>
          </w:tcPr>
          <w:p w:rsidR="00591A8C" w:rsidRPr="00D770F2" w:rsidRDefault="00591A8C" w:rsidP="006F56EE">
            <w:pPr>
              <w:jc w:val="both"/>
              <w:rPr>
                <w:sz w:val="20"/>
              </w:rPr>
            </w:pPr>
          </w:p>
        </w:tc>
        <w:tc>
          <w:tcPr>
            <w:tcW w:w="2330" w:type="pct"/>
          </w:tcPr>
          <w:p w:rsidR="00591A8C" w:rsidRPr="00D770F2" w:rsidRDefault="00591A8C" w:rsidP="006F56EE">
            <w:pPr>
              <w:jc w:val="both"/>
              <w:rPr>
                <w:sz w:val="20"/>
              </w:rPr>
            </w:pPr>
            <w:r w:rsidRPr="00D770F2">
              <w:rPr>
                <w:sz w:val="20"/>
              </w:rPr>
              <w:t>Motion for an extension of time to serve and file the application for leave to appeal and application for leave to appeal filed</w:t>
            </w:r>
          </w:p>
        </w:tc>
      </w:tr>
    </w:tbl>
    <w:p w:rsidR="00591A8C" w:rsidRPr="00D770F2" w:rsidRDefault="00591A8C" w:rsidP="006F56EE">
      <w:pPr>
        <w:jc w:val="both"/>
        <w:rPr>
          <w:sz w:val="20"/>
        </w:rPr>
      </w:pPr>
    </w:p>
    <w:p w:rsidR="006F56EE" w:rsidRPr="00D770F2" w:rsidRDefault="006F56EE" w:rsidP="006F56E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91A8C" w:rsidRPr="00D770F2" w:rsidTr="006F56EE">
        <w:tc>
          <w:tcPr>
            <w:tcW w:w="543" w:type="pct"/>
          </w:tcPr>
          <w:p w:rsidR="00591A8C" w:rsidRPr="00D770F2" w:rsidRDefault="00591A8C" w:rsidP="006F56EE">
            <w:pPr>
              <w:jc w:val="both"/>
              <w:rPr>
                <w:sz w:val="20"/>
                <w:lang w:val="fr-CA"/>
              </w:rPr>
            </w:pPr>
            <w:r w:rsidRPr="00D770F2">
              <w:rPr>
                <w:rStyle w:val="SCCFileNumberChar"/>
                <w:sz w:val="20"/>
                <w:szCs w:val="20"/>
                <w:lang w:val="fr-CA"/>
              </w:rPr>
              <w:t>37728</w:t>
            </w:r>
          </w:p>
        </w:tc>
        <w:tc>
          <w:tcPr>
            <w:tcW w:w="4457" w:type="pct"/>
            <w:gridSpan w:val="3"/>
          </w:tcPr>
          <w:p w:rsidR="00591A8C" w:rsidRPr="00D770F2" w:rsidRDefault="00591A8C" w:rsidP="006F56EE">
            <w:pPr>
              <w:pStyle w:val="SCCLsocParty"/>
              <w:jc w:val="both"/>
              <w:rPr>
                <w:b/>
                <w:sz w:val="20"/>
                <w:szCs w:val="20"/>
                <w:lang w:val="en-US"/>
              </w:rPr>
            </w:pPr>
            <w:r w:rsidRPr="00D770F2">
              <w:rPr>
                <w:b/>
                <w:sz w:val="20"/>
                <w:szCs w:val="20"/>
                <w:lang w:val="en-US"/>
              </w:rPr>
              <w:t>David Mandel, Bruce Anelevitz et Francis McGeachy c. Morguard Residential</w:t>
            </w:r>
          </w:p>
          <w:p w:rsidR="00591A8C" w:rsidRPr="00D770F2" w:rsidRDefault="00591A8C" w:rsidP="006F56EE">
            <w:pPr>
              <w:pStyle w:val="SCCLsocParty"/>
              <w:jc w:val="both"/>
              <w:rPr>
                <w:sz w:val="20"/>
                <w:szCs w:val="20"/>
              </w:rPr>
            </w:pPr>
            <w:r w:rsidRPr="00D770F2">
              <w:rPr>
                <w:sz w:val="20"/>
                <w:szCs w:val="20"/>
              </w:rPr>
              <w:t>(Ont.) (Civile) (Sur autorisation)</w:t>
            </w:r>
          </w:p>
        </w:tc>
      </w:tr>
      <w:tr w:rsidR="00591A8C" w:rsidRPr="0030635C" w:rsidTr="006F56EE">
        <w:tc>
          <w:tcPr>
            <w:tcW w:w="5000" w:type="pct"/>
            <w:gridSpan w:val="4"/>
          </w:tcPr>
          <w:p w:rsidR="00591A8C" w:rsidRPr="00D770F2" w:rsidRDefault="00591A8C" w:rsidP="006F56EE">
            <w:pPr>
              <w:jc w:val="both"/>
              <w:rPr>
                <w:sz w:val="20"/>
                <w:lang w:val="fr-CA"/>
              </w:rPr>
            </w:pPr>
            <w:r w:rsidRPr="00D770F2">
              <w:rPr>
                <w:sz w:val="20"/>
                <w:lang w:val="fr-CA"/>
              </w:rPr>
              <w:t xml:space="preserve">Droit administratif – Appels – Organismes et tribunaux administratifs – La Commission de la location immobilière a rendu des ordonnances d’expulsion – Les locataires demandeurs ont interjeté appel, en application de la </w:t>
            </w:r>
            <w:r w:rsidRPr="00D770F2">
              <w:rPr>
                <w:i/>
                <w:sz w:val="20"/>
                <w:lang w:val="fr-CA"/>
              </w:rPr>
              <w:t>Loi de 2006 sur la location à usage d’habitation</w:t>
            </w:r>
            <w:r w:rsidRPr="00D770F2">
              <w:rPr>
                <w:sz w:val="20"/>
                <w:lang w:val="fr-CA"/>
              </w:rPr>
              <w:t xml:space="preserve">, L.O. 2006, ch. 17, des ordonnances de la Commission de la location immobilière résiliant leurs locations et ordonnant leur expulsion – La Cour d’appel a refusé l’autorisation d’appel – Dans quelles situations une disposition législative portant sur le droit au maintien dans les lieux peut-elle être écartée? – Peut-on conclure que les locataires se sont soustraits par contrat de l’application du par. 37(5) de la </w:t>
            </w:r>
            <w:r w:rsidRPr="00D770F2">
              <w:rPr>
                <w:i/>
                <w:sz w:val="20"/>
                <w:lang w:val="fr-CA"/>
              </w:rPr>
              <w:t>Loi</w:t>
            </w:r>
            <w:r w:rsidRPr="00D770F2">
              <w:rPr>
                <w:sz w:val="20"/>
                <w:lang w:val="fr-CA"/>
              </w:rPr>
              <w:t xml:space="preserve">, c’est-à-dire la disposition portant sur le droit au maintien dans les lieux? – Malgré le par. 37(5) de la </w:t>
            </w:r>
            <w:r w:rsidRPr="00D770F2">
              <w:rPr>
                <w:i/>
                <w:sz w:val="20"/>
                <w:lang w:val="fr-CA"/>
              </w:rPr>
              <w:t>Loi</w:t>
            </w:r>
            <w:r w:rsidRPr="00D770F2">
              <w:rPr>
                <w:sz w:val="20"/>
                <w:lang w:val="fr-CA"/>
              </w:rPr>
              <w:t xml:space="preserve">, le non-respect des conditions d’une convention préexistante a-t-il pour conséquence l’expulsion? – La Commission de la location immobilière a-t-elle commis une erreur en appliquant </w:t>
            </w:r>
            <w:proofErr w:type="gramStart"/>
            <w:r w:rsidRPr="00D770F2">
              <w:rPr>
                <w:sz w:val="20"/>
                <w:lang w:val="fr-CA"/>
              </w:rPr>
              <w:t>les art</w:t>
            </w:r>
            <w:proofErr w:type="gramEnd"/>
            <w:r w:rsidRPr="00D770F2">
              <w:rPr>
                <w:sz w:val="20"/>
                <w:lang w:val="fr-CA"/>
              </w:rPr>
              <w:t xml:space="preserve">. 1 et 202(1) de la </w:t>
            </w:r>
            <w:r w:rsidRPr="00D770F2">
              <w:rPr>
                <w:i/>
                <w:sz w:val="20"/>
                <w:lang w:val="fr-CA"/>
              </w:rPr>
              <w:t>Loi</w:t>
            </w:r>
            <w:r w:rsidRPr="00D770F2">
              <w:rPr>
                <w:sz w:val="20"/>
                <w:lang w:val="fr-CA"/>
              </w:rPr>
              <w:t xml:space="preserve"> pour obtenir ce résultat? – </w:t>
            </w:r>
            <w:r w:rsidRPr="00D770F2">
              <w:rPr>
                <w:i/>
                <w:sz w:val="20"/>
                <w:lang w:val="fr-CA"/>
              </w:rPr>
              <w:t>Loi de 2006 sur la location à usage d’habitation</w:t>
            </w:r>
            <w:r w:rsidRPr="00D770F2">
              <w:rPr>
                <w:sz w:val="20"/>
                <w:lang w:val="fr-CA"/>
              </w:rPr>
              <w:t>, L.O. 2006, ch. 17.</w:t>
            </w:r>
          </w:p>
        </w:tc>
      </w:tr>
      <w:tr w:rsidR="00591A8C" w:rsidRPr="0030635C" w:rsidTr="006F56EE">
        <w:tc>
          <w:tcPr>
            <w:tcW w:w="5000" w:type="pct"/>
            <w:gridSpan w:val="4"/>
          </w:tcPr>
          <w:p w:rsidR="00591A8C" w:rsidRPr="00D770F2" w:rsidRDefault="00591A8C" w:rsidP="006F56EE">
            <w:pPr>
              <w:jc w:val="both"/>
              <w:rPr>
                <w:sz w:val="20"/>
                <w:lang w:val="fr-CA"/>
              </w:rPr>
            </w:pPr>
          </w:p>
        </w:tc>
      </w:tr>
      <w:tr w:rsidR="00591A8C" w:rsidRPr="00D770F2" w:rsidTr="006F56EE">
        <w:tc>
          <w:tcPr>
            <w:tcW w:w="5000" w:type="pct"/>
            <w:gridSpan w:val="4"/>
          </w:tcPr>
          <w:p w:rsidR="00591A8C" w:rsidRPr="00D770F2" w:rsidRDefault="00591A8C" w:rsidP="006F56EE">
            <w:pPr>
              <w:jc w:val="both"/>
              <w:rPr>
                <w:sz w:val="20"/>
                <w:lang w:val="fr-CA"/>
              </w:rPr>
            </w:pPr>
            <w:r w:rsidRPr="00D770F2">
              <w:rPr>
                <w:sz w:val="20"/>
                <w:lang w:val="fr-CA"/>
              </w:rPr>
              <w:t xml:space="preserve">Comme condition d’octroi d’un permis de construction, Morguard Residental a conclu une convention avec la Cité de Toronto (la « convention visée à l’art. 37 ») dans laquelle elle a stipulé que dès l’achèvement de la </w:t>
            </w:r>
            <w:proofErr w:type="spellStart"/>
            <w:r w:rsidRPr="00D770F2">
              <w:rPr>
                <w:sz w:val="20"/>
                <w:lang w:val="fr-CA"/>
              </w:rPr>
              <w:t>réexploitation</w:t>
            </w:r>
            <w:proofErr w:type="spellEnd"/>
            <w:r w:rsidRPr="00D770F2">
              <w:rPr>
                <w:sz w:val="20"/>
                <w:lang w:val="fr-CA"/>
              </w:rPr>
              <w:t xml:space="preserve">, </w:t>
            </w:r>
            <w:proofErr w:type="spellStart"/>
            <w:r w:rsidRPr="00D770F2">
              <w:rPr>
                <w:sz w:val="20"/>
                <w:lang w:val="fr-CA"/>
              </w:rPr>
              <w:t>Morguard</w:t>
            </w:r>
            <w:proofErr w:type="spellEnd"/>
            <w:r w:rsidRPr="00D770F2">
              <w:rPr>
                <w:sz w:val="20"/>
                <w:lang w:val="fr-CA"/>
              </w:rPr>
              <w:t xml:space="preserve"> </w:t>
            </w:r>
            <w:proofErr w:type="spellStart"/>
            <w:r w:rsidRPr="00D770F2">
              <w:rPr>
                <w:sz w:val="20"/>
                <w:lang w:val="fr-CA"/>
              </w:rPr>
              <w:t>Residental</w:t>
            </w:r>
            <w:proofErr w:type="spellEnd"/>
            <w:r w:rsidRPr="00D770F2">
              <w:rPr>
                <w:sz w:val="20"/>
                <w:lang w:val="fr-CA"/>
              </w:rPr>
              <w:t xml:space="preserve"> fournirait aux locataires déplacés des logements de remplacement dans un bâtiment nouvellement construit moyennant un loyer déterminé et les indemniserait de leurs frais de déménagement. En outre, Morguard Residental a volontairement offert de mettre à la disposition des locataires des logements locatifs temporaires pendant le déménagement, moyennant un loyer réduit, dans d’autres bâtiments dont elle était propriétaire. Les locataires demandeurs se sont chacun prévalus de cette offre et ont été déménagés dans des logements dans le Colonnade à Yorkville, Toronto. En vertu des conventions de location des logements temporaires mis à leur disposition pendant le déménagement, les locataires devaient quitter les logements temporaires dès que le bâtiment de remplacement réexploité était prêt à être occupé. Le présent litige a pris naissance parce que les locataires demandeurs ont refusé de participer au processus en vertu duquel ils devaient quitter les unités temporaires et déménager dans l’immeuble </w:t>
            </w:r>
            <w:proofErr w:type="spellStart"/>
            <w:r w:rsidRPr="00D770F2">
              <w:rPr>
                <w:sz w:val="20"/>
                <w:lang w:val="fr-CA"/>
              </w:rPr>
              <w:t>réexploité</w:t>
            </w:r>
            <w:proofErr w:type="spellEnd"/>
            <w:r w:rsidRPr="00D770F2">
              <w:rPr>
                <w:sz w:val="20"/>
                <w:lang w:val="fr-CA"/>
              </w:rPr>
              <w:t xml:space="preserve"> conformément aux conditions des conventions de location. Morguard Residental a délivré des ordonnances d’expulsion contre les locataires demandeurs. En réponse, les locataires demandeurs ont demandé une mesure de redressement contre l’expulsion de la Commission de la location immobilière. La Commission a résilié les locations de chacun des locataires demandeurs. Les locataires demandeurs ont fait examiner les ordonnances d’expulsion en application de l’art. 83 de la </w:t>
            </w:r>
            <w:r w:rsidRPr="00D770F2">
              <w:rPr>
                <w:i/>
                <w:sz w:val="20"/>
                <w:lang w:val="fr-CA"/>
              </w:rPr>
              <w:t>Loi de 2006 sur la location à usage d’habitation</w:t>
            </w:r>
            <w:r w:rsidRPr="00D770F2">
              <w:rPr>
                <w:sz w:val="20"/>
                <w:lang w:val="fr-CA"/>
              </w:rPr>
              <w:t xml:space="preserve">, L.O. 2006, ch. 17. La Commission a refusé aux locataires une mesure de redressement contre l’expulsion. Le 2 février 2017, le tribunal a rejeté les appels interjetés par les demandeurs en application de la </w:t>
            </w:r>
            <w:r w:rsidRPr="00D770F2">
              <w:rPr>
                <w:i/>
                <w:sz w:val="20"/>
                <w:lang w:val="fr-CA"/>
              </w:rPr>
              <w:t>Loi de 2006 sur la location à usage d’habitation</w:t>
            </w:r>
            <w:r w:rsidRPr="00D770F2">
              <w:rPr>
                <w:sz w:val="20"/>
                <w:lang w:val="fr-CA"/>
              </w:rPr>
              <w:t>, L.O. 2006, ch. 17, des ordonnances prononcées par la Commission de la location immobilière résiliant leurs locations et ordonnant leur expulsion. La Cour d’appel a rejeté les demandes d’autorisation d’appel.</w:t>
            </w:r>
          </w:p>
          <w:p w:rsidR="00591A8C" w:rsidRPr="00D770F2" w:rsidRDefault="00591A8C" w:rsidP="006F56EE">
            <w:pPr>
              <w:jc w:val="both"/>
              <w:rPr>
                <w:sz w:val="20"/>
                <w:lang w:val="fr-CA"/>
              </w:rPr>
            </w:pPr>
          </w:p>
        </w:tc>
      </w:tr>
      <w:tr w:rsidR="00591A8C" w:rsidRPr="0030635C" w:rsidTr="006F56EE">
        <w:tc>
          <w:tcPr>
            <w:tcW w:w="2427" w:type="pct"/>
            <w:gridSpan w:val="2"/>
          </w:tcPr>
          <w:p w:rsidR="00591A8C" w:rsidRPr="00D770F2" w:rsidRDefault="00591A8C" w:rsidP="006F56EE">
            <w:pPr>
              <w:jc w:val="both"/>
              <w:rPr>
                <w:sz w:val="20"/>
                <w:lang w:val="fr-CA"/>
              </w:rPr>
            </w:pPr>
            <w:r w:rsidRPr="00D770F2">
              <w:rPr>
                <w:sz w:val="20"/>
                <w:lang w:val="fr-CA"/>
              </w:rPr>
              <w:t>10 mars 2014</w:t>
            </w:r>
          </w:p>
          <w:p w:rsidR="00591A8C" w:rsidRPr="00D770F2" w:rsidRDefault="00591A8C" w:rsidP="006F56EE">
            <w:pPr>
              <w:jc w:val="both"/>
              <w:rPr>
                <w:sz w:val="20"/>
                <w:lang w:val="fr-CA"/>
              </w:rPr>
            </w:pPr>
            <w:r w:rsidRPr="00D770F2">
              <w:rPr>
                <w:sz w:val="20"/>
                <w:lang w:val="fr-CA"/>
              </w:rPr>
              <w:t>Cour supérieure de justice de l’Ontario</w:t>
            </w:r>
          </w:p>
          <w:p w:rsidR="00591A8C" w:rsidRPr="00D770F2" w:rsidRDefault="00591A8C" w:rsidP="006F56EE">
            <w:pPr>
              <w:jc w:val="both"/>
              <w:rPr>
                <w:sz w:val="20"/>
                <w:lang w:val="fr-CA"/>
              </w:rPr>
            </w:pPr>
            <w:r w:rsidRPr="00D770F2">
              <w:rPr>
                <w:sz w:val="20"/>
                <w:lang w:val="fr-CA"/>
              </w:rPr>
              <w:t>(Juge Mew)</w:t>
            </w:r>
          </w:p>
          <w:p w:rsidR="00591A8C" w:rsidRPr="00D770F2" w:rsidRDefault="00591A8C" w:rsidP="006F56EE">
            <w:pPr>
              <w:jc w:val="both"/>
              <w:rPr>
                <w:sz w:val="20"/>
                <w:lang w:val="fr-CA"/>
              </w:rPr>
            </w:pPr>
            <w:r w:rsidRPr="00D770F2">
              <w:rPr>
                <w:sz w:val="20"/>
                <w:lang w:val="fr-CA"/>
              </w:rPr>
              <w:t>2014 ONSC 1540</w:t>
            </w:r>
          </w:p>
          <w:p w:rsidR="00591A8C" w:rsidRPr="00D770F2" w:rsidRDefault="009479D6" w:rsidP="006F56EE">
            <w:pPr>
              <w:jc w:val="both"/>
              <w:rPr>
                <w:sz w:val="20"/>
                <w:lang w:val="fr-CA"/>
              </w:rPr>
            </w:pPr>
            <w:hyperlink r:id="rId37" w:history="1">
              <w:r w:rsidR="00591A8C" w:rsidRPr="00D770F2">
                <w:rPr>
                  <w:rStyle w:val="Hyperlink"/>
                  <w:sz w:val="20"/>
                  <w:lang w:val="fr-CA"/>
                </w:rPr>
                <w:t>http://canlii.ca/t/g63fs</w:t>
              </w:r>
            </w:hyperlink>
          </w:p>
          <w:p w:rsidR="00591A8C" w:rsidRPr="00D770F2" w:rsidRDefault="00591A8C" w:rsidP="006F56EE">
            <w:pPr>
              <w:jc w:val="both"/>
              <w:rPr>
                <w:sz w:val="20"/>
                <w:lang w:val="fr-CA"/>
              </w:rPr>
            </w:pPr>
          </w:p>
        </w:tc>
        <w:tc>
          <w:tcPr>
            <w:tcW w:w="243" w:type="pct"/>
          </w:tcPr>
          <w:p w:rsidR="00591A8C" w:rsidRPr="00D770F2" w:rsidRDefault="00591A8C" w:rsidP="006F56EE">
            <w:pPr>
              <w:jc w:val="both"/>
              <w:rPr>
                <w:sz w:val="20"/>
                <w:lang w:val="fr-CA"/>
              </w:rPr>
            </w:pPr>
          </w:p>
        </w:tc>
        <w:tc>
          <w:tcPr>
            <w:tcW w:w="2330" w:type="pct"/>
          </w:tcPr>
          <w:p w:rsidR="00591A8C" w:rsidRPr="00D770F2" w:rsidRDefault="00591A8C" w:rsidP="006F56EE">
            <w:pPr>
              <w:jc w:val="both"/>
              <w:rPr>
                <w:sz w:val="20"/>
                <w:lang w:val="fr-CA"/>
              </w:rPr>
            </w:pPr>
            <w:r w:rsidRPr="00D770F2">
              <w:rPr>
                <w:sz w:val="20"/>
                <w:lang w:val="fr-CA"/>
              </w:rPr>
              <w:t>Rejet de la motion de M. Mandel en injonction interlocutoire</w:t>
            </w:r>
          </w:p>
          <w:p w:rsidR="00591A8C" w:rsidRPr="00D770F2" w:rsidRDefault="00591A8C" w:rsidP="006F56EE">
            <w:pPr>
              <w:jc w:val="both"/>
              <w:rPr>
                <w:sz w:val="20"/>
                <w:lang w:val="fr-CA"/>
              </w:rPr>
            </w:pPr>
          </w:p>
        </w:tc>
      </w:tr>
      <w:tr w:rsidR="00591A8C" w:rsidRPr="0030635C" w:rsidTr="006F56EE">
        <w:tc>
          <w:tcPr>
            <w:tcW w:w="2427" w:type="pct"/>
            <w:gridSpan w:val="2"/>
          </w:tcPr>
          <w:p w:rsidR="00591A8C" w:rsidRPr="00D770F2" w:rsidRDefault="00591A8C" w:rsidP="006F56EE">
            <w:pPr>
              <w:jc w:val="both"/>
              <w:rPr>
                <w:sz w:val="20"/>
                <w:lang w:val="fr-CA"/>
              </w:rPr>
            </w:pPr>
            <w:r w:rsidRPr="00D770F2">
              <w:rPr>
                <w:sz w:val="20"/>
                <w:lang w:val="fr-CA"/>
              </w:rPr>
              <w:t>2 février 2017</w:t>
            </w:r>
          </w:p>
          <w:p w:rsidR="00591A8C" w:rsidRPr="00D770F2" w:rsidRDefault="00591A8C" w:rsidP="006F56EE">
            <w:pPr>
              <w:jc w:val="both"/>
              <w:rPr>
                <w:sz w:val="20"/>
                <w:lang w:val="fr-CA"/>
              </w:rPr>
            </w:pPr>
            <w:r w:rsidRPr="00D770F2">
              <w:rPr>
                <w:sz w:val="20"/>
                <w:lang w:val="fr-CA"/>
              </w:rPr>
              <w:t>Cour supérieure de justice de l’Ontario</w:t>
            </w:r>
          </w:p>
          <w:p w:rsidR="00591A8C" w:rsidRPr="00D770F2" w:rsidRDefault="00591A8C" w:rsidP="006F56EE">
            <w:pPr>
              <w:jc w:val="both"/>
              <w:rPr>
                <w:sz w:val="20"/>
                <w:lang w:val="fr-CA"/>
              </w:rPr>
            </w:pPr>
            <w:r w:rsidRPr="00D770F2">
              <w:rPr>
                <w:sz w:val="20"/>
                <w:lang w:val="fr-CA"/>
              </w:rPr>
              <w:t>(Cour divisionnaire)</w:t>
            </w:r>
          </w:p>
          <w:p w:rsidR="00591A8C" w:rsidRPr="00D770F2" w:rsidRDefault="00591A8C" w:rsidP="006F56EE">
            <w:pPr>
              <w:jc w:val="both"/>
              <w:rPr>
                <w:sz w:val="20"/>
                <w:lang w:val="fr-CA"/>
              </w:rPr>
            </w:pPr>
            <w:r w:rsidRPr="00D770F2">
              <w:rPr>
                <w:sz w:val="20"/>
                <w:lang w:val="fr-CA"/>
              </w:rPr>
              <w:t>(Juges Rady, Dambrot et Thorburn)</w:t>
            </w:r>
          </w:p>
          <w:p w:rsidR="00591A8C" w:rsidRPr="00D770F2" w:rsidRDefault="00591A8C" w:rsidP="006F56EE">
            <w:pPr>
              <w:jc w:val="both"/>
              <w:rPr>
                <w:sz w:val="20"/>
                <w:lang w:val="fr-CA"/>
              </w:rPr>
            </w:pPr>
            <w:r w:rsidRPr="00D770F2">
              <w:rPr>
                <w:sz w:val="20"/>
                <w:lang w:val="fr-CA"/>
              </w:rPr>
              <w:t>2017 ONSC 387</w:t>
            </w:r>
          </w:p>
          <w:p w:rsidR="00591A8C" w:rsidRPr="00D770F2" w:rsidRDefault="009479D6" w:rsidP="006F56EE">
            <w:pPr>
              <w:jc w:val="both"/>
              <w:rPr>
                <w:rStyle w:val="Hyperlink"/>
                <w:rFonts w:eastAsiaTheme="majorEastAsia"/>
                <w:sz w:val="20"/>
                <w:lang w:val="fr-CA"/>
              </w:rPr>
            </w:pPr>
            <w:hyperlink r:id="rId38" w:history="1">
              <w:r w:rsidR="00591A8C" w:rsidRPr="00D770F2">
                <w:rPr>
                  <w:rStyle w:val="Hyperlink"/>
                  <w:rFonts w:eastAsiaTheme="majorEastAsia"/>
                  <w:sz w:val="20"/>
                  <w:lang w:val="fr-CA"/>
                </w:rPr>
                <w:t>http://canlii.ca/t/gx86n</w:t>
              </w:r>
            </w:hyperlink>
          </w:p>
          <w:p w:rsidR="00591A8C" w:rsidRPr="00D770F2" w:rsidRDefault="00591A8C" w:rsidP="006F56EE">
            <w:pPr>
              <w:jc w:val="both"/>
              <w:rPr>
                <w:sz w:val="20"/>
                <w:lang w:val="fr-CA"/>
              </w:rPr>
            </w:pPr>
          </w:p>
        </w:tc>
        <w:tc>
          <w:tcPr>
            <w:tcW w:w="243" w:type="pct"/>
          </w:tcPr>
          <w:p w:rsidR="00591A8C" w:rsidRPr="00D770F2" w:rsidRDefault="00591A8C" w:rsidP="006F56EE">
            <w:pPr>
              <w:jc w:val="both"/>
              <w:rPr>
                <w:sz w:val="20"/>
                <w:lang w:val="fr-CA"/>
              </w:rPr>
            </w:pPr>
          </w:p>
        </w:tc>
        <w:tc>
          <w:tcPr>
            <w:tcW w:w="2330" w:type="pct"/>
          </w:tcPr>
          <w:p w:rsidR="00591A8C" w:rsidRPr="00D770F2" w:rsidRDefault="00591A8C" w:rsidP="006F56EE">
            <w:pPr>
              <w:jc w:val="both"/>
              <w:rPr>
                <w:sz w:val="20"/>
                <w:lang w:val="fr-CA"/>
              </w:rPr>
            </w:pPr>
            <w:r w:rsidRPr="00D770F2">
              <w:rPr>
                <w:sz w:val="20"/>
                <w:lang w:val="fr-CA"/>
              </w:rPr>
              <w:t xml:space="preserve">Rejet des appels interjetés par les demandeurs des ordonnances de la Commission de la location immobilière </w:t>
            </w:r>
          </w:p>
          <w:p w:rsidR="00591A8C" w:rsidRPr="00D770F2" w:rsidRDefault="00591A8C" w:rsidP="006F56EE">
            <w:pPr>
              <w:jc w:val="both"/>
              <w:rPr>
                <w:sz w:val="20"/>
                <w:lang w:val="fr-CA"/>
              </w:rPr>
            </w:pPr>
          </w:p>
        </w:tc>
      </w:tr>
      <w:tr w:rsidR="00591A8C" w:rsidRPr="0030635C" w:rsidTr="006F56EE">
        <w:tc>
          <w:tcPr>
            <w:tcW w:w="2427" w:type="pct"/>
            <w:gridSpan w:val="2"/>
          </w:tcPr>
          <w:p w:rsidR="00591A8C" w:rsidRPr="00D770F2" w:rsidRDefault="00591A8C" w:rsidP="006F56EE">
            <w:pPr>
              <w:jc w:val="both"/>
              <w:rPr>
                <w:sz w:val="20"/>
                <w:lang w:val="fr-CA"/>
              </w:rPr>
            </w:pPr>
            <w:r w:rsidRPr="00D770F2">
              <w:rPr>
                <w:sz w:val="20"/>
                <w:lang w:val="fr-CA"/>
              </w:rPr>
              <w:t>1</w:t>
            </w:r>
            <w:r w:rsidRPr="00D770F2">
              <w:rPr>
                <w:sz w:val="20"/>
                <w:vertAlign w:val="superscript"/>
                <w:lang w:val="fr-CA"/>
              </w:rPr>
              <w:t>er</w:t>
            </w:r>
            <w:r w:rsidRPr="00D770F2">
              <w:rPr>
                <w:sz w:val="20"/>
                <w:lang w:val="fr-CA"/>
              </w:rPr>
              <w:t> mars 2017</w:t>
            </w:r>
          </w:p>
          <w:p w:rsidR="00591A8C" w:rsidRPr="00D770F2" w:rsidRDefault="00591A8C" w:rsidP="006F56EE">
            <w:pPr>
              <w:jc w:val="both"/>
              <w:rPr>
                <w:sz w:val="20"/>
                <w:lang w:val="fr-CA"/>
              </w:rPr>
            </w:pPr>
            <w:r w:rsidRPr="00D770F2">
              <w:rPr>
                <w:sz w:val="20"/>
                <w:lang w:val="fr-CA"/>
              </w:rPr>
              <w:t>Cour d’appel de l’Ontario</w:t>
            </w:r>
          </w:p>
          <w:p w:rsidR="00591A8C" w:rsidRPr="00D770F2" w:rsidRDefault="00591A8C" w:rsidP="006F56EE">
            <w:pPr>
              <w:jc w:val="both"/>
              <w:rPr>
                <w:sz w:val="20"/>
                <w:lang w:val="fr-CA"/>
              </w:rPr>
            </w:pPr>
            <w:r w:rsidRPr="00D770F2">
              <w:rPr>
                <w:sz w:val="20"/>
                <w:lang w:val="fr-CA"/>
              </w:rPr>
              <w:t>(Juge Gillese)</w:t>
            </w:r>
          </w:p>
          <w:p w:rsidR="00591A8C" w:rsidRPr="00D770F2" w:rsidRDefault="00591A8C" w:rsidP="006F56EE">
            <w:pPr>
              <w:jc w:val="both"/>
              <w:rPr>
                <w:sz w:val="20"/>
                <w:lang w:val="fr-CA"/>
              </w:rPr>
            </w:pPr>
            <w:r w:rsidRPr="00D770F2">
              <w:rPr>
                <w:sz w:val="20"/>
                <w:lang w:val="fr-CA"/>
              </w:rPr>
              <w:t>2017 ONCA 177; M47528(M47493)</w:t>
            </w:r>
          </w:p>
          <w:p w:rsidR="00591A8C" w:rsidRPr="00D770F2" w:rsidRDefault="009479D6" w:rsidP="006F56EE">
            <w:pPr>
              <w:jc w:val="both"/>
              <w:rPr>
                <w:sz w:val="20"/>
                <w:lang w:val="fr-CA"/>
              </w:rPr>
            </w:pPr>
            <w:hyperlink r:id="rId39" w:history="1">
              <w:r w:rsidR="00591A8C" w:rsidRPr="00D770F2">
                <w:rPr>
                  <w:rStyle w:val="Hyperlink"/>
                  <w:rFonts w:eastAsiaTheme="majorEastAsia"/>
                  <w:sz w:val="20"/>
                  <w:lang w:val="fr-CA"/>
                </w:rPr>
                <w:t>http://canlii.ca/t/h03pp</w:t>
              </w:r>
            </w:hyperlink>
          </w:p>
          <w:p w:rsidR="00591A8C" w:rsidRPr="00D770F2" w:rsidRDefault="00591A8C" w:rsidP="006F56EE">
            <w:pPr>
              <w:jc w:val="both"/>
              <w:rPr>
                <w:sz w:val="20"/>
                <w:lang w:val="fr-CA"/>
              </w:rPr>
            </w:pPr>
          </w:p>
        </w:tc>
        <w:tc>
          <w:tcPr>
            <w:tcW w:w="243" w:type="pct"/>
          </w:tcPr>
          <w:p w:rsidR="00591A8C" w:rsidRPr="00D770F2" w:rsidRDefault="00591A8C" w:rsidP="006F56EE">
            <w:pPr>
              <w:jc w:val="both"/>
              <w:rPr>
                <w:sz w:val="20"/>
                <w:lang w:val="fr-CA"/>
              </w:rPr>
            </w:pPr>
          </w:p>
        </w:tc>
        <w:tc>
          <w:tcPr>
            <w:tcW w:w="2330" w:type="pct"/>
          </w:tcPr>
          <w:p w:rsidR="00591A8C" w:rsidRPr="00D770F2" w:rsidRDefault="00591A8C" w:rsidP="006F56EE">
            <w:pPr>
              <w:jc w:val="both"/>
              <w:rPr>
                <w:sz w:val="20"/>
                <w:lang w:val="fr-CA"/>
              </w:rPr>
            </w:pPr>
            <w:r w:rsidRPr="00D770F2">
              <w:rPr>
                <w:sz w:val="20"/>
                <w:lang w:val="fr-CA"/>
              </w:rPr>
              <w:t>Rejet de la motion en sursis avec dépens fixés à 4 860 $</w:t>
            </w:r>
          </w:p>
          <w:p w:rsidR="00591A8C" w:rsidRPr="00D770F2" w:rsidRDefault="00591A8C" w:rsidP="006F56EE">
            <w:pPr>
              <w:jc w:val="both"/>
              <w:rPr>
                <w:sz w:val="20"/>
                <w:lang w:val="fr-CA"/>
              </w:rPr>
            </w:pPr>
          </w:p>
        </w:tc>
      </w:tr>
      <w:tr w:rsidR="00591A8C" w:rsidRPr="0030635C" w:rsidTr="006F56EE">
        <w:tc>
          <w:tcPr>
            <w:tcW w:w="2427" w:type="pct"/>
            <w:gridSpan w:val="2"/>
          </w:tcPr>
          <w:p w:rsidR="00591A8C" w:rsidRPr="00D770F2" w:rsidRDefault="00591A8C" w:rsidP="006F56EE">
            <w:pPr>
              <w:jc w:val="both"/>
              <w:rPr>
                <w:sz w:val="20"/>
                <w:lang w:val="fr-CA"/>
              </w:rPr>
            </w:pPr>
            <w:r w:rsidRPr="00D770F2">
              <w:rPr>
                <w:sz w:val="20"/>
                <w:lang w:val="fr-CA"/>
              </w:rPr>
              <w:t>24 avril 2017</w:t>
            </w:r>
          </w:p>
          <w:p w:rsidR="00591A8C" w:rsidRPr="00D770F2" w:rsidRDefault="00591A8C" w:rsidP="006F56EE">
            <w:pPr>
              <w:jc w:val="both"/>
              <w:rPr>
                <w:sz w:val="20"/>
                <w:lang w:val="fr-CA"/>
              </w:rPr>
            </w:pPr>
            <w:r w:rsidRPr="00D770F2">
              <w:rPr>
                <w:sz w:val="20"/>
                <w:lang w:val="fr-CA"/>
              </w:rPr>
              <w:t>Cour supérieure de justice de l’Ontario</w:t>
            </w:r>
          </w:p>
          <w:p w:rsidR="00591A8C" w:rsidRPr="00D770F2" w:rsidRDefault="00591A8C" w:rsidP="006F56EE">
            <w:pPr>
              <w:jc w:val="both"/>
              <w:rPr>
                <w:sz w:val="20"/>
                <w:lang w:val="fr-CA"/>
              </w:rPr>
            </w:pPr>
            <w:r w:rsidRPr="00D770F2">
              <w:rPr>
                <w:sz w:val="20"/>
                <w:lang w:val="fr-CA"/>
              </w:rPr>
              <w:t>(Cour divisionnaire)</w:t>
            </w:r>
          </w:p>
          <w:p w:rsidR="00591A8C" w:rsidRPr="00D770F2" w:rsidRDefault="00591A8C" w:rsidP="006F56EE">
            <w:pPr>
              <w:jc w:val="both"/>
              <w:rPr>
                <w:sz w:val="20"/>
                <w:lang w:val="fr-CA"/>
              </w:rPr>
            </w:pPr>
            <w:r w:rsidRPr="00D770F2">
              <w:rPr>
                <w:sz w:val="20"/>
                <w:lang w:val="fr-CA"/>
              </w:rPr>
              <w:t>(Juges Dambrot, Rady et Thorburn)</w:t>
            </w:r>
          </w:p>
          <w:p w:rsidR="00591A8C" w:rsidRPr="00D770F2" w:rsidRDefault="00591A8C" w:rsidP="006F56EE">
            <w:pPr>
              <w:jc w:val="both"/>
              <w:rPr>
                <w:sz w:val="20"/>
                <w:lang w:val="fr-CA"/>
              </w:rPr>
            </w:pPr>
          </w:p>
        </w:tc>
        <w:tc>
          <w:tcPr>
            <w:tcW w:w="243" w:type="pct"/>
          </w:tcPr>
          <w:p w:rsidR="00591A8C" w:rsidRPr="00D770F2" w:rsidRDefault="00591A8C" w:rsidP="006F56EE">
            <w:pPr>
              <w:jc w:val="both"/>
              <w:rPr>
                <w:sz w:val="20"/>
                <w:lang w:val="fr-CA"/>
              </w:rPr>
            </w:pPr>
          </w:p>
        </w:tc>
        <w:tc>
          <w:tcPr>
            <w:tcW w:w="2330" w:type="pct"/>
          </w:tcPr>
          <w:p w:rsidR="00591A8C" w:rsidRPr="00D770F2" w:rsidRDefault="00591A8C" w:rsidP="006F56EE">
            <w:pPr>
              <w:jc w:val="both"/>
              <w:rPr>
                <w:sz w:val="20"/>
                <w:lang w:val="fr-CA"/>
              </w:rPr>
            </w:pPr>
            <w:r w:rsidRPr="00D770F2">
              <w:rPr>
                <w:sz w:val="20"/>
                <w:lang w:val="fr-CA"/>
              </w:rPr>
              <w:t xml:space="preserve">Condamnation des demandeurs aux dépens à raison de 3 500 $ contre chacun d’eux </w:t>
            </w:r>
          </w:p>
          <w:p w:rsidR="00591A8C" w:rsidRPr="00D770F2" w:rsidRDefault="00591A8C" w:rsidP="006F56EE">
            <w:pPr>
              <w:jc w:val="both"/>
              <w:rPr>
                <w:sz w:val="20"/>
                <w:lang w:val="fr-CA"/>
              </w:rPr>
            </w:pPr>
          </w:p>
        </w:tc>
      </w:tr>
      <w:tr w:rsidR="00591A8C" w:rsidRPr="00D770F2" w:rsidTr="006F56EE">
        <w:tc>
          <w:tcPr>
            <w:tcW w:w="2427" w:type="pct"/>
            <w:gridSpan w:val="2"/>
          </w:tcPr>
          <w:p w:rsidR="00591A8C" w:rsidRPr="00D770F2" w:rsidRDefault="00591A8C" w:rsidP="006F56EE">
            <w:pPr>
              <w:jc w:val="both"/>
              <w:rPr>
                <w:sz w:val="20"/>
                <w:lang w:val="fr-CA"/>
              </w:rPr>
            </w:pPr>
            <w:r w:rsidRPr="00D770F2">
              <w:rPr>
                <w:sz w:val="20"/>
                <w:lang w:val="fr-CA"/>
              </w:rPr>
              <w:t>19 mai 2017</w:t>
            </w:r>
          </w:p>
          <w:p w:rsidR="00591A8C" w:rsidRPr="00D770F2" w:rsidRDefault="00591A8C" w:rsidP="006F56EE">
            <w:pPr>
              <w:jc w:val="both"/>
              <w:rPr>
                <w:sz w:val="20"/>
                <w:lang w:val="fr-CA"/>
              </w:rPr>
            </w:pPr>
            <w:r w:rsidRPr="00D770F2">
              <w:rPr>
                <w:sz w:val="20"/>
                <w:lang w:val="fr-CA"/>
              </w:rPr>
              <w:t>Cour d’appel de l’Ontario</w:t>
            </w:r>
          </w:p>
          <w:p w:rsidR="00591A8C" w:rsidRPr="00D770F2" w:rsidRDefault="00591A8C" w:rsidP="006F56EE">
            <w:pPr>
              <w:jc w:val="both"/>
              <w:rPr>
                <w:sz w:val="20"/>
                <w:lang w:val="fr-CA"/>
              </w:rPr>
            </w:pPr>
            <w:r w:rsidRPr="00D770F2">
              <w:rPr>
                <w:sz w:val="20"/>
                <w:lang w:val="fr-CA"/>
              </w:rPr>
              <w:t>(Juges van Rensburg, Huscroft et LaForme)</w:t>
            </w:r>
          </w:p>
          <w:p w:rsidR="00591A8C" w:rsidRPr="00D770F2" w:rsidRDefault="00591A8C" w:rsidP="006F56EE">
            <w:pPr>
              <w:jc w:val="both"/>
              <w:rPr>
                <w:sz w:val="20"/>
                <w:lang w:val="fr-CA"/>
              </w:rPr>
            </w:pPr>
            <w:r w:rsidRPr="00D770F2">
              <w:rPr>
                <w:sz w:val="20"/>
                <w:lang w:val="fr-CA"/>
              </w:rPr>
              <w:t>M47493</w:t>
            </w:r>
          </w:p>
          <w:p w:rsidR="00591A8C" w:rsidRPr="00D770F2" w:rsidRDefault="00591A8C" w:rsidP="006F56EE">
            <w:pPr>
              <w:jc w:val="both"/>
              <w:rPr>
                <w:sz w:val="20"/>
                <w:lang w:val="fr-CA"/>
              </w:rPr>
            </w:pPr>
          </w:p>
        </w:tc>
        <w:tc>
          <w:tcPr>
            <w:tcW w:w="243" w:type="pct"/>
          </w:tcPr>
          <w:p w:rsidR="00591A8C" w:rsidRPr="00D770F2" w:rsidRDefault="00591A8C" w:rsidP="006F56EE">
            <w:pPr>
              <w:jc w:val="both"/>
              <w:rPr>
                <w:sz w:val="20"/>
                <w:lang w:val="fr-CA"/>
              </w:rPr>
            </w:pPr>
          </w:p>
        </w:tc>
        <w:tc>
          <w:tcPr>
            <w:tcW w:w="2330" w:type="pct"/>
          </w:tcPr>
          <w:p w:rsidR="00591A8C" w:rsidRPr="00D770F2" w:rsidRDefault="00591A8C" w:rsidP="006F56EE">
            <w:pPr>
              <w:jc w:val="both"/>
              <w:rPr>
                <w:sz w:val="20"/>
                <w:lang w:val="fr-CA"/>
              </w:rPr>
            </w:pPr>
            <w:r w:rsidRPr="00D770F2">
              <w:rPr>
                <w:sz w:val="20"/>
                <w:lang w:val="fr-CA"/>
              </w:rPr>
              <w:t>Refus de l’autorisation d’appel</w:t>
            </w:r>
          </w:p>
          <w:p w:rsidR="00591A8C" w:rsidRPr="00D770F2" w:rsidRDefault="00591A8C" w:rsidP="006F56EE">
            <w:pPr>
              <w:jc w:val="both"/>
              <w:rPr>
                <w:sz w:val="20"/>
                <w:lang w:val="fr-CA"/>
              </w:rPr>
            </w:pPr>
          </w:p>
        </w:tc>
      </w:tr>
      <w:tr w:rsidR="00591A8C" w:rsidRPr="0030635C" w:rsidTr="006F56EE">
        <w:tc>
          <w:tcPr>
            <w:tcW w:w="2427" w:type="pct"/>
            <w:gridSpan w:val="2"/>
          </w:tcPr>
          <w:p w:rsidR="00591A8C" w:rsidRPr="00D770F2" w:rsidRDefault="00591A8C" w:rsidP="006F56EE">
            <w:pPr>
              <w:jc w:val="both"/>
              <w:rPr>
                <w:sz w:val="20"/>
                <w:lang w:val="fr-CA"/>
              </w:rPr>
            </w:pPr>
            <w:r w:rsidRPr="00D770F2">
              <w:rPr>
                <w:sz w:val="20"/>
                <w:lang w:val="fr-CA"/>
              </w:rPr>
              <w:t>31 août 2017</w:t>
            </w:r>
          </w:p>
          <w:p w:rsidR="00591A8C" w:rsidRPr="00D770F2" w:rsidRDefault="00591A8C" w:rsidP="006F56EE">
            <w:pPr>
              <w:jc w:val="both"/>
              <w:rPr>
                <w:sz w:val="20"/>
                <w:lang w:val="fr-CA"/>
              </w:rPr>
            </w:pPr>
            <w:r w:rsidRPr="00D770F2">
              <w:rPr>
                <w:sz w:val="20"/>
                <w:lang w:val="fr-CA"/>
              </w:rPr>
              <w:t>Cour suprême du Canada</w:t>
            </w:r>
          </w:p>
        </w:tc>
        <w:tc>
          <w:tcPr>
            <w:tcW w:w="243" w:type="pct"/>
          </w:tcPr>
          <w:p w:rsidR="00591A8C" w:rsidRPr="00D770F2" w:rsidRDefault="00591A8C" w:rsidP="006F56EE">
            <w:pPr>
              <w:jc w:val="both"/>
              <w:rPr>
                <w:sz w:val="20"/>
                <w:lang w:val="fr-CA"/>
              </w:rPr>
            </w:pPr>
          </w:p>
        </w:tc>
        <w:tc>
          <w:tcPr>
            <w:tcW w:w="2330" w:type="pct"/>
          </w:tcPr>
          <w:p w:rsidR="00591A8C" w:rsidRPr="00D770F2" w:rsidRDefault="00591A8C" w:rsidP="006F56EE">
            <w:pPr>
              <w:jc w:val="both"/>
              <w:rPr>
                <w:sz w:val="20"/>
                <w:lang w:val="fr-CA"/>
              </w:rPr>
            </w:pPr>
            <w:r w:rsidRPr="00D770F2">
              <w:rPr>
                <w:sz w:val="20"/>
                <w:lang w:val="fr-CA"/>
              </w:rPr>
              <w:t>Dépôt de la requête en prorogation du délai de signification et de dépôt de la demande d’autorisation d’appel et de la demande d’autorisation d’appel</w:t>
            </w:r>
          </w:p>
        </w:tc>
      </w:tr>
    </w:tbl>
    <w:p w:rsidR="00591A8C" w:rsidRPr="00D770F2" w:rsidRDefault="00591A8C" w:rsidP="006F56EE">
      <w:pPr>
        <w:jc w:val="both"/>
        <w:rPr>
          <w:sz w:val="20"/>
          <w:lang w:val="fr-CA"/>
        </w:rPr>
      </w:pPr>
    </w:p>
    <w:p w:rsidR="00591A8C" w:rsidRPr="00D770F2" w:rsidRDefault="00591A8C" w:rsidP="006F56E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591A8C" w:rsidRPr="00D770F2" w:rsidTr="006F56EE">
        <w:tc>
          <w:tcPr>
            <w:tcW w:w="543" w:type="pct"/>
          </w:tcPr>
          <w:p w:rsidR="00591A8C" w:rsidRPr="00D770F2" w:rsidRDefault="00591A8C" w:rsidP="006F56EE">
            <w:pPr>
              <w:jc w:val="both"/>
              <w:rPr>
                <w:sz w:val="20"/>
              </w:rPr>
            </w:pPr>
            <w:r w:rsidRPr="00D770F2">
              <w:rPr>
                <w:rStyle w:val="SCCFileNumberChar"/>
                <w:sz w:val="20"/>
                <w:szCs w:val="20"/>
              </w:rPr>
              <w:t>35875</w:t>
            </w:r>
          </w:p>
        </w:tc>
        <w:tc>
          <w:tcPr>
            <w:tcW w:w="4457" w:type="pct"/>
            <w:gridSpan w:val="3"/>
          </w:tcPr>
          <w:p w:rsidR="00591A8C" w:rsidRPr="00D770F2" w:rsidRDefault="00591A8C" w:rsidP="006F56EE">
            <w:pPr>
              <w:pStyle w:val="SCCLsocParty"/>
              <w:jc w:val="both"/>
              <w:rPr>
                <w:b/>
                <w:sz w:val="20"/>
                <w:szCs w:val="20"/>
                <w:lang w:val="en-US"/>
              </w:rPr>
            </w:pPr>
            <w:r w:rsidRPr="00D770F2">
              <w:rPr>
                <w:b/>
                <w:sz w:val="20"/>
                <w:szCs w:val="20"/>
                <w:lang w:val="en-US"/>
              </w:rPr>
              <w:t>Shawn David Olfman v. RBC Life Insurance Company</w:t>
            </w:r>
          </w:p>
          <w:p w:rsidR="00591A8C" w:rsidRPr="00D770F2" w:rsidRDefault="00591A8C" w:rsidP="006F56EE">
            <w:pPr>
              <w:jc w:val="both"/>
              <w:rPr>
                <w:sz w:val="20"/>
              </w:rPr>
            </w:pPr>
            <w:r w:rsidRPr="00D770F2">
              <w:rPr>
                <w:sz w:val="20"/>
              </w:rPr>
              <w:t>(Man.) (Civil) (By Leave)</w:t>
            </w:r>
          </w:p>
        </w:tc>
      </w:tr>
      <w:tr w:rsidR="00591A8C" w:rsidRPr="00D770F2" w:rsidTr="006F56EE">
        <w:tc>
          <w:tcPr>
            <w:tcW w:w="5000" w:type="pct"/>
            <w:gridSpan w:val="4"/>
          </w:tcPr>
          <w:p w:rsidR="00591A8C" w:rsidRPr="00D770F2" w:rsidRDefault="00591A8C" w:rsidP="006F56EE">
            <w:pPr>
              <w:jc w:val="both"/>
              <w:rPr>
                <w:sz w:val="20"/>
              </w:rPr>
            </w:pPr>
            <w:r w:rsidRPr="00D770F2">
              <w:rPr>
                <w:sz w:val="20"/>
              </w:rPr>
              <w:t>Civil procedure – Costs – Whether the Manitoba Court of Queen’s Bench erred in awarding trial costs.</w:t>
            </w:r>
          </w:p>
        </w:tc>
      </w:tr>
      <w:tr w:rsidR="00591A8C" w:rsidRPr="00D770F2" w:rsidTr="006F56EE">
        <w:tc>
          <w:tcPr>
            <w:tcW w:w="5000" w:type="pct"/>
            <w:gridSpan w:val="4"/>
          </w:tcPr>
          <w:p w:rsidR="00591A8C" w:rsidRPr="00D770F2" w:rsidRDefault="00591A8C" w:rsidP="006F56EE">
            <w:pPr>
              <w:jc w:val="both"/>
              <w:rPr>
                <w:sz w:val="20"/>
              </w:rPr>
            </w:pPr>
          </w:p>
        </w:tc>
      </w:tr>
      <w:tr w:rsidR="00591A8C" w:rsidRPr="00D770F2" w:rsidTr="006F56EE">
        <w:tc>
          <w:tcPr>
            <w:tcW w:w="5000" w:type="pct"/>
            <w:gridSpan w:val="4"/>
          </w:tcPr>
          <w:p w:rsidR="00591A8C" w:rsidRPr="00D770F2" w:rsidRDefault="00591A8C" w:rsidP="006F56EE">
            <w:pPr>
              <w:jc w:val="both"/>
              <w:rPr>
                <w:sz w:val="20"/>
                <w:lang w:val="en"/>
              </w:rPr>
            </w:pPr>
            <w:r w:rsidRPr="00D770F2">
              <w:rPr>
                <w:sz w:val="20"/>
              </w:rPr>
              <w:t xml:space="preserve">The applicant, Mr. Olfman, is a lawyer. In 1989, he purchased a disability insurance policy from the respondent insurer’s predecessor. In July 2009, he suffered a heart attack and returned to work in September of that same year. Mr. Olfman applied for benefits which the insurer acknowledged were payable for the period from the date of the heart attack until Mr. Olfman’s return to work. However, Mr. Olfman asserted that he continued to be entitled to benefits after his return to work because the definition of “total disability” in his policy was amended by a letter he received from the insurer which, he claimed, eliminated the requirement that he be unable to perform the important duties of his occupation. Mr. Olfman thus sued the insurer for payment of those benefits. The Court of Queen’s Bench dismissed the action. The Court of Appeal dismissed the appeal and the Supreme Court of Canada denied leave. Subsequent to that decision, the </w:t>
            </w:r>
            <w:r w:rsidRPr="00D770F2">
              <w:rPr>
                <w:sz w:val="20"/>
                <w:lang w:val="en"/>
              </w:rPr>
              <w:t>trial judge ruled that the respondent was entitled to costs. Mr. Olfman’s motion for leave to appeal that decision was denied.</w:t>
            </w:r>
          </w:p>
          <w:p w:rsidR="007255CB" w:rsidRPr="00D770F2" w:rsidRDefault="007255CB" w:rsidP="006F56EE">
            <w:pPr>
              <w:jc w:val="both"/>
              <w:rPr>
                <w:sz w:val="20"/>
                <w:lang w:val="en"/>
              </w:rPr>
            </w:pPr>
          </w:p>
        </w:tc>
      </w:tr>
      <w:tr w:rsidR="00591A8C" w:rsidRPr="00D770F2" w:rsidTr="006F56EE">
        <w:tblPrEx>
          <w:tblCellMar>
            <w:bottom w:w="0" w:type="dxa"/>
          </w:tblCellMar>
        </w:tblPrEx>
        <w:tc>
          <w:tcPr>
            <w:tcW w:w="2390" w:type="pct"/>
            <w:gridSpan w:val="2"/>
          </w:tcPr>
          <w:p w:rsidR="00591A8C" w:rsidRPr="00D770F2" w:rsidRDefault="00591A8C" w:rsidP="006F56EE">
            <w:pPr>
              <w:jc w:val="both"/>
              <w:rPr>
                <w:sz w:val="20"/>
              </w:rPr>
            </w:pPr>
            <w:r w:rsidRPr="00D770F2">
              <w:rPr>
                <w:sz w:val="20"/>
              </w:rPr>
              <w:t>June 17, 2013</w:t>
            </w:r>
          </w:p>
          <w:p w:rsidR="00591A8C" w:rsidRPr="00D770F2" w:rsidRDefault="00591A8C" w:rsidP="006F56EE">
            <w:pPr>
              <w:jc w:val="both"/>
              <w:rPr>
                <w:sz w:val="20"/>
              </w:rPr>
            </w:pPr>
            <w:r w:rsidRPr="00D770F2">
              <w:rPr>
                <w:sz w:val="20"/>
              </w:rPr>
              <w:t>Court of Queen’s Bench of Manitoba</w:t>
            </w:r>
          </w:p>
          <w:p w:rsidR="00591A8C" w:rsidRPr="00D770F2" w:rsidRDefault="00591A8C" w:rsidP="006F56EE">
            <w:pPr>
              <w:jc w:val="both"/>
              <w:rPr>
                <w:sz w:val="20"/>
              </w:rPr>
            </w:pPr>
            <w:r w:rsidRPr="00D770F2">
              <w:rPr>
                <w:sz w:val="20"/>
              </w:rPr>
              <w:t>(</w:t>
            </w:r>
            <w:proofErr w:type="spellStart"/>
            <w:r w:rsidRPr="00D770F2">
              <w:rPr>
                <w:sz w:val="20"/>
              </w:rPr>
              <w:t>Suche</w:t>
            </w:r>
            <w:proofErr w:type="spellEnd"/>
            <w:r w:rsidRPr="00D770F2">
              <w:rPr>
                <w:sz w:val="20"/>
              </w:rPr>
              <w:t> J.)</w:t>
            </w:r>
          </w:p>
          <w:p w:rsidR="00591A8C" w:rsidRPr="00D770F2" w:rsidRDefault="009479D6" w:rsidP="006F56EE">
            <w:pPr>
              <w:jc w:val="both"/>
              <w:rPr>
                <w:sz w:val="20"/>
              </w:rPr>
            </w:pPr>
            <w:hyperlink r:id="rId40" w:history="1">
              <w:r w:rsidR="00591A8C" w:rsidRPr="00D770F2">
                <w:rPr>
                  <w:rStyle w:val="Hyperlink"/>
                  <w:sz w:val="20"/>
                </w:rPr>
                <w:t>2013 MBQB 142</w:t>
              </w:r>
            </w:hyperlink>
          </w:p>
          <w:p w:rsidR="00591A8C" w:rsidRPr="00D770F2" w:rsidRDefault="00591A8C" w:rsidP="006F56EE">
            <w:pPr>
              <w:jc w:val="both"/>
              <w:rPr>
                <w:sz w:val="20"/>
              </w:rPr>
            </w:pPr>
          </w:p>
        </w:tc>
        <w:tc>
          <w:tcPr>
            <w:tcW w:w="270" w:type="pct"/>
          </w:tcPr>
          <w:p w:rsidR="00591A8C" w:rsidRPr="00D770F2" w:rsidRDefault="00591A8C" w:rsidP="006F56EE">
            <w:pPr>
              <w:jc w:val="both"/>
              <w:rPr>
                <w:sz w:val="20"/>
              </w:rPr>
            </w:pPr>
          </w:p>
        </w:tc>
        <w:tc>
          <w:tcPr>
            <w:tcW w:w="2340" w:type="pct"/>
          </w:tcPr>
          <w:p w:rsidR="00591A8C" w:rsidRPr="00D770F2" w:rsidRDefault="00591A8C" w:rsidP="006F56EE">
            <w:pPr>
              <w:jc w:val="both"/>
              <w:rPr>
                <w:sz w:val="20"/>
              </w:rPr>
            </w:pPr>
            <w:r w:rsidRPr="00D770F2">
              <w:rPr>
                <w:sz w:val="20"/>
              </w:rPr>
              <w:t>Action for payment of benefits under insurance policy dismissed</w:t>
            </w:r>
          </w:p>
        </w:tc>
      </w:tr>
      <w:tr w:rsidR="00591A8C" w:rsidRPr="00D770F2" w:rsidTr="006F56EE">
        <w:tblPrEx>
          <w:tblCellMar>
            <w:bottom w:w="0" w:type="dxa"/>
          </w:tblCellMar>
        </w:tblPrEx>
        <w:tc>
          <w:tcPr>
            <w:tcW w:w="2390" w:type="pct"/>
            <w:gridSpan w:val="2"/>
          </w:tcPr>
          <w:p w:rsidR="00591A8C" w:rsidRPr="00D770F2" w:rsidRDefault="00591A8C" w:rsidP="006F56EE">
            <w:pPr>
              <w:jc w:val="both"/>
              <w:rPr>
                <w:sz w:val="20"/>
              </w:rPr>
            </w:pPr>
            <w:r w:rsidRPr="00D770F2">
              <w:rPr>
                <w:sz w:val="20"/>
              </w:rPr>
              <w:t>March 3, 2014</w:t>
            </w:r>
          </w:p>
          <w:p w:rsidR="00591A8C" w:rsidRPr="00D770F2" w:rsidRDefault="00591A8C" w:rsidP="006F56EE">
            <w:pPr>
              <w:jc w:val="both"/>
              <w:rPr>
                <w:sz w:val="20"/>
              </w:rPr>
            </w:pPr>
            <w:r w:rsidRPr="00D770F2">
              <w:rPr>
                <w:sz w:val="20"/>
              </w:rPr>
              <w:t>Court of Appeal of Manitoba</w:t>
            </w:r>
          </w:p>
          <w:p w:rsidR="00591A8C" w:rsidRPr="00D770F2" w:rsidRDefault="00591A8C" w:rsidP="006F56EE">
            <w:pPr>
              <w:jc w:val="both"/>
              <w:rPr>
                <w:sz w:val="20"/>
              </w:rPr>
            </w:pPr>
            <w:r w:rsidRPr="00D770F2">
              <w:rPr>
                <w:sz w:val="20"/>
              </w:rPr>
              <w:t xml:space="preserve">(Steel, Hamilton and </w:t>
            </w:r>
            <w:proofErr w:type="spellStart"/>
            <w:r w:rsidRPr="00D770F2">
              <w:rPr>
                <w:sz w:val="20"/>
              </w:rPr>
              <w:t>Mainella</w:t>
            </w:r>
            <w:proofErr w:type="spellEnd"/>
            <w:r w:rsidRPr="00D770F2">
              <w:rPr>
                <w:sz w:val="20"/>
              </w:rPr>
              <w:t xml:space="preserve"> JJ.A.)</w:t>
            </w:r>
          </w:p>
          <w:p w:rsidR="00591A8C" w:rsidRPr="00D770F2" w:rsidRDefault="009479D6" w:rsidP="006F56EE">
            <w:pPr>
              <w:jc w:val="both"/>
              <w:rPr>
                <w:rStyle w:val="Hyperlink"/>
                <w:sz w:val="20"/>
              </w:rPr>
            </w:pPr>
            <w:hyperlink r:id="rId41" w:history="1">
              <w:r w:rsidR="00591A8C" w:rsidRPr="00D770F2">
                <w:rPr>
                  <w:rStyle w:val="Hyperlink"/>
                  <w:sz w:val="20"/>
                </w:rPr>
                <w:t>2014 MBCA 26</w:t>
              </w:r>
            </w:hyperlink>
          </w:p>
          <w:p w:rsidR="00591A8C" w:rsidRPr="00D770F2" w:rsidRDefault="00591A8C" w:rsidP="006F56EE">
            <w:pPr>
              <w:jc w:val="both"/>
              <w:rPr>
                <w:sz w:val="20"/>
              </w:rPr>
            </w:pPr>
          </w:p>
        </w:tc>
        <w:tc>
          <w:tcPr>
            <w:tcW w:w="270" w:type="pct"/>
          </w:tcPr>
          <w:p w:rsidR="00591A8C" w:rsidRPr="00D770F2" w:rsidRDefault="00591A8C" w:rsidP="006F56EE">
            <w:pPr>
              <w:jc w:val="both"/>
              <w:rPr>
                <w:sz w:val="20"/>
              </w:rPr>
            </w:pPr>
          </w:p>
        </w:tc>
        <w:tc>
          <w:tcPr>
            <w:tcW w:w="2340" w:type="pct"/>
          </w:tcPr>
          <w:p w:rsidR="00591A8C" w:rsidRPr="00D770F2" w:rsidRDefault="00591A8C" w:rsidP="006F56EE">
            <w:pPr>
              <w:jc w:val="both"/>
              <w:rPr>
                <w:sz w:val="20"/>
              </w:rPr>
            </w:pPr>
            <w:r w:rsidRPr="00D770F2">
              <w:rPr>
                <w:sz w:val="20"/>
              </w:rPr>
              <w:t>Motion to adduce fresh evidence dismissed; appeal dismissed</w:t>
            </w:r>
          </w:p>
          <w:p w:rsidR="00591A8C" w:rsidRPr="00D770F2" w:rsidRDefault="00591A8C" w:rsidP="006F56EE">
            <w:pPr>
              <w:jc w:val="both"/>
              <w:rPr>
                <w:sz w:val="20"/>
              </w:rPr>
            </w:pPr>
          </w:p>
        </w:tc>
      </w:tr>
      <w:tr w:rsidR="00591A8C" w:rsidRPr="00D770F2" w:rsidTr="006F56EE">
        <w:tblPrEx>
          <w:tblCellMar>
            <w:bottom w:w="0" w:type="dxa"/>
          </w:tblCellMar>
        </w:tblPrEx>
        <w:tc>
          <w:tcPr>
            <w:tcW w:w="2390" w:type="pct"/>
            <w:gridSpan w:val="2"/>
          </w:tcPr>
          <w:p w:rsidR="00591A8C" w:rsidRPr="00D770F2" w:rsidRDefault="00591A8C" w:rsidP="006F56EE">
            <w:pPr>
              <w:jc w:val="both"/>
              <w:rPr>
                <w:sz w:val="20"/>
              </w:rPr>
            </w:pPr>
            <w:r w:rsidRPr="00D770F2">
              <w:rPr>
                <w:sz w:val="20"/>
              </w:rPr>
              <w:t>July 24, 2014</w:t>
            </w:r>
          </w:p>
          <w:p w:rsidR="00591A8C" w:rsidRPr="00D770F2" w:rsidRDefault="00591A8C" w:rsidP="006F56EE">
            <w:pPr>
              <w:jc w:val="both"/>
              <w:rPr>
                <w:sz w:val="20"/>
              </w:rPr>
            </w:pPr>
            <w:r w:rsidRPr="00D770F2">
              <w:rPr>
                <w:sz w:val="20"/>
              </w:rPr>
              <w:t>Supreme Court of Canada</w:t>
            </w:r>
          </w:p>
        </w:tc>
        <w:tc>
          <w:tcPr>
            <w:tcW w:w="270" w:type="pct"/>
          </w:tcPr>
          <w:p w:rsidR="00591A8C" w:rsidRPr="00D770F2" w:rsidRDefault="00591A8C" w:rsidP="006F56EE">
            <w:pPr>
              <w:jc w:val="both"/>
              <w:rPr>
                <w:sz w:val="20"/>
              </w:rPr>
            </w:pPr>
          </w:p>
        </w:tc>
        <w:tc>
          <w:tcPr>
            <w:tcW w:w="2340" w:type="pct"/>
          </w:tcPr>
          <w:p w:rsidR="00591A8C" w:rsidRPr="00D770F2" w:rsidRDefault="00591A8C" w:rsidP="006F56EE">
            <w:pPr>
              <w:jc w:val="both"/>
              <w:rPr>
                <w:sz w:val="20"/>
              </w:rPr>
            </w:pPr>
            <w:r w:rsidRPr="00D770F2">
              <w:rPr>
                <w:sz w:val="20"/>
              </w:rPr>
              <w:t>Application for leave to appeal dismissed</w:t>
            </w:r>
          </w:p>
          <w:p w:rsidR="00591A8C" w:rsidRPr="00D770F2" w:rsidRDefault="00591A8C" w:rsidP="006F56EE">
            <w:pPr>
              <w:jc w:val="both"/>
              <w:rPr>
                <w:sz w:val="20"/>
              </w:rPr>
            </w:pPr>
          </w:p>
          <w:p w:rsidR="00591A8C" w:rsidRPr="00D770F2" w:rsidRDefault="00591A8C" w:rsidP="006F56EE">
            <w:pPr>
              <w:jc w:val="both"/>
              <w:rPr>
                <w:sz w:val="20"/>
              </w:rPr>
            </w:pPr>
          </w:p>
        </w:tc>
      </w:tr>
      <w:tr w:rsidR="00591A8C" w:rsidRPr="00D770F2" w:rsidTr="006F56EE">
        <w:tblPrEx>
          <w:tblCellMar>
            <w:bottom w:w="0" w:type="dxa"/>
          </w:tblCellMar>
        </w:tblPrEx>
        <w:trPr>
          <w:cantSplit/>
        </w:trPr>
        <w:tc>
          <w:tcPr>
            <w:tcW w:w="2390" w:type="pct"/>
            <w:gridSpan w:val="2"/>
          </w:tcPr>
          <w:p w:rsidR="00591A8C" w:rsidRPr="00D770F2" w:rsidRDefault="00591A8C" w:rsidP="006F56EE">
            <w:pPr>
              <w:jc w:val="both"/>
              <w:rPr>
                <w:sz w:val="20"/>
              </w:rPr>
            </w:pPr>
            <w:r w:rsidRPr="00D770F2">
              <w:rPr>
                <w:sz w:val="20"/>
              </w:rPr>
              <w:t>October 27, 2016</w:t>
            </w:r>
          </w:p>
          <w:p w:rsidR="00591A8C" w:rsidRPr="00D770F2" w:rsidRDefault="00591A8C" w:rsidP="006F56EE">
            <w:pPr>
              <w:jc w:val="both"/>
              <w:rPr>
                <w:sz w:val="20"/>
              </w:rPr>
            </w:pPr>
            <w:r w:rsidRPr="00D770F2">
              <w:rPr>
                <w:sz w:val="20"/>
              </w:rPr>
              <w:t>Court of Queen’s Bench Manitoba</w:t>
            </w:r>
          </w:p>
          <w:p w:rsidR="00591A8C" w:rsidRPr="00D770F2" w:rsidRDefault="00591A8C" w:rsidP="006F56EE">
            <w:pPr>
              <w:jc w:val="both"/>
              <w:rPr>
                <w:sz w:val="20"/>
              </w:rPr>
            </w:pPr>
            <w:r w:rsidRPr="00D770F2">
              <w:rPr>
                <w:sz w:val="20"/>
              </w:rPr>
              <w:t>(</w:t>
            </w:r>
            <w:proofErr w:type="spellStart"/>
            <w:r w:rsidRPr="00D770F2">
              <w:rPr>
                <w:sz w:val="20"/>
              </w:rPr>
              <w:t>Suche</w:t>
            </w:r>
            <w:proofErr w:type="spellEnd"/>
            <w:r w:rsidRPr="00D770F2">
              <w:rPr>
                <w:sz w:val="20"/>
              </w:rPr>
              <w:t> J.)</w:t>
            </w:r>
          </w:p>
          <w:p w:rsidR="00591A8C" w:rsidRPr="00D770F2" w:rsidRDefault="00591A8C" w:rsidP="006F56EE">
            <w:pPr>
              <w:jc w:val="both"/>
              <w:rPr>
                <w:sz w:val="20"/>
              </w:rPr>
            </w:pPr>
          </w:p>
        </w:tc>
        <w:tc>
          <w:tcPr>
            <w:tcW w:w="270" w:type="pct"/>
          </w:tcPr>
          <w:p w:rsidR="00591A8C" w:rsidRPr="00D770F2" w:rsidRDefault="00591A8C" w:rsidP="006F56EE">
            <w:pPr>
              <w:jc w:val="both"/>
              <w:rPr>
                <w:sz w:val="20"/>
              </w:rPr>
            </w:pPr>
          </w:p>
        </w:tc>
        <w:tc>
          <w:tcPr>
            <w:tcW w:w="2340" w:type="pct"/>
          </w:tcPr>
          <w:p w:rsidR="00591A8C" w:rsidRPr="00D770F2" w:rsidRDefault="00591A8C" w:rsidP="006F56EE">
            <w:pPr>
              <w:jc w:val="both"/>
              <w:rPr>
                <w:sz w:val="20"/>
              </w:rPr>
            </w:pPr>
            <w:r w:rsidRPr="00D770F2">
              <w:rPr>
                <w:sz w:val="20"/>
              </w:rPr>
              <w:t>Decision on costs in favour of respondent</w:t>
            </w:r>
          </w:p>
          <w:p w:rsidR="00591A8C" w:rsidRPr="00D770F2" w:rsidRDefault="00591A8C" w:rsidP="006F56EE">
            <w:pPr>
              <w:jc w:val="both"/>
              <w:rPr>
                <w:sz w:val="20"/>
              </w:rPr>
            </w:pPr>
          </w:p>
        </w:tc>
      </w:tr>
      <w:tr w:rsidR="00591A8C" w:rsidRPr="00D770F2" w:rsidTr="006F56EE">
        <w:tblPrEx>
          <w:tblCellMar>
            <w:bottom w:w="0" w:type="dxa"/>
          </w:tblCellMar>
        </w:tblPrEx>
        <w:tc>
          <w:tcPr>
            <w:tcW w:w="2390" w:type="pct"/>
            <w:gridSpan w:val="2"/>
          </w:tcPr>
          <w:p w:rsidR="00591A8C" w:rsidRPr="00D770F2" w:rsidRDefault="00591A8C" w:rsidP="006F56EE">
            <w:pPr>
              <w:jc w:val="both"/>
              <w:rPr>
                <w:sz w:val="20"/>
              </w:rPr>
            </w:pPr>
            <w:r w:rsidRPr="00D770F2">
              <w:rPr>
                <w:sz w:val="20"/>
              </w:rPr>
              <w:t>March 1, 2017</w:t>
            </w:r>
          </w:p>
          <w:p w:rsidR="00591A8C" w:rsidRPr="00D770F2" w:rsidRDefault="00591A8C" w:rsidP="006F56EE">
            <w:pPr>
              <w:jc w:val="both"/>
              <w:rPr>
                <w:sz w:val="20"/>
              </w:rPr>
            </w:pPr>
            <w:r w:rsidRPr="00D770F2">
              <w:rPr>
                <w:sz w:val="20"/>
              </w:rPr>
              <w:t>Court of Queen’s Bench of Manitoba</w:t>
            </w:r>
          </w:p>
          <w:p w:rsidR="00591A8C" w:rsidRPr="00D770F2" w:rsidRDefault="00591A8C" w:rsidP="006F56EE">
            <w:pPr>
              <w:jc w:val="both"/>
              <w:rPr>
                <w:sz w:val="20"/>
              </w:rPr>
            </w:pPr>
            <w:r w:rsidRPr="00D770F2">
              <w:rPr>
                <w:sz w:val="20"/>
              </w:rPr>
              <w:t>(</w:t>
            </w:r>
            <w:proofErr w:type="spellStart"/>
            <w:r w:rsidRPr="00D770F2">
              <w:rPr>
                <w:sz w:val="20"/>
              </w:rPr>
              <w:t>Suche</w:t>
            </w:r>
            <w:proofErr w:type="spellEnd"/>
            <w:r w:rsidRPr="00D770F2">
              <w:rPr>
                <w:sz w:val="20"/>
              </w:rPr>
              <w:t xml:space="preserve"> J.)</w:t>
            </w:r>
          </w:p>
          <w:p w:rsidR="00591A8C" w:rsidRPr="00D770F2" w:rsidRDefault="00591A8C" w:rsidP="006F56EE">
            <w:pPr>
              <w:jc w:val="both"/>
              <w:rPr>
                <w:sz w:val="20"/>
              </w:rPr>
            </w:pPr>
          </w:p>
        </w:tc>
        <w:tc>
          <w:tcPr>
            <w:tcW w:w="270" w:type="pct"/>
          </w:tcPr>
          <w:p w:rsidR="00591A8C" w:rsidRPr="00D770F2" w:rsidRDefault="00591A8C" w:rsidP="006F56EE">
            <w:pPr>
              <w:jc w:val="both"/>
              <w:rPr>
                <w:sz w:val="20"/>
              </w:rPr>
            </w:pPr>
          </w:p>
        </w:tc>
        <w:tc>
          <w:tcPr>
            <w:tcW w:w="2340" w:type="pct"/>
          </w:tcPr>
          <w:p w:rsidR="00591A8C" w:rsidRPr="00D770F2" w:rsidRDefault="00591A8C" w:rsidP="006F56EE">
            <w:pPr>
              <w:jc w:val="both"/>
              <w:rPr>
                <w:sz w:val="20"/>
              </w:rPr>
            </w:pPr>
            <w:r w:rsidRPr="00D770F2">
              <w:rPr>
                <w:sz w:val="20"/>
              </w:rPr>
              <w:t>Motion for leave to appeal costs judgment dismissed</w:t>
            </w:r>
          </w:p>
        </w:tc>
      </w:tr>
      <w:tr w:rsidR="00591A8C" w:rsidRPr="00D770F2" w:rsidTr="006F56EE">
        <w:tblPrEx>
          <w:tblCellMar>
            <w:bottom w:w="0" w:type="dxa"/>
          </w:tblCellMar>
        </w:tblPrEx>
        <w:tc>
          <w:tcPr>
            <w:tcW w:w="2390" w:type="pct"/>
            <w:gridSpan w:val="2"/>
          </w:tcPr>
          <w:p w:rsidR="00591A8C" w:rsidRPr="00D770F2" w:rsidRDefault="00591A8C" w:rsidP="006F56EE">
            <w:pPr>
              <w:jc w:val="both"/>
              <w:rPr>
                <w:sz w:val="20"/>
              </w:rPr>
            </w:pPr>
            <w:r w:rsidRPr="00D770F2">
              <w:rPr>
                <w:sz w:val="20"/>
              </w:rPr>
              <w:t>April 28, 2017</w:t>
            </w:r>
          </w:p>
          <w:p w:rsidR="00591A8C" w:rsidRPr="00D770F2" w:rsidRDefault="00591A8C" w:rsidP="006F56EE">
            <w:pPr>
              <w:jc w:val="both"/>
              <w:rPr>
                <w:sz w:val="20"/>
              </w:rPr>
            </w:pPr>
            <w:r w:rsidRPr="00D770F2">
              <w:rPr>
                <w:sz w:val="20"/>
              </w:rPr>
              <w:t>Supreme Court of Canada</w:t>
            </w:r>
          </w:p>
        </w:tc>
        <w:tc>
          <w:tcPr>
            <w:tcW w:w="270" w:type="pct"/>
          </w:tcPr>
          <w:p w:rsidR="00591A8C" w:rsidRPr="00D770F2" w:rsidRDefault="00591A8C" w:rsidP="006F56EE">
            <w:pPr>
              <w:jc w:val="both"/>
              <w:rPr>
                <w:sz w:val="20"/>
              </w:rPr>
            </w:pPr>
          </w:p>
        </w:tc>
        <w:tc>
          <w:tcPr>
            <w:tcW w:w="2340" w:type="pct"/>
          </w:tcPr>
          <w:p w:rsidR="00591A8C" w:rsidRPr="00D770F2" w:rsidRDefault="00591A8C" w:rsidP="006F56EE">
            <w:pPr>
              <w:jc w:val="both"/>
              <w:rPr>
                <w:sz w:val="20"/>
              </w:rPr>
            </w:pPr>
            <w:r w:rsidRPr="00D770F2">
              <w:rPr>
                <w:sz w:val="20"/>
              </w:rPr>
              <w:t xml:space="preserve">Application for leave to appeal filed </w:t>
            </w:r>
          </w:p>
          <w:p w:rsidR="00591A8C" w:rsidRPr="00D770F2" w:rsidRDefault="00591A8C" w:rsidP="006F56EE">
            <w:pPr>
              <w:jc w:val="both"/>
              <w:rPr>
                <w:sz w:val="20"/>
              </w:rPr>
            </w:pPr>
          </w:p>
          <w:p w:rsidR="00591A8C" w:rsidRPr="00D770F2" w:rsidRDefault="00591A8C" w:rsidP="006F56EE">
            <w:pPr>
              <w:jc w:val="both"/>
              <w:rPr>
                <w:sz w:val="20"/>
              </w:rPr>
            </w:pPr>
          </w:p>
        </w:tc>
      </w:tr>
      <w:tr w:rsidR="00591A8C" w:rsidRPr="00D770F2" w:rsidTr="006F56EE">
        <w:tblPrEx>
          <w:tblCellMar>
            <w:bottom w:w="0" w:type="dxa"/>
          </w:tblCellMar>
        </w:tblPrEx>
        <w:tc>
          <w:tcPr>
            <w:tcW w:w="2390" w:type="pct"/>
            <w:gridSpan w:val="2"/>
          </w:tcPr>
          <w:p w:rsidR="00591A8C" w:rsidRPr="00D770F2" w:rsidRDefault="00591A8C" w:rsidP="006F56EE">
            <w:pPr>
              <w:jc w:val="both"/>
              <w:rPr>
                <w:sz w:val="20"/>
              </w:rPr>
            </w:pPr>
            <w:r w:rsidRPr="00D770F2">
              <w:rPr>
                <w:sz w:val="20"/>
              </w:rPr>
              <w:t xml:space="preserve">October 4, 2017 </w:t>
            </w:r>
          </w:p>
          <w:p w:rsidR="00591A8C" w:rsidRPr="00D770F2" w:rsidRDefault="00591A8C" w:rsidP="006F56EE">
            <w:pPr>
              <w:jc w:val="both"/>
              <w:rPr>
                <w:sz w:val="20"/>
              </w:rPr>
            </w:pPr>
            <w:r w:rsidRPr="00D770F2">
              <w:rPr>
                <w:sz w:val="20"/>
              </w:rPr>
              <w:t>Supreme Court of Canada</w:t>
            </w:r>
          </w:p>
        </w:tc>
        <w:tc>
          <w:tcPr>
            <w:tcW w:w="270" w:type="pct"/>
          </w:tcPr>
          <w:p w:rsidR="00591A8C" w:rsidRPr="00D770F2" w:rsidRDefault="00591A8C" w:rsidP="006F56EE">
            <w:pPr>
              <w:jc w:val="both"/>
              <w:rPr>
                <w:sz w:val="20"/>
              </w:rPr>
            </w:pPr>
          </w:p>
        </w:tc>
        <w:tc>
          <w:tcPr>
            <w:tcW w:w="2340" w:type="pct"/>
          </w:tcPr>
          <w:p w:rsidR="00591A8C" w:rsidRPr="00D770F2" w:rsidRDefault="00591A8C" w:rsidP="006F56EE">
            <w:pPr>
              <w:jc w:val="both"/>
              <w:rPr>
                <w:sz w:val="20"/>
              </w:rPr>
            </w:pPr>
            <w:r w:rsidRPr="00D770F2">
              <w:rPr>
                <w:sz w:val="20"/>
              </w:rPr>
              <w:t xml:space="preserve">Motion for extension of time to file and serve application for leave to appeal filed </w:t>
            </w:r>
          </w:p>
        </w:tc>
      </w:tr>
    </w:tbl>
    <w:p w:rsidR="00591A8C" w:rsidRPr="00D770F2" w:rsidRDefault="00591A8C" w:rsidP="006F56EE">
      <w:pPr>
        <w:jc w:val="both"/>
        <w:rPr>
          <w:sz w:val="20"/>
        </w:rPr>
      </w:pPr>
    </w:p>
    <w:p w:rsidR="007255CB" w:rsidRPr="00D770F2" w:rsidRDefault="007255CB" w:rsidP="006F56E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591A8C" w:rsidRPr="00D770F2" w:rsidTr="006F56EE">
        <w:tc>
          <w:tcPr>
            <w:tcW w:w="543" w:type="pct"/>
          </w:tcPr>
          <w:p w:rsidR="00591A8C" w:rsidRPr="00D770F2" w:rsidRDefault="00591A8C" w:rsidP="006F56EE">
            <w:pPr>
              <w:jc w:val="both"/>
              <w:rPr>
                <w:sz w:val="20"/>
                <w:lang w:val="fr-CA"/>
              </w:rPr>
            </w:pPr>
            <w:r w:rsidRPr="00D770F2">
              <w:rPr>
                <w:rStyle w:val="SCCFileNumberChar"/>
                <w:sz w:val="20"/>
                <w:szCs w:val="20"/>
                <w:lang w:val="fr-CA"/>
              </w:rPr>
              <w:t>35875</w:t>
            </w:r>
          </w:p>
        </w:tc>
        <w:tc>
          <w:tcPr>
            <w:tcW w:w="4457" w:type="pct"/>
            <w:gridSpan w:val="3"/>
          </w:tcPr>
          <w:p w:rsidR="00591A8C" w:rsidRPr="00D770F2" w:rsidRDefault="00591A8C" w:rsidP="006F56EE">
            <w:pPr>
              <w:pStyle w:val="SCCLsocParty"/>
              <w:jc w:val="both"/>
              <w:rPr>
                <w:b/>
                <w:sz w:val="20"/>
                <w:szCs w:val="20"/>
              </w:rPr>
            </w:pPr>
            <w:r w:rsidRPr="00D770F2">
              <w:rPr>
                <w:b/>
                <w:sz w:val="20"/>
                <w:szCs w:val="20"/>
              </w:rPr>
              <w:t>Shawn David Olfman c. Compagnie d’assurance vie RBC</w:t>
            </w:r>
          </w:p>
          <w:p w:rsidR="00591A8C" w:rsidRPr="00D770F2" w:rsidRDefault="00591A8C" w:rsidP="006F56EE">
            <w:pPr>
              <w:jc w:val="both"/>
              <w:rPr>
                <w:sz w:val="20"/>
                <w:lang w:val="fr-CA"/>
              </w:rPr>
            </w:pPr>
            <w:r w:rsidRPr="00D770F2">
              <w:rPr>
                <w:sz w:val="20"/>
                <w:lang w:val="fr-CA"/>
              </w:rPr>
              <w:t>(Man.) (Civile) (Sur autorisation)</w:t>
            </w:r>
          </w:p>
        </w:tc>
      </w:tr>
      <w:tr w:rsidR="00591A8C" w:rsidRPr="0030635C" w:rsidTr="006F56EE">
        <w:tc>
          <w:tcPr>
            <w:tcW w:w="5000" w:type="pct"/>
            <w:gridSpan w:val="4"/>
          </w:tcPr>
          <w:p w:rsidR="00591A8C" w:rsidRPr="00D770F2" w:rsidRDefault="00591A8C" w:rsidP="006F56EE">
            <w:pPr>
              <w:jc w:val="both"/>
              <w:rPr>
                <w:sz w:val="20"/>
                <w:lang w:val="fr-CA"/>
              </w:rPr>
            </w:pPr>
            <w:r w:rsidRPr="00D770F2">
              <w:rPr>
                <w:sz w:val="20"/>
                <w:lang w:val="fr-CA"/>
              </w:rPr>
              <w:t>Procédure civile – Dépens – La Cour du Banc de la Reine du Manitoba a-t-elle commis une erreur en octroyant les dépens du procès?</w:t>
            </w:r>
          </w:p>
        </w:tc>
      </w:tr>
      <w:tr w:rsidR="00591A8C" w:rsidRPr="0030635C" w:rsidTr="006F56EE">
        <w:tc>
          <w:tcPr>
            <w:tcW w:w="5000" w:type="pct"/>
            <w:gridSpan w:val="4"/>
          </w:tcPr>
          <w:p w:rsidR="00591A8C" w:rsidRPr="00D770F2" w:rsidRDefault="00591A8C" w:rsidP="006F56EE">
            <w:pPr>
              <w:jc w:val="both"/>
              <w:rPr>
                <w:sz w:val="20"/>
                <w:lang w:val="fr-CA"/>
              </w:rPr>
            </w:pPr>
          </w:p>
        </w:tc>
      </w:tr>
      <w:tr w:rsidR="00591A8C" w:rsidRPr="0030635C" w:rsidTr="006F56EE">
        <w:tc>
          <w:tcPr>
            <w:tcW w:w="5000" w:type="pct"/>
            <w:gridSpan w:val="4"/>
          </w:tcPr>
          <w:p w:rsidR="00591A8C" w:rsidRPr="00D770F2" w:rsidRDefault="00591A8C" w:rsidP="006F56EE">
            <w:pPr>
              <w:jc w:val="both"/>
              <w:rPr>
                <w:sz w:val="20"/>
                <w:lang w:val="fr-CA"/>
              </w:rPr>
            </w:pPr>
            <w:r w:rsidRPr="00D770F2">
              <w:rPr>
                <w:sz w:val="20"/>
                <w:lang w:val="fr-CA"/>
              </w:rPr>
              <w:t>Le demandeur, M. Olfman, est avocat. En 1989, il a acheté une police d’assurance invalidité d’un assureur que la compagnie d’assurance défenderesse a remplacé. Au mois de juillet 2009, il a subi une crise cardiaque et il est retourné au travail en septembre de la même année. Monsieur Olfman a demandé de toucher des prestations que l’assureur a reconnu devoir payer de la date de la crise cardiaque jusqu’à la date de son retour au travail. Monsieur Olfman a cependant affirmé qu’il avait encore droit à des prestations après son retour au travail parce que la définition de l’expression « invalidité totale » figurant dans sa police avait été modifiée par son assureur dans une lettre qui, selon lui, supprimait l’exigence selon laquelle il devait être dans l’incapacité d’exécuter les tâches importantes intrinsèques à sa profession. Monsieur Olfman a poursuivi l’assureur et lui a réclamé ces prestations. La Cour du Banc de la Reine a rejeté son action. La Cour d’appel a rejeté l’appel et la Cour suprême du Canada a refusé l’autorisation d’appel. Après cette décision, la juge de première instance a statué que l’intimée avait droit aux dépens. La motion de M. Olfman en autorisation d’interjeter appel de cette décision a été rejetée.</w:t>
            </w:r>
          </w:p>
          <w:p w:rsidR="007255CB" w:rsidRPr="00D770F2" w:rsidRDefault="007255CB" w:rsidP="006F56EE">
            <w:pPr>
              <w:jc w:val="both"/>
              <w:rPr>
                <w:sz w:val="20"/>
                <w:lang w:val="fr-CA"/>
              </w:rPr>
            </w:pPr>
          </w:p>
        </w:tc>
      </w:tr>
      <w:tr w:rsidR="00591A8C" w:rsidRPr="0030635C" w:rsidTr="006F56EE">
        <w:tblPrEx>
          <w:tblCellMar>
            <w:bottom w:w="0" w:type="dxa"/>
          </w:tblCellMar>
        </w:tblPrEx>
        <w:tc>
          <w:tcPr>
            <w:tcW w:w="2390" w:type="pct"/>
            <w:gridSpan w:val="2"/>
          </w:tcPr>
          <w:p w:rsidR="00591A8C" w:rsidRPr="00D770F2" w:rsidRDefault="00591A8C" w:rsidP="006F56EE">
            <w:pPr>
              <w:jc w:val="both"/>
              <w:rPr>
                <w:sz w:val="20"/>
                <w:lang w:val="fr-CA"/>
              </w:rPr>
            </w:pPr>
            <w:r w:rsidRPr="00D770F2">
              <w:rPr>
                <w:sz w:val="20"/>
                <w:lang w:val="fr-CA"/>
              </w:rPr>
              <w:t>17 juin 2013</w:t>
            </w:r>
          </w:p>
          <w:p w:rsidR="00591A8C" w:rsidRPr="00D770F2" w:rsidRDefault="00591A8C" w:rsidP="006F56EE">
            <w:pPr>
              <w:jc w:val="both"/>
              <w:rPr>
                <w:sz w:val="20"/>
                <w:lang w:val="fr-CA"/>
              </w:rPr>
            </w:pPr>
            <w:r w:rsidRPr="00D770F2">
              <w:rPr>
                <w:sz w:val="20"/>
                <w:lang w:val="fr-CA"/>
              </w:rPr>
              <w:t>Cour du Banc de la Reine du Manitoba</w:t>
            </w:r>
          </w:p>
          <w:p w:rsidR="00591A8C" w:rsidRPr="00D770F2" w:rsidRDefault="00591A8C" w:rsidP="006F56EE">
            <w:pPr>
              <w:jc w:val="both"/>
              <w:rPr>
                <w:sz w:val="20"/>
                <w:lang w:val="fr-CA"/>
              </w:rPr>
            </w:pPr>
            <w:r w:rsidRPr="00D770F2">
              <w:rPr>
                <w:sz w:val="20"/>
                <w:lang w:val="fr-CA"/>
              </w:rPr>
              <w:t xml:space="preserve">(Juge </w:t>
            </w:r>
            <w:proofErr w:type="spellStart"/>
            <w:r w:rsidRPr="00D770F2">
              <w:rPr>
                <w:sz w:val="20"/>
                <w:lang w:val="fr-CA"/>
              </w:rPr>
              <w:t>Suche</w:t>
            </w:r>
            <w:proofErr w:type="spellEnd"/>
            <w:r w:rsidRPr="00D770F2">
              <w:rPr>
                <w:sz w:val="20"/>
                <w:lang w:val="fr-CA"/>
              </w:rPr>
              <w:t>)</w:t>
            </w:r>
          </w:p>
          <w:p w:rsidR="00591A8C" w:rsidRPr="00D770F2" w:rsidRDefault="009479D6" w:rsidP="006F56EE">
            <w:pPr>
              <w:jc w:val="both"/>
              <w:rPr>
                <w:sz w:val="20"/>
                <w:lang w:val="fr-CA"/>
              </w:rPr>
            </w:pPr>
            <w:hyperlink r:id="rId42" w:history="1">
              <w:r w:rsidR="00591A8C" w:rsidRPr="00D770F2">
                <w:rPr>
                  <w:rStyle w:val="Hyperlink"/>
                  <w:sz w:val="20"/>
                  <w:lang w:val="fr-CA"/>
                </w:rPr>
                <w:t>2013 MBQB 142</w:t>
              </w:r>
            </w:hyperlink>
          </w:p>
          <w:p w:rsidR="00591A8C" w:rsidRPr="00D770F2" w:rsidRDefault="00591A8C" w:rsidP="006F56EE">
            <w:pPr>
              <w:jc w:val="both"/>
              <w:rPr>
                <w:sz w:val="20"/>
                <w:lang w:val="fr-CA"/>
              </w:rPr>
            </w:pPr>
          </w:p>
        </w:tc>
        <w:tc>
          <w:tcPr>
            <w:tcW w:w="270" w:type="pct"/>
          </w:tcPr>
          <w:p w:rsidR="00591A8C" w:rsidRPr="00D770F2" w:rsidRDefault="00591A8C" w:rsidP="006F56EE">
            <w:pPr>
              <w:jc w:val="both"/>
              <w:rPr>
                <w:sz w:val="20"/>
                <w:lang w:val="fr-CA"/>
              </w:rPr>
            </w:pPr>
          </w:p>
        </w:tc>
        <w:tc>
          <w:tcPr>
            <w:tcW w:w="2340" w:type="pct"/>
          </w:tcPr>
          <w:p w:rsidR="00591A8C" w:rsidRPr="00D770F2" w:rsidRDefault="00591A8C" w:rsidP="006F56EE">
            <w:pPr>
              <w:jc w:val="both"/>
              <w:rPr>
                <w:sz w:val="20"/>
                <w:lang w:val="fr-CA"/>
              </w:rPr>
            </w:pPr>
            <w:r w:rsidRPr="00D770F2">
              <w:rPr>
                <w:sz w:val="20"/>
                <w:lang w:val="fr-CA"/>
              </w:rPr>
              <w:t>Rejet de l’action en réclamation de prestations d’assurance</w:t>
            </w:r>
          </w:p>
        </w:tc>
      </w:tr>
      <w:tr w:rsidR="00591A8C" w:rsidRPr="0030635C" w:rsidTr="006F56EE">
        <w:tblPrEx>
          <w:tblCellMar>
            <w:bottom w:w="0" w:type="dxa"/>
          </w:tblCellMar>
        </w:tblPrEx>
        <w:tc>
          <w:tcPr>
            <w:tcW w:w="2390" w:type="pct"/>
            <w:gridSpan w:val="2"/>
          </w:tcPr>
          <w:p w:rsidR="00591A8C" w:rsidRPr="00D770F2" w:rsidRDefault="00591A8C" w:rsidP="006F56EE">
            <w:pPr>
              <w:jc w:val="both"/>
              <w:rPr>
                <w:sz w:val="20"/>
                <w:lang w:val="fr-CA"/>
              </w:rPr>
            </w:pPr>
            <w:r w:rsidRPr="00D770F2">
              <w:rPr>
                <w:sz w:val="20"/>
                <w:lang w:val="fr-CA"/>
              </w:rPr>
              <w:t>3 mars 2014</w:t>
            </w:r>
          </w:p>
          <w:p w:rsidR="00591A8C" w:rsidRPr="00D770F2" w:rsidRDefault="00591A8C" w:rsidP="006F56EE">
            <w:pPr>
              <w:jc w:val="both"/>
              <w:rPr>
                <w:sz w:val="20"/>
                <w:lang w:val="fr-CA"/>
              </w:rPr>
            </w:pPr>
            <w:r w:rsidRPr="00D770F2">
              <w:rPr>
                <w:sz w:val="20"/>
                <w:lang w:val="fr-CA"/>
              </w:rPr>
              <w:t>Cour d’appel du Manitoba</w:t>
            </w:r>
          </w:p>
          <w:p w:rsidR="00591A8C" w:rsidRPr="00D770F2" w:rsidRDefault="00591A8C" w:rsidP="006F56EE">
            <w:pPr>
              <w:jc w:val="both"/>
              <w:rPr>
                <w:sz w:val="20"/>
                <w:lang w:val="fr-CA"/>
              </w:rPr>
            </w:pPr>
            <w:r w:rsidRPr="00D770F2">
              <w:rPr>
                <w:sz w:val="20"/>
                <w:lang w:val="fr-CA"/>
              </w:rPr>
              <w:t xml:space="preserve">(Juges </w:t>
            </w:r>
            <w:proofErr w:type="spellStart"/>
            <w:r w:rsidRPr="00D770F2">
              <w:rPr>
                <w:sz w:val="20"/>
                <w:lang w:val="fr-CA"/>
              </w:rPr>
              <w:t>Steel</w:t>
            </w:r>
            <w:proofErr w:type="spellEnd"/>
            <w:r w:rsidRPr="00D770F2">
              <w:rPr>
                <w:sz w:val="20"/>
                <w:lang w:val="fr-CA"/>
              </w:rPr>
              <w:t xml:space="preserve">, Hamilton et </w:t>
            </w:r>
            <w:proofErr w:type="spellStart"/>
            <w:r w:rsidRPr="00D770F2">
              <w:rPr>
                <w:sz w:val="20"/>
                <w:lang w:val="fr-CA"/>
              </w:rPr>
              <w:t>Mainella</w:t>
            </w:r>
            <w:proofErr w:type="spellEnd"/>
            <w:r w:rsidRPr="00D770F2">
              <w:rPr>
                <w:sz w:val="20"/>
                <w:lang w:val="fr-CA"/>
              </w:rPr>
              <w:t>)</w:t>
            </w:r>
          </w:p>
          <w:p w:rsidR="00591A8C" w:rsidRPr="00D770F2" w:rsidRDefault="009479D6" w:rsidP="006F56EE">
            <w:pPr>
              <w:jc w:val="both"/>
              <w:rPr>
                <w:rStyle w:val="Hyperlink"/>
                <w:sz w:val="20"/>
                <w:lang w:val="fr-CA"/>
              </w:rPr>
            </w:pPr>
            <w:hyperlink r:id="rId43" w:history="1">
              <w:r w:rsidR="00591A8C" w:rsidRPr="00D770F2">
                <w:rPr>
                  <w:rStyle w:val="Hyperlink"/>
                  <w:sz w:val="20"/>
                  <w:lang w:val="fr-CA"/>
                </w:rPr>
                <w:t>2014 MBCA 26</w:t>
              </w:r>
            </w:hyperlink>
          </w:p>
          <w:p w:rsidR="00591A8C" w:rsidRPr="00D770F2" w:rsidRDefault="00591A8C" w:rsidP="006F56EE">
            <w:pPr>
              <w:jc w:val="both"/>
              <w:rPr>
                <w:sz w:val="20"/>
                <w:lang w:val="fr-CA"/>
              </w:rPr>
            </w:pPr>
          </w:p>
        </w:tc>
        <w:tc>
          <w:tcPr>
            <w:tcW w:w="270" w:type="pct"/>
          </w:tcPr>
          <w:p w:rsidR="00591A8C" w:rsidRPr="00D770F2" w:rsidRDefault="00591A8C" w:rsidP="006F56EE">
            <w:pPr>
              <w:jc w:val="both"/>
              <w:rPr>
                <w:sz w:val="20"/>
                <w:lang w:val="fr-CA"/>
              </w:rPr>
            </w:pPr>
          </w:p>
        </w:tc>
        <w:tc>
          <w:tcPr>
            <w:tcW w:w="2340" w:type="pct"/>
          </w:tcPr>
          <w:p w:rsidR="00591A8C" w:rsidRPr="00D770F2" w:rsidRDefault="00591A8C" w:rsidP="006F56EE">
            <w:pPr>
              <w:jc w:val="both"/>
              <w:rPr>
                <w:sz w:val="20"/>
                <w:lang w:val="fr-CA"/>
              </w:rPr>
            </w:pPr>
            <w:r w:rsidRPr="00D770F2">
              <w:rPr>
                <w:sz w:val="20"/>
                <w:lang w:val="fr-CA"/>
              </w:rPr>
              <w:t>Rejet de la motion pour permission de produire de nouveaux éléments de preuve; rejet de l’appel</w:t>
            </w:r>
          </w:p>
          <w:p w:rsidR="00591A8C" w:rsidRPr="00D770F2" w:rsidRDefault="00591A8C" w:rsidP="006F56EE">
            <w:pPr>
              <w:jc w:val="both"/>
              <w:rPr>
                <w:sz w:val="20"/>
                <w:lang w:val="fr-CA"/>
              </w:rPr>
            </w:pPr>
          </w:p>
        </w:tc>
      </w:tr>
      <w:tr w:rsidR="00591A8C" w:rsidRPr="0030635C" w:rsidTr="006F56EE">
        <w:tblPrEx>
          <w:tblCellMar>
            <w:bottom w:w="0" w:type="dxa"/>
          </w:tblCellMar>
        </w:tblPrEx>
        <w:tc>
          <w:tcPr>
            <w:tcW w:w="2390" w:type="pct"/>
            <w:gridSpan w:val="2"/>
          </w:tcPr>
          <w:p w:rsidR="00591A8C" w:rsidRPr="00D770F2" w:rsidRDefault="00591A8C" w:rsidP="006F56EE">
            <w:pPr>
              <w:jc w:val="both"/>
              <w:rPr>
                <w:sz w:val="20"/>
                <w:lang w:val="fr-CA"/>
              </w:rPr>
            </w:pPr>
            <w:r w:rsidRPr="00D770F2">
              <w:rPr>
                <w:sz w:val="20"/>
                <w:lang w:val="fr-CA"/>
              </w:rPr>
              <w:t>24 juillet 2014</w:t>
            </w:r>
          </w:p>
          <w:p w:rsidR="00591A8C" w:rsidRPr="00D770F2" w:rsidRDefault="00591A8C" w:rsidP="006F56EE">
            <w:pPr>
              <w:jc w:val="both"/>
              <w:rPr>
                <w:sz w:val="20"/>
                <w:lang w:val="fr-CA"/>
              </w:rPr>
            </w:pPr>
            <w:r w:rsidRPr="00D770F2">
              <w:rPr>
                <w:sz w:val="20"/>
                <w:lang w:val="fr-CA"/>
              </w:rPr>
              <w:t>Cour suprême du Canada</w:t>
            </w:r>
          </w:p>
        </w:tc>
        <w:tc>
          <w:tcPr>
            <w:tcW w:w="270" w:type="pct"/>
          </w:tcPr>
          <w:p w:rsidR="00591A8C" w:rsidRPr="00D770F2" w:rsidRDefault="00591A8C" w:rsidP="006F56EE">
            <w:pPr>
              <w:jc w:val="both"/>
              <w:rPr>
                <w:sz w:val="20"/>
                <w:lang w:val="fr-CA"/>
              </w:rPr>
            </w:pPr>
          </w:p>
        </w:tc>
        <w:tc>
          <w:tcPr>
            <w:tcW w:w="2340" w:type="pct"/>
          </w:tcPr>
          <w:p w:rsidR="00591A8C" w:rsidRPr="00D770F2" w:rsidRDefault="00591A8C" w:rsidP="006F56EE">
            <w:pPr>
              <w:jc w:val="both"/>
              <w:rPr>
                <w:sz w:val="20"/>
                <w:lang w:val="fr-CA"/>
              </w:rPr>
            </w:pPr>
            <w:r w:rsidRPr="00D770F2">
              <w:rPr>
                <w:sz w:val="20"/>
                <w:lang w:val="fr-CA"/>
              </w:rPr>
              <w:t>Rejet de la demande d’autorisation d’appel</w:t>
            </w:r>
          </w:p>
          <w:p w:rsidR="00591A8C" w:rsidRPr="00D770F2" w:rsidRDefault="00591A8C" w:rsidP="006F56EE">
            <w:pPr>
              <w:jc w:val="both"/>
              <w:rPr>
                <w:sz w:val="20"/>
                <w:lang w:val="fr-CA"/>
              </w:rPr>
            </w:pPr>
          </w:p>
          <w:p w:rsidR="00591A8C" w:rsidRPr="00D770F2" w:rsidRDefault="00591A8C" w:rsidP="006F56EE">
            <w:pPr>
              <w:jc w:val="both"/>
              <w:rPr>
                <w:sz w:val="20"/>
                <w:lang w:val="fr-CA"/>
              </w:rPr>
            </w:pPr>
          </w:p>
        </w:tc>
      </w:tr>
      <w:tr w:rsidR="00591A8C" w:rsidRPr="0030635C" w:rsidTr="006F56EE">
        <w:tblPrEx>
          <w:tblCellMar>
            <w:bottom w:w="0" w:type="dxa"/>
          </w:tblCellMar>
        </w:tblPrEx>
        <w:trPr>
          <w:cantSplit/>
        </w:trPr>
        <w:tc>
          <w:tcPr>
            <w:tcW w:w="2390" w:type="pct"/>
            <w:gridSpan w:val="2"/>
          </w:tcPr>
          <w:p w:rsidR="00591A8C" w:rsidRPr="00D770F2" w:rsidRDefault="00591A8C" w:rsidP="006F56EE">
            <w:pPr>
              <w:jc w:val="both"/>
              <w:rPr>
                <w:sz w:val="20"/>
                <w:lang w:val="fr-CA"/>
              </w:rPr>
            </w:pPr>
            <w:r w:rsidRPr="00D770F2">
              <w:rPr>
                <w:sz w:val="20"/>
                <w:lang w:val="fr-CA"/>
              </w:rPr>
              <w:t>27 octobre 2016</w:t>
            </w:r>
          </w:p>
          <w:p w:rsidR="00591A8C" w:rsidRPr="00D770F2" w:rsidRDefault="00591A8C" w:rsidP="006F56EE">
            <w:pPr>
              <w:jc w:val="both"/>
              <w:rPr>
                <w:sz w:val="20"/>
                <w:lang w:val="fr-CA"/>
              </w:rPr>
            </w:pPr>
            <w:r w:rsidRPr="00D770F2">
              <w:rPr>
                <w:sz w:val="20"/>
                <w:lang w:val="fr-CA"/>
              </w:rPr>
              <w:t>Cour du Banc de la Reine du Manitoba</w:t>
            </w:r>
          </w:p>
          <w:p w:rsidR="00591A8C" w:rsidRPr="00D770F2" w:rsidRDefault="00591A8C" w:rsidP="006F56EE">
            <w:pPr>
              <w:jc w:val="both"/>
              <w:rPr>
                <w:sz w:val="20"/>
                <w:lang w:val="fr-CA"/>
              </w:rPr>
            </w:pPr>
            <w:r w:rsidRPr="00D770F2">
              <w:rPr>
                <w:sz w:val="20"/>
                <w:lang w:val="fr-CA"/>
              </w:rPr>
              <w:t xml:space="preserve">(Juge </w:t>
            </w:r>
            <w:proofErr w:type="spellStart"/>
            <w:r w:rsidRPr="00D770F2">
              <w:rPr>
                <w:sz w:val="20"/>
                <w:lang w:val="fr-CA"/>
              </w:rPr>
              <w:t>Suche</w:t>
            </w:r>
            <w:proofErr w:type="spellEnd"/>
            <w:r w:rsidRPr="00D770F2">
              <w:rPr>
                <w:sz w:val="20"/>
                <w:lang w:val="fr-CA"/>
              </w:rPr>
              <w:t>)</w:t>
            </w:r>
          </w:p>
          <w:p w:rsidR="00591A8C" w:rsidRPr="00D770F2" w:rsidRDefault="00591A8C" w:rsidP="006F56EE">
            <w:pPr>
              <w:jc w:val="both"/>
              <w:rPr>
                <w:sz w:val="20"/>
                <w:lang w:val="fr-CA"/>
              </w:rPr>
            </w:pPr>
          </w:p>
        </w:tc>
        <w:tc>
          <w:tcPr>
            <w:tcW w:w="270" w:type="pct"/>
          </w:tcPr>
          <w:p w:rsidR="00591A8C" w:rsidRPr="00D770F2" w:rsidRDefault="00591A8C" w:rsidP="006F56EE">
            <w:pPr>
              <w:jc w:val="both"/>
              <w:rPr>
                <w:sz w:val="20"/>
                <w:lang w:val="fr-CA"/>
              </w:rPr>
            </w:pPr>
          </w:p>
        </w:tc>
        <w:tc>
          <w:tcPr>
            <w:tcW w:w="2340" w:type="pct"/>
          </w:tcPr>
          <w:p w:rsidR="00591A8C" w:rsidRPr="00D770F2" w:rsidRDefault="00591A8C" w:rsidP="006F56EE">
            <w:pPr>
              <w:jc w:val="both"/>
              <w:rPr>
                <w:sz w:val="20"/>
                <w:lang w:val="fr-CA"/>
              </w:rPr>
            </w:pPr>
            <w:r w:rsidRPr="00D770F2">
              <w:rPr>
                <w:sz w:val="20"/>
                <w:lang w:val="fr-CA"/>
              </w:rPr>
              <w:t>Décision quant aux dépens en faveur de l’intimée</w:t>
            </w:r>
          </w:p>
          <w:p w:rsidR="00591A8C" w:rsidRPr="00D770F2" w:rsidRDefault="00591A8C" w:rsidP="006F56EE">
            <w:pPr>
              <w:jc w:val="both"/>
              <w:rPr>
                <w:sz w:val="20"/>
                <w:lang w:val="fr-CA"/>
              </w:rPr>
            </w:pPr>
          </w:p>
        </w:tc>
      </w:tr>
      <w:tr w:rsidR="00591A8C" w:rsidRPr="0030635C" w:rsidTr="006F56EE">
        <w:tblPrEx>
          <w:tblCellMar>
            <w:bottom w:w="0" w:type="dxa"/>
          </w:tblCellMar>
        </w:tblPrEx>
        <w:tc>
          <w:tcPr>
            <w:tcW w:w="2390" w:type="pct"/>
            <w:gridSpan w:val="2"/>
          </w:tcPr>
          <w:p w:rsidR="00591A8C" w:rsidRPr="00D770F2" w:rsidRDefault="00591A8C" w:rsidP="006F56EE">
            <w:pPr>
              <w:jc w:val="both"/>
              <w:rPr>
                <w:sz w:val="20"/>
                <w:lang w:val="fr-CA"/>
              </w:rPr>
            </w:pPr>
            <w:r w:rsidRPr="00D770F2">
              <w:rPr>
                <w:sz w:val="20"/>
                <w:lang w:val="fr-CA"/>
              </w:rPr>
              <w:t>1</w:t>
            </w:r>
            <w:r w:rsidRPr="00D770F2">
              <w:rPr>
                <w:sz w:val="20"/>
                <w:vertAlign w:val="superscript"/>
                <w:lang w:val="fr-CA"/>
              </w:rPr>
              <w:t>er</w:t>
            </w:r>
            <w:r w:rsidRPr="00D770F2">
              <w:rPr>
                <w:sz w:val="20"/>
                <w:lang w:val="fr-CA"/>
              </w:rPr>
              <w:t> mars 2017</w:t>
            </w:r>
          </w:p>
          <w:p w:rsidR="00591A8C" w:rsidRPr="00D770F2" w:rsidRDefault="00591A8C" w:rsidP="006F56EE">
            <w:pPr>
              <w:jc w:val="both"/>
              <w:rPr>
                <w:sz w:val="20"/>
                <w:lang w:val="fr-CA"/>
              </w:rPr>
            </w:pPr>
            <w:r w:rsidRPr="00D770F2">
              <w:rPr>
                <w:sz w:val="20"/>
                <w:lang w:val="fr-CA"/>
              </w:rPr>
              <w:t>Cour du Banc de la Reine du Manitoba</w:t>
            </w:r>
          </w:p>
          <w:p w:rsidR="00591A8C" w:rsidRPr="00D770F2" w:rsidRDefault="00591A8C" w:rsidP="006F56EE">
            <w:pPr>
              <w:jc w:val="both"/>
              <w:rPr>
                <w:sz w:val="20"/>
                <w:lang w:val="fr-CA"/>
              </w:rPr>
            </w:pPr>
            <w:r w:rsidRPr="00D770F2">
              <w:rPr>
                <w:sz w:val="20"/>
                <w:lang w:val="fr-CA"/>
              </w:rPr>
              <w:t xml:space="preserve">(Juge </w:t>
            </w:r>
            <w:proofErr w:type="spellStart"/>
            <w:r w:rsidRPr="00D770F2">
              <w:rPr>
                <w:sz w:val="20"/>
                <w:lang w:val="fr-CA"/>
              </w:rPr>
              <w:t>Suche</w:t>
            </w:r>
            <w:proofErr w:type="spellEnd"/>
            <w:r w:rsidRPr="00D770F2">
              <w:rPr>
                <w:sz w:val="20"/>
                <w:lang w:val="fr-CA"/>
              </w:rPr>
              <w:t>)</w:t>
            </w:r>
          </w:p>
          <w:p w:rsidR="00591A8C" w:rsidRPr="00D770F2" w:rsidRDefault="00591A8C" w:rsidP="006F56EE">
            <w:pPr>
              <w:jc w:val="both"/>
              <w:rPr>
                <w:sz w:val="20"/>
                <w:lang w:val="fr-CA"/>
              </w:rPr>
            </w:pPr>
          </w:p>
        </w:tc>
        <w:tc>
          <w:tcPr>
            <w:tcW w:w="270" w:type="pct"/>
          </w:tcPr>
          <w:p w:rsidR="00591A8C" w:rsidRPr="00D770F2" w:rsidRDefault="00591A8C" w:rsidP="006F56EE">
            <w:pPr>
              <w:jc w:val="both"/>
              <w:rPr>
                <w:sz w:val="20"/>
                <w:lang w:val="fr-CA"/>
              </w:rPr>
            </w:pPr>
          </w:p>
        </w:tc>
        <w:tc>
          <w:tcPr>
            <w:tcW w:w="2340" w:type="pct"/>
          </w:tcPr>
          <w:p w:rsidR="00591A8C" w:rsidRPr="00D770F2" w:rsidRDefault="00591A8C" w:rsidP="006F56EE">
            <w:pPr>
              <w:jc w:val="both"/>
              <w:rPr>
                <w:sz w:val="20"/>
                <w:lang w:val="fr-CA"/>
              </w:rPr>
            </w:pPr>
            <w:r w:rsidRPr="00D770F2">
              <w:rPr>
                <w:sz w:val="20"/>
                <w:lang w:val="fr-CA"/>
              </w:rPr>
              <w:t xml:space="preserve">Rejet de la motion en autorisation d’appel du jugement relatif aux dépens </w:t>
            </w:r>
          </w:p>
        </w:tc>
      </w:tr>
      <w:tr w:rsidR="00591A8C" w:rsidRPr="0030635C" w:rsidTr="006F56EE">
        <w:tblPrEx>
          <w:tblCellMar>
            <w:bottom w:w="0" w:type="dxa"/>
          </w:tblCellMar>
        </w:tblPrEx>
        <w:tc>
          <w:tcPr>
            <w:tcW w:w="2390" w:type="pct"/>
            <w:gridSpan w:val="2"/>
          </w:tcPr>
          <w:p w:rsidR="00591A8C" w:rsidRPr="00D770F2" w:rsidRDefault="00591A8C" w:rsidP="006F56EE">
            <w:pPr>
              <w:jc w:val="both"/>
              <w:rPr>
                <w:sz w:val="20"/>
                <w:lang w:val="fr-CA"/>
              </w:rPr>
            </w:pPr>
            <w:r w:rsidRPr="00D770F2">
              <w:rPr>
                <w:sz w:val="20"/>
                <w:lang w:val="fr-CA"/>
              </w:rPr>
              <w:t>28 avril 2017</w:t>
            </w:r>
          </w:p>
          <w:p w:rsidR="00591A8C" w:rsidRPr="00D770F2" w:rsidRDefault="00591A8C" w:rsidP="006F56EE">
            <w:pPr>
              <w:jc w:val="both"/>
              <w:rPr>
                <w:sz w:val="20"/>
                <w:lang w:val="fr-CA"/>
              </w:rPr>
            </w:pPr>
            <w:r w:rsidRPr="00D770F2">
              <w:rPr>
                <w:sz w:val="20"/>
                <w:lang w:val="fr-CA"/>
              </w:rPr>
              <w:t>Cour suprême du Canada</w:t>
            </w:r>
          </w:p>
        </w:tc>
        <w:tc>
          <w:tcPr>
            <w:tcW w:w="270" w:type="pct"/>
          </w:tcPr>
          <w:p w:rsidR="00591A8C" w:rsidRPr="00D770F2" w:rsidRDefault="00591A8C" w:rsidP="006F56EE">
            <w:pPr>
              <w:jc w:val="both"/>
              <w:rPr>
                <w:sz w:val="20"/>
                <w:lang w:val="fr-CA"/>
              </w:rPr>
            </w:pPr>
          </w:p>
        </w:tc>
        <w:tc>
          <w:tcPr>
            <w:tcW w:w="2340" w:type="pct"/>
          </w:tcPr>
          <w:p w:rsidR="00591A8C" w:rsidRPr="00D770F2" w:rsidRDefault="00591A8C" w:rsidP="006F56EE">
            <w:pPr>
              <w:jc w:val="both"/>
              <w:rPr>
                <w:sz w:val="20"/>
                <w:lang w:val="fr-CA"/>
              </w:rPr>
            </w:pPr>
            <w:r w:rsidRPr="00D770F2">
              <w:rPr>
                <w:sz w:val="20"/>
                <w:lang w:val="fr-CA"/>
              </w:rPr>
              <w:t>Dépôt de la demande d’autorisation d’appel</w:t>
            </w:r>
          </w:p>
          <w:p w:rsidR="00591A8C" w:rsidRPr="00D770F2" w:rsidRDefault="00591A8C" w:rsidP="006F56EE">
            <w:pPr>
              <w:jc w:val="both"/>
              <w:rPr>
                <w:sz w:val="20"/>
                <w:lang w:val="fr-CA"/>
              </w:rPr>
            </w:pPr>
          </w:p>
          <w:p w:rsidR="00591A8C" w:rsidRPr="00D770F2" w:rsidRDefault="00591A8C" w:rsidP="006F56EE">
            <w:pPr>
              <w:jc w:val="both"/>
              <w:rPr>
                <w:sz w:val="20"/>
                <w:lang w:val="fr-CA"/>
              </w:rPr>
            </w:pPr>
          </w:p>
        </w:tc>
      </w:tr>
      <w:tr w:rsidR="00591A8C" w:rsidRPr="0030635C" w:rsidTr="006F56EE">
        <w:tblPrEx>
          <w:tblCellMar>
            <w:bottom w:w="0" w:type="dxa"/>
          </w:tblCellMar>
        </w:tblPrEx>
        <w:tc>
          <w:tcPr>
            <w:tcW w:w="2390" w:type="pct"/>
            <w:gridSpan w:val="2"/>
          </w:tcPr>
          <w:p w:rsidR="00591A8C" w:rsidRPr="00D770F2" w:rsidRDefault="00591A8C" w:rsidP="006F56EE">
            <w:pPr>
              <w:jc w:val="both"/>
              <w:rPr>
                <w:sz w:val="20"/>
                <w:lang w:val="fr-CA"/>
              </w:rPr>
            </w:pPr>
            <w:r w:rsidRPr="00D770F2">
              <w:rPr>
                <w:sz w:val="20"/>
                <w:lang w:val="fr-CA"/>
              </w:rPr>
              <w:t xml:space="preserve">4 octobre 2017 </w:t>
            </w:r>
          </w:p>
          <w:p w:rsidR="00591A8C" w:rsidRPr="00D770F2" w:rsidRDefault="00591A8C" w:rsidP="006F56EE">
            <w:pPr>
              <w:jc w:val="both"/>
              <w:rPr>
                <w:sz w:val="20"/>
                <w:lang w:val="fr-CA"/>
              </w:rPr>
            </w:pPr>
            <w:r w:rsidRPr="00D770F2">
              <w:rPr>
                <w:sz w:val="20"/>
                <w:lang w:val="fr-CA"/>
              </w:rPr>
              <w:t>Cour suprême du Canada</w:t>
            </w:r>
          </w:p>
        </w:tc>
        <w:tc>
          <w:tcPr>
            <w:tcW w:w="270" w:type="pct"/>
          </w:tcPr>
          <w:p w:rsidR="00591A8C" w:rsidRPr="00D770F2" w:rsidRDefault="00591A8C" w:rsidP="006F56EE">
            <w:pPr>
              <w:jc w:val="both"/>
              <w:rPr>
                <w:sz w:val="20"/>
                <w:lang w:val="fr-CA"/>
              </w:rPr>
            </w:pPr>
          </w:p>
        </w:tc>
        <w:tc>
          <w:tcPr>
            <w:tcW w:w="2340" w:type="pct"/>
          </w:tcPr>
          <w:p w:rsidR="00591A8C" w:rsidRPr="00D770F2" w:rsidRDefault="00591A8C" w:rsidP="006F56EE">
            <w:pPr>
              <w:jc w:val="both"/>
              <w:rPr>
                <w:sz w:val="20"/>
                <w:lang w:val="fr-CA"/>
              </w:rPr>
            </w:pPr>
            <w:r w:rsidRPr="00D770F2">
              <w:rPr>
                <w:sz w:val="20"/>
                <w:lang w:val="fr-CA"/>
              </w:rPr>
              <w:t xml:space="preserve">Dépôt de la requête en prorogation du délai de dépôt et de signification de la demande d’autorisation d’appel </w:t>
            </w:r>
          </w:p>
        </w:tc>
      </w:tr>
    </w:tbl>
    <w:p w:rsidR="00591A8C" w:rsidRPr="00D770F2" w:rsidRDefault="00591A8C" w:rsidP="006F56EE">
      <w:pPr>
        <w:jc w:val="both"/>
        <w:rPr>
          <w:sz w:val="20"/>
          <w:lang w:val="fr-CA"/>
        </w:rPr>
      </w:pPr>
    </w:p>
    <w:p w:rsidR="001E6FC9" w:rsidRPr="00D770F2" w:rsidRDefault="001E6FC9" w:rsidP="006F56EE">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591A8C" w:rsidRPr="00D770F2" w:rsidTr="006F56EE">
        <w:trPr>
          <w:gridAfter w:val="1"/>
          <w:wAfter w:w="48" w:type="pct"/>
        </w:trPr>
        <w:tc>
          <w:tcPr>
            <w:tcW w:w="538" w:type="pct"/>
          </w:tcPr>
          <w:p w:rsidR="00591A8C" w:rsidRPr="00D770F2" w:rsidRDefault="00591A8C" w:rsidP="006F56EE">
            <w:pPr>
              <w:jc w:val="both"/>
              <w:rPr>
                <w:sz w:val="20"/>
                <w:lang w:val="en-CA"/>
              </w:rPr>
            </w:pPr>
            <w:r w:rsidRPr="00D770F2">
              <w:rPr>
                <w:rStyle w:val="SCCFileNumberChar"/>
                <w:sz w:val="20"/>
                <w:szCs w:val="20"/>
              </w:rPr>
              <w:t>37834</w:t>
            </w:r>
          </w:p>
        </w:tc>
        <w:tc>
          <w:tcPr>
            <w:tcW w:w="4414" w:type="pct"/>
            <w:gridSpan w:val="3"/>
          </w:tcPr>
          <w:p w:rsidR="00591A8C" w:rsidRPr="00D770F2" w:rsidRDefault="00591A8C" w:rsidP="006F56EE">
            <w:pPr>
              <w:pStyle w:val="SCCLsocParty"/>
              <w:jc w:val="both"/>
              <w:rPr>
                <w:b/>
                <w:sz w:val="20"/>
                <w:szCs w:val="20"/>
                <w:lang w:val="en-CA"/>
              </w:rPr>
            </w:pPr>
            <w:r w:rsidRPr="00D770F2">
              <w:rPr>
                <w:b/>
                <w:sz w:val="20"/>
                <w:szCs w:val="20"/>
                <w:lang w:val="en-CA"/>
              </w:rPr>
              <w:t xml:space="preserve">Construction de Castel inc. v. Ellen Paré, in her capacity as justice under Part XV, Director of Criminal and Penal Prosecutions </w:t>
            </w:r>
          </w:p>
          <w:p w:rsidR="00591A8C" w:rsidRPr="00D770F2" w:rsidRDefault="00591A8C" w:rsidP="006F56EE">
            <w:pPr>
              <w:jc w:val="both"/>
              <w:rPr>
                <w:sz w:val="20"/>
                <w:lang w:val="en-CA"/>
              </w:rPr>
            </w:pPr>
            <w:r w:rsidRPr="00D770F2">
              <w:rPr>
                <w:sz w:val="20"/>
                <w:lang w:val="en-CA"/>
              </w:rPr>
              <w:t>(Que.) (Civil) (By Leave)</w:t>
            </w:r>
          </w:p>
        </w:tc>
      </w:tr>
      <w:tr w:rsidR="00591A8C" w:rsidRPr="00D770F2" w:rsidTr="006F56EE">
        <w:trPr>
          <w:gridAfter w:val="1"/>
          <w:wAfter w:w="48" w:type="pct"/>
        </w:trPr>
        <w:tc>
          <w:tcPr>
            <w:tcW w:w="4952" w:type="pct"/>
            <w:gridSpan w:val="4"/>
          </w:tcPr>
          <w:p w:rsidR="00591A8C" w:rsidRPr="00D770F2" w:rsidRDefault="00591A8C" w:rsidP="006F56EE">
            <w:pPr>
              <w:pStyle w:val="SCCBanSummary"/>
              <w:rPr>
                <w:sz w:val="20"/>
                <w:szCs w:val="20"/>
              </w:rPr>
            </w:pPr>
            <w:r w:rsidRPr="00D770F2">
              <w:rPr>
                <w:sz w:val="20"/>
                <w:szCs w:val="20"/>
              </w:rPr>
              <w:t>(Sealing Order)</w:t>
            </w:r>
          </w:p>
          <w:p w:rsidR="00591A8C" w:rsidRPr="00D770F2" w:rsidRDefault="00591A8C" w:rsidP="006F56EE">
            <w:pPr>
              <w:jc w:val="both"/>
              <w:rPr>
                <w:sz w:val="20"/>
                <w:lang w:val="en-CA"/>
              </w:rPr>
            </w:pPr>
          </w:p>
        </w:tc>
      </w:tr>
      <w:tr w:rsidR="00591A8C" w:rsidRPr="00D770F2" w:rsidTr="006F56EE">
        <w:trPr>
          <w:gridAfter w:val="1"/>
          <w:wAfter w:w="48" w:type="pct"/>
        </w:trPr>
        <w:tc>
          <w:tcPr>
            <w:tcW w:w="4952" w:type="pct"/>
            <w:gridSpan w:val="4"/>
          </w:tcPr>
          <w:p w:rsidR="00591A8C" w:rsidRPr="00D770F2" w:rsidRDefault="00591A8C" w:rsidP="006F56EE">
            <w:pPr>
              <w:jc w:val="both"/>
              <w:rPr>
                <w:sz w:val="20"/>
                <w:lang w:val="en-CA"/>
              </w:rPr>
            </w:pPr>
            <w:r w:rsidRPr="00D770F2">
              <w:rPr>
                <w:sz w:val="20"/>
                <w:lang w:val="en-CA"/>
              </w:rPr>
              <w:t xml:space="preserve">Prerogative writs – </w:t>
            </w:r>
            <w:r w:rsidRPr="00D770F2">
              <w:rPr>
                <w:i/>
                <w:sz w:val="20"/>
                <w:lang w:val="en-CA"/>
              </w:rPr>
              <w:t>Certiorari</w:t>
            </w:r>
            <w:r w:rsidRPr="00D770F2">
              <w:rPr>
                <w:sz w:val="20"/>
                <w:lang w:val="en-CA"/>
              </w:rPr>
              <w:t xml:space="preserve"> – Validity of search warrant – Seizure of private communications recorded on computer – Whether definition of “intercept” in s. 183 of Criminal Code applies only to prospective communications or also to private communications already stored on computer. </w:t>
            </w:r>
          </w:p>
          <w:p w:rsidR="007255CB" w:rsidRPr="00D770F2" w:rsidRDefault="007255CB" w:rsidP="006F56EE">
            <w:pPr>
              <w:jc w:val="both"/>
              <w:rPr>
                <w:sz w:val="20"/>
                <w:lang w:val="en-CA"/>
              </w:rPr>
            </w:pPr>
          </w:p>
        </w:tc>
      </w:tr>
      <w:tr w:rsidR="00591A8C" w:rsidRPr="00D770F2" w:rsidTr="006F56EE">
        <w:trPr>
          <w:gridAfter w:val="1"/>
          <w:wAfter w:w="48" w:type="pct"/>
        </w:trPr>
        <w:tc>
          <w:tcPr>
            <w:tcW w:w="4952" w:type="pct"/>
            <w:gridSpan w:val="4"/>
          </w:tcPr>
          <w:p w:rsidR="00591A8C" w:rsidRPr="00D770F2" w:rsidRDefault="00591A8C" w:rsidP="006F56EE">
            <w:pPr>
              <w:jc w:val="both"/>
              <w:rPr>
                <w:sz w:val="20"/>
                <w:lang w:val="en-CA"/>
              </w:rPr>
            </w:pPr>
            <w:r w:rsidRPr="00D770F2">
              <w:rPr>
                <w:sz w:val="20"/>
                <w:lang w:val="en-CA"/>
              </w:rPr>
              <w:t>In the context of a police investigation into the municipal government of St</w:t>
            </w:r>
            <w:r w:rsidRPr="00D770F2">
              <w:rPr>
                <w:sz w:val="20"/>
                <w:lang w:val="en-CA"/>
              </w:rPr>
              <w:noBreakHyphen/>
              <w:t>Constant, the respondent Judge Ellen Paré issued search warrants, one of which was for the head office of the applicant Construction de Castel inc., a construction company.</w:t>
            </w:r>
          </w:p>
          <w:p w:rsidR="00591A8C" w:rsidRPr="00D770F2" w:rsidRDefault="00591A8C" w:rsidP="006F56EE">
            <w:pPr>
              <w:jc w:val="both"/>
              <w:rPr>
                <w:sz w:val="20"/>
                <w:lang w:val="en-CA"/>
              </w:rPr>
            </w:pPr>
          </w:p>
          <w:p w:rsidR="00591A8C" w:rsidRPr="00D770F2" w:rsidRDefault="00591A8C" w:rsidP="006F56EE">
            <w:pPr>
              <w:jc w:val="both"/>
              <w:rPr>
                <w:sz w:val="20"/>
                <w:lang w:val="en-CA"/>
              </w:rPr>
            </w:pPr>
            <w:r w:rsidRPr="00D770F2">
              <w:rPr>
                <w:sz w:val="20"/>
                <w:lang w:val="en-CA"/>
              </w:rPr>
              <w:t xml:space="preserve">When the police executed the search warrant at Construction de Castel inc., they </w:t>
            </w:r>
            <w:r w:rsidRPr="00D770F2">
              <w:rPr>
                <w:sz w:val="20"/>
                <w:lang w:val="en"/>
              </w:rPr>
              <w:t>created a mirror image</w:t>
            </w:r>
            <w:r w:rsidRPr="00D770F2">
              <w:rPr>
                <w:sz w:val="20"/>
                <w:lang w:val="en-CA"/>
              </w:rPr>
              <w:t xml:space="preserve"> of all the computer data on the company’s computers. Construction de Castel inc. filed a motion for </w:t>
            </w:r>
            <w:r w:rsidRPr="00D770F2">
              <w:rPr>
                <w:i/>
                <w:iCs/>
                <w:sz w:val="20"/>
                <w:lang w:val="en-CA"/>
              </w:rPr>
              <w:t>certiorari</w:t>
            </w:r>
            <w:r w:rsidRPr="00D770F2">
              <w:rPr>
                <w:sz w:val="20"/>
                <w:lang w:val="en-CA"/>
              </w:rPr>
              <w:t xml:space="preserve"> to have the search warrant quashed. It argued that Judge Paré had exceeded her jurisdiction by authorizing the police to intercept private communications found on hard drives without complying with the requirements set out in the Criminal Code. </w:t>
            </w:r>
          </w:p>
          <w:p w:rsidR="00591A8C" w:rsidRPr="00D770F2" w:rsidRDefault="00591A8C" w:rsidP="006F56EE">
            <w:pPr>
              <w:jc w:val="both"/>
              <w:rPr>
                <w:sz w:val="20"/>
                <w:lang w:val="en-CA"/>
              </w:rPr>
            </w:pPr>
          </w:p>
        </w:tc>
      </w:tr>
      <w:tr w:rsidR="00591A8C" w:rsidRPr="00D770F2" w:rsidTr="006F56EE">
        <w:tblPrEx>
          <w:tblCellMar>
            <w:bottom w:w="0" w:type="dxa"/>
          </w:tblCellMar>
        </w:tblPrEx>
        <w:tc>
          <w:tcPr>
            <w:tcW w:w="2367" w:type="pct"/>
            <w:gridSpan w:val="2"/>
          </w:tcPr>
          <w:p w:rsidR="00591A8C" w:rsidRPr="00D770F2" w:rsidRDefault="00591A8C" w:rsidP="006F56EE">
            <w:pPr>
              <w:jc w:val="both"/>
              <w:rPr>
                <w:sz w:val="20"/>
                <w:lang w:val="en-CA"/>
              </w:rPr>
            </w:pPr>
            <w:r w:rsidRPr="00D770F2">
              <w:rPr>
                <w:sz w:val="20"/>
                <w:lang w:val="en-CA"/>
              </w:rPr>
              <w:t>January 29, 2015</w:t>
            </w:r>
          </w:p>
          <w:p w:rsidR="00591A8C" w:rsidRPr="00D770F2" w:rsidRDefault="00591A8C" w:rsidP="006F56EE">
            <w:pPr>
              <w:jc w:val="both"/>
              <w:rPr>
                <w:sz w:val="20"/>
                <w:lang w:val="en-CA"/>
              </w:rPr>
            </w:pPr>
            <w:r w:rsidRPr="00D770F2">
              <w:rPr>
                <w:sz w:val="20"/>
                <w:lang w:val="en-CA"/>
              </w:rPr>
              <w:t>Quebec Superior Court</w:t>
            </w:r>
          </w:p>
          <w:p w:rsidR="00591A8C" w:rsidRPr="00D770F2" w:rsidRDefault="00591A8C" w:rsidP="006F56EE">
            <w:pPr>
              <w:jc w:val="both"/>
              <w:rPr>
                <w:sz w:val="20"/>
                <w:lang w:val="en-CA"/>
              </w:rPr>
            </w:pPr>
            <w:r w:rsidRPr="00D770F2">
              <w:rPr>
                <w:sz w:val="20"/>
                <w:lang w:val="en-CA"/>
              </w:rPr>
              <w:t>(Blanchard J.)</w:t>
            </w:r>
          </w:p>
          <w:p w:rsidR="00591A8C" w:rsidRPr="00D770F2" w:rsidRDefault="009479D6" w:rsidP="006F56EE">
            <w:pPr>
              <w:jc w:val="both"/>
              <w:rPr>
                <w:sz w:val="20"/>
                <w:lang w:val="en-CA"/>
              </w:rPr>
            </w:pPr>
            <w:hyperlink r:id="rId44" w:history="1">
              <w:r w:rsidR="00591A8C" w:rsidRPr="00D770F2">
                <w:rPr>
                  <w:rStyle w:val="Hyperlink"/>
                  <w:sz w:val="20"/>
                  <w:lang w:val="en-CA"/>
                </w:rPr>
                <w:t>2015 QCCS 269</w:t>
              </w:r>
            </w:hyperlink>
          </w:p>
          <w:p w:rsidR="00591A8C" w:rsidRPr="00D770F2" w:rsidRDefault="00591A8C" w:rsidP="006F56EE">
            <w:pPr>
              <w:jc w:val="both"/>
              <w:rPr>
                <w:sz w:val="20"/>
                <w:lang w:val="en-CA"/>
              </w:rPr>
            </w:pPr>
          </w:p>
        </w:tc>
        <w:tc>
          <w:tcPr>
            <w:tcW w:w="267" w:type="pct"/>
          </w:tcPr>
          <w:p w:rsidR="00591A8C" w:rsidRPr="00D770F2" w:rsidRDefault="00591A8C" w:rsidP="006F56EE">
            <w:pPr>
              <w:jc w:val="both"/>
              <w:rPr>
                <w:sz w:val="20"/>
                <w:lang w:val="en-CA"/>
              </w:rPr>
            </w:pPr>
          </w:p>
        </w:tc>
        <w:tc>
          <w:tcPr>
            <w:tcW w:w="2366" w:type="pct"/>
            <w:gridSpan w:val="2"/>
          </w:tcPr>
          <w:p w:rsidR="00591A8C" w:rsidRPr="00D770F2" w:rsidRDefault="00591A8C" w:rsidP="006F56EE">
            <w:pPr>
              <w:jc w:val="both"/>
              <w:rPr>
                <w:sz w:val="20"/>
                <w:lang w:val="en-CA"/>
              </w:rPr>
            </w:pPr>
            <w:r w:rsidRPr="00D770F2">
              <w:rPr>
                <w:sz w:val="20"/>
                <w:lang w:val="en-CA"/>
              </w:rPr>
              <w:t xml:space="preserve">Motion for </w:t>
            </w:r>
            <w:r w:rsidRPr="00D770F2">
              <w:rPr>
                <w:i/>
                <w:sz w:val="20"/>
                <w:lang w:val="en-CA"/>
              </w:rPr>
              <w:t>certiorari</w:t>
            </w:r>
            <w:r w:rsidRPr="00D770F2">
              <w:rPr>
                <w:sz w:val="20"/>
                <w:lang w:val="en-CA"/>
              </w:rPr>
              <w:t xml:space="preserve"> dismissed; search warrant validated</w:t>
            </w:r>
          </w:p>
        </w:tc>
      </w:tr>
      <w:tr w:rsidR="00591A8C" w:rsidRPr="00D770F2" w:rsidTr="006F56EE">
        <w:tblPrEx>
          <w:tblCellMar>
            <w:bottom w:w="0" w:type="dxa"/>
          </w:tblCellMar>
        </w:tblPrEx>
        <w:tc>
          <w:tcPr>
            <w:tcW w:w="2367" w:type="pct"/>
            <w:gridSpan w:val="2"/>
          </w:tcPr>
          <w:p w:rsidR="00591A8C" w:rsidRPr="00D770F2" w:rsidRDefault="00591A8C" w:rsidP="006F56EE">
            <w:pPr>
              <w:jc w:val="both"/>
              <w:rPr>
                <w:sz w:val="20"/>
                <w:lang w:val="en-CA"/>
              </w:rPr>
            </w:pPr>
            <w:r w:rsidRPr="00D770F2">
              <w:rPr>
                <w:sz w:val="20"/>
                <w:lang w:val="en-CA"/>
              </w:rPr>
              <w:t>September 27, 2017</w:t>
            </w:r>
          </w:p>
          <w:p w:rsidR="00591A8C" w:rsidRPr="00D770F2" w:rsidRDefault="00591A8C" w:rsidP="006F56EE">
            <w:pPr>
              <w:jc w:val="both"/>
              <w:rPr>
                <w:sz w:val="20"/>
                <w:lang w:val="en-CA"/>
              </w:rPr>
            </w:pPr>
            <w:r w:rsidRPr="00D770F2">
              <w:rPr>
                <w:sz w:val="20"/>
                <w:lang w:val="en-CA"/>
              </w:rPr>
              <w:t>Quebec Court of Appeal (Montréal)</w:t>
            </w:r>
          </w:p>
          <w:p w:rsidR="00591A8C" w:rsidRPr="00D770F2" w:rsidRDefault="00591A8C" w:rsidP="006F56EE">
            <w:pPr>
              <w:jc w:val="both"/>
              <w:rPr>
                <w:sz w:val="20"/>
                <w:lang w:val="en-CA"/>
              </w:rPr>
            </w:pPr>
            <w:r w:rsidRPr="00D770F2">
              <w:rPr>
                <w:sz w:val="20"/>
                <w:lang w:val="en-CA"/>
              </w:rPr>
              <w:t>(Hilton, Kasirer and Gagnon JJ.A.)</w:t>
            </w:r>
          </w:p>
          <w:p w:rsidR="00591A8C" w:rsidRPr="00D770F2" w:rsidRDefault="009479D6" w:rsidP="006F56EE">
            <w:pPr>
              <w:jc w:val="both"/>
              <w:rPr>
                <w:sz w:val="20"/>
                <w:lang w:val="en-CA"/>
              </w:rPr>
            </w:pPr>
            <w:hyperlink r:id="rId45" w:history="1">
              <w:r w:rsidR="00591A8C" w:rsidRPr="00D770F2">
                <w:rPr>
                  <w:rStyle w:val="Hyperlink"/>
                  <w:sz w:val="20"/>
                  <w:lang w:val="en-CA"/>
                </w:rPr>
                <w:t>2017 QCCA 1482</w:t>
              </w:r>
            </w:hyperlink>
          </w:p>
          <w:p w:rsidR="00591A8C" w:rsidRPr="00D770F2" w:rsidRDefault="00591A8C" w:rsidP="006F56EE">
            <w:pPr>
              <w:jc w:val="both"/>
              <w:rPr>
                <w:sz w:val="20"/>
                <w:lang w:val="en-CA"/>
              </w:rPr>
            </w:pPr>
          </w:p>
        </w:tc>
        <w:tc>
          <w:tcPr>
            <w:tcW w:w="267" w:type="pct"/>
          </w:tcPr>
          <w:p w:rsidR="00591A8C" w:rsidRPr="00D770F2" w:rsidRDefault="00591A8C" w:rsidP="006F56EE">
            <w:pPr>
              <w:jc w:val="both"/>
              <w:rPr>
                <w:sz w:val="20"/>
                <w:lang w:val="en-CA"/>
              </w:rPr>
            </w:pPr>
          </w:p>
        </w:tc>
        <w:tc>
          <w:tcPr>
            <w:tcW w:w="2366" w:type="pct"/>
            <w:gridSpan w:val="2"/>
          </w:tcPr>
          <w:p w:rsidR="00591A8C" w:rsidRPr="00D770F2" w:rsidRDefault="00591A8C" w:rsidP="006F56EE">
            <w:pPr>
              <w:jc w:val="both"/>
              <w:rPr>
                <w:sz w:val="20"/>
                <w:lang w:val="en-CA"/>
              </w:rPr>
            </w:pPr>
            <w:r w:rsidRPr="00D770F2">
              <w:rPr>
                <w:sz w:val="20"/>
                <w:lang w:val="en-CA"/>
              </w:rPr>
              <w:t>Appeal dismissed</w:t>
            </w:r>
          </w:p>
          <w:p w:rsidR="00591A8C" w:rsidRPr="00D770F2" w:rsidRDefault="00591A8C" w:rsidP="006F56EE">
            <w:pPr>
              <w:jc w:val="both"/>
              <w:rPr>
                <w:sz w:val="20"/>
                <w:lang w:val="en-CA"/>
              </w:rPr>
            </w:pPr>
          </w:p>
        </w:tc>
      </w:tr>
      <w:tr w:rsidR="00591A8C" w:rsidRPr="00D770F2" w:rsidTr="006F56EE">
        <w:tblPrEx>
          <w:tblCellMar>
            <w:bottom w:w="0" w:type="dxa"/>
          </w:tblCellMar>
        </w:tblPrEx>
        <w:tc>
          <w:tcPr>
            <w:tcW w:w="2367" w:type="pct"/>
            <w:gridSpan w:val="2"/>
          </w:tcPr>
          <w:p w:rsidR="00591A8C" w:rsidRPr="00D770F2" w:rsidRDefault="00591A8C" w:rsidP="006F56EE">
            <w:pPr>
              <w:jc w:val="both"/>
              <w:rPr>
                <w:sz w:val="20"/>
                <w:lang w:val="en-CA"/>
              </w:rPr>
            </w:pPr>
            <w:r w:rsidRPr="00D770F2">
              <w:rPr>
                <w:sz w:val="20"/>
                <w:lang w:val="en-CA"/>
              </w:rPr>
              <w:t>November 1, 2017</w:t>
            </w:r>
          </w:p>
          <w:p w:rsidR="00591A8C" w:rsidRPr="00D770F2" w:rsidRDefault="00591A8C" w:rsidP="007255CB">
            <w:pPr>
              <w:jc w:val="both"/>
              <w:rPr>
                <w:sz w:val="20"/>
                <w:lang w:val="en-CA"/>
              </w:rPr>
            </w:pPr>
            <w:r w:rsidRPr="00D770F2">
              <w:rPr>
                <w:sz w:val="20"/>
                <w:lang w:val="en-CA"/>
              </w:rPr>
              <w:t>Supreme Court of Canada</w:t>
            </w:r>
          </w:p>
        </w:tc>
        <w:tc>
          <w:tcPr>
            <w:tcW w:w="267" w:type="pct"/>
          </w:tcPr>
          <w:p w:rsidR="00591A8C" w:rsidRPr="00D770F2" w:rsidRDefault="00591A8C" w:rsidP="006F56EE">
            <w:pPr>
              <w:jc w:val="both"/>
              <w:rPr>
                <w:sz w:val="20"/>
                <w:lang w:val="en-CA"/>
              </w:rPr>
            </w:pPr>
          </w:p>
        </w:tc>
        <w:tc>
          <w:tcPr>
            <w:tcW w:w="2366" w:type="pct"/>
            <w:gridSpan w:val="2"/>
          </w:tcPr>
          <w:p w:rsidR="00591A8C" w:rsidRPr="00D770F2" w:rsidRDefault="00591A8C" w:rsidP="006F56EE">
            <w:pPr>
              <w:jc w:val="both"/>
              <w:rPr>
                <w:sz w:val="20"/>
                <w:lang w:val="en-CA"/>
              </w:rPr>
            </w:pPr>
            <w:r w:rsidRPr="00D770F2">
              <w:rPr>
                <w:sz w:val="20"/>
                <w:lang w:val="en-CA"/>
              </w:rPr>
              <w:t>Application for leave to appeal filed</w:t>
            </w:r>
          </w:p>
        </w:tc>
      </w:tr>
    </w:tbl>
    <w:p w:rsidR="00591A8C" w:rsidRPr="00D770F2" w:rsidRDefault="00591A8C" w:rsidP="006F56EE">
      <w:pPr>
        <w:jc w:val="both"/>
        <w:rPr>
          <w:sz w:val="20"/>
          <w:lang w:val="en-CA"/>
        </w:rPr>
      </w:pPr>
    </w:p>
    <w:p w:rsidR="007255CB" w:rsidRPr="00D770F2" w:rsidRDefault="007255CB" w:rsidP="006F56EE">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591A8C" w:rsidRPr="00D770F2" w:rsidTr="006F56EE">
        <w:trPr>
          <w:gridAfter w:val="1"/>
          <w:wAfter w:w="48" w:type="pct"/>
        </w:trPr>
        <w:tc>
          <w:tcPr>
            <w:tcW w:w="538" w:type="pct"/>
          </w:tcPr>
          <w:p w:rsidR="00591A8C" w:rsidRPr="00D770F2" w:rsidRDefault="00591A8C" w:rsidP="006F56EE">
            <w:pPr>
              <w:jc w:val="both"/>
              <w:rPr>
                <w:sz w:val="20"/>
              </w:rPr>
            </w:pPr>
            <w:r w:rsidRPr="00D770F2">
              <w:rPr>
                <w:rStyle w:val="SCCFileNumberChar"/>
                <w:sz w:val="20"/>
                <w:szCs w:val="20"/>
              </w:rPr>
              <w:t>37834</w:t>
            </w:r>
          </w:p>
        </w:tc>
        <w:tc>
          <w:tcPr>
            <w:tcW w:w="4414" w:type="pct"/>
            <w:gridSpan w:val="3"/>
          </w:tcPr>
          <w:p w:rsidR="00591A8C" w:rsidRPr="00D770F2" w:rsidRDefault="00591A8C" w:rsidP="006F56EE">
            <w:pPr>
              <w:pStyle w:val="SCCLsocParty"/>
              <w:jc w:val="both"/>
              <w:rPr>
                <w:b/>
                <w:sz w:val="20"/>
                <w:szCs w:val="20"/>
              </w:rPr>
            </w:pPr>
            <w:r w:rsidRPr="00D770F2">
              <w:rPr>
                <w:b/>
                <w:sz w:val="20"/>
                <w:szCs w:val="20"/>
              </w:rPr>
              <w:t>Construction de Castel inc. c. Ellen Paré, ès qualités de juge de la partie XV, Directeur des poursuites criminelles et pénales</w:t>
            </w:r>
          </w:p>
          <w:p w:rsidR="00591A8C" w:rsidRPr="00D770F2" w:rsidRDefault="00591A8C" w:rsidP="006F56EE">
            <w:pPr>
              <w:jc w:val="both"/>
              <w:rPr>
                <w:sz w:val="20"/>
              </w:rPr>
            </w:pPr>
            <w:r w:rsidRPr="00D770F2">
              <w:rPr>
                <w:sz w:val="20"/>
              </w:rPr>
              <w:t>(Qc) (Civile) (Autorisation)</w:t>
            </w:r>
          </w:p>
        </w:tc>
      </w:tr>
      <w:tr w:rsidR="00591A8C" w:rsidRPr="0030635C" w:rsidTr="006F56EE">
        <w:trPr>
          <w:gridAfter w:val="1"/>
          <w:wAfter w:w="48" w:type="pct"/>
        </w:trPr>
        <w:tc>
          <w:tcPr>
            <w:tcW w:w="4952" w:type="pct"/>
            <w:gridSpan w:val="4"/>
          </w:tcPr>
          <w:p w:rsidR="00591A8C" w:rsidRPr="00D770F2" w:rsidRDefault="00591A8C" w:rsidP="006F56EE">
            <w:pPr>
              <w:pStyle w:val="SCCBanSummary"/>
              <w:rPr>
                <w:sz w:val="20"/>
                <w:szCs w:val="20"/>
                <w:lang w:val="fr-CA"/>
              </w:rPr>
            </w:pPr>
            <w:r w:rsidRPr="00D770F2">
              <w:rPr>
                <w:sz w:val="20"/>
                <w:szCs w:val="20"/>
                <w:lang w:val="fr-CA"/>
              </w:rPr>
              <w:t>(Ordonnance de mise sous scellés)</w:t>
            </w:r>
          </w:p>
          <w:p w:rsidR="00591A8C" w:rsidRPr="00D770F2" w:rsidRDefault="00591A8C" w:rsidP="006F56EE">
            <w:pPr>
              <w:jc w:val="both"/>
              <w:rPr>
                <w:sz w:val="20"/>
                <w:lang w:val="fr-CA"/>
              </w:rPr>
            </w:pPr>
          </w:p>
        </w:tc>
      </w:tr>
      <w:tr w:rsidR="00591A8C" w:rsidRPr="0030635C" w:rsidTr="006F56EE">
        <w:trPr>
          <w:gridAfter w:val="1"/>
          <w:wAfter w:w="48" w:type="pct"/>
        </w:trPr>
        <w:tc>
          <w:tcPr>
            <w:tcW w:w="4952" w:type="pct"/>
            <w:gridSpan w:val="4"/>
          </w:tcPr>
          <w:p w:rsidR="007255CB" w:rsidRPr="00D770F2" w:rsidRDefault="00591A8C" w:rsidP="006F56EE">
            <w:pPr>
              <w:jc w:val="both"/>
              <w:rPr>
                <w:sz w:val="20"/>
                <w:lang w:val="fr-CA"/>
              </w:rPr>
            </w:pPr>
            <w:r w:rsidRPr="00D770F2">
              <w:rPr>
                <w:sz w:val="20"/>
                <w:lang w:val="fr-CA"/>
              </w:rPr>
              <w:t xml:space="preserve">Brefs de prérogative – </w:t>
            </w:r>
            <w:r w:rsidRPr="00D770F2">
              <w:rPr>
                <w:i/>
                <w:sz w:val="20"/>
                <w:lang w:val="fr-CA"/>
              </w:rPr>
              <w:t>Certiorari</w:t>
            </w:r>
            <w:r w:rsidRPr="00D770F2">
              <w:rPr>
                <w:sz w:val="20"/>
                <w:lang w:val="fr-CA"/>
              </w:rPr>
              <w:t xml:space="preserve"> – Validité d’un mandat de perquisition – Saisie de communications privées enregistrées dans un ordinateur – La définition d’interception prévue à l’article 183 du Code criminel s’applique-t-elle uniquement aux communications prospectives ou également aux communications privées dé</w:t>
            </w:r>
            <w:r w:rsidR="007255CB" w:rsidRPr="00D770F2">
              <w:rPr>
                <w:sz w:val="20"/>
                <w:lang w:val="fr-CA"/>
              </w:rPr>
              <w:t>jà stockées dans un ordinateur?</w:t>
            </w:r>
          </w:p>
          <w:p w:rsidR="007255CB" w:rsidRPr="00D770F2" w:rsidRDefault="007255CB" w:rsidP="006F56EE">
            <w:pPr>
              <w:jc w:val="both"/>
              <w:rPr>
                <w:sz w:val="20"/>
                <w:lang w:val="fr-CA"/>
              </w:rPr>
            </w:pPr>
          </w:p>
        </w:tc>
      </w:tr>
      <w:tr w:rsidR="00591A8C" w:rsidRPr="0030635C" w:rsidTr="006F56EE">
        <w:trPr>
          <w:gridAfter w:val="1"/>
          <w:wAfter w:w="48" w:type="pct"/>
        </w:trPr>
        <w:tc>
          <w:tcPr>
            <w:tcW w:w="4952" w:type="pct"/>
            <w:gridSpan w:val="4"/>
          </w:tcPr>
          <w:p w:rsidR="00591A8C" w:rsidRPr="00D770F2" w:rsidRDefault="00591A8C" w:rsidP="006F56EE">
            <w:pPr>
              <w:jc w:val="both"/>
              <w:rPr>
                <w:sz w:val="20"/>
                <w:lang w:val="fr-FR"/>
              </w:rPr>
            </w:pPr>
            <w:r w:rsidRPr="00D770F2">
              <w:rPr>
                <w:sz w:val="20"/>
                <w:lang w:val="fr-FR"/>
              </w:rPr>
              <w:t>Dans le cadre d’une enquête policière sur l’administration municipale de St-Constant, l’intimée, la juge Ellen Paré, délivre des mandats de perquisition dont l’un cible le siège social de la demanderesse, la compagnie de construct</w:t>
            </w:r>
            <w:r w:rsidR="007255CB" w:rsidRPr="00D770F2">
              <w:rPr>
                <w:sz w:val="20"/>
                <w:lang w:val="fr-FR"/>
              </w:rPr>
              <w:t>ion Construction de Castel inc.</w:t>
            </w:r>
          </w:p>
          <w:p w:rsidR="00591A8C" w:rsidRPr="00D770F2" w:rsidRDefault="00591A8C" w:rsidP="006F56EE">
            <w:pPr>
              <w:jc w:val="both"/>
              <w:rPr>
                <w:sz w:val="20"/>
                <w:lang w:val="fr-FR"/>
              </w:rPr>
            </w:pPr>
          </w:p>
          <w:p w:rsidR="00591A8C" w:rsidRPr="00D770F2" w:rsidRDefault="00591A8C" w:rsidP="006F56EE">
            <w:pPr>
              <w:jc w:val="both"/>
              <w:rPr>
                <w:sz w:val="20"/>
                <w:lang w:val="fr-CA"/>
              </w:rPr>
            </w:pPr>
            <w:r w:rsidRPr="00D770F2">
              <w:rPr>
                <w:sz w:val="20"/>
                <w:lang w:val="fr-FR"/>
              </w:rPr>
              <w:t xml:space="preserve">Lors de l’exécution du mandat de perquisition chez Construction de Castel inc., les policiers effectuent une copie miroir de l’ensemble des données informatiques contenues dans les ordinateurs de l’entreprise. Construction de Castel inc. dépose une requête en </w:t>
            </w:r>
            <w:r w:rsidRPr="00D770F2">
              <w:rPr>
                <w:i/>
                <w:iCs/>
                <w:sz w:val="20"/>
                <w:lang w:val="fr-FR"/>
              </w:rPr>
              <w:t>certiorari</w:t>
            </w:r>
            <w:r w:rsidRPr="00D770F2">
              <w:rPr>
                <w:sz w:val="20"/>
                <w:lang w:val="fr-FR"/>
              </w:rPr>
              <w:t xml:space="preserve"> pour obtenir la cassation du mandat de perquisition. L’entreprise soulève que la juge Paré a excédé sa compétence en autorisant les policiers à intercepter des communications privées se trouvant sur les disques durs, et ce, sans suivre les exig</w:t>
            </w:r>
            <w:r w:rsidR="007255CB" w:rsidRPr="00D770F2">
              <w:rPr>
                <w:sz w:val="20"/>
                <w:lang w:val="fr-FR"/>
              </w:rPr>
              <w:t>ences prévues au Code criminel.</w:t>
            </w:r>
          </w:p>
          <w:p w:rsidR="00591A8C" w:rsidRPr="00D770F2" w:rsidRDefault="00591A8C" w:rsidP="006F56EE">
            <w:pPr>
              <w:jc w:val="both"/>
              <w:rPr>
                <w:sz w:val="20"/>
                <w:lang w:val="fr-CA"/>
              </w:rPr>
            </w:pPr>
          </w:p>
        </w:tc>
      </w:tr>
      <w:tr w:rsidR="00591A8C" w:rsidRPr="0030635C" w:rsidTr="006F56EE">
        <w:tblPrEx>
          <w:tblCellMar>
            <w:bottom w:w="0" w:type="dxa"/>
          </w:tblCellMar>
        </w:tblPrEx>
        <w:tc>
          <w:tcPr>
            <w:tcW w:w="2367" w:type="pct"/>
            <w:gridSpan w:val="2"/>
          </w:tcPr>
          <w:p w:rsidR="00591A8C" w:rsidRPr="00D770F2" w:rsidRDefault="00591A8C" w:rsidP="006F56EE">
            <w:pPr>
              <w:jc w:val="both"/>
              <w:rPr>
                <w:sz w:val="20"/>
                <w:lang w:val="fr-CA"/>
              </w:rPr>
            </w:pPr>
            <w:r w:rsidRPr="00D770F2">
              <w:rPr>
                <w:sz w:val="20"/>
                <w:lang w:val="fr-CA"/>
              </w:rPr>
              <w:t>Le 29 janvier 2015</w:t>
            </w:r>
          </w:p>
          <w:p w:rsidR="00591A8C" w:rsidRPr="00D770F2" w:rsidRDefault="00591A8C" w:rsidP="006F56EE">
            <w:pPr>
              <w:jc w:val="both"/>
              <w:rPr>
                <w:sz w:val="20"/>
                <w:lang w:val="fr-CA"/>
              </w:rPr>
            </w:pPr>
            <w:r w:rsidRPr="00D770F2">
              <w:rPr>
                <w:sz w:val="20"/>
                <w:lang w:val="fr-CA"/>
              </w:rPr>
              <w:t>Cour supérieure du Québec</w:t>
            </w:r>
          </w:p>
          <w:p w:rsidR="00591A8C" w:rsidRPr="00D770F2" w:rsidRDefault="00591A8C" w:rsidP="006F56EE">
            <w:pPr>
              <w:jc w:val="both"/>
              <w:rPr>
                <w:sz w:val="20"/>
              </w:rPr>
            </w:pPr>
            <w:r w:rsidRPr="00D770F2">
              <w:rPr>
                <w:sz w:val="20"/>
              </w:rPr>
              <w:t xml:space="preserve">(Le </w:t>
            </w:r>
            <w:proofErr w:type="spellStart"/>
            <w:r w:rsidRPr="00D770F2">
              <w:rPr>
                <w:sz w:val="20"/>
              </w:rPr>
              <w:t>juge</w:t>
            </w:r>
            <w:proofErr w:type="spellEnd"/>
            <w:r w:rsidRPr="00D770F2">
              <w:rPr>
                <w:sz w:val="20"/>
              </w:rPr>
              <w:t xml:space="preserve"> Blanchard)</w:t>
            </w:r>
          </w:p>
          <w:p w:rsidR="00591A8C" w:rsidRPr="00D770F2" w:rsidRDefault="009479D6" w:rsidP="006F56EE">
            <w:pPr>
              <w:jc w:val="both"/>
              <w:rPr>
                <w:sz w:val="20"/>
              </w:rPr>
            </w:pPr>
            <w:hyperlink r:id="rId46" w:history="1">
              <w:r w:rsidR="00591A8C" w:rsidRPr="00D770F2">
                <w:rPr>
                  <w:rStyle w:val="Hyperlink"/>
                  <w:sz w:val="20"/>
                </w:rPr>
                <w:t>2015 QCCS 269</w:t>
              </w:r>
            </w:hyperlink>
          </w:p>
          <w:p w:rsidR="00591A8C" w:rsidRPr="00D770F2" w:rsidRDefault="00591A8C" w:rsidP="006F56EE">
            <w:pPr>
              <w:jc w:val="both"/>
              <w:rPr>
                <w:sz w:val="20"/>
              </w:rPr>
            </w:pPr>
          </w:p>
        </w:tc>
        <w:tc>
          <w:tcPr>
            <w:tcW w:w="267" w:type="pct"/>
          </w:tcPr>
          <w:p w:rsidR="00591A8C" w:rsidRPr="00D770F2" w:rsidRDefault="00591A8C" w:rsidP="006F56EE">
            <w:pPr>
              <w:jc w:val="both"/>
              <w:rPr>
                <w:sz w:val="20"/>
              </w:rPr>
            </w:pPr>
          </w:p>
        </w:tc>
        <w:tc>
          <w:tcPr>
            <w:tcW w:w="2366" w:type="pct"/>
            <w:gridSpan w:val="2"/>
          </w:tcPr>
          <w:p w:rsidR="00591A8C" w:rsidRPr="00D770F2" w:rsidRDefault="00591A8C" w:rsidP="006F56EE">
            <w:pPr>
              <w:jc w:val="both"/>
              <w:rPr>
                <w:sz w:val="20"/>
                <w:lang w:val="fr-CA"/>
              </w:rPr>
            </w:pPr>
            <w:r w:rsidRPr="00D770F2">
              <w:rPr>
                <w:sz w:val="20"/>
                <w:lang w:val="fr-CA"/>
              </w:rPr>
              <w:t xml:space="preserve">Requête en </w:t>
            </w:r>
            <w:r w:rsidRPr="00D770F2">
              <w:rPr>
                <w:i/>
                <w:sz w:val="20"/>
                <w:lang w:val="fr-CA"/>
              </w:rPr>
              <w:t>certiorari</w:t>
            </w:r>
            <w:r w:rsidRPr="00D770F2">
              <w:rPr>
                <w:sz w:val="20"/>
                <w:lang w:val="fr-CA"/>
              </w:rPr>
              <w:t xml:space="preserve"> rejetée; mandat de perquisition validé</w:t>
            </w:r>
          </w:p>
        </w:tc>
      </w:tr>
      <w:tr w:rsidR="00591A8C" w:rsidRPr="00D770F2" w:rsidTr="006F56EE">
        <w:tblPrEx>
          <w:tblCellMar>
            <w:bottom w:w="0" w:type="dxa"/>
          </w:tblCellMar>
        </w:tblPrEx>
        <w:tc>
          <w:tcPr>
            <w:tcW w:w="2367" w:type="pct"/>
            <w:gridSpan w:val="2"/>
          </w:tcPr>
          <w:p w:rsidR="00591A8C" w:rsidRPr="00D770F2" w:rsidRDefault="00591A8C" w:rsidP="006F56EE">
            <w:pPr>
              <w:jc w:val="both"/>
              <w:rPr>
                <w:sz w:val="20"/>
                <w:lang w:val="fr-CA"/>
              </w:rPr>
            </w:pPr>
            <w:r w:rsidRPr="00D770F2">
              <w:rPr>
                <w:sz w:val="20"/>
                <w:lang w:val="fr-CA"/>
              </w:rPr>
              <w:t>Le 27 septembre 2017</w:t>
            </w:r>
          </w:p>
          <w:p w:rsidR="00591A8C" w:rsidRPr="00D770F2" w:rsidRDefault="00591A8C" w:rsidP="006F56EE">
            <w:pPr>
              <w:jc w:val="both"/>
              <w:rPr>
                <w:sz w:val="20"/>
                <w:lang w:val="fr-CA"/>
              </w:rPr>
            </w:pPr>
            <w:r w:rsidRPr="00D770F2">
              <w:rPr>
                <w:sz w:val="20"/>
                <w:lang w:val="fr-CA"/>
              </w:rPr>
              <w:t>Cour d’appel du Québec (Montréal)</w:t>
            </w:r>
          </w:p>
          <w:p w:rsidR="00591A8C" w:rsidRPr="00D770F2" w:rsidRDefault="00591A8C" w:rsidP="006F56EE">
            <w:pPr>
              <w:jc w:val="both"/>
              <w:rPr>
                <w:sz w:val="20"/>
                <w:lang w:val="fr-CA"/>
              </w:rPr>
            </w:pPr>
            <w:r w:rsidRPr="00D770F2">
              <w:rPr>
                <w:sz w:val="20"/>
                <w:lang w:val="fr-CA"/>
              </w:rPr>
              <w:t xml:space="preserve">(Les juges Hilton, </w:t>
            </w:r>
            <w:proofErr w:type="spellStart"/>
            <w:r w:rsidRPr="00D770F2">
              <w:rPr>
                <w:sz w:val="20"/>
                <w:lang w:val="fr-CA"/>
              </w:rPr>
              <w:t>Kasirer</w:t>
            </w:r>
            <w:proofErr w:type="spellEnd"/>
            <w:r w:rsidRPr="00D770F2">
              <w:rPr>
                <w:sz w:val="20"/>
                <w:lang w:val="fr-CA"/>
              </w:rPr>
              <w:t xml:space="preserve"> et Gagnon)</w:t>
            </w:r>
          </w:p>
          <w:p w:rsidR="00591A8C" w:rsidRPr="00D770F2" w:rsidRDefault="009479D6" w:rsidP="006F56EE">
            <w:pPr>
              <w:jc w:val="both"/>
              <w:rPr>
                <w:sz w:val="20"/>
              </w:rPr>
            </w:pPr>
            <w:hyperlink r:id="rId47" w:history="1">
              <w:r w:rsidR="00591A8C" w:rsidRPr="00D770F2">
                <w:rPr>
                  <w:rStyle w:val="Hyperlink"/>
                  <w:sz w:val="20"/>
                </w:rPr>
                <w:t>2017 QCCA 1482</w:t>
              </w:r>
            </w:hyperlink>
          </w:p>
          <w:p w:rsidR="00591A8C" w:rsidRPr="00D770F2" w:rsidRDefault="00591A8C" w:rsidP="006F56EE">
            <w:pPr>
              <w:jc w:val="both"/>
              <w:rPr>
                <w:sz w:val="20"/>
              </w:rPr>
            </w:pPr>
          </w:p>
        </w:tc>
        <w:tc>
          <w:tcPr>
            <w:tcW w:w="267" w:type="pct"/>
          </w:tcPr>
          <w:p w:rsidR="00591A8C" w:rsidRPr="00D770F2" w:rsidRDefault="00591A8C" w:rsidP="006F56EE">
            <w:pPr>
              <w:jc w:val="both"/>
              <w:rPr>
                <w:sz w:val="20"/>
              </w:rPr>
            </w:pPr>
          </w:p>
        </w:tc>
        <w:tc>
          <w:tcPr>
            <w:tcW w:w="2366" w:type="pct"/>
            <w:gridSpan w:val="2"/>
          </w:tcPr>
          <w:p w:rsidR="00591A8C" w:rsidRPr="00D770F2" w:rsidRDefault="00591A8C" w:rsidP="006F56EE">
            <w:pPr>
              <w:jc w:val="both"/>
              <w:rPr>
                <w:sz w:val="20"/>
              </w:rPr>
            </w:pPr>
            <w:r w:rsidRPr="00D770F2">
              <w:rPr>
                <w:sz w:val="20"/>
              </w:rPr>
              <w:t>Appel rejeté</w:t>
            </w:r>
          </w:p>
          <w:p w:rsidR="00591A8C" w:rsidRPr="00D770F2" w:rsidRDefault="00591A8C" w:rsidP="006F56EE">
            <w:pPr>
              <w:jc w:val="both"/>
              <w:rPr>
                <w:sz w:val="20"/>
              </w:rPr>
            </w:pPr>
          </w:p>
        </w:tc>
      </w:tr>
      <w:tr w:rsidR="00591A8C" w:rsidRPr="00D770F2" w:rsidTr="006F56EE">
        <w:tblPrEx>
          <w:tblCellMar>
            <w:bottom w:w="0" w:type="dxa"/>
          </w:tblCellMar>
        </w:tblPrEx>
        <w:tc>
          <w:tcPr>
            <w:tcW w:w="2367" w:type="pct"/>
            <w:gridSpan w:val="2"/>
          </w:tcPr>
          <w:p w:rsidR="00591A8C" w:rsidRPr="00D770F2" w:rsidRDefault="00591A8C" w:rsidP="006F56EE">
            <w:pPr>
              <w:jc w:val="both"/>
              <w:rPr>
                <w:sz w:val="20"/>
                <w:lang w:val="fr-CA"/>
              </w:rPr>
            </w:pPr>
            <w:r w:rsidRPr="00D770F2">
              <w:rPr>
                <w:sz w:val="20"/>
                <w:lang w:val="fr-CA"/>
              </w:rPr>
              <w:t>Le 1 novembre 2017</w:t>
            </w:r>
          </w:p>
          <w:p w:rsidR="00591A8C" w:rsidRPr="00D770F2" w:rsidRDefault="00591A8C" w:rsidP="007255CB">
            <w:pPr>
              <w:jc w:val="both"/>
              <w:rPr>
                <w:sz w:val="20"/>
                <w:lang w:val="fr-CA"/>
              </w:rPr>
            </w:pPr>
            <w:r w:rsidRPr="00D770F2">
              <w:rPr>
                <w:sz w:val="20"/>
                <w:lang w:val="fr-CA"/>
              </w:rPr>
              <w:t>Cour suprême du Canada</w:t>
            </w:r>
          </w:p>
        </w:tc>
        <w:tc>
          <w:tcPr>
            <w:tcW w:w="267" w:type="pct"/>
          </w:tcPr>
          <w:p w:rsidR="00591A8C" w:rsidRPr="00D770F2" w:rsidRDefault="00591A8C" w:rsidP="006F56EE">
            <w:pPr>
              <w:jc w:val="both"/>
              <w:rPr>
                <w:sz w:val="20"/>
                <w:lang w:val="fr-CA"/>
              </w:rPr>
            </w:pPr>
          </w:p>
        </w:tc>
        <w:tc>
          <w:tcPr>
            <w:tcW w:w="2366" w:type="pct"/>
            <w:gridSpan w:val="2"/>
          </w:tcPr>
          <w:p w:rsidR="00591A8C" w:rsidRPr="00D770F2" w:rsidRDefault="00591A8C" w:rsidP="006F56EE">
            <w:pPr>
              <w:jc w:val="both"/>
              <w:rPr>
                <w:sz w:val="20"/>
              </w:rPr>
            </w:pPr>
            <w:r w:rsidRPr="00D770F2">
              <w:rPr>
                <w:sz w:val="20"/>
              </w:rPr>
              <w:t>Demande d’autorisation d’appel déposée</w:t>
            </w:r>
          </w:p>
          <w:p w:rsidR="00591A8C" w:rsidRPr="00D770F2" w:rsidRDefault="00591A8C" w:rsidP="006F56EE">
            <w:pPr>
              <w:jc w:val="both"/>
              <w:rPr>
                <w:sz w:val="20"/>
              </w:rPr>
            </w:pPr>
          </w:p>
        </w:tc>
      </w:tr>
    </w:tbl>
    <w:p w:rsidR="00591A8C" w:rsidRPr="00D770F2" w:rsidRDefault="00591A8C" w:rsidP="006F56EE">
      <w:pPr>
        <w:jc w:val="both"/>
        <w:rPr>
          <w:sz w:val="20"/>
        </w:rPr>
      </w:pPr>
    </w:p>
    <w:p w:rsidR="001E6FC9" w:rsidRPr="00D770F2" w:rsidRDefault="001E6FC9" w:rsidP="006F56E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91A8C" w:rsidRPr="00D770F2" w:rsidTr="006F56EE">
        <w:tc>
          <w:tcPr>
            <w:tcW w:w="543" w:type="pct"/>
          </w:tcPr>
          <w:p w:rsidR="00591A8C" w:rsidRPr="00D770F2" w:rsidRDefault="00591A8C" w:rsidP="006F56EE">
            <w:pPr>
              <w:jc w:val="both"/>
              <w:rPr>
                <w:sz w:val="20"/>
                <w:lang w:val="en-CA"/>
              </w:rPr>
            </w:pPr>
            <w:r w:rsidRPr="00D770F2">
              <w:rPr>
                <w:rStyle w:val="SCCFileNumberChar"/>
                <w:sz w:val="20"/>
                <w:szCs w:val="20"/>
              </w:rPr>
              <w:t>37695</w:t>
            </w:r>
          </w:p>
        </w:tc>
        <w:tc>
          <w:tcPr>
            <w:tcW w:w="4457" w:type="pct"/>
            <w:gridSpan w:val="3"/>
          </w:tcPr>
          <w:p w:rsidR="00591A8C" w:rsidRPr="00D770F2" w:rsidRDefault="00591A8C" w:rsidP="006F56EE">
            <w:pPr>
              <w:pStyle w:val="SCCLsocParty"/>
              <w:jc w:val="both"/>
              <w:rPr>
                <w:b/>
                <w:sz w:val="20"/>
                <w:szCs w:val="20"/>
              </w:rPr>
            </w:pPr>
            <w:r w:rsidRPr="00D770F2">
              <w:rPr>
                <w:b/>
                <w:sz w:val="20"/>
                <w:szCs w:val="20"/>
              </w:rPr>
              <w:t>Daimler Trucks Canada Ltd. v. Camions Sterling de Lévis inc., Centre de l’auto de St-Nicolas inc. and Pierre Corriveau</w:t>
            </w:r>
          </w:p>
          <w:p w:rsidR="00591A8C" w:rsidRPr="00D770F2" w:rsidRDefault="00591A8C" w:rsidP="006F56EE">
            <w:pPr>
              <w:jc w:val="both"/>
              <w:rPr>
                <w:sz w:val="20"/>
                <w:lang w:val="en-CA"/>
              </w:rPr>
            </w:pPr>
            <w:r w:rsidRPr="00D770F2">
              <w:rPr>
                <w:sz w:val="20"/>
                <w:lang w:val="en-CA"/>
              </w:rPr>
              <w:t>(Que.) (Civil) (By Leave)</w:t>
            </w:r>
          </w:p>
        </w:tc>
      </w:tr>
      <w:tr w:rsidR="00591A8C" w:rsidRPr="00D770F2" w:rsidTr="006F56EE">
        <w:tc>
          <w:tcPr>
            <w:tcW w:w="5000" w:type="pct"/>
            <w:gridSpan w:val="4"/>
          </w:tcPr>
          <w:p w:rsidR="00591A8C" w:rsidRPr="00D770F2" w:rsidRDefault="00591A8C" w:rsidP="006F56EE">
            <w:pPr>
              <w:jc w:val="both"/>
              <w:rPr>
                <w:sz w:val="20"/>
                <w:lang w:val="en-CA"/>
              </w:rPr>
            </w:pPr>
            <w:r w:rsidRPr="00D770F2">
              <w:rPr>
                <w:sz w:val="20"/>
                <w:lang w:val="en-CA"/>
              </w:rPr>
              <w:t xml:space="preserve">Civil liability – Duty to inform ‒ Action brought by third parties for damages resulting from resiliation of dealership agreement – Whether Quebec Court of Appeal transformed duty to inform into duty to give advice – Whether Quebec Court of Appeal erred in law in refusing to apply clause allowing Daimler to obtain reimbursement of its extrajudicial fees – </w:t>
            </w:r>
            <w:r w:rsidRPr="00D770F2">
              <w:rPr>
                <w:i/>
                <w:sz w:val="20"/>
                <w:lang w:val="en-CA"/>
              </w:rPr>
              <w:t>Civil Code of Québec</w:t>
            </w:r>
            <w:r w:rsidRPr="00D770F2">
              <w:rPr>
                <w:sz w:val="20"/>
                <w:lang w:val="en-CA"/>
              </w:rPr>
              <w:t>, arts. 6 and 1457.</w:t>
            </w:r>
          </w:p>
        </w:tc>
      </w:tr>
      <w:tr w:rsidR="00591A8C" w:rsidRPr="00D770F2" w:rsidTr="006F56EE">
        <w:tc>
          <w:tcPr>
            <w:tcW w:w="5000" w:type="pct"/>
            <w:gridSpan w:val="4"/>
          </w:tcPr>
          <w:p w:rsidR="00591A8C" w:rsidRPr="00D770F2" w:rsidRDefault="00591A8C" w:rsidP="006F56EE">
            <w:pPr>
              <w:jc w:val="both"/>
              <w:rPr>
                <w:sz w:val="20"/>
                <w:lang w:val="en-CA"/>
              </w:rPr>
            </w:pPr>
          </w:p>
        </w:tc>
      </w:tr>
      <w:tr w:rsidR="00591A8C" w:rsidRPr="00D770F2" w:rsidTr="006F56EE">
        <w:tc>
          <w:tcPr>
            <w:tcW w:w="5000" w:type="pct"/>
            <w:gridSpan w:val="4"/>
          </w:tcPr>
          <w:p w:rsidR="00591A8C" w:rsidRPr="00D770F2" w:rsidRDefault="00591A8C" w:rsidP="006F56EE">
            <w:pPr>
              <w:jc w:val="both"/>
              <w:rPr>
                <w:sz w:val="20"/>
                <w:lang w:val="en-CA"/>
              </w:rPr>
            </w:pPr>
            <w:r w:rsidRPr="00D770F2">
              <w:rPr>
                <w:sz w:val="20"/>
                <w:lang w:val="en-CA"/>
              </w:rPr>
              <w:t>The respondent Camions Sterling de Lévis inc. is a company that operated a Sterling heavy</w:t>
            </w:r>
            <w:r w:rsidRPr="00D770F2">
              <w:rPr>
                <w:sz w:val="20"/>
                <w:lang w:val="en-CA"/>
              </w:rPr>
              <w:noBreakHyphen/>
              <w:t xml:space="preserve">duty truck dealership. </w:t>
            </w:r>
            <w:proofErr w:type="gramStart"/>
            <w:r w:rsidRPr="00D770F2">
              <w:rPr>
                <w:sz w:val="20"/>
                <w:lang w:val="en-CA"/>
              </w:rPr>
              <w:t xml:space="preserve">It is owned by the respondent Centre de </w:t>
            </w:r>
            <w:proofErr w:type="spellStart"/>
            <w:r w:rsidRPr="00D770F2">
              <w:rPr>
                <w:sz w:val="20"/>
                <w:lang w:val="en-CA"/>
              </w:rPr>
              <w:t>l’auto</w:t>
            </w:r>
            <w:proofErr w:type="spellEnd"/>
            <w:r w:rsidRPr="00D770F2">
              <w:rPr>
                <w:sz w:val="20"/>
                <w:lang w:val="en-CA"/>
              </w:rPr>
              <w:t xml:space="preserve"> St-Nicolas inc., which is itself under the control of the respondent Pierre Corriveau, the sole shareholder of Camions Sterling de Lévis inc. Mr. Corriveau is an experienced businessman who has been working in the heavy</w:t>
            </w:r>
            <w:r w:rsidRPr="00D770F2">
              <w:rPr>
                <w:sz w:val="20"/>
                <w:lang w:val="en-CA"/>
              </w:rPr>
              <w:noBreakHyphen/>
              <w:t>duty truck industry since 1972 and who has been in charge of the business of Camions Sterling de Lévis inc. since 1997 as either shareholder or director.</w:t>
            </w:r>
            <w:proofErr w:type="gramEnd"/>
            <w:r w:rsidRPr="00D770F2">
              <w:rPr>
                <w:sz w:val="20"/>
                <w:lang w:val="en-CA"/>
              </w:rPr>
              <w:t xml:space="preserve"> In 2008, the applicant Daimler Trucks Canada Ltd. informed its North American dealers that it would stop producing Sterling trucks but that some dealers would be given an opportunity to enter into new agreements solely for parts and service for Sterling trucks. In 2009, Camions Sterling de Lévis inc. accepted Daimler’s offer and signed a new agreement limiting its activities to maintenance and the supply of parts for Sterling trucks. In 2010, Mr. Corriveau, as the shareholder of Centre de </w:t>
            </w:r>
            <w:proofErr w:type="spellStart"/>
            <w:r w:rsidRPr="00D770F2">
              <w:rPr>
                <w:sz w:val="20"/>
                <w:lang w:val="en-CA"/>
              </w:rPr>
              <w:t>l’auto</w:t>
            </w:r>
            <w:proofErr w:type="spellEnd"/>
            <w:r w:rsidRPr="00D770F2">
              <w:rPr>
                <w:sz w:val="20"/>
                <w:lang w:val="en-CA"/>
              </w:rPr>
              <w:t xml:space="preserve"> St-Nicolas inc., signed a letter of intent to purchase the shares of Camions Sterling de Lévis inc. Further to a discussion between Mr. Corriveau and a Daimler representative, </w:t>
            </w:r>
            <w:proofErr w:type="gramStart"/>
            <w:r w:rsidRPr="00D770F2">
              <w:rPr>
                <w:sz w:val="20"/>
                <w:lang w:val="en-CA"/>
              </w:rPr>
              <w:t>the change in the share ownership of Camions Sterling de Lévis inc. was approved by Daimler</w:t>
            </w:r>
            <w:proofErr w:type="gramEnd"/>
            <w:r w:rsidRPr="00D770F2">
              <w:rPr>
                <w:sz w:val="20"/>
                <w:lang w:val="en-CA"/>
              </w:rPr>
              <w:t>, and the transaction took place on August 31, 2010. In December 2011, Daimler sent Camions Sterling de Lévis inc. a first notice of resiliation advising it that the agreement would terminate in April 2012. In March 2012, Daimler postponed the termination date for the agreement to July 1, 2012. In February 2013, the respondents brought legal proceedings against Daimler for damages resulting from the resiliati</w:t>
            </w:r>
            <w:r w:rsidR="007255CB" w:rsidRPr="00D770F2">
              <w:rPr>
                <w:sz w:val="20"/>
                <w:lang w:val="en-CA"/>
              </w:rPr>
              <w:t>on of the dealership agreement.</w:t>
            </w:r>
          </w:p>
          <w:p w:rsidR="00591A8C" w:rsidRPr="00D770F2" w:rsidRDefault="00591A8C" w:rsidP="006F56EE">
            <w:pPr>
              <w:jc w:val="both"/>
              <w:rPr>
                <w:sz w:val="20"/>
                <w:lang w:val="en-CA"/>
              </w:rPr>
            </w:pPr>
          </w:p>
        </w:tc>
      </w:tr>
      <w:tr w:rsidR="00591A8C" w:rsidRPr="00D770F2" w:rsidTr="006F56EE">
        <w:tc>
          <w:tcPr>
            <w:tcW w:w="2427" w:type="pct"/>
            <w:gridSpan w:val="2"/>
          </w:tcPr>
          <w:p w:rsidR="00591A8C" w:rsidRPr="00D770F2" w:rsidRDefault="00591A8C" w:rsidP="006F56EE">
            <w:pPr>
              <w:jc w:val="both"/>
              <w:rPr>
                <w:sz w:val="20"/>
                <w:lang w:val="en-CA"/>
              </w:rPr>
            </w:pPr>
            <w:r w:rsidRPr="00D770F2">
              <w:rPr>
                <w:sz w:val="20"/>
                <w:lang w:val="en-CA"/>
              </w:rPr>
              <w:t>October 21, 2015</w:t>
            </w:r>
          </w:p>
          <w:p w:rsidR="00591A8C" w:rsidRPr="00D770F2" w:rsidRDefault="00591A8C" w:rsidP="006F56EE">
            <w:pPr>
              <w:jc w:val="both"/>
              <w:rPr>
                <w:sz w:val="20"/>
                <w:lang w:val="en-CA"/>
              </w:rPr>
            </w:pPr>
            <w:r w:rsidRPr="00D770F2">
              <w:rPr>
                <w:sz w:val="20"/>
                <w:lang w:val="en-CA"/>
              </w:rPr>
              <w:t>Quebec Superior Court</w:t>
            </w:r>
          </w:p>
          <w:p w:rsidR="00591A8C" w:rsidRPr="00D770F2" w:rsidRDefault="00591A8C" w:rsidP="006F56EE">
            <w:pPr>
              <w:jc w:val="both"/>
              <w:rPr>
                <w:sz w:val="20"/>
                <w:lang w:val="en-CA"/>
              </w:rPr>
            </w:pPr>
            <w:r w:rsidRPr="00D770F2">
              <w:rPr>
                <w:sz w:val="20"/>
                <w:lang w:val="en-CA"/>
              </w:rPr>
              <w:t>(St-Pierre J.)</w:t>
            </w:r>
          </w:p>
          <w:p w:rsidR="00591A8C" w:rsidRPr="00D770F2" w:rsidRDefault="009479D6" w:rsidP="006F56EE">
            <w:pPr>
              <w:jc w:val="both"/>
              <w:rPr>
                <w:sz w:val="20"/>
                <w:lang w:val="en-CA"/>
              </w:rPr>
            </w:pPr>
            <w:hyperlink r:id="rId48" w:history="1">
              <w:r w:rsidR="00591A8C" w:rsidRPr="00D770F2">
                <w:rPr>
                  <w:rStyle w:val="Hyperlink"/>
                  <w:sz w:val="20"/>
                  <w:lang w:val="en-CA"/>
                </w:rPr>
                <w:t>2015 QCCS 4905</w:t>
              </w:r>
            </w:hyperlink>
          </w:p>
          <w:p w:rsidR="00591A8C" w:rsidRPr="00D770F2" w:rsidRDefault="00591A8C" w:rsidP="006F56EE">
            <w:pPr>
              <w:jc w:val="both"/>
              <w:rPr>
                <w:sz w:val="20"/>
                <w:lang w:val="en-CA"/>
              </w:rPr>
            </w:pPr>
          </w:p>
        </w:tc>
        <w:tc>
          <w:tcPr>
            <w:tcW w:w="243" w:type="pct"/>
          </w:tcPr>
          <w:p w:rsidR="00591A8C" w:rsidRPr="00D770F2" w:rsidRDefault="00591A8C" w:rsidP="006F56EE">
            <w:pPr>
              <w:jc w:val="both"/>
              <w:rPr>
                <w:sz w:val="20"/>
                <w:lang w:val="en-CA"/>
              </w:rPr>
            </w:pPr>
          </w:p>
        </w:tc>
        <w:tc>
          <w:tcPr>
            <w:tcW w:w="2330" w:type="pct"/>
          </w:tcPr>
          <w:p w:rsidR="00591A8C" w:rsidRPr="00D770F2" w:rsidRDefault="00591A8C" w:rsidP="006F56EE">
            <w:pPr>
              <w:jc w:val="both"/>
              <w:rPr>
                <w:sz w:val="20"/>
                <w:lang w:val="en-CA"/>
              </w:rPr>
            </w:pPr>
            <w:r w:rsidRPr="00D770F2">
              <w:rPr>
                <w:sz w:val="20"/>
                <w:lang w:val="en-CA"/>
              </w:rPr>
              <w:t xml:space="preserve">Motion by Centre de </w:t>
            </w:r>
            <w:proofErr w:type="spellStart"/>
            <w:r w:rsidRPr="00D770F2">
              <w:rPr>
                <w:sz w:val="20"/>
                <w:lang w:val="en-CA"/>
              </w:rPr>
              <w:t>l’auto</w:t>
            </w:r>
            <w:proofErr w:type="spellEnd"/>
            <w:r w:rsidRPr="00D770F2">
              <w:rPr>
                <w:sz w:val="20"/>
                <w:lang w:val="en-CA"/>
              </w:rPr>
              <w:t xml:space="preserve"> de St-Nicolas inc. and Pierre Corriveau to institute proceedings allowed; motion by Camion Sterling de Lévis inc. to institute proceedings dismissed; cross demand by Daimler Trucks Canada Ltd. dismissed </w:t>
            </w:r>
          </w:p>
          <w:p w:rsidR="00591A8C" w:rsidRPr="00D770F2" w:rsidRDefault="00591A8C" w:rsidP="006F56EE">
            <w:pPr>
              <w:jc w:val="both"/>
              <w:rPr>
                <w:sz w:val="20"/>
                <w:lang w:val="en-CA"/>
              </w:rPr>
            </w:pPr>
          </w:p>
        </w:tc>
      </w:tr>
      <w:tr w:rsidR="00591A8C" w:rsidRPr="00D770F2" w:rsidTr="006F56EE">
        <w:tc>
          <w:tcPr>
            <w:tcW w:w="2427" w:type="pct"/>
            <w:gridSpan w:val="2"/>
          </w:tcPr>
          <w:p w:rsidR="00591A8C" w:rsidRPr="00D770F2" w:rsidRDefault="00591A8C" w:rsidP="006F56EE">
            <w:pPr>
              <w:jc w:val="both"/>
              <w:rPr>
                <w:sz w:val="20"/>
                <w:lang w:val="en-CA"/>
              </w:rPr>
            </w:pPr>
            <w:r w:rsidRPr="00D770F2">
              <w:rPr>
                <w:sz w:val="20"/>
                <w:lang w:val="en-CA"/>
              </w:rPr>
              <w:t>May 15, 2017</w:t>
            </w:r>
          </w:p>
          <w:p w:rsidR="00591A8C" w:rsidRPr="00D770F2" w:rsidRDefault="00591A8C" w:rsidP="006F56EE">
            <w:pPr>
              <w:jc w:val="both"/>
              <w:rPr>
                <w:sz w:val="20"/>
                <w:lang w:val="en-CA"/>
              </w:rPr>
            </w:pPr>
            <w:r w:rsidRPr="00D770F2">
              <w:rPr>
                <w:sz w:val="20"/>
                <w:lang w:val="en-CA"/>
              </w:rPr>
              <w:t>Quebec Court of Appeal (Québec)</w:t>
            </w:r>
          </w:p>
          <w:p w:rsidR="00591A8C" w:rsidRPr="00D770F2" w:rsidRDefault="00591A8C" w:rsidP="006F56EE">
            <w:pPr>
              <w:jc w:val="both"/>
              <w:rPr>
                <w:sz w:val="20"/>
                <w:lang w:val="fr-CA"/>
              </w:rPr>
            </w:pPr>
            <w:r w:rsidRPr="00D770F2">
              <w:rPr>
                <w:sz w:val="20"/>
                <w:lang w:val="fr-CA"/>
              </w:rPr>
              <w:t>(Thibault, Dufresne and Lévesque JJ.A.)</w:t>
            </w:r>
          </w:p>
          <w:p w:rsidR="00591A8C" w:rsidRPr="00D770F2" w:rsidRDefault="009479D6" w:rsidP="006F56EE">
            <w:pPr>
              <w:jc w:val="both"/>
              <w:rPr>
                <w:sz w:val="20"/>
                <w:lang w:val="en-CA"/>
              </w:rPr>
            </w:pPr>
            <w:hyperlink r:id="rId49" w:history="1">
              <w:r w:rsidR="00591A8C" w:rsidRPr="00D770F2">
                <w:rPr>
                  <w:rStyle w:val="Hyperlink"/>
                  <w:sz w:val="20"/>
                  <w:lang w:val="en-CA"/>
                </w:rPr>
                <w:t>2017 QCCA 798</w:t>
              </w:r>
            </w:hyperlink>
          </w:p>
          <w:p w:rsidR="00591A8C" w:rsidRPr="00D770F2" w:rsidRDefault="00591A8C" w:rsidP="006F56EE">
            <w:pPr>
              <w:jc w:val="both"/>
              <w:rPr>
                <w:sz w:val="20"/>
                <w:lang w:val="en-CA"/>
              </w:rPr>
            </w:pPr>
          </w:p>
        </w:tc>
        <w:tc>
          <w:tcPr>
            <w:tcW w:w="243" w:type="pct"/>
          </w:tcPr>
          <w:p w:rsidR="00591A8C" w:rsidRPr="00D770F2" w:rsidRDefault="00591A8C" w:rsidP="006F56EE">
            <w:pPr>
              <w:jc w:val="both"/>
              <w:rPr>
                <w:sz w:val="20"/>
                <w:lang w:val="en-CA"/>
              </w:rPr>
            </w:pPr>
          </w:p>
        </w:tc>
        <w:tc>
          <w:tcPr>
            <w:tcW w:w="2330" w:type="pct"/>
          </w:tcPr>
          <w:p w:rsidR="00591A8C" w:rsidRPr="00D770F2" w:rsidRDefault="00591A8C" w:rsidP="006F56EE">
            <w:pPr>
              <w:jc w:val="both"/>
              <w:rPr>
                <w:sz w:val="20"/>
                <w:lang w:val="en-CA"/>
              </w:rPr>
            </w:pPr>
            <w:r w:rsidRPr="00D770F2">
              <w:rPr>
                <w:sz w:val="20"/>
                <w:lang w:val="en-CA"/>
              </w:rPr>
              <w:t>Appeal dismissed</w:t>
            </w:r>
          </w:p>
          <w:p w:rsidR="00591A8C" w:rsidRPr="00D770F2" w:rsidRDefault="00591A8C" w:rsidP="006F56EE">
            <w:pPr>
              <w:jc w:val="both"/>
              <w:rPr>
                <w:sz w:val="20"/>
                <w:lang w:val="en-CA"/>
              </w:rPr>
            </w:pPr>
          </w:p>
        </w:tc>
      </w:tr>
      <w:tr w:rsidR="00591A8C" w:rsidRPr="00D770F2" w:rsidTr="006F56EE">
        <w:tc>
          <w:tcPr>
            <w:tcW w:w="2427" w:type="pct"/>
            <w:gridSpan w:val="2"/>
          </w:tcPr>
          <w:p w:rsidR="00591A8C" w:rsidRPr="00D770F2" w:rsidRDefault="00591A8C" w:rsidP="006F56EE">
            <w:pPr>
              <w:jc w:val="both"/>
              <w:rPr>
                <w:sz w:val="20"/>
                <w:lang w:val="en-CA"/>
              </w:rPr>
            </w:pPr>
            <w:r w:rsidRPr="00D770F2">
              <w:rPr>
                <w:sz w:val="20"/>
                <w:lang w:val="en-CA"/>
              </w:rPr>
              <w:t>August 14, 2017</w:t>
            </w:r>
          </w:p>
          <w:p w:rsidR="00591A8C" w:rsidRPr="00D770F2" w:rsidRDefault="00591A8C" w:rsidP="006F56EE">
            <w:pPr>
              <w:jc w:val="both"/>
              <w:rPr>
                <w:sz w:val="20"/>
                <w:lang w:val="en-CA"/>
              </w:rPr>
            </w:pPr>
            <w:r w:rsidRPr="00D770F2">
              <w:rPr>
                <w:sz w:val="20"/>
                <w:lang w:val="en-CA"/>
              </w:rPr>
              <w:t>Supreme Court of Canada</w:t>
            </w:r>
          </w:p>
        </w:tc>
        <w:tc>
          <w:tcPr>
            <w:tcW w:w="243" w:type="pct"/>
          </w:tcPr>
          <w:p w:rsidR="00591A8C" w:rsidRPr="00D770F2" w:rsidRDefault="00591A8C" w:rsidP="006F56EE">
            <w:pPr>
              <w:jc w:val="both"/>
              <w:rPr>
                <w:sz w:val="20"/>
                <w:lang w:val="en-CA"/>
              </w:rPr>
            </w:pPr>
          </w:p>
        </w:tc>
        <w:tc>
          <w:tcPr>
            <w:tcW w:w="2330" w:type="pct"/>
          </w:tcPr>
          <w:p w:rsidR="00591A8C" w:rsidRPr="00D770F2" w:rsidRDefault="00591A8C" w:rsidP="006F56EE">
            <w:pPr>
              <w:jc w:val="both"/>
              <w:rPr>
                <w:sz w:val="20"/>
                <w:lang w:val="en-CA"/>
              </w:rPr>
            </w:pPr>
            <w:r w:rsidRPr="00D770F2">
              <w:rPr>
                <w:sz w:val="20"/>
                <w:lang w:val="en-CA"/>
              </w:rPr>
              <w:t>Application for leave to appeal filed</w:t>
            </w:r>
          </w:p>
        </w:tc>
      </w:tr>
    </w:tbl>
    <w:p w:rsidR="00591A8C" w:rsidRPr="00D770F2" w:rsidRDefault="00591A8C" w:rsidP="006F56EE">
      <w:pPr>
        <w:jc w:val="both"/>
        <w:rPr>
          <w:sz w:val="20"/>
          <w:lang w:val="en-CA"/>
        </w:rPr>
      </w:pPr>
    </w:p>
    <w:p w:rsidR="007255CB" w:rsidRPr="00D770F2" w:rsidRDefault="007255CB" w:rsidP="006F56E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91A8C" w:rsidRPr="00D770F2" w:rsidTr="006F56EE">
        <w:tc>
          <w:tcPr>
            <w:tcW w:w="543" w:type="pct"/>
          </w:tcPr>
          <w:p w:rsidR="00591A8C" w:rsidRPr="00D770F2" w:rsidRDefault="00591A8C" w:rsidP="006F56EE">
            <w:pPr>
              <w:jc w:val="both"/>
              <w:rPr>
                <w:sz w:val="20"/>
              </w:rPr>
            </w:pPr>
            <w:r w:rsidRPr="00D770F2">
              <w:rPr>
                <w:rStyle w:val="SCCFileNumberChar"/>
                <w:sz w:val="20"/>
                <w:szCs w:val="20"/>
              </w:rPr>
              <w:t>37695</w:t>
            </w:r>
          </w:p>
        </w:tc>
        <w:tc>
          <w:tcPr>
            <w:tcW w:w="4457" w:type="pct"/>
            <w:gridSpan w:val="3"/>
          </w:tcPr>
          <w:p w:rsidR="00591A8C" w:rsidRPr="00D770F2" w:rsidRDefault="00591A8C" w:rsidP="006F56EE">
            <w:pPr>
              <w:pStyle w:val="SCCLsocParty"/>
              <w:jc w:val="both"/>
              <w:rPr>
                <w:b/>
                <w:sz w:val="20"/>
                <w:szCs w:val="20"/>
              </w:rPr>
            </w:pPr>
            <w:r w:rsidRPr="00D770F2">
              <w:rPr>
                <w:b/>
                <w:sz w:val="20"/>
                <w:szCs w:val="20"/>
              </w:rPr>
              <w:t xml:space="preserve">Camions Daimler Canada </w:t>
            </w:r>
            <w:proofErr w:type="spellStart"/>
            <w:r w:rsidRPr="00D770F2">
              <w:rPr>
                <w:b/>
                <w:sz w:val="20"/>
                <w:szCs w:val="20"/>
              </w:rPr>
              <w:t>ltée</w:t>
            </w:r>
            <w:proofErr w:type="spellEnd"/>
            <w:r w:rsidRPr="00D770F2">
              <w:rPr>
                <w:b/>
                <w:sz w:val="20"/>
                <w:szCs w:val="20"/>
              </w:rPr>
              <w:t xml:space="preserve"> c. Camions Sterling de Lévis inc., Centre de l’auto de St-Nicolas inc. et Pierre Corriveau</w:t>
            </w:r>
          </w:p>
          <w:p w:rsidR="00591A8C" w:rsidRPr="00D770F2" w:rsidRDefault="00591A8C" w:rsidP="006F56EE">
            <w:pPr>
              <w:jc w:val="both"/>
              <w:rPr>
                <w:sz w:val="20"/>
              </w:rPr>
            </w:pPr>
            <w:r w:rsidRPr="00D770F2">
              <w:rPr>
                <w:sz w:val="20"/>
              </w:rPr>
              <w:t>(Qc) (Civile) (Autorisation)</w:t>
            </w:r>
          </w:p>
        </w:tc>
      </w:tr>
      <w:tr w:rsidR="00591A8C" w:rsidRPr="0030635C" w:rsidTr="006F56EE">
        <w:tc>
          <w:tcPr>
            <w:tcW w:w="5000" w:type="pct"/>
            <w:gridSpan w:val="4"/>
          </w:tcPr>
          <w:p w:rsidR="00591A8C" w:rsidRPr="00D770F2" w:rsidRDefault="00591A8C" w:rsidP="006F56EE">
            <w:pPr>
              <w:jc w:val="both"/>
              <w:rPr>
                <w:sz w:val="20"/>
                <w:lang w:val="fr-CA"/>
              </w:rPr>
            </w:pPr>
            <w:r w:rsidRPr="00D770F2">
              <w:rPr>
                <w:sz w:val="20"/>
                <w:lang w:val="fr-CA"/>
              </w:rPr>
              <w:t xml:space="preserve">Responsabilité civile – Obligation de renseignement ‒ Recours en dommages-intérêts résultant de la résiliation d’un contrat de concession entrepris par des tiers – La Cour d’appel du Québec a-t-elle transformé l’obligation d’information en une obligation de conseil? – La Cour d’appel du Québec a-t-elle erré en droit en refusant d’appliquer la clause permettant à Daimler d’obtenir le remboursement de ses honoraires extrajudiciaires? – </w:t>
            </w:r>
            <w:r w:rsidRPr="00D770F2">
              <w:rPr>
                <w:i/>
                <w:sz w:val="20"/>
                <w:lang w:val="fr-CA"/>
              </w:rPr>
              <w:t>Code civil du Québec</w:t>
            </w:r>
            <w:r w:rsidRPr="00D770F2">
              <w:rPr>
                <w:sz w:val="20"/>
                <w:lang w:val="fr-CA"/>
              </w:rPr>
              <w:t>, art. 6 et 1457.</w:t>
            </w:r>
          </w:p>
        </w:tc>
      </w:tr>
      <w:tr w:rsidR="00591A8C" w:rsidRPr="0030635C" w:rsidTr="006F56EE">
        <w:tc>
          <w:tcPr>
            <w:tcW w:w="5000" w:type="pct"/>
            <w:gridSpan w:val="4"/>
          </w:tcPr>
          <w:p w:rsidR="00591A8C" w:rsidRPr="00D770F2" w:rsidRDefault="00591A8C" w:rsidP="006F56EE">
            <w:pPr>
              <w:jc w:val="both"/>
              <w:rPr>
                <w:sz w:val="20"/>
                <w:lang w:val="fr-CA"/>
              </w:rPr>
            </w:pPr>
          </w:p>
        </w:tc>
      </w:tr>
      <w:tr w:rsidR="00591A8C" w:rsidRPr="0030635C" w:rsidTr="006F56EE">
        <w:tc>
          <w:tcPr>
            <w:tcW w:w="5000" w:type="pct"/>
            <w:gridSpan w:val="4"/>
          </w:tcPr>
          <w:p w:rsidR="00591A8C" w:rsidRPr="00D770F2" w:rsidRDefault="00591A8C" w:rsidP="006F56EE">
            <w:pPr>
              <w:jc w:val="both"/>
              <w:rPr>
                <w:sz w:val="20"/>
                <w:lang w:val="fr-CA"/>
              </w:rPr>
            </w:pPr>
            <w:r w:rsidRPr="00D770F2">
              <w:rPr>
                <w:sz w:val="20"/>
                <w:lang w:val="fr-CA"/>
              </w:rPr>
              <w:t>L’intimé, Camions Sterling de Lévis inc., est une entreprise exploitant une concession de camions lourds de marque Sterling détenue par l’intimé Centre de l’auto St-Nicolas inc. lui-même sous le contrôle de l’intimé Monsieur Pierre Corriveau également actionnaire unique de Camions Sterling de Lévis inc. M. Corriveau est un homme d’affaires aguerri qui œuvre dans le domaine du camion lourd depuis 1972 et qui se charge des affaires de Camions Sterling de Lévis inc. depuis 1997 soit à titre d’actionnaire soit à titre d’administrateur. En 2008, la demanderesse, Camions Daimler Canada Ltée, annonce à ses concessionnaires nord-américains qu’elle cessera la production des camions Sterling mais que certains concessionnaires se feront offrir l’opportunité de conclure de nouvelles ententes qui porteront uniquement sur le volet « pièces et services » pour les camions Sterling. En 2009, Camions Sterling de Lévis inc. accepte l’offre de Daimler et signe un nouveau contrat confinant ses activités à l’entretien et à la fourniture de pièces pour les camions Sterling. En 2010, M. Corriveau, à titre d’actionnaire de Centre de l’auto St-Nicolas inc. signe une lettre d’intention afin d’acheter les actions de Camions Sterling de Lévis inc. Comme suite à une discussion intervenue entre M. Corriveau et une représentante de Daimler, le changement dans l’actionnariat de Camions Sterling de Lévis inc., est approuvé par Daimler et la transaction intervient en 31 août 2010. En décembre 2011, Daimler transmet un premier avis de résiliation à Camions Sterling de Lévis inc. pour l’aviser que le contrat prendra fin en avril 2012. En mars 2012, Daimler reporte la date de terminaison du contrat au 1</w:t>
            </w:r>
            <w:r w:rsidRPr="00D770F2">
              <w:rPr>
                <w:sz w:val="20"/>
                <w:vertAlign w:val="superscript"/>
                <w:lang w:val="fr-CA"/>
              </w:rPr>
              <w:t>re</w:t>
            </w:r>
            <w:r w:rsidRPr="00D770F2">
              <w:rPr>
                <w:sz w:val="20"/>
                <w:lang w:val="fr-CA"/>
              </w:rPr>
              <w:t> juillet 2012. En février 2013, les intimés entreprennent un recours en justice contre Daimler pour dommages-intérêt résultant de la résili</w:t>
            </w:r>
            <w:r w:rsidR="007255CB" w:rsidRPr="00D770F2">
              <w:rPr>
                <w:sz w:val="20"/>
                <w:lang w:val="fr-CA"/>
              </w:rPr>
              <w:t>ation du contrat de concession.</w:t>
            </w:r>
          </w:p>
          <w:p w:rsidR="00591A8C" w:rsidRPr="00D770F2" w:rsidRDefault="00591A8C" w:rsidP="006F56EE">
            <w:pPr>
              <w:jc w:val="both"/>
              <w:rPr>
                <w:sz w:val="20"/>
                <w:lang w:val="fr-CA"/>
              </w:rPr>
            </w:pPr>
          </w:p>
        </w:tc>
      </w:tr>
      <w:tr w:rsidR="00591A8C" w:rsidRPr="0030635C" w:rsidTr="006F56EE">
        <w:tc>
          <w:tcPr>
            <w:tcW w:w="2427" w:type="pct"/>
            <w:gridSpan w:val="2"/>
          </w:tcPr>
          <w:p w:rsidR="00591A8C" w:rsidRPr="00D770F2" w:rsidRDefault="00591A8C" w:rsidP="006F56EE">
            <w:pPr>
              <w:jc w:val="both"/>
              <w:rPr>
                <w:sz w:val="20"/>
                <w:lang w:val="fr-CA"/>
              </w:rPr>
            </w:pPr>
            <w:r w:rsidRPr="00D770F2">
              <w:rPr>
                <w:sz w:val="20"/>
                <w:lang w:val="fr-CA"/>
              </w:rPr>
              <w:t>Le 21 octobre 2015</w:t>
            </w:r>
          </w:p>
          <w:p w:rsidR="00591A8C" w:rsidRPr="00D770F2" w:rsidRDefault="00591A8C" w:rsidP="006F56EE">
            <w:pPr>
              <w:jc w:val="both"/>
              <w:rPr>
                <w:sz w:val="20"/>
                <w:lang w:val="fr-CA"/>
              </w:rPr>
            </w:pPr>
            <w:r w:rsidRPr="00D770F2">
              <w:rPr>
                <w:sz w:val="20"/>
                <w:lang w:val="fr-CA"/>
              </w:rPr>
              <w:t>Cour supérieure du Québec</w:t>
            </w:r>
          </w:p>
          <w:p w:rsidR="00591A8C" w:rsidRPr="00D770F2" w:rsidRDefault="00591A8C" w:rsidP="006F56EE">
            <w:pPr>
              <w:jc w:val="both"/>
              <w:rPr>
                <w:sz w:val="20"/>
                <w:lang w:val="fr-CA"/>
              </w:rPr>
            </w:pPr>
            <w:r w:rsidRPr="00D770F2">
              <w:rPr>
                <w:sz w:val="20"/>
                <w:lang w:val="fr-CA"/>
              </w:rPr>
              <w:t>(Le juge St-Pierre)</w:t>
            </w:r>
          </w:p>
          <w:p w:rsidR="00591A8C" w:rsidRPr="00D770F2" w:rsidRDefault="009479D6" w:rsidP="006F56EE">
            <w:pPr>
              <w:jc w:val="both"/>
              <w:rPr>
                <w:sz w:val="20"/>
                <w:lang w:val="fr-CA"/>
              </w:rPr>
            </w:pPr>
            <w:hyperlink r:id="rId50" w:history="1">
              <w:r w:rsidR="00591A8C" w:rsidRPr="00D770F2">
                <w:rPr>
                  <w:rStyle w:val="Hyperlink"/>
                  <w:sz w:val="20"/>
                  <w:lang w:val="fr-CA"/>
                </w:rPr>
                <w:t>2015 QCCS 4905</w:t>
              </w:r>
            </w:hyperlink>
          </w:p>
          <w:p w:rsidR="00591A8C" w:rsidRPr="00D770F2" w:rsidRDefault="00591A8C" w:rsidP="006F56EE">
            <w:pPr>
              <w:jc w:val="both"/>
              <w:rPr>
                <w:sz w:val="20"/>
                <w:lang w:val="fr-CA"/>
              </w:rPr>
            </w:pPr>
          </w:p>
        </w:tc>
        <w:tc>
          <w:tcPr>
            <w:tcW w:w="243" w:type="pct"/>
          </w:tcPr>
          <w:p w:rsidR="00591A8C" w:rsidRPr="00D770F2" w:rsidRDefault="00591A8C" w:rsidP="006F56EE">
            <w:pPr>
              <w:jc w:val="both"/>
              <w:rPr>
                <w:sz w:val="20"/>
                <w:lang w:val="fr-CA"/>
              </w:rPr>
            </w:pPr>
          </w:p>
        </w:tc>
        <w:tc>
          <w:tcPr>
            <w:tcW w:w="2330" w:type="pct"/>
          </w:tcPr>
          <w:p w:rsidR="00591A8C" w:rsidRPr="00D770F2" w:rsidRDefault="00591A8C" w:rsidP="006F56EE">
            <w:pPr>
              <w:jc w:val="both"/>
              <w:rPr>
                <w:sz w:val="20"/>
                <w:lang w:val="fr-CA"/>
              </w:rPr>
            </w:pPr>
            <w:r w:rsidRPr="00D770F2">
              <w:rPr>
                <w:sz w:val="20"/>
                <w:lang w:val="fr-CA"/>
              </w:rPr>
              <w:t>Requête introductive d’instance de Centre de l’auto de St-Nicolas inc. et de M. Pierre Corriveau accueillie; requête introductive d’instance de Camion Sterling de Lévis inc. rejetée; demande reconventionnelle de Camions Daim</w:t>
            </w:r>
            <w:r w:rsidR="007255CB" w:rsidRPr="00D770F2">
              <w:rPr>
                <w:sz w:val="20"/>
                <w:lang w:val="fr-CA"/>
              </w:rPr>
              <w:t>ler Trucks Canada Ltée rejetée.</w:t>
            </w:r>
          </w:p>
          <w:p w:rsidR="00591A8C" w:rsidRPr="00D770F2" w:rsidRDefault="00591A8C" w:rsidP="006F56EE">
            <w:pPr>
              <w:jc w:val="both"/>
              <w:rPr>
                <w:sz w:val="20"/>
                <w:lang w:val="fr-CA"/>
              </w:rPr>
            </w:pPr>
          </w:p>
        </w:tc>
      </w:tr>
      <w:tr w:rsidR="00591A8C" w:rsidRPr="00D770F2" w:rsidTr="006F56EE">
        <w:tc>
          <w:tcPr>
            <w:tcW w:w="2427" w:type="pct"/>
            <w:gridSpan w:val="2"/>
          </w:tcPr>
          <w:p w:rsidR="00591A8C" w:rsidRPr="00D770F2" w:rsidRDefault="00591A8C" w:rsidP="006F56EE">
            <w:pPr>
              <w:jc w:val="both"/>
              <w:rPr>
                <w:sz w:val="20"/>
                <w:lang w:val="fr-CA"/>
              </w:rPr>
            </w:pPr>
            <w:r w:rsidRPr="00D770F2">
              <w:rPr>
                <w:sz w:val="20"/>
                <w:lang w:val="fr-CA"/>
              </w:rPr>
              <w:t>Le 15 mai 2017</w:t>
            </w:r>
          </w:p>
          <w:p w:rsidR="00591A8C" w:rsidRPr="00D770F2" w:rsidRDefault="00591A8C" w:rsidP="006F56EE">
            <w:pPr>
              <w:jc w:val="both"/>
              <w:rPr>
                <w:sz w:val="20"/>
                <w:lang w:val="fr-CA"/>
              </w:rPr>
            </w:pPr>
            <w:r w:rsidRPr="00D770F2">
              <w:rPr>
                <w:sz w:val="20"/>
                <w:lang w:val="fr-CA"/>
              </w:rPr>
              <w:t>Cour d’appel du Québec (Québec)</w:t>
            </w:r>
          </w:p>
          <w:p w:rsidR="00591A8C" w:rsidRPr="00D770F2" w:rsidRDefault="00591A8C" w:rsidP="006F56EE">
            <w:pPr>
              <w:jc w:val="both"/>
              <w:rPr>
                <w:sz w:val="20"/>
                <w:lang w:val="fr-CA"/>
              </w:rPr>
            </w:pPr>
            <w:r w:rsidRPr="00D770F2">
              <w:rPr>
                <w:sz w:val="20"/>
                <w:lang w:val="fr-CA"/>
              </w:rPr>
              <w:t>(Les juges Thibault, Dufresne et Lévesque)</w:t>
            </w:r>
          </w:p>
          <w:p w:rsidR="00591A8C" w:rsidRPr="00D770F2" w:rsidRDefault="009479D6" w:rsidP="006F56EE">
            <w:pPr>
              <w:jc w:val="both"/>
              <w:rPr>
                <w:sz w:val="20"/>
              </w:rPr>
            </w:pPr>
            <w:hyperlink r:id="rId51" w:history="1">
              <w:r w:rsidR="00591A8C" w:rsidRPr="00D770F2">
                <w:rPr>
                  <w:rStyle w:val="Hyperlink"/>
                  <w:sz w:val="20"/>
                </w:rPr>
                <w:t>2017 QCCA 798</w:t>
              </w:r>
            </w:hyperlink>
          </w:p>
          <w:p w:rsidR="00591A8C" w:rsidRPr="00D770F2" w:rsidRDefault="00591A8C" w:rsidP="006F56EE">
            <w:pPr>
              <w:jc w:val="both"/>
              <w:rPr>
                <w:sz w:val="20"/>
              </w:rPr>
            </w:pPr>
          </w:p>
        </w:tc>
        <w:tc>
          <w:tcPr>
            <w:tcW w:w="243" w:type="pct"/>
          </w:tcPr>
          <w:p w:rsidR="00591A8C" w:rsidRPr="00D770F2" w:rsidRDefault="00591A8C" w:rsidP="006F56EE">
            <w:pPr>
              <w:jc w:val="both"/>
              <w:rPr>
                <w:sz w:val="20"/>
              </w:rPr>
            </w:pPr>
          </w:p>
        </w:tc>
        <w:tc>
          <w:tcPr>
            <w:tcW w:w="2330" w:type="pct"/>
          </w:tcPr>
          <w:p w:rsidR="00591A8C" w:rsidRPr="00D770F2" w:rsidRDefault="00591A8C" w:rsidP="006F56EE">
            <w:pPr>
              <w:jc w:val="both"/>
              <w:rPr>
                <w:sz w:val="20"/>
              </w:rPr>
            </w:pPr>
            <w:r w:rsidRPr="00D770F2">
              <w:rPr>
                <w:sz w:val="20"/>
              </w:rPr>
              <w:t>Appel rejeté.</w:t>
            </w:r>
          </w:p>
          <w:p w:rsidR="00591A8C" w:rsidRPr="00D770F2" w:rsidRDefault="00591A8C" w:rsidP="006F56EE">
            <w:pPr>
              <w:jc w:val="both"/>
              <w:rPr>
                <w:sz w:val="20"/>
              </w:rPr>
            </w:pPr>
          </w:p>
        </w:tc>
      </w:tr>
      <w:tr w:rsidR="00591A8C" w:rsidRPr="00D770F2" w:rsidTr="006F56EE">
        <w:tc>
          <w:tcPr>
            <w:tcW w:w="2427" w:type="pct"/>
            <w:gridSpan w:val="2"/>
          </w:tcPr>
          <w:p w:rsidR="00591A8C" w:rsidRPr="00D770F2" w:rsidRDefault="00591A8C" w:rsidP="006F56EE">
            <w:pPr>
              <w:jc w:val="both"/>
              <w:rPr>
                <w:sz w:val="20"/>
                <w:lang w:val="fr-CA"/>
              </w:rPr>
            </w:pPr>
            <w:r w:rsidRPr="00D770F2">
              <w:rPr>
                <w:sz w:val="20"/>
                <w:lang w:val="fr-CA"/>
              </w:rPr>
              <w:t>Le 14 août 2017</w:t>
            </w:r>
          </w:p>
          <w:p w:rsidR="00591A8C" w:rsidRPr="00D770F2" w:rsidRDefault="00591A8C" w:rsidP="006F56EE">
            <w:pPr>
              <w:jc w:val="both"/>
              <w:rPr>
                <w:sz w:val="20"/>
                <w:lang w:val="fr-CA"/>
              </w:rPr>
            </w:pPr>
            <w:r w:rsidRPr="00D770F2">
              <w:rPr>
                <w:sz w:val="20"/>
                <w:lang w:val="fr-CA"/>
              </w:rPr>
              <w:t>Cour suprême du Canada</w:t>
            </w:r>
          </w:p>
        </w:tc>
        <w:tc>
          <w:tcPr>
            <w:tcW w:w="243" w:type="pct"/>
          </w:tcPr>
          <w:p w:rsidR="00591A8C" w:rsidRPr="00D770F2" w:rsidRDefault="00591A8C" w:rsidP="006F56EE">
            <w:pPr>
              <w:jc w:val="both"/>
              <w:rPr>
                <w:sz w:val="20"/>
                <w:lang w:val="fr-CA"/>
              </w:rPr>
            </w:pPr>
          </w:p>
        </w:tc>
        <w:tc>
          <w:tcPr>
            <w:tcW w:w="2330" w:type="pct"/>
          </w:tcPr>
          <w:p w:rsidR="00591A8C" w:rsidRPr="00D770F2" w:rsidRDefault="00591A8C" w:rsidP="006F56EE">
            <w:pPr>
              <w:jc w:val="both"/>
              <w:rPr>
                <w:sz w:val="20"/>
              </w:rPr>
            </w:pPr>
            <w:r w:rsidRPr="00D770F2">
              <w:rPr>
                <w:sz w:val="20"/>
              </w:rPr>
              <w:t>Demande d’autorisation d’appel déposée.</w:t>
            </w:r>
          </w:p>
        </w:tc>
      </w:tr>
    </w:tbl>
    <w:p w:rsidR="00591A8C" w:rsidRPr="00D770F2" w:rsidRDefault="00591A8C" w:rsidP="006F56EE">
      <w:pPr>
        <w:jc w:val="both"/>
        <w:rPr>
          <w:sz w:val="20"/>
        </w:rPr>
      </w:pPr>
    </w:p>
    <w:p w:rsidR="001E6FC9" w:rsidRPr="00D770F2" w:rsidRDefault="001E6FC9" w:rsidP="006F56E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91A8C" w:rsidRPr="00D770F2" w:rsidTr="006F56EE">
        <w:tc>
          <w:tcPr>
            <w:tcW w:w="543" w:type="pct"/>
          </w:tcPr>
          <w:p w:rsidR="00591A8C" w:rsidRPr="00D770F2" w:rsidRDefault="00591A8C" w:rsidP="006F56EE">
            <w:pPr>
              <w:jc w:val="both"/>
              <w:rPr>
                <w:sz w:val="20"/>
              </w:rPr>
            </w:pPr>
            <w:r w:rsidRPr="00D770F2">
              <w:rPr>
                <w:rStyle w:val="SCCFileNumberChar"/>
                <w:sz w:val="20"/>
                <w:szCs w:val="20"/>
              </w:rPr>
              <w:t>37792</w:t>
            </w:r>
          </w:p>
        </w:tc>
        <w:tc>
          <w:tcPr>
            <w:tcW w:w="4457" w:type="pct"/>
            <w:gridSpan w:val="3"/>
          </w:tcPr>
          <w:p w:rsidR="00591A8C" w:rsidRPr="00D770F2" w:rsidRDefault="00591A8C" w:rsidP="006F56EE">
            <w:pPr>
              <w:pStyle w:val="SCCLsocParty"/>
              <w:jc w:val="both"/>
              <w:rPr>
                <w:b/>
                <w:sz w:val="20"/>
                <w:szCs w:val="20"/>
                <w:lang w:val="en-US"/>
              </w:rPr>
            </w:pPr>
            <w:r w:rsidRPr="00D770F2">
              <w:rPr>
                <w:b/>
                <w:sz w:val="20"/>
                <w:szCs w:val="20"/>
                <w:lang w:val="en-US"/>
              </w:rPr>
              <w:t>Her Majesty the Queen v. M.H.</w:t>
            </w:r>
          </w:p>
          <w:p w:rsidR="00591A8C" w:rsidRPr="00D770F2" w:rsidRDefault="00591A8C" w:rsidP="006F56EE">
            <w:pPr>
              <w:jc w:val="both"/>
              <w:rPr>
                <w:sz w:val="20"/>
              </w:rPr>
            </w:pPr>
            <w:r w:rsidRPr="00D770F2">
              <w:rPr>
                <w:sz w:val="20"/>
              </w:rPr>
              <w:t>(B.C.) (Criminal) (By Leave)</w:t>
            </w:r>
          </w:p>
        </w:tc>
      </w:tr>
      <w:tr w:rsidR="00591A8C" w:rsidRPr="00D770F2" w:rsidTr="006F56EE">
        <w:tc>
          <w:tcPr>
            <w:tcW w:w="5000" w:type="pct"/>
            <w:gridSpan w:val="4"/>
          </w:tcPr>
          <w:p w:rsidR="00591A8C" w:rsidRPr="00D770F2" w:rsidRDefault="00591A8C" w:rsidP="006F56EE">
            <w:pPr>
              <w:pStyle w:val="SCCBanSummary"/>
              <w:rPr>
                <w:sz w:val="20"/>
                <w:szCs w:val="20"/>
              </w:rPr>
            </w:pPr>
            <w:r w:rsidRPr="00D770F2">
              <w:rPr>
                <w:sz w:val="20"/>
                <w:szCs w:val="20"/>
              </w:rPr>
              <w:t>(Publication ban in case) (Publication ban on party)</w:t>
            </w:r>
          </w:p>
          <w:p w:rsidR="00591A8C" w:rsidRPr="00D770F2" w:rsidRDefault="00591A8C" w:rsidP="006F56EE">
            <w:pPr>
              <w:jc w:val="both"/>
              <w:rPr>
                <w:sz w:val="20"/>
              </w:rPr>
            </w:pPr>
          </w:p>
        </w:tc>
      </w:tr>
      <w:tr w:rsidR="00591A8C" w:rsidRPr="00D770F2" w:rsidTr="006F56EE">
        <w:tc>
          <w:tcPr>
            <w:tcW w:w="5000" w:type="pct"/>
            <w:gridSpan w:val="4"/>
          </w:tcPr>
          <w:p w:rsidR="00591A8C" w:rsidRPr="00D770F2" w:rsidRDefault="00591A8C" w:rsidP="006F56EE">
            <w:pPr>
              <w:jc w:val="both"/>
              <w:rPr>
                <w:sz w:val="20"/>
              </w:rPr>
            </w:pPr>
            <w:r w:rsidRPr="00D770F2">
              <w:rPr>
                <w:sz w:val="20"/>
              </w:rPr>
              <w:t>Criminal law – Appeals – Powers of Court of Appeal – Whether respondent received a fair trial – Whether the ineffective assistance of counsel led to a miscarriage of justice – Is Crown counsel permitted to discuss the allegation of ineffectiveness with trial counsel, or only through a judicially sanctioned process – Should new counsel be entitled to argue that trial counsel was ineffective, when the trial judge has already considered the argument – If an accused individual did not understand a proposed plea resolution, should the Court of Appeal provide a remedy without any evidence that the case would ever actually get resolved – Is the Court of Appeal correct in concluding that cumulative poor performance by trial counsel can cause a miscarriage of justice, despite there being a lack of actual prejudice to the trial.</w:t>
            </w:r>
          </w:p>
          <w:p w:rsidR="00591A8C" w:rsidRPr="00D770F2" w:rsidRDefault="00591A8C" w:rsidP="006F56EE">
            <w:pPr>
              <w:jc w:val="both"/>
              <w:rPr>
                <w:sz w:val="20"/>
              </w:rPr>
            </w:pPr>
          </w:p>
        </w:tc>
      </w:tr>
      <w:tr w:rsidR="00591A8C" w:rsidRPr="00D770F2" w:rsidTr="006F56EE">
        <w:tc>
          <w:tcPr>
            <w:tcW w:w="5000" w:type="pct"/>
            <w:gridSpan w:val="4"/>
          </w:tcPr>
          <w:p w:rsidR="00591A8C" w:rsidRPr="00D770F2" w:rsidRDefault="00591A8C" w:rsidP="006F56EE">
            <w:pPr>
              <w:jc w:val="both"/>
              <w:rPr>
                <w:iCs/>
                <w:sz w:val="20"/>
                <w:lang w:val="en"/>
              </w:rPr>
            </w:pPr>
            <w:r w:rsidRPr="00D770F2">
              <w:rPr>
                <w:sz w:val="20"/>
                <w:lang w:val="en"/>
              </w:rPr>
              <w:t xml:space="preserve">M.H. was convicted of one count of sexual assault and two counts of assault. After his conviction, M.H. brought an application to reopen the trial based on the failure of his counsel to cross-examine the complainant on text messages sent to him by the complainant. The application was dismissed. </w:t>
            </w:r>
            <w:r w:rsidRPr="00D770F2">
              <w:rPr>
                <w:iCs/>
                <w:sz w:val="20"/>
                <w:lang w:val="en"/>
              </w:rPr>
              <w:t>The Court of Appeal granted the application to adduce fresh evidence and allowed the appeal. The conviction was set aside and a new trial was ordered.</w:t>
            </w:r>
          </w:p>
          <w:p w:rsidR="00591A8C" w:rsidRPr="00D770F2" w:rsidRDefault="00591A8C" w:rsidP="006F56EE">
            <w:pPr>
              <w:jc w:val="both"/>
              <w:rPr>
                <w:iCs/>
                <w:sz w:val="20"/>
                <w:lang w:val="en"/>
              </w:rPr>
            </w:pPr>
          </w:p>
        </w:tc>
      </w:tr>
      <w:tr w:rsidR="00591A8C" w:rsidRPr="00D770F2" w:rsidTr="006F56EE">
        <w:tc>
          <w:tcPr>
            <w:tcW w:w="2427" w:type="pct"/>
            <w:gridSpan w:val="2"/>
          </w:tcPr>
          <w:p w:rsidR="00591A8C" w:rsidRPr="00D770F2" w:rsidRDefault="00591A8C" w:rsidP="006F56EE">
            <w:pPr>
              <w:jc w:val="both"/>
              <w:rPr>
                <w:sz w:val="20"/>
              </w:rPr>
            </w:pPr>
            <w:r w:rsidRPr="00D770F2">
              <w:rPr>
                <w:sz w:val="20"/>
              </w:rPr>
              <w:t>May 25, 2015</w:t>
            </w:r>
          </w:p>
          <w:p w:rsidR="00591A8C" w:rsidRPr="00D770F2" w:rsidRDefault="00591A8C" w:rsidP="006F56EE">
            <w:pPr>
              <w:jc w:val="both"/>
              <w:rPr>
                <w:sz w:val="20"/>
              </w:rPr>
            </w:pPr>
            <w:r w:rsidRPr="00D770F2">
              <w:rPr>
                <w:sz w:val="20"/>
              </w:rPr>
              <w:t>Supreme Court of British Columbia</w:t>
            </w:r>
          </w:p>
          <w:p w:rsidR="00591A8C" w:rsidRPr="00D770F2" w:rsidRDefault="00591A8C" w:rsidP="006F56EE">
            <w:pPr>
              <w:jc w:val="both"/>
              <w:rPr>
                <w:sz w:val="20"/>
              </w:rPr>
            </w:pPr>
            <w:r w:rsidRPr="00D770F2">
              <w:rPr>
                <w:sz w:val="20"/>
              </w:rPr>
              <w:t>(Dickson J.)</w:t>
            </w:r>
          </w:p>
          <w:p w:rsidR="00591A8C" w:rsidRPr="00D770F2" w:rsidRDefault="00591A8C" w:rsidP="006F56EE">
            <w:pPr>
              <w:jc w:val="both"/>
              <w:rPr>
                <w:sz w:val="20"/>
              </w:rPr>
            </w:pPr>
            <w:r w:rsidRPr="00D770F2">
              <w:rPr>
                <w:sz w:val="20"/>
              </w:rPr>
              <w:t>2015 BCSC 984</w:t>
            </w:r>
          </w:p>
          <w:p w:rsidR="00591A8C" w:rsidRPr="00D770F2" w:rsidRDefault="009479D6" w:rsidP="006F56EE">
            <w:pPr>
              <w:jc w:val="both"/>
              <w:rPr>
                <w:sz w:val="20"/>
              </w:rPr>
            </w:pPr>
            <w:hyperlink r:id="rId52" w:history="1">
              <w:r w:rsidR="00591A8C" w:rsidRPr="00D770F2">
                <w:rPr>
                  <w:rStyle w:val="Hyperlink"/>
                  <w:rFonts w:eastAsiaTheme="majorEastAsia"/>
                  <w:sz w:val="20"/>
                </w:rPr>
                <w:t>http://canlii.ca/t/gjgdw</w:t>
              </w:r>
            </w:hyperlink>
          </w:p>
          <w:p w:rsidR="00591A8C" w:rsidRPr="00D770F2" w:rsidRDefault="00591A8C" w:rsidP="006F56EE">
            <w:pPr>
              <w:jc w:val="both"/>
              <w:rPr>
                <w:sz w:val="20"/>
              </w:rPr>
            </w:pPr>
          </w:p>
        </w:tc>
        <w:tc>
          <w:tcPr>
            <w:tcW w:w="243" w:type="pct"/>
          </w:tcPr>
          <w:p w:rsidR="00591A8C" w:rsidRPr="00D770F2" w:rsidRDefault="00591A8C" w:rsidP="006F56EE">
            <w:pPr>
              <w:jc w:val="both"/>
              <w:rPr>
                <w:sz w:val="20"/>
              </w:rPr>
            </w:pPr>
          </w:p>
        </w:tc>
        <w:tc>
          <w:tcPr>
            <w:tcW w:w="2330" w:type="pct"/>
          </w:tcPr>
          <w:p w:rsidR="00591A8C" w:rsidRPr="00D770F2" w:rsidRDefault="00591A8C" w:rsidP="006F56EE">
            <w:pPr>
              <w:jc w:val="both"/>
              <w:rPr>
                <w:sz w:val="20"/>
              </w:rPr>
            </w:pPr>
            <w:r w:rsidRPr="00D770F2">
              <w:rPr>
                <w:sz w:val="20"/>
              </w:rPr>
              <w:t xml:space="preserve">Conviction: </w:t>
            </w:r>
            <w:r w:rsidRPr="00D770F2">
              <w:rPr>
                <w:sz w:val="20"/>
                <w:lang w:val="en"/>
              </w:rPr>
              <w:t>one count of sexual assault and two counts of assault</w:t>
            </w:r>
          </w:p>
          <w:p w:rsidR="00591A8C" w:rsidRPr="00D770F2" w:rsidRDefault="00591A8C" w:rsidP="006F56EE">
            <w:pPr>
              <w:jc w:val="both"/>
              <w:rPr>
                <w:sz w:val="20"/>
              </w:rPr>
            </w:pPr>
          </w:p>
        </w:tc>
      </w:tr>
      <w:tr w:rsidR="00591A8C" w:rsidRPr="00D770F2" w:rsidTr="006F56EE">
        <w:tc>
          <w:tcPr>
            <w:tcW w:w="2427" w:type="pct"/>
            <w:gridSpan w:val="2"/>
          </w:tcPr>
          <w:p w:rsidR="00591A8C" w:rsidRPr="00D770F2" w:rsidRDefault="00591A8C" w:rsidP="006F56EE">
            <w:pPr>
              <w:jc w:val="both"/>
              <w:rPr>
                <w:sz w:val="20"/>
              </w:rPr>
            </w:pPr>
            <w:r w:rsidRPr="00D770F2">
              <w:rPr>
                <w:sz w:val="20"/>
              </w:rPr>
              <w:t>February 22, 2016</w:t>
            </w:r>
          </w:p>
          <w:p w:rsidR="00591A8C" w:rsidRPr="00D770F2" w:rsidRDefault="00591A8C" w:rsidP="006F56EE">
            <w:pPr>
              <w:jc w:val="both"/>
              <w:rPr>
                <w:sz w:val="20"/>
              </w:rPr>
            </w:pPr>
            <w:r w:rsidRPr="00D770F2">
              <w:rPr>
                <w:sz w:val="20"/>
              </w:rPr>
              <w:t>Supreme Court of British Columbia</w:t>
            </w:r>
          </w:p>
          <w:p w:rsidR="00591A8C" w:rsidRPr="00D770F2" w:rsidRDefault="00591A8C" w:rsidP="006F56EE">
            <w:pPr>
              <w:jc w:val="both"/>
              <w:rPr>
                <w:sz w:val="20"/>
              </w:rPr>
            </w:pPr>
            <w:r w:rsidRPr="00D770F2">
              <w:rPr>
                <w:sz w:val="20"/>
              </w:rPr>
              <w:t>(Dickson J.)</w:t>
            </w:r>
          </w:p>
          <w:p w:rsidR="00591A8C" w:rsidRPr="00D770F2" w:rsidRDefault="00591A8C" w:rsidP="006F56EE">
            <w:pPr>
              <w:jc w:val="both"/>
              <w:rPr>
                <w:sz w:val="20"/>
              </w:rPr>
            </w:pPr>
            <w:r w:rsidRPr="00D770F2">
              <w:rPr>
                <w:sz w:val="20"/>
              </w:rPr>
              <w:t>2016 BCSC 289</w:t>
            </w:r>
          </w:p>
          <w:p w:rsidR="00591A8C" w:rsidRPr="00D770F2" w:rsidRDefault="009479D6" w:rsidP="006F56EE">
            <w:pPr>
              <w:jc w:val="both"/>
              <w:rPr>
                <w:sz w:val="20"/>
              </w:rPr>
            </w:pPr>
            <w:hyperlink r:id="rId53" w:history="1">
              <w:r w:rsidR="00591A8C" w:rsidRPr="00D770F2">
                <w:rPr>
                  <w:rStyle w:val="Hyperlink"/>
                  <w:rFonts w:eastAsiaTheme="majorEastAsia"/>
                  <w:sz w:val="20"/>
                </w:rPr>
                <w:t>http://canlii.ca/t/gnf3j</w:t>
              </w:r>
            </w:hyperlink>
          </w:p>
          <w:p w:rsidR="00591A8C" w:rsidRPr="00D770F2" w:rsidRDefault="00591A8C" w:rsidP="006F56EE">
            <w:pPr>
              <w:jc w:val="both"/>
              <w:rPr>
                <w:sz w:val="20"/>
              </w:rPr>
            </w:pPr>
          </w:p>
        </w:tc>
        <w:tc>
          <w:tcPr>
            <w:tcW w:w="243" w:type="pct"/>
          </w:tcPr>
          <w:p w:rsidR="00591A8C" w:rsidRPr="00D770F2" w:rsidRDefault="00591A8C" w:rsidP="006F56EE">
            <w:pPr>
              <w:jc w:val="both"/>
              <w:rPr>
                <w:sz w:val="20"/>
              </w:rPr>
            </w:pPr>
          </w:p>
        </w:tc>
        <w:tc>
          <w:tcPr>
            <w:tcW w:w="2330" w:type="pct"/>
          </w:tcPr>
          <w:p w:rsidR="00591A8C" w:rsidRPr="00D770F2" w:rsidRDefault="00591A8C" w:rsidP="006F56EE">
            <w:pPr>
              <w:jc w:val="both"/>
              <w:rPr>
                <w:sz w:val="20"/>
              </w:rPr>
            </w:pPr>
            <w:r w:rsidRPr="00D770F2">
              <w:rPr>
                <w:sz w:val="20"/>
              </w:rPr>
              <w:t>Application to reopen the trial dismissed</w:t>
            </w:r>
          </w:p>
          <w:p w:rsidR="00591A8C" w:rsidRPr="00D770F2" w:rsidRDefault="00591A8C" w:rsidP="006F56EE">
            <w:pPr>
              <w:jc w:val="both"/>
              <w:rPr>
                <w:sz w:val="20"/>
              </w:rPr>
            </w:pPr>
          </w:p>
        </w:tc>
      </w:tr>
      <w:tr w:rsidR="00591A8C" w:rsidRPr="00D770F2" w:rsidTr="006F56EE">
        <w:tc>
          <w:tcPr>
            <w:tcW w:w="2427" w:type="pct"/>
            <w:gridSpan w:val="2"/>
          </w:tcPr>
          <w:p w:rsidR="00591A8C" w:rsidRPr="00D770F2" w:rsidRDefault="00591A8C" w:rsidP="006F56EE">
            <w:pPr>
              <w:jc w:val="both"/>
              <w:rPr>
                <w:sz w:val="20"/>
              </w:rPr>
            </w:pPr>
            <w:r w:rsidRPr="00D770F2">
              <w:rPr>
                <w:sz w:val="20"/>
              </w:rPr>
              <w:t>August 2, 2017</w:t>
            </w:r>
          </w:p>
          <w:p w:rsidR="00591A8C" w:rsidRPr="00D770F2" w:rsidRDefault="00591A8C" w:rsidP="006F56EE">
            <w:pPr>
              <w:jc w:val="both"/>
              <w:rPr>
                <w:sz w:val="20"/>
              </w:rPr>
            </w:pPr>
            <w:r w:rsidRPr="00D770F2">
              <w:rPr>
                <w:sz w:val="20"/>
              </w:rPr>
              <w:t xml:space="preserve">Court of Appeal for British Columbia </w:t>
            </w:r>
          </w:p>
          <w:p w:rsidR="00591A8C" w:rsidRPr="00D770F2" w:rsidRDefault="00591A8C" w:rsidP="006F56EE">
            <w:pPr>
              <w:jc w:val="both"/>
              <w:rPr>
                <w:sz w:val="20"/>
                <w:lang w:val="fr-CA"/>
              </w:rPr>
            </w:pPr>
            <w:r w:rsidRPr="00D770F2">
              <w:rPr>
                <w:sz w:val="20"/>
                <w:lang w:val="fr-CA"/>
              </w:rPr>
              <w:t>(Vancouver)</w:t>
            </w:r>
          </w:p>
          <w:p w:rsidR="00591A8C" w:rsidRPr="00D770F2" w:rsidRDefault="00591A8C" w:rsidP="006F56EE">
            <w:pPr>
              <w:jc w:val="both"/>
              <w:rPr>
                <w:sz w:val="20"/>
                <w:lang w:val="fr-CA"/>
              </w:rPr>
            </w:pPr>
            <w:r w:rsidRPr="00D770F2">
              <w:rPr>
                <w:sz w:val="20"/>
                <w:lang w:val="fr-CA"/>
              </w:rPr>
              <w:t xml:space="preserve">(Saunders, Bennett, </w:t>
            </w:r>
            <w:proofErr w:type="spellStart"/>
            <w:r w:rsidRPr="00D770F2">
              <w:rPr>
                <w:sz w:val="20"/>
                <w:lang w:val="fr-CA"/>
              </w:rPr>
              <w:t>Fenlon</w:t>
            </w:r>
            <w:proofErr w:type="spellEnd"/>
            <w:r w:rsidRPr="00D770F2">
              <w:rPr>
                <w:sz w:val="20"/>
                <w:lang w:val="fr-CA"/>
              </w:rPr>
              <w:t xml:space="preserve"> JJ.A.)</w:t>
            </w:r>
          </w:p>
          <w:p w:rsidR="00591A8C" w:rsidRPr="00D770F2" w:rsidRDefault="00591A8C" w:rsidP="006F56EE">
            <w:pPr>
              <w:jc w:val="both"/>
              <w:rPr>
                <w:sz w:val="20"/>
              </w:rPr>
            </w:pPr>
            <w:r w:rsidRPr="00D770F2">
              <w:rPr>
                <w:sz w:val="20"/>
              </w:rPr>
              <w:t>2017 BCCA 290; CA43418</w:t>
            </w:r>
          </w:p>
          <w:p w:rsidR="00591A8C" w:rsidRPr="00D770F2" w:rsidRDefault="009479D6" w:rsidP="006F56EE">
            <w:pPr>
              <w:jc w:val="both"/>
              <w:rPr>
                <w:sz w:val="20"/>
              </w:rPr>
            </w:pPr>
            <w:hyperlink r:id="rId54" w:history="1">
              <w:r w:rsidR="00591A8C" w:rsidRPr="00D770F2">
                <w:rPr>
                  <w:rStyle w:val="Hyperlink"/>
                  <w:rFonts w:eastAsiaTheme="majorEastAsia"/>
                  <w:sz w:val="20"/>
                </w:rPr>
                <w:t>http://canlii.ca/t/h55hp</w:t>
              </w:r>
            </w:hyperlink>
          </w:p>
          <w:p w:rsidR="00591A8C" w:rsidRPr="00D770F2" w:rsidRDefault="00591A8C" w:rsidP="006F56EE">
            <w:pPr>
              <w:jc w:val="both"/>
              <w:rPr>
                <w:sz w:val="20"/>
              </w:rPr>
            </w:pPr>
          </w:p>
        </w:tc>
        <w:tc>
          <w:tcPr>
            <w:tcW w:w="243" w:type="pct"/>
          </w:tcPr>
          <w:p w:rsidR="00591A8C" w:rsidRPr="00D770F2" w:rsidRDefault="00591A8C" w:rsidP="006F56EE">
            <w:pPr>
              <w:jc w:val="both"/>
              <w:rPr>
                <w:sz w:val="20"/>
              </w:rPr>
            </w:pPr>
          </w:p>
        </w:tc>
        <w:tc>
          <w:tcPr>
            <w:tcW w:w="2330" w:type="pct"/>
          </w:tcPr>
          <w:p w:rsidR="00591A8C" w:rsidRPr="00D770F2" w:rsidRDefault="00591A8C" w:rsidP="006F56EE">
            <w:pPr>
              <w:jc w:val="both"/>
              <w:rPr>
                <w:sz w:val="20"/>
              </w:rPr>
            </w:pPr>
            <w:r w:rsidRPr="00D770F2">
              <w:rPr>
                <w:sz w:val="20"/>
              </w:rPr>
              <w:t>Appeal allowed: new trial ordered</w:t>
            </w:r>
          </w:p>
          <w:p w:rsidR="00591A8C" w:rsidRPr="00D770F2" w:rsidRDefault="00591A8C" w:rsidP="006F56EE">
            <w:pPr>
              <w:jc w:val="both"/>
              <w:rPr>
                <w:sz w:val="20"/>
              </w:rPr>
            </w:pPr>
          </w:p>
        </w:tc>
      </w:tr>
      <w:tr w:rsidR="00591A8C" w:rsidRPr="00D770F2" w:rsidTr="006F56EE">
        <w:tc>
          <w:tcPr>
            <w:tcW w:w="2427" w:type="pct"/>
            <w:gridSpan w:val="2"/>
          </w:tcPr>
          <w:p w:rsidR="00591A8C" w:rsidRPr="00D770F2" w:rsidRDefault="00591A8C" w:rsidP="006F56EE">
            <w:pPr>
              <w:jc w:val="both"/>
              <w:rPr>
                <w:sz w:val="20"/>
              </w:rPr>
            </w:pPr>
            <w:r w:rsidRPr="00D770F2">
              <w:rPr>
                <w:sz w:val="20"/>
              </w:rPr>
              <w:t>October 2, 2017</w:t>
            </w:r>
          </w:p>
          <w:p w:rsidR="00591A8C" w:rsidRPr="00D770F2" w:rsidRDefault="00591A8C" w:rsidP="006F56EE">
            <w:pPr>
              <w:jc w:val="both"/>
              <w:rPr>
                <w:sz w:val="20"/>
              </w:rPr>
            </w:pPr>
            <w:r w:rsidRPr="00D770F2">
              <w:rPr>
                <w:sz w:val="20"/>
              </w:rPr>
              <w:t>Supreme Court of Canada</w:t>
            </w:r>
          </w:p>
        </w:tc>
        <w:tc>
          <w:tcPr>
            <w:tcW w:w="243" w:type="pct"/>
          </w:tcPr>
          <w:p w:rsidR="00591A8C" w:rsidRPr="00D770F2" w:rsidRDefault="00591A8C" w:rsidP="006F56EE">
            <w:pPr>
              <w:jc w:val="both"/>
              <w:rPr>
                <w:sz w:val="20"/>
              </w:rPr>
            </w:pPr>
          </w:p>
        </w:tc>
        <w:tc>
          <w:tcPr>
            <w:tcW w:w="2330" w:type="pct"/>
          </w:tcPr>
          <w:p w:rsidR="00591A8C" w:rsidRPr="00D770F2" w:rsidRDefault="00591A8C" w:rsidP="006F56EE">
            <w:pPr>
              <w:jc w:val="both"/>
              <w:rPr>
                <w:sz w:val="20"/>
              </w:rPr>
            </w:pPr>
            <w:r w:rsidRPr="00D770F2">
              <w:rPr>
                <w:sz w:val="20"/>
              </w:rPr>
              <w:t>Application for leave to appeal filed</w:t>
            </w:r>
          </w:p>
          <w:p w:rsidR="00591A8C" w:rsidRPr="00D770F2" w:rsidRDefault="00591A8C" w:rsidP="006F56EE">
            <w:pPr>
              <w:jc w:val="both"/>
              <w:rPr>
                <w:sz w:val="20"/>
              </w:rPr>
            </w:pPr>
          </w:p>
        </w:tc>
      </w:tr>
    </w:tbl>
    <w:p w:rsidR="00591A8C" w:rsidRPr="00D770F2" w:rsidRDefault="00591A8C" w:rsidP="006F56EE">
      <w:pPr>
        <w:jc w:val="both"/>
        <w:rPr>
          <w:sz w:val="20"/>
        </w:rPr>
      </w:pPr>
    </w:p>
    <w:p w:rsidR="007255CB" w:rsidRPr="00D770F2" w:rsidRDefault="007255CB" w:rsidP="006F56E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91A8C" w:rsidRPr="0030635C" w:rsidTr="006F56EE">
        <w:tc>
          <w:tcPr>
            <w:tcW w:w="543" w:type="pct"/>
          </w:tcPr>
          <w:p w:rsidR="00591A8C" w:rsidRPr="00D770F2" w:rsidRDefault="00591A8C" w:rsidP="006F56EE">
            <w:pPr>
              <w:jc w:val="both"/>
              <w:rPr>
                <w:sz w:val="20"/>
              </w:rPr>
            </w:pPr>
            <w:r w:rsidRPr="00D770F2">
              <w:rPr>
                <w:rStyle w:val="SCCFileNumberChar"/>
                <w:sz w:val="20"/>
                <w:szCs w:val="20"/>
              </w:rPr>
              <w:t>37792</w:t>
            </w:r>
          </w:p>
        </w:tc>
        <w:tc>
          <w:tcPr>
            <w:tcW w:w="4457" w:type="pct"/>
            <w:gridSpan w:val="3"/>
          </w:tcPr>
          <w:p w:rsidR="00591A8C" w:rsidRPr="00D770F2" w:rsidRDefault="00591A8C" w:rsidP="006F56EE">
            <w:pPr>
              <w:pStyle w:val="SCCLsocParty"/>
              <w:jc w:val="both"/>
              <w:rPr>
                <w:b/>
                <w:sz w:val="20"/>
                <w:szCs w:val="20"/>
              </w:rPr>
            </w:pPr>
            <w:r w:rsidRPr="00D770F2">
              <w:rPr>
                <w:b/>
                <w:sz w:val="20"/>
                <w:szCs w:val="20"/>
              </w:rPr>
              <w:t>Sa Majesté la Reine c. M. H.</w:t>
            </w:r>
          </w:p>
          <w:p w:rsidR="00591A8C" w:rsidRPr="00D770F2" w:rsidRDefault="00591A8C" w:rsidP="006F56EE">
            <w:pPr>
              <w:jc w:val="both"/>
              <w:rPr>
                <w:sz w:val="20"/>
                <w:lang w:val="fr-CA"/>
              </w:rPr>
            </w:pPr>
            <w:r w:rsidRPr="00D770F2">
              <w:rPr>
                <w:sz w:val="20"/>
                <w:lang w:val="fr-CA"/>
              </w:rPr>
              <w:t>(C.-B.) (Criminelle) (Sur autorisation)</w:t>
            </w:r>
          </w:p>
        </w:tc>
      </w:tr>
      <w:tr w:rsidR="00591A8C" w:rsidRPr="0030635C" w:rsidTr="006F56EE">
        <w:tc>
          <w:tcPr>
            <w:tcW w:w="5000" w:type="pct"/>
            <w:gridSpan w:val="4"/>
          </w:tcPr>
          <w:p w:rsidR="00591A8C" w:rsidRPr="00D770F2" w:rsidRDefault="00591A8C" w:rsidP="006F56EE">
            <w:pPr>
              <w:pStyle w:val="SCCBanSummary"/>
              <w:rPr>
                <w:sz w:val="20"/>
                <w:szCs w:val="20"/>
                <w:lang w:val="fr-CA"/>
              </w:rPr>
            </w:pPr>
            <w:r w:rsidRPr="00D770F2">
              <w:rPr>
                <w:sz w:val="20"/>
                <w:szCs w:val="20"/>
                <w:lang w:val="fr-CA"/>
              </w:rPr>
              <w:t>(Interdiction de publication dans le dossier) (Interdiction de publication concernant une partie)</w:t>
            </w:r>
          </w:p>
          <w:p w:rsidR="00591A8C" w:rsidRPr="00D770F2" w:rsidRDefault="00591A8C" w:rsidP="006F56EE">
            <w:pPr>
              <w:jc w:val="both"/>
              <w:rPr>
                <w:sz w:val="20"/>
                <w:lang w:val="fr-CA"/>
              </w:rPr>
            </w:pPr>
          </w:p>
        </w:tc>
      </w:tr>
      <w:tr w:rsidR="00591A8C" w:rsidRPr="0030635C" w:rsidTr="006F56EE">
        <w:tc>
          <w:tcPr>
            <w:tcW w:w="5000" w:type="pct"/>
            <w:gridSpan w:val="4"/>
          </w:tcPr>
          <w:p w:rsidR="00591A8C" w:rsidRPr="00D770F2" w:rsidRDefault="00591A8C" w:rsidP="006F56EE">
            <w:pPr>
              <w:jc w:val="both"/>
              <w:rPr>
                <w:sz w:val="20"/>
                <w:lang w:val="fr-CA"/>
              </w:rPr>
            </w:pPr>
            <w:r w:rsidRPr="00D770F2">
              <w:rPr>
                <w:sz w:val="20"/>
                <w:lang w:val="fr-CA"/>
              </w:rPr>
              <w:t>Droit criminel – Appels – Pouvoirs de la Cour d’appel – L’intimé</w:t>
            </w:r>
            <w:r w:rsidR="007255CB" w:rsidRPr="00D770F2">
              <w:rPr>
                <w:sz w:val="20"/>
                <w:lang w:val="fr-CA"/>
              </w:rPr>
              <w:t xml:space="preserve"> a-t-il eu un procès équitable? </w:t>
            </w:r>
            <w:r w:rsidRPr="00D770F2">
              <w:rPr>
                <w:sz w:val="20"/>
                <w:lang w:val="fr-CA"/>
              </w:rPr>
              <w:t>– L’assistance inefficace d’un avocat a-t-elle mené à un déni de justice? – L’avocat du ministère public peut-il discuter des allégations d’inefficacité avec l’avocat au procès ou cela ne peut-il se faire que dans le contexte d’un processus sanctionné judiciairement? Le nouvel avocat devrait-il pouvoir plaider que l’avocat au procès était inefficace, lorsque le juge du procès a déjà examiné l’argument? – Si un accusé n’a pas compris une proposition d’entente sur le plaidoyer, la Cour d’appel devrait-elle ordonner une réparation en l’absence de preuve que la cause finirait par être résolue? – La Cour d’appel a-t-elle eu raison de conclure que la somme des piètres performances de l’avocat au procès a pu entraîner un déni de justice, et ce, même si le procès n’en a pas souffert?</w:t>
            </w:r>
          </w:p>
          <w:p w:rsidR="00591A8C" w:rsidRPr="00D770F2" w:rsidRDefault="00591A8C" w:rsidP="006F56EE">
            <w:pPr>
              <w:jc w:val="both"/>
              <w:rPr>
                <w:sz w:val="20"/>
                <w:lang w:val="fr-CA"/>
              </w:rPr>
            </w:pPr>
          </w:p>
          <w:p w:rsidR="00591A8C" w:rsidRPr="00D770F2" w:rsidRDefault="00591A8C" w:rsidP="006F56EE">
            <w:pPr>
              <w:jc w:val="both"/>
              <w:rPr>
                <w:sz w:val="20"/>
                <w:lang w:val="fr-CA"/>
              </w:rPr>
            </w:pPr>
            <w:r w:rsidRPr="00D770F2">
              <w:rPr>
                <w:sz w:val="20"/>
                <w:lang w:val="fr-CA"/>
              </w:rPr>
              <w:t>M. H. a été déclaré coupable d’un chef d’agression sexuelle et de deux chefs de voies de fait. Après qu’il a été déclaré coupable, M. H. a présenté une demande en vue de la réouverture de son procès en invoquant le fait que son avocat n’avait pas contre-interrogé la plaignante sur les messages textes qu’elle lui avait envoyés. La demande a été rejetée. La Cour d’appel a autorisé la production de nouveaux éléments de preuve et accueilli l’appel. La déclaration de culpabilité a été annulée et la tenue d’un nouveau procès ordonnée.</w:t>
            </w:r>
          </w:p>
          <w:p w:rsidR="00591A8C" w:rsidRPr="00D770F2" w:rsidRDefault="00591A8C" w:rsidP="006F56EE">
            <w:pPr>
              <w:jc w:val="both"/>
              <w:rPr>
                <w:sz w:val="20"/>
                <w:lang w:val="fr-CA"/>
              </w:rPr>
            </w:pPr>
          </w:p>
        </w:tc>
      </w:tr>
      <w:tr w:rsidR="00591A8C" w:rsidRPr="0030635C" w:rsidTr="006F56EE">
        <w:tc>
          <w:tcPr>
            <w:tcW w:w="2427" w:type="pct"/>
            <w:gridSpan w:val="2"/>
          </w:tcPr>
          <w:p w:rsidR="00591A8C" w:rsidRPr="00D770F2" w:rsidRDefault="00591A8C" w:rsidP="006F56EE">
            <w:pPr>
              <w:jc w:val="both"/>
              <w:rPr>
                <w:sz w:val="20"/>
                <w:lang w:val="fr-CA"/>
              </w:rPr>
            </w:pPr>
            <w:r w:rsidRPr="00D770F2">
              <w:rPr>
                <w:sz w:val="20"/>
                <w:lang w:val="fr-CA"/>
              </w:rPr>
              <w:t>25 mai 2015</w:t>
            </w:r>
          </w:p>
          <w:p w:rsidR="00591A8C" w:rsidRPr="00D770F2" w:rsidRDefault="00591A8C" w:rsidP="006F56EE">
            <w:pPr>
              <w:jc w:val="both"/>
              <w:rPr>
                <w:sz w:val="20"/>
                <w:lang w:val="fr-CA"/>
              </w:rPr>
            </w:pPr>
            <w:r w:rsidRPr="00D770F2">
              <w:rPr>
                <w:sz w:val="20"/>
                <w:lang w:val="fr-CA"/>
              </w:rPr>
              <w:t>Cour suprême de la Colombie-Britannique</w:t>
            </w:r>
          </w:p>
          <w:p w:rsidR="00591A8C" w:rsidRPr="00D770F2" w:rsidRDefault="00591A8C" w:rsidP="006F56EE">
            <w:pPr>
              <w:jc w:val="both"/>
              <w:rPr>
                <w:sz w:val="20"/>
                <w:lang w:val="fr-CA"/>
              </w:rPr>
            </w:pPr>
            <w:r w:rsidRPr="00D770F2">
              <w:rPr>
                <w:sz w:val="20"/>
                <w:lang w:val="fr-CA"/>
              </w:rPr>
              <w:t>(Juge Dickson)</w:t>
            </w:r>
          </w:p>
          <w:p w:rsidR="00591A8C" w:rsidRPr="00D770F2" w:rsidRDefault="00591A8C" w:rsidP="006F56EE">
            <w:pPr>
              <w:jc w:val="both"/>
              <w:rPr>
                <w:sz w:val="20"/>
                <w:lang w:val="fr-CA"/>
              </w:rPr>
            </w:pPr>
            <w:r w:rsidRPr="00D770F2">
              <w:rPr>
                <w:sz w:val="20"/>
                <w:lang w:val="fr-CA"/>
              </w:rPr>
              <w:t>2015 BCSC 984</w:t>
            </w:r>
          </w:p>
          <w:p w:rsidR="00591A8C" w:rsidRPr="00D770F2" w:rsidRDefault="009479D6" w:rsidP="006F56EE">
            <w:pPr>
              <w:jc w:val="both"/>
              <w:rPr>
                <w:sz w:val="20"/>
                <w:lang w:val="fr-CA"/>
              </w:rPr>
            </w:pPr>
            <w:hyperlink r:id="rId55" w:history="1">
              <w:r w:rsidR="00591A8C" w:rsidRPr="00D770F2">
                <w:rPr>
                  <w:rStyle w:val="Hyperlink"/>
                  <w:rFonts w:eastAsiaTheme="majorEastAsia"/>
                  <w:sz w:val="20"/>
                  <w:lang w:val="fr-CA"/>
                </w:rPr>
                <w:t>http://canlii.ca/t/gjgdw</w:t>
              </w:r>
            </w:hyperlink>
          </w:p>
          <w:p w:rsidR="00591A8C" w:rsidRPr="00D770F2" w:rsidRDefault="00591A8C" w:rsidP="006F56EE">
            <w:pPr>
              <w:jc w:val="both"/>
              <w:rPr>
                <w:sz w:val="20"/>
                <w:lang w:val="fr-CA"/>
              </w:rPr>
            </w:pPr>
          </w:p>
        </w:tc>
        <w:tc>
          <w:tcPr>
            <w:tcW w:w="243" w:type="pct"/>
          </w:tcPr>
          <w:p w:rsidR="00591A8C" w:rsidRPr="00D770F2" w:rsidRDefault="00591A8C" w:rsidP="006F56EE">
            <w:pPr>
              <w:jc w:val="both"/>
              <w:rPr>
                <w:sz w:val="20"/>
                <w:lang w:val="fr-CA"/>
              </w:rPr>
            </w:pPr>
          </w:p>
        </w:tc>
        <w:tc>
          <w:tcPr>
            <w:tcW w:w="2330" w:type="pct"/>
          </w:tcPr>
          <w:p w:rsidR="00591A8C" w:rsidRPr="00D770F2" w:rsidRDefault="00591A8C" w:rsidP="006F56EE">
            <w:pPr>
              <w:jc w:val="both"/>
              <w:rPr>
                <w:sz w:val="20"/>
                <w:lang w:val="fr-CA"/>
              </w:rPr>
            </w:pPr>
            <w:r w:rsidRPr="00D770F2">
              <w:rPr>
                <w:sz w:val="20"/>
                <w:lang w:val="fr-CA"/>
              </w:rPr>
              <w:t>Déclaration de culpabilité : un chef pour agression sexuelle; deux chefs pour voies de fait</w:t>
            </w:r>
          </w:p>
          <w:p w:rsidR="00591A8C" w:rsidRPr="00D770F2" w:rsidRDefault="00591A8C" w:rsidP="006F56EE">
            <w:pPr>
              <w:jc w:val="both"/>
              <w:rPr>
                <w:sz w:val="20"/>
                <w:lang w:val="fr-CA"/>
              </w:rPr>
            </w:pPr>
          </w:p>
        </w:tc>
      </w:tr>
      <w:tr w:rsidR="00591A8C" w:rsidRPr="0030635C" w:rsidTr="006F56EE">
        <w:tc>
          <w:tcPr>
            <w:tcW w:w="2427" w:type="pct"/>
            <w:gridSpan w:val="2"/>
          </w:tcPr>
          <w:p w:rsidR="00591A8C" w:rsidRPr="00D770F2" w:rsidRDefault="00591A8C" w:rsidP="006F56EE">
            <w:pPr>
              <w:jc w:val="both"/>
              <w:rPr>
                <w:sz w:val="20"/>
                <w:lang w:val="fr-CA"/>
              </w:rPr>
            </w:pPr>
            <w:r w:rsidRPr="00D770F2">
              <w:rPr>
                <w:sz w:val="20"/>
                <w:lang w:val="fr-CA"/>
              </w:rPr>
              <w:t>22 février 2016</w:t>
            </w:r>
          </w:p>
          <w:p w:rsidR="00591A8C" w:rsidRPr="00D770F2" w:rsidRDefault="00591A8C" w:rsidP="006F56EE">
            <w:pPr>
              <w:jc w:val="both"/>
              <w:rPr>
                <w:sz w:val="20"/>
                <w:lang w:val="fr-CA"/>
              </w:rPr>
            </w:pPr>
            <w:r w:rsidRPr="00D770F2">
              <w:rPr>
                <w:sz w:val="20"/>
                <w:lang w:val="fr-CA"/>
              </w:rPr>
              <w:t>Cour suprême de la Colombie-Britannique</w:t>
            </w:r>
          </w:p>
          <w:p w:rsidR="00591A8C" w:rsidRPr="00D770F2" w:rsidRDefault="00591A8C" w:rsidP="006F56EE">
            <w:pPr>
              <w:jc w:val="both"/>
              <w:rPr>
                <w:sz w:val="20"/>
                <w:lang w:val="fr-CA"/>
              </w:rPr>
            </w:pPr>
            <w:r w:rsidRPr="00D770F2">
              <w:rPr>
                <w:sz w:val="20"/>
                <w:lang w:val="fr-CA"/>
              </w:rPr>
              <w:t>(Juge Dickson)</w:t>
            </w:r>
          </w:p>
          <w:p w:rsidR="00591A8C" w:rsidRPr="00D770F2" w:rsidRDefault="00591A8C" w:rsidP="006F56EE">
            <w:pPr>
              <w:jc w:val="both"/>
              <w:rPr>
                <w:sz w:val="20"/>
                <w:lang w:val="fr-CA"/>
              </w:rPr>
            </w:pPr>
            <w:r w:rsidRPr="00D770F2">
              <w:rPr>
                <w:sz w:val="20"/>
                <w:lang w:val="fr-CA"/>
              </w:rPr>
              <w:t>2016 BCSC 289</w:t>
            </w:r>
          </w:p>
          <w:p w:rsidR="00591A8C" w:rsidRPr="00D770F2" w:rsidRDefault="009479D6" w:rsidP="006F56EE">
            <w:pPr>
              <w:jc w:val="both"/>
              <w:rPr>
                <w:sz w:val="20"/>
                <w:lang w:val="fr-CA"/>
              </w:rPr>
            </w:pPr>
            <w:hyperlink r:id="rId56" w:history="1">
              <w:r w:rsidR="00591A8C" w:rsidRPr="00D770F2">
                <w:rPr>
                  <w:rStyle w:val="Hyperlink"/>
                  <w:rFonts w:eastAsiaTheme="majorEastAsia"/>
                  <w:sz w:val="20"/>
                  <w:lang w:val="fr-CA"/>
                </w:rPr>
                <w:t>http://canlii.ca/t/gnf3j</w:t>
              </w:r>
            </w:hyperlink>
          </w:p>
          <w:p w:rsidR="00591A8C" w:rsidRPr="00D770F2" w:rsidRDefault="00591A8C" w:rsidP="006F56EE">
            <w:pPr>
              <w:jc w:val="both"/>
              <w:rPr>
                <w:sz w:val="20"/>
                <w:lang w:val="fr-CA"/>
              </w:rPr>
            </w:pPr>
          </w:p>
        </w:tc>
        <w:tc>
          <w:tcPr>
            <w:tcW w:w="243" w:type="pct"/>
          </w:tcPr>
          <w:p w:rsidR="00591A8C" w:rsidRPr="00D770F2" w:rsidRDefault="00591A8C" w:rsidP="006F56EE">
            <w:pPr>
              <w:jc w:val="both"/>
              <w:rPr>
                <w:sz w:val="20"/>
                <w:lang w:val="fr-CA"/>
              </w:rPr>
            </w:pPr>
          </w:p>
        </w:tc>
        <w:tc>
          <w:tcPr>
            <w:tcW w:w="2330" w:type="pct"/>
          </w:tcPr>
          <w:p w:rsidR="00591A8C" w:rsidRPr="00D770F2" w:rsidRDefault="00591A8C" w:rsidP="006F56EE">
            <w:pPr>
              <w:jc w:val="both"/>
              <w:rPr>
                <w:sz w:val="20"/>
                <w:lang w:val="fr-CA"/>
              </w:rPr>
            </w:pPr>
            <w:r w:rsidRPr="00D770F2">
              <w:rPr>
                <w:sz w:val="20"/>
                <w:lang w:val="fr-CA"/>
              </w:rPr>
              <w:t xml:space="preserve">Demande en vue de la réouverture du procès rejetée </w:t>
            </w:r>
          </w:p>
          <w:p w:rsidR="00591A8C" w:rsidRPr="00D770F2" w:rsidRDefault="00591A8C" w:rsidP="006F56EE">
            <w:pPr>
              <w:jc w:val="both"/>
              <w:rPr>
                <w:sz w:val="20"/>
                <w:lang w:val="fr-CA"/>
              </w:rPr>
            </w:pPr>
          </w:p>
        </w:tc>
      </w:tr>
      <w:tr w:rsidR="00591A8C" w:rsidRPr="0030635C" w:rsidTr="006F56EE">
        <w:tc>
          <w:tcPr>
            <w:tcW w:w="2427" w:type="pct"/>
            <w:gridSpan w:val="2"/>
          </w:tcPr>
          <w:p w:rsidR="00591A8C" w:rsidRPr="00D770F2" w:rsidRDefault="00591A8C" w:rsidP="006F56EE">
            <w:pPr>
              <w:jc w:val="both"/>
              <w:rPr>
                <w:sz w:val="20"/>
                <w:lang w:val="fr-CA"/>
              </w:rPr>
            </w:pPr>
            <w:r w:rsidRPr="00D770F2">
              <w:rPr>
                <w:sz w:val="20"/>
                <w:lang w:val="fr-CA"/>
              </w:rPr>
              <w:t>2 août 2017</w:t>
            </w:r>
          </w:p>
          <w:p w:rsidR="00591A8C" w:rsidRPr="00D770F2" w:rsidRDefault="00591A8C" w:rsidP="006F56EE">
            <w:pPr>
              <w:jc w:val="both"/>
              <w:rPr>
                <w:sz w:val="20"/>
                <w:lang w:val="fr-CA"/>
              </w:rPr>
            </w:pPr>
            <w:r w:rsidRPr="00D770F2">
              <w:rPr>
                <w:sz w:val="20"/>
                <w:lang w:val="fr-CA"/>
              </w:rPr>
              <w:t xml:space="preserve">Cour d’appel de la Colombie-Britannique </w:t>
            </w:r>
          </w:p>
          <w:p w:rsidR="00591A8C" w:rsidRPr="00D770F2" w:rsidRDefault="00591A8C" w:rsidP="006F56EE">
            <w:pPr>
              <w:jc w:val="both"/>
              <w:rPr>
                <w:sz w:val="20"/>
                <w:lang w:val="fr-CA"/>
              </w:rPr>
            </w:pPr>
            <w:r w:rsidRPr="00D770F2">
              <w:rPr>
                <w:sz w:val="20"/>
                <w:lang w:val="fr-CA"/>
              </w:rPr>
              <w:t>(Vancouver)</w:t>
            </w:r>
          </w:p>
          <w:p w:rsidR="00591A8C" w:rsidRPr="00D770F2" w:rsidRDefault="00591A8C" w:rsidP="006F56EE">
            <w:pPr>
              <w:jc w:val="both"/>
              <w:rPr>
                <w:sz w:val="20"/>
                <w:lang w:val="fr-CA"/>
              </w:rPr>
            </w:pPr>
            <w:r w:rsidRPr="00D770F2">
              <w:rPr>
                <w:sz w:val="20"/>
                <w:lang w:val="fr-CA"/>
              </w:rPr>
              <w:t xml:space="preserve">(Juges Saunders, Bennett et </w:t>
            </w:r>
            <w:proofErr w:type="spellStart"/>
            <w:r w:rsidRPr="00D770F2">
              <w:rPr>
                <w:sz w:val="20"/>
                <w:lang w:val="fr-CA"/>
              </w:rPr>
              <w:t>Fenlon</w:t>
            </w:r>
            <w:proofErr w:type="spellEnd"/>
            <w:r w:rsidRPr="00D770F2">
              <w:rPr>
                <w:sz w:val="20"/>
                <w:lang w:val="fr-CA"/>
              </w:rPr>
              <w:t>)</w:t>
            </w:r>
          </w:p>
          <w:p w:rsidR="00591A8C" w:rsidRPr="00D770F2" w:rsidRDefault="00591A8C" w:rsidP="006F56EE">
            <w:pPr>
              <w:jc w:val="both"/>
              <w:rPr>
                <w:sz w:val="20"/>
              </w:rPr>
            </w:pPr>
            <w:r w:rsidRPr="00D770F2">
              <w:rPr>
                <w:sz w:val="20"/>
              </w:rPr>
              <w:t>2017 BCCA 290; CA43418</w:t>
            </w:r>
          </w:p>
          <w:p w:rsidR="00591A8C" w:rsidRPr="00D770F2" w:rsidRDefault="009479D6" w:rsidP="006F56EE">
            <w:pPr>
              <w:jc w:val="both"/>
              <w:rPr>
                <w:sz w:val="20"/>
              </w:rPr>
            </w:pPr>
            <w:hyperlink r:id="rId57" w:history="1">
              <w:r w:rsidR="00591A8C" w:rsidRPr="00D770F2">
                <w:rPr>
                  <w:rStyle w:val="Hyperlink"/>
                  <w:rFonts w:eastAsiaTheme="majorEastAsia"/>
                  <w:sz w:val="20"/>
                </w:rPr>
                <w:t>http://canlii.ca/t/h55hp</w:t>
              </w:r>
            </w:hyperlink>
          </w:p>
          <w:p w:rsidR="00591A8C" w:rsidRPr="00D770F2" w:rsidRDefault="00591A8C" w:rsidP="006F56EE">
            <w:pPr>
              <w:jc w:val="both"/>
              <w:rPr>
                <w:sz w:val="20"/>
              </w:rPr>
            </w:pPr>
          </w:p>
        </w:tc>
        <w:tc>
          <w:tcPr>
            <w:tcW w:w="243" w:type="pct"/>
          </w:tcPr>
          <w:p w:rsidR="00591A8C" w:rsidRPr="00D770F2" w:rsidRDefault="00591A8C" w:rsidP="006F56EE">
            <w:pPr>
              <w:jc w:val="both"/>
              <w:rPr>
                <w:sz w:val="20"/>
              </w:rPr>
            </w:pPr>
          </w:p>
        </w:tc>
        <w:tc>
          <w:tcPr>
            <w:tcW w:w="2330" w:type="pct"/>
          </w:tcPr>
          <w:p w:rsidR="00591A8C" w:rsidRPr="00D770F2" w:rsidRDefault="00591A8C" w:rsidP="006F56EE">
            <w:pPr>
              <w:jc w:val="both"/>
              <w:rPr>
                <w:sz w:val="20"/>
                <w:lang w:val="fr-CA"/>
              </w:rPr>
            </w:pPr>
            <w:r w:rsidRPr="00D770F2">
              <w:rPr>
                <w:sz w:val="20"/>
                <w:lang w:val="fr-CA"/>
              </w:rPr>
              <w:t>Appel accueilli; tenue d’un nouveau procès ordonnée</w:t>
            </w:r>
          </w:p>
          <w:p w:rsidR="00591A8C" w:rsidRPr="00D770F2" w:rsidRDefault="00591A8C" w:rsidP="006F56EE">
            <w:pPr>
              <w:jc w:val="both"/>
              <w:rPr>
                <w:sz w:val="20"/>
                <w:lang w:val="fr-CA"/>
              </w:rPr>
            </w:pPr>
          </w:p>
        </w:tc>
      </w:tr>
      <w:tr w:rsidR="00591A8C" w:rsidRPr="00D770F2" w:rsidTr="006F56EE">
        <w:tc>
          <w:tcPr>
            <w:tcW w:w="2427" w:type="pct"/>
            <w:gridSpan w:val="2"/>
          </w:tcPr>
          <w:p w:rsidR="00591A8C" w:rsidRPr="00D770F2" w:rsidRDefault="00591A8C" w:rsidP="006F56EE">
            <w:pPr>
              <w:jc w:val="both"/>
              <w:rPr>
                <w:sz w:val="20"/>
                <w:lang w:val="fr-CA"/>
              </w:rPr>
            </w:pPr>
            <w:r w:rsidRPr="00D770F2">
              <w:rPr>
                <w:sz w:val="20"/>
                <w:lang w:val="fr-CA"/>
              </w:rPr>
              <w:t>2 octobre 2017</w:t>
            </w:r>
          </w:p>
          <w:p w:rsidR="00591A8C" w:rsidRPr="00D770F2" w:rsidRDefault="00591A8C" w:rsidP="006F56EE">
            <w:pPr>
              <w:jc w:val="both"/>
              <w:rPr>
                <w:sz w:val="20"/>
                <w:lang w:val="fr-CA"/>
              </w:rPr>
            </w:pPr>
            <w:r w:rsidRPr="00D770F2">
              <w:rPr>
                <w:sz w:val="20"/>
                <w:lang w:val="fr-CA"/>
              </w:rPr>
              <w:t>Cour suprême du Canada</w:t>
            </w:r>
          </w:p>
        </w:tc>
        <w:tc>
          <w:tcPr>
            <w:tcW w:w="243" w:type="pct"/>
          </w:tcPr>
          <w:p w:rsidR="00591A8C" w:rsidRPr="00D770F2" w:rsidRDefault="00591A8C" w:rsidP="006F56EE">
            <w:pPr>
              <w:jc w:val="both"/>
              <w:rPr>
                <w:sz w:val="20"/>
                <w:lang w:val="fr-CA"/>
              </w:rPr>
            </w:pPr>
          </w:p>
        </w:tc>
        <w:tc>
          <w:tcPr>
            <w:tcW w:w="2330" w:type="pct"/>
          </w:tcPr>
          <w:p w:rsidR="00591A8C" w:rsidRPr="00D770F2" w:rsidRDefault="00591A8C" w:rsidP="006F56EE">
            <w:pPr>
              <w:jc w:val="both"/>
              <w:rPr>
                <w:sz w:val="20"/>
              </w:rPr>
            </w:pPr>
            <w:r w:rsidRPr="00D770F2">
              <w:rPr>
                <w:sz w:val="20"/>
                <w:lang w:val="fr-CA"/>
              </w:rPr>
              <w:t>Demande d’autorisation d’appel déposée</w:t>
            </w:r>
          </w:p>
        </w:tc>
      </w:tr>
    </w:tbl>
    <w:p w:rsidR="00591A8C" w:rsidRPr="00D770F2" w:rsidRDefault="00591A8C" w:rsidP="006F56EE">
      <w:pPr>
        <w:jc w:val="both"/>
        <w:rPr>
          <w:sz w:val="20"/>
        </w:rPr>
      </w:pPr>
    </w:p>
    <w:p w:rsidR="001E6FC9" w:rsidRPr="00D770F2" w:rsidRDefault="001E6FC9" w:rsidP="006F56E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91A8C" w:rsidRPr="00D770F2" w:rsidTr="006F56EE">
        <w:tc>
          <w:tcPr>
            <w:tcW w:w="543" w:type="pct"/>
          </w:tcPr>
          <w:p w:rsidR="00591A8C" w:rsidRPr="00D770F2" w:rsidRDefault="00591A8C" w:rsidP="006F56EE">
            <w:pPr>
              <w:jc w:val="both"/>
              <w:rPr>
                <w:sz w:val="20"/>
                <w:lang w:val="en-CA"/>
              </w:rPr>
            </w:pPr>
            <w:r w:rsidRPr="00D770F2">
              <w:rPr>
                <w:rStyle w:val="SCCFileNumberChar"/>
                <w:sz w:val="20"/>
                <w:szCs w:val="20"/>
              </w:rPr>
              <w:t>37548</w:t>
            </w:r>
          </w:p>
        </w:tc>
        <w:tc>
          <w:tcPr>
            <w:tcW w:w="4457" w:type="pct"/>
            <w:gridSpan w:val="3"/>
          </w:tcPr>
          <w:p w:rsidR="00591A8C" w:rsidRPr="00D770F2" w:rsidRDefault="00591A8C" w:rsidP="006F56EE">
            <w:pPr>
              <w:jc w:val="both"/>
              <w:rPr>
                <w:b/>
                <w:sz w:val="20"/>
                <w:lang w:val="en-CA"/>
              </w:rPr>
            </w:pPr>
            <w:r w:rsidRPr="00D770F2">
              <w:rPr>
                <w:b/>
                <w:sz w:val="20"/>
                <w:lang w:val="en-CA"/>
              </w:rPr>
              <w:t xml:space="preserve">Gestion Éric Tardif inc., now known as Entreprises T.B. inc., and Gestion D. Mercier inc. v. Royal Bank of Canada </w:t>
            </w:r>
          </w:p>
          <w:p w:rsidR="00591A8C" w:rsidRPr="00D770F2" w:rsidRDefault="00591A8C" w:rsidP="006F56EE">
            <w:pPr>
              <w:jc w:val="both"/>
              <w:rPr>
                <w:sz w:val="20"/>
                <w:lang w:val="en-CA"/>
              </w:rPr>
            </w:pPr>
            <w:r w:rsidRPr="00D770F2">
              <w:rPr>
                <w:sz w:val="20"/>
                <w:lang w:val="en-CA"/>
              </w:rPr>
              <w:t>(Que.) (Civil) (By Leave)</w:t>
            </w:r>
          </w:p>
        </w:tc>
      </w:tr>
      <w:tr w:rsidR="00591A8C" w:rsidRPr="00D770F2" w:rsidTr="006F56EE">
        <w:tc>
          <w:tcPr>
            <w:tcW w:w="5000" w:type="pct"/>
            <w:gridSpan w:val="4"/>
          </w:tcPr>
          <w:p w:rsidR="00591A8C" w:rsidRPr="00D770F2" w:rsidRDefault="00591A8C" w:rsidP="006F56EE">
            <w:pPr>
              <w:jc w:val="both"/>
              <w:rPr>
                <w:sz w:val="20"/>
                <w:lang w:val="en-CA"/>
              </w:rPr>
            </w:pPr>
            <w:r w:rsidRPr="00D770F2">
              <w:rPr>
                <w:sz w:val="20"/>
                <w:lang w:val="en-CA"/>
              </w:rPr>
              <w:t xml:space="preserve">Contract ‒ Suretyship ‒ Performance ‒ Obligation to inform ‒ Subrogation exception ‒ Legal criteria applicable to defence that action barred in suretyship context ‒ Whether it is necessary for creditor to have acted in bad faith ‒ Whether it is necessary for surety to prove quantum of injury suffered ‒ Whether action </w:t>
            </w:r>
            <w:proofErr w:type="gramStart"/>
            <w:r w:rsidRPr="00D770F2">
              <w:rPr>
                <w:sz w:val="20"/>
                <w:lang w:val="en-CA"/>
              </w:rPr>
              <w:t>can be found</w:t>
            </w:r>
            <w:proofErr w:type="gramEnd"/>
            <w:r w:rsidRPr="00D770F2">
              <w:rPr>
                <w:sz w:val="20"/>
                <w:lang w:val="en-CA"/>
              </w:rPr>
              <w:t xml:space="preserve"> to be barred in part ‒ </w:t>
            </w:r>
            <w:r w:rsidRPr="00D770F2">
              <w:rPr>
                <w:i/>
                <w:sz w:val="20"/>
                <w:lang w:val="en-CA"/>
              </w:rPr>
              <w:t>Civil Code of Québec</w:t>
            </w:r>
            <w:r w:rsidRPr="00D770F2">
              <w:rPr>
                <w:sz w:val="20"/>
                <w:lang w:val="en-CA"/>
              </w:rPr>
              <w:t>, arts. 1375, 2345 and 2365.</w:t>
            </w:r>
          </w:p>
        </w:tc>
      </w:tr>
      <w:tr w:rsidR="00591A8C" w:rsidRPr="00D770F2" w:rsidTr="006F56EE">
        <w:tc>
          <w:tcPr>
            <w:tcW w:w="5000" w:type="pct"/>
            <w:gridSpan w:val="4"/>
          </w:tcPr>
          <w:p w:rsidR="00591A8C" w:rsidRPr="00D770F2" w:rsidRDefault="00591A8C" w:rsidP="006F56EE">
            <w:pPr>
              <w:jc w:val="both"/>
              <w:rPr>
                <w:sz w:val="20"/>
                <w:lang w:val="en-CA"/>
              </w:rPr>
            </w:pPr>
          </w:p>
        </w:tc>
      </w:tr>
      <w:tr w:rsidR="00591A8C" w:rsidRPr="00D770F2" w:rsidTr="006F56EE">
        <w:tc>
          <w:tcPr>
            <w:tcW w:w="5000" w:type="pct"/>
            <w:gridSpan w:val="4"/>
          </w:tcPr>
          <w:p w:rsidR="00591A8C" w:rsidRPr="00D770F2" w:rsidRDefault="00591A8C" w:rsidP="006F56EE">
            <w:pPr>
              <w:jc w:val="both"/>
              <w:rPr>
                <w:sz w:val="20"/>
                <w:lang w:val="en-CA"/>
              </w:rPr>
            </w:pPr>
            <w:r w:rsidRPr="00D770F2">
              <w:rPr>
                <w:sz w:val="20"/>
                <w:lang w:val="en-CA"/>
              </w:rPr>
              <w:t>The applicants, Gestion Éric Tardif inc., now known as Entreprises T.B. inc., and Gestion D. Mercier inc., signed acts of suretyship in which they undertook jointly and solidarily to pay up to $50,000 of the debts owed by the debtor, L’Autre Version 2014 inc., a restaurant, to the respondent, the Royal Bank of Canada. On January 15, 2016, L’Autre Version 2014 inc., of which Gestion D. Mercier inc. was the principal shareholder, declared bankruptcy. To minimize its risk having regard to the suretyship, Gestion D. Mercier inc. communicated with representatives of the Royal Bank of Canada to ensure that the company’s property would be sold by private tender so that it would go to the highest bidder. Gestion D. Mercier inc. did so because it considered the trustee’s valuation of the property very low. Although the Bank expressed interest in proceeding quickly by private tender, it ultimately decided to sell the property to the lessor of the immovable property where the debtor was located for an amount close to the amount of the trustee’s valuation. In return, the lessor agreed not to charge any rent. The applicants contested the action that the Bank instituted to make them honour the acts of suretyship they had signed, arguing in defence that the Bank had sold the company’s property at a low price without informing them.</w:t>
            </w:r>
          </w:p>
          <w:p w:rsidR="00591A8C" w:rsidRPr="00D770F2" w:rsidRDefault="00591A8C" w:rsidP="006F56EE">
            <w:pPr>
              <w:jc w:val="both"/>
              <w:rPr>
                <w:sz w:val="20"/>
                <w:lang w:val="en-CA"/>
              </w:rPr>
            </w:pPr>
          </w:p>
        </w:tc>
      </w:tr>
      <w:tr w:rsidR="00591A8C" w:rsidRPr="00D770F2" w:rsidTr="006F56EE">
        <w:tc>
          <w:tcPr>
            <w:tcW w:w="2427" w:type="pct"/>
            <w:gridSpan w:val="2"/>
          </w:tcPr>
          <w:p w:rsidR="00591A8C" w:rsidRPr="00D770F2" w:rsidRDefault="00591A8C" w:rsidP="006F56EE">
            <w:pPr>
              <w:jc w:val="both"/>
              <w:rPr>
                <w:sz w:val="20"/>
                <w:lang w:val="en-CA"/>
              </w:rPr>
            </w:pPr>
            <w:r w:rsidRPr="00D770F2">
              <w:rPr>
                <w:sz w:val="20"/>
                <w:lang w:val="en-CA"/>
              </w:rPr>
              <w:t>December 5, 2016</w:t>
            </w:r>
          </w:p>
          <w:p w:rsidR="00591A8C" w:rsidRPr="00D770F2" w:rsidRDefault="00591A8C" w:rsidP="006F56EE">
            <w:pPr>
              <w:jc w:val="both"/>
              <w:rPr>
                <w:sz w:val="20"/>
                <w:lang w:val="en-CA"/>
              </w:rPr>
            </w:pPr>
            <w:r w:rsidRPr="00D770F2">
              <w:rPr>
                <w:sz w:val="20"/>
                <w:lang w:val="en-CA"/>
              </w:rPr>
              <w:t>Court of Québec</w:t>
            </w:r>
          </w:p>
          <w:p w:rsidR="00591A8C" w:rsidRPr="00D770F2" w:rsidRDefault="00591A8C" w:rsidP="006F56EE">
            <w:pPr>
              <w:jc w:val="both"/>
              <w:rPr>
                <w:sz w:val="20"/>
                <w:lang w:val="en-CA"/>
              </w:rPr>
            </w:pPr>
            <w:r w:rsidRPr="00D770F2">
              <w:rPr>
                <w:sz w:val="20"/>
                <w:lang w:val="en-CA"/>
              </w:rPr>
              <w:t>(Judge Bourgeois)</w:t>
            </w:r>
          </w:p>
          <w:p w:rsidR="00591A8C" w:rsidRPr="00D770F2" w:rsidRDefault="009479D6" w:rsidP="006F56EE">
            <w:pPr>
              <w:jc w:val="both"/>
              <w:rPr>
                <w:sz w:val="20"/>
                <w:lang w:val="en-CA"/>
              </w:rPr>
            </w:pPr>
            <w:hyperlink r:id="rId58" w:history="1">
              <w:r w:rsidR="00591A8C" w:rsidRPr="00D770F2">
                <w:rPr>
                  <w:rStyle w:val="Hyperlink"/>
                  <w:sz w:val="20"/>
                  <w:lang w:val="en-CA"/>
                </w:rPr>
                <w:t>2016 QCCQ 19930</w:t>
              </w:r>
            </w:hyperlink>
          </w:p>
          <w:p w:rsidR="00591A8C" w:rsidRPr="00D770F2" w:rsidRDefault="00591A8C" w:rsidP="006F56EE">
            <w:pPr>
              <w:jc w:val="both"/>
              <w:rPr>
                <w:sz w:val="20"/>
                <w:lang w:val="en-CA"/>
              </w:rPr>
            </w:pPr>
          </w:p>
        </w:tc>
        <w:tc>
          <w:tcPr>
            <w:tcW w:w="243" w:type="pct"/>
          </w:tcPr>
          <w:p w:rsidR="00591A8C" w:rsidRPr="00D770F2" w:rsidRDefault="00591A8C" w:rsidP="006F56EE">
            <w:pPr>
              <w:jc w:val="both"/>
              <w:rPr>
                <w:sz w:val="20"/>
                <w:lang w:val="en-CA"/>
              </w:rPr>
            </w:pPr>
          </w:p>
        </w:tc>
        <w:tc>
          <w:tcPr>
            <w:tcW w:w="2330" w:type="pct"/>
          </w:tcPr>
          <w:p w:rsidR="00591A8C" w:rsidRPr="00D770F2" w:rsidRDefault="00591A8C" w:rsidP="006F56EE">
            <w:pPr>
              <w:jc w:val="both"/>
              <w:rPr>
                <w:sz w:val="20"/>
                <w:lang w:val="en-CA"/>
              </w:rPr>
            </w:pPr>
            <w:r w:rsidRPr="00D770F2">
              <w:rPr>
                <w:sz w:val="20"/>
                <w:lang w:val="en-CA"/>
              </w:rPr>
              <w:t>Application allowed in part</w:t>
            </w:r>
          </w:p>
          <w:p w:rsidR="00591A8C" w:rsidRPr="00D770F2" w:rsidRDefault="00591A8C" w:rsidP="006F56EE">
            <w:pPr>
              <w:jc w:val="both"/>
              <w:rPr>
                <w:sz w:val="20"/>
                <w:lang w:val="en-CA"/>
              </w:rPr>
            </w:pPr>
          </w:p>
          <w:p w:rsidR="00591A8C" w:rsidRPr="00D770F2" w:rsidRDefault="00591A8C" w:rsidP="006F56EE">
            <w:pPr>
              <w:jc w:val="both"/>
              <w:rPr>
                <w:sz w:val="20"/>
                <w:lang w:val="en-CA"/>
              </w:rPr>
            </w:pPr>
          </w:p>
        </w:tc>
      </w:tr>
      <w:tr w:rsidR="00591A8C" w:rsidRPr="00D770F2" w:rsidTr="006F56EE">
        <w:tc>
          <w:tcPr>
            <w:tcW w:w="2427" w:type="pct"/>
            <w:gridSpan w:val="2"/>
          </w:tcPr>
          <w:p w:rsidR="00591A8C" w:rsidRPr="00D770F2" w:rsidRDefault="00591A8C" w:rsidP="006F56EE">
            <w:pPr>
              <w:jc w:val="both"/>
              <w:rPr>
                <w:sz w:val="20"/>
                <w:lang w:val="en-CA"/>
              </w:rPr>
            </w:pPr>
            <w:r w:rsidRPr="00D770F2">
              <w:rPr>
                <w:sz w:val="20"/>
                <w:lang w:val="en-CA"/>
              </w:rPr>
              <w:t>February 28, 2017</w:t>
            </w:r>
          </w:p>
          <w:p w:rsidR="00591A8C" w:rsidRPr="00D770F2" w:rsidRDefault="00591A8C" w:rsidP="006F56EE">
            <w:pPr>
              <w:jc w:val="both"/>
              <w:rPr>
                <w:sz w:val="20"/>
                <w:lang w:val="en-CA"/>
              </w:rPr>
            </w:pPr>
            <w:r w:rsidRPr="00D770F2">
              <w:rPr>
                <w:sz w:val="20"/>
                <w:lang w:val="en-CA"/>
              </w:rPr>
              <w:t>Quebec Court of Appeal (Montréal)</w:t>
            </w:r>
          </w:p>
          <w:p w:rsidR="00591A8C" w:rsidRPr="00D770F2" w:rsidRDefault="00591A8C" w:rsidP="006F56EE">
            <w:pPr>
              <w:jc w:val="both"/>
              <w:rPr>
                <w:sz w:val="20"/>
                <w:lang w:val="en-CA"/>
              </w:rPr>
            </w:pPr>
            <w:r w:rsidRPr="00D770F2">
              <w:rPr>
                <w:sz w:val="20"/>
                <w:lang w:val="en-CA"/>
              </w:rPr>
              <w:t>(Schrager J.A.)</w:t>
            </w:r>
          </w:p>
          <w:p w:rsidR="00591A8C" w:rsidRPr="00D770F2" w:rsidRDefault="009479D6" w:rsidP="006F56EE">
            <w:pPr>
              <w:jc w:val="both"/>
              <w:rPr>
                <w:sz w:val="20"/>
                <w:lang w:val="en-CA"/>
              </w:rPr>
            </w:pPr>
            <w:hyperlink r:id="rId59" w:history="1">
              <w:r w:rsidR="00591A8C" w:rsidRPr="00D770F2">
                <w:rPr>
                  <w:rStyle w:val="Hyperlink"/>
                  <w:sz w:val="20"/>
                  <w:lang w:val="en-CA"/>
                </w:rPr>
                <w:t>2017 QCCA 356</w:t>
              </w:r>
            </w:hyperlink>
          </w:p>
          <w:p w:rsidR="00591A8C" w:rsidRPr="00D770F2" w:rsidRDefault="00591A8C" w:rsidP="006F56EE">
            <w:pPr>
              <w:jc w:val="both"/>
              <w:rPr>
                <w:sz w:val="20"/>
                <w:lang w:val="en-CA"/>
              </w:rPr>
            </w:pPr>
          </w:p>
        </w:tc>
        <w:tc>
          <w:tcPr>
            <w:tcW w:w="243" w:type="pct"/>
          </w:tcPr>
          <w:p w:rsidR="00591A8C" w:rsidRPr="00D770F2" w:rsidRDefault="00591A8C" w:rsidP="006F56EE">
            <w:pPr>
              <w:jc w:val="both"/>
              <w:rPr>
                <w:sz w:val="20"/>
                <w:lang w:val="en-CA"/>
              </w:rPr>
            </w:pPr>
          </w:p>
        </w:tc>
        <w:tc>
          <w:tcPr>
            <w:tcW w:w="2330" w:type="pct"/>
          </w:tcPr>
          <w:p w:rsidR="00591A8C" w:rsidRPr="00D770F2" w:rsidRDefault="00591A8C" w:rsidP="006F56EE">
            <w:pPr>
              <w:jc w:val="both"/>
              <w:rPr>
                <w:sz w:val="20"/>
                <w:lang w:val="en-CA"/>
              </w:rPr>
            </w:pPr>
            <w:r w:rsidRPr="00D770F2">
              <w:rPr>
                <w:sz w:val="20"/>
                <w:lang w:val="en-CA"/>
              </w:rPr>
              <w:t>Motion for leave to appeal dismissed</w:t>
            </w:r>
          </w:p>
          <w:p w:rsidR="00591A8C" w:rsidRPr="00D770F2" w:rsidRDefault="00591A8C" w:rsidP="006F56EE">
            <w:pPr>
              <w:jc w:val="both"/>
              <w:rPr>
                <w:sz w:val="20"/>
                <w:lang w:val="en-CA"/>
              </w:rPr>
            </w:pPr>
          </w:p>
        </w:tc>
      </w:tr>
      <w:tr w:rsidR="00591A8C" w:rsidRPr="00D770F2" w:rsidTr="006F56EE">
        <w:tc>
          <w:tcPr>
            <w:tcW w:w="2427" w:type="pct"/>
            <w:gridSpan w:val="2"/>
          </w:tcPr>
          <w:p w:rsidR="00591A8C" w:rsidRPr="00D770F2" w:rsidRDefault="00591A8C" w:rsidP="006F56EE">
            <w:pPr>
              <w:jc w:val="both"/>
              <w:rPr>
                <w:sz w:val="20"/>
                <w:lang w:val="en-CA"/>
              </w:rPr>
            </w:pPr>
            <w:r w:rsidRPr="00D770F2">
              <w:rPr>
                <w:sz w:val="20"/>
                <w:lang w:val="en-CA"/>
              </w:rPr>
              <w:t>April 28, 2017</w:t>
            </w:r>
          </w:p>
          <w:p w:rsidR="00591A8C" w:rsidRPr="00D770F2" w:rsidRDefault="00591A8C" w:rsidP="006F56EE">
            <w:pPr>
              <w:jc w:val="both"/>
              <w:rPr>
                <w:sz w:val="20"/>
                <w:lang w:val="en-CA"/>
              </w:rPr>
            </w:pPr>
            <w:r w:rsidRPr="00D770F2">
              <w:rPr>
                <w:sz w:val="20"/>
                <w:lang w:val="en-CA"/>
              </w:rPr>
              <w:t>Supreme Court of Canada</w:t>
            </w:r>
          </w:p>
        </w:tc>
        <w:tc>
          <w:tcPr>
            <w:tcW w:w="243" w:type="pct"/>
          </w:tcPr>
          <w:p w:rsidR="00591A8C" w:rsidRPr="00D770F2" w:rsidRDefault="00591A8C" w:rsidP="006F56EE">
            <w:pPr>
              <w:jc w:val="both"/>
              <w:rPr>
                <w:sz w:val="20"/>
                <w:lang w:val="en-CA"/>
              </w:rPr>
            </w:pPr>
          </w:p>
        </w:tc>
        <w:tc>
          <w:tcPr>
            <w:tcW w:w="2330" w:type="pct"/>
          </w:tcPr>
          <w:p w:rsidR="00591A8C" w:rsidRPr="00D770F2" w:rsidRDefault="00591A8C" w:rsidP="006F56EE">
            <w:pPr>
              <w:jc w:val="both"/>
              <w:rPr>
                <w:sz w:val="20"/>
                <w:lang w:val="en-CA"/>
              </w:rPr>
            </w:pPr>
            <w:r w:rsidRPr="00D770F2">
              <w:rPr>
                <w:sz w:val="20"/>
                <w:lang w:val="en-CA"/>
              </w:rPr>
              <w:t>Application for leave to appeal filed</w:t>
            </w:r>
          </w:p>
          <w:p w:rsidR="00591A8C" w:rsidRPr="00D770F2" w:rsidRDefault="00591A8C" w:rsidP="006F56EE">
            <w:pPr>
              <w:jc w:val="both"/>
              <w:rPr>
                <w:sz w:val="20"/>
                <w:lang w:val="en-CA"/>
              </w:rPr>
            </w:pPr>
          </w:p>
        </w:tc>
      </w:tr>
    </w:tbl>
    <w:p w:rsidR="00591A8C" w:rsidRPr="00D770F2" w:rsidRDefault="00591A8C" w:rsidP="006F56EE">
      <w:pPr>
        <w:jc w:val="both"/>
        <w:rPr>
          <w:sz w:val="20"/>
          <w:lang w:val="en-CA"/>
        </w:rPr>
      </w:pPr>
    </w:p>
    <w:p w:rsidR="00EA7D94" w:rsidRPr="00D770F2" w:rsidRDefault="00EA7D94" w:rsidP="006F56E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91A8C" w:rsidRPr="00D770F2" w:rsidTr="006F56EE">
        <w:tc>
          <w:tcPr>
            <w:tcW w:w="543" w:type="pct"/>
          </w:tcPr>
          <w:p w:rsidR="00591A8C" w:rsidRPr="00D770F2" w:rsidRDefault="00591A8C" w:rsidP="006F56EE">
            <w:pPr>
              <w:jc w:val="both"/>
              <w:rPr>
                <w:sz w:val="20"/>
              </w:rPr>
            </w:pPr>
            <w:r w:rsidRPr="00D770F2">
              <w:rPr>
                <w:rStyle w:val="SCCFileNumberChar"/>
                <w:sz w:val="20"/>
                <w:szCs w:val="20"/>
              </w:rPr>
              <w:t>37548</w:t>
            </w:r>
          </w:p>
        </w:tc>
        <w:tc>
          <w:tcPr>
            <w:tcW w:w="4457" w:type="pct"/>
            <w:gridSpan w:val="3"/>
          </w:tcPr>
          <w:p w:rsidR="00591A8C" w:rsidRPr="00D770F2" w:rsidRDefault="00591A8C" w:rsidP="006F56EE">
            <w:pPr>
              <w:jc w:val="both"/>
              <w:rPr>
                <w:b/>
                <w:sz w:val="20"/>
                <w:lang w:val="fr-CA"/>
              </w:rPr>
            </w:pPr>
            <w:r w:rsidRPr="00D770F2">
              <w:rPr>
                <w:b/>
                <w:sz w:val="20"/>
                <w:lang w:val="fr-CA"/>
              </w:rPr>
              <w:t xml:space="preserve">Gestion Éric Tardif inc., maintenant connue sous le nom de Entreprises T.B. inc. et Gestion D. Mercier inc. c. Banque Royale du Canada </w:t>
            </w:r>
          </w:p>
          <w:p w:rsidR="00591A8C" w:rsidRPr="00D770F2" w:rsidRDefault="00591A8C" w:rsidP="006F56EE">
            <w:pPr>
              <w:jc w:val="both"/>
              <w:rPr>
                <w:sz w:val="20"/>
              </w:rPr>
            </w:pPr>
            <w:r w:rsidRPr="00D770F2">
              <w:rPr>
                <w:sz w:val="20"/>
              </w:rPr>
              <w:t>(Qc) (Civile) (Autorisation)</w:t>
            </w:r>
          </w:p>
        </w:tc>
      </w:tr>
      <w:tr w:rsidR="00591A8C" w:rsidRPr="00D770F2" w:rsidTr="006F56EE">
        <w:tc>
          <w:tcPr>
            <w:tcW w:w="5000" w:type="pct"/>
            <w:gridSpan w:val="4"/>
          </w:tcPr>
          <w:p w:rsidR="00591A8C" w:rsidRPr="00D770F2" w:rsidRDefault="00591A8C" w:rsidP="006F56EE">
            <w:pPr>
              <w:jc w:val="both"/>
              <w:rPr>
                <w:sz w:val="20"/>
              </w:rPr>
            </w:pPr>
            <w:r w:rsidRPr="00D770F2">
              <w:rPr>
                <w:sz w:val="20"/>
                <w:lang w:val="fr-CA"/>
              </w:rPr>
              <w:t xml:space="preserve">Contrat ‒ Cautionnement ‒ Exécution ‒ Obligation de renseignement ‒ Exception de subrogation ‒ Quels sont les critères juridiques applicables à une défense de fin de non-recevoir en matière de cautionnement? ‒ Est-il nécessaire que le comportement du créancier soit empreint de mauvaise foi? ‒ Est-il nécessaire pour la caution de prouver le quantum du préjudice subi? ‒ Peut-on conclure à une fin de non-recevoir partielle d’une action? </w:t>
            </w:r>
            <w:r w:rsidRPr="00D770F2">
              <w:rPr>
                <w:sz w:val="20"/>
              </w:rPr>
              <w:t xml:space="preserve">‒ </w:t>
            </w:r>
            <w:r w:rsidRPr="00D770F2">
              <w:rPr>
                <w:i/>
                <w:sz w:val="20"/>
              </w:rPr>
              <w:t>Code civil du Québec</w:t>
            </w:r>
            <w:r w:rsidRPr="00D770F2">
              <w:rPr>
                <w:sz w:val="20"/>
              </w:rPr>
              <w:t>, art. 1375, 2345 et 2365.</w:t>
            </w:r>
          </w:p>
        </w:tc>
      </w:tr>
      <w:tr w:rsidR="00591A8C" w:rsidRPr="00D770F2" w:rsidTr="006F56EE">
        <w:tc>
          <w:tcPr>
            <w:tcW w:w="5000" w:type="pct"/>
            <w:gridSpan w:val="4"/>
          </w:tcPr>
          <w:p w:rsidR="00591A8C" w:rsidRPr="00D770F2" w:rsidRDefault="00591A8C" w:rsidP="006F56EE">
            <w:pPr>
              <w:jc w:val="both"/>
              <w:rPr>
                <w:sz w:val="20"/>
              </w:rPr>
            </w:pPr>
          </w:p>
        </w:tc>
      </w:tr>
      <w:tr w:rsidR="00591A8C" w:rsidRPr="0030635C" w:rsidTr="006F56EE">
        <w:tc>
          <w:tcPr>
            <w:tcW w:w="5000" w:type="pct"/>
            <w:gridSpan w:val="4"/>
          </w:tcPr>
          <w:p w:rsidR="00591A8C" w:rsidRPr="00D770F2" w:rsidRDefault="00591A8C" w:rsidP="006F56EE">
            <w:pPr>
              <w:jc w:val="both"/>
              <w:rPr>
                <w:sz w:val="20"/>
                <w:lang w:val="fr-CA"/>
              </w:rPr>
            </w:pPr>
            <w:r w:rsidRPr="00D770F2">
              <w:rPr>
                <w:sz w:val="20"/>
                <w:lang w:val="fr-CA"/>
              </w:rPr>
              <w:t>Les demanderesses, Gestion Éric Tardif inc., maintenant connue sous le nom de Entreprises T.B. inc. et Gestion D. Mercier inc., ont signé des actes de cautionnement par lesquels elles s’engagent conjointement et solidairement, jusqu’à hauteur de 50 000 $ à payer les dettes de la débitrice, le restaurant l’Autre Version 2014 inc. auprès de l’intimée, la Banque Royale du Canada. En 15 janvier 2016, l’Autre Version 2014 inc. dont Gestion D. Mercier inc. était actionnaire principal fait faillite. Afin de minimiser son risque eut égard au cautionnement, Gestion D. Mercier inc., entretient diverses communications avec les représentants de la Banque Royale du Canada pour que la vente des biens de l’entreprise procède par appel d’offres privé afin qu’ils soient vendus au meilleur offrant. En effet, Gestion D. Mercier inc. considérait que l’évaluation de la valeur des biens effectuée par le Syndic était très basse. Or, malgré le fait que la Banque ait indiqué être intéressée de procéder par appel d’offres privé rapidement, cette dernière a finalement décidé de vendre les biens au locateur de l’immeuble où était logée la débitrice pour une somme avoisinant celle de l’évaluation réalisée par le syndic. La Banque a obtenu en contrepartie qu’aucun loyer ne lui soit imputé par le locateur. Les demanderesses contestent le recours entrepris par la Banque afin qu’elles honorent les actes de cautionnement qu’elles ont signé en opposant comme moyen de défense le fait que la Banque ait procédé à la vente des biens de l’entreprise à un prix faible, et ce, sans qu’elles en aient été informées.</w:t>
            </w:r>
          </w:p>
          <w:p w:rsidR="00591A8C" w:rsidRPr="00D770F2" w:rsidRDefault="00591A8C" w:rsidP="006F56EE">
            <w:pPr>
              <w:jc w:val="both"/>
              <w:rPr>
                <w:sz w:val="20"/>
                <w:lang w:val="fr-CA"/>
              </w:rPr>
            </w:pPr>
          </w:p>
        </w:tc>
      </w:tr>
      <w:tr w:rsidR="00591A8C" w:rsidRPr="00D770F2" w:rsidTr="006F56EE">
        <w:tc>
          <w:tcPr>
            <w:tcW w:w="2427" w:type="pct"/>
            <w:gridSpan w:val="2"/>
          </w:tcPr>
          <w:p w:rsidR="00591A8C" w:rsidRPr="00D770F2" w:rsidRDefault="00591A8C" w:rsidP="006F56EE">
            <w:pPr>
              <w:jc w:val="both"/>
              <w:rPr>
                <w:sz w:val="20"/>
                <w:lang w:val="fr-CA"/>
              </w:rPr>
            </w:pPr>
            <w:r w:rsidRPr="00D770F2">
              <w:rPr>
                <w:sz w:val="20"/>
                <w:lang w:val="fr-CA"/>
              </w:rPr>
              <w:t>Le 5 décembre 2016</w:t>
            </w:r>
          </w:p>
          <w:p w:rsidR="00591A8C" w:rsidRPr="00D770F2" w:rsidRDefault="00591A8C" w:rsidP="006F56EE">
            <w:pPr>
              <w:jc w:val="both"/>
              <w:rPr>
                <w:sz w:val="20"/>
                <w:lang w:val="fr-CA"/>
              </w:rPr>
            </w:pPr>
            <w:r w:rsidRPr="00D770F2">
              <w:rPr>
                <w:sz w:val="20"/>
                <w:lang w:val="fr-CA"/>
              </w:rPr>
              <w:t>Cour du Québec</w:t>
            </w:r>
          </w:p>
          <w:p w:rsidR="00591A8C" w:rsidRPr="00D770F2" w:rsidRDefault="00591A8C" w:rsidP="006F56EE">
            <w:pPr>
              <w:jc w:val="both"/>
              <w:rPr>
                <w:sz w:val="20"/>
                <w:lang w:val="fr-CA"/>
              </w:rPr>
            </w:pPr>
            <w:r w:rsidRPr="00D770F2">
              <w:rPr>
                <w:sz w:val="20"/>
                <w:lang w:val="fr-CA"/>
              </w:rPr>
              <w:t>(Le juge Bourgeois)</w:t>
            </w:r>
          </w:p>
          <w:p w:rsidR="00591A8C" w:rsidRPr="00D770F2" w:rsidRDefault="009479D6" w:rsidP="006F56EE">
            <w:pPr>
              <w:jc w:val="both"/>
              <w:rPr>
                <w:sz w:val="20"/>
              </w:rPr>
            </w:pPr>
            <w:hyperlink r:id="rId60" w:history="1">
              <w:r w:rsidR="00591A8C" w:rsidRPr="00D770F2">
                <w:rPr>
                  <w:rStyle w:val="Hyperlink"/>
                  <w:sz w:val="20"/>
                </w:rPr>
                <w:t>2016 QCCQ 19930</w:t>
              </w:r>
            </w:hyperlink>
          </w:p>
          <w:p w:rsidR="00591A8C" w:rsidRPr="00D770F2" w:rsidRDefault="00591A8C" w:rsidP="006F56EE">
            <w:pPr>
              <w:jc w:val="both"/>
              <w:rPr>
                <w:sz w:val="20"/>
                <w:lang w:val="fr-FR"/>
              </w:rPr>
            </w:pPr>
          </w:p>
        </w:tc>
        <w:tc>
          <w:tcPr>
            <w:tcW w:w="243" w:type="pct"/>
          </w:tcPr>
          <w:p w:rsidR="00591A8C" w:rsidRPr="00D770F2" w:rsidRDefault="00591A8C" w:rsidP="006F56EE">
            <w:pPr>
              <w:jc w:val="both"/>
              <w:rPr>
                <w:sz w:val="20"/>
                <w:lang w:val="fr-FR"/>
              </w:rPr>
            </w:pPr>
          </w:p>
        </w:tc>
        <w:tc>
          <w:tcPr>
            <w:tcW w:w="2330" w:type="pct"/>
          </w:tcPr>
          <w:p w:rsidR="00591A8C" w:rsidRPr="00D770F2" w:rsidRDefault="00591A8C" w:rsidP="006F56EE">
            <w:pPr>
              <w:jc w:val="both"/>
              <w:rPr>
                <w:sz w:val="20"/>
              </w:rPr>
            </w:pPr>
            <w:r w:rsidRPr="00D770F2">
              <w:rPr>
                <w:sz w:val="20"/>
              </w:rPr>
              <w:t>Demande accueillie en partie.</w:t>
            </w:r>
          </w:p>
          <w:p w:rsidR="00591A8C" w:rsidRPr="00D770F2" w:rsidRDefault="00591A8C" w:rsidP="006F56EE">
            <w:pPr>
              <w:jc w:val="both"/>
              <w:rPr>
                <w:sz w:val="20"/>
              </w:rPr>
            </w:pPr>
          </w:p>
          <w:p w:rsidR="00591A8C" w:rsidRPr="00D770F2" w:rsidRDefault="00591A8C" w:rsidP="006F56EE">
            <w:pPr>
              <w:jc w:val="both"/>
              <w:rPr>
                <w:sz w:val="20"/>
              </w:rPr>
            </w:pPr>
          </w:p>
        </w:tc>
      </w:tr>
      <w:tr w:rsidR="00591A8C" w:rsidRPr="0030635C" w:rsidTr="006F56EE">
        <w:tc>
          <w:tcPr>
            <w:tcW w:w="2427" w:type="pct"/>
            <w:gridSpan w:val="2"/>
          </w:tcPr>
          <w:p w:rsidR="00591A8C" w:rsidRPr="00D770F2" w:rsidRDefault="00591A8C" w:rsidP="006F56EE">
            <w:pPr>
              <w:jc w:val="both"/>
              <w:rPr>
                <w:sz w:val="20"/>
                <w:lang w:val="fr-CA"/>
              </w:rPr>
            </w:pPr>
            <w:r w:rsidRPr="00D770F2">
              <w:rPr>
                <w:sz w:val="20"/>
                <w:lang w:val="fr-CA"/>
              </w:rPr>
              <w:t>Le 28 février 2017</w:t>
            </w:r>
          </w:p>
          <w:p w:rsidR="00591A8C" w:rsidRPr="00D770F2" w:rsidRDefault="00591A8C" w:rsidP="006F56EE">
            <w:pPr>
              <w:jc w:val="both"/>
              <w:rPr>
                <w:sz w:val="20"/>
                <w:lang w:val="fr-CA"/>
              </w:rPr>
            </w:pPr>
            <w:r w:rsidRPr="00D770F2">
              <w:rPr>
                <w:sz w:val="20"/>
                <w:lang w:val="fr-CA"/>
              </w:rPr>
              <w:t>Cour d’appel du Québec (Montréal)</w:t>
            </w:r>
          </w:p>
          <w:p w:rsidR="00591A8C" w:rsidRPr="00D770F2" w:rsidRDefault="00591A8C" w:rsidP="006F56EE">
            <w:pPr>
              <w:jc w:val="both"/>
              <w:rPr>
                <w:sz w:val="20"/>
              </w:rPr>
            </w:pPr>
            <w:r w:rsidRPr="00D770F2">
              <w:rPr>
                <w:sz w:val="20"/>
              </w:rPr>
              <w:t xml:space="preserve">(Le </w:t>
            </w:r>
            <w:proofErr w:type="spellStart"/>
            <w:r w:rsidRPr="00D770F2">
              <w:rPr>
                <w:sz w:val="20"/>
              </w:rPr>
              <w:t>juge</w:t>
            </w:r>
            <w:proofErr w:type="spellEnd"/>
            <w:r w:rsidRPr="00D770F2">
              <w:rPr>
                <w:sz w:val="20"/>
              </w:rPr>
              <w:t xml:space="preserve"> Schrager)</w:t>
            </w:r>
          </w:p>
          <w:p w:rsidR="00591A8C" w:rsidRPr="00D770F2" w:rsidRDefault="009479D6" w:rsidP="006F56EE">
            <w:pPr>
              <w:jc w:val="both"/>
              <w:rPr>
                <w:sz w:val="20"/>
              </w:rPr>
            </w:pPr>
            <w:hyperlink r:id="rId61" w:history="1">
              <w:r w:rsidR="00591A8C" w:rsidRPr="00D770F2">
                <w:rPr>
                  <w:rStyle w:val="Hyperlink"/>
                  <w:sz w:val="20"/>
                </w:rPr>
                <w:t>2017 QCCA 356</w:t>
              </w:r>
            </w:hyperlink>
          </w:p>
          <w:p w:rsidR="00591A8C" w:rsidRPr="00D770F2" w:rsidRDefault="00591A8C" w:rsidP="006F56EE">
            <w:pPr>
              <w:jc w:val="both"/>
              <w:rPr>
                <w:sz w:val="20"/>
              </w:rPr>
            </w:pPr>
          </w:p>
        </w:tc>
        <w:tc>
          <w:tcPr>
            <w:tcW w:w="243" w:type="pct"/>
          </w:tcPr>
          <w:p w:rsidR="00591A8C" w:rsidRPr="00D770F2" w:rsidRDefault="00591A8C" w:rsidP="006F56EE">
            <w:pPr>
              <w:jc w:val="both"/>
              <w:rPr>
                <w:sz w:val="20"/>
              </w:rPr>
            </w:pPr>
          </w:p>
        </w:tc>
        <w:tc>
          <w:tcPr>
            <w:tcW w:w="2330" w:type="pct"/>
          </w:tcPr>
          <w:p w:rsidR="00591A8C" w:rsidRPr="00D770F2" w:rsidRDefault="00591A8C" w:rsidP="006F56EE">
            <w:pPr>
              <w:jc w:val="both"/>
              <w:rPr>
                <w:sz w:val="20"/>
                <w:lang w:val="fr-CA"/>
              </w:rPr>
            </w:pPr>
            <w:r w:rsidRPr="00D770F2">
              <w:rPr>
                <w:sz w:val="20"/>
                <w:lang w:val="fr-CA"/>
              </w:rPr>
              <w:t>Requête pour permission d’en appeler rejetée.</w:t>
            </w:r>
          </w:p>
          <w:p w:rsidR="00591A8C" w:rsidRPr="00D770F2" w:rsidRDefault="00591A8C" w:rsidP="006F56EE">
            <w:pPr>
              <w:jc w:val="both"/>
              <w:rPr>
                <w:sz w:val="20"/>
                <w:lang w:val="fr-CA"/>
              </w:rPr>
            </w:pPr>
          </w:p>
        </w:tc>
      </w:tr>
      <w:tr w:rsidR="00591A8C" w:rsidRPr="00D770F2" w:rsidTr="006F56EE">
        <w:tc>
          <w:tcPr>
            <w:tcW w:w="2427" w:type="pct"/>
            <w:gridSpan w:val="2"/>
          </w:tcPr>
          <w:p w:rsidR="00591A8C" w:rsidRPr="00D770F2" w:rsidRDefault="00591A8C" w:rsidP="006F56EE">
            <w:pPr>
              <w:jc w:val="both"/>
              <w:rPr>
                <w:sz w:val="20"/>
                <w:lang w:val="fr-CA"/>
              </w:rPr>
            </w:pPr>
            <w:r w:rsidRPr="00D770F2">
              <w:rPr>
                <w:sz w:val="20"/>
                <w:lang w:val="fr-CA"/>
              </w:rPr>
              <w:t>Le 28 avril 2017</w:t>
            </w:r>
          </w:p>
          <w:p w:rsidR="00591A8C" w:rsidRPr="00D770F2" w:rsidRDefault="00591A8C" w:rsidP="006F56EE">
            <w:pPr>
              <w:jc w:val="both"/>
              <w:rPr>
                <w:sz w:val="20"/>
                <w:lang w:val="fr-FR"/>
              </w:rPr>
            </w:pPr>
            <w:r w:rsidRPr="00D770F2">
              <w:rPr>
                <w:sz w:val="20"/>
                <w:lang w:val="fr-CA"/>
              </w:rPr>
              <w:t>Cour suprême du Canada</w:t>
            </w:r>
          </w:p>
        </w:tc>
        <w:tc>
          <w:tcPr>
            <w:tcW w:w="243" w:type="pct"/>
          </w:tcPr>
          <w:p w:rsidR="00591A8C" w:rsidRPr="00D770F2" w:rsidRDefault="00591A8C" w:rsidP="006F56EE">
            <w:pPr>
              <w:jc w:val="both"/>
              <w:rPr>
                <w:sz w:val="20"/>
                <w:lang w:val="fr-FR"/>
              </w:rPr>
            </w:pPr>
          </w:p>
        </w:tc>
        <w:tc>
          <w:tcPr>
            <w:tcW w:w="2330" w:type="pct"/>
          </w:tcPr>
          <w:p w:rsidR="00591A8C" w:rsidRPr="00D770F2" w:rsidRDefault="00591A8C" w:rsidP="006F56EE">
            <w:pPr>
              <w:jc w:val="both"/>
              <w:rPr>
                <w:sz w:val="20"/>
              </w:rPr>
            </w:pPr>
            <w:r w:rsidRPr="00D770F2">
              <w:rPr>
                <w:sz w:val="20"/>
              </w:rPr>
              <w:t>Demande d’autorisation d’appel déposée.</w:t>
            </w:r>
          </w:p>
          <w:p w:rsidR="00591A8C" w:rsidRPr="00D770F2" w:rsidRDefault="00591A8C" w:rsidP="006F56EE">
            <w:pPr>
              <w:jc w:val="both"/>
              <w:rPr>
                <w:sz w:val="20"/>
              </w:rPr>
            </w:pPr>
          </w:p>
        </w:tc>
      </w:tr>
    </w:tbl>
    <w:p w:rsidR="00591A8C" w:rsidRPr="00D770F2" w:rsidRDefault="00591A8C" w:rsidP="006F56EE">
      <w:pPr>
        <w:jc w:val="both"/>
        <w:rPr>
          <w:sz w:val="20"/>
        </w:rPr>
      </w:pPr>
    </w:p>
    <w:p w:rsidR="001E6FC9" w:rsidRPr="00D770F2" w:rsidRDefault="001E6FC9" w:rsidP="006F56EE">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591A8C" w:rsidRPr="00D770F2" w:rsidTr="006F56EE">
        <w:trPr>
          <w:gridAfter w:val="1"/>
          <w:wAfter w:w="48" w:type="pct"/>
        </w:trPr>
        <w:tc>
          <w:tcPr>
            <w:tcW w:w="537" w:type="pct"/>
          </w:tcPr>
          <w:p w:rsidR="00591A8C" w:rsidRPr="00D770F2" w:rsidRDefault="00591A8C" w:rsidP="006F56EE">
            <w:pPr>
              <w:jc w:val="both"/>
              <w:rPr>
                <w:sz w:val="20"/>
              </w:rPr>
            </w:pPr>
            <w:bookmarkStart w:id="0" w:name="_GoBack"/>
            <w:bookmarkEnd w:id="0"/>
            <w:r w:rsidRPr="00D770F2">
              <w:rPr>
                <w:rStyle w:val="SCCFileNumberChar"/>
                <w:sz w:val="20"/>
                <w:szCs w:val="20"/>
              </w:rPr>
              <w:t>37759</w:t>
            </w:r>
          </w:p>
        </w:tc>
        <w:tc>
          <w:tcPr>
            <w:tcW w:w="4415" w:type="pct"/>
            <w:gridSpan w:val="3"/>
          </w:tcPr>
          <w:p w:rsidR="00591A8C" w:rsidRPr="00D770F2" w:rsidRDefault="00591A8C" w:rsidP="006F56EE">
            <w:pPr>
              <w:pStyle w:val="SCCLsocParty"/>
              <w:jc w:val="both"/>
              <w:rPr>
                <w:b/>
                <w:sz w:val="20"/>
                <w:szCs w:val="20"/>
                <w:lang w:val="en-US"/>
              </w:rPr>
            </w:pPr>
            <w:r w:rsidRPr="00D770F2">
              <w:rPr>
                <w:b/>
                <w:sz w:val="20"/>
                <w:szCs w:val="20"/>
                <w:lang w:val="en-US"/>
              </w:rPr>
              <w:t>Iranian Ministry of Information and Security, Islamic Republic of Iran, Iranian Revolutionary Guard Corps v. Edwards Tracy, by his Litigation Guardian, Charles Murphy, Elizabeth Cicippio-Puleo, Estate of Helen Fazio, Estate of Domenic Cicippio, David B. Cicippio, Eric R. Cicippio, Richard Dennis Cicippio, Thomas J. Cicippio, Estate of Paul V. Cicippio, Allen John Cicippio, Estate of Rose Abell, Anthony Cicippio, Estate of Alexander Cicippio, Nicholas B. Cicippio, Estate of Joseph J. Cicippio Jr., Estate of Marla Bennett, Michael Bennett, Linda Bennett, Lisa Bennett, American Center for Civil Justice, Inc., as Assignee for Christine Higgins, Katie L. Marthaler, Herman C. Marthaler, III, Matthew Marthaler, Kirk Marthaler, Richard W. Wood, Kathleen M. Wood, Shawn M. Wood, Francis Heiser, Denise M. Eichstaedt, Anthony W. Cartrette, Lewis W. Cartrette, Thaddeus C. Fennig, Catherine Fennig, Paul D. Fennig, Mark Fennig, Catherine Adams, Mary Young, Daniel Adams, Elizabeth Wolf, Patrick D. Adams, John E. Adams, William Adams, Michael T. Adams, Christopher R. Nguyen, Bridget Brooks, James R. Rimkus, Anne M. Rimkus, Steve K. Kitson, Nancy A. Kitson, Lawrence E. Taylor, Vickie L. Taylor, Starlin A D. Taylor, Dawn Woody, Bernadine R. Beekman, Tracy M. Smith, Jonica L. Woody, Timothy Woody, Ibis S. Haun, Senator Haun, Milagritos Perez-Dalis, Cecil H. Lester, Sr., Judy Lester, Cecil H. Lester, Jr., Judy Lester, Cecil H. Lester, Jr., Jessica F. Lester, Shyrl L. Johnson, Kevin Johnson, Jr., Nicholas A. Johnson, A Minor, by his Legal Guardian Shyrl L. Johnson, Michael Morgera, Thomas Morgera, Marie R. Campbell, Bessie A. Campbell, James V. Wetmore, George M. Beekman, Che G. Colson, Bruce Johnson, Estate of Brent E. Marthaler, Estate of Sharon Marthaler, Estate of Michael Heiser, Estate of Gary Heiser, Estate of Patrick P. Fennig, Estate of Christopher Adams, Estate of Thanh Van Nguyen, Estate of Sandra M. Wetmore, Estate of Kendall Kitson, Jr., Estate of Kendall K. Kitson, Sr., Estate of Nancy R. Kitson, Estate of Joshua E. Woody, Estate of Leland Timothy Haun, Estate of Christopher Lester, Estate of Kevin J. Johnson, Sr., Estate of Millard D. Campbell, Estate of Peter J. Morgera, Estate of Justin R. Wood, Estate of Earl F. Cartrette, Jr., Estate of Brian Mcveigh, Estate of Joseph E. Rimkus, Estate of Jeremy A. Taylor, Estate of Laura E. Johnson, Paul Alexander Blais, Estate of Curtis Taylor, Maria Taylor, Cielito Valencia, Luz Southard, Steven Wolfe, Sonya Turner Broadway, Diana Campuzano, A Vi Elishis, Gregg Salzman, Elisa Nili Cirilo Peres Benrafael, Yonatan Mishael Ben-Rafael, A Minor by his Litigation Guardian Elisa Nili Cirilo Peres Ben-Rafael, Ralph Goldman, Noa Ruth Benrafael, Judith Goldman Baumgold and Naomi Goldman</w:t>
            </w:r>
          </w:p>
          <w:p w:rsidR="00591A8C" w:rsidRPr="00D770F2" w:rsidRDefault="00591A8C" w:rsidP="006F56EE">
            <w:pPr>
              <w:pStyle w:val="SCCLsocOtherPartySeparator"/>
              <w:rPr>
                <w:sz w:val="20"/>
                <w:szCs w:val="20"/>
              </w:rPr>
            </w:pPr>
            <w:r w:rsidRPr="00D770F2">
              <w:rPr>
                <w:sz w:val="20"/>
                <w:szCs w:val="20"/>
              </w:rPr>
              <w:t>- and -</w:t>
            </w:r>
          </w:p>
          <w:p w:rsidR="00591A8C" w:rsidRPr="00D770F2" w:rsidRDefault="00591A8C" w:rsidP="006F56EE">
            <w:pPr>
              <w:pStyle w:val="SCCLsocParty"/>
              <w:jc w:val="both"/>
              <w:rPr>
                <w:b/>
                <w:sz w:val="20"/>
                <w:szCs w:val="20"/>
                <w:lang w:val="en-US"/>
              </w:rPr>
            </w:pPr>
            <w:r w:rsidRPr="00D770F2">
              <w:rPr>
                <w:b/>
                <w:sz w:val="20"/>
                <w:szCs w:val="20"/>
                <w:lang w:val="en-US"/>
              </w:rPr>
              <w:t>Attorney General of Canada</w:t>
            </w:r>
          </w:p>
          <w:p w:rsidR="00591A8C" w:rsidRPr="00D770F2" w:rsidRDefault="00591A8C" w:rsidP="006F56EE">
            <w:pPr>
              <w:jc w:val="both"/>
              <w:rPr>
                <w:sz w:val="20"/>
              </w:rPr>
            </w:pPr>
            <w:r w:rsidRPr="00D770F2">
              <w:rPr>
                <w:sz w:val="20"/>
              </w:rPr>
              <w:t>(Ont.) (Civil) (By Leave)</w:t>
            </w:r>
          </w:p>
        </w:tc>
      </w:tr>
      <w:tr w:rsidR="00591A8C" w:rsidRPr="00D770F2" w:rsidTr="006F56EE">
        <w:trPr>
          <w:gridAfter w:val="1"/>
          <w:wAfter w:w="48" w:type="pct"/>
        </w:trPr>
        <w:tc>
          <w:tcPr>
            <w:tcW w:w="4952" w:type="pct"/>
            <w:gridSpan w:val="4"/>
          </w:tcPr>
          <w:p w:rsidR="00591A8C" w:rsidRPr="00D770F2" w:rsidRDefault="00591A8C" w:rsidP="006F56EE">
            <w:pPr>
              <w:pStyle w:val="SCCBanSummary"/>
              <w:rPr>
                <w:sz w:val="20"/>
                <w:szCs w:val="20"/>
              </w:rPr>
            </w:pPr>
            <w:r w:rsidRPr="00D770F2">
              <w:rPr>
                <w:sz w:val="20"/>
                <w:szCs w:val="20"/>
              </w:rPr>
              <w:t>(Sealing order) (Court file contains information that is not available for inspection by the public)</w:t>
            </w:r>
          </w:p>
          <w:p w:rsidR="00591A8C" w:rsidRPr="00D770F2" w:rsidRDefault="00591A8C" w:rsidP="006F56EE">
            <w:pPr>
              <w:jc w:val="both"/>
              <w:rPr>
                <w:sz w:val="20"/>
              </w:rPr>
            </w:pPr>
          </w:p>
        </w:tc>
      </w:tr>
      <w:tr w:rsidR="00591A8C" w:rsidRPr="00D770F2" w:rsidTr="006F56EE">
        <w:trPr>
          <w:gridAfter w:val="1"/>
          <w:wAfter w:w="48" w:type="pct"/>
        </w:trPr>
        <w:tc>
          <w:tcPr>
            <w:tcW w:w="4952" w:type="pct"/>
            <w:gridSpan w:val="4"/>
          </w:tcPr>
          <w:p w:rsidR="00591A8C" w:rsidRPr="00D770F2" w:rsidRDefault="00591A8C" w:rsidP="006F56EE">
            <w:pPr>
              <w:jc w:val="both"/>
              <w:rPr>
                <w:sz w:val="20"/>
              </w:rPr>
            </w:pPr>
            <w:r w:rsidRPr="00D770F2">
              <w:rPr>
                <w:sz w:val="20"/>
              </w:rPr>
              <w:t xml:space="preserve">International law — Diplomatic immunity — Suspension of diplomatic relations — Diplomatic premises and property — State immunity for state supporters of terrorism — Recognition of foreign judgments — Respondents were victims in terrorist attacks who obtained judgments in proceedings in United States against Iran for its support of terrorist organizations — Later, in 2012, Canada suspended diplomatic relations with Iran — Respondents have since obtained orders and judgments in Ontario enforcing U.S. judgments pursuant to </w:t>
            </w:r>
            <w:r w:rsidRPr="00D770F2">
              <w:rPr>
                <w:i/>
                <w:sz w:val="20"/>
              </w:rPr>
              <w:t>Justice for Victims of Terrorism Act</w:t>
            </w:r>
            <w:r w:rsidRPr="00D770F2">
              <w:rPr>
                <w:sz w:val="20"/>
              </w:rPr>
              <w:t>, S.C. 2012, c. 1, against Iranian assets remaining within Canada — Iran’s motions to set aside, vary or stay enforcement orders and judgments dismissed — Whether Iranian assets available to satisfy U.S. judgments — Whether respondents required to prove Iran’s support for terrorism in their recognition and enforcement actions — Whether U.S. court’s assumption of jurisdiction in the actions that led to the U.S. judgments correct.</w:t>
            </w:r>
          </w:p>
        </w:tc>
      </w:tr>
      <w:tr w:rsidR="00591A8C" w:rsidRPr="00D770F2" w:rsidTr="006F56EE">
        <w:trPr>
          <w:gridAfter w:val="1"/>
          <w:wAfter w:w="48" w:type="pct"/>
        </w:trPr>
        <w:tc>
          <w:tcPr>
            <w:tcW w:w="4952" w:type="pct"/>
            <w:gridSpan w:val="4"/>
          </w:tcPr>
          <w:p w:rsidR="00591A8C" w:rsidRPr="00D770F2" w:rsidRDefault="00591A8C" w:rsidP="006F56EE">
            <w:pPr>
              <w:jc w:val="both"/>
              <w:rPr>
                <w:sz w:val="20"/>
              </w:rPr>
            </w:pPr>
          </w:p>
          <w:p w:rsidR="00591A8C" w:rsidRPr="00D770F2" w:rsidRDefault="00591A8C" w:rsidP="006F56EE">
            <w:pPr>
              <w:jc w:val="both"/>
              <w:rPr>
                <w:sz w:val="20"/>
              </w:rPr>
            </w:pPr>
            <w:r w:rsidRPr="00D770F2">
              <w:rPr>
                <w:sz w:val="20"/>
              </w:rPr>
              <w:t xml:space="preserve">In 2012, Parliament enacted the </w:t>
            </w:r>
            <w:r w:rsidRPr="00D770F2">
              <w:rPr>
                <w:i/>
                <w:sz w:val="20"/>
              </w:rPr>
              <w:t>Justice for Victims of Terrorism Act</w:t>
            </w:r>
            <w:r w:rsidRPr="00D770F2">
              <w:rPr>
                <w:sz w:val="20"/>
              </w:rPr>
              <w:t xml:space="preserve">, S.C. 2012, </w:t>
            </w:r>
            <w:proofErr w:type="gramStart"/>
            <w:r w:rsidRPr="00D770F2">
              <w:rPr>
                <w:sz w:val="20"/>
              </w:rPr>
              <w:t>c</w:t>
            </w:r>
            <w:proofErr w:type="gramEnd"/>
            <w:r w:rsidRPr="00D770F2">
              <w:rPr>
                <w:sz w:val="20"/>
              </w:rPr>
              <w:t>. 1 (“JVTA”). The legislation granted victims of terrorism the ability to sue terrorists and foreign states that have materially contributed to terrorism and terrorist-sponsored attacks. The respondents hold judgments issued by courts in the United States for the sponsorship of terrorism by one or more of the applicants (collectively, “Iran”). In 2012, Canada suspended diplomatic relations with Iran. The respondents later sued in Ontario to enforce their judgments under the provisions of the JVTA against Iranian assets remaining within Canada. Iran did not defend the respondents’ enforcement actions, and ultimately a series of judgments and enforcement orders were granted. Iran then moved unsuccessfully to set aside the judgments and orders in a series of motions before a judge of the Ontario Superior Court. The Ontario Court of Appeal dismissed the appeals, except for judgments based on acts of terrorism that occurred prior to January 1, 1985, because the JVTA does not apply prior to that date and therefore, those ju</w:t>
            </w:r>
            <w:r w:rsidR="00EA7D94" w:rsidRPr="00D770F2">
              <w:rPr>
                <w:sz w:val="20"/>
              </w:rPr>
              <w:t>dgments could not be enforced.</w:t>
            </w:r>
          </w:p>
          <w:p w:rsidR="00591A8C" w:rsidRPr="00D770F2" w:rsidRDefault="00591A8C" w:rsidP="006F56EE">
            <w:pPr>
              <w:jc w:val="both"/>
              <w:rPr>
                <w:sz w:val="20"/>
              </w:rPr>
            </w:pPr>
          </w:p>
        </w:tc>
      </w:tr>
      <w:tr w:rsidR="00591A8C" w:rsidRPr="00D770F2" w:rsidTr="006F56EE">
        <w:tblPrEx>
          <w:tblCellMar>
            <w:bottom w:w="0" w:type="dxa"/>
          </w:tblCellMar>
        </w:tblPrEx>
        <w:tc>
          <w:tcPr>
            <w:tcW w:w="2367" w:type="pct"/>
            <w:gridSpan w:val="2"/>
          </w:tcPr>
          <w:p w:rsidR="00591A8C" w:rsidRPr="00D770F2" w:rsidRDefault="00591A8C" w:rsidP="006F56EE">
            <w:pPr>
              <w:jc w:val="both"/>
              <w:rPr>
                <w:sz w:val="20"/>
              </w:rPr>
            </w:pPr>
            <w:r w:rsidRPr="00D770F2">
              <w:rPr>
                <w:sz w:val="20"/>
              </w:rPr>
              <w:t>June 9, 2016</w:t>
            </w:r>
          </w:p>
          <w:p w:rsidR="00591A8C" w:rsidRPr="00D770F2" w:rsidRDefault="00591A8C" w:rsidP="006F56EE">
            <w:pPr>
              <w:jc w:val="both"/>
              <w:rPr>
                <w:sz w:val="20"/>
              </w:rPr>
            </w:pPr>
            <w:r w:rsidRPr="00D770F2">
              <w:rPr>
                <w:sz w:val="20"/>
              </w:rPr>
              <w:t>Ontario Superior Court of Justice</w:t>
            </w:r>
          </w:p>
          <w:p w:rsidR="00591A8C" w:rsidRPr="00D770F2" w:rsidRDefault="00591A8C" w:rsidP="006F56EE">
            <w:pPr>
              <w:jc w:val="both"/>
              <w:rPr>
                <w:sz w:val="20"/>
              </w:rPr>
            </w:pPr>
            <w:r w:rsidRPr="00D770F2">
              <w:rPr>
                <w:sz w:val="20"/>
              </w:rPr>
              <w:t>(</w:t>
            </w:r>
            <w:proofErr w:type="spellStart"/>
            <w:r w:rsidRPr="00D770F2">
              <w:rPr>
                <w:sz w:val="20"/>
              </w:rPr>
              <w:t>Hainey</w:t>
            </w:r>
            <w:proofErr w:type="spellEnd"/>
            <w:r w:rsidRPr="00D770F2">
              <w:rPr>
                <w:sz w:val="20"/>
              </w:rPr>
              <w:t xml:space="preserve"> J.)</w:t>
            </w:r>
          </w:p>
          <w:p w:rsidR="00591A8C" w:rsidRPr="00D770F2" w:rsidRDefault="009479D6" w:rsidP="006F56EE">
            <w:pPr>
              <w:jc w:val="both"/>
              <w:rPr>
                <w:sz w:val="20"/>
              </w:rPr>
            </w:pPr>
            <w:hyperlink r:id="rId62" w:history="1">
              <w:r w:rsidR="00591A8C" w:rsidRPr="00D770F2">
                <w:rPr>
                  <w:rStyle w:val="Hyperlink"/>
                  <w:sz w:val="20"/>
                </w:rPr>
                <w:t>2016 ONSC 3759</w:t>
              </w:r>
            </w:hyperlink>
          </w:p>
          <w:p w:rsidR="00591A8C" w:rsidRPr="00D770F2" w:rsidRDefault="00591A8C" w:rsidP="006F56EE">
            <w:pPr>
              <w:jc w:val="both"/>
              <w:rPr>
                <w:sz w:val="20"/>
              </w:rPr>
            </w:pPr>
          </w:p>
        </w:tc>
        <w:tc>
          <w:tcPr>
            <w:tcW w:w="267" w:type="pct"/>
          </w:tcPr>
          <w:p w:rsidR="00591A8C" w:rsidRPr="00D770F2" w:rsidRDefault="00591A8C" w:rsidP="006F56EE">
            <w:pPr>
              <w:jc w:val="both"/>
              <w:rPr>
                <w:sz w:val="20"/>
              </w:rPr>
            </w:pPr>
          </w:p>
        </w:tc>
        <w:tc>
          <w:tcPr>
            <w:tcW w:w="2366" w:type="pct"/>
            <w:gridSpan w:val="2"/>
          </w:tcPr>
          <w:p w:rsidR="00591A8C" w:rsidRPr="00D770F2" w:rsidRDefault="00591A8C" w:rsidP="006F56EE">
            <w:pPr>
              <w:jc w:val="both"/>
              <w:rPr>
                <w:sz w:val="20"/>
              </w:rPr>
            </w:pPr>
            <w:r w:rsidRPr="00D770F2">
              <w:rPr>
                <w:sz w:val="20"/>
              </w:rPr>
              <w:t xml:space="preserve">Iran’s motions to set aside, vary or stay enforcement orders and judgments dismissed. </w:t>
            </w:r>
          </w:p>
        </w:tc>
      </w:tr>
      <w:tr w:rsidR="00591A8C" w:rsidRPr="00D770F2" w:rsidTr="006F56EE">
        <w:tblPrEx>
          <w:tblCellMar>
            <w:bottom w:w="0" w:type="dxa"/>
          </w:tblCellMar>
        </w:tblPrEx>
        <w:tc>
          <w:tcPr>
            <w:tcW w:w="2367" w:type="pct"/>
            <w:gridSpan w:val="2"/>
          </w:tcPr>
          <w:p w:rsidR="00591A8C" w:rsidRPr="00D770F2" w:rsidRDefault="00591A8C" w:rsidP="006F56EE">
            <w:pPr>
              <w:jc w:val="both"/>
              <w:rPr>
                <w:sz w:val="20"/>
              </w:rPr>
            </w:pPr>
            <w:r w:rsidRPr="00D770F2">
              <w:rPr>
                <w:sz w:val="20"/>
              </w:rPr>
              <w:t>June 30, 2017</w:t>
            </w:r>
          </w:p>
          <w:p w:rsidR="00591A8C" w:rsidRPr="00D770F2" w:rsidRDefault="00591A8C" w:rsidP="006F56EE">
            <w:pPr>
              <w:jc w:val="both"/>
              <w:rPr>
                <w:sz w:val="20"/>
              </w:rPr>
            </w:pPr>
            <w:r w:rsidRPr="00D770F2">
              <w:rPr>
                <w:sz w:val="20"/>
              </w:rPr>
              <w:t>Court of Appeal for Ontario</w:t>
            </w:r>
          </w:p>
          <w:p w:rsidR="00591A8C" w:rsidRPr="00D770F2" w:rsidRDefault="00591A8C" w:rsidP="006F56EE">
            <w:pPr>
              <w:jc w:val="both"/>
              <w:rPr>
                <w:sz w:val="20"/>
              </w:rPr>
            </w:pPr>
            <w:r w:rsidRPr="00D770F2">
              <w:rPr>
                <w:sz w:val="20"/>
              </w:rPr>
              <w:t>(Hoy A.C.J.O., Blair and Hourigan JJ.A.)</w:t>
            </w:r>
          </w:p>
          <w:p w:rsidR="00591A8C" w:rsidRPr="00D770F2" w:rsidRDefault="009479D6" w:rsidP="006F56EE">
            <w:pPr>
              <w:jc w:val="both"/>
              <w:rPr>
                <w:sz w:val="20"/>
              </w:rPr>
            </w:pPr>
            <w:hyperlink r:id="rId63" w:history="1">
              <w:r w:rsidR="00591A8C" w:rsidRPr="00D770F2">
                <w:rPr>
                  <w:rStyle w:val="Hyperlink"/>
                  <w:sz w:val="20"/>
                </w:rPr>
                <w:t>2017 ONCA 549</w:t>
              </w:r>
            </w:hyperlink>
          </w:p>
          <w:p w:rsidR="00591A8C" w:rsidRPr="00D770F2" w:rsidRDefault="00591A8C" w:rsidP="006F56EE">
            <w:pPr>
              <w:jc w:val="both"/>
              <w:rPr>
                <w:sz w:val="20"/>
              </w:rPr>
            </w:pPr>
          </w:p>
        </w:tc>
        <w:tc>
          <w:tcPr>
            <w:tcW w:w="267" w:type="pct"/>
          </w:tcPr>
          <w:p w:rsidR="00591A8C" w:rsidRPr="00D770F2" w:rsidRDefault="00591A8C" w:rsidP="006F56EE">
            <w:pPr>
              <w:jc w:val="both"/>
              <w:rPr>
                <w:sz w:val="20"/>
              </w:rPr>
            </w:pPr>
          </w:p>
        </w:tc>
        <w:tc>
          <w:tcPr>
            <w:tcW w:w="2366" w:type="pct"/>
            <w:gridSpan w:val="2"/>
          </w:tcPr>
          <w:p w:rsidR="00591A8C" w:rsidRPr="00D770F2" w:rsidRDefault="00591A8C" w:rsidP="006F56EE">
            <w:pPr>
              <w:jc w:val="both"/>
              <w:rPr>
                <w:sz w:val="20"/>
              </w:rPr>
            </w:pPr>
            <w:r w:rsidRPr="00D770F2">
              <w:rPr>
                <w:sz w:val="20"/>
              </w:rPr>
              <w:t>Appeals dismissed, except for judgments based on acts of terrorism that occurred prior to January 1, 1985.</w:t>
            </w:r>
          </w:p>
          <w:p w:rsidR="00591A8C" w:rsidRPr="00D770F2" w:rsidRDefault="00591A8C" w:rsidP="006F56EE">
            <w:pPr>
              <w:jc w:val="both"/>
              <w:rPr>
                <w:sz w:val="20"/>
              </w:rPr>
            </w:pPr>
          </w:p>
        </w:tc>
      </w:tr>
      <w:tr w:rsidR="00591A8C" w:rsidRPr="00D770F2" w:rsidTr="006F56EE">
        <w:tblPrEx>
          <w:tblCellMar>
            <w:bottom w:w="0" w:type="dxa"/>
          </w:tblCellMar>
        </w:tblPrEx>
        <w:tc>
          <w:tcPr>
            <w:tcW w:w="2367" w:type="pct"/>
            <w:gridSpan w:val="2"/>
          </w:tcPr>
          <w:p w:rsidR="00591A8C" w:rsidRPr="00D770F2" w:rsidRDefault="00591A8C" w:rsidP="006F56EE">
            <w:pPr>
              <w:jc w:val="both"/>
              <w:rPr>
                <w:sz w:val="20"/>
              </w:rPr>
            </w:pPr>
            <w:r w:rsidRPr="00D770F2">
              <w:rPr>
                <w:sz w:val="20"/>
              </w:rPr>
              <w:t>September 25, 2017</w:t>
            </w:r>
          </w:p>
          <w:p w:rsidR="00591A8C" w:rsidRPr="00D770F2" w:rsidRDefault="00591A8C" w:rsidP="006F56EE">
            <w:pPr>
              <w:jc w:val="both"/>
              <w:rPr>
                <w:sz w:val="20"/>
              </w:rPr>
            </w:pPr>
            <w:r w:rsidRPr="00D770F2">
              <w:rPr>
                <w:sz w:val="20"/>
              </w:rPr>
              <w:t>Supreme Court of Canada</w:t>
            </w:r>
          </w:p>
        </w:tc>
        <w:tc>
          <w:tcPr>
            <w:tcW w:w="267" w:type="pct"/>
          </w:tcPr>
          <w:p w:rsidR="00591A8C" w:rsidRPr="00D770F2" w:rsidRDefault="00591A8C" w:rsidP="006F56EE">
            <w:pPr>
              <w:jc w:val="both"/>
              <w:rPr>
                <w:sz w:val="20"/>
              </w:rPr>
            </w:pPr>
          </w:p>
        </w:tc>
        <w:tc>
          <w:tcPr>
            <w:tcW w:w="2366" w:type="pct"/>
            <w:gridSpan w:val="2"/>
          </w:tcPr>
          <w:p w:rsidR="00591A8C" w:rsidRPr="00D770F2" w:rsidRDefault="00591A8C" w:rsidP="006F56EE">
            <w:pPr>
              <w:jc w:val="both"/>
              <w:rPr>
                <w:sz w:val="20"/>
              </w:rPr>
            </w:pPr>
            <w:r w:rsidRPr="00D770F2">
              <w:rPr>
                <w:sz w:val="20"/>
              </w:rPr>
              <w:t>Application for leave to appeal filed, together with a motion to join the five lower court files in a single application for leave.</w:t>
            </w:r>
          </w:p>
        </w:tc>
      </w:tr>
    </w:tbl>
    <w:p w:rsidR="00591A8C" w:rsidRPr="00D770F2" w:rsidRDefault="00591A8C" w:rsidP="006F56EE">
      <w:pPr>
        <w:jc w:val="both"/>
        <w:rPr>
          <w:sz w:val="20"/>
        </w:rPr>
      </w:pPr>
    </w:p>
    <w:p w:rsidR="00EA7D94" w:rsidRPr="00D770F2" w:rsidRDefault="00EA7D94" w:rsidP="006F56EE">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591A8C" w:rsidRPr="0030635C" w:rsidTr="006F56EE">
        <w:trPr>
          <w:gridAfter w:val="1"/>
          <w:wAfter w:w="48" w:type="pct"/>
        </w:trPr>
        <w:tc>
          <w:tcPr>
            <w:tcW w:w="537" w:type="pct"/>
          </w:tcPr>
          <w:p w:rsidR="00591A8C" w:rsidRPr="00D770F2" w:rsidRDefault="00591A8C" w:rsidP="006F56EE">
            <w:pPr>
              <w:jc w:val="both"/>
              <w:rPr>
                <w:sz w:val="20"/>
                <w:lang w:val="fr-CA"/>
              </w:rPr>
            </w:pPr>
            <w:r w:rsidRPr="00D770F2">
              <w:rPr>
                <w:rStyle w:val="SCCFileNumberChar"/>
                <w:sz w:val="20"/>
                <w:szCs w:val="20"/>
                <w:lang w:val="fr-CA"/>
              </w:rPr>
              <w:t>37759</w:t>
            </w:r>
          </w:p>
        </w:tc>
        <w:tc>
          <w:tcPr>
            <w:tcW w:w="4415" w:type="pct"/>
            <w:gridSpan w:val="3"/>
          </w:tcPr>
          <w:p w:rsidR="00591A8C" w:rsidRPr="00D770F2" w:rsidRDefault="00591A8C" w:rsidP="006F56EE">
            <w:pPr>
              <w:pStyle w:val="SCCLsocParty"/>
              <w:jc w:val="both"/>
              <w:rPr>
                <w:b/>
                <w:sz w:val="20"/>
                <w:szCs w:val="20"/>
              </w:rPr>
            </w:pPr>
            <w:r w:rsidRPr="00D770F2">
              <w:rPr>
                <w:b/>
                <w:sz w:val="20"/>
                <w:szCs w:val="20"/>
              </w:rPr>
              <w:t xml:space="preserve">Ministère iranien des Renseignements et de la Sécurité, République islamique d’Iran, Corps des Gardiens de la révolution islamique c. Edwards Tracy, par sa tutrice à l’instance, Charles Murphy, Elizabeth Cicippio-Puleo, succession de Helen </w:t>
            </w:r>
            <w:proofErr w:type="spellStart"/>
            <w:r w:rsidRPr="00D770F2">
              <w:rPr>
                <w:b/>
                <w:sz w:val="20"/>
                <w:szCs w:val="20"/>
              </w:rPr>
              <w:t>Fazio</w:t>
            </w:r>
            <w:proofErr w:type="spellEnd"/>
            <w:r w:rsidRPr="00D770F2">
              <w:rPr>
                <w:b/>
                <w:sz w:val="20"/>
                <w:szCs w:val="20"/>
              </w:rPr>
              <w:t xml:space="preserve">, succession de Domenic </w:t>
            </w:r>
            <w:proofErr w:type="spellStart"/>
            <w:r w:rsidRPr="00D770F2">
              <w:rPr>
                <w:b/>
                <w:sz w:val="20"/>
                <w:szCs w:val="20"/>
              </w:rPr>
              <w:t>Cicippio</w:t>
            </w:r>
            <w:proofErr w:type="spellEnd"/>
            <w:r w:rsidRPr="00D770F2">
              <w:rPr>
                <w:b/>
                <w:sz w:val="20"/>
                <w:szCs w:val="20"/>
              </w:rPr>
              <w:t xml:space="preserve">, David B. </w:t>
            </w:r>
            <w:proofErr w:type="spellStart"/>
            <w:r w:rsidRPr="00D770F2">
              <w:rPr>
                <w:b/>
                <w:sz w:val="20"/>
                <w:szCs w:val="20"/>
              </w:rPr>
              <w:t>Cicippio</w:t>
            </w:r>
            <w:proofErr w:type="spellEnd"/>
            <w:r w:rsidRPr="00D770F2">
              <w:rPr>
                <w:b/>
                <w:sz w:val="20"/>
                <w:szCs w:val="20"/>
              </w:rPr>
              <w:t xml:space="preserve">, </w:t>
            </w:r>
            <w:proofErr w:type="spellStart"/>
            <w:r w:rsidRPr="00D770F2">
              <w:rPr>
                <w:b/>
                <w:sz w:val="20"/>
                <w:szCs w:val="20"/>
              </w:rPr>
              <w:t>Eric</w:t>
            </w:r>
            <w:proofErr w:type="spellEnd"/>
            <w:r w:rsidRPr="00D770F2">
              <w:rPr>
                <w:b/>
                <w:sz w:val="20"/>
                <w:szCs w:val="20"/>
              </w:rPr>
              <w:t xml:space="preserve"> R. </w:t>
            </w:r>
            <w:proofErr w:type="spellStart"/>
            <w:r w:rsidRPr="00D770F2">
              <w:rPr>
                <w:b/>
                <w:sz w:val="20"/>
                <w:szCs w:val="20"/>
              </w:rPr>
              <w:t>Cicippio</w:t>
            </w:r>
            <w:proofErr w:type="spellEnd"/>
            <w:r w:rsidRPr="00D770F2">
              <w:rPr>
                <w:b/>
                <w:sz w:val="20"/>
                <w:szCs w:val="20"/>
              </w:rPr>
              <w:t xml:space="preserve">, Richard Dennis </w:t>
            </w:r>
            <w:proofErr w:type="spellStart"/>
            <w:r w:rsidRPr="00D770F2">
              <w:rPr>
                <w:b/>
                <w:sz w:val="20"/>
                <w:szCs w:val="20"/>
              </w:rPr>
              <w:t>Cicippio</w:t>
            </w:r>
            <w:proofErr w:type="spellEnd"/>
            <w:r w:rsidRPr="00D770F2">
              <w:rPr>
                <w:b/>
                <w:sz w:val="20"/>
                <w:szCs w:val="20"/>
              </w:rPr>
              <w:t xml:space="preserve">, Thomas J. </w:t>
            </w:r>
            <w:proofErr w:type="spellStart"/>
            <w:r w:rsidRPr="00D770F2">
              <w:rPr>
                <w:b/>
                <w:sz w:val="20"/>
                <w:szCs w:val="20"/>
              </w:rPr>
              <w:t>Cicippio</w:t>
            </w:r>
            <w:proofErr w:type="spellEnd"/>
            <w:r w:rsidRPr="00D770F2">
              <w:rPr>
                <w:b/>
                <w:sz w:val="20"/>
                <w:szCs w:val="20"/>
              </w:rPr>
              <w:t xml:space="preserve">, succession de Paul V. </w:t>
            </w:r>
            <w:proofErr w:type="spellStart"/>
            <w:r w:rsidRPr="00D770F2">
              <w:rPr>
                <w:b/>
                <w:sz w:val="20"/>
                <w:szCs w:val="20"/>
              </w:rPr>
              <w:t>Cicippio</w:t>
            </w:r>
            <w:proofErr w:type="spellEnd"/>
            <w:r w:rsidRPr="00D770F2">
              <w:rPr>
                <w:b/>
                <w:sz w:val="20"/>
                <w:szCs w:val="20"/>
              </w:rPr>
              <w:t xml:space="preserve">, Allen John </w:t>
            </w:r>
            <w:proofErr w:type="spellStart"/>
            <w:r w:rsidRPr="00D770F2">
              <w:rPr>
                <w:b/>
                <w:sz w:val="20"/>
                <w:szCs w:val="20"/>
              </w:rPr>
              <w:t>Cicippio</w:t>
            </w:r>
            <w:proofErr w:type="spellEnd"/>
            <w:r w:rsidRPr="00D770F2">
              <w:rPr>
                <w:b/>
                <w:sz w:val="20"/>
                <w:szCs w:val="20"/>
              </w:rPr>
              <w:t xml:space="preserve">, succession de Rose Abell, Anthony </w:t>
            </w:r>
            <w:proofErr w:type="spellStart"/>
            <w:r w:rsidRPr="00D770F2">
              <w:rPr>
                <w:b/>
                <w:sz w:val="20"/>
                <w:szCs w:val="20"/>
              </w:rPr>
              <w:t>Cicippio</w:t>
            </w:r>
            <w:proofErr w:type="spellEnd"/>
            <w:r w:rsidRPr="00D770F2">
              <w:rPr>
                <w:b/>
                <w:sz w:val="20"/>
                <w:szCs w:val="20"/>
              </w:rPr>
              <w:t xml:space="preserve">, succession d’Alexander </w:t>
            </w:r>
            <w:proofErr w:type="spellStart"/>
            <w:r w:rsidRPr="00D770F2">
              <w:rPr>
                <w:b/>
                <w:sz w:val="20"/>
                <w:szCs w:val="20"/>
              </w:rPr>
              <w:t>Cicippio</w:t>
            </w:r>
            <w:proofErr w:type="spellEnd"/>
            <w:r w:rsidRPr="00D770F2">
              <w:rPr>
                <w:b/>
                <w:sz w:val="20"/>
                <w:szCs w:val="20"/>
              </w:rPr>
              <w:t xml:space="preserve">, Nicholas B. </w:t>
            </w:r>
            <w:proofErr w:type="spellStart"/>
            <w:r w:rsidRPr="00D770F2">
              <w:rPr>
                <w:b/>
                <w:sz w:val="20"/>
                <w:szCs w:val="20"/>
              </w:rPr>
              <w:t>Cicippio</w:t>
            </w:r>
            <w:proofErr w:type="spellEnd"/>
            <w:r w:rsidRPr="00D770F2">
              <w:rPr>
                <w:b/>
                <w:sz w:val="20"/>
                <w:szCs w:val="20"/>
              </w:rPr>
              <w:t xml:space="preserve">, succession de Joseph J. </w:t>
            </w:r>
            <w:proofErr w:type="spellStart"/>
            <w:r w:rsidRPr="00D770F2">
              <w:rPr>
                <w:b/>
                <w:sz w:val="20"/>
                <w:szCs w:val="20"/>
              </w:rPr>
              <w:t>Cicippio</w:t>
            </w:r>
            <w:proofErr w:type="spellEnd"/>
            <w:r w:rsidRPr="00D770F2">
              <w:rPr>
                <w:b/>
                <w:sz w:val="20"/>
                <w:szCs w:val="20"/>
              </w:rPr>
              <w:t xml:space="preserve"> Jr., succession de </w:t>
            </w:r>
            <w:proofErr w:type="spellStart"/>
            <w:r w:rsidRPr="00D770F2">
              <w:rPr>
                <w:b/>
                <w:sz w:val="20"/>
                <w:szCs w:val="20"/>
              </w:rPr>
              <w:t>Marla</w:t>
            </w:r>
            <w:proofErr w:type="spellEnd"/>
            <w:r w:rsidRPr="00D770F2">
              <w:rPr>
                <w:b/>
                <w:sz w:val="20"/>
                <w:szCs w:val="20"/>
              </w:rPr>
              <w:t xml:space="preserve"> Bennett, Michael Bennett, Linda Bennett, Lisa Bennett, American Center for Civil Justice, Inc., à titre de cessionnaire de Christine Higgins, Katie L. </w:t>
            </w:r>
            <w:proofErr w:type="spellStart"/>
            <w:r w:rsidRPr="00D770F2">
              <w:rPr>
                <w:b/>
                <w:sz w:val="20"/>
                <w:szCs w:val="20"/>
              </w:rPr>
              <w:t>Marthaler</w:t>
            </w:r>
            <w:proofErr w:type="spellEnd"/>
            <w:r w:rsidRPr="00D770F2">
              <w:rPr>
                <w:b/>
                <w:sz w:val="20"/>
                <w:szCs w:val="20"/>
              </w:rPr>
              <w:t xml:space="preserve">, Herman C. </w:t>
            </w:r>
            <w:proofErr w:type="spellStart"/>
            <w:r w:rsidRPr="00D770F2">
              <w:rPr>
                <w:b/>
                <w:sz w:val="20"/>
                <w:szCs w:val="20"/>
              </w:rPr>
              <w:t>Marthaler</w:t>
            </w:r>
            <w:proofErr w:type="spellEnd"/>
            <w:r w:rsidRPr="00D770F2">
              <w:rPr>
                <w:b/>
                <w:sz w:val="20"/>
                <w:szCs w:val="20"/>
              </w:rPr>
              <w:t xml:space="preserve">, III, Matthew </w:t>
            </w:r>
            <w:proofErr w:type="spellStart"/>
            <w:r w:rsidRPr="00D770F2">
              <w:rPr>
                <w:b/>
                <w:sz w:val="20"/>
                <w:szCs w:val="20"/>
              </w:rPr>
              <w:t>Marthaler</w:t>
            </w:r>
            <w:proofErr w:type="spellEnd"/>
            <w:r w:rsidRPr="00D770F2">
              <w:rPr>
                <w:b/>
                <w:sz w:val="20"/>
                <w:szCs w:val="20"/>
              </w:rPr>
              <w:t xml:space="preserve">, Kirk </w:t>
            </w:r>
            <w:proofErr w:type="spellStart"/>
            <w:r w:rsidRPr="00D770F2">
              <w:rPr>
                <w:b/>
                <w:sz w:val="20"/>
                <w:szCs w:val="20"/>
              </w:rPr>
              <w:t>Marthaler</w:t>
            </w:r>
            <w:proofErr w:type="spellEnd"/>
            <w:r w:rsidRPr="00D770F2">
              <w:rPr>
                <w:b/>
                <w:sz w:val="20"/>
                <w:szCs w:val="20"/>
              </w:rPr>
              <w:t xml:space="preserve">, Richard W. Wood, Kathleen M. Wood, Shawn M. Wood, Francis </w:t>
            </w:r>
            <w:proofErr w:type="spellStart"/>
            <w:r w:rsidRPr="00D770F2">
              <w:rPr>
                <w:b/>
                <w:sz w:val="20"/>
                <w:szCs w:val="20"/>
              </w:rPr>
              <w:t>Heiser</w:t>
            </w:r>
            <w:proofErr w:type="spellEnd"/>
            <w:r w:rsidRPr="00D770F2">
              <w:rPr>
                <w:b/>
                <w:sz w:val="20"/>
                <w:szCs w:val="20"/>
              </w:rPr>
              <w:t xml:space="preserve">, Denise M. </w:t>
            </w:r>
            <w:proofErr w:type="spellStart"/>
            <w:r w:rsidRPr="00D770F2">
              <w:rPr>
                <w:b/>
                <w:sz w:val="20"/>
                <w:szCs w:val="20"/>
              </w:rPr>
              <w:t>Eichstaedt</w:t>
            </w:r>
            <w:proofErr w:type="spellEnd"/>
            <w:r w:rsidRPr="00D770F2">
              <w:rPr>
                <w:b/>
                <w:sz w:val="20"/>
                <w:szCs w:val="20"/>
              </w:rPr>
              <w:t xml:space="preserve">, Anthony W. </w:t>
            </w:r>
            <w:proofErr w:type="spellStart"/>
            <w:r w:rsidRPr="00D770F2">
              <w:rPr>
                <w:b/>
                <w:sz w:val="20"/>
                <w:szCs w:val="20"/>
              </w:rPr>
              <w:t>Cartrette</w:t>
            </w:r>
            <w:proofErr w:type="spellEnd"/>
            <w:r w:rsidRPr="00D770F2">
              <w:rPr>
                <w:b/>
                <w:sz w:val="20"/>
                <w:szCs w:val="20"/>
              </w:rPr>
              <w:t xml:space="preserve">, Lewis W. </w:t>
            </w:r>
            <w:proofErr w:type="spellStart"/>
            <w:r w:rsidRPr="00D770F2">
              <w:rPr>
                <w:b/>
                <w:sz w:val="20"/>
                <w:szCs w:val="20"/>
              </w:rPr>
              <w:t>Cartrette</w:t>
            </w:r>
            <w:proofErr w:type="spellEnd"/>
            <w:r w:rsidRPr="00D770F2">
              <w:rPr>
                <w:b/>
                <w:sz w:val="20"/>
                <w:szCs w:val="20"/>
              </w:rPr>
              <w:t xml:space="preserve">, </w:t>
            </w:r>
            <w:proofErr w:type="spellStart"/>
            <w:r w:rsidRPr="00D770F2">
              <w:rPr>
                <w:b/>
                <w:sz w:val="20"/>
                <w:szCs w:val="20"/>
              </w:rPr>
              <w:t>Thaddeus</w:t>
            </w:r>
            <w:proofErr w:type="spellEnd"/>
            <w:r w:rsidRPr="00D770F2">
              <w:rPr>
                <w:b/>
                <w:sz w:val="20"/>
                <w:szCs w:val="20"/>
              </w:rPr>
              <w:t xml:space="preserve"> C. </w:t>
            </w:r>
            <w:proofErr w:type="spellStart"/>
            <w:r w:rsidRPr="00D770F2">
              <w:rPr>
                <w:b/>
                <w:sz w:val="20"/>
                <w:szCs w:val="20"/>
              </w:rPr>
              <w:t>Fennig</w:t>
            </w:r>
            <w:proofErr w:type="spellEnd"/>
            <w:r w:rsidRPr="00D770F2">
              <w:rPr>
                <w:b/>
                <w:sz w:val="20"/>
                <w:szCs w:val="20"/>
              </w:rPr>
              <w:t xml:space="preserve">, Catherine </w:t>
            </w:r>
            <w:proofErr w:type="spellStart"/>
            <w:r w:rsidRPr="00D770F2">
              <w:rPr>
                <w:b/>
                <w:sz w:val="20"/>
                <w:szCs w:val="20"/>
              </w:rPr>
              <w:t>Fennig</w:t>
            </w:r>
            <w:proofErr w:type="spellEnd"/>
            <w:r w:rsidRPr="00D770F2">
              <w:rPr>
                <w:b/>
                <w:sz w:val="20"/>
                <w:szCs w:val="20"/>
              </w:rPr>
              <w:t xml:space="preserve">, Paul D. </w:t>
            </w:r>
            <w:proofErr w:type="spellStart"/>
            <w:r w:rsidRPr="00D770F2">
              <w:rPr>
                <w:b/>
                <w:sz w:val="20"/>
                <w:szCs w:val="20"/>
              </w:rPr>
              <w:t>Fennig</w:t>
            </w:r>
            <w:proofErr w:type="spellEnd"/>
            <w:r w:rsidRPr="00D770F2">
              <w:rPr>
                <w:b/>
                <w:sz w:val="20"/>
                <w:szCs w:val="20"/>
              </w:rPr>
              <w:t xml:space="preserve">, Mark </w:t>
            </w:r>
            <w:proofErr w:type="spellStart"/>
            <w:r w:rsidRPr="00D770F2">
              <w:rPr>
                <w:b/>
                <w:sz w:val="20"/>
                <w:szCs w:val="20"/>
              </w:rPr>
              <w:t>Fennig</w:t>
            </w:r>
            <w:proofErr w:type="spellEnd"/>
            <w:r w:rsidRPr="00D770F2">
              <w:rPr>
                <w:b/>
                <w:sz w:val="20"/>
                <w:szCs w:val="20"/>
              </w:rPr>
              <w:t xml:space="preserve">, Catherine Adams, Mary Young, Daniel Adams, Elizabeth Wolf, Patrick D. Adams, John E. Adams, William Adams, Michael T. Adams, Christopher R. Nguyen, Bridget Brooks, James R. </w:t>
            </w:r>
            <w:proofErr w:type="spellStart"/>
            <w:r w:rsidRPr="00D770F2">
              <w:rPr>
                <w:b/>
                <w:sz w:val="20"/>
                <w:szCs w:val="20"/>
              </w:rPr>
              <w:t>Rimkus</w:t>
            </w:r>
            <w:proofErr w:type="spellEnd"/>
            <w:r w:rsidRPr="00D770F2">
              <w:rPr>
                <w:b/>
                <w:sz w:val="20"/>
                <w:szCs w:val="20"/>
              </w:rPr>
              <w:t xml:space="preserve">, Anne M. </w:t>
            </w:r>
            <w:proofErr w:type="spellStart"/>
            <w:r w:rsidRPr="00D770F2">
              <w:rPr>
                <w:b/>
                <w:sz w:val="20"/>
                <w:szCs w:val="20"/>
              </w:rPr>
              <w:t>Rimkus</w:t>
            </w:r>
            <w:proofErr w:type="spellEnd"/>
            <w:r w:rsidRPr="00D770F2">
              <w:rPr>
                <w:b/>
                <w:sz w:val="20"/>
                <w:szCs w:val="20"/>
              </w:rPr>
              <w:t xml:space="preserve">, Steve K. </w:t>
            </w:r>
            <w:proofErr w:type="spellStart"/>
            <w:r w:rsidRPr="00D770F2">
              <w:rPr>
                <w:b/>
                <w:sz w:val="20"/>
                <w:szCs w:val="20"/>
              </w:rPr>
              <w:t>Kitson</w:t>
            </w:r>
            <w:proofErr w:type="spellEnd"/>
            <w:r w:rsidRPr="00D770F2">
              <w:rPr>
                <w:b/>
                <w:sz w:val="20"/>
                <w:szCs w:val="20"/>
              </w:rPr>
              <w:t xml:space="preserve">, Nancy A. </w:t>
            </w:r>
            <w:proofErr w:type="spellStart"/>
            <w:r w:rsidRPr="00D770F2">
              <w:rPr>
                <w:b/>
                <w:sz w:val="20"/>
                <w:szCs w:val="20"/>
              </w:rPr>
              <w:t>Kitson</w:t>
            </w:r>
            <w:proofErr w:type="spellEnd"/>
            <w:r w:rsidRPr="00D770F2">
              <w:rPr>
                <w:b/>
                <w:sz w:val="20"/>
                <w:szCs w:val="20"/>
              </w:rPr>
              <w:t xml:space="preserve">, Lawrence E. Taylor, </w:t>
            </w:r>
            <w:proofErr w:type="spellStart"/>
            <w:r w:rsidRPr="00D770F2">
              <w:rPr>
                <w:b/>
                <w:sz w:val="20"/>
                <w:szCs w:val="20"/>
              </w:rPr>
              <w:t>Vickie</w:t>
            </w:r>
            <w:proofErr w:type="spellEnd"/>
            <w:r w:rsidRPr="00D770F2">
              <w:rPr>
                <w:b/>
                <w:sz w:val="20"/>
                <w:szCs w:val="20"/>
              </w:rPr>
              <w:t xml:space="preserve"> L. Taylor, </w:t>
            </w:r>
            <w:proofErr w:type="spellStart"/>
            <w:r w:rsidRPr="00D770F2">
              <w:rPr>
                <w:b/>
                <w:sz w:val="20"/>
                <w:szCs w:val="20"/>
              </w:rPr>
              <w:t>Starlin</w:t>
            </w:r>
            <w:proofErr w:type="spellEnd"/>
            <w:r w:rsidRPr="00D770F2">
              <w:rPr>
                <w:b/>
                <w:sz w:val="20"/>
                <w:szCs w:val="20"/>
              </w:rPr>
              <w:t xml:space="preserve"> A D. Taylor, Dawn Woody, </w:t>
            </w:r>
            <w:proofErr w:type="spellStart"/>
            <w:r w:rsidRPr="00D770F2">
              <w:rPr>
                <w:b/>
                <w:sz w:val="20"/>
                <w:szCs w:val="20"/>
              </w:rPr>
              <w:t>Bernadine</w:t>
            </w:r>
            <w:proofErr w:type="spellEnd"/>
            <w:r w:rsidRPr="00D770F2">
              <w:rPr>
                <w:b/>
                <w:sz w:val="20"/>
                <w:szCs w:val="20"/>
              </w:rPr>
              <w:t xml:space="preserve"> R. </w:t>
            </w:r>
            <w:proofErr w:type="spellStart"/>
            <w:r w:rsidRPr="00D770F2">
              <w:rPr>
                <w:b/>
                <w:sz w:val="20"/>
                <w:szCs w:val="20"/>
              </w:rPr>
              <w:t>Beekman</w:t>
            </w:r>
            <w:proofErr w:type="spellEnd"/>
            <w:r w:rsidRPr="00D770F2">
              <w:rPr>
                <w:b/>
                <w:sz w:val="20"/>
                <w:szCs w:val="20"/>
              </w:rPr>
              <w:t xml:space="preserve">, Tracy M. Smith, </w:t>
            </w:r>
            <w:proofErr w:type="spellStart"/>
            <w:r w:rsidRPr="00D770F2">
              <w:rPr>
                <w:b/>
                <w:sz w:val="20"/>
                <w:szCs w:val="20"/>
              </w:rPr>
              <w:t>Jonica</w:t>
            </w:r>
            <w:proofErr w:type="spellEnd"/>
            <w:r w:rsidRPr="00D770F2">
              <w:rPr>
                <w:b/>
                <w:sz w:val="20"/>
                <w:szCs w:val="20"/>
              </w:rPr>
              <w:t xml:space="preserve"> L. Woody, Timothy Woody, Ibis S. </w:t>
            </w:r>
            <w:proofErr w:type="spellStart"/>
            <w:r w:rsidRPr="00D770F2">
              <w:rPr>
                <w:b/>
                <w:sz w:val="20"/>
                <w:szCs w:val="20"/>
              </w:rPr>
              <w:t>Haun</w:t>
            </w:r>
            <w:proofErr w:type="spellEnd"/>
            <w:r w:rsidRPr="00D770F2">
              <w:rPr>
                <w:b/>
                <w:sz w:val="20"/>
                <w:szCs w:val="20"/>
              </w:rPr>
              <w:t xml:space="preserve">, Senator </w:t>
            </w:r>
            <w:proofErr w:type="spellStart"/>
            <w:r w:rsidRPr="00D770F2">
              <w:rPr>
                <w:b/>
                <w:sz w:val="20"/>
                <w:szCs w:val="20"/>
              </w:rPr>
              <w:t>Haun</w:t>
            </w:r>
            <w:proofErr w:type="spellEnd"/>
            <w:r w:rsidRPr="00D770F2">
              <w:rPr>
                <w:b/>
                <w:sz w:val="20"/>
                <w:szCs w:val="20"/>
              </w:rPr>
              <w:t xml:space="preserve">, </w:t>
            </w:r>
            <w:proofErr w:type="spellStart"/>
            <w:r w:rsidRPr="00D770F2">
              <w:rPr>
                <w:b/>
                <w:sz w:val="20"/>
                <w:szCs w:val="20"/>
              </w:rPr>
              <w:t>Milagritos</w:t>
            </w:r>
            <w:proofErr w:type="spellEnd"/>
            <w:r w:rsidRPr="00D770F2">
              <w:rPr>
                <w:b/>
                <w:sz w:val="20"/>
                <w:szCs w:val="20"/>
              </w:rPr>
              <w:t xml:space="preserve"> Perez-</w:t>
            </w:r>
            <w:proofErr w:type="spellStart"/>
            <w:r w:rsidRPr="00D770F2">
              <w:rPr>
                <w:b/>
                <w:sz w:val="20"/>
                <w:szCs w:val="20"/>
              </w:rPr>
              <w:t>Dalis</w:t>
            </w:r>
            <w:proofErr w:type="spellEnd"/>
            <w:r w:rsidRPr="00D770F2">
              <w:rPr>
                <w:b/>
                <w:sz w:val="20"/>
                <w:szCs w:val="20"/>
              </w:rPr>
              <w:t xml:space="preserve">, Cecil H. Lester, Sr., Judy Lester, Cecil H. Lester, Jr., Judy Lester, Cecil H. Lester, Jr., Jessica F. Lester, </w:t>
            </w:r>
            <w:proofErr w:type="spellStart"/>
            <w:r w:rsidRPr="00D770F2">
              <w:rPr>
                <w:b/>
                <w:sz w:val="20"/>
                <w:szCs w:val="20"/>
              </w:rPr>
              <w:t>Shyrl</w:t>
            </w:r>
            <w:proofErr w:type="spellEnd"/>
            <w:r w:rsidRPr="00D770F2">
              <w:rPr>
                <w:b/>
                <w:sz w:val="20"/>
                <w:szCs w:val="20"/>
              </w:rPr>
              <w:t xml:space="preserve"> L. Johnson, Kevin Johnson, Jr., Nicholas A. Johnson, un mineur, par sa tutrice légale </w:t>
            </w:r>
            <w:proofErr w:type="spellStart"/>
            <w:r w:rsidRPr="00D770F2">
              <w:rPr>
                <w:b/>
                <w:sz w:val="20"/>
                <w:szCs w:val="20"/>
              </w:rPr>
              <w:t>Shyrl</w:t>
            </w:r>
            <w:proofErr w:type="spellEnd"/>
            <w:r w:rsidRPr="00D770F2">
              <w:rPr>
                <w:b/>
                <w:sz w:val="20"/>
                <w:szCs w:val="20"/>
              </w:rPr>
              <w:t xml:space="preserve"> L. Johnson, Michael </w:t>
            </w:r>
            <w:proofErr w:type="spellStart"/>
            <w:r w:rsidRPr="00D770F2">
              <w:rPr>
                <w:b/>
                <w:sz w:val="20"/>
                <w:szCs w:val="20"/>
              </w:rPr>
              <w:t>Morgera</w:t>
            </w:r>
            <w:proofErr w:type="spellEnd"/>
            <w:r w:rsidRPr="00D770F2">
              <w:rPr>
                <w:b/>
                <w:sz w:val="20"/>
                <w:szCs w:val="20"/>
              </w:rPr>
              <w:t xml:space="preserve">, Thomas </w:t>
            </w:r>
            <w:proofErr w:type="spellStart"/>
            <w:r w:rsidRPr="00D770F2">
              <w:rPr>
                <w:b/>
                <w:sz w:val="20"/>
                <w:szCs w:val="20"/>
              </w:rPr>
              <w:t>Morgera</w:t>
            </w:r>
            <w:proofErr w:type="spellEnd"/>
            <w:r w:rsidRPr="00D770F2">
              <w:rPr>
                <w:b/>
                <w:sz w:val="20"/>
                <w:szCs w:val="20"/>
              </w:rPr>
              <w:t xml:space="preserve">, Marie R. Campbell, </w:t>
            </w:r>
            <w:proofErr w:type="spellStart"/>
            <w:r w:rsidRPr="00D770F2">
              <w:rPr>
                <w:b/>
                <w:sz w:val="20"/>
                <w:szCs w:val="20"/>
              </w:rPr>
              <w:t>Bessie</w:t>
            </w:r>
            <w:proofErr w:type="spellEnd"/>
            <w:r w:rsidRPr="00D770F2">
              <w:rPr>
                <w:b/>
                <w:sz w:val="20"/>
                <w:szCs w:val="20"/>
              </w:rPr>
              <w:t xml:space="preserve"> A. Campbell, James V. </w:t>
            </w:r>
            <w:proofErr w:type="spellStart"/>
            <w:r w:rsidRPr="00D770F2">
              <w:rPr>
                <w:b/>
                <w:sz w:val="20"/>
                <w:szCs w:val="20"/>
              </w:rPr>
              <w:t>Wetmore</w:t>
            </w:r>
            <w:proofErr w:type="spellEnd"/>
            <w:r w:rsidRPr="00D770F2">
              <w:rPr>
                <w:b/>
                <w:sz w:val="20"/>
                <w:szCs w:val="20"/>
              </w:rPr>
              <w:t xml:space="preserve">, George M. </w:t>
            </w:r>
            <w:proofErr w:type="spellStart"/>
            <w:r w:rsidRPr="00D770F2">
              <w:rPr>
                <w:b/>
                <w:sz w:val="20"/>
                <w:szCs w:val="20"/>
              </w:rPr>
              <w:t>Beekman</w:t>
            </w:r>
            <w:proofErr w:type="spellEnd"/>
            <w:r w:rsidRPr="00D770F2">
              <w:rPr>
                <w:b/>
                <w:sz w:val="20"/>
                <w:szCs w:val="20"/>
              </w:rPr>
              <w:t xml:space="preserve">, Che G. </w:t>
            </w:r>
            <w:proofErr w:type="spellStart"/>
            <w:r w:rsidRPr="00D770F2">
              <w:rPr>
                <w:b/>
                <w:sz w:val="20"/>
                <w:szCs w:val="20"/>
              </w:rPr>
              <w:t>Colson</w:t>
            </w:r>
            <w:proofErr w:type="spellEnd"/>
            <w:r w:rsidRPr="00D770F2">
              <w:rPr>
                <w:b/>
                <w:sz w:val="20"/>
                <w:szCs w:val="20"/>
              </w:rPr>
              <w:t xml:space="preserve">, Bruce Johnson, succession de Brent E. </w:t>
            </w:r>
            <w:proofErr w:type="spellStart"/>
            <w:r w:rsidRPr="00D770F2">
              <w:rPr>
                <w:b/>
                <w:sz w:val="20"/>
                <w:szCs w:val="20"/>
              </w:rPr>
              <w:t>Marthaler</w:t>
            </w:r>
            <w:proofErr w:type="spellEnd"/>
            <w:r w:rsidRPr="00D770F2">
              <w:rPr>
                <w:b/>
                <w:sz w:val="20"/>
                <w:szCs w:val="20"/>
              </w:rPr>
              <w:t xml:space="preserve">, succession de Sharon </w:t>
            </w:r>
            <w:proofErr w:type="spellStart"/>
            <w:r w:rsidRPr="00D770F2">
              <w:rPr>
                <w:b/>
                <w:sz w:val="20"/>
                <w:szCs w:val="20"/>
              </w:rPr>
              <w:t>Marthaler</w:t>
            </w:r>
            <w:proofErr w:type="spellEnd"/>
            <w:r w:rsidRPr="00D770F2">
              <w:rPr>
                <w:b/>
                <w:sz w:val="20"/>
                <w:szCs w:val="20"/>
              </w:rPr>
              <w:t xml:space="preserve">, succession de Michael </w:t>
            </w:r>
            <w:proofErr w:type="spellStart"/>
            <w:r w:rsidRPr="00D770F2">
              <w:rPr>
                <w:b/>
                <w:sz w:val="20"/>
                <w:szCs w:val="20"/>
              </w:rPr>
              <w:t>Heiser</w:t>
            </w:r>
            <w:proofErr w:type="spellEnd"/>
            <w:r w:rsidRPr="00D770F2">
              <w:rPr>
                <w:b/>
                <w:sz w:val="20"/>
                <w:szCs w:val="20"/>
              </w:rPr>
              <w:t xml:space="preserve">, succession de Gary </w:t>
            </w:r>
            <w:proofErr w:type="spellStart"/>
            <w:r w:rsidRPr="00D770F2">
              <w:rPr>
                <w:b/>
                <w:sz w:val="20"/>
                <w:szCs w:val="20"/>
              </w:rPr>
              <w:t>Heiser</w:t>
            </w:r>
            <w:proofErr w:type="spellEnd"/>
            <w:r w:rsidRPr="00D770F2">
              <w:rPr>
                <w:b/>
                <w:sz w:val="20"/>
                <w:szCs w:val="20"/>
              </w:rPr>
              <w:t xml:space="preserve">, succession de Patrick P. </w:t>
            </w:r>
            <w:proofErr w:type="spellStart"/>
            <w:r w:rsidRPr="00D770F2">
              <w:rPr>
                <w:b/>
                <w:sz w:val="20"/>
                <w:szCs w:val="20"/>
              </w:rPr>
              <w:t>Fennig</w:t>
            </w:r>
            <w:proofErr w:type="spellEnd"/>
            <w:r w:rsidRPr="00D770F2">
              <w:rPr>
                <w:b/>
                <w:sz w:val="20"/>
                <w:szCs w:val="20"/>
              </w:rPr>
              <w:t xml:space="preserve">, succession de Christopher Adams, succession de </w:t>
            </w:r>
            <w:proofErr w:type="spellStart"/>
            <w:r w:rsidRPr="00D770F2">
              <w:rPr>
                <w:b/>
                <w:sz w:val="20"/>
                <w:szCs w:val="20"/>
              </w:rPr>
              <w:t>Thanh</w:t>
            </w:r>
            <w:proofErr w:type="spellEnd"/>
            <w:r w:rsidRPr="00D770F2">
              <w:rPr>
                <w:b/>
                <w:sz w:val="20"/>
                <w:szCs w:val="20"/>
              </w:rPr>
              <w:t xml:space="preserve"> Van Nguyen, succession de Sandra M. </w:t>
            </w:r>
            <w:proofErr w:type="spellStart"/>
            <w:r w:rsidRPr="00D770F2">
              <w:rPr>
                <w:b/>
                <w:sz w:val="20"/>
                <w:szCs w:val="20"/>
              </w:rPr>
              <w:t>Wetmore</w:t>
            </w:r>
            <w:proofErr w:type="spellEnd"/>
            <w:r w:rsidRPr="00D770F2">
              <w:rPr>
                <w:b/>
                <w:sz w:val="20"/>
                <w:szCs w:val="20"/>
              </w:rPr>
              <w:t xml:space="preserve">, succession de Kendall </w:t>
            </w:r>
            <w:proofErr w:type="spellStart"/>
            <w:r w:rsidRPr="00D770F2">
              <w:rPr>
                <w:b/>
                <w:sz w:val="20"/>
                <w:szCs w:val="20"/>
              </w:rPr>
              <w:t>Kitson</w:t>
            </w:r>
            <w:proofErr w:type="spellEnd"/>
            <w:r w:rsidRPr="00D770F2">
              <w:rPr>
                <w:b/>
                <w:sz w:val="20"/>
                <w:szCs w:val="20"/>
              </w:rPr>
              <w:t xml:space="preserve">, Jr., succession de Kendall K. </w:t>
            </w:r>
            <w:proofErr w:type="spellStart"/>
            <w:r w:rsidRPr="00D770F2">
              <w:rPr>
                <w:b/>
                <w:sz w:val="20"/>
                <w:szCs w:val="20"/>
              </w:rPr>
              <w:t>Kitson</w:t>
            </w:r>
            <w:proofErr w:type="spellEnd"/>
            <w:r w:rsidRPr="00D770F2">
              <w:rPr>
                <w:b/>
                <w:sz w:val="20"/>
                <w:szCs w:val="20"/>
              </w:rPr>
              <w:t xml:space="preserve">, Sr., succession de Nancy R. </w:t>
            </w:r>
            <w:proofErr w:type="spellStart"/>
            <w:r w:rsidRPr="00D770F2">
              <w:rPr>
                <w:b/>
                <w:sz w:val="20"/>
                <w:szCs w:val="20"/>
              </w:rPr>
              <w:t>Kitson</w:t>
            </w:r>
            <w:proofErr w:type="spellEnd"/>
            <w:r w:rsidRPr="00D770F2">
              <w:rPr>
                <w:b/>
                <w:sz w:val="20"/>
                <w:szCs w:val="20"/>
              </w:rPr>
              <w:t xml:space="preserve">, succession de Joshua E. Woody, succession de </w:t>
            </w:r>
            <w:proofErr w:type="spellStart"/>
            <w:r w:rsidRPr="00D770F2">
              <w:rPr>
                <w:b/>
                <w:sz w:val="20"/>
                <w:szCs w:val="20"/>
              </w:rPr>
              <w:t>Leland</w:t>
            </w:r>
            <w:proofErr w:type="spellEnd"/>
            <w:r w:rsidRPr="00D770F2">
              <w:rPr>
                <w:b/>
                <w:sz w:val="20"/>
                <w:szCs w:val="20"/>
              </w:rPr>
              <w:t xml:space="preserve"> Timothy </w:t>
            </w:r>
            <w:proofErr w:type="spellStart"/>
            <w:r w:rsidRPr="00D770F2">
              <w:rPr>
                <w:b/>
                <w:sz w:val="20"/>
                <w:szCs w:val="20"/>
              </w:rPr>
              <w:t>Haun</w:t>
            </w:r>
            <w:proofErr w:type="spellEnd"/>
            <w:r w:rsidRPr="00D770F2">
              <w:rPr>
                <w:b/>
                <w:sz w:val="20"/>
                <w:szCs w:val="20"/>
              </w:rPr>
              <w:t xml:space="preserve">, succession de Christopher Lester, succession de Kevin J. Johnson, Sr., succession de </w:t>
            </w:r>
            <w:proofErr w:type="spellStart"/>
            <w:r w:rsidRPr="00D770F2">
              <w:rPr>
                <w:b/>
                <w:sz w:val="20"/>
                <w:szCs w:val="20"/>
              </w:rPr>
              <w:t>Millard</w:t>
            </w:r>
            <w:proofErr w:type="spellEnd"/>
            <w:r w:rsidRPr="00D770F2">
              <w:rPr>
                <w:b/>
                <w:sz w:val="20"/>
                <w:szCs w:val="20"/>
              </w:rPr>
              <w:t xml:space="preserve"> D. Campbell, succession de Peter J. </w:t>
            </w:r>
            <w:proofErr w:type="spellStart"/>
            <w:r w:rsidRPr="00D770F2">
              <w:rPr>
                <w:b/>
                <w:sz w:val="20"/>
                <w:szCs w:val="20"/>
              </w:rPr>
              <w:t>Morgera</w:t>
            </w:r>
            <w:proofErr w:type="spellEnd"/>
            <w:r w:rsidRPr="00D770F2">
              <w:rPr>
                <w:b/>
                <w:sz w:val="20"/>
                <w:szCs w:val="20"/>
              </w:rPr>
              <w:t xml:space="preserve">, succession de Justin R. Wood, succession de Earl F. </w:t>
            </w:r>
            <w:proofErr w:type="spellStart"/>
            <w:r w:rsidRPr="00D770F2">
              <w:rPr>
                <w:b/>
                <w:sz w:val="20"/>
                <w:szCs w:val="20"/>
              </w:rPr>
              <w:t>Cartrette</w:t>
            </w:r>
            <w:proofErr w:type="spellEnd"/>
            <w:r w:rsidRPr="00D770F2">
              <w:rPr>
                <w:b/>
                <w:sz w:val="20"/>
                <w:szCs w:val="20"/>
              </w:rPr>
              <w:t xml:space="preserve">, Jr., succession de Brian </w:t>
            </w:r>
            <w:proofErr w:type="spellStart"/>
            <w:r w:rsidRPr="00D770F2">
              <w:rPr>
                <w:b/>
                <w:sz w:val="20"/>
                <w:szCs w:val="20"/>
              </w:rPr>
              <w:t>Mcveigh</w:t>
            </w:r>
            <w:proofErr w:type="spellEnd"/>
            <w:r w:rsidRPr="00D770F2">
              <w:rPr>
                <w:b/>
                <w:sz w:val="20"/>
                <w:szCs w:val="20"/>
              </w:rPr>
              <w:t xml:space="preserve">, succession de Joseph E. </w:t>
            </w:r>
            <w:proofErr w:type="spellStart"/>
            <w:r w:rsidRPr="00D770F2">
              <w:rPr>
                <w:b/>
                <w:sz w:val="20"/>
                <w:szCs w:val="20"/>
              </w:rPr>
              <w:t>Rimkus</w:t>
            </w:r>
            <w:proofErr w:type="spellEnd"/>
            <w:r w:rsidRPr="00D770F2">
              <w:rPr>
                <w:b/>
                <w:sz w:val="20"/>
                <w:szCs w:val="20"/>
              </w:rPr>
              <w:t xml:space="preserve">, succession de Jeremy A. Taylor, succession de Laura E. Johnson, Paul Alexander Blais, succession de Curtis Taylor, Maria Taylor, </w:t>
            </w:r>
            <w:proofErr w:type="spellStart"/>
            <w:r w:rsidRPr="00D770F2">
              <w:rPr>
                <w:b/>
                <w:sz w:val="20"/>
                <w:szCs w:val="20"/>
              </w:rPr>
              <w:t>Cielito</w:t>
            </w:r>
            <w:proofErr w:type="spellEnd"/>
            <w:r w:rsidRPr="00D770F2">
              <w:rPr>
                <w:b/>
                <w:sz w:val="20"/>
                <w:szCs w:val="20"/>
              </w:rPr>
              <w:t xml:space="preserve"> Valencia, </w:t>
            </w:r>
            <w:proofErr w:type="spellStart"/>
            <w:r w:rsidRPr="00D770F2">
              <w:rPr>
                <w:b/>
                <w:sz w:val="20"/>
                <w:szCs w:val="20"/>
              </w:rPr>
              <w:t>Luz</w:t>
            </w:r>
            <w:proofErr w:type="spellEnd"/>
            <w:r w:rsidRPr="00D770F2">
              <w:rPr>
                <w:b/>
                <w:sz w:val="20"/>
                <w:szCs w:val="20"/>
              </w:rPr>
              <w:t xml:space="preserve"> </w:t>
            </w:r>
            <w:proofErr w:type="spellStart"/>
            <w:r w:rsidRPr="00D770F2">
              <w:rPr>
                <w:b/>
                <w:sz w:val="20"/>
                <w:szCs w:val="20"/>
              </w:rPr>
              <w:t>Southard</w:t>
            </w:r>
            <w:proofErr w:type="spellEnd"/>
            <w:r w:rsidRPr="00D770F2">
              <w:rPr>
                <w:b/>
                <w:sz w:val="20"/>
                <w:szCs w:val="20"/>
              </w:rPr>
              <w:t xml:space="preserve">, Steven Wolfe, </w:t>
            </w:r>
            <w:proofErr w:type="spellStart"/>
            <w:r w:rsidRPr="00D770F2">
              <w:rPr>
                <w:b/>
                <w:sz w:val="20"/>
                <w:szCs w:val="20"/>
              </w:rPr>
              <w:t>Sonya</w:t>
            </w:r>
            <w:proofErr w:type="spellEnd"/>
            <w:r w:rsidRPr="00D770F2">
              <w:rPr>
                <w:b/>
                <w:sz w:val="20"/>
                <w:szCs w:val="20"/>
              </w:rPr>
              <w:t xml:space="preserve"> Turner Broadway, Diana </w:t>
            </w:r>
            <w:proofErr w:type="spellStart"/>
            <w:r w:rsidRPr="00D770F2">
              <w:rPr>
                <w:b/>
                <w:sz w:val="20"/>
                <w:szCs w:val="20"/>
              </w:rPr>
              <w:t>Campuzano</w:t>
            </w:r>
            <w:proofErr w:type="spellEnd"/>
            <w:r w:rsidRPr="00D770F2">
              <w:rPr>
                <w:b/>
                <w:sz w:val="20"/>
                <w:szCs w:val="20"/>
              </w:rPr>
              <w:t xml:space="preserve">, A Vi </w:t>
            </w:r>
            <w:proofErr w:type="spellStart"/>
            <w:r w:rsidRPr="00D770F2">
              <w:rPr>
                <w:b/>
                <w:sz w:val="20"/>
                <w:szCs w:val="20"/>
              </w:rPr>
              <w:t>Elishis</w:t>
            </w:r>
            <w:proofErr w:type="spellEnd"/>
            <w:r w:rsidRPr="00D770F2">
              <w:rPr>
                <w:b/>
                <w:sz w:val="20"/>
                <w:szCs w:val="20"/>
              </w:rPr>
              <w:t xml:space="preserve">, Gregg </w:t>
            </w:r>
            <w:proofErr w:type="spellStart"/>
            <w:r w:rsidRPr="00D770F2">
              <w:rPr>
                <w:b/>
                <w:sz w:val="20"/>
                <w:szCs w:val="20"/>
              </w:rPr>
              <w:t>Salzman</w:t>
            </w:r>
            <w:proofErr w:type="spellEnd"/>
            <w:r w:rsidRPr="00D770F2">
              <w:rPr>
                <w:b/>
                <w:sz w:val="20"/>
                <w:szCs w:val="20"/>
              </w:rPr>
              <w:t xml:space="preserve">, </w:t>
            </w:r>
            <w:proofErr w:type="spellStart"/>
            <w:r w:rsidRPr="00D770F2">
              <w:rPr>
                <w:b/>
                <w:sz w:val="20"/>
                <w:szCs w:val="20"/>
              </w:rPr>
              <w:t>Elisa</w:t>
            </w:r>
            <w:proofErr w:type="spellEnd"/>
            <w:r w:rsidRPr="00D770F2">
              <w:rPr>
                <w:b/>
                <w:sz w:val="20"/>
                <w:szCs w:val="20"/>
              </w:rPr>
              <w:t xml:space="preserve"> </w:t>
            </w:r>
            <w:proofErr w:type="spellStart"/>
            <w:r w:rsidRPr="00D770F2">
              <w:rPr>
                <w:b/>
                <w:sz w:val="20"/>
                <w:szCs w:val="20"/>
              </w:rPr>
              <w:t>Nili</w:t>
            </w:r>
            <w:proofErr w:type="spellEnd"/>
            <w:r w:rsidRPr="00D770F2">
              <w:rPr>
                <w:b/>
                <w:sz w:val="20"/>
                <w:szCs w:val="20"/>
              </w:rPr>
              <w:t xml:space="preserve"> </w:t>
            </w:r>
            <w:proofErr w:type="spellStart"/>
            <w:r w:rsidRPr="00D770F2">
              <w:rPr>
                <w:b/>
                <w:sz w:val="20"/>
                <w:szCs w:val="20"/>
              </w:rPr>
              <w:t>Cirilo</w:t>
            </w:r>
            <w:proofErr w:type="spellEnd"/>
            <w:r w:rsidRPr="00D770F2">
              <w:rPr>
                <w:b/>
                <w:sz w:val="20"/>
                <w:szCs w:val="20"/>
              </w:rPr>
              <w:t xml:space="preserve"> Peres </w:t>
            </w:r>
            <w:proofErr w:type="spellStart"/>
            <w:r w:rsidRPr="00D770F2">
              <w:rPr>
                <w:b/>
                <w:sz w:val="20"/>
                <w:szCs w:val="20"/>
              </w:rPr>
              <w:t>Benrafael</w:t>
            </w:r>
            <w:proofErr w:type="spellEnd"/>
            <w:r w:rsidRPr="00D770F2">
              <w:rPr>
                <w:b/>
                <w:sz w:val="20"/>
                <w:szCs w:val="20"/>
              </w:rPr>
              <w:t xml:space="preserve">, </w:t>
            </w:r>
            <w:proofErr w:type="spellStart"/>
            <w:r w:rsidRPr="00D770F2">
              <w:rPr>
                <w:b/>
                <w:sz w:val="20"/>
                <w:szCs w:val="20"/>
              </w:rPr>
              <w:t>Yonatan</w:t>
            </w:r>
            <w:proofErr w:type="spellEnd"/>
            <w:r w:rsidRPr="00D770F2">
              <w:rPr>
                <w:b/>
                <w:sz w:val="20"/>
                <w:szCs w:val="20"/>
              </w:rPr>
              <w:t xml:space="preserve"> </w:t>
            </w:r>
            <w:proofErr w:type="spellStart"/>
            <w:r w:rsidRPr="00D770F2">
              <w:rPr>
                <w:b/>
                <w:sz w:val="20"/>
                <w:szCs w:val="20"/>
              </w:rPr>
              <w:t>Mishael</w:t>
            </w:r>
            <w:proofErr w:type="spellEnd"/>
            <w:r w:rsidRPr="00D770F2">
              <w:rPr>
                <w:b/>
                <w:sz w:val="20"/>
                <w:szCs w:val="20"/>
              </w:rPr>
              <w:t xml:space="preserve"> Ben-Rafael, un mineur, par sa tutrice à l’instance </w:t>
            </w:r>
            <w:proofErr w:type="spellStart"/>
            <w:r w:rsidRPr="00D770F2">
              <w:rPr>
                <w:b/>
                <w:sz w:val="20"/>
                <w:szCs w:val="20"/>
              </w:rPr>
              <w:t>Elisa</w:t>
            </w:r>
            <w:proofErr w:type="spellEnd"/>
            <w:r w:rsidRPr="00D770F2">
              <w:rPr>
                <w:b/>
                <w:sz w:val="20"/>
                <w:szCs w:val="20"/>
              </w:rPr>
              <w:t xml:space="preserve"> </w:t>
            </w:r>
            <w:proofErr w:type="spellStart"/>
            <w:r w:rsidRPr="00D770F2">
              <w:rPr>
                <w:b/>
                <w:sz w:val="20"/>
                <w:szCs w:val="20"/>
              </w:rPr>
              <w:t>Nili</w:t>
            </w:r>
            <w:proofErr w:type="spellEnd"/>
            <w:r w:rsidRPr="00D770F2">
              <w:rPr>
                <w:b/>
                <w:sz w:val="20"/>
                <w:szCs w:val="20"/>
              </w:rPr>
              <w:t xml:space="preserve"> </w:t>
            </w:r>
            <w:proofErr w:type="spellStart"/>
            <w:r w:rsidRPr="00D770F2">
              <w:rPr>
                <w:b/>
                <w:sz w:val="20"/>
                <w:szCs w:val="20"/>
              </w:rPr>
              <w:t>Cirilo</w:t>
            </w:r>
            <w:proofErr w:type="spellEnd"/>
            <w:r w:rsidRPr="00D770F2">
              <w:rPr>
                <w:b/>
                <w:sz w:val="20"/>
                <w:szCs w:val="20"/>
              </w:rPr>
              <w:t xml:space="preserve"> Peres Ben-Rafael, Ralph Goldman, </w:t>
            </w:r>
            <w:proofErr w:type="spellStart"/>
            <w:r w:rsidRPr="00D770F2">
              <w:rPr>
                <w:b/>
                <w:sz w:val="20"/>
                <w:szCs w:val="20"/>
              </w:rPr>
              <w:t>Noa</w:t>
            </w:r>
            <w:proofErr w:type="spellEnd"/>
            <w:r w:rsidRPr="00D770F2">
              <w:rPr>
                <w:b/>
                <w:sz w:val="20"/>
                <w:szCs w:val="20"/>
              </w:rPr>
              <w:t xml:space="preserve"> Ruth </w:t>
            </w:r>
            <w:proofErr w:type="spellStart"/>
            <w:r w:rsidRPr="00D770F2">
              <w:rPr>
                <w:b/>
                <w:sz w:val="20"/>
                <w:szCs w:val="20"/>
              </w:rPr>
              <w:t>Benrafael</w:t>
            </w:r>
            <w:proofErr w:type="spellEnd"/>
            <w:r w:rsidRPr="00D770F2">
              <w:rPr>
                <w:b/>
                <w:sz w:val="20"/>
                <w:szCs w:val="20"/>
              </w:rPr>
              <w:t xml:space="preserve">, Judith Goldman </w:t>
            </w:r>
            <w:proofErr w:type="spellStart"/>
            <w:r w:rsidRPr="00D770F2">
              <w:rPr>
                <w:b/>
                <w:sz w:val="20"/>
                <w:szCs w:val="20"/>
              </w:rPr>
              <w:t>Baumgold</w:t>
            </w:r>
            <w:proofErr w:type="spellEnd"/>
            <w:r w:rsidRPr="00D770F2">
              <w:rPr>
                <w:b/>
                <w:sz w:val="20"/>
                <w:szCs w:val="20"/>
              </w:rPr>
              <w:t xml:space="preserve"> et Naomi Goldman</w:t>
            </w:r>
          </w:p>
          <w:p w:rsidR="00591A8C" w:rsidRPr="00D770F2" w:rsidRDefault="00591A8C" w:rsidP="006F56EE">
            <w:pPr>
              <w:pStyle w:val="SCCLsocOtherPartySeparator"/>
              <w:rPr>
                <w:sz w:val="20"/>
                <w:szCs w:val="20"/>
                <w:lang w:val="fr-CA"/>
              </w:rPr>
            </w:pPr>
            <w:r w:rsidRPr="00D770F2">
              <w:rPr>
                <w:sz w:val="20"/>
                <w:szCs w:val="20"/>
                <w:lang w:val="fr-CA"/>
              </w:rPr>
              <w:t>- et -</w:t>
            </w:r>
          </w:p>
          <w:p w:rsidR="00591A8C" w:rsidRPr="00D770F2" w:rsidRDefault="00591A8C" w:rsidP="006F56EE">
            <w:pPr>
              <w:pStyle w:val="SCCLsocParty"/>
              <w:jc w:val="both"/>
              <w:rPr>
                <w:b/>
                <w:sz w:val="20"/>
                <w:szCs w:val="20"/>
              </w:rPr>
            </w:pPr>
            <w:r w:rsidRPr="00D770F2">
              <w:rPr>
                <w:b/>
                <w:sz w:val="20"/>
                <w:szCs w:val="20"/>
              </w:rPr>
              <w:t>Procureur général du Canada</w:t>
            </w:r>
          </w:p>
          <w:p w:rsidR="00591A8C" w:rsidRPr="00D770F2" w:rsidRDefault="00591A8C" w:rsidP="006F56EE">
            <w:pPr>
              <w:jc w:val="both"/>
              <w:rPr>
                <w:sz w:val="20"/>
                <w:lang w:val="fr-CA"/>
              </w:rPr>
            </w:pPr>
            <w:r w:rsidRPr="00D770F2">
              <w:rPr>
                <w:sz w:val="20"/>
                <w:lang w:val="fr-CA"/>
              </w:rPr>
              <w:t>(Ont.) (Civile) (Sur autorisation)</w:t>
            </w:r>
          </w:p>
        </w:tc>
      </w:tr>
      <w:tr w:rsidR="00591A8C" w:rsidRPr="0030635C" w:rsidTr="006F56EE">
        <w:trPr>
          <w:gridAfter w:val="1"/>
          <w:wAfter w:w="48" w:type="pct"/>
        </w:trPr>
        <w:tc>
          <w:tcPr>
            <w:tcW w:w="4952" w:type="pct"/>
            <w:gridSpan w:val="4"/>
          </w:tcPr>
          <w:p w:rsidR="00591A8C" w:rsidRPr="00D770F2" w:rsidRDefault="00591A8C" w:rsidP="006F56EE">
            <w:pPr>
              <w:pStyle w:val="SCCBanSummary"/>
              <w:rPr>
                <w:sz w:val="20"/>
                <w:szCs w:val="20"/>
                <w:lang w:val="fr-CA"/>
              </w:rPr>
            </w:pPr>
            <w:r w:rsidRPr="00D770F2">
              <w:rPr>
                <w:sz w:val="20"/>
                <w:szCs w:val="20"/>
                <w:lang w:val="fr-CA"/>
              </w:rPr>
              <w:t>(Ordonnance de mise sous scellés) (Le dossier de la Cour renferme des données que le public n’est pas autorisé à consulter)</w:t>
            </w:r>
          </w:p>
          <w:p w:rsidR="00591A8C" w:rsidRPr="00D770F2" w:rsidRDefault="00591A8C" w:rsidP="006F56EE">
            <w:pPr>
              <w:jc w:val="both"/>
              <w:rPr>
                <w:sz w:val="20"/>
                <w:lang w:val="fr-CA"/>
              </w:rPr>
            </w:pPr>
          </w:p>
        </w:tc>
      </w:tr>
      <w:tr w:rsidR="00591A8C" w:rsidRPr="0030635C" w:rsidTr="006F56EE">
        <w:trPr>
          <w:gridAfter w:val="1"/>
          <w:wAfter w:w="48" w:type="pct"/>
        </w:trPr>
        <w:tc>
          <w:tcPr>
            <w:tcW w:w="4952" w:type="pct"/>
            <w:gridSpan w:val="4"/>
          </w:tcPr>
          <w:p w:rsidR="00591A8C" w:rsidRPr="00D770F2" w:rsidRDefault="00591A8C" w:rsidP="006F56EE">
            <w:pPr>
              <w:jc w:val="both"/>
              <w:rPr>
                <w:sz w:val="20"/>
                <w:lang w:val="fr-CA"/>
              </w:rPr>
            </w:pPr>
            <w:r w:rsidRPr="00D770F2">
              <w:rPr>
                <w:sz w:val="20"/>
                <w:lang w:val="fr-CA"/>
              </w:rPr>
              <w:t xml:space="preserve">Droit international — Immunité diplomatique — Suspension de relations diplomatiques — Locaux et biens diplomatiques — Immunité des États qui soutiennent le terrorisme — Reconnaissance des jugements étrangers — Les intimés ont été victimes d’attaques terroristes et ont obtenu des jugements prononcés dans le cadre d’instances aux États-Unis contre l’Iran pour son soutien à des organisations terroristes — Plus tard, en 2012, Canada a suspendu ses relations diplomatiques avec l’Iran — Les intimés ont depuis obtenu des ordonnances et des jugements en Ontario pour l’exécution des jugements prononcés aux États-Unis, en application de la </w:t>
            </w:r>
            <w:r w:rsidRPr="00D770F2">
              <w:rPr>
                <w:i/>
                <w:sz w:val="20"/>
                <w:lang w:val="fr-CA"/>
              </w:rPr>
              <w:t>Loi sur la justice pour les victimes d'actes de terrorisme</w:t>
            </w:r>
            <w:r w:rsidRPr="00D770F2">
              <w:rPr>
                <w:sz w:val="20"/>
                <w:lang w:val="fr-CA"/>
              </w:rPr>
              <w:t>, L.C. 2012, ch. 1, contre des biens iraniens qui se trouvent encore au Canada — Les motions de l’Iran en annulation, en modification ou en suspension des ordonnances et des jugements d’exécution ont été rejetées — Les biens iraniens peuvent-ils servir à exécuter les jugements prononcés aux États-Unis? — Les intimés sont-ils tenus de prouver le soutien de l’Iran au terrorisme dans les actions en reconnaissance et en exécution? — Est-ce à bon droit que le tribunal des États-Unis s’est déclaré compétent dans les actions qui ont donné lieu aux jugements prononcés aux États-Unis?</w:t>
            </w:r>
          </w:p>
        </w:tc>
      </w:tr>
      <w:tr w:rsidR="00591A8C" w:rsidRPr="0030635C" w:rsidTr="006F56EE">
        <w:trPr>
          <w:gridAfter w:val="1"/>
          <w:wAfter w:w="48" w:type="pct"/>
        </w:trPr>
        <w:tc>
          <w:tcPr>
            <w:tcW w:w="4952" w:type="pct"/>
            <w:gridSpan w:val="4"/>
          </w:tcPr>
          <w:p w:rsidR="00591A8C" w:rsidRPr="00D770F2" w:rsidRDefault="00591A8C" w:rsidP="006F56EE">
            <w:pPr>
              <w:jc w:val="both"/>
              <w:rPr>
                <w:sz w:val="20"/>
                <w:lang w:val="fr-CA"/>
              </w:rPr>
            </w:pPr>
          </w:p>
          <w:p w:rsidR="00591A8C" w:rsidRPr="00D770F2" w:rsidRDefault="00591A8C" w:rsidP="006F56EE">
            <w:pPr>
              <w:jc w:val="both"/>
              <w:rPr>
                <w:sz w:val="20"/>
                <w:lang w:val="fr-CA"/>
              </w:rPr>
            </w:pPr>
            <w:r w:rsidRPr="00D770F2">
              <w:rPr>
                <w:sz w:val="20"/>
                <w:lang w:val="fr-CA"/>
              </w:rPr>
              <w:t xml:space="preserve">En 2012, le Parlement a édicté la </w:t>
            </w:r>
            <w:r w:rsidRPr="00D770F2">
              <w:rPr>
                <w:i/>
                <w:sz w:val="20"/>
                <w:lang w:val="fr-CA"/>
              </w:rPr>
              <w:t>Loi sur la justice pour les victimes d'actes de terrorisme</w:t>
            </w:r>
            <w:r w:rsidRPr="00D770F2">
              <w:rPr>
                <w:sz w:val="20"/>
                <w:lang w:val="fr-CA"/>
              </w:rPr>
              <w:t>, L.C. 2012, ch. 1 (« LJVAT »). Cette loi a conféré aux victimes de terrorisme le droit de poursuivre les terroristes et les États étrangers qui ont contribué de façon importante au terrorisme et aux attaques soutenues par des terroristes. Les intimés sont titulaires de jugements prononcés par des tribunaux aux États-Unis relativement au soutien du terrorisme donné par un ou plusieurs des demandeurs (collectivement, l’« Iran »). En 2012, le Canada a suspendu ses relations diplomatiques avec l’Iran. Par la suite, les intimés ont intenté une poursuite en Ontario pour exécuter leurs jugements sous le régime de la LJVAT contre des biens iraniens qui se trouvent encore au Canada. L’Iran n’a pas opposé de défense aux actions en exécution des intimés et une série de jugements et d’ordonnances d’exécution ont fini par être accordés. L’Iran a ensuite tenté sans succès de faire annuler les jugements et ordonnances par une série de motions présentées à un juge de la Cour supérieure de justice de l’Ontario. La Cour d’appel de l’Ontario a rejeté les appels, à l’exception de jugements fondés sur des actes de terrorisme qui s’étaient produits avant le 1</w:t>
            </w:r>
            <w:r w:rsidRPr="00D770F2">
              <w:rPr>
                <w:sz w:val="20"/>
                <w:vertAlign w:val="superscript"/>
                <w:lang w:val="fr-CA"/>
              </w:rPr>
              <w:t>er</w:t>
            </w:r>
            <w:r w:rsidRPr="00D770F2">
              <w:rPr>
                <w:sz w:val="20"/>
                <w:lang w:val="fr-CA"/>
              </w:rPr>
              <w:t xml:space="preserve"> janvier 1985, puisque la LJVAT ne s’applique pas avant cette date, si bien que ces jugement</w:t>
            </w:r>
            <w:r w:rsidR="00EA7D94" w:rsidRPr="00D770F2">
              <w:rPr>
                <w:sz w:val="20"/>
                <w:lang w:val="fr-CA"/>
              </w:rPr>
              <w:t>s ne pouvaient être exécutés.</w:t>
            </w:r>
          </w:p>
          <w:p w:rsidR="00591A8C" w:rsidRPr="00D770F2" w:rsidRDefault="00591A8C" w:rsidP="006F56EE">
            <w:pPr>
              <w:jc w:val="both"/>
              <w:rPr>
                <w:sz w:val="20"/>
                <w:lang w:val="fr-CA"/>
              </w:rPr>
            </w:pPr>
          </w:p>
        </w:tc>
      </w:tr>
      <w:tr w:rsidR="00591A8C" w:rsidRPr="0030635C" w:rsidTr="006F56EE">
        <w:tblPrEx>
          <w:tblCellMar>
            <w:bottom w:w="0" w:type="dxa"/>
          </w:tblCellMar>
        </w:tblPrEx>
        <w:tc>
          <w:tcPr>
            <w:tcW w:w="2367" w:type="pct"/>
            <w:gridSpan w:val="2"/>
          </w:tcPr>
          <w:p w:rsidR="00591A8C" w:rsidRPr="00D770F2" w:rsidRDefault="00591A8C" w:rsidP="006F56EE">
            <w:pPr>
              <w:jc w:val="both"/>
              <w:rPr>
                <w:sz w:val="20"/>
                <w:lang w:val="fr-CA"/>
              </w:rPr>
            </w:pPr>
            <w:r w:rsidRPr="00D770F2">
              <w:rPr>
                <w:sz w:val="20"/>
                <w:lang w:val="fr-CA"/>
              </w:rPr>
              <w:t>9 juin 2016</w:t>
            </w:r>
          </w:p>
          <w:p w:rsidR="00591A8C" w:rsidRPr="00D770F2" w:rsidRDefault="00591A8C" w:rsidP="006F56EE">
            <w:pPr>
              <w:jc w:val="both"/>
              <w:rPr>
                <w:sz w:val="20"/>
                <w:lang w:val="fr-CA"/>
              </w:rPr>
            </w:pPr>
            <w:r w:rsidRPr="00D770F2">
              <w:rPr>
                <w:sz w:val="20"/>
                <w:lang w:val="fr-CA"/>
              </w:rPr>
              <w:t>Cour supérieure de justice de l’Ontario</w:t>
            </w:r>
          </w:p>
          <w:p w:rsidR="00591A8C" w:rsidRPr="00D770F2" w:rsidRDefault="00591A8C" w:rsidP="006F56EE">
            <w:pPr>
              <w:jc w:val="both"/>
              <w:rPr>
                <w:sz w:val="20"/>
                <w:lang w:val="fr-CA"/>
              </w:rPr>
            </w:pPr>
            <w:r w:rsidRPr="00D770F2">
              <w:rPr>
                <w:sz w:val="20"/>
                <w:lang w:val="fr-CA"/>
              </w:rPr>
              <w:t>(Juge Hainey)</w:t>
            </w:r>
          </w:p>
          <w:p w:rsidR="00591A8C" w:rsidRPr="00D770F2" w:rsidRDefault="009479D6" w:rsidP="006F56EE">
            <w:pPr>
              <w:jc w:val="both"/>
              <w:rPr>
                <w:sz w:val="20"/>
                <w:lang w:val="fr-CA"/>
              </w:rPr>
            </w:pPr>
            <w:hyperlink r:id="rId64" w:history="1">
              <w:r w:rsidR="00591A8C" w:rsidRPr="00D770F2">
                <w:rPr>
                  <w:rStyle w:val="Hyperlink"/>
                  <w:sz w:val="20"/>
                  <w:lang w:val="fr-CA"/>
                </w:rPr>
                <w:t>2016 ONSC 3759</w:t>
              </w:r>
            </w:hyperlink>
          </w:p>
          <w:p w:rsidR="00591A8C" w:rsidRPr="00D770F2" w:rsidRDefault="00591A8C" w:rsidP="006F56EE">
            <w:pPr>
              <w:jc w:val="both"/>
              <w:rPr>
                <w:sz w:val="20"/>
                <w:lang w:val="fr-CA"/>
              </w:rPr>
            </w:pPr>
          </w:p>
        </w:tc>
        <w:tc>
          <w:tcPr>
            <w:tcW w:w="267" w:type="pct"/>
          </w:tcPr>
          <w:p w:rsidR="00591A8C" w:rsidRPr="00D770F2" w:rsidRDefault="00591A8C" w:rsidP="006F56EE">
            <w:pPr>
              <w:jc w:val="both"/>
              <w:rPr>
                <w:sz w:val="20"/>
                <w:lang w:val="fr-CA"/>
              </w:rPr>
            </w:pPr>
          </w:p>
        </w:tc>
        <w:tc>
          <w:tcPr>
            <w:tcW w:w="2366" w:type="pct"/>
            <w:gridSpan w:val="2"/>
          </w:tcPr>
          <w:p w:rsidR="00591A8C" w:rsidRPr="00D770F2" w:rsidRDefault="00591A8C" w:rsidP="006F56EE">
            <w:pPr>
              <w:jc w:val="both"/>
              <w:rPr>
                <w:sz w:val="20"/>
                <w:lang w:val="fr-CA"/>
              </w:rPr>
            </w:pPr>
            <w:r w:rsidRPr="00D770F2">
              <w:rPr>
                <w:sz w:val="20"/>
                <w:lang w:val="fr-CA"/>
              </w:rPr>
              <w:t xml:space="preserve">Rejet des motions de l’Iran en annulation, en modification ou en suspension des ordonnances et jugements d’exécution. </w:t>
            </w:r>
          </w:p>
        </w:tc>
      </w:tr>
      <w:tr w:rsidR="00591A8C" w:rsidRPr="0030635C" w:rsidTr="006F56EE">
        <w:tblPrEx>
          <w:tblCellMar>
            <w:bottom w:w="0" w:type="dxa"/>
          </w:tblCellMar>
        </w:tblPrEx>
        <w:tc>
          <w:tcPr>
            <w:tcW w:w="2367" w:type="pct"/>
            <w:gridSpan w:val="2"/>
          </w:tcPr>
          <w:p w:rsidR="00591A8C" w:rsidRPr="00D770F2" w:rsidRDefault="00591A8C" w:rsidP="006F56EE">
            <w:pPr>
              <w:jc w:val="both"/>
              <w:rPr>
                <w:sz w:val="20"/>
                <w:lang w:val="fr-CA"/>
              </w:rPr>
            </w:pPr>
            <w:r w:rsidRPr="00D770F2">
              <w:rPr>
                <w:sz w:val="20"/>
                <w:lang w:val="fr-CA"/>
              </w:rPr>
              <w:t>30 juin 2017</w:t>
            </w:r>
          </w:p>
          <w:p w:rsidR="00591A8C" w:rsidRPr="00D770F2" w:rsidRDefault="00591A8C" w:rsidP="006F56EE">
            <w:pPr>
              <w:jc w:val="both"/>
              <w:rPr>
                <w:sz w:val="20"/>
                <w:lang w:val="fr-CA"/>
              </w:rPr>
            </w:pPr>
            <w:r w:rsidRPr="00D770F2">
              <w:rPr>
                <w:sz w:val="20"/>
                <w:lang w:val="fr-CA"/>
              </w:rPr>
              <w:t>Cour d’appel de l’Ontario</w:t>
            </w:r>
          </w:p>
          <w:p w:rsidR="00591A8C" w:rsidRPr="00D770F2" w:rsidRDefault="00591A8C" w:rsidP="006F56EE">
            <w:pPr>
              <w:jc w:val="both"/>
              <w:rPr>
                <w:sz w:val="20"/>
                <w:lang w:val="fr-CA"/>
              </w:rPr>
            </w:pPr>
            <w:r w:rsidRPr="00D770F2">
              <w:rPr>
                <w:sz w:val="20"/>
                <w:lang w:val="fr-CA"/>
              </w:rPr>
              <w:t>(Juge en chef adjoint Hoy, juges Blair et Hourigan)</w:t>
            </w:r>
          </w:p>
          <w:p w:rsidR="00591A8C" w:rsidRPr="00D770F2" w:rsidRDefault="009479D6" w:rsidP="006F56EE">
            <w:pPr>
              <w:jc w:val="both"/>
              <w:rPr>
                <w:sz w:val="20"/>
                <w:lang w:val="fr-CA"/>
              </w:rPr>
            </w:pPr>
            <w:hyperlink r:id="rId65" w:history="1">
              <w:r w:rsidR="00591A8C" w:rsidRPr="00D770F2">
                <w:rPr>
                  <w:rStyle w:val="Hyperlink"/>
                  <w:sz w:val="20"/>
                  <w:lang w:val="fr-CA"/>
                </w:rPr>
                <w:t>2017 ONCA 549</w:t>
              </w:r>
            </w:hyperlink>
          </w:p>
          <w:p w:rsidR="00591A8C" w:rsidRPr="00D770F2" w:rsidRDefault="00591A8C" w:rsidP="006F56EE">
            <w:pPr>
              <w:jc w:val="both"/>
              <w:rPr>
                <w:sz w:val="20"/>
                <w:lang w:val="fr-CA"/>
              </w:rPr>
            </w:pPr>
          </w:p>
        </w:tc>
        <w:tc>
          <w:tcPr>
            <w:tcW w:w="267" w:type="pct"/>
          </w:tcPr>
          <w:p w:rsidR="00591A8C" w:rsidRPr="00D770F2" w:rsidRDefault="00591A8C" w:rsidP="006F56EE">
            <w:pPr>
              <w:jc w:val="both"/>
              <w:rPr>
                <w:sz w:val="20"/>
                <w:lang w:val="fr-CA"/>
              </w:rPr>
            </w:pPr>
          </w:p>
        </w:tc>
        <w:tc>
          <w:tcPr>
            <w:tcW w:w="2366" w:type="pct"/>
            <w:gridSpan w:val="2"/>
          </w:tcPr>
          <w:p w:rsidR="00591A8C" w:rsidRPr="00D770F2" w:rsidRDefault="00591A8C" w:rsidP="006F56EE">
            <w:pPr>
              <w:jc w:val="both"/>
              <w:rPr>
                <w:sz w:val="20"/>
                <w:lang w:val="fr-CA"/>
              </w:rPr>
            </w:pPr>
            <w:r w:rsidRPr="00D770F2">
              <w:rPr>
                <w:sz w:val="20"/>
                <w:lang w:val="fr-CA"/>
              </w:rPr>
              <w:t>Rejet des appels, à l’exception des jugements fondés sur des actes de terrorisme qui se sont produits avant le 1</w:t>
            </w:r>
            <w:r w:rsidRPr="00D770F2">
              <w:rPr>
                <w:sz w:val="20"/>
                <w:vertAlign w:val="superscript"/>
                <w:lang w:val="fr-CA"/>
              </w:rPr>
              <w:t>er</w:t>
            </w:r>
            <w:r w:rsidRPr="00D770F2">
              <w:rPr>
                <w:sz w:val="20"/>
                <w:lang w:val="fr-CA"/>
              </w:rPr>
              <w:t xml:space="preserve"> janvier 1985.</w:t>
            </w:r>
          </w:p>
          <w:p w:rsidR="00591A8C" w:rsidRPr="00D770F2" w:rsidRDefault="00591A8C" w:rsidP="006F56EE">
            <w:pPr>
              <w:jc w:val="both"/>
              <w:rPr>
                <w:sz w:val="20"/>
                <w:lang w:val="fr-CA"/>
              </w:rPr>
            </w:pPr>
          </w:p>
        </w:tc>
      </w:tr>
      <w:tr w:rsidR="00591A8C" w:rsidRPr="0030635C" w:rsidTr="006F56EE">
        <w:tblPrEx>
          <w:tblCellMar>
            <w:bottom w:w="0" w:type="dxa"/>
          </w:tblCellMar>
        </w:tblPrEx>
        <w:tc>
          <w:tcPr>
            <w:tcW w:w="2367" w:type="pct"/>
            <w:gridSpan w:val="2"/>
          </w:tcPr>
          <w:p w:rsidR="00591A8C" w:rsidRPr="00D770F2" w:rsidRDefault="00591A8C" w:rsidP="006F56EE">
            <w:pPr>
              <w:jc w:val="both"/>
              <w:rPr>
                <w:sz w:val="20"/>
                <w:lang w:val="fr-CA"/>
              </w:rPr>
            </w:pPr>
            <w:r w:rsidRPr="00D770F2">
              <w:rPr>
                <w:sz w:val="20"/>
                <w:lang w:val="fr-CA"/>
              </w:rPr>
              <w:t>25 septembre 2017</w:t>
            </w:r>
          </w:p>
          <w:p w:rsidR="00591A8C" w:rsidRPr="00D770F2" w:rsidRDefault="00591A8C" w:rsidP="006F56EE">
            <w:pPr>
              <w:jc w:val="both"/>
              <w:rPr>
                <w:sz w:val="20"/>
                <w:lang w:val="fr-CA"/>
              </w:rPr>
            </w:pPr>
            <w:r w:rsidRPr="00D770F2">
              <w:rPr>
                <w:sz w:val="20"/>
                <w:lang w:val="fr-CA"/>
              </w:rPr>
              <w:t>Cour suprême du Canada</w:t>
            </w:r>
          </w:p>
        </w:tc>
        <w:tc>
          <w:tcPr>
            <w:tcW w:w="267" w:type="pct"/>
          </w:tcPr>
          <w:p w:rsidR="00591A8C" w:rsidRPr="00D770F2" w:rsidRDefault="00591A8C" w:rsidP="006F56EE">
            <w:pPr>
              <w:jc w:val="both"/>
              <w:rPr>
                <w:sz w:val="20"/>
                <w:lang w:val="fr-CA"/>
              </w:rPr>
            </w:pPr>
          </w:p>
        </w:tc>
        <w:tc>
          <w:tcPr>
            <w:tcW w:w="2366" w:type="pct"/>
            <w:gridSpan w:val="2"/>
          </w:tcPr>
          <w:p w:rsidR="00591A8C" w:rsidRPr="00D770F2" w:rsidRDefault="00591A8C" w:rsidP="006F56EE">
            <w:pPr>
              <w:jc w:val="both"/>
              <w:rPr>
                <w:sz w:val="20"/>
                <w:lang w:val="fr-CA"/>
              </w:rPr>
            </w:pPr>
            <w:r w:rsidRPr="00D770F2">
              <w:rPr>
                <w:sz w:val="20"/>
                <w:lang w:val="fr-CA"/>
              </w:rPr>
              <w:t>Dépôt de la demande d’autorisation d’appel, accompagnée d’une requête en réunion des cinq dossiers des juridictions inférieures en une seule demande d’autorisation.</w:t>
            </w:r>
          </w:p>
        </w:tc>
      </w:tr>
    </w:tbl>
    <w:p w:rsidR="00591A8C" w:rsidRPr="00D770F2" w:rsidRDefault="00591A8C" w:rsidP="006F56EE">
      <w:pPr>
        <w:jc w:val="both"/>
        <w:rPr>
          <w:sz w:val="20"/>
          <w:lang w:val="fr-CA"/>
        </w:rPr>
      </w:pPr>
    </w:p>
    <w:p w:rsidR="001E6FC9" w:rsidRPr="00D770F2" w:rsidRDefault="001E6FC9" w:rsidP="006F56EE">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6F56EE" w:rsidRPr="00D770F2" w:rsidTr="006F56EE">
        <w:trPr>
          <w:gridAfter w:val="1"/>
          <w:wAfter w:w="48" w:type="pct"/>
        </w:trPr>
        <w:tc>
          <w:tcPr>
            <w:tcW w:w="537" w:type="pct"/>
          </w:tcPr>
          <w:p w:rsidR="006F56EE" w:rsidRPr="00D770F2" w:rsidRDefault="006F56EE" w:rsidP="006F56EE">
            <w:pPr>
              <w:jc w:val="both"/>
              <w:rPr>
                <w:sz w:val="20"/>
              </w:rPr>
            </w:pPr>
            <w:r w:rsidRPr="00D770F2">
              <w:rPr>
                <w:rStyle w:val="SCCFileNumberChar"/>
                <w:sz w:val="20"/>
                <w:szCs w:val="20"/>
              </w:rPr>
              <w:t>37788</w:t>
            </w:r>
          </w:p>
        </w:tc>
        <w:tc>
          <w:tcPr>
            <w:tcW w:w="4415" w:type="pct"/>
            <w:gridSpan w:val="3"/>
          </w:tcPr>
          <w:p w:rsidR="006F56EE" w:rsidRPr="00D770F2" w:rsidRDefault="006F56EE" w:rsidP="006F56EE">
            <w:pPr>
              <w:pStyle w:val="SCCLsocParty"/>
              <w:jc w:val="both"/>
              <w:rPr>
                <w:b/>
                <w:sz w:val="20"/>
                <w:szCs w:val="20"/>
                <w:lang w:val="en-US"/>
              </w:rPr>
            </w:pPr>
            <w:r w:rsidRPr="00D770F2">
              <w:rPr>
                <w:b/>
                <w:sz w:val="20"/>
                <w:szCs w:val="20"/>
                <w:lang w:val="en-US"/>
              </w:rPr>
              <w:t>Deborah Dieckmann v. Her Majesty the Queen</w:t>
            </w:r>
          </w:p>
          <w:p w:rsidR="006F56EE" w:rsidRPr="00D770F2" w:rsidRDefault="006F56EE" w:rsidP="006F56EE">
            <w:pPr>
              <w:jc w:val="both"/>
              <w:rPr>
                <w:sz w:val="20"/>
              </w:rPr>
            </w:pPr>
            <w:r w:rsidRPr="00D770F2">
              <w:rPr>
                <w:sz w:val="20"/>
              </w:rPr>
              <w:t>(Ont.) (Criminal) (By Leave)</w:t>
            </w:r>
          </w:p>
        </w:tc>
      </w:tr>
      <w:tr w:rsidR="006F56EE" w:rsidRPr="00D770F2" w:rsidTr="006F56EE">
        <w:trPr>
          <w:gridAfter w:val="1"/>
          <w:wAfter w:w="48" w:type="pct"/>
        </w:trPr>
        <w:tc>
          <w:tcPr>
            <w:tcW w:w="4952" w:type="pct"/>
            <w:gridSpan w:val="4"/>
          </w:tcPr>
          <w:p w:rsidR="006F56EE" w:rsidRPr="00D770F2" w:rsidRDefault="006F56EE" w:rsidP="006F56EE">
            <w:pPr>
              <w:jc w:val="both"/>
              <w:rPr>
                <w:sz w:val="20"/>
              </w:rPr>
            </w:pPr>
            <w:r w:rsidRPr="00D770F2">
              <w:rPr>
                <w:sz w:val="20"/>
              </w:rPr>
              <w:t>Criminal law — Criminal Code offences — Fraudulent transactions relating to contracts and trade — Fraud over $5,000 — Particular sanctions — Imprisonment — Fines — Scheme to divert money from government to personal use — Accused convicted of fraud over $5,000 — Accused sentenced to four years’ imprisonment and fine in lieu of forfeiture — Appeals dismissed — Whether judicial summaries are permissible for trial judges to relate evidence led — Whether trial judge’s instruction on co-conspirators’ exception to hearsay rule deficient — How trial judges should determine quantum of fine in lieu of forfeiture where more than one offender commits designated offence.</w:t>
            </w:r>
          </w:p>
        </w:tc>
      </w:tr>
      <w:tr w:rsidR="006F56EE" w:rsidRPr="00D770F2" w:rsidTr="006F56EE">
        <w:trPr>
          <w:gridAfter w:val="1"/>
          <w:wAfter w:w="48" w:type="pct"/>
        </w:trPr>
        <w:tc>
          <w:tcPr>
            <w:tcW w:w="4952" w:type="pct"/>
            <w:gridSpan w:val="4"/>
          </w:tcPr>
          <w:p w:rsidR="006F56EE" w:rsidRPr="00D770F2" w:rsidRDefault="006F56EE" w:rsidP="006F56EE">
            <w:pPr>
              <w:jc w:val="both"/>
              <w:rPr>
                <w:sz w:val="20"/>
              </w:rPr>
            </w:pPr>
          </w:p>
        </w:tc>
      </w:tr>
      <w:tr w:rsidR="006F56EE" w:rsidRPr="00D770F2" w:rsidTr="006F56EE">
        <w:trPr>
          <w:gridAfter w:val="1"/>
          <w:wAfter w:w="48" w:type="pct"/>
        </w:trPr>
        <w:tc>
          <w:tcPr>
            <w:tcW w:w="4952" w:type="pct"/>
            <w:gridSpan w:val="4"/>
          </w:tcPr>
          <w:p w:rsidR="006F56EE" w:rsidRPr="00D770F2" w:rsidRDefault="006F56EE" w:rsidP="006F56EE">
            <w:pPr>
              <w:jc w:val="both"/>
              <w:rPr>
                <w:sz w:val="20"/>
              </w:rPr>
            </w:pPr>
            <w:r w:rsidRPr="00D770F2">
              <w:rPr>
                <w:sz w:val="20"/>
              </w:rPr>
              <w:t>The applicant, Ms. Dieckmann, was charged with seven counts of fraud over $5,000 for operating, together with named co-conspirators, a scheme to divert millions of dollars from the Canadian Revenue Agency (the “CRA”). The Crown alleged that companies controlled by Ms. Dieckmann and the co-conspirators contracted with various legitimate companies to provide payroll-related services, including the remitting of various source deductions, such as income tax and Canada Pension Plan contributions, to the CRA. Instead of remitting the funds to the CRA, the co-conspirators directed the funds, through a series of corporate shells and bank accounts, to their own personal use. The amount of the fraud totalled $5.7 million. After a four-month trial, the jury convicted Ms. Dieckmann on all seven counts of fraud. The trial judge sentenced Ms. Dieckmann to four years’ imprisonment and imposed a fine of $1,285,930 in lieu of forfeiture. In default of payment of the fine, Ms. Dieckmann received an additional five years in jail. The Court of Appeal dismissed both her appeals against convictions a</w:t>
            </w:r>
            <w:r w:rsidR="00EA7D94" w:rsidRPr="00D770F2">
              <w:rPr>
                <w:sz w:val="20"/>
              </w:rPr>
              <w:t>nd against sentence.</w:t>
            </w:r>
          </w:p>
          <w:p w:rsidR="006F56EE" w:rsidRPr="00D770F2" w:rsidRDefault="006F56EE" w:rsidP="006F56EE">
            <w:pPr>
              <w:jc w:val="both"/>
              <w:rPr>
                <w:sz w:val="20"/>
              </w:rPr>
            </w:pPr>
          </w:p>
        </w:tc>
      </w:tr>
      <w:tr w:rsidR="006F56EE" w:rsidRPr="00D770F2" w:rsidTr="006F56EE">
        <w:tblPrEx>
          <w:tblCellMar>
            <w:bottom w:w="0" w:type="dxa"/>
          </w:tblCellMar>
        </w:tblPrEx>
        <w:tc>
          <w:tcPr>
            <w:tcW w:w="2367" w:type="pct"/>
            <w:gridSpan w:val="2"/>
          </w:tcPr>
          <w:p w:rsidR="006F56EE" w:rsidRPr="00D770F2" w:rsidRDefault="006F56EE" w:rsidP="006F56EE">
            <w:pPr>
              <w:jc w:val="both"/>
              <w:rPr>
                <w:sz w:val="20"/>
              </w:rPr>
            </w:pPr>
            <w:r w:rsidRPr="00D770F2">
              <w:rPr>
                <w:sz w:val="20"/>
              </w:rPr>
              <w:t>July 24, 2013</w:t>
            </w:r>
          </w:p>
          <w:p w:rsidR="006F56EE" w:rsidRPr="00D770F2" w:rsidRDefault="006F56EE" w:rsidP="006F56EE">
            <w:pPr>
              <w:jc w:val="both"/>
              <w:rPr>
                <w:sz w:val="20"/>
              </w:rPr>
            </w:pPr>
            <w:r w:rsidRPr="00D770F2">
              <w:rPr>
                <w:sz w:val="20"/>
              </w:rPr>
              <w:t>Ontario Superior Court of Justice</w:t>
            </w:r>
          </w:p>
          <w:p w:rsidR="006F56EE" w:rsidRPr="00D770F2" w:rsidRDefault="006F56EE" w:rsidP="006F56EE">
            <w:pPr>
              <w:jc w:val="both"/>
              <w:rPr>
                <w:sz w:val="20"/>
              </w:rPr>
            </w:pPr>
            <w:r w:rsidRPr="00D770F2">
              <w:rPr>
                <w:sz w:val="20"/>
              </w:rPr>
              <w:t>(</w:t>
            </w:r>
            <w:proofErr w:type="spellStart"/>
            <w:r w:rsidRPr="00D770F2">
              <w:rPr>
                <w:sz w:val="20"/>
              </w:rPr>
              <w:t>Baltman</w:t>
            </w:r>
            <w:proofErr w:type="spellEnd"/>
            <w:r w:rsidRPr="00D770F2">
              <w:rPr>
                <w:sz w:val="20"/>
              </w:rPr>
              <w:t xml:space="preserve"> J.)</w:t>
            </w:r>
          </w:p>
          <w:p w:rsidR="006F56EE" w:rsidRPr="00D770F2" w:rsidRDefault="006F56EE" w:rsidP="006F56EE">
            <w:pPr>
              <w:jc w:val="both"/>
              <w:rPr>
                <w:sz w:val="20"/>
              </w:rPr>
            </w:pPr>
          </w:p>
        </w:tc>
        <w:tc>
          <w:tcPr>
            <w:tcW w:w="267" w:type="pct"/>
          </w:tcPr>
          <w:p w:rsidR="006F56EE" w:rsidRPr="00D770F2" w:rsidRDefault="006F56EE" w:rsidP="006F56EE">
            <w:pPr>
              <w:jc w:val="both"/>
              <w:rPr>
                <w:sz w:val="20"/>
              </w:rPr>
            </w:pPr>
          </w:p>
        </w:tc>
        <w:tc>
          <w:tcPr>
            <w:tcW w:w="2366" w:type="pct"/>
            <w:gridSpan w:val="2"/>
          </w:tcPr>
          <w:p w:rsidR="006F56EE" w:rsidRPr="00D770F2" w:rsidRDefault="006F56EE" w:rsidP="006F56EE">
            <w:pPr>
              <w:jc w:val="both"/>
              <w:rPr>
                <w:sz w:val="20"/>
              </w:rPr>
            </w:pPr>
            <w:r w:rsidRPr="00D770F2">
              <w:rPr>
                <w:sz w:val="20"/>
              </w:rPr>
              <w:t>Accused convicted of sev</w:t>
            </w:r>
            <w:r w:rsidR="00EA7D94" w:rsidRPr="00D770F2">
              <w:rPr>
                <w:sz w:val="20"/>
              </w:rPr>
              <w:t>en counts of fraud over $5,000.</w:t>
            </w:r>
          </w:p>
          <w:p w:rsidR="006F56EE" w:rsidRPr="00D770F2" w:rsidRDefault="006F56EE" w:rsidP="006F56EE">
            <w:pPr>
              <w:jc w:val="both"/>
              <w:rPr>
                <w:sz w:val="20"/>
              </w:rPr>
            </w:pPr>
          </w:p>
        </w:tc>
      </w:tr>
      <w:tr w:rsidR="006F56EE" w:rsidRPr="00D770F2" w:rsidTr="006F56EE">
        <w:tblPrEx>
          <w:tblCellMar>
            <w:bottom w:w="0" w:type="dxa"/>
          </w:tblCellMar>
        </w:tblPrEx>
        <w:tc>
          <w:tcPr>
            <w:tcW w:w="2367" w:type="pct"/>
            <w:gridSpan w:val="2"/>
          </w:tcPr>
          <w:p w:rsidR="006F56EE" w:rsidRPr="00D770F2" w:rsidRDefault="006F56EE" w:rsidP="006F56EE">
            <w:pPr>
              <w:jc w:val="both"/>
              <w:rPr>
                <w:sz w:val="20"/>
              </w:rPr>
            </w:pPr>
            <w:r w:rsidRPr="00D770F2">
              <w:rPr>
                <w:sz w:val="20"/>
              </w:rPr>
              <w:t>December 3, 2013</w:t>
            </w:r>
          </w:p>
          <w:p w:rsidR="006F56EE" w:rsidRPr="00D770F2" w:rsidRDefault="006F56EE" w:rsidP="006F56EE">
            <w:pPr>
              <w:jc w:val="both"/>
              <w:rPr>
                <w:sz w:val="20"/>
              </w:rPr>
            </w:pPr>
            <w:r w:rsidRPr="00D770F2">
              <w:rPr>
                <w:sz w:val="20"/>
              </w:rPr>
              <w:t>Ontario Superior Court of Justice</w:t>
            </w:r>
          </w:p>
          <w:p w:rsidR="006F56EE" w:rsidRPr="00D770F2" w:rsidRDefault="006F56EE" w:rsidP="006F56EE">
            <w:pPr>
              <w:jc w:val="both"/>
              <w:rPr>
                <w:sz w:val="20"/>
              </w:rPr>
            </w:pPr>
            <w:r w:rsidRPr="00D770F2">
              <w:rPr>
                <w:sz w:val="20"/>
              </w:rPr>
              <w:t>(</w:t>
            </w:r>
            <w:proofErr w:type="spellStart"/>
            <w:r w:rsidRPr="00D770F2">
              <w:rPr>
                <w:sz w:val="20"/>
              </w:rPr>
              <w:t>Baltman</w:t>
            </w:r>
            <w:proofErr w:type="spellEnd"/>
            <w:r w:rsidRPr="00D770F2">
              <w:rPr>
                <w:sz w:val="20"/>
              </w:rPr>
              <w:t xml:space="preserve"> J.)</w:t>
            </w:r>
          </w:p>
          <w:p w:rsidR="006F56EE" w:rsidRPr="00D770F2" w:rsidRDefault="009479D6" w:rsidP="006F56EE">
            <w:pPr>
              <w:jc w:val="both"/>
              <w:rPr>
                <w:sz w:val="20"/>
              </w:rPr>
            </w:pPr>
            <w:hyperlink r:id="rId66" w:history="1">
              <w:r w:rsidR="006F56EE" w:rsidRPr="00D770F2">
                <w:rPr>
                  <w:rStyle w:val="Hyperlink"/>
                  <w:sz w:val="20"/>
                </w:rPr>
                <w:t>2014 ONSC 717</w:t>
              </w:r>
            </w:hyperlink>
          </w:p>
          <w:p w:rsidR="006F56EE" w:rsidRPr="00D770F2" w:rsidRDefault="006F56EE" w:rsidP="006F56EE">
            <w:pPr>
              <w:jc w:val="both"/>
              <w:rPr>
                <w:sz w:val="20"/>
              </w:rPr>
            </w:pPr>
          </w:p>
        </w:tc>
        <w:tc>
          <w:tcPr>
            <w:tcW w:w="267" w:type="pct"/>
          </w:tcPr>
          <w:p w:rsidR="006F56EE" w:rsidRPr="00D770F2" w:rsidRDefault="006F56EE" w:rsidP="006F56EE">
            <w:pPr>
              <w:jc w:val="both"/>
              <w:rPr>
                <w:sz w:val="20"/>
              </w:rPr>
            </w:pPr>
          </w:p>
        </w:tc>
        <w:tc>
          <w:tcPr>
            <w:tcW w:w="2366" w:type="pct"/>
            <w:gridSpan w:val="2"/>
          </w:tcPr>
          <w:p w:rsidR="006F56EE" w:rsidRPr="00D770F2" w:rsidRDefault="006F56EE" w:rsidP="006F56EE">
            <w:pPr>
              <w:jc w:val="both"/>
              <w:rPr>
                <w:sz w:val="20"/>
              </w:rPr>
            </w:pPr>
            <w:r w:rsidRPr="00D770F2">
              <w:rPr>
                <w:sz w:val="20"/>
              </w:rPr>
              <w:t>Accused sentenced to four years’ imprisonment and imposed a fine of $1,285,930 in lieu of forfeiture. In default of payment of the fine, accused received an additional five years in jail.</w:t>
            </w:r>
          </w:p>
          <w:p w:rsidR="006F56EE" w:rsidRPr="00D770F2" w:rsidRDefault="006F56EE" w:rsidP="006F56EE">
            <w:pPr>
              <w:jc w:val="both"/>
              <w:rPr>
                <w:sz w:val="20"/>
              </w:rPr>
            </w:pPr>
          </w:p>
        </w:tc>
      </w:tr>
      <w:tr w:rsidR="006F56EE" w:rsidRPr="00D770F2" w:rsidTr="006F56EE">
        <w:tblPrEx>
          <w:tblCellMar>
            <w:bottom w:w="0" w:type="dxa"/>
          </w:tblCellMar>
        </w:tblPrEx>
        <w:tc>
          <w:tcPr>
            <w:tcW w:w="2367" w:type="pct"/>
            <w:gridSpan w:val="2"/>
          </w:tcPr>
          <w:p w:rsidR="006F56EE" w:rsidRPr="00D770F2" w:rsidRDefault="006F56EE" w:rsidP="006F56EE">
            <w:pPr>
              <w:jc w:val="both"/>
              <w:rPr>
                <w:sz w:val="20"/>
              </w:rPr>
            </w:pPr>
            <w:r w:rsidRPr="00D770F2">
              <w:rPr>
                <w:sz w:val="20"/>
              </w:rPr>
              <w:t>July 5, 2017</w:t>
            </w:r>
          </w:p>
          <w:p w:rsidR="006F56EE" w:rsidRPr="00D770F2" w:rsidRDefault="006F56EE" w:rsidP="006F56EE">
            <w:pPr>
              <w:jc w:val="both"/>
              <w:rPr>
                <w:sz w:val="20"/>
              </w:rPr>
            </w:pPr>
            <w:r w:rsidRPr="00D770F2">
              <w:rPr>
                <w:sz w:val="20"/>
              </w:rPr>
              <w:t>Court of Appeal for Ontario</w:t>
            </w:r>
          </w:p>
          <w:p w:rsidR="006F56EE" w:rsidRPr="00D770F2" w:rsidRDefault="006F56EE" w:rsidP="006F56EE">
            <w:pPr>
              <w:jc w:val="both"/>
              <w:rPr>
                <w:sz w:val="20"/>
              </w:rPr>
            </w:pPr>
            <w:r w:rsidRPr="00D770F2">
              <w:rPr>
                <w:sz w:val="20"/>
              </w:rPr>
              <w:t xml:space="preserve">(Doherty, Rouleau and </w:t>
            </w:r>
            <w:proofErr w:type="spellStart"/>
            <w:r w:rsidRPr="00D770F2">
              <w:rPr>
                <w:sz w:val="20"/>
              </w:rPr>
              <w:t>Pepall</w:t>
            </w:r>
            <w:proofErr w:type="spellEnd"/>
            <w:r w:rsidRPr="00D770F2">
              <w:rPr>
                <w:sz w:val="20"/>
              </w:rPr>
              <w:t xml:space="preserve"> JJ.A.)</w:t>
            </w:r>
          </w:p>
          <w:p w:rsidR="006F56EE" w:rsidRPr="00D770F2" w:rsidRDefault="009479D6" w:rsidP="006F56EE">
            <w:pPr>
              <w:jc w:val="both"/>
              <w:rPr>
                <w:sz w:val="20"/>
              </w:rPr>
            </w:pPr>
            <w:hyperlink r:id="rId67" w:history="1">
              <w:r w:rsidR="006F56EE" w:rsidRPr="00D770F2">
                <w:rPr>
                  <w:rStyle w:val="Hyperlink"/>
                  <w:sz w:val="20"/>
                </w:rPr>
                <w:t>2017 ONCA 575</w:t>
              </w:r>
            </w:hyperlink>
          </w:p>
          <w:p w:rsidR="006F56EE" w:rsidRPr="00D770F2" w:rsidRDefault="006F56EE" w:rsidP="006F56EE">
            <w:pPr>
              <w:jc w:val="both"/>
              <w:rPr>
                <w:sz w:val="20"/>
              </w:rPr>
            </w:pPr>
          </w:p>
        </w:tc>
        <w:tc>
          <w:tcPr>
            <w:tcW w:w="267" w:type="pct"/>
          </w:tcPr>
          <w:p w:rsidR="006F56EE" w:rsidRPr="00D770F2" w:rsidRDefault="006F56EE" w:rsidP="006F56EE">
            <w:pPr>
              <w:jc w:val="both"/>
              <w:rPr>
                <w:sz w:val="20"/>
              </w:rPr>
            </w:pPr>
          </w:p>
        </w:tc>
        <w:tc>
          <w:tcPr>
            <w:tcW w:w="2366" w:type="pct"/>
            <w:gridSpan w:val="2"/>
          </w:tcPr>
          <w:p w:rsidR="006F56EE" w:rsidRPr="00D770F2" w:rsidRDefault="006F56EE" w:rsidP="006F56EE">
            <w:pPr>
              <w:jc w:val="both"/>
              <w:rPr>
                <w:sz w:val="20"/>
              </w:rPr>
            </w:pPr>
            <w:r w:rsidRPr="00D770F2">
              <w:rPr>
                <w:sz w:val="20"/>
              </w:rPr>
              <w:t>Appeal against conviction dismissed, leave to appeal sentence granted, but sentence appeal dismissed.</w:t>
            </w:r>
          </w:p>
          <w:p w:rsidR="006F56EE" w:rsidRPr="00D770F2" w:rsidRDefault="006F56EE" w:rsidP="006F56EE">
            <w:pPr>
              <w:jc w:val="both"/>
              <w:rPr>
                <w:sz w:val="20"/>
              </w:rPr>
            </w:pPr>
          </w:p>
        </w:tc>
      </w:tr>
      <w:tr w:rsidR="006F56EE" w:rsidRPr="00D770F2" w:rsidTr="006F56EE">
        <w:tblPrEx>
          <w:tblCellMar>
            <w:bottom w:w="0" w:type="dxa"/>
          </w:tblCellMar>
        </w:tblPrEx>
        <w:tc>
          <w:tcPr>
            <w:tcW w:w="2367" w:type="pct"/>
            <w:gridSpan w:val="2"/>
          </w:tcPr>
          <w:p w:rsidR="006F56EE" w:rsidRPr="00D770F2" w:rsidRDefault="006F56EE" w:rsidP="006F56EE">
            <w:pPr>
              <w:jc w:val="both"/>
              <w:rPr>
                <w:sz w:val="20"/>
              </w:rPr>
            </w:pPr>
            <w:r w:rsidRPr="00D770F2">
              <w:rPr>
                <w:sz w:val="20"/>
              </w:rPr>
              <w:t>September 29, 2017</w:t>
            </w:r>
          </w:p>
          <w:p w:rsidR="006F56EE" w:rsidRPr="00D770F2" w:rsidRDefault="006F56EE" w:rsidP="006F56EE">
            <w:pPr>
              <w:jc w:val="both"/>
              <w:rPr>
                <w:sz w:val="20"/>
              </w:rPr>
            </w:pPr>
            <w:r w:rsidRPr="00D770F2">
              <w:rPr>
                <w:sz w:val="20"/>
              </w:rPr>
              <w:t>Supreme Court of Canada</w:t>
            </w:r>
          </w:p>
        </w:tc>
        <w:tc>
          <w:tcPr>
            <w:tcW w:w="267" w:type="pct"/>
          </w:tcPr>
          <w:p w:rsidR="006F56EE" w:rsidRPr="00D770F2" w:rsidRDefault="006F56EE" w:rsidP="006F56EE">
            <w:pPr>
              <w:jc w:val="both"/>
              <w:rPr>
                <w:sz w:val="20"/>
              </w:rPr>
            </w:pPr>
          </w:p>
        </w:tc>
        <w:tc>
          <w:tcPr>
            <w:tcW w:w="2366" w:type="pct"/>
            <w:gridSpan w:val="2"/>
          </w:tcPr>
          <w:p w:rsidR="006F56EE" w:rsidRPr="00D770F2" w:rsidRDefault="006F56EE" w:rsidP="006F56EE">
            <w:pPr>
              <w:jc w:val="both"/>
              <w:rPr>
                <w:sz w:val="20"/>
              </w:rPr>
            </w:pPr>
            <w:r w:rsidRPr="00D770F2">
              <w:rPr>
                <w:sz w:val="20"/>
              </w:rPr>
              <w:t>Application for leave to appeal filed.</w:t>
            </w:r>
          </w:p>
          <w:p w:rsidR="006F56EE" w:rsidRPr="00D770F2" w:rsidRDefault="006F56EE" w:rsidP="006F56EE">
            <w:pPr>
              <w:jc w:val="both"/>
              <w:rPr>
                <w:sz w:val="20"/>
              </w:rPr>
            </w:pPr>
          </w:p>
        </w:tc>
      </w:tr>
    </w:tbl>
    <w:p w:rsidR="006F56EE" w:rsidRPr="00D770F2" w:rsidRDefault="006F56EE" w:rsidP="006F56EE">
      <w:pPr>
        <w:jc w:val="both"/>
        <w:rPr>
          <w:sz w:val="20"/>
        </w:rPr>
      </w:pPr>
    </w:p>
    <w:p w:rsidR="00EA7D94" w:rsidRPr="00D770F2" w:rsidRDefault="00EA7D94" w:rsidP="006F56EE">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6F56EE" w:rsidRPr="00D770F2" w:rsidTr="006F56EE">
        <w:trPr>
          <w:gridAfter w:val="1"/>
          <w:wAfter w:w="48" w:type="pct"/>
        </w:trPr>
        <w:tc>
          <w:tcPr>
            <w:tcW w:w="537" w:type="pct"/>
          </w:tcPr>
          <w:p w:rsidR="006F56EE" w:rsidRPr="00D770F2" w:rsidRDefault="006F56EE" w:rsidP="006F56EE">
            <w:pPr>
              <w:jc w:val="both"/>
              <w:rPr>
                <w:sz w:val="20"/>
                <w:lang w:val="fr-CA"/>
              </w:rPr>
            </w:pPr>
            <w:r w:rsidRPr="00D770F2">
              <w:rPr>
                <w:rStyle w:val="SCCFileNumberChar"/>
                <w:sz w:val="20"/>
                <w:szCs w:val="20"/>
                <w:lang w:val="fr-CA"/>
              </w:rPr>
              <w:t>37788</w:t>
            </w:r>
          </w:p>
        </w:tc>
        <w:tc>
          <w:tcPr>
            <w:tcW w:w="4415" w:type="pct"/>
            <w:gridSpan w:val="3"/>
          </w:tcPr>
          <w:p w:rsidR="006F56EE" w:rsidRPr="00D770F2" w:rsidRDefault="006F56EE" w:rsidP="006F56EE">
            <w:pPr>
              <w:pStyle w:val="SCCLsocParty"/>
              <w:jc w:val="both"/>
              <w:rPr>
                <w:b/>
                <w:sz w:val="20"/>
                <w:szCs w:val="20"/>
              </w:rPr>
            </w:pPr>
            <w:r w:rsidRPr="00D770F2">
              <w:rPr>
                <w:b/>
                <w:sz w:val="20"/>
                <w:szCs w:val="20"/>
              </w:rPr>
              <w:t>Deborah Dieckmann c. Sa Majesté la Reine</w:t>
            </w:r>
          </w:p>
          <w:p w:rsidR="006F56EE" w:rsidRPr="00D770F2" w:rsidRDefault="006F56EE" w:rsidP="006F56EE">
            <w:pPr>
              <w:jc w:val="both"/>
              <w:rPr>
                <w:sz w:val="20"/>
                <w:lang w:val="fr-CA"/>
              </w:rPr>
            </w:pPr>
            <w:r w:rsidRPr="00D770F2">
              <w:rPr>
                <w:sz w:val="20"/>
                <w:lang w:val="fr-CA"/>
              </w:rPr>
              <w:t>(Ont.) (Criminelle) (Sur autorisation)</w:t>
            </w:r>
          </w:p>
        </w:tc>
      </w:tr>
      <w:tr w:rsidR="006F56EE" w:rsidRPr="0030635C" w:rsidTr="006F56EE">
        <w:trPr>
          <w:gridAfter w:val="1"/>
          <w:wAfter w:w="48" w:type="pct"/>
        </w:trPr>
        <w:tc>
          <w:tcPr>
            <w:tcW w:w="4952" w:type="pct"/>
            <w:gridSpan w:val="4"/>
          </w:tcPr>
          <w:p w:rsidR="006F56EE" w:rsidRPr="00D770F2" w:rsidRDefault="006F56EE" w:rsidP="006F56EE">
            <w:pPr>
              <w:jc w:val="both"/>
              <w:rPr>
                <w:sz w:val="20"/>
                <w:lang w:val="fr-CA"/>
              </w:rPr>
            </w:pPr>
            <w:r w:rsidRPr="00D770F2">
              <w:rPr>
                <w:sz w:val="20"/>
                <w:lang w:val="fr-CA"/>
              </w:rPr>
              <w:t xml:space="preserve">Droit criminel — Infractions au </w:t>
            </w:r>
            <w:r w:rsidRPr="00D770F2">
              <w:rPr>
                <w:i/>
                <w:sz w:val="20"/>
                <w:lang w:val="fr-CA"/>
              </w:rPr>
              <w:t>Code criminel</w:t>
            </w:r>
            <w:r w:rsidRPr="00D770F2">
              <w:rPr>
                <w:sz w:val="20"/>
                <w:lang w:val="fr-CA"/>
              </w:rPr>
              <w:t xml:space="preserve"> — Opérations frauduleuses en matière de contrats et de commerce — Fraude de plus de 5 000 $ — Sanctions particulières — Emprisonnement — Amendes — Stratagème pour détourner de l’argent du gouvernement à des fins personnelles — Accusée déclarée coupable de fraude de plus de 5 000 $ — L’accusée a été condamnée à une peine d’emprisonnement de quatre ans et à une amende en remplacement de la confiscation — Appels rejetés — Le juge du procès peut-il se servir de résumés judiciaires pour relater la preuve présentée? — Les directives du juge du procès relativement à l’exception à règle du ouï-dire relative aux coconspirateurs étaient-elles déficientes? — Comment le juge du procès doit-il déterminer le quantum d’une amende infligée en remplacement de la confiscation lorsque plus d’un délinquant a commis l’infraction désignée?</w:t>
            </w:r>
          </w:p>
        </w:tc>
      </w:tr>
      <w:tr w:rsidR="006F56EE" w:rsidRPr="0030635C" w:rsidTr="006F56EE">
        <w:trPr>
          <w:gridAfter w:val="1"/>
          <w:wAfter w:w="48" w:type="pct"/>
        </w:trPr>
        <w:tc>
          <w:tcPr>
            <w:tcW w:w="4952" w:type="pct"/>
            <w:gridSpan w:val="4"/>
          </w:tcPr>
          <w:p w:rsidR="006F56EE" w:rsidRPr="00D770F2" w:rsidRDefault="006F56EE" w:rsidP="006F56EE">
            <w:pPr>
              <w:jc w:val="both"/>
              <w:rPr>
                <w:sz w:val="20"/>
                <w:lang w:val="fr-CA"/>
              </w:rPr>
            </w:pPr>
          </w:p>
        </w:tc>
      </w:tr>
      <w:tr w:rsidR="006F56EE" w:rsidRPr="0030635C" w:rsidTr="006F56EE">
        <w:trPr>
          <w:gridAfter w:val="1"/>
          <w:wAfter w:w="48" w:type="pct"/>
        </w:trPr>
        <w:tc>
          <w:tcPr>
            <w:tcW w:w="4952" w:type="pct"/>
            <w:gridSpan w:val="4"/>
          </w:tcPr>
          <w:p w:rsidR="006F56EE" w:rsidRPr="00D770F2" w:rsidRDefault="006F56EE" w:rsidP="006F56EE">
            <w:pPr>
              <w:jc w:val="both"/>
              <w:rPr>
                <w:sz w:val="20"/>
                <w:lang w:val="fr-CA"/>
              </w:rPr>
            </w:pPr>
            <w:r w:rsidRPr="00D770F2">
              <w:rPr>
                <w:sz w:val="20"/>
                <w:lang w:val="fr-CA"/>
              </w:rPr>
              <w:t>La demanderesse, Mme Dieckmann, a été accusée de sept chefs de fraude de plus de 5 000 $ pour avoir exploité, avec des coconspirateurs nommés, un stratagème en vue de détourner des millions de dollars de l’Agence du revenu du Canada (l’« ARC »). Le ministère public allègue que des entreprises contrôlées par Mme Dieckmann et les coconspirateurs ont contracté avec diverses entreprises légitimes pour fournir des services liés à la paie, notamment le versement à l’ARC de diverses retenues à la source, par exemple les retenues d’impôt à la source et les cotisations au Régime des pensions du Canada. Au lieu de verser les fonds à l’ARC, les coconspirateurs détournaient les fonds, par une série de coquilles vides et de comptes bancaires, à leurs propres fins. La fraude s’élevait à 5,7 $ millions au total. Au terme d’un procès de quatre mois, le jury a déclaré Mme Dieckmann coupable des sept chefs de fraude. Le juge du procès a condamné Mme Dieckmann à une peine d’emprisonnement de quatre ans et lui a infligé une amende de 1 285 930 $ en remplacement de la confiscation. À défaut d’avoir payé l’amende, Mme Dieckmann s’est vu infliger une peine d’emprisonnement additionnelle de cinq ans. La Cour d’appel a rejeté ses appels des déclarations</w:t>
            </w:r>
            <w:r w:rsidR="00EA7D94" w:rsidRPr="00D770F2">
              <w:rPr>
                <w:sz w:val="20"/>
                <w:lang w:val="fr-CA"/>
              </w:rPr>
              <w:t xml:space="preserve"> de culpabilité et de la peine.</w:t>
            </w:r>
          </w:p>
          <w:p w:rsidR="006F56EE" w:rsidRPr="00D770F2" w:rsidRDefault="006F56EE" w:rsidP="006F56EE">
            <w:pPr>
              <w:jc w:val="both"/>
              <w:rPr>
                <w:sz w:val="20"/>
                <w:lang w:val="fr-CA"/>
              </w:rPr>
            </w:pPr>
          </w:p>
        </w:tc>
      </w:tr>
      <w:tr w:rsidR="006F56EE" w:rsidRPr="0030635C" w:rsidTr="006F56EE">
        <w:tblPrEx>
          <w:tblCellMar>
            <w:bottom w:w="0" w:type="dxa"/>
          </w:tblCellMar>
        </w:tblPrEx>
        <w:tc>
          <w:tcPr>
            <w:tcW w:w="2367" w:type="pct"/>
            <w:gridSpan w:val="2"/>
          </w:tcPr>
          <w:p w:rsidR="006F56EE" w:rsidRPr="00D770F2" w:rsidRDefault="006F56EE" w:rsidP="006F56EE">
            <w:pPr>
              <w:jc w:val="both"/>
              <w:rPr>
                <w:sz w:val="20"/>
                <w:lang w:val="fr-CA"/>
              </w:rPr>
            </w:pPr>
            <w:r w:rsidRPr="00D770F2">
              <w:rPr>
                <w:sz w:val="20"/>
                <w:lang w:val="fr-CA"/>
              </w:rPr>
              <w:t>24 juillet 2013</w:t>
            </w:r>
          </w:p>
          <w:p w:rsidR="006F56EE" w:rsidRPr="00D770F2" w:rsidRDefault="006F56EE" w:rsidP="006F56EE">
            <w:pPr>
              <w:jc w:val="both"/>
              <w:rPr>
                <w:sz w:val="20"/>
                <w:lang w:val="fr-CA"/>
              </w:rPr>
            </w:pPr>
            <w:r w:rsidRPr="00D770F2">
              <w:rPr>
                <w:sz w:val="20"/>
                <w:lang w:val="fr-CA"/>
              </w:rPr>
              <w:t>Cour supérieure de justice de l’Ontario</w:t>
            </w:r>
          </w:p>
          <w:p w:rsidR="006F56EE" w:rsidRPr="00D770F2" w:rsidRDefault="006F56EE" w:rsidP="006F56EE">
            <w:pPr>
              <w:jc w:val="both"/>
              <w:rPr>
                <w:sz w:val="20"/>
                <w:lang w:val="fr-CA"/>
              </w:rPr>
            </w:pPr>
            <w:r w:rsidRPr="00D770F2">
              <w:rPr>
                <w:sz w:val="20"/>
                <w:lang w:val="fr-CA"/>
              </w:rPr>
              <w:t>(Juge Baltman)</w:t>
            </w:r>
          </w:p>
          <w:p w:rsidR="006F56EE" w:rsidRPr="00D770F2" w:rsidRDefault="006F56EE" w:rsidP="006F56EE">
            <w:pPr>
              <w:jc w:val="both"/>
              <w:rPr>
                <w:sz w:val="20"/>
                <w:lang w:val="fr-CA"/>
              </w:rPr>
            </w:pPr>
          </w:p>
        </w:tc>
        <w:tc>
          <w:tcPr>
            <w:tcW w:w="267" w:type="pct"/>
          </w:tcPr>
          <w:p w:rsidR="006F56EE" w:rsidRPr="00D770F2" w:rsidRDefault="006F56EE" w:rsidP="006F56EE">
            <w:pPr>
              <w:jc w:val="both"/>
              <w:rPr>
                <w:sz w:val="20"/>
                <w:lang w:val="fr-CA"/>
              </w:rPr>
            </w:pPr>
          </w:p>
        </w:tc>
        <w:tc>
          <w:tcPr>
            <w:tcW w:w="2366" w:type="pct"/>
            <w:gridSpan w:val="2"/>
          </w:tcPr>
          <w:p w:rsidR="006F56EE" w:rsidRPr="00D770F2" w:rsidRDefault="006F56EE" w:rsidP="006F56EE">
            <w:pPr>
              <w:jc w:val="both"/>
              <w:rPr>
                <w:sz w:val="20"/>
                <w:lang w:val="fr-CA"/>
              </w:rPr>
            </w:pPr>
            <w:r w:rsidRPr="00D770F2">
              <w:rPr>
                <w:sz w:val="20"/>
                <w:lang w:val="fr-CA"/>
              </w:rPr>
              <w:t xml:space="preserve">Déclaration de culpabilité de sept chefs de fraude de plus de 5 000 $. </w:t>
            </w:r>
          </w:p>
          <w:p w:rsidR="006F56EE" w:rsidRPr="00D770F2" w:rsidRDefault="006F56EE" w:rsidP="006F56EE">
            <w:pPr>
              <w:jc w:val="both"/>
              <w:rPr>
                <w:sz w:val="20"/>
                <w:lang w:val="fr-CA"/>
              </w:rPr>
            </w:pPr>
          </w:p>
        </w:tc>
      </w:tr>
      <w:tr w:rsidR="006F56EE" w:rsidRPr="0030635C" w:rsidTr="006F56EE">
        <w:tblPrEx>
          <w:tblCellMar>
            <w:bottom w:w="0" w:type="dxa"/>
          </w:tblCellMar>
        </w:tblPrEx>
        <w:tc>
          <w:tcPr>
            <w:tcW w:w="2367" w:type="pct"/>
            <w:gridSpan w:val="2"/>
          </w:tcPr>
          <w:p w:rsidR="006F56EE" w:rsidRPr="00D770F2" w:rsidRDefault="006F56EE" w:rsidP="006F56EE">
            <w:pPr>
              <w:jc w:val="both"/>
              <w:rPr>
                <w:sz w:val="20"/>
                <w:lang w:val="fr-CA"/>
              </w:rPr>
            </w:pPr>
            <w:r w:rsidRPr="00D770F2">
              <w:rPr>
                <w:sz w:val="20"/>
                <w:lang w:val="fr-CA"/>
              </w:rPr>
              <w:t>3 décembre 2013</w:t>
            </w:r>
          </w:p>
          <w:p w:rsidR="006F56EE" w:rsidRPr="00D770F2" w:rsidRDefault="006F56EE" w:rsidP="006F56EE">
            <w:pPr>
              <w:jc w:val="both"/>
              <w:rPr>
                <w:sz w:val="20"/>
                <w:lang w:val="fr-CA"/>
              </w:rPr>
            </w:pPr>
            <w:r w:rsidRPr="00D770F2">
              <w:rPr>
                <w:sz w:val="20"/>
                <w:lang w:val="fr-CA"/>
              </w:rPr>
              <w:t>Cour supérieure de justice de l’Ontario</w:t>
            </w:r>
          </w:p>
          <w:p w:rsidR="006F56EE" w:rsidRPr="00D770F2" w:rsidRDefault="006F56EE" w:rsidP="006F56EE">
            <w:pPr>
              <w:jc w:val="both"/>
              <w:rPr>
                <w:sz w:val="20"/>
                <w:lang w:val="fr-CA"/>
              </w:rPr>
            </w:pPr>
            <w:r w:rsidRPr="00D770F2">
              <w:rPr>
                <w:sz w:val="20"/>
                <w:lang w:val="fr-CA"/>
              </w:rPr>
              <w:t>(Juge Baltman)</w:t>
            </w:r>
          </w:p>
          <w:p w:rsidR="006F56EE" w:rsidRPr="00D770F2" w:rsidRDefault="009479D6" w:rsidP="006F56EE">
            <w:pPr>
              <w:jc w:val="both"/>
              <w:rPr>
                <w:sz w:val="20"/>
                <w:lang w:val="fr-CA"/>
              </w:rPr>
            </w:pPr>
            <w:hyperlink r:id="rId68" w:history="1">
              <w:r w:rsidR="006F56EE" w:rsidRPr="00D770F2">
                <w:rPr>
                  <w:rStyle w:val="Hyperlink"/>
                  <w:sz w:val="20"/>
                  <w:lang w:val="fr-CA"/>
                </w:rPr>
                <w:t>2014 ONSC 717</w:t>
              </w:r>
            </w:hyperlink>
          </w:p>
          <w:p w:rsidR="006F56EE" w:rsidRPr="00D770F2" w:rsidRDefault="006F56EE" w:rsidP="006F56EE">
            <w:pPr>
              <w:jc w:val="both"/>
              <w:rPr>
                <w:sz w:val="20"/>
                <w:lang w:val="fr-CA"/>
              </w:rPr>
            </w:pPr>
          </w:p>
        </w:tc>
        <w:tc>
          <w:tcPr>
            <w:tcW w:w="267" w:type="pct"/>
          </w:tcPr>
          <w:p w:rsidR="006F56EE" w:rsidRPr="00D770F2" w:rsidRDefault="006F56EE" w:rsidP="006F56EE">
            <w:pPr>
              <w:jc w:val="both"/>
              <w:rPr>
                <w:sz w:val="20"/>
                <w:lang w:val="fr-CA"/>
              </w:rPr>
            </w:pPr>
          </w:p>
        </w:tc>
        <w:tc>
          <w:tcPr>
            <w:tcW w:w="2366" w:type="pct"/>
            <w:gridSpan w:val="2"/>
          </w:tcPr>
          <w:p w:rsidR="006F56EE" w:rsidRPr="00D770F2" w:rsidRDefault="006F56EE" w:rsidP="006F56EE">
            <w:pPr>
              <w:jc w:val="both"/>
              <w:rPr>
                <w:sz w:val="20"/>
                <w:lang w:val="fr-CA"/>
              </w:rPr>
            </w:pPr>
            <w:r w:rsidRPr="00D770F2">
              <w:rPr>
                <w:sz w:val="20"/>
                <w:lang w:val="fr-CA"/>
              </w:rPr>
              <w:t>Peine d’emprisonnement de quatre ans et d’une amende de 1 285 930 $ en remplacement de la confiscation. Peine d’emprisonnement additionnelle de cinq ans pour défaut d’avoir payé l’amende.</w:t>
            </w:r>
          </w:p>
          <w:p w:rsidR="006F56EE" w:rsidRPr="00D770F2" w:rsidRDefault="006F56EE" w:rsidP="006F56EE">
            <w:pPr>
              <w:jc w:val="both"/>
              <w:rPr>
                <w:sz w:val="20"/>
                <w:lang w:val="fr-CA"/>
              </w:rPr>
            </w:pPr>
          </w:p>
        </w:tc>
      </w:tr>
      <w:tr w:rsidR="006F56EE" w:rsidRPr="0030635C" w:rsidTr="006F56EE">
        <w:tblPrEx>
          <w:tblCellMar>
            <w:bottom w:w="0" w:type="dxa"/>
          </w:tblCellMar>
        </w:tblPrEx>
        <w:tc>
          <w:tcPr>
            <w:tcW w:w="2367" w:type="pct"/>
            <w:gridSpan w:val="2"/>
          </w:tcPr>
          <w:p w:rsidR="006F56EE" w:rsidRPr="00D770F2" w:rsidRDefault="006F56EE" w:rsidP="006F56EE">
            <w:pPr>
              <w:jc w:val="both"/>
              <w:rPr>
                <w:sz w:val="20"/>
                <w:lang w:val="fr-CA"/>
              </w:rPr>
            </w:pPr>
            <w:r w:rsidRPr="00D770F2">
              <w:rPr>
                <w:sz w:val="20"/>
                <w:lang w:val="fr-CA"/>
              </w:rPr>
              <w:t>5 juillet 2017</w:t>
            </w:r>
          </w:p>
          <w:p w:rsidR="006F56EE" w:rsidRPr="00D770F2" w:rsidRDefault="006F56EE" w:rsidP="006F56EE">
            <w:pPr>
              <w:jc w:val="both"/>
              <w:rPr>
                <w:sz w:val="20"/>
                <w:lang w:val="fr-CA"/>
              </w:rPr>
            </w:pPr>
            <w:r w:rsidRPr="00D770F2">
              <w:rPr>
                <w:sz w:val="20"/>
                <w:lang w:val="fr-CA"/>
              </w:rPr>
              <w:t>Cour d’appel de l’Ontario</w:t>
            </w:r>
          </w:p>
          <w:p w:rsidR="006F56EE" w:rsidRPr="00D770F2" w:rsidRDefault="006F56EE" w:rsidP="006F56EE">
            <w:pPr>
              <w:jc w:val="both"/>
              <w:rPr>
                <w:sz w:val="20"/>
                <w:lang w:val="fr-CA"/>
              </w:rPr>
            </w:pPr>
            <w:r w:rsidRPr="00D770F2">
              <w:rPr>
                <w:sz w:val="20"/>
                <w:lang w:val="fr-CA"/>
              </w:rPr>
              <w:t>(Juges Doherty, Rouleau et Pepall)</w:t>
            </w:r>
          </w:p>
          <w:p w:rsidR="006F56EE" w:rsidRPr="00D770F2" w:rsidRDefault="009479D6" w:rsidP="006F56EE">
            <w:pPr>
              <w:jc w:val="both"/>
              <w:rPr>
                <w:sz w:val="20"/>
                <w:lang w:val="fr-CA"/>
              </w:rPr>
            </w:pPr>
            <w:hyperlink r:id="rId69" w:history="1">
              <w:r w:rsidR="006F56EE" w:rsidRPr="00D770F2">
                <w:rPr>
                  <w:rStyle w:val="Hyperlink"/>
                  <w:sz w:val="20"/>
                  <w:lang w:val="fr-CA"/>
                </w:rPr>
                <w:t>2017 ONCA 575</w:t>
              </w:r>
            </w:hyperlink>
          </w:p>
          <w:p w:rsidR="006F56EE" w:rsidRPr="00D770F2" w:rsidRDefault="006F56EE" w:rsidP="006F56EE">
            <w:pPr>
              <w:jc w:val="both"/>
              <w:rPr>
                <w:sz w:val="20"/>
                <w:lang w:val="fr-CA"/>
              </w:rPr>
            </w:pPr>
          </w:p>
        </w:tc>
        <w:tc>
          <w:tcPr>
            <w:tcW w:w="267" w:type="pct"/>
          </w:tcPr>
          <w:p w:rsidR="006F56EE" w:rsidRPr="00D770F2" w:rsidRDefault="006F56EE" w:rsidP="006F56EE">
            <w:pPr>
              <w:jc w:val="both"/>
              <w:rPr>
                <w:sz w:val="20"/>
                <w:lang w:val="fr-CA"/>
              </w:rPr>
            </w:pPr>
          </w:p>
        </w:tc>
        <w:tc>
          <w:tcPr>
            <w:tcW w:w="2366" w:type="pct"/>
            <w:gridSpan w:val="2"/>
          </w:tcPr>
          <w:p w:rsidR="006F56EE" w:rsidRPr="00D770F2" w:rsidRDefault="006F56EE" w:rsidP="006F56EE">
            <w:pPr>
              <w:jc w:val="both"/>
              <w:rPr>
                <w:sz w:val="20"/>
                <w:lang w:val="fr-CA"/>
              </w:rPr>
            </w:pPr>
            <w:r w:rsidRPr="00D770F2">
              <w:rPr>
                <w:sz w:val="20"/>
                <w:lang w:val="fr-CA"/>
              </w:rPr>
              <w:t>Arrêt rejetant l’appel de la déclaration de culpabilité, accueillant la demande d’autorisation d’interjeter appel de la peine et rejetant l’appel de la peine.</w:t>
            </w:r>
          </w:p>
          <w:p w:rsidR="006F56EE" w:rsidRPr="00D770F2" w:rsidRDefault="006F56EE" w:rsidP="006F56EE">
            <w:pPr>
              <w:jc w:val="both"/>
              <w:rPr>
                <w:sz w:val="20"/>
                <w:lang w:val="fr-CA"/>
              </w:rPr>
            </w:pPr>
          </w:p>
        </w:tc>
      </w:tr>
      <w:tr w:rsidR="006F56EE" w:rsidRPr="0030635C" w:rsidTr="006F56EE">
        <w:tblPrEx>
          <w:tblCellMar>
            <w:bottom w:w="0" w:type="dxa"/>
          </w:tblCellMar>
        </w:tblPrEx>
        <w:tc>
          <w:tcPr>
            <w:tcW w:w="2367" w:type="pct"/>
            <w:gridSpan w:val="2"/>
          </w:tcPr>
          <w:p w:rsidR="006F56EE" w:rsidRPr="00D770F2" w:rsidRDefault="006F56EE" w:rsidP="006F56EE">
            <w:pPr>
              <w:jc w:val="both"/>
              <w:rPr>
                <w:sz w:val="20"/>
                <w:lang w:val="fr-CA"/>
              </w:rPr>
            </w:pPr>
            <w:r w:rsidRPr="00D770F2">
              <w:rPr>
                <w:sz w:val="20"/>
                <w:lang w:val="fr-CA"/>
              </w:rPr>
              <w:t>29 septembre 2017</w:t>
            </w:r>
          </w:p>
          <w:p w:rsidR="006F56EE" w:rsidRPr="00D770F2" w:rsidRDefault="006F56EE" w:rsidP="006F56EE">
            <w:pPr>
              <w:jc w:val="both"/>
              <w:rPr>
                <w:sz w:val="20"/>
                <w:lang w:val="fr-CA"/>
              </w:rPr>
            </w:pPr>
            <w:r w:rsidRPr="00D770F2">
              <w:rPr>
                <w:sz w:val="20"/>
                <w:lang w:val="fr-CA"/>
              </w:rPr>
              <w:t>Cour suprême du Canada</w:t>
            </w:r>
          </w:p>
        </w:tc>
        <w:tc>
          <w:tcPr>
            <w:tcW w:w="267" w:type="pct"/>
          </w:tcPr>
          <w:p w:rsidR="006F56EE" w:rsidRPr="00D770F2" w:rsidRDefault="006F56EE" w:rsidP="006F56EE">
            <w:pPr>
              <w:jc w:val="both"/>
              <w:rPr>
                <w:sz w:val="20"/>
                <w:lang w:val="fr-CA"/>
              </w:rPr>
            </w:pPr>
          </w:p>
        </w:tc>
        <w:tc>
          <w:tcPr>
            <w:tcW w:w="2366" w:type="pct"/>
            <w:gridSpan w:val="2"/>
          </w:tcPr>
          <w:p w:rsidR="006F56EE" w:rsidRPr="00D770F2" w:rsidRDefault="006F56EE" w:rsidP="006F56EE">
            <w:pPr>
              <w:jc w:val="both"/>
              <w:rPr>
                <w:sz w:val="20"/>
                <w:lang w:val="fr-CA"/>
              </w:rPr>
            </w:pPr>
            <w:r w:rsidRPr="00D770F2">
              <w:rPr>
                <w:sz w:val="20"/>
                <w:lang w:val="fr-CA"/>
              </w:rPr>
              <w:t>Dépôt de la demande d’autorisation d’appel.</w:t>
            </w:r>
          </w:p>
          <w:p w:rsidR="006F56EE" w:rsidRPr="00D770F2" w:rsidRDefault="006F56EE" w:rsidP="006F56EE">
            <w:pPr>
              <w:jc w:val="both"/>
              <w:rPr>
                <w:sz w:val="20"/>
                <w:lang w:val="fr-CA"/>
              </w:rPr>
            </w:pPr>
          </w:p>
        </w:tc>
      </w:tr>
    </w:tbl>
    <w:p w:rsidR="006F56EE" w:rsidRPr="00D770F2" w:rsidRDefault="006F56EE" w:rsidP="006F56EE">
      <w:pPr>
        <w:jc w:val="both"/>
        <w:rPr>
          <w:sz w:val="20"/>
          <w:lang w:val="fr-CA"/>
        </w:rPr>
      </w:pPr>
    </w:p>
    <w:p w:rsidR="001E6FC9" w:rsidRPr="00D770F2" w:rsidRDefault="001E6FC9" w:rsidP="006F56E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56EE" w:rsidRPr="00D770F2" w:rsidTr="006F56EE">
        <w:tc>
          <w:tcPr>
            <w:tcW w:w="543" w:type="pct"/>
          </w:tcPr>
          <w:p w:rsidR="006F56EE" w:rsidRPr="00D770F2" w:rsidRDefault="006F56EE" w:rsidP="006F56EE">
            <w:pPr>
              <w:jc w:val="both"/>
              <w:rPr>
                <w:sz w:val="20"/>
              </w:rPr>
            </w:pPr>
            <w:r w:rsidRPr="00D770F2">
              <w:rPr>
                <w:rStyle w:val="SCCFileNumberChar"/>
                <w:sz w:val="20"/>
                <w:szCs w:val="20"/>
              </w:rPr>
              <w:t>37784</w:t>
            </w:r>
          </w:p>
        </w:tc>
        <w:tc>
          <w:tcPr>
            <w:tcW w:w="4457" w:type="pct"/>
            <w:gridSpan w:val="3"/>
          </w:tcPr>
          <w:p w:rsidR="006F56EE" w:rsidRPr="00D770F2" w:rsidRDefault="006F56EE" w:rsidP="006F56EE">
            <w:pPr>
              <w:pStyle w:val="SCCLsocParty"/>
              <w:jc w:val="both"/>
              <w:rPr>
                <w:b/>
                <w:sz w:val="20"/>
                <w:szCs w:val="20"/>
                <w:lang w:val="en-US"/>
              </w:rPr>
            </w:pPr>
            <w:r w:rsidRPr="00D770F2">
              <w:rPr>
                <w:b/>
                <w:sz w:val="20"/>
                <w:szCs w:val="20"/>
                <w:lang w:val="en-US"/>
              </w:rPr>
              <w:t>Nazir Karigar v. Her Majesty the Queen</w:t>
            </w:r>
          </w:p>
          <w:p w:rsidR="006F56EE" w:rsidRPr="00D770F2" w:rsidRDefault="006F56EE" w:rsidP="006F56EE">
            <w:pPr>
              <w:jc w:val="both"/>
              <w:rPr>
                <w:sz w:val="20"/>
              </w:rPr>
            </w:pPr>
            <w:r w:rsidRPr="00D770F2">
              <w:rPr>
                <w:sz w:val="20"/>
              </w:rPr>
              <w:t>(Ont.) (Criminal) (By Leave)</w:t>
            </w:r>
          </w:p>
        </w:tc>
      </w:tr>
      <w:tr w:rsidR="006F56EE" w:rsidRPr="00D770F2" w:rsidTr="006F56EE">
        <w:tc>
          <w:tcPr>
            <w:tcW w:w="5000" w:type="pct"/>
            <w:gridSpan w:val="4"/>
          </w:tcPr>
          <w:p w:rsidR="006F56EE" w:rsidRPr="00D770F2" w:rsidRDefault="006F56EE" w:rsidP="006F56EE">
            <w:pPr>
              <w:jc w:val="both"/>
              <w:rPr>
                <w:sz w:val="20"/>
              </w:rPr>
            </w:pPr>
            <w:r w:rsidRPr="00D770F2">
              <w:rPr>
                <w:sz w:val="20"/>
              </w:rPr>
              <w:t xml:space="preserve">Criminal law – Offences – Elements of offence – Applicant convicted of agreeing to offer a bribe to a foreign public official contrary to s. 3 of the </w:t>
            </w:r>
            <w:r w:rsidRPr="00D770F2">
              <w:rPr>
                <w:i/>
                <w:sz w:val="20"/>
              </w:rPr>
              <w:t>Corruption of Foreign Public Officials Act</w:t>
            </w:r>
            <w:r w:rsidRPr="00D770F2">
              <w:rPr>
                <w:sz w:val="20"/>
              </w:rPr>
              <w:t xml:space="preserve">, S.C. 1998, c. 34 – What test should be applied by a Canadian court in assuming territorial jurisdiction for alleged crimes, including conspiracy offences, that are in whole or in part committed outside of Canada – Whether the lower courts misapplied the test set out in </w:t>
            </w:r>
            <w:r w:rsidRPr="00D770F2">
              <w:rPr>
                <w:i/>
                <w:sz w:val="20"/>
              </w:rPr>
              <w:t>R. v. Libman</w:t>
            </w:r>
            <w:r w:rsidRPr="00D770F2">
              <w:rPr>
                <w:sz w:val="20"/>
              </w:rPr>
              <w:t xml:space="preserve">, [1985] 2 S.C.R. 178 – What is the proper statutory interpretation of the essential elements of the offence contained in s. 3 of the </w:t>
            </w:r>
            <w:r w:rsidRPr="00D770F2">
              <w:rPr>
                <w:i/>
                <w:sz w:val="20"/>
              </w:rPr>
              <w:t>Corruption of Foreign Public Officials Act</w:t>
            </w:r>
            <w:r w:rsidRPr="00D770F2">
              <w:rPr>
                <w:sz w:val="20"/>
              </w:rPr>
              <w:t xml:space="preserve"> – Whether there are conflicting appellate authorities.</w:t>
            </w:r>
          </w:p>
        </w:tc>
      </w:tr>
      <w:tr w:rsidR="006F56EE" w:rsidRPr="00D770F2" w:rsidTr="006F56EE">
        <w:tc>
          <w:tcPr>
            <w:tcW w:w="5000" w:type="pct"/>
            <w:gridSpan w:val="4"/>
          </w:tcPr>
          <w:p w:rsidR="006F56EE" w:rsidRPr="00D770F2" w:rsidRDefault="006F56EE" w:rsidP="006F56EE">
            <w:pPr>
              <w:jc w:val="both"/>
              <w:rPr>
                <w:sz w:val="20"/>
              </w:rPr>
            </w:pPr>
          </w:p>
        </w:tc>
      </w:tr>
      <w:tr w:rsidR="006F56EE" w:rsidRPr="00D770F2" w:rsidTr="006F56EE">
        <w:tc>
          <w:tcPr>
            <w:tcW w:w="5000" w:type="pct"/>
            <w:gridSpan w:val="4"/>
          </w:tcPr>
          <w:p w:rsidR="006F56EE" w:rsidRPr="00D770F2" w:rsidRDefault="006F56EE" w:rsidP="006F56EE">
            <w:pPr>
              <w:jc w:val="both"/>
              <w:rPr>
                <w:sz w:val="20"/>
              </w:rPr>
            </w:pPr>
            <w:r w:rsidRPr="00D770F2">
              <w:rPr>
                <w:sz w:val="20"/>
              </w:rPr>
              <w:t xml:space="preserve">Mr. Karigar was the paid agent of a group of Canadian companies that wanted to secure a major contract from Air India for the provision of facial recognition software and related equipment. The Crown alleged that Mr. Karigar assumed a leading role in a conspiracy to offer bribes to Air India officials and India’s former Minister of Civil Aviation in order to influence the bidding process. Mr. Karigar was convicted of agreeing to offer a bribe to a foreign public official contrary to s. 3 of the </w:t>
            </w:r>
            <w:r w:rsidRPr="00D770F2">
              <w:rPr>
                <w:i/>
                <w:sz w:val="20"/>
              </w:rPr>
              <w:t>Corruption of Foreign Public Officials Act</w:t>
            </w:r>
            <w:r w:rsidRPr="00D770F2">
              <w:rPr>
                <w:sz w:val="20"/>
              </w:rPr>
              <w:t xml:space="preserve">, S.C. 1998, </w:t>
            </w:r>
            <w:proofErr w:type="gramStart"/>
            <w:r w:rsidRPr="00D770F2">
              <w:rPr>
                <w:sz w:val="20"/>
              </w:rPr>
              <w:t>c</w:t>
            </w:r>
            <w:proofErr w:type="gramEnd"/>
            <w:r w:rsidRPr="00D770F2">
              <w:rPr>
                <w:sz w:val="20"/>
              </w:rPr>
              <w:t>. 34. The appeal from conviction was dismissed.</w:t>
            </w:r>
          </w:p>
          <w:p w:rsidR="006F56EE" w:rsidRPr="00D770F2" w:rsidRDefault="006F56EE" w:rsidP="006F56EE">
            <w:pPr>
              <w:jc w:val="both"/>
              <w:rPr>
                <w:sz w:val="20"/>
              </w:rPr>
            </w:pPr>
          </w:p>
        </w:tc>
      </w:tr>
      <w:tr w:rsidR="006F56EE" w:rsidRPr="00D770F2" w:rsidTr="006F56EE">
        <w:tc>
          <w:tcPr>
            <w:tcW w:w="2427" w:type="pct"/>
            <w:gridSpan w:val="2"/>
          </w:tcPr>
          <w:p w:rsidR="006F56EE" w:rsidRPr="00D770F2" w:rsidRDefault="006F56EE" w:rsidP="006F56EE">
            <w:pPr>
              <w:jc w:val="both"/>
              <w:rPr>
                <w:sz w:val="20"/>
              </w:rPr>
            </w:pPr>
            <w:r w:rsidRPr="00D770F2">
              <w:rPr>
                <w:sz w:val="20"/>
              </w:rPr>
              <w:t>August 15, 2013</w:t>
            </w:r>
          </w:p>
          <w:p w:rsidR="006F56EE" w:rsidRPr="00D770F2" w:rsidRDefault="006F56EE" w:rsidP="006F56EE">
            <w:pPr>
              <w:jc w:val="both"/>
              <w:rPr>
                <w:sz w:val="20"/>
              </w:rPr>
            </w:pPr>
            <w:r w:rsidRPr="00D770F2">
              <w:rPr>
                <w:sz w:val="20"/>
              </w:rPr>
              <w:t>Ontario Superior Court of Justice</w:t>
            </w:r>
          </w:p>
          <w:p w:rsidR="006F56EE" w:rsidRPr="00D770F2" w:rsidRDefault="006F56EE" w:rsidP="006F56EE">
            <w:pPr>
              <w:jc w:val="both"/>
              <w:rPr>
                <w:sz w:val="20"/>
              </w:rPr>
            </w:pPr>
            <w:r w:rsidRPr="00D770F2">
              <w:rPr>
                <w:sz w:val="20"/>
              </w:rPr>
              <w:t>(</w:t>
            </w:r>
            <w:proofErr w:type="spellStart"/>
            <w:r w:rsidRPr="00D770F2">
              <w:rPr>
                <w:sz w:val="20"/>
              </w:rPr>
              <w:t>Hackland</w:t>
            </w:r>
            <w:proofErr w:type="spellEnd"/>
            <w:r w:rsidRPr="00D770F2">
              <w:rPr>
                <w:sz w:val="20"/>
              </w:rPr>
              <w:t xml:space="preserve"> J.)</w:t>
            </w:r>
          </w:p>
          <w:p w:rsidR="006F56EE" w:rsidRPr="00D770F2" w:rsidRDefault="006F56EE" w:rsidP="006F56EE">
            <w:pPr>
              <w:jc w:val="both"/>
              <w:rPr>
                <w:sz w:val="20"/>
              </w:rPr>
            </w:pPr>
            <w:r w:rsidRPr="00D770F2">
              <w:rPr>
                <w:sz w:val="20"/>
              </w:rPr>
              <w:t>2013 ONSC 5199</w:t>
            </w:r>
          </w:p>
          <w:p w:rsidR="006F56EE" w:rsidRPr="00D770F2" w:rsidRDefault="009479D6" w:rsidP="006F56EE">
            <w:pPr>
              <w:jc w:val="both"/>
              <w:rPr>
                <w:rStyle w:val="documentstaticurl"/>
                <w:sz w:val="20"/>
              </w:rPr>
            </w:pPr>
            <w:hyperlink r:id="rId70" w:history="1">
              <w:r w:rsidR="006F56EE" w:rsidRPr="00D770F2">
                <w:rPr>
                  <w:rStyle w:val="Hyperlink"/>
                  <w:sz w:val="20"/>
                </w:rPr>
                <w:t>http://canlii.ca/t/g03dw</w:t>
              </w:r>
            </w:hyperlink>
          </w:p>
          <w:p w:rsidR="006F56EE" w:rsidRPr="00D770F2" w:rsidRDefault="006F56EE" w:rsidP="006F56EE">
            <w:pPr>
              <w:jc w:val="both"/>
              <w:rPr>
                <w:sz w:val="20"/>
              </w:rPr>
            </w:pPr>
          </w:p>
        </w:tc>
        <w:tc>
          <w:tcPr>
            <w:tcW w:w="243" w:type="pct"/>
          </w:tcPr>
          <w:p w:rsidR="006F56EE" w:rsidRPr="00D770F2" w:rsidRDefault="006F56EE" w:rsidP="006F56EE">
            <w:pPr>
              <w:jc w:val="both"/>
              <w:rPr>
                <w:sz w:val="20"/>
              </w:rPr>
            </w:pPr>
          </w:p>
        </w:tc>
        <w:tc>
          <w:tcPr>
            <w:tcW w:w="2330" w:type="pct"/>
          </w:tcPr>
          <w:p w:rsidR="006F56EE" w:rsidRPr="00D770F2" w:rsidRDefault="006F56EE" w:rsidP="006F56EE">
            <w:pPr>
              <w:jc w:val="both"/>
              <w:rPr>
                <w:sz w:val="20"/>
              </w:rPr>
            </w:pPr>
            <w:r w:rsidRPr="00D770F2">
              <w:rPr>
                <w:sz w:val="20"/>
              </w:rPr>
              <w:t xml:space="preserve">Conviction: agreeing to offer a bribe to a foreign public official contrary to s. 3 of the </w:t>
            </w:r>
            <w:r w:rsidRPr="00D770F2">
              <w:rPr>
                <w:i/>
                <w:sz w:val="20"/>
              </w:rPr>
              <w:t>Corruption of Foreign Public Officials Act</w:t>
            </w:r>
            <w:r w:rsidRPr="00D770F2">
              <w:rPr>
                <w:sz w:val="20"/>
              </w:rPr>
              <w:t>, S.C. 1998, c. 34</w:t>
            </w:r>
          </w:p>
          <w:p w:rsidR="006F56EE" w:rsidRPr="00D770F2" w:rsidRDefault="006F56EE" w:rsidP="006F56EE">
            <w:pPr>
              <w:jc w:val="both"/>
              <w:rPr>
                <w:sz w:val="20"/>
              </w:rPr>
            </w:pPr>
          </w:p>
        </w:tc>
      </w:tr>
      <w:tr w:rsidR="006F56EE" w:rsidRPr="00D770F2" w:rsidTr="006F56EE">
        <w:tc>
          <w:tcPr>
            <w:tcW w:w="2427" w:type="pct"/>
            <w:gridSpan w:val="2"/>
          </w:tcPr>
          <w:p w:rsidR="006F56EE" w:rsidRPr="00D770F2" w:rsidRDefault="006F56EE" w:rsidP="006F56EE">
            <w:pPr>
              <w:jc w:val="both"/>
              <w:rPr>
                <w:sz w:val="20"/>
              </w:rPr>
            </w:pPr>
            <w:r w:rsidRPr="00D770F2">
              <w:rPr>
                <w:sz w:val="20"/>
              </w:rPr>
              <w:t>May 23, 2014</w:t>
            </w:r>
          </w:p>
          <w:p w:rsidR="006F56EE" w:rsidRPr="00D770F2" w:rsidRDefault="006F56EE" w:rsidP="006F56EE">
            <w:pPr>
              <w:jc w:val="both"/>
              <w:rPr>
                <w:sz w:val="20"/>
              </w:rPr>
            </w:pPr>
            <w:r w:rsidRPr="00D770F2">
              <w:rPr>
                <w:sz w:val="20"/>
              </w:rPr>
              <w:t>Ontario Superior Court of Justice</w:t>
            </w:r>
          </w:p>
          <w:p w:rsidR="006F56EE" w:rsidRPr="00D770F2" w:rsidRDefault="006F56EE" w:rsidP="006F56EE">
            <w:pPr>
              <w:jc w:val="both"/>
              <w:rPr>
                <w:sz w:val="20"/>
              </w:rPr>
            </w:pPr>
            <w:r w:rsidRPr="00D770F2">
              <w:rPr>
                <w:sz w:val="20"/>
              </w:rPr>
              <w:t>(</w:t>
            </w:r>
            <w:proofErr w:type="spellStart"/>
            <w:r w:rsidRPr="00D770F2">
              <w:rPr>
                <w:sz w:val="20"/>
              </w:rPr>
              <w:t>Hackland</w:t>
            </w:r>
            <w:proofErr w:type="spellEnd"/>
            <w:r w:rsidRPr="00D770F2">
              <w:rPr>
                <w:sz w:val="20"/>
              </w:rPr>
              <w:t xml:space="preserve"> J.)</w:t>
            </w:r>
          </w:p>
          <w:p w:rsidR="006F56EE" w:rsidRPr="00D770F2" w:rsidRDefault="006F56EE" w:rsidP="006F56EE">
            <w:pPr>
              <w:jc w:val="both"/>
              <w:rPr>
                <w:sz w:val="20"/>
              </w:rPr>
            </w:pPr>
            <w:r w:rsidRPr="00D770F2">
              <w:rPr>
                <w:sz w:val="20"/>
              </w:rPr>
              <w:t>2014 ONSC 3093</w:t>
            </w:r>
          </w:p>
          <w:p w:rsidR="006F56EE" w:rsidRPr="00D770F2" w:rsidRDefault="006F56EE" w:rsidP="006F56EE">
            <w:pPr>
              <w:jc w:val="both"/>
              <w:rPr>
                <w:sz w:val="20"/>
              </w:rPr>
            </w:pPr>
          </w:p>
        </w:tc>
        <w:tc>
          <w:tcPr>
            <w:tcW w:w="243" w:type="pct"/>
          </w:tcPr>
          <w:p w:rsidR="006F56EE" w:rsidRPr="00D770F2" w:rsidRDefault="006F56EE" w:rsidP="006F56EE">
            <w:pPr>
              <w:jc w:val="both"/>
              <w:rPr>
                <w:sz w:val="20"/>
              </w:rPr>
            </w:pPr>
          </w:p>
        </w:tc>
        <w:tc>
          <w:tcPr>
            <w:tcW w:w="2330" w:type="pct"/>
          </w:tcPr>
          <w:p w:rsidR="006F56EE" w:rsidRPr="00D770F2" w:rsidRDefault="006F56EE" w:rsidP="006F56EE">
            <w:pPr>
              <w:jc w:val="both"/>
              <w:rPr>
                <w:sz w:val="20"/>
              </w:rPr>
            </w:pPr>
            <w:r w:rsidRPr="00D770F2">
              <w:rPr>
                <w:sz w:val="20"/>
              </w:rPr>
              <w:t>Sentence imposed: three years’ imprisonment</w:t>
            </w:r>
          </w:p>
          <w:p w:rsidR="006F56EE" w:rsidRPr="00D770F2" w:rsidRDefault="006F56EE" w:rsidP="006F56EE">
            <w:pPr>
              <w:jc w:val="both"/>
              <w:rPr>
                <w:sz w:val="20"/>
              </w:rPr>
            </w:pPr>
          </w:p>
        </w:tc>
      </w:tr>
      <w:tr w:rsidR="006F56EE" w:rsidRPr="00D770F2" w:rsidTr="006F56EE">
        <w:tc>
          <w:tcPr>
            <w:tcW w:w="2427" w:type="pct"/>
            <w:gridSpan w:val="2"/>
          </w:tcPr>
          <w:p w:rsidR="006F56EE" w:rsidRPr="00D770F2" w:rsidRDefault="006F56EE" w:rsidP="006F56EE">
            <w:pPr>
              <w:jc w:val="both"/>
              <w:rPr>
                <w:sz w:val="20"/>
              </w:rPr>
            </w:pPr>
            <w:r w:rsidRPr="00D770F2">
              <w:rPr>
                <w:sz w:val="20"/>
              </w:rPr>
              <w:t>July 6, 2017</w:t>
            </w:r>
          </w:p>
          <w:p w:rsidR="006F56EE" w:rsidRPr="00D770F2" w:rsidRDefault="006F56EE" w:rsidP="006F56EE">
            <w:pPr>
              <w:jc w:val="both"/>
              <w:rPr>
                <w:sz w:val="20"/>
              </w:rPr>
            </w:pPr>
            <w:r w:rsidRPr="00D770F2">
              <w:rPr>
                <w:sz w:val="20"/>
              </w:rPr>
              <w:t>Court of Appeal for Ontario</w:t>
            </w:r>
          </w:p>
          <w:p w:rsidR="006F56EE" w:rsidRPr="00D770F2" w:rsidRDefault="006F56EE" w:rsidP="006F56EE">
            <w:pPr>
              <w:jc w:val="both"/>
              <w:rPr>
                <w:sz w:val="20"/>
              </w:rPr>
            </w:pPr>
            <w:r w:rsidRPr="00D770F2">
              <w:rPr>
                <w:sz w:val="20"/>
              </w:rPr>
              <w:t xml:space="preserve">(Feldman, </w:t>
            </w:r>
            <w:proofErr w:type="spellStart"/>
            <w:r w:rsidRPr="00D770F2">
              <w:rPr>
                <w:sz w:val="20"/>
              </w:rPr>
              <w:t>Pardu</w:t>
            </w:r>
            <w:proofErr w:type="spellEnd"/>
            <w:r w:rsidRPr="00D770F2">
              <w:rPr>
                <w:sz w:val="20"/>
              </w:rPr>
              <w:t xml:space="preserve">, </w:t>
            </w:r>
            <w:proofErr w:type="spellStart"/>
            <w:r w:rsidRPr="00D770F2">
              <w:rPr>
                <w:sz w:val="20"/>
              </w:rPr>
              <w:t>Benotto</w:t>
            </w:r>
            <w:proofErr w:type="spellEnd"/>
            <w:r w:rsidRPr="00D770F2">
              <w:rPr>
                <w:sz w:val="20"/>
              </w:rPr>
              <w:t xml:space="preserve"> JJ.A.)</w:t>
            </w:r>
          </w:p>
          <w:p w:rsidR="006F56EE" w:rsidRPr="00D770F2" w:rsidRDefault="006F56EE" w:rsidP="006F56EE">
            <w:pPr>
              <w:jc w:val="both"/>
              <w:rPr>
                <w:sz w:val="20"/>
              </w:rPr>
            </w:pPr>
            <w:r w:rsidRPr="00D770F2">
              <w:rPr>
                <w:sz w:val="20"/>
              </w:rPr>
              <w:t>2017 ONCA 576;C59321</w:t>
            </w:r>
          </w:p>
          <w:p w:rsidR="006F56EE" w:rsidRPr="00D770F2" w:rsidRDefault="009479D6" w:rsidP="006F56EE">
            <w:pPr>
              <w:jc w:val="both"/>
              <w:rPr>
                <w:rStyle w:val="documentstaticurl"/>
                <w:sz w:val="20"/>
              </w:rPr>
            </w:pPr>
            <w:hyperlink r:id="rId71" w:history="1">
              <w:r w:rsidR="006F56EE" w:rsidRPr="00D770F2">
                <w:rPr>
                  <w:rStyle w:val="Hyperlink"/>
                  <w:sz w:val="20"/>
                </w:rPr>
                <w:t>http://canlii.ca/t/h4nq2</w:t>
              </w:r>
            </w:hyperlink>
          </w:p>
          <w:p w:rsidR="006F56EE" w:rsidRPr="00D770F2" w:rsidRDefault="006F56EE" w:rsidP="006F56EE">
            <w:pPr>
              <w:jc w:val="both"/>
              <w:rPr>
                <w:sz w:val="20"/>
              </w:rPr>
            </w:pPr>
          </w:p>
        </w:tc>
        <w:tc>
          <w:tcPr>
            <w:tcW w:w="243" w:type="pct"/>
          </w:tcPr>
          <w:p w:rsidR="006F56EE" w:rsidRPr="00D770F2" w:rsidRDefault="006F56EE" w:rsidP="006F56EE">
            <w:pPr>
              <w:jc w:val="both"/>
              <w:rPr>
                <w:sz w:val="20"/>
              </w:rPr>
            </w:pPr>
          </w:p>
        </w:tc>
        <w:tc>
          <w:tcPr>
            <w:tcW w:w="2330" w:type="pct"/>
          </w:tcPr>
          <w:p w:rsidR="006F56EE" w:rsidRPr="00D770F2" w:rsidRDefault="006F56EE" w:rsidP="006F56EE">
            <w:pPr>
              <w:jc w:val="both"/>
              <w:rPr>
                <w:sz w:val="20"/>
              </w:rPr>
            </w:pPr>
            <w:r w:rsidRPr="00D770F2">
              <w:rPr>
                <w:sz w:val="20"/>
              </w:rPr>
              <w:t>Appeal from conviction dismissed</w:t>
            </w:r>
          </w:p>
          <w:p w:rsidR="006F56EE" w:rsidRPr="00D770F2" w:rsidRDefault="006F56EE" w:rsidP="006F56EE">
            <w:pPr>
              <w:jc w:val="both"/>
              <w:rPr>
                <w:sz w:val="20"/>
              </w:rPr>
            </w:pPr>
          </w:p>
        </w:tc>
      </w:tr>
      <w:tr w:rsidR="006F56EE" w:rsidRPr="00D770F2" w:rsidTr="006F56EE">
        <w:tc>
          <w:tcPr>
            <w:tcW w:w="2427" w:type="pct"/>
            <w:gridSpan w:val="2"/>
          </w:tcPr>
          <w:p w:rsidR="006F56EE" w:rsidRPr="00D770F2" w:rsidRDefault="006F56EE" w:rsidP="006F56EE">
            <w:pPr>
              <w:jc w:val="both"/>
              <w:rPr>
                <w:sz w:val="20"/>
              </w:rPr>
            </w:pPr>
            <w:r w:rsidRPr="00D770F2">
              <w:rPr>
                <w:sz w:val="20"/>
              </w:rPr>
              <w:t>September 29, 2017</w:t>
            </w:r>
          </w:p>
          <w:p w:rsidR="006F56EE" w:rsidRPr="00D770F2" w:rsidRDefault="006F56EE" w:rsidP="006F56EE">
            <w:pPr>
              <w:jc w:val="both"/>
              <w:rPr>
                <w:sz w:val="20"/>
              </w:rPr>
            </w:pPr>
            <w:r w:rsidRPr="00D770F2">
              <w:rPr>
                <w:sz w:val="20"/>
              </w:rPr>
              <w:t>Supreme Court of Canada</w:t>
            </w:r>
          </w:p>
        </w:tc>
        <w:tc>
          <w:tcPr>
            <w:tcW w:w="243" w:type="pct"/>
          </w:tcPr>
          <w:p w:rsidR="006F56EE" w:rsidRPr="00D770F2" w:rsidRDefault="006F56EE" w:rsidP="006F56EE">
            <w:pPr>
              <w:jc w:val="both"/>
              <w:rPr>
                <w:sz w:val="20"/>
              </w:rPr>
            </w:pPr>
          </w:p>
        </w:tc>
        <w:tc>
          <w:tcPr>
            <w:tcW w:w="2330" w:type="pct"/>
          </w:tcPr>
          <w:p w:rsidR="006F56EE" w:rsidRPr="00D770F2" w:rsidRDefault="006F56EE" w:rsidP="006F56EE">
            <w:pPr>
              <w:jc w:val="both"/>
              <w:rPr>
                <w:sz w:val="20"/>
              </w:rPr>
            </w:pPr>
            <w:r w:rsidRPr="00D770F2">
              <w:rPr>
                <w:sz w:val="20"/>
              </w:rPr>
              <w:t>Application for leave to appeal filed</w:t>
            </w:r>
          </w:p>
          <w:p w:rsidR="006F56EE" w:rsidRPr="00D770F2" w:rsidRDefault="006F56EE" w:rsidP="006F56EE">
            <w:pPr>
              <w:jc w:val="both"/>
              <w:rPr>
                <w:sz w:val="20"/>
              </w:rPr>
            </w:pPr>
          </w:p>
        </w:tc>
      </w:tr>
    </w:tbl>
    <w:p w:rsidR="006F56EE" w:rsidRPr="00D770F2" w:rsidRDefault="006F56EE" w:rsidP="006F56EE">
      <w:pPr>
        <w:jc w:val="both"/>
        <w:rPr>
          <w:sz w:val="20"/>
        </w:rPr>
      </w:pPr>
    </w:p>
    <w:p w:rsidR="00EA7D94" w:rsidRPr="00D770F2" w:rsidRDefault="00EA7D94" w:rsidP="006F56E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56EE" w:rsidRPr="00D770F2" w:rsidTr="006F56EE">
        <w:tc>
          <w:tcPr>
            <w:tcW w:w="543" w:type="pct"/>
          </w:tcPr>
          <w:p w:rsidR="006F56EE" w:rsidRPr="00D770F2" w:rsidRDefault="006F56EE" w:rsidP="006F56EE">
            <w:pPr>
              <w:jc w:val="both"/>
              <w:rPr>
                <w:sz w:val="20"/>
                <w:lang w:val="fr-CA"/>
              </w:rPr>
            </w:pPr>
            <w:r w:rsidRPr="00D770F2">
              <w:rPr>
                <w:rStyle w:val="SCCFileNumberChar"/>
                <w:sz w:val="20"/>
                <w:szCs w:val="20"/>
                <w:lang w:val="fr-CA"/>
              </w:rPr>
              <w:t>37784</w:t>
            </w:r>
          </w:p>
        </w:tc>
        <w:tc>
          <w:tcPr>
            <w:tcW w:w="4457" w:type="pct"/>
            <w:gridSpan w:val="3"/>
          </w:tcPr>
          <w:p w:rsidR="006F56EE" w:rsidRPr="00D770F2" w:rsidRDefault="006F56EE" w:rsidP="006F56EE">
            <w:pPr>
              <w:pStyle w:val="SCCLsocParty"/>
              <w:jc w:val="both"/>
              <w:rPr>
                <w:b/>
                <w:sz w:val="20"/>
                <w:szCs w:val="20"/>
              </w:rPr>
            </w:pPr>
            <w:r w:rsidRPr="00D770F2">
              <w:rPr>
                <w:b/>
                <w:sz w:val="20"/>
                <w:szCs w:val="20"/>
              </w:rPr>
              <w:t>Nazir Karigar c. Sa Majesté la Reine</w:t>
            </w:r>
          </w:p>
          <w:p w:rsidR="006F56EE" w:rsidRPr="00D770F2" w:rsidRDefault="006F56EE" w:rsidP="006F56EE">
            <w:pPr>
              <w:jc w:val="both"/>
              <w:rPr>
                <w:sz w:val="20"/>
                <w:lang w:val="fr-CA"/>
              </w:rPr>
            </w:pPr>
            <w:r w:rsidRPr="00D770F2">
              <w:rPr>
                <w:sz w:val="20"/>
                <w:lang w:val="fr-CA"/>
              </w:rPr>
              <w:t>(Ont.) (Criminelle) (Sur autorisation)</w:t>
            </w:r>
          </w:p>
        </w:tc>
      </w:tr>
      <w:tr w:rsidR="006F56EE" w:rsidRPr="0030635C" w:rsidTr="006F56EE">
        <w:tc>
          <w:tcPr>
            <w:tcW w:w="5000" w:type="pct"/>
            <w:gridSpan w:val="4"/>
          </w:tcPr>
          <w:p w:rsidR="006F56EE" w:rsidRPr="00D770F2" w:rsidRDefault="006F56EE" w:rsidP="006F56EE">
            <w:pPr>
              <w:jc w:val="both"/>
              <w:rPr>
                <w:sz w:val="20"/>
                <w:lang w:val="fr-CA"/>
              </w:rPr>
            </w:pPr>
            <w:r w:rsidRPr="00D770F2">
              <w:rPr>
                <w:sz w:val="20"/>
                <w:lang w:val="fr-CA"/>
              </w:rPr>
              <w:t xml:space="preserve">Droit criminel – Infractions – Éléments de l’infraction – Le demandeur a été déclaré coupable d’avoir convenu d’offrir un pot-de-vin à un agent public étranger contrairement à l’art. 3 de la </w:t>
            </w:r>
            <w:r w:rsidRPr="00D770F2">
              <w:rPr>
                <w:i/>
                <w:sz w:val="20"/>
                <w:lang w:val="fr-CA"/>
              </w:rPr>
              <w:t>Loi sur la corruption d’agents publics étrangers</w:t>
            </w:r>
            <w:r w:rsidRPr="00D770F2">
              <w:rPr>
                <w:sz w:val="20"/>
                <w:lang w:val="fr-CA"/>
              </w:rPr>
              <w:t xml:space="preserve">, L.C. 1998, ch. 34 – Quel critère un tribunal canadien doit-il appliquer pour se déclarer compétent, sur le fondement de la territorialité, à l’égard de crimes allégués, y compris les infractions en matière de complot, qui sont commis, en tout ou en partie, à l’extérieur du Canada? – Les juridictions inférieures ont-elles mal appliqué le critère établi dans l’arrêt </w:t>
            </w:r>
            <w:r w:rsidRPr="00D770F2">
              <w:rPr>
                <w:i/>
                <w:sz w:val="20"/>
                <w:lang w:val="fr-CA"/>
              </w:rPr>
              <w:t>R. c. Libman</w:t>
            </w:r>
            <w:r w:rsidRPr="00D770F2">
              <w:rPr>
                <w:sz w:val="20"/>
                <w:lang w:val="fr-CA"/>
              </w:rPr>
              <w:t xml:space="preserve">, [1985] 2 R.C.S. 178? – Quelle est la bonne interprétation législative des éléments essentiels de l’infraction prévus à l’art. 3 de la </w:t>
            </w:r>
            <w:r w:rsidRPr="00D770F2">
              <w:rPr>
                <w:i/>
                <w:sz w:val="20"/>
                <w:lang w:val="fr-CA"/>
              </w:rPr>
              <w:t>Loi sur la corruption d’agents publics étrangers</w:t>
            </w:r>
            <w:r w:rsidRPr="00D770F2">
              <w:rPr>
                <w:sz w:val="20"/>
                <w:lang w:val="fr-CA"/>
              </w:rPr>
              <w:t>? – Les arrêts des cours d’appel se contredisent-ils?</w:t>
            </w:r>
          </w:p>
        </w:tc>
      </w:tr>
      <w:tr w:rsidR="006F56EE" w:rsidRPr="0030635C" w:rsidTr="006F56EE">
        <w:tc>
          <w:tcPr>
            <w:tcW w:w="5000" w:type="pct"/>
            <w:gridSpan w:val="4"/>
          </w:tcPr>
          <w:p w:rsidR="006F56EE" w:rsidRPr="00D770F2" w:rsidRDefault="006F56EE" w:rsidP="006F56EE">
            <w:pPr>
              <w:jc w:val="both"/>
              <w:rPr>
                <w:sz w:val="20"/>
                <w:lang w:val="fr-CA"/>
              </w:rPr>
            </w:pPr>
          </w:p>
        </w:tc>
      </w:tr>
      <w:tr w:rsidR="006F56EE" w:rsidRPr="00D770F2" w:rsidTr="006F56EE">
        <w:tc>
          <w:tcPr>
            <w:tcW w:w="5000" w:type="pct"/>
            <w:gridSpan w:val="4"/>
          </w:tcPr>
          <w:p w:rsidR="006F56EE" w:rsidRPr="00D770F2" w:rsidRDefault="006F56EE" w:rsidP="006F56EE">
            <w:pPr>
              <w:jc w:val="both"/>
              <w:rPr>
                <w:sz w:val="20"/>
                <w:lang w:val="fr-CA"/>
              </w:rPr>
            </w:pPr>
            <w:r w:rsidRPr="00D770F2">
              <w:rPr>
                <w:sz w:val="20"/>
                <w:lang w:val="fr-CA"/>
              </w:rPr>
              <w:t xml:space="preserve">Monsieur Karigar était le mandataire rémunéré d’un groupe d’entreprises canadiennes qui voulaient décrocher un contrat important d’Air India pour la fourniture de logiciels de reconnaissance faciale et d’équipement connexe. Le ministère public allègue que M. Karigar a assumé un rôle de premier plan dans un complot pour offrir des pots-de-vin à des agents d’Air India et à l’ancien ministre de l’Aviation civile de l’Inde pour influencer le processus d’appel d’offres. Monsieur Karigar a été déclaré coupable d’avoir convenu d’offrir un pot-de-vin à un agent public étranger contrairement à l’art. 3 de la </w:t>
            </w:r>
            <w:r w:rsidRPr="00D770F2">
              <w:rPr>
                <w:i/>
                <w:sz w:val="20"/>
                <w:lang w:val="fr-CA"/>
              </w:rPr>
              <w:t>Loi sur la corruption d’agents publics étrangers</w:t>
            </w:r>
            <w:r w:rsidRPr="00D770F2">
              <w:rPr>
                <w:sz w:val="20"/>
                <w:lang w:val="fr-CA"/>
              </w:rPr>
              <w:t>, L.C. 1998, ch. 34. L’appel de la déclaration de culpabilité a été rejeté.</w:t>
            </w:r>
          </w:p>
          <w:p w:rsidR="006F56EE" w:rsidRPr="00D770F2" w:rsidRDefault="006F56EE" w:rsidP="006F56EE">
            <w:pPr>
              <w:jc w:val="both"/>
              <w:rPr>
                <w:sz w:val="20"/>
                <w:lang w:val="fr-CA"/>
              </w:rPr>
            </w:pPr>
          </w:p>
        </w:tc>
      </w:tr>
      <w:tr w:rsidR="006F56EE" w:rsidRPr="0030635C" w:rsidTr="006F56EE">
        <w:tc>
          <w:tcPr>
            <w:tcW w:w="2427" w:type="pct"/>
            <w:gridSpan w:val="2"/>
          </w:tcPr>
          <w:p w:rsidR="006F56EE" w:rsidRPr="00D770F2" w:rsidRDefault="006F56EE" w:rsidP="006F56EE">
            <w:pPr>
              <w:jc w:val="both"/>
              <w:rPr>
                <w:sz w:val="20"/>
                <w:lang w:val="fr-CA"/>
              </w:rPr>
            </w:pPr>
            <w:r w:rsidRPr="00D770F2">
              <w:rPr>
                <w:sz w:val="20"/>
                <w:lang w:val="fr-CA"/>
              </w:rPr>
              <w:t>15 août 2013</w:t>
            </w:r>
          </w:p>
          <w:p w:rsidR="006F56EE" w:rsidRPr="00D770F2" w:rsidRDefault="006F56EE" w:rsidP="006F56EE">
            <w:pPr>
              <w:jc w:val="both"/>
              <w:rPr>
                <w:sz w:val="20"/>
                <w:lang w:val="fr-CA"/>
              </w:rPr>
            </w:pPr>
            <w:r w:rsidRPr="00D770F2">
              <w:rPr>
                <w:sz w:val="20"/>
                <w:lang w:val="fr-CA"/>
              </w:rPr>
              <w:t>Cour supérieure de justice de l’Ontario</w:t>
            </w:r>
          </w:p>
          <w:p w:rsidR="006F56EE" w:rsidRPr="00D770F2" w:rsidRDefault="006F56EE" w:rsidP="006F56EE">
            <w:pPr>
              <w:jc w:val="both"/>
              <w:rPr>
                <w:sz w:val="20"/>
              </w:rPr>
            </w:pPr>
            <w:r w:rsidRPr="00D770F2">
              <w:rPr>
                <w:sz w:val="20"/>
              </w:rPr>
              <w:t>(</w:t>
            </w:r>
            <w:proofErr w:type="spellStart"/>
            <w:r w:rsidRPr="00D770F2">
              <w:rPr>
                <w:sz w:val="20"/>
              </w:rPr>
              <w:t>Juge</w:t>
            </w:r>
            <w:proofErr w:type="spellEnd"/>
            <w:r w:rsidRPr="00D770F2">
              <w:rPr>
                <w:sz w:val="20"/>
              </w:rPr>
              <w:t xml:space="preserve"> </w:t>
            </w:r>
            <w:proofErr w:type="spellStart"/>
            <w:r w:rsidRPr="00D770F2">
              <w:rPr>
                <w:sz w:val="20"/>
              </w:rPr>
              <w:t>Hackland</w:t>
            </w:r>
            <w:proofErr w:type="spellEnd"/>
            <w:r w:rsidRPr="00D770F2">
              <w:rPr>
                <w:sz w:val="20"/>
              </w:rPr>
              <w:t>)</w:t>
            </w:r>
          </w:p>
          <w:p w:rsidR="006F56EE" w:rsidRPr="00D770F2" w:rsidRDefault="006F56EE" w:rsidP="006F56EE">
            <w:pPr>
              <w:jc w:val="both"/>
              <w:rPr>
                <w:sz w:val="20"/>
              </w:rPr>
            </w:pPr>
            <w:r w:rsidRPr="00D770F2">
              <w:rPr>
                <w:sz w:val="20"/>
              </w:rPr>
              <w:t>2013 ONSC 5199</w:t>
            </w:r>
          </w:p>
          <w:p w:rsidR="006F56EE" w:rsidRPr="00D770F2" w:rsidRDefault="009479D6" w:rsidP="006F56EE">
            <w:pPr>
              <w:jc w:val="both"/>
              <w:rPr>
                <w:rStyle w:val="documentstaticurl"/>
                <w:sz w:val="20"/>
              </w:rPr>
            </w:pPr>
            <w:hyperlink r:id="rId72" w:history="1">
              <w:r w:rsidR="006F56EE" w:rsidRPr="00D770F2">
                <w:rPr>
                  <w:rStyle w:val="Hyperlink"/>
                  <w:sz w:val="20"/>
                </w:rPr>
                <w:t>http://canlii.ca/t/g03dw</w:t>
              </w:r>
            </w:hyperlink>
          </w:p>
          <w:p w:rsidR="006F56EE" w:rsidRPr="00D770F2" w:rsidRDefault="006F56EE" w:rsidP="006F56EE">
            <w:pPr>
              <w:jc w:val="both"/>
              <w:rPr>
                <w:sz w:val="20"/>
              </w:rPr>
            </w:pPr>
          </w:p>
        </w:tc>
        <w:tc>
          <w:tcPr>
            <w:tcW w:w="243" w:type="pct"/>
          </w:tcPr>
          <w:p w:rsidR="006F56EE" w:rsidRPr="00D770F2" w:rsidRDefault="006F56EE" w:rsidP="006F56EE">
            <w:pPr>
              <w:jc w:val="both"/>
              <w:rPr>
                <w:sz w:val="20"/>
              </w:rPr>
            </w:pPr>
          </w:p>
        </w:tc>
        <w:tc>
          <w:tcPr>
            <w:tcW w:w="2330" w:type="pct"/>
          </w:tcPr>
          <w:p w:rsidR="006F56EE" w:rsidRPr="00D770F2" w:rsidRDefault="006F56EE" w:rsidP="006F56EE">
            <w:pPr>
              <w:jc w:val="both"/>
              <w:rPr>
                <w:sz w:val="20"/>
                <w:lang w:val="fr-CA"/>
              </w:rPr>
            </w:pPr>
            <w:r w:rsidRPr="00D770F2">
              <w:rPr>
                <w:sz w:val="20"/>
                <w:lang w:val="fr-CA"/>
              </w:rPr>
              <w:t xml:space="preserve">Déclaration de culpabilité : avoir convenu d’offrir un pot-de-vin à un agent public étranger contrairement à l’art. 3 de la </w:t>
            </w:r>
            <w:r w:rsidRPr="00D770F2">
              <w:rPr>
                <w:i/>
                <w:sz w:val="20"/>
                <w:lang w:val="fr-CA"/>
              </w:rPr>
              <w:t>Loi sur la corruption d’agents publics étrangers</w:t>
            </w:r>
            <w:r w:rsidRPr="00D770F2">
              <w:rPr>
                <w:sz w:val="20"/>
                <w:lang w:val="fr-CA"/>
              </w:rPr>
              <w:t>, L.C. 1998, ch. 34</w:t>
            </w:r>
          </w:p>
          <w:p w:rsidR="006F56EE" w:rsidRPr="00D770F2" w:rsidRDefault="006F56EE" w:rsidP="006F56EE">
            <w:pPr>
              <w:jc w:val="both"/>
              <w:rPr>
                <w:sz w:val="20"/>
                <w:lang w:val="fr-CA"/>
              </w:rPr>
            </w:pPr>
          </w:p>
        </w:tc>
      </w:tr>
      <w:tr w:rsidR="006F56EE" w:rsidRPr="0030635C" w:rsidTr="006F56EE">
        <w:tc>
          <w:tcPr>
            <w:tcW w:w="2427" w:type="pct"/>
            <w:gridSpan w:val="2"/>
          </w:tcPr>
          <w:p w:rsidR="006F56EE" w:rsidRPr="00D770F2" w:rsidRDefault="006F56EE" w:rsidP="006F56EE">
            <w:pPr>
              <w:jc w:val="both"/>
              <w:rPr>
                <w:sz w:val="20"/>
                <w:lang w:val="fr-CA"/>
              </w:rPr>
            </w:pPr>
            <w:r w:rsidRPr="00D770F2">
              <w:rPr>
                <w:sz w:val="20"/>
                <w:lang w:val="fr-CA"/>
              </w:rPr>
              <w:t>23 mai 2014</w:t>
            </w:r>
          </w:p>
          <w:p w:rsidR="006F56EE" w:rsidRPr="00D770F2" w:rsidRDefault="006F56EE" w:rsidP="006F56EE">
            <w:pPr>
              <w:jc w:val="both"/>
              <w:rPr>
                <w:sz w:val="20"/>
                <w:lang w:val="fr-CA"/>
              </w:rPr>
            </w:pPr>
            <w:r w:rsidRPr="00D770F2">
              <w:rPr>
                <w:sz w:val="20"/>
                <w:lang w:val="fr-CA"/>
              </w:rPr>
              <w:t>Cour supérieure de justice de l’Ontario</w:t>
            </w:r>
          </w:p>
          <w:p w:rsidR="006F56EE" w:rsidRPr="00D770F2" w:rsidRDefault="006F56EE" w:rsidP="006F56EE">
            <w:pPr>
              <w:jc w:val="both"/>
              <w:rPr>
                <w:sz w:val="20"/>
                <w:lang w:val="fr-CA"/>
              </w:rPr>
            </w:pPr>
            <w:r w:rsidRPr="00D770F2">
              <w:rPr>
                <w:sz w:val="20"/>
                <w:lang w:val="fr-CA"/>
              </w:rPr>
              <w:t>(Juge Hackland)</w:t>
            </w:r>
          </w:p>
          <w:p w:rsidR="006F56EE" w:rsidRPr="00D770F2" w:rsidRDefault="006F56EE" w:rsidP="006F56EE">
            <w:pPr>
              <w:jc w:val="both"/>
              <w:rPr>
                <w:sz w:val="20"/>
                <w:lang w:val="fr-CA"/>
              </w:rPr>
            </w:pPr>
            <w:r w:rsidRPr="00D770F2">
              <w:rPr>
                <w:sz w:val="20"/>
                <w:lang w:val="fr-CA"/>
              </w:rPr>
              <w:t>2014 ONSC 3093</w:t>
            </w:r>
          </w:p>
          <w:p w:rsidR="006F56EE" w:rsidRPr="00D770F2" w:rsidRDefault="006F56EE" w:rsidP="006F56EE">
            <w:pPr>
              <w:jc w:val="both"/>
              <w:rPr>
                <w:sz w:val="20"/>
                <w:lang w:val="fr-CA"/>
              </w:rPr>
            </w:pPr>
          </w:p>
        </w:tc>
        <w:tc>
          <w:tcPr>
            <w:tcW w:w="243" w:type="pct"/>
          </w:tcPr>
          <w:p w:rsidR="006F56EE" w:rsidRPr="00D770F2" w:rsidRDefault="006F56EE" w:rsidP="006F56EE">
            <w:pPr>
              <w:jc w:val="both"/>
              <w:rPr>
                <w:sz w:val="20"/>
                <w:lang w:val="fr-CA"/>
              </w:rPr>
            </w:pPr>
          </w:p>
        </w:tc>
        <w:tc>
          <w:tcPr>
            <w:tcW w:w="2330" w:type="pct"/>
          </w:tcPr>
          <w:p w:rsidR="006F56EE" w:rsidRPr="00D770F2" w:rsidRDefault="006F56EE" w:rsidP="006F56EE">
            <w:pPr>
              <w:jc w:val="both"/>
              <w:rPr>
                <w:sz w:val="20"/>
                <w:lang w:val="fr-CA"/>
              </w:rPr>
            </w:pPr>
            <w:r w:rsidRPr="00D770F2">
              <w:rPr>
                <w:sz w:val="20"/>
                <w:lang w:val="fr-CA"/>
              </w:rPr>
              <w:t>Peine infligée : emprisonnement de trois ans</w:t>
            </w:r>
          </w:p>
          <w:p w:rsidR="006F56EE" w:rsidRPr="00D770F2" w:rsidRDefault="006F56EE" w:rsidP="006F56EE">
            <w:pPr>
              <w:jc w:val="both"/>
              <w:rPr>
                <w:sz w:val="20"/>
                <w:lang w:val="fr-CA"/>
              </w:rPr>
            </w:pPr>
          </w:p>
        </w:tc>
      </w:tr>
      <w:tr w:rsidR="006F56EE" w:rsidRPr="0030635C" w:rsidTr="006F56EE">
        <w:tc>
          <w:tcPr>
            <w:tcW w:w="2427" w:type="pct"/>
            <w:gridSpan w:val="2"/>
          </w:tcPr>
          <w:p w:rsidR="006F56EE" w:rsidRPr="00D770F2" w:rsidRDefault="006F56EE" w:rsidP="006F56EE">
            <w:pPr>
              <w:jc w:val="both"/>
              <w:rPr>
                <w:sz w:val="20"/>
                <w:lang w:val="fr-CA"/>
              </w:rPr>
            </w:pPr>
            <w:r w:rsidRPr="00D770F2">
              <w:rPr>
                <w:sz w:val="20"/>
                <w:lang w:val="fr-CA"/>
              </w:rPr>
              <w:t>6 juillet 2017</w:t>
            </w:r>
          </w:p>
          <w:p w:rsidR="006F56EE" w:rsidRPr="00D770F2" w:rsidRDefault="006F56EE" w:rsidP="006F56EE">
            <w:pPr>
              <w:jc w:val="both"/>
              <w:rPr>
                <w:sz w:val="20"/>
                <w:lang w:val="fr-CA"/>
              </w:rPr>
            </w:pPr>
            <w:r w:rsidRPr="00D770F2">
              <w:rPr>
                <w:sz w:val="20"/>
                <w:lang w:val="fr-CA"/>
              </w:rPr>
              <w:t>Cour d’appel de l’Ontario</w:t>
            </w:r>
          </w:p>
          <w:p w:rsidR="006F56EE" w:rsidRPr="00D770F2" w:rsidRDefault="006F56EE" w:rsidP="006F56EE">
            <w:pPr>
              <w:jc w:val="both"/>
              <w:rPr>
                <w:sz w:val="20"/>
                <w:lang w:val="fr-CA"/>
              </w:rPr>
            </w:pPr>
            <w:r w:rsidRPr="00D770F2">
              <w:rPr>
                <w:sz w:val="20"/>
                <w:lang w:val="fr-CA"/>
              </w:rPr>
              <w:t>(Juges Feldman, Pardu et Benotto)</w:t>
            </w:r>
          </w:p>
          <w:p w:rsidR="006F56EE" w:rsidRPr="00D770F2" w:rsidRDefault="006F56EE" w:rsidP="006F56EE">
            <w:pPr>
              <w:jc w:val="both"/>
              <w:rPr>
                <w:sz w:val="20"/>
              </w:rPr>
            </w:pPr>
            <w:r w:rsidRPr="00D770F2">
              <w:rPr>
                <w:sz w:val="20"/>
              </w:rPr>
              <w:t>2017 ONCA 576;C59321</w:t>
            </w:r>
          </w:p>
          <w:p w:rsidR="006F56EE" w:rsidRPr="00D770F2" w:rsidRDefault="009479D6" w:rsidP="006F56EE">
            <w:pPr>
              <w:jc w:val="both"/>
              <w:rPr>
                <w:rStyle w:val="documentstaticurl"/>
                <w:sz w:val="20"/>
              </w:rPr>
            </w:pPr>
            <w:hyperlink r:id="rId73" w:history="1">
              <w:r w:rsidR="006F56EE" w:rsidRPr="00D770F2">
                <w:rPr>
                  <w:rStyle w:val="Hyperlink"/>
                  <w:sz w:val="20"/>
                </w:rPr>
                <w:t>http://canlii.ca/t/h4nq2</w:t>
              </w:r>
            </w:hyperlink>
          </w:p>
          <w:p w:rsidR="006F56EE" w:rsidRPr="00D770F2" w:rsidRDefault="006F56EE" w:rsidP="006F56EE">
            <w:pPr>
              <w:jc w:val="both"/>
              <w:rPr>
                <w:sz w:val="20"/>
              </w:rPr>
            </w:pPr>
          </w:p>
        </w:tc>
        <w:tc>
          <w:tcPr>
            <w:tcW w:w="243" w:type="pct"/>
          </w:tcPr>
          <w:p w:rsidR="006F56EE" w:rsidRPr="00D770F2" w:rsidRDefault="006F56EE" w:rsidP="006F56EE">
            <w:pPr>
              <w:jc w:val="both"/>
              <w:rPr>
                <w:sz w:val="20"/>
              </w:rPr>
            </w:pPr>
          </w:p>
        </w:tc>
        <w:tc>
          <w:tcPr>
            <w:tcW w:w="2330" w:type="pct"/>
          </w:tcPr>
          <w:p w:rsidR="006F56EE" w:rsidRPr="00D770F2" w:rsidRDefault="006F56EE" w:rsidP="006F56EE">
            <w:pPr>
              <w:jc w:val="both"/>
              <w:rPr>
                <w:sz w:val="20"/>
                <w:lang w:val="fr-CA"/>
              </w:rPr>
            </w:pPr>
            <w:r w:rsidRPr="00D770F2">
              <w:rPr>
                <w:sz w:val="20"/>
                <w:lang w:val="fr-CA"/>
              </w:rPr>
              <w:t>Rejet de l’appel de la déclaration de culpabilité</w:t>
            </w:r>
          </w:p>
          <w:p w:rsidR="006F56EE" w:rsidRPr="00D770F2" w:rsidRDefault="006F56EE" w:rsidP="006F56EE">
            <w:pPr>
              <w:jc w:val="both"/>
              <w:rPr>
                <w:sz w:val="20"/>
                <w:lang w:val="fr-CA"/>
              </w:rPr>
            </w:pPr>
          </w:p>
        </w:tc>
      </w:tr>
      <w:tr w:rsidR="006F56EE" w:rsidRPr="0030635C" w:rsidTr="006F56EE">
        <w:tc>
          <w:tcPr>
            <w:tcW w:w="2427" w:type="pct"/>
            <w:gridSpan w:val="2"/>
          </w:tcPr>
          <w:p w:rsidR="006F56EE" w:rsidRPr="00D770F2" w:rsidRDefault="006F56EE" w:rsidP="006F56EE">
            <w:pPr>
              <w:jc w:val="both"/>
              <w:rPr>
                <w:sz w:val="20"/>
                <w:lang w:val="fr-CA"/>
              </w:rPr>
            </w:pPr>
            <w:r w:rsidRPr="00D770F2">
              <w:rPr>
                <w:sz w:val="20"/>
                <w:lang w:val="fr-CA"/>
              </w:rPr>
              <w:t>29 septembre 2017</w:t>
            </w:r>
          </w:p>
          <w:p w:rsidR="006F56EE" w:rsidRPr="00D770F2" w:rsidRDefault="006F56EE" w:rsidP="006F56EE">
            <w:pPr>
              <w:jc w:val="both"/>
              <w:rPr>
                <w:sz w:val="20"/>
                <w:lang w:val="fr-CA"/>
              </w:rPr>
            </w:pPr>
            <w:r w:rsidRPr="00D770F2">
              <w:rPr>
                <w:sz w:val="20"/>
                <w:lang w:val="fr-CA"/>
              </w:rPr>
              <w:t>Cour suprême du Canada</w:t>
            </w:r>
          </w:p>
        </w:tc>
        <w:tc>
          <w:tcPr>
            <w:tcW w:w="243" w:type="pct"/>
          </w:tcPr>
          <w:p w:rsidR="006F56EE" w:rsidRPr="00D770F2" w:rsidRDefault="006F56EE" w:rsidP="006F56EE">
            <w:pPr>
              <w:jc w:val="both"/>
              <w:rPr>
                <w:sz w:val="20"/>
                <w:lang w:val="fr-CA"/>
              </w:rPr>
            </w:pPr>
          </w:p>
        </w:tc>
        <w:tc>
          <w:tcPr>
            <w:tcW w:w="2330" w:type="pct"/>
          </w:tcPr>
          <w:p w:rsidR="006F56EE" w:rsidRPr="00D770F2" w:rsidRDefault="006F56EE" w:rsidP="006F56EE">
            <w:pPr>
              <w:jc w:val="both"/>
              <w:rPr>
                <w:sz w:val="20"/>
                <w:lang w:val="fr-CA"/>
              </w:rPr>
            </w:pPr>
            <w:r w:rsidRPr="00D770F2">
              <w:rPr>
                <w:sz w:val="20"/>
                <w:lang w:val="fr-CA"/>
              </w:rPr>
              <w:t>Dépôt de la demande d’autorisation d’appel</w:t>
            </w:r>
          </w:p>
          <w:p w:rsidR="006F56EE" w:rsidRPr="00D770F2" w:rsidRDefault="006F56EE" w:rsidP="006F56EE">
            <w:pPr>
              <w:jc w:val="both"/>
              <w:rPr>
                <w:sz w:val="20"/>
                <w:lang w:val="fr-CA"/>
              </w:rPr>
            </w:pPr>
          </w:p>
        </w:tc>
      </w:tr>
    </w:tbl>
    <w:p w:rsidR="006F56EE" w:rsidRPr="00D770F2" w:rsidRDefault="006F56EE" w:rsidP="006F56EE">
      <w:pPr>
        <w:jc w:val="both"/>
        <w:rPr>
          <w:sz w:val="20"/>
          <w:lang w:val="fr-CA"/>
        </w:rPr>
      </w:pPr>
    </w:p>
    <w:p w:rsidR="001E6FC9" w:rsidRPr="00D770F2" w:rsidRDefault="001E6FC9" w:rsidP="006F56E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56EE" w:rsidRPr="00D770F2" w:rsidTr="006F56EE">
        <w:tc>
          <w:tcPr>
            <w:tcW w:w="543" w:type="pct"/>
          </w:tcPr>
          <w:p w:rsidR="006F56EE" w:rsidRPr="00D770F2" w:rsidRDefault="006F56EE" w:rsidP="006F56EE">
            <w:pPr>
              <w:jc w:val="both"/>
              <w:rPr>
                <w:sz w:val="20"/>
              </w:rPr>
            </w:pPr>
            <w:r w:rsidRPr="00D770F2">
              <w:rPr>
                <w:rStyle w:val="SCCFileNumberChar"/>
                <w:sz w:val="20"/>
                <w:szCs w:val="20"/>
              </w:rPr>
              <w:t>37794</w:t>
            </w:r>
          </w:p>
        </w:tc>
        <w:tc>
          <w:tcPr>
            <w:tcW w:w="4457" w:type="pct"/>
            <w:gridSpan w:val="3"/>
          </w:tcPr>
          <w:p w:rsidR="006F56EE" w:rsidRPr="00D770F2" w:rsidRDefault="006F56EE" w:rsidP="006F56EE">
            <w:pPr>
              <w:pStyle w:val="SCCLsocParty"/>
              <w:jc w:val="both"/>
              <w:rPr>
                <w:b/>
                <w:sz w:val="20"/>
                <w:szCs w:val="20"/>
                <w:lang w:val="en-US"/>
              </w:rPr>
            </w:pPr>
            <w:r w:rsidRPr="00D770F2">
              <w:rPr>
                <w:b/>
                <w:sz w:val="20"/>
                <w:szCs w:val="20"/>
                <w:lang w:val="en-US"/>
              </w:rPr>
              <w:t>Merchant Law Group LLP v. Attorney General of Canada on behalf of Her Majesty the Queen in Right of Canada</w:t>
            </w:r>
          </w:p>
          <w:p w:rsidR="006F56EE" w:rsidRPr="00D770F2" w:rsidRDefault="006F56EE" w:rsidP="006F56EE">
            <w:pPr>
              <w:jc w:val="both"/>
              <w:rPr>
                <w:sz w:val="20"/>
              </w:rPr>
            </w:pPr>
            <w:r w:rsidRPr="00D770F2">
              <w:rPr>
                <w:sz w:val="20"/>
              </w:rPr>
              <w:t>(Sask.) (Civil) (By Leave)</w:t>
            </w:r>
          </w:p>
        </w:tc>
      </w:tr>
      <w:tr w:rsidR="006F56EE" w:rsidRPr="00D770F2" w:rsidTr="006F56EE">
        <w:tc>
          <w:tcPr>
            <w:tcW w:w="5000" w:type="pct"/>
            <w:gridSpan w:val="4"/>
          </w:tcPr>
          <w:p w:rsidR="006F56EE" w:rsidRPr="00D770F2" w:rsidRDefault="006F56EE" w:rsidP="006F56EE">
            <w:pPr>
              <w:jc w:val="both"/>
              <w:rPr>
                <w:sz w:val="20"/>
              </w:rPr>
            </w:pPr>
            <w:r w:rsidRPr="00D770F2">
              <w:rPr>
                <w:sz w:val="20"/>
              </w:rPr>
              <w:t>Civil procedure — Estoppel — Issue estoppel — Abuse of process — Canada had concerns about law firm’s estimated fees and disbursements prior related to claims made by survivors of Indian Residential schools prior to signing of Indian Residential Schools Settlement Agreement — IRSSA contained fee agreement as a result — Canada participated in proceedings in which fee agreement was found to be fair and reasonable and to require a minimum payment without verification — Evidence leading Canada to claim fraud subsequently discovered — Whether party who suspected fraud prior to entering into agreement can seek damages in a tort if new evidence shows fraud — Whether prior proceedings raised issue estoppel — When discovery of new evidence of fraud justifies relitigation of issue foreclosed by issue estoppel or abuse of process.</w:t>
            </w:r>
          </w:p>
        </w:tc>
      </w:tr>
      <w:tr w:rsidR="006F56EE" w:rsidRPr="00D770F2" w:rsidTr="006F56EE">
        <w:tc>
          <w:tcPr>
            <w:tcW w:w="5000" w:type="pct"/>
            <w:gridSpan w:val="4"/>
          </w:tcPr>
          <w:p w:rsidR="006F56EE" w:rsidRPr="00D770F2" w:rsidRDefault="006F56EE" w:rsidP="006F56EE">
            <w:pPr>
              <w:jc w:val="both"/>
              <w:rPr>
                <w:sz w:val="20"/>
              </w:rPr>
            </w:pPr>
          </w:p>
        </w:tc>
      </w:tr>
      <w:tr w:rsidR="006F56EE" w:rsidRPr="00D770F2" w:rsidTr="006F56EE">
        <w:tc>
          <w:tcPr>
            <w:tcW w:w="5000" w:type="pct"/>
            <w:gridSpan w:val="4"/>
          </w:tcPr>
          <w:p w:rsidR="006F56EE" w:rsidRPr="00D770F2" w:rsidRDefault="006F56EE" w:rsidP="006F56EE">
            <w:pPr>
              <w:jc w:val="both"/>
              <w:rPr>
                <w:sz w:val="20"/>
              </w:rPr>
            </w:pPr>
            <w:r w:rsidRPr="00D770F2">
              <w:rPr>
                <w:sz w:val="20"/>
              </w:rPr>
              <w:t xml:space="preserve">Prior to the signing of the Indian Residential Schools Settlement Agreement (“IRSSA”), Merchant Law Group (“MLG”) initiated actions against Canada on behalf of Indian Residential School survivors on both an individual and a class basis. While the settlement of those actions was being negotiated, Canada’s representative developed serious concerns about the outstanding fees and disbursements and the number of retainers MLG claimed. As a result, he required that a process for verifying the claimed fees and disbursements be included in the IRSSA, which was signed in May 2006 included an agreement that Canada would pay MLG no less than $25 million, and no more than $40 million in legal fees and disbursements for legal work done in advancing Indian Residential School claims from 1997-2005: Art. 13.08(2). The IRSSA was approved in </w:t>
            </w:r>
            <w:r w:rsidRPr="00D770F2">
              <w:rPr>
                <w:i/>
                <w:sz w:val="20"/>
              </w:rPr>
              <w:t>Sparvier v. Canada (Attorney General)</w:t>
            </w:r>
            <w:r w:rsidRPr="00D770F2">
              <w:rPr>
                <w:sz w:val="20"/>
              </w:rPr>
              <w:t xml:space="preserve">, 2006 SKQB 533. When Canada appealed a portion of that decision, MLG’s fees were found to be “reasonable”: </w:t>
            </w:r>
            <w:r w:rsidRPr="00D770F2">
              <w:rPr>
                <w:i/>
                <w:sz w:val="20"/>
              </w:rPr>
              <w:t>Canada (Attorney General) v. Sparvier</w:t>
            </w:r>
            <w:r w:rsidRPr="00D770F2">
              <w:rPr>
                <w:sz w:val="20"/>
              </w:rPr>
              <w:t xml:space="preserve">, 2007 SKCA 37. In </w:t>
            </w:r>
            <w:r w:rsidRPr="00D770F2">
              <w:rPr>
                <w:i/>
                <w:sz w:val="20"/>
              </w:rPr>
              <w:t>Fontaine v. Canada (Attorney General)</w:t>
            </w:r>
            <w:r w:rsidRPr="00D770F2">
              <w:rPr>
                <w:sz w:val="20"/>
              </w:rPr>
              <w:t>, 2008 SKQB 271, it was determined that MLG was entitled to $25 million in fees without verification, and Canada was ordered to pay that amount to MLG and to complete the verification process.</w:t>
            </w:r>
          </w:p>
          <w:p w:rsidR="006F56EE" w:rsidRPr="00D770F2" w:rsidRDefault="006F56EE" w:rsidP="006F56EE">
            <w:pPr>
              <w:jc w:val="both"/>
              <w:rPr>
                <w:sz w:val="20"/>
              </w:rPr>
            </w:pPr>
          </w:p>
          <w:p w:rsidR="006F56EE" w:rsidRPr="00D770F2" w:rsidRDefault="006F56EE" w:rsidP="006F56EE">
            <w:pPr>
              <w:jc w:val="both"/>
              <w:rPr>
                <w:sz w:val="20"/>
              </w:rPr>
            </w:pPr>
            <w:r w:rsidRPr="00D770F2">
              <w:rPr>
                <w:sz w:val="20"/>
              </w:rPr>
              <w:t>Once MLG had provided the last of its billing records and retainer agreements, a review indicated that the records contained illegitimate time entries and excessive disbursements. In 2015, Canada launched a fraud action against MLG claiming damages for fraud, deceit and fraudulent misrepresentation. MLG applied to strike the statement of claim for disclosing no reasonable cause of action, and for being scandalous, vexatious and an abuse of process. The chambers judge struck the statement of claim in its entirety; the Court of Appeal allowed an appeal and set the chambers judge’s order aside.</w:t>
            </w:r>
          </w:p>
          <w:p w:rsidR="006F56EE" w:rsidRPr="00D770F2" w:rsidRDefault="006F56EE" w:rsidP="006F56EE">
            <w:pPr>
              <w:jc w:val="both"/>
              <w:rPr>
                <w:sz w:val="20"/>
              </w:rPr>
            </w:pPr>
          </w:p>
        </w:tc>
      </w:tr>
      <w:tr w:rsidR="006F56EE" w:rsidRPr="00D770F2" w:rsidTr="006F56EE">
        <w:tc>
          <w:tcPr>
            <w:tcW w:w="2427" w:type="pct"/>
            <w:gridSpan w:val="2"/>
          </w:tcPr>
          <w:p w:rsidR="006F56EE" w:rsidRPr="00D770F2" w:rsidRDefault="006F56EE" w:rsidP="006F56EE">
            <w:pPr>
              <w:jc w:val="both"/>
              <w:rPr>
                <w:sz w:val="20"/>
              </w:rPr>
            </w:pPr>
            <w:r w:rsidRPr="00D770F2">
              <w:rPr>
                <w:sz w:val="20"/>
              </w:rPr>
              <w:t>January 20, 2016</w:t>
            </w:r>
          </w:p>
          <w:p w:rsidR="006F56EE" w:rsidRPr="00D770F2" w:rsidRDefault="006F56EE" w:rsidP="006F56EE">
            <w:pPr>
              <w:jc w:val="both"/>
              <w:rPr>
                <w:sz w:val="20"/>
              </w:rPr>
            </w:pPr>
            <w:r w:rsidRPr="00D770F2">
              <w:rPr>
                <w:sz w:val="20"/>
              </w:rPr>
              <w:t>Court of Queen’s Bench of Saskatchewan</w:t>
            </w:r>
          </w:p>
          <w:p w:rsidR="006F56EE" w:rsidRPr="00D770F2" w:rsidRDefault="006F56EE" w:rsidP="006F56EE">
            <w:pPr>
              <w:jc w:val="both"/>
              <w:rPr>
                <w:sz w:val="20"/>
              </w:rPr>
            </w:pPr>
            <w:r w:rsidRPr="00D770F2">
              <w:rPr>
                <w:sz w:val="20"/>
              </w:rPr>
              <w:t>(Barrington-Foote J.)</w:t>
            </w:r>
          </w:p>
          <w:p w:rsidR="006F56EE" w:rsidRPr="00D770F2" w:rsidRDefault="009479D6" w:rsidP="006F56EE">
            <w:pPr>
              <w:jc w:val="both"/>
              <w:rPr>
                <w:sz w:val="20"/>
              </w:rPr>
            </w:pPr>
            <w:hyperlink r:id="rId74" w:history="1">
              <w:r w:rsidR="006F56EE" w:rsidRPr="00D770F2">
                <w:rPr>
                  <w:rStyle w:val="Hyperlink"/>
                  <w:sz w:val="20"/>
                </w:rPr>
                <w:t>2016 SKQB 25</w:t>
              </w:r>
            </w:hyperlink>
          </w:p>
          <w:p w:rsidR="006F56EE" w:rsidRPr="00D770F2" w:rsidRDefault="006F56EE" w:rsidP="006F56EE">
            <w:pPr>
              <w:jc w:val="both"/>
              <w:rPr>
                <w:sz w:val="20"/>
              </w:rPr>
            </w:pPr>
          </w:p>
        </w:tc>
        <w:tc>
          <w:tcPr>
            <w:tcW w:w="243" w:type="pct"/>
          </w:tcPr>
          <w:p w:rsidR="006F56EE" w:rsidRPr="00D770F2" w:rsidRDefault="006F56EE" w:rsidP="006F56EE">
            <w:pPr>
              <w:jc w:val="both"/>
              <w:rPr>
                <w:sz w:val="20"/>
              </w:rPr>
            </w:pPr>
          </w:p>
        </w:tc>
        <w:tc>
          <w:tcPr>
            <w:tcW w:w="2330" w:type="pct"/>
          </w:tcPr>
          <w:p w:rsidR="006F56EE" w:rsidRPr="00D770F2" w:rsidRDefault="006F56EE" w:rsidP="006F56EE">
            <w:pPr>
              <w:jc w:val="both"/>
              <w:rPr>
                <w:sz w:val="20"/>
              </w:rPr>
            </w:pPr>
            <w:r w:rsidRPr="00D770F2">
              <w:rPr>
                <w:sz w:val="20"/>
              </w:rPr>
              <w:t>Statement of claim struck in its entirety</w:t>
            </w:r>
          </w:p>
          <w:p w:rsidR="006F56EE" w:rsidRPr="00D770F2" w:rsidRDefault="006F56EE" w:rsidP="006F56EE">
            <w:pPr>
              <w:jc w:val="both"/>
              <w:rPr>
                <w:sz w:val="20"/>
              </w:rPr>
            </w:pPr>
          </w:p>
        </w:tc>
      </w:tr>
      <w:tr w:rsidR="006F56EE" w:rsidRPr="00D770F2" w:rsidTr="006F56EE">
        <w:tc>
          <w:tcPr>
            <w:tcW w:w="2427" w:type="pct"/>
            <w:gridSpan w:val="2"/>
          </w:tcPr>
          <w:p w:rsidR="006F56EE" w:rsidRPr="00D770F2" w:rsidRDefault="006F56EE" w:rsidP="006F56EE">
            <w:pPr>
              <w:jc w:val="both"/>
              <w:rPr>
                <w:sz w:val="20"/>
              </w:rPr>
            </w:pPr>
            <w:r w:rsidRPr="00D770F2">
              <w:rPr>
                <w:sz w:val="20"/>
              </w:rPr>
              <w:t>August 9, 2017</w:t>
            </w:r>
          </w:p>
          <w:p w:rsidR="006F56EE" w:rsidRPr="00D770F2" w:rsidRDefault="006F56EE" w:rsidP="006F56EE">
            <w:pPr>
              <w:jc w:val="both"/>
              <w:rPr>
                <w:sz w:val="20"/>
              </w:rPr>
            </w:pPr>
            <w:r w:rsidRPr="00D770F2">
              <w:rPr>
                <w:sz w:val="20"/>
              </w:rPr>
              <w:t>Court of Appeal for Saskatchewan</w:t>
            </w:r>
          </w:p>
          <w:p w:rsidR="006F56EE" w:rsidRPr="00D770F2" w:rsidRDefault="006F56EE" w:rsidP="006F56EE">
            <w:pPr>
              <w:jc w:val="both"/>
              <w:rPr>
                <w:sz w:val="20"/>
              </w:rPr>
            </w:pPr>
            <w:r w:rsidRPr="00D770F2">
              <w:rPr>
                <w:sz w:val="20"/>
              </w:rPr>
              <w:t>(Ryan-</w:t>
            </w:r>
            <w:proofErr w:type="spellStart"/>
            <w:r w:rsidRPr="00D770F2">
              <w:rPr>
                <w:sz w:val="20"/>
              </w:rPr>
              <w:t>Froslie</w:t>
            </w:r>
            <w:proofErr w:type="spellEnd"/>
            <w:r w:rsidRPr="00D770F2">
              <w:rPr>
                <w:sz w:val="20"/>
              </w:rPr>
              <w:t xml:space="preserve">, </w:t>
            </w:r>
            <w:proofErr w:type="spellStart"/>
            <w:r w:rsidRPr="00D770F2">
              <w:rPr>
                <w:sz w:val="20"/>
              </w:rPr>
              <w:t>Ottenbreit</w:t>
            </w:r>
            <w:proofErr w:type="spellEnd"/>
            <w:r w:rsidRPr="00D770F2">
              <w:rPr>
                <w:sz w:val="20"/>
              </w:rPr>
              <w:t>, Whitmore JJ.A.)</w:t>
            </w:r>
          </w:p>
          <w:p w:rsidR="006F56EE" w:rsidRPr="00D770F2" w:rsidRDefault="009479D6" w:rsidP="006F56EE">
            <w:pPr>
              <w:jc w:val="both"/>
              <w:rPr>
                <w:sz w:val="20"/>
              </w:rPr>
            </w:pPr>
            <w:hyperlink r:id="rId75" w:history="1">
              <w:r w:rsidR="006F56EE" w:rsidRPr="00D770F2">
                <w:rPr>
                  <w:rStyle w:val="Hyperlink"/>
                  <w:sz w:val="20"/>
                </w:rPr>
                <w:t>2017 SKCA 62</w:t>
              </w:r>
            </w:hyperlink>
          </w:p>
          <w:p w:rsidR="006F56EE" w:rsidRPr="00D770F2" w:rsidRDefault="006F56EE" w:rsidP="006F56EE">
            <w:pPr>
              <w:jc w:val="both"/>
              <w:rPr>
                <w:sz w:val="20"/>
              </w:rPr>
            </w:pPr>
          </w:p>
        </w:tc>
        <w:tc>
          <w:tcPr>
            <w:tcW w:w="243" w:type="pct"/>
          </w:tcPr>
          <w:p w:rsidR="006F56EE" w:rsidRPr="00D770F2" w:rsidRDefault="006F56EE" w:rsidP="006F56EE">
            <w:pPr>
              <w:jc w:val="both"/>
              <w:rPr>
                <w:sz w:val="20"/>
              </w:rPr>
            </w:pPr>
          </w:p>
        </w:tc>
        <w:tc>
          <w:tcPr>
            <w:tcW w:w="2330" w:type="pct"/>
          </w:tcPr>
          <w:p w:rsidR="006F56EE" w:rsidRPr="00D770F2" w:rsidRDefault="006F56EE" w:rsidP="006F56EE">
            <w:pPr>
              <w:jc w:val="both"/>
              <w:rPr>
                <w:sz w:val="20"/>
              </w:rPr>
            </w:pPr>
            <w:r w:rsidRPr="00D770F2">
              <w:rPr>
                <w:sz w:val="20"/>
              </w:rPr>
              <w:t>Appeal allowed and judgment below set aside</w:t>
            </w:r>
          </w:p>
        </w:tc>
      </w:tr>
      <w:tr w:rsidR="006F56EE" w:rsidRPr="00D770F2" w:rsidTr="006F56EE">
        <w:tc>
          <w:tcPr>
            <w:tcW w:w="2427" w:type="pct"/>
            <w:gridSpan w:val="2"/>
          </w:tcPr>
          <w:p w:rsidR="006F56EE" w:rsidRPr="00D770F2" w:rsidRDefault="006F56EE" w:rsidP="006F56EE">
            <w:pPr>
              <w:jc w:val="both"/>
              <w:rPr>
                <w:sz w:val="20"/>
              </w:rPr>
            </w:pPr>
            <w:r w:rsidRPr="00D770F2">
              <w:rPr>
                <w:sz w:val="20"/>
              </w:rPr>
              <w:t>October 10, 2017</w:t>
            </w:r>
          </w:p>
          <w:p w:rsidR="006F56EE" w:rsidRPr="00D770F2" w:rsidRDefault="006F56EE" w:rsidP="006F56EE">
            <w:pPr>
              <w:jc w:val="both"/>
              <w:rPr>
                <w:sz w:val="20"/>
              </w:rPr>
            </w:pPr>
            <w:r w:rsidRPr="00D770F2">
              <w:rPr>
                <w:sz w:val="20"/>
              </w:rPr>
              <w:t>Supreme Court of Canada</w:t>
            </w:r>
          </w:p>
        </w:tc>
        <w:tc>
          <w:tcPr>
            <w:tcW w:w="243" w:type="pct"/>
          </w:tcPr>
          <w:p w:rsidR="006F56EE" w:rsidRPr="00D770F2" w:rsidRDefault="006F56EE" w:rsidP="006F56EE">
            <w:pPr>
              <w:jc w:val="both"/>
              <w:rPr>
                <w:sz w:val="20"/>
              </w:rPr>
            </w:pPr>
          </w:p>
        </w:tc>
        <w:tc>
          <w:tcPr>
            <w:tcW w:w="2330" w:type="pct"/>
          </w:tcPr>
          <w:p w:rsidR="006F56EE" w:rsidRPr="00D770F2" w:rsidRDefault="006F56EE" w:rsidP="006F56EE">
            <w:pPr>
              <w:jc w:val="both"/>
              <w:rPr>
                <w:sz w:val="20"/>
              </w:rPr>
            </w:pPr>
            <w:r w:rsidRPr="00D770F2">
              <w:rPr>
                <w:sz w:val="20"/>
              </w:rPr>
              <w:t>Application for leave to appeal filed</w:t>
            </w:r>
          </w:p>
          <w:p w:rsidR="006F56EE" w:rsidRPr="00D770F2" w:rsidRDefault="006F56EE" w:rsidP="006F56EE">
            <w:pPr>
              <w:jc w:val="both"/>
              <w:rPr>
                <w:sz w:val="20"/>
              </w:rPr>
            </w:pPr>
          </w:p>
        </w:tc>
      </w:tr>
    </w:tbl>
    <w:p w:rsidR="006F56EE" w:rsidRPr="00D770F2" w:rsidRDefault="006F56EE" w:rsidP="006F56EE">
      <w:pPr>
        <w:jc w:val="both"/>
        <w:rPr>
          <w:sz w:val="20"/>
        </w:rPr>
      </w:pPr>
    </w:p>
    <w:p w:rsidR="00EA7D94" w:rsidRPr="00D770F2" w:rsidRDefault="00EA7D94" w:rsidP="006F56E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56EE" w:rsidRPr="00D770F2" w:rsidTr="006F56EE">
        <w:tc>
          <w:tcPr>
            <w:tcW w:w="543" w:type="pct"/>
          </w:tcPr>
          <w:p w:rsidR="006F56EE" w:rsidRPr="00D770F2" w:rsidRDefault="006F56EE" w:rsidP="006F56EE">
            <w:pPr>
              <w:jc w:val="both"/>
              <w:rPr>
                <w:sz w:val="20"/>
                <w:lang w:val="fr-CA"/>
              </w:rPr>
            </w:pPr>
            <w:r w:rsidRPr="00D770F2">
              <w:rPr>
                <w:rStyle w:val="SCCFileNumberChar"/>
                <w:sz w:val="20"/>
                <w:szCs w:val="20"/>
                <w:lang w:val="fr-CA"/>
              </w:rPr>
              <w:t>37794</w:t>
            </w:r>
          </w:p>
        </w:tc>
        <w:tc>
          <w:tcPr>
            <w:tcW w:w="4457" w:type="pct"/>
            <w:gridSpan w:val="3"/>
          </w:tcPr>
          <w:p w:rsidR="006F56EE" w:rsidRPr="00D770F2" w:rsidRDefault="006F56EE" w:rsidP="006F56EE">
            <w:pPr>
              <w:pStyle w:val="SCCLsocParty"/>
              <w:jc w:val="both"/>
              <w:rPr>
                <w:b/>
                <w:sz w:val="20"/>
                <w:szCs w:val="20"/>
              </w:rPr>
            </w:pPr>
            <w:r w:rsidRPr="00D770F2">
              <w:rPr>
                <w:b/>
                <w:sz w:val="20"/>
                <w:szCs w:val="20"/>
              </w:rPr>
              <w:t>Merchant Law Group LLP c. Procureur général du Canada au nom de Sa Majesté la Reine du chef du Canada</w:t>
            </w:r>
          </w:p>
          <w:p w:rsidR="006F56EE" w:rsidRPr="00D770F2" w:rsidRDefault="006F56EE" w:rsidP="006F56EE">
            <w:pPr>
              <w:jc w:val="both"/>
              <w:rPr>
                <w:sz w:val="20"/>
                <w:lang w:val="fr-CA"/>
              </w:rPr>
            </w:pPr>
            <w:r w:rsidRPr="00D770F2">
              <w:rPr>
                <w:sz w:val="20"/>
                <w:lang w:val="fr-CA"/>
              </w:rPr>
              <w:t>(Sask.) (Civile) (Sur autorisation)</w:t>
            </w:r>
          </w:p>
        </w:tc>
      </w:tr>
      <w:tr w:rsidR="006F56EE" w:rsidRPr="0030635C" w:rsidTr="006F56EE">
        <w:tc>
          <w:tcPr>
            <w:tcW w:w="5000" w:type="pct"/>
            <w:gridSpan w:val="4"/>
          </w:tcPr>
          <w:p w:rsidR="006F56EE" w:rsidRPr="00D770F2" w:rsidRDefault="006F56EE" w:rsidP="006F56EE">
            <w:pPr>
              <w:jc w:val="both"/>
              <w:rPr>
                <w:sz w:val="20"/>
                <w:lang w:val="fr-CA"/>
              </w:rPr>
            </w:pPr>
            <w:r w:rsidRPr="00D770F2">
              <w:rPr>
                <w:sz w:val="20"/>
                <w:lang w:val="fr-CA"/>
              </w:rPr>
              <w:t>Procédure civile — Préclusion — Préclusion découlant d’une question déjà tranchée — Abus de procédure — Le Canada avait des préoccupations portant sur les honoraires et débours estimatifs que demandait un cabinet d’avocats en lien avec des demandes présentées par des survivants de pensionnats indiens avant la signature de la Convention de règlement relative aux pensionnats indiens — La CRRPI renfermait une convention d’honoraires en conséquence — Le Canada a participé à une instance dans laquelle il a été jugé que la convention d’honoraires était juste et raisonnable et exigeait un paiement minimal sans vérification — Des éléments de preuve qui ont amené le Canada à alléguer la fraude ont été découverts subséquemment — Une partie qui soupçonnait une fraude avant la conclusion d’une entente peut-elle demander des dommages-intérêts en responsabilité délictuelle si de nouveaux éléments de preuve montrent qu’il y a eu fraude? — L’instance antérieure a-t-elle soulevé la préclusion découlant d’une question déjà tranchée? — Situations où la découverte de nouveaux éléments de preuve de fraude justifie la remise en cause d’une question exclue par la préclusion découlant d’une question déjà tranchée ou le principe d’abus de procédure?</w:t>
            </w:r>
          </w:p>
        </w:tc>
      </w:tr>
      <w:tr w:rsidR="006F56EE" w:rsidRPr="0030635C" w:rsidTr="006F56EE">
        <w:tc>
          <w:tcPr>
            <w:tcW w:w="5000" w:type="pct"/>
            <w:gridSpan w:val="4"/>
          </w:tcPr>
          <w:p w:rsidR="006F56EE" w:rsidRPr="00D770F2" w:rsidRDefault="006F56EE" w:rsidP="006F56EE">
            <w:pPr>
              <w:jc w:val="both"/>
              <w:rPr>
                <w:sz w:val="20"/>
                <w:lang w:val="fr-CA"/>
              </w:rPr>
            </w:pPr>
          </w:p>
        </w:tc>
      </w:tr>
      <w:tr w:rsidR="006F56EE" w:rsidRPr="0030635C" w:rsidTr="006F56EE">
        <w:tc>
          <w:tcPr>
            <w:tcW w:w="5000" w:type="pct"/>
            <w:gridSpan w:val="4"/>
          </w:tcPr>
          <w:p w:rsidR="006F56EE" w:rsidRPr="00D770F2" w:rsidRDefault="006F56EE" w:rsidP="006F56EE">
            <w:pPr>
              <w:jc w:val="both"/>
              <w:rPr>
                <w:sz w:val="20"/>
                <w:lang w:val="fr-CA"/>
              </w:rPr>
            </w:pPr>
            <w:r w:rsidRPr="00D770F2">
              <w:rPr>
                <w:sz w:val="20"/>
                <w:lang w:val="fr-CA"/>
              </w:rPr>
              <w:t xml:space="preserve">Avant la signature de la Convention de règlement relative aux pensionnats indiens (« CRRPI »), le cabinet d’avocats Merchant Law Group (« MLG ») avait intenté des actions contre le Canada au nom des survivants des pensionnats indiens, à titre individuel et comme groupe. Pendant les négociations sur le règlement de ces actions, le représentant du Canada a commencé à avoir de sérieuses préoccupations à propos des honoraires et débours impayés et du nombre de mandats que MLG alléguait. En conséquence, il a exigé qu’un processus de vérification des honoraires et débours réclamés soit inclus dans la CRRPI, qui a été signée en mai 2006 et qui comprenait une entente selon laquelle le Canada payerait à MLG au moins 25 $ millions, et au plus 40 $ millions en honoraires et débours d’avocats pour le travail juridique effectué pour faire valoir les demandes en lien avec les pensionnats indiens de 1997 à 2005 : art. 13.08(2). La CRRPI a été approuvée dans l’arrêt </w:t>
            </w:r>
            <w:r w:rsidRPr="00D770F2">
              <w:rPr>
                <w:i/>
                <w:sz w:val="20"/>
                <w:lang w:val="fr-CA"/>
              </w:rPr>
              <w:t>Sparvier c. Canada (Attorney General)</w:t>
            </w:r>
            <w:r w:rsidRPr="00D770F2">
              <w:rPr>
                <w:sz w:val="20"/>
                <w:lang w:val="fr-CA"/>
              </w:rPr>
              <w:t xml:space="preserve">, 2006 SKQB 533. Lorsque le Canada a porté une partie de ce jugement en appel, les honoraires de MLG ont été jugés « raisonnables » : </w:t>
            </w:r>
            <w:r w:rsidRPr="00D770F2">
              <w:rPr>
                <w:i/>
                <w:sz w:val="20"/>
                <w:lang w:val="fr-CA"/>
              </w:rPr>
              <w:t>Canada (Attorney General) c. Sparvier</w:t>
            </w:r>
            <w:r w:rsidRPr="00D770F2">
              <w:rPr>
                <w:sz w:val="20"/>
                <w:lang w:val="fr-CA"/>
              </w:rPr>
              <w:t xml:space="preserve">, 2007 SKCA 37. Dans </w:t>
            </w:r>
            <w:r w:rsidRPr="00D770F2">
              <w:rPr>
                <w:i/>
                <w:sz w:val="20"/>
                <w:lang w:val="fr-CA"/>
              </w:rPr>
              <w:t>Fontaine c. Canada (Attorney General)</w:t>
            </w:r>
            <w:r w:rsidRPr="00D770F2">
              <w:rPr>
                <w:sz w:val="20"/>
                <w:lang w:val="fr-CA"/>
              </w:rPr>
              <w:t>, 2008 SKQB 271, il a été jugé que MLG avait droit à des honoraires de 25 $ millions sans vérification, et le Canada a été sommé de payer ce montant à MLG et de compléter le processus de vérification.</w:t>
            </w:r>
          </w:p>
          <w:p w:rsidR="006F56EE" w:rsidRPr="00D770F2" w:rsidRDefault="006F56EE" w:rsidP="006F56EE">
            <w:pPr>
              <w:jc w:val="both"/>
              <w:rPr>
                <w:sz w:val="20"/>
                <w:lang w:val="fr-CA"/>
              </w:rPr>
            </w:pPr>
          </w:p>
          <w:p w:rsidR="006F56EE" w:rsidRPr="00D770F2" w:rsidRDefault="006F56EE" w:rsidP="006F56EE">
            <w:pPr>
              <w:jc w:val="both"/>
              <w:rPr>
                <w:sz w:val="20"/>
                <w:lang w:val="fr-CA"/>
              </w:rPr>
            </w:pPr>
            <w:r w:rsidRPr="00D770F2">
              <w:rPr>
                <w:sz w:val="20"/>
                <w:lang w:val="fr-CA"/>
              </w:rPr>
              <w:t>Lorsque MLG a fourni le dernier de ses relevés de facturation et conventions de mandat, un examen a révélé que les relevés renfermaient des inscriptions de temps illégitimes et des débours excessifs. En 2015, Canada a intenté une action pour fraude contre MLG, réclamant des dommages-intérêts pour fraude, dol et déclaration inexacte et frauduleuse. MLG a demandé que la déclaration soit radiée parce qu’elle ne révélait aucune cause raisonnable d’action et parce qu’elle était scandaleuse, vexatoire et un abus de procédure. Le juge en cabinet a radié la déclaration au complet; la Cour d’appel a accueilli l’appel et annulé l</w:t>
            </w:r>
            <w:r w:rsidR="00EA7D94" w:rsidRPr="00D770F2">
              <w:rPr>
                <w:sz w:val="20"/>
                <w:lang w:val="fr-CA"/>
              </w:rPr>
              <w:t>’ordonnance du juge en cabinet.</w:t>
            </w:r>
          </w:p>
          <w:p w:rsidR="006F56EE" w:rsidRPr="00D770F2" w:rsidRDefault="006F56EE" w:rsidP="006F56EE">
            <w:pPr>
              <w:jc w:val="both"/>
              <w:rPr>
                <w:sz w:val="20"/>
                <w:lang w:val="fr-CA"/>
              </w:rPr>
            </w:pPr>
          </w:p>
        </w:tc>
      </w:tr>
      <w:tr w:rsidR="006F56EE" w:rsidRPr="0030635C" w:rsidTr="006F56EE">
        <w:tc>
          <w:tcPr>
            <w:tcW w:w="2427" w:type="pct"/>
            <w:gridSpan w:val="2"/>
          </w:tcPr>
          <w:p w:rsidR="006F56EE" w:rsidRPr="00D770F2" w:rsidRDefault="006F56EE" w:rsidP="006F56EE">
            <w:pPr>
              <w:jc w:val="both"/>
              <w:rPr>
                <w:sz w:val="20"/>
                <w:lang w:val="fr-CA"/>
              </w:rPr>
            </w:pPr>
            <w:r w:rsidRPr="00D770F2">
              <w:rPr>
                <w:sz w:val="20"/>
                <w:lang w:val="fr-CA"/>
              </w:rPr>
              <w:t>20 janvier 2016</w:t>
            </w:r>
          </w:p>
          <w:p w:rsidR="006F56EE" w:rsidRPr="00D770F2" w:rsidRDefault="006F56EE" w:rsidP="006F56EE">
            <w:pPr>
              <w:jc w:val="both"/>
              <w:rPr>
                <w:sz w:val="20"/>
                <w:lang w:val="fr-CA"/>
              </w:rPr>
            </w:pPr>
            <w:r w:rsidRPr="00D770F2">
              <w:rPr>
                <w:sz w:val="20"/>
                <w:lang w:val="fr-CA"/>
              </w:rPr>
              <w:t>Cour du Banc de la Reine de la Saskatchewan</w:t>
            </w:r>
          </w:p>
          <w:p w:rsidR="006F56EE" w:rsidRPr="00D770F2" w:rsidRDefault="006F56EE" w:rsidP="006F56EE">
            <w:pPr>
              <w:jc w:val="both"/>
              <w:rPr>
                <w:sz w:val="20"/>
                <w:lang w:val="fr-CA"/>
              </w:rPr>
            </w:pPr>
            <w:r w:rsidRPr="00D770F2">
              <w:rPr>
                <w:sz w:val="20"/>
                <w:lang w:val="fr-CA"/>
              </w:rPr>
              <w:t>(Juge Barrington-Foote)</w:t>
            </w:r>
          </w:p>
          <w:p w:rsidR="006F56EE" w:rsidRPr="00D770F2" w:rsidRDefault="009479D6" w:rsidP="006F56EE">
            <w:pPr>
              <w:jc w:val="both"/>
              <w:rPr>
                <w:sz w:val="20"/>
                <w:lang w:val="fr-CA"/>
              </w:rPr>
            </w:pPr>
            <w:hyperlink r:id="rId76" w:history="1">
              <w:r w:rsidR="006F56EE" w:rsidRPr="00D770F2">
                <w:rPr>
                  <w:rStyle w:val="Hyperlink"/>
                  <w:sz w:val="20"/>
                  <w:lang w:val="fr-CA"/>
                </w:rPr>
                <w:t>2016 SKQB 25</w:t>
              </w:r>
            </w:hyperlink>
          </w:p>
          <w:p w:rsidR="006F56EE" w:rsidRPr="00D770F2" w:rsidRDefault="006F56EE" w:rsidP="006F56EE">
            <w:pPr>
              <w:jc w:val="both"/>
              <w:rPr>
                <w:sz w:val="20"/>
                <w:lang w:val="fr-CA"/>
              </w:rPr>
            </w:pPr>
          </w:p>
        </w:tc>
        <w:tc>
          <w:tcPr>
            <w:tcW w:w="243" w:type="pct"/>
          </w:tcPr>
          <w:p w:rsidR="006F56EE" w:rsidRPr="00D770F2" w:rsidRDefault="006F56EE" w:rsidP="006F56EE">
            <w:pPr>
              <w:jc w:val="both"/>
              <w:rPr>
                <w:sz w:val="20"/>
                <w:lang w:val="fr-CA"/>
              </w:rPr>
            </w:pPr>
          </w:p>
        </w:tc>
        <w:tc>
          <w:tcPr>
            <w:tcW w:w="2330" w:type="pct"/>
          </w:tcPr>
          <w:p w:rsidR="006F56EE" w:rsidRPr="00D770F2" w:rsidRDefault="006F56EE" w:rsidP="006F56EE">
            <w:pPr>
              <w:jc w:val="both"/>
              <w:rPr>
                <w:sz w:val="20"/>
                <w:lang w:val="fr-CA"/>
              </w:rPr>
            </w:pPr>
            <w:r w:rsidRPr="00D770F2">
              <w:rPr>
                <w:sz w:val="20"/>
                <w:lang w:val="fr-CA"/>
              </w:rPr>
              <w:t>Radiation de la déclaration au complet</w:t>
            </w:r>
          </w:p>
          <w:p w:rsidR="006F56EE" w:rsidRPr="00D770F2" w:rsidRDefault="006F56EE" w:rsidP="006F56EE">
            <w:pPr>
              <w:jc w:val="both"/>
              <w:rPr>
                <w:sz w:val="20"/>
                <w:lang w:val="fr-CA"/>
              </w:rPr>
            </w:pPr>
          </w:p>
        </w:tc>
      </w:tr>
      <w:tr w:rsidR="006F56EE" w:rsidRPr="0030635C" w:rsidTr="006F56EE">
        <w:tc>
          <w:tcPr>
            <w:tcW w:w="2427" w:type="pct"/>
            <w:gridSpan w:val="2"/>
          </w:tcPr>
          <w:p w:rsidR="006F56EE" w:rsidRPr="00D770F2" w:rsidRDefault="006F56EE" w:rsidP="006F56EE">
            <w:pPr>
              <w:jc w:val="both"/>
              <w:rPr>
                <w:sz w:val="20"/>
                <w:lang w:val="fr-CA"/>
              </w:rPr>
            </w:pPr>
            <w:r w:rsidRPr="00D770F2">
              <w:rPr>
                <w:sz w:val="20"/>
                <w:lang w:val="fr-CA"/>
              </w:rPr>
              <w:t>9 août 2017</w:t>
            </w:r>
          </w:p>
          <w:p w:rsidR="006F56EE" w:rsidRPr="00D770F2" w:rsidRDefault="006F56EE" w:rsidP="006F56EE">
            <w:pPr>
              <w:jc w:val="both"/>
              <w:rPr>
                <w:sz w:val="20"/>
                <w:lang w:val="fr-CA"/>
              </w:rPr>
            </w:pPr>
            <w:r w:rsidRPr="00D770F2">
              <w:rPr>
                <w:sz w:val="20"/>
                <w:lang w:val="fr-CA"/>
              </w:rPr>
              <w:t>Cour d’appel de la Saskatchewan</w:t>
            </w:r>
          </w:p>
          <w:p w:rsidR="006F56EE" w:rsidRPr="00D770F2" w:rsidRDefault="006F56EE" w:rsidP="006F56EE">
            <w:pPr>
              <w:jc w:val="both"/>
              <w:rPr>
                <w:sz w:val="20"/>
                <w:lang w:val="fr-CA"/>
              </w:rPr>
            </w:pPr>
            <w:r w:rsidRPr="00D770F2">
              <w:rPr>
                <w:sz w:val="20"/>
                <w:lang w:val="fr-CA"/>
              </w:rPr>
              <w:t>(Juges Ryan-</w:t>
            </w:r>
            <w:proofErr w:type="spellStart"/>
            <w:r w:rsidRPr="00D770F2">
              <w:rPr>
                <w:sz w:val="20"/>
                <w:lang w:val="fr-CA"/>
              </w:rPr>
              <w:t>Froslie</w:t>
            </w:r>
            <w:proofErr w:type="spellEnd"/>
            <w:r w:rsidRPr="00D770F2">
              <w:rPr>
                <w:sz w:val="20"/>
                <w:lang w:val="fr-CA"/>
              </w:rPr>
              <w:t xml:space="preserve">, </w:t>
            </w:r>
            <w:proofErr w:type="spellStart"/>
            <w:r w:rsidRPr="00D770F2">
              <w:rPr>
                <w:sz w:val="20"/>
                <w:lang w:val="fr-CA"/>
              </w:rPr>
              <w:t>Ottenbreit</w:t>
            </w:r>
            <w:proofErr w:type="spellEnd"/>
            <w:r w:rsidRPr="00D770F2">
              <w:rPr>
                <w:sz w:val="20"/>
                <w:lang w:val="fr-CA"/>
              </w:rPr>
              <w:t xml:space="preserve"> et </w:t>
            </w:r>
            <w:proofErr w:type="spellStart"/>
            <w:r w:rsidRPr="00D770F2">
              <w:rPr>
                <w:sz w:val="20"/>
                <w:lang w:val="fr-CA"/>
              </w:rPr>
              <w:t>Whitmore</w:t>
            </w:r>
            <w:proofErr w:type="spellEnd"/>
            <w:r w:rsidRPr="00D770F2">
              <w:rPr>
                <w:sz w:val="20"/>
                <w:lang w:val="fr-CA"/>
              </w:rPr>
              <w:t>)</w:t>
            </w:r>
          </w:p>
          <w:p w:rsidR="006F56EE" w:rsidRPr="00D770F2" w:rsidRDefault="009479D6" w:rsidP="006F56EE">
            <w:pPr>
              <w:jc w:val="both"/>
              <w:rPr>
                <w:sz w:val="20"/>
                <w:lang w:val="fr-CA"/>
              </w:rPr>
            </w:pPr>
            <w:hyperlink r:id="rId77" w:history="1">
              <w:r w:rsidR="006F56EE" w:rsidRPr="00D770F2">
                <w:rPr>
                  <w:rStyle w:val="Hyperlink"/>
                  <w:sz w:val="20"/>
                  <w:lang w:val="fr-CA"/>
                </w:rPr>
                <w:t>2017 SKCA 62</w:t>
              </w:r>
            </w:hyperlink>
          </w:p>
          <w:p w:rsidR="006F56EE" w:rsidRPr="00D770F2" w:rsidRDefault="006F56EE" w:rsidP="006F56EE">
            <w:pPr>
              <w:jc w:val="both"/>
              <w:rPr>
                <w:sz w:val="20"/>
                <w:lang w:val="fr-CA"/>
              </w:rPr>
            </w:pPr>
          </w:p>
        </w:tc>
        <w:tc>
          <w:tcPr>
            <w:tcW w:w="243" w:type="pct"/>
          </w:tcPr>
          <w:p w:rsidR="006F56EE" w:rsidRPr="00D770F2" w:rsidRDefault="006F56EE" w:rsidP="006F56EE">
            <w:pPr>
              <w:jc w:val="both"/>
              <w:rPr>
                <w:sz w:val="20"/>
                <w:lang w:val="fr-CA"/>
              </w:rPr>
            </w:pPr>
          </w:p>
        </w:tc>
        <w:tc>
          <w:tcPr>
            <w:tcW w:w="2330" w:type="pct"/>
          </w:tcPr>
          <w:p w:rsidR="006F56EE" w:rsidRPr="00D770F2" w:rsidRDefault="006F56EE" w:rsidP="006F56EE">
            <w:pPr>
              <w:jc w:val="both"/>
              <w:rPr>
                <w:sz w:val="20"/>
                <w:lang w:val="fr-CA"/>
              </w:rPr>
            </w:pPr>
            <w:r w:rsidRPr="00D770F2">
              <w:rPr>
                <w:sz w:val="20"/>
                <w:lang w:val="fr-CA"/>
              </w:rPr>
              <w:t>Arrêt accueillant l’appel et annulant le jugement de première instance</w:t>
            </w:r>
          </w:p>
        </w:tc>
      </w:tr>
      <w:tr w:rsidR="006F56EE" w:rsidRPr="0030635C" w:rsidTr="006F56EE">
        <w:tc>
          <w:tcPr>
            <w:tcW w:w="2427" w:type="pct"/>
            <w:gridSpan w:val="2"/>
          </w:tcPr>
          <w:p w:rsidR="006F56EE" w:rsidRPr="00D770F2" w:rsidRDefault="006F56EE" w:rsidP="006F56EE">
            <w:pPr>
              <w:jc w:val="both"/>
              <w:rPr>
                <w:sz w:val="20"/>
                <w:lang w:val="fr-CA"/>
              </w:rPr>
            </w:pPr>
            <w:r w:rsidRPr="00D770F2">
              <w:rPr>
                <w:sz w:val="20"/>
                <w:lang w:val="fr-CA"/>
              </w:rPr>
              <w:t>10 octobre 2017</w:t>
            </w:r>
          </w:p>
          <w:p w:rsidR="006F56EE" w:rsidRPr="00D770F2" w:rsidRDefault="006F56EE" w:rsidP="006F56EE">
            <w:pPr>
              <w:jc w:val="both"/>
              <w:rPr>
                <w:sz w:val="20"/>
                <w:lang w:val="fr-CA"/>
              </w:rPr>
            </w:pPr>
            <w:r w:rsidRPr="00D770F2">
              <w:rPr>
                <w:sz w:val="20"/>
                <w:lang w:val="fr-CA"/>
              </w:rPr>
              <w:t>Cour suprême du Canada</w:t>
            </w:r>
          </w:p>
        </w:tc>
        <w:tc>
          <w:tcPr>
            <w:tcW w:w="243" w:type="pct"/>
          </w:tcPr>
          <w:p w:rsidR="006F56EE" w:rsidRPr="00D770F2" w:rsidRDefault="006F56EE" w:rsidP="006F56EE">
            <w:pPr>
              <w:jc w:val="both"/>
              <w:rPr>
                <w:sz w:val="20"/>
                <w:lang w:val="fr-CA"/>
              </w:rPr>
            </w:pPr>
          </w:p>
        </w:tc>
        <w:tc>
          <w:tcPr>
            <w:tcW w:w="2330" w:type="pct"/>
          </w:tcPr>
          <w:p w:rsidR="006F56EE" w:rsidRPr="00D770F2" w:rsidRDefault="006F56EE" w:rsidP="006F56EE">
            <w:pPr>
              <w:jc w:val="both"/>
              <w:rPr>
                <w:sz w:val="20"/>
                <w:lang w:val="fr-CA"/>
              </w:rPr>
            </w:pPr>
            <w:r w:rsidRPr="00D770F2">
              <w:rPr>
                <w:sz w:val="20"/>
                <w:lang w:val="fr-CA"/>
              </w:rPr>
              <w:t>Dépôt de la demande d’autorisation d’appel</w:t>
            </w:r>
          </w:p>
          <w:p w:rsidR="006F56EE" w:rsidRPr="00D770F2" w:rsidRDefault="006F56EE" w:rsidP="006F56EE">
            <w:pPr>
              <w:jc w:val="both"/>
              <w:rPr>
                <w:sz w:val="20"/>
                <w:lang w:val="fr-CA"/>
              </w:rPr>
            </w:pPr>
          </w:p>
        </w:tc>
      </w:tr>
    </w:tbl>
    <w:p w:rsidR="006F56EE" w:rsidRPr="00D770F2" w:rsidRDefault="006F56EE" w:rsidP="006F56EE">
      <w:pPr>
        <w:jc w:val="both"/>
        <w:rPr>
          <w:sz w:val="20"/>
          <w:lang w:val="fr-CA"/>
        </w:rPr>
      </w:pPr>
    </w:p>
    <w:p w:rsidR="001E6FC9" w:rsidRPr="00D770F2" w:rsidRDefault="001E6FC9" w:rsidP="006F56E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56EE" w:rsidRPr="00D770F2" w:rsidTr="006F56EE">
        <w:tc>
          <w:tcPr>
            <w:tcW w:w="543" w:type="pct"/>
          </w:tcPr>
          <w:p w:rsidR="006F56EE" w:rsidRPr="00D770F2" w:rsidRDefault="006F56EE" w:rsidP="006F56EE">
            <w:pPr>
              <w:jc w:val="both"/>
              <w:rPr>
                <w:sz w:val="20"/>
              </w:rPr>
            </w:pPr>
            <w:r w:rsidRPr="00D770F2">
              <w:rPr>
                <w:rStyle w:val="SCCFileNumberChar"/>
                <w:sz w:val="20"/>
                <w:szCs w:val="20"/>
              </w:rPr>
              <w:t>37733</w:t>
            </w:r>
          </w:p>
        </w:tc>
        <w:tc>
          <w:tcPr>
            <w:tcW w:w="4457" w:type="pct"/>
            <w:gridSpan w:val="3"/>
          </w:tcPr>
          <w:p w:rsidR="006F56EE" w:rsidRPr="00D770F2" w:rsidRDefault="006F56EE" w:rsidP="006F56EE">
            <w:pPr>
              <w:pStyle w:val="SCCLsocParty"/>
              <w:jc w:val="both"/>
              <w:rPr>
                <w:b/>
                <w:sz w:val="20"/>
                <w:szCs w:val="20"/>
                <w:lang w:val="en-US"/>
              </w:rPr>
            </w:pPr>
            <w:r w:rsidRPr="00D770F2">
              <w:rPr>
                <w:b/>
                <w:sz w:val="20"/>
                <w:szCs w:val="20"/>
                <w:lang w:val="en-US"/>
              </w:rPr>
              <w:t>Estate of Henry Goldentuler v. Robert Crosbie, Olga Leyenson, Mark Koskie, Gail Yattavong and KLC Law Firm (Corporation)</w:t>
            </w:r>
          </w:p>
          <w:p w:rsidR="006F56EE" w:rsidRPr="00D770F2" w:rsidRDefault="006F56EE" w:rsidP="006F56EE">
            <w:pPr>
              <w:jc w:val="both"/>
              <w:rPr>
                <w:sz w:val="20"/>
              </w:rPr>
            </w:pPr>
            <w:r w:rsidRPr="00D770F2">
              <w:rPr>
                <w:sz w:val="20"/>
              </w:rPr>
              <w:t>(Ont.) (Civil) (By Leave)</w:t>
            </w:r>
          </w:p>
        </w:tc>
      </w:tr>
      <w:tr w:rsidR="006F56EE" w:rsidRPr="00D770F2" w:rsidTr="006F56EE">
        <w:tc>
          <w:tcPr>
            <w:tcW w:w="5000" w:type="pct"/>
            <w:gridSpan w:val="4"/>
          </w:tcPr>
          <w:p w:rsidR="006F56EE" w:rsidRPr="00D770F2" w:rsidRDefault="006F56EE" w:rsidP="006F56EE">
            <w:pPr>
              <w:jc w:val="both"/>
              <w:rPr>
                <w:sz w:val="20"/>
              </w:rPr>
            </w:pPr>
            <w:r w:rsidRPr="00D770F2">
              <w:rPr>
                <w:sz w:val="20"/>
              </w:rPr>
              <w:t>Damages – Quantum – Assessment of damages for respondents held liable for breaches of their duties of loyalty, good faith and avoidance of conflict of interest and self-interest by taking files from applicant’s law firm – Should respondents who have breached their fiduciary duties in the context of a contractual relationship be required to disgorge profits to which they were entitled pursuant to the contract.</w:t>
            </w:r>
          </w:p>
        </w:tc>
      </w:tr>
      <w:tr w:rsidR="006F56EE" w:rsidRPr="00D770F2" w:rsidTr="006F56EE">
        <w:tc>
          <w:tcPr>
            <w:tcW w:w="5000" w:type="pct"/>
            <w:gridSpan w:val="4"/>
          </w:tcPr>
          <w:p w:rsidR="006F56EE" w:rsidRPr="00D770F2" w:rsidRDefault="006F56EE" w:rsidP="006F56EE">
            <w:pPr>
              <w:jc w:val="both"/>
              <w:rPr>
                <w:sz w:val="20"/>
              </w:rPr>
            </w:pPr>
          </w:p>
          <w:p w:rsidR="006F56EE" w:rsidRPr="00D770F2" w:rsidRDefault="006F56EE" w:rsidP="006F56EE">
            <w:pPr>
              <w:jc w:val="both"/>
              <w:rPr>
                <w:sz w:val="20"/>
              </w:rPr>
            </w:pPr>
            <w:r w:rsidRPr="00D770F2">
              <w:rPr>
                <w:sz w:val="20"/>
              </w:rPr>
              <w:t>The respondent Mr. Crosbie entered into a contractual arrangement with the applicant’s law firm whereby for a 50/50 sharing of profits, he would bring files to work on as a paralegal in exchange for the firm providing supervision and overhead expenses. Mr. Crosbie and others took files from the applicant’s law firm upon their departure to the respondent firm and were held liable to the applicant in damages arising from breaches of their duties of loyalty, good faith and avoidance of conflict of interest and self-interest. At issue is the quantum of damages. Since the respondents’ defence had been struck for failure to pay a previous award of costs, no one appeared on their behalf. The Ontario Court of Appeal awarded Mr. Goldentuler’s estate general, special and punitive damages totalling in excess of $600,000. The estate argues that this has not been sufficient disincentive for a breach of fiduciary duty and seeks a disgorgement of p</w:t>
            </w:r>
            <w:r w:rsidR="00EA7D94" w:rsidRPr="00D770F2">
              <w:rPr>
                <w:sz w:val="20"/>
              </w:rPr>
              <w:t>rofits for the 120 files taken.</w:t>
            </w:r>
          </w:p>
        </w:tc>
      </w:tr>
      <w:tr w:rsidR="006F56EE" w:rsidRPr="00D770F2" w:rsidTr="006F56EE">
        <w:tc>
          <w:tcPr>
            <w:tcW w:w="5000" w:type="pct"/>
            <w:gridSpan w:val="4"/>
          </w:tcPr>
          <w:p w:rsidR="006F56EE" w:rsidRPr="00D770F2" w:rsidRDefault="006F56EE" w:rsidP="006F56EE">
            <w:pPr>
              <w:jc w:val="both"/>
              <w:rPr>
                <w:sz w:val="20"/>
              </w:rPr>
            </w:pPr>
          </w:p>
        </w:tc>
      </w:tr>
      <w:tr w:rsidR="006F56EE" w:rsidRPr="00D770F2" w:rsidTr="006F56EE">
        <w:tc>
          <w:tcPr>
            <w:tcW w:w="2427" w:type="pct"/>
            <w:gridSpan w:val="2"/>
          </w:tcPr>
          <w:p w:rsidR="006F56EE" w:rsidRPr="00D770F2" w:rsidRDefault="006F56EE" w:rsidP="006F56EE">
            <w:pPr>
              <w:jc w:val="both"/>
              <w:rPr>
                <w:sz w:val="20"/>
              </w:rPr>
            </w:pPr>
            <w:r w:rsidRPr="00D770F2">
              <w:rPr>
                <w:sz w:val="20"/>
              </w:rPr>
              <w:t>August 9, 2016</w:t>
            </w:r>
          </w:p>
          <w:p w:rsidR="006F56EE" w:rsidRPr="00D770F2" w:rsidRDefault="006F56EE" w:rsidP="006F56EE">
            <w:pPr>
              <w:jc w:val="both"/>
              <w:rPr>
                <w:sz w:val="20"/>
              </w:rPr>
            </w:pPr>
            <w:r w:rsidRPr="00D770F2">
              <w:rPr>
                <w:sz w:val="20"/>
              </w:rPr>
              <w:t>Ontario Superior Court of Justice</w:t>
            </w:r>
          </w:p>
          <w:p w:rsidR="006F56EE" w:rsidRPr="00D770F2" w:rsidRDefault="006F56EE" w:rsidP="006F56EE">
            <w:pPr>
              <w:jc w:val="both"/>
              <w:rPr>
                <w:sz w:val="20"/>
              </w:rPr>
            </w:pPr>
            <w:r w:rsidRPr="00D770F2">
              <w:rPr>
                <w:sz w:val="20"/>
              </w:rPr>
              <w:t>(Gilmore J.)</w:t>
            </w:r>
          </w:p>
          <w:p w:rsidR="006F56EE" w:rsidRPr="00D770F2" w:rsidRDefault="009479D6" w:rsidP="006F56EE">
            <w:pPr>
              <w:jc w:val="both"/>
              <w:rPr>
                <w:sz w:val="20"/>
              </w:rPr>
            </w:pPr>
            <w:hyperlink r:id="rId78" w:history="1">
              <w:r w:rsidR="006F56EE" w:rsidRPr="00D770F2">
                <w:rPr>
                  <w:rStyle w:val="Hyperlink"/>
                  <w:sz w:val="20"/>
                </w:rPr>
                <w:t>2016 ONSC 5071</w:t>
              </w:r>
            </w:hyperlink>
          </w:p>
          <w:p w:rsidR="006F56EE" w:rsidRPr="00D770F2" w:rsidRDefault="006F56EE" w:rsidP="006F56EE">
            <w:pPr>
              <w:jc w:val="both"/>
              <w:rPr>
                <w:sz w:val="20"/>
              </w:rPr>
            </w:pPr>
          </w:p>
        </w:tc>
        <w:tc>
          <w:tcPr>
            <w:tcW w:w="243" w:type="pct"/>
          </w:tcPr>
          <w:p w:rsidR="006F56EE" w:rsidRPr="00D770F2" w:rsidRDefault="006F56EE" w:rsidP="006F56EE">
            <w:pPr>
              <w:jc w:val="both"/>
              <w:rPr>
                <w:sz w:val="20"/>
              </w:rPr>
            </w:pPr>
          </w:p>
        </w:tc>
        <w:tc>
          <w:tcPr>
            <w:tcW w:w="2330" w:type="pct"/>
          </w:tcPr>
          <w:p w:rsidR="006F56EE" w:rsidRPr="00D770F2" w:rsidRDefault="006F56EE" w:rsidP="006F56EE">
            <w:pPr>
              <w:jc w:val="both"/>
              <w:rPr>
                <w:sz w:val="20"/>
              </w:rPr>
            </w:pPr>
            <w:r w:rsidRPr="00D770F2">
              <w:rPr>
                <w:sz w:val="20"/>
              </w:rPr>
              <w:t>Applicant awarded total damages of $318,174.55 and special damages of $26,339.32</w:t>
            </w:r>
          </w:p>
          <w:p w:rsidR="006F56EE" w:rsidRPr="00D770F2" w:rsidRDefault="006F56EE" w:rsidP="006F56EE">
            <w:pPr>
              <w:jc w:val="both"/>
              <w:rPr>
                <w:sz w:val="20"/>
              </w:rPr>
            </w:pPr>
          </w:p>
        </w:tc>
      </w:tr>
      <w:tr w:rsidR="006F56EE" w:rsidRPr="00D770F2" w:rsidTr="006F56EE">
        <w:tc>
          <w:tcPr>
            <w:tcW w:w="2427" w:type="pct"/>
            <w:gridSpan w:val="2"/>
          </w:tcPr>
          <w:p w:rsidR="006F56EE" w:rsidRPr="00D770F2" w:rsidRDefault="006F56EE" w:rsidP="006F56EE">
            <w:pPr>
              <w:jc w:val="both"/>
              <w:rPr>
                <w:sz w:val="20"/>
              </w:rPr>
            </w:pPr>
            <w:r w:rsidRPr="00D770F2">
              <w:rPr>
                <w:sz w:val="20"/>
              </w:rPr>
              <w:t>July 7, 2017</w:t>
            </w:r>
          </w:p>
          <w:p w:rsidR="006F56EE" w:rsidRPr="00D770F2" w:rsidRDefault="006F56EE" w:rsidP="006F56EE">
            <w:pPr>
              <w:jc w:val="both"/>
              <w:rPr>
                <w:sz w:val="20"/>
              </w:rPr>
            </w:pPr>
            <w:r w:rsidRPr="00D770F2">
              <w:rPr>
                <w:sz w:val="20"/>
              </w:rPr>
              <w:t>Court of Appeal for Ontario</w:t>
            </w:r>
          </w:p>
          <w:p w:rsidR="006F56EE" w:rsidRPr="00D770F2" w:rsidRDefault="006F56EE" w:rsidP="006F56EE">
            <w:pPr>
              <w:jc w:val="both"/>
              <w:rPr>
                <w:sz w:val="20"/>
              </w:rPr>
            </w:pPr>
            <w:r w:rsidRPr="00D770F2">
              <w:rPr>
                <w:sz w:val="20"/>
              </w:rPr>
              <w:t xml:space="preserve">(MacPherson, Cronk and </w:t>
            </w:r>
            <w:proofErr w:type="spellStart"/>
            <w:r w:rsidRPr="00D770F2">
              <w:rPr>
                <w:sz w:val="20"/>
              </w:rPr>
              <w:t>Benotto</w:t>
            </w:r>
            <w:proofErr w:type="spellEnd"/>
            <w:r w:rsidRPr="00D770F2">
              <w:rPr>
                <w:sz w:val="20"/>
              </w:rPr>
              <w:t xml:space="preserve"> JJ.A.)</w:t>
            </w:r>
          </w:p>
          <w:p w:rsidR="006F56EE" w:rsidRPr="00D770F2" w:rsidRDefault="009479D6" w:rsidP="006F56EE">
            <w:pPr>
              <w:jc w:val="both"/>
              <w:rPr>
                <w:sz w:val="20"/>
              </w:rPr>
            </w:pPr>
            <w:hyperlink r:id="rId79" w:history="1">
              <w:r w:rsidR="006F56EE" w:rsidRPr="00D770F2">
                <w:rPr>
                  <w:rStyle w:val="Hyperlink"/>
                  <w:sz w:val="20"/>
                </w:rPr>
                <w:t>2017 ONCA 591</w:t>
              </w:r>
            </w:hyperlink>
          </w:p>
          <w:p w:rsidR="006F56EE" w:rsidRPr="00D770F2" w:rsidRDefault="006F56EE" w:rsidP="006F56EE">
            <w:pPr>
              <w:jc w:val="both"/>
              <w:rPr>
                <w:sz w:val="20"/>
              </w:rPr>
            </w:pPr>
          </w:p>
        </w:tc>
        <w:tc>
          <w:tcPr>
            <w:tcW w:w="243" w:type="pct"/>
          </w:tcPr>
          <w:p w:rsidR="006F56EE" w:rsidRPr="00D770F2" w:rsidRDefault="006F56EE" w:rsidP="006F56EE">
            <w:pPr>
              <w:jc w:val="both"/>
              <w:rPr>
                <w:sz w:val="20"/>
              </w:rPr>
            </w:pPr>
          </w:p>
        </w:tc>
        <w:tc>
          <w:tcPr>
            <w:tcW w:w="2330" w:type="pct"/>
          </w:tcPr>
          <w:p w:rsidR="006F56EE" w:rsidRPr="00D770F2" w:rsidRDefault="006F56EE" w:rsidP="006F56EE">
            <w:pPr>
              <w:jc w:val="both"/>
              <w:rPr>
                <w:sz w:val="20"/>
              </w:rPr>
            </w:pPr>
            <w:r w:rsidRPr="00D770F2">
              <w:rPr>
                <w:sz w:val="20"/>
              </w:rPr>
              <w:t>Appeal allowed in part, applicant awarded general damages, special damages and punitive damages of $508,168.80; $39,509.29; and $80,000 respectively, with prejudgment interest of $231,796.16</w:t>
            </w:r>
          </w:p>
          <w:p w:rsidR="006F56EE" w:rsidRPr="00D770F2" w:rsidRDefault="006F56EE" w:rsidP="006F56EE">
            <w:pPr>
              <w:jc w:val="both"/>
              <w:rPr>
                <w:sz w:val="20"/>
              </w:rPr>
            </w:pPr>
          </w:p>
        </w:tc>
      </w:tr>
      <w:tr w:rsidR="006F56EE" w:rsidRPr="00D770F2" w:rsidTr="006F56EE">
        <w:tc>
          <w:tcPr>
            <w:tcW w:w="2427" w:type="pct"/>
            <w:gridSpan w:val="2"/>
          </w:tcPr>
          <w:p w:rsidR="006F56EE" w:rsidRPr="00D770F2" w:rsidRDefault="006F56EE" w:rsidP="006F56EE">
            <w:pPr>
              <w:jc w:val="both"/>
              <w:rPr>
                <w:sz w:val="20"/>
              </w:rPr>
            </w:pPr>
            <w:r w:rsidRPr="00D770F2">
              <w:rPr>
                <w:sz w:val="20"/>
              </w:rPr>
              <w:t>September 25, 2017</w:t>
            </w:r>
          </w:p>
          <w:p w:rsidR="006F56EE" w:rsidRPr="00D770F2" w:rsidRDefault="006F56EE" w:rsidP="006F56EE">
            <w:pPr>
              <w:jc w:val="both"/>
              <w:rPr>
                <w:sz w:val="20"/>
              </w:rPr>
            </w:pPr>
            <w:r w:rsidRPr="00D770F2">
              <w:rPr>
                <w:sz w:val="20"/>
              </w:rPr>
              <w:t>Supreme Court of Canada</w:t>
            </w:r>
          </w:p>
        </w:tc>
        <w:tc>
          <w:tcPr>
            <w:tcW w:w="243" w:type="pct"/>
          </w:tcPr>
          <w:p w:rsidR="006F56EE" w:rsidRPr="00D770F2" w:rsidRDefault="006F56EE" w:rsidP="006F56EE">
            <w:pPr>
              <w:jc w:val="both"/>
              <w:rPr>
                <w:sz w:val="20"/>
              </w:rPr>
            </w:pPr>
          </w:p>
        </w:tc>
        <w:tc>
          <w:tcPr>
            <w:tcW w:w="2330" w:type="pct"/>
          </w:tcPr>
          <w:p w:rsidR="006F56EE" w:rsidRPr="00D770F2" w:rsidRDefault="006F56EE" w:rsidP="006F56EE">
            <w:pPr>
              <w:jc w:val="both"/>
              <w:rPr>
                <w:sz w:val="20"/>
              </w:rPr>
            </w:pPr>
            <w:r w:rsidRPr="00D770F2">
              <w:rPr>
                <w:sz w:val="20"/>
              </w:rPr>
              <w:t>Application for leave to appeal filed</w:t>
            </w:r>
          </w:p>
          <w:p w:rsidR="006F56EE" w:rsidRPr="00D770F2" w:rsidRDefault="006F56EE" w:rsidP="006F56EE">
            <w:pPr>
              <w:jc w:val="both"/>
              <w:rPr>
                <w:sz w:val="20"/>
              </w:rPr>
            </w:pPr>
          </w:p>
        </w:tc>
      </w:tr>
    </w:tbl>
    <w:p w:rsidR="006F56EE" w:rsidRPr="00D770F2" w:rsidRDefault="006F56EE" w:rsidP="006F56EE">
      <w:pPr>
        <w:jc w:val="both"/>
        <w:rPr>
          <w:sz w:val="20"/>
        </w:rPr>
      </w:pPr>
    </w:p>
    <w:p w:rsidR="00EA7D94" w:rsidRPr="00D770F2" w:rsidRDefault="00EA7D94" w:rsidP="006F56E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56EE" w:rsidRPr="0030635C" w:rsidTr="006F56EE">
        <w:tc>
          <w:tcPr>
            <w:tcW w:w="543" w:type="pct"/>
          </w:tcPr>
          <w:p w:rsidR="006F56EE" w:rsidRPr="00D770F2" w:rsidRDefault="006F56EE" w:rsidP="006F56EE">
            <w:pPr>
              <w:jc w:val="both"/>
              <w:rPr>
                <w:sz w:val="20"/>
                <w:lang w:val="fr-CA"/>
              </w:rPr>
            </w:pPr>
            <w:r w:rsidRPr="00D770F2">
              <w:rPr>
                <w:rStyle w:val="SCCFileNumberChar"/>
                <w:sz w:val="20"/>
                <w:szCs w:val="20"/>
                <w:lang w:val="fr-CA"/>
              </w:rPr>
              <w:t>37733</w:t>
            </w:r>
          </w:p>
        </w:tc>
        <w:tc>
          <w:tcPr>
            <w:tcW w:w="4457" w:type="pct"/>
            <w:gridSpan w:val="3"/>
          </w:tcPr>
          <w:p w:rsidR="006F56EE" w:rsidRPr="00D770F2" w:rsidRDefault="006F56EE" w:rsidP="006F56EE">
            <w:pPr>
              <w:pStyle w:val="SCCLsocParty"/>
              <w:jc w:val="both"/>
              <w:rPr>
                <w:b/>
                <w:sz w:val="20"/>
                <w:szCs w:val="20"/>
              </w:rPr>
            </w:pPr>
            <w:r w:rsidRPr="00D770F2">
              <w:rPr>
                <w:b/>
                <w:sz w:val="20"/>
                <w:szCs w:val="20"/>
              </w:rPr>
              <w:t>Succession de Henry Goldentuler c. Robert Crosbie, Olga Leyenson, Mark Koskie, Gail Yattavong et KLC Law Firm (Corporation)</w:t>
            </w:r>
          </w:p>
          <w:p w:rsidR="006F56EE" w:rsidRPr="00D770F2" w:rsidRDefault="006F56EE" w:rsidP="006F56EE">
            <w:pPr>
              <w:jc w:val="both"/>
              <w:rPr>
                <w:sz w:val="20"/>
                <w:lang w:val="fr-CA"/>
              </w:rPr>
            </w:pPr>
            <w:r w:rsidRPr="00D770F2">
              <w:rPr>
                <w:sz w:val="20"/>
                <w:lang w:val="fr-CA"/>
              </w:rPr>
              <w:t>(Ont.) (Civile) (Sur autorisation)</w:t>
            </w:r>
          </w:p>
        </w:tc>
      </w:tr>
      <w:tr w:rsidR="006F56EE" w:rsidRPr="0030635C" w:rsidTr="006F56EE">
        <w:tc>
          <w:tcPr>
            <w:tcW w:w="5000" w:type="pct"/>
            <w:gridSpan w:val="4"/>
          </w:tcPr>
          <w:p w:rsidR="006F56EE" w:rsidRPr="00D770F2" w:rsidRDefault="006F56EE" w:rsidP="006F56EE">
            <w:pPr>
              <w:jc w:val="both"/>
              <w:rPr>
                <w:sz w:val="20"/>
                <w:lang w:val="fr-CA"/>
              </w:rPr>
            </w:pPr>
            <w:r w:rsidRPr="00D770F2">
              <w:rPr>
                <w:sz w:val="20"/>
                <w:lang w:val="fr-CA"/>
              </w:rPr>
              <w:t>Dommages-intérêts – Quantum – Appréciation des dommages-intérêts pour les intimés jugés responsables de manquements à leurs devoirs de loyauté et de bonne foi et à leurs obligations d’éviter les conflits d’intérêts et de ne pas agir dans leur propre intérêt en ayant pris des dossiers du cabinet d’avocats du demandeur – Les intimés qui ont violé leurs obligations fiduciaires dans le contexte d’une relation contractuelle devraient-ils être tenus de restituer les profits auxquels ils avaient droit en vertu du contrat?</w:t>
            </w:r>
          </w:p>
        </w:tc>
      </w:tr>
      <w:tr w:rsidR="006F56EE" w:rsidRPr="0030635C" w:rsidTr="006F56EE">
        <w:tc>
          <w:tcPr>
            <w:tcW w:w="5000" w:type="pct"/>
            <w:gridSpan w:val="4"/>
          </w:tcPr>
          <w:p w:rsidR="006F56EE" w:rsidRPr="00D770F2" w:rsidRDefault="006F56EE" w:rsidP="006F56EE">
            <w:pPr>
              <w:jc w:val="both"/>
              <w:rPr>
                <w:sz w:val="20"/>
                <w:lang w:val="fr-CA"/>
              </w:rPr>
            </w:pPr>
          </w:p>
          <w:p w:rsidR="006F56EE" w:rsidRPr="00D770F2" w:rsidRDefault="006F56EE" w:rsidP="006F56EE">
            <w:pPr>
              <w:jc w:val="both"/>
              <w:rPr>
                <w:sz w:val="20"/>
                <w:lang w:val="fr-CA"/>
              </w:rPr>
            </w:pPr>
            <w:r w:rsidRPr="00D770F2">
              <w:rPr>
                <w:sz w:val="20"/>
                <w:lang w:val="fr-CA"/>
              </w:rPr>
              <w:t>L’intimé M. Crosbie a conclu une entente contractuelle avec le cabinet d’avocats du demandeur en vertu duquel, moyennant le partage des bénéfices à parts égales, il apporterait des dossiers sur lesquels il travaillerait à titre de parajuriste en échange de quoi le cabinet fournirait de la supervision et acquitterait les frais généraux. Monsieur Crosbie et d’autres ont pris des dossiers du cabinet d’avocats du demandeur au moment de leur départ pour passer au cabinet intimé et ont été jugés responsables envers le demandeur en dommages-intérêts découlant de manquements à leurs devoirs de loyauté et de bonne foi et à leurs obligations d’éviter les conflits d’intérêts et de ne pas agir dans leur propre intérêt. La question en litige est le quantum des dommages-intérêts. Puisque la défense des intimés avait été radiée pour défaut d’avoir acquitté un jugement précédent les condamnant aux dépens, personne n’a comparu en leur nom. La Cour d’appel de l’Ontario a accordé à la succession de M</w:t>
            </w:r>
            <w:r w:rsidRPr="00D770F2">
              <w:rPr>
                <w:sz w:val="20"/>
                <w:vertAlign w:val="superscript"/>
                <w:lang w:val="fr-CA"/>
              </w:rPr>
              <w:t>e</w:t>
            </w:r>
            <w:r w:rsidRPr="00D770F2">
              <w:rPr>
                <w:sz w:val="20"/>
                <w:lang w:val="fr-CA"/>
              </w:rPr>
              <w:t> Goldentuler des dommages-intérêts généraux, spéciaux et punitifs totalisant plus de 600 000 $. La succession plaide que ceci n’a pas été un moyen dissuasif suffisant à l’égard du manquement à l’obligation fiduciaire et demande une restitution des profits pour les</w:t>
            </w:r>
            <w:r w:rsidR="00EA7D94" w:rsidRPr="00D770F2">
              <w:rPr>
                <w:sz w:val="20"/>
                <w:lang w:val="fr-CA"/>
              </w:rPr>
              <w:t xml:space="preserve"> 120 dossiers qui ont été pris.</w:t>
            </w:r>
          </w:p>
        </w:tc>
      </w:tr>
      <w:tr w:rsidR="006F56EE" w:rsidRPr="0030635C" w:rsidTr="006F56EE">
        <w:tc>
          <w:tcPr>
            <w:tcW w:w="5000" w:type="pct"/>
            <w:gridSpan w:val="4"/>
          </w:tcPr>
          <w:p w:rsidR="006F56EE" w:rsidRPr="00D770F2" w:rsidRDefault="006F56EE" w:rsidP="006F56EE">
            <w:pPr>
              <w:jc w:val="both"/>
              <w:rPr>
                <w:sz w:val="20"/>
                <w:lang w:val="fr-CA"/>
              </w:rPr>
            </w:pPr>
          </w:p>
        </w:tc>
      </w:tr>
      <w:tr w:rsidR="006F56EE" w:rsidRPr="0030635C" w:rsidTr="006F56EE">
        <w:tc>
          <w:tcPr>
            <w:tcW w:w="2427" w:type="pct"/>
            <w:gridSpan w:val="2"/>
          </w:tcPr>
          <w:p w:rsidR="006F56EE" w:rsidRPr="00D770F2" w:rsidRDefault="006F56EE" w:rsidP="006F56EE">
            <w:pPr>
              <w:jc w:val="both"/>
              <w:rPr>
                <w:sz w:val="20"/>
                <w:lang w:val="fr-CA"/>
              </w:rPr>
            </w:pPr>
            <w:r w:rsidRPr="00D770F2">
              <w:rPr>
                <w:sz w:val="20"/>
                <w:lang w:val="fr-CA"/>
              </w:rPr>
              <w:t>9 août 2016</w:t>
            </w:r>
          </w:p>
          <w:p w:rsidR="006F56EE" w:rsidRPr="00D770F2" w:rsidRDefault="006F56EE" w:rsidP="006F56EE">
            <w:pPr>
              <w:jc w:val="both"/>
              <w:rPr>
                <w:sz w:val="20"/>
                <w:lang w:val="fr-CA"/>
              </w:rPr>
            </w:pPr>
            <w:r w:rsidRPr="00D770F2">
              <w:rPr>
                <w:sz w:val="20"/>
                <w:lang w:val="fr-CA"/>
              </w:rPr>
              <w:t>Cour supérieure de justice de l’Ontario</w:t>
            </w:r>
          </w:p>
          <w:p w:rsidR="006F56EE" w:rsidRPr="00D770F2" w:rsidRDefault="006F56EE" w:rsidP="006F56EE">
            <w:pPr>
              <w:jc w:val="both"/>
              <w:rPr>
                <w:sz w:val="20"/>
                <w:lang w:val="fr-CA"/>
              </w:rPr>
            </w:pPr>
            <w:r w:rsidRPr="00D770F2">
              <w:rPr>
                <w:sz w:val="20"/>
                <w:lang w:val="fr-CA"/>
              </w:rPr>
              <w:t>(Juge Gilmore)</w:t>
            </w:r>
          </w:p>
          <w:p w:rsidR="006F56EE" w:rsidRPr="00D770F2" w:rsidRDefault="009479D6" w:rsidP="006F56EE">
            <w:pPr>
              <w:jc w:val="both"/>
              <w:rPr>
                <w:sz w:val="20"/>
                <w:lang w:val="fr-CA"/>
              </w:rPr>
            </w:pPr>
            <w:hyperlink r:id="rId80" w:history="1">
              <w:r w:rsidR="006F56EE" w:rsidRPr="00D770F2">
                <w:rPr>
                  <w:rStyle w:val="Hyperlink"/>
                  <w:sz w:val="20"/>
                  <w:lang w:val="fr-CA"/>
                </w:rPr>
                <w:t>2016 ONSC 5071</w:t>
              </w:r>
            </w:hyperlink>
          </w:p>
          <w:p w:rsidR="006F56EE" w:rsidRPr="00D770F2" w:rsidRDefault="006F56EE" w:rsidP="006F56EE">
            <w:pPr>
              <w:jc w:val="both"/>
              <w:rPr>
                <w:sz w:val="20"/>
                <w:lang w:val="fr-CA"/>
              </w:rPr>
            </w:pPr>
          </w:p>
        </w:tc>
        <w:tc>
          <w:tcPr>
            <w:tcW w:w="243" w:type="pct"/>
          </w:tcPr>
          <w:p w:rsidR="006F56EE" w:rsidRPr="00D770F2" w:rsidRDefault="006F56EE" w:rsidP="006F56EE">
            <w:pPr>
              <w:jc w:val="both"/>
              <w:rPr>
                <w:sz w:val="20"/>
                <w:lang w:val="fr-CA"/>
              </w:rPr>
            </w:pPr>
          </w:p>
        </w:tc>
        <w:tc>
          <w:tcPr>
            <w:tcW w:w="2330" w:type="pct"/>
          </w:tcPr>
          <w:p w:rsidR="006F56EE" w:rsidRPr="00D770F2" w:rsidRDefault="006F56EE" w:rsidP="006F56EE">
            <w:pPr>
              <w:jc w:val="both"/>
              <w:rPr>
                <w:sz w:val="20"/>
                <w:lang w:val="fr-CA"/>
              </w:rPr>
            </w:pPr>
            <w:r w:rsidRPr="00D770F2">
              <w:rPr>
                <w:sz w:val="20"/>
                <w:lang w:val="fr-CA"/>
              </w:rPr>
              <w:t>Jugement accordant au demandeur des dommages-intérêts totaux de 318 174,55 $ et des dommages-intérêts spéciaux de 26 339,32 $</w:t>
            </w:r>
          </w:p>
          <w:p w:rsidR="006F56EE" w:rsidRPr="00D770F2" w:rsidRDefault="006F56EE" w:rsidP="006F56EE">
            <w:pPr>
              <w:jc w:val="both"/>
              <w:rPr>
                <w:sz w:val="20"/>
                <w:lang w:val="fr-CA"/>
              </w:rPr>
            </w:pPr>
          </w:p>
        </w:tc>
      </w:tr>
      <w:tr w:rsidR="006F56EE" w:rsidRPr="0030635C" w:rsidTr="006F56EE">
        <w:tc>
          <w:tcPr>
            <w:tcW w:w="2427" w:type="pct"/>
            <w:gridSpan w:val="2"/>
          </w:tcPr>
          <w:p w:rsidR="006F56EE" w:rsidRPr="00D770F2" w:rsidRDefault="006F56EE" w:rsidP="006F56EE">
            <w:pPr>
              <w:jc w:val="both"/>
              <w:rPr>
                <w:sz w:val="20"/>
                <w:lang w:val="fr-CA"/>
              </w:rPr>
            </w:pPr>
            <w:r w:rsidRPr="00D770F2">
              <w:rPr>
                <w:sz w:val="20"/>
                <w:lang w:val="fr-CA"/>
              </w:rPr>
              <w:t>7 juillet 2017</w:t>
            </w:r>
          </w:p>
          <w:p w:rsidR="006F56EE" w:rsidRPr="00D770F2" w:rsidRDefault="006F56EE" w:rsidP="006F56EE">
            <w:pPr>
              <w:jc w:val="both"/>
              <w:rPr>
                <w:sz w:val="20"/>
                <w:lang w:val="fr-CA"/>
              </w:rPr>
            </w:pPr>
            <w:r w:rsidRPr="00D770F2">
              <w:rPr>
                <w:sz w:val="20"/>
                <w:lang w:val="fr-CA"/>
              </w:rPr>
              <w:t>Cour d’appel de l’Ontario</w:t>
            </w:r>
          </w:p>
          <w:p w:rsidR="006F56EE" w:rsidRPr="00D770F2" w:rsidRDefault="006F56EE" w:rsidP="006F56EE">
            <w:pPr>
              <w:jc w:val="both"/>
              <w:rPr>
                <w:sz w:val="20"/>
                <w:lang w:val="fr-CA"/>
              </w:rPr>
            </w:pPr>
            <w:r w:rsidRPr="00D770F2">
              <w:rPr>
                <w:sz w:val="20"/>
                <w:lang w:val="fr-CA"/>
              </w:rPr>
              <w:t>(Juges MacPherson, Cronk et Benotto)</w:t>
            </w:r>
          </w:p>
          <w:p w:rsidR="006F56EE" w:rsidRPr="00D770F2" w:rsidRDefault="009479D6" w:rsidP="006F56EE">
            <w:pPr>
              <w:jc w:val="both"/>
              <w:rPr>
                <w:sz w:val="20"/>
                <w:lang w:val="fr-CA"/>
              </w:rPr>
            </w:pPr>
            <w:hyperlink r:id="rId81" w:history="1">
              <w:r w:rsidR="006F56EE" w:rsidRPr="00D770F2">
                <w:rPr>
                  <w:rStyle w:val="Hyperlink"/>
                  <w:sz w:val="20"/>
                  <w:lang w:val="fr-CA"/>
                </w:rPr>
                <w:t>2017 ONCA 591</w:t>
              </w:r>
            </w:hyperlink>
          </w:p>
          <w:p w:rsidR="006F56EE" w:rsidRPr="00D770F2" w:rsidRDefault="006F56EE" w:rsidP="006F56EE">
            <w:pPr>
              <w:jc w:val="both"/>
              <w:rPr>
                <w:sz w:val="20"/>
                <w:lang w:val="fr-CA"/>
              </w:rPr>
            </w:pPr>
          </w:p>
        </w:tc>
        <w:tc>
          <w:tcPr>
            <w:tcW w:w="243" w:type="pct"/>
          </w:tcPr>
          <w:p w:rsidR="006F56EE" w:rsidRPr="00D770F2" w:rsidRDefault="006F56EE" w:rsidP="006F56EE">
            <w:pPr>
              <w:jc w:val="both"/>
              <w:rPr>
                <w:sz w:val="20"/>
                <w:lang w:val="fr-CA"/>
              </w:rPr>
            </w:pPr>
          </w:p>
        </w:tc>
        <w:tc>
          <w:tcPr>
            <w:tcW w:w="2330" w:type="pct"/>
          </w:tcPr>
          <w:p w:rsidR="006F56EE" w:rsidRPr="00D770F2" w:rsidRDefault="006F56EE" w:rsidP="006F56EE">
            <w:pPr>
              <w:jc w:val="both"/>
              <w:rPr>
                <w:sz w:val="20"/>
                <w:lang w:val="fr-CA"/>
              </w:rPr>
            </w:pPr>
            <w:r w:rsidRPr="00D770F2">
              <w:rPr>
                <w:sz w:val="20"/>
                <w:lang w:val="fr-CA"/>
              </w:rPr>
              <w:t>Arrêt accueillant l’appel en partie, accordant au demandeur des dommages-intérêts généraux, des dommages-intérêts spéciaux et des dommages-intérêts punitifs de 508 168,80 $, de 39 509,29 $ et de 80 000 $, respectivement, avec intérêts antérieurs au jugement de 231 796,16 $</w:t>
            </w:r>
          </w:p>
          <w:p w:rsidR="006F56EE" w:rsidRPr="00D770F2" w:rsidRDefault="006F56EE" w:rsidP="006F56EE">
            <w:pPr>
              <w:jc w:val="both"/>
              <w:rPr>
                <w:sz w:val="20"/>
                <w:lang w:val="fr-CA"/>
              </w:rPr>
            </w:pPr>
          </w:p>
        </w:tc>
      </w:tr>
      <w:tr w:rsidR="006F56EE" w:rsidRPr="0030635C" w:rsidTr="006F56EE">
        <w:tc>
          <w:tcPr>
            <w:tcW w:w="2427" w:type="pct"/>
            <w:gridSpan w:val="2"/>
          </w:tcPr>
          <w:p w:rsidR="006F56EE" w:rsidRPr="00D770F2" w:rsidRDefault="006F56EE" w:rsidP="006F56EE">
            <w:pPr>
              <w:jc w:val="both"/>
              <w:rPr>
                <w:sz w:val="20"/>
                <w:lang w:val="fr-CA"/>
              </w:rPr>
            </w:pPr>
            <w:r w:rsidRPr="00D770F2">
              <w:rPr>
                <w:sz w:val="20"/>
                <w:lang w:val="fr-CA"/>
              </w:rPr>
              <w:t>25 septembre 2017</w:t>
            </w:r>
          </w:p>
          <w:p w:rsidR="006F56EE" w:rsidRPr="00D770F2" w:rsidRDefault="006F56EE" w:rsidP="006F56EE">
            <w:pPr>
              <w:jc w:val="both"/>
              <w:rPr>
                <w:sz w:val="20"/>
                <w:lang w:val="fr-CA"/>
              </w:rPr>
            </w:pPr>
            <w:r w:rsidRPr="00D770F2">
              <w:rPr>
                <w:sz w:val="20"/>
                <w:lang w:val="fr-CA"/>
              </w:rPr>
              <w:t>Cour suprême du Canada</w:t>
            </w:r>
          </w:p>
        </w:tc>
        <w:tc>
          <w:tcPr>
            <w:tcW w:w="243" w:type="pct"/>
          </w:tcPr>
          <w:p w:rsidR="006F56EE" w:rsidRPr="00D770F2" w:rsidRDefault="006F56EE" w:rsidP="006F56EE">
            <w:pPr>
              <w:jc w:val="both"/>
              <w:rPr>
                <w:sz w:val="20"/>
                <w:lang w:val="fr-CA"/>
              </w:rPr>
            </w:pPr>
          </w:p>
        </w:tc>
        <w:tc>
          <w:tcPr>
            <w:tcW w:w="2330" w:type="pct"/>
          </w:tcPr>
          <w:p w:rsidR="006F56EE" w:rsidRPr="00D770F2" w:rsidRDefault="006F56EE" w:rsidP="006F56EE">
            <w:pPr>
              <w:jc w:val="both"/>
              <w:rPr>
                <w:sz w:val="20"/>
                <w:lang w:val="fr-CA"/>
              </w:rPr>
            </w:pPr>
            <w:r w:rsidRPr="00D770F2">
              <w:rPr>
                <w:sz w:val="20"/>
                <w:lang w:val="fr-CA"/>
              </w:rPr>
              <w:t>Dépôt de la demande d’autorisation d’appel</w:t>
            </w:r>
          </w:p>
          <w:p w:rsidR="006F56EE" w:rsidRPr="00D770F2" w:rsidRDefault="006F56EE" w:rsidP="006F56EE">
            <w:pPr>
              <w:jc w:val="both"/>
              <w:rPr>
                <w:sz w:val="20"/>
                <w:lang w:val="fr-CA"/>
              </w:rPr>
            </w:pPr>
          </w:p>
        </w:tc>
      </w:tr>
    </w:tbl>
    <w:p w:rsidR="006F56EE" w:rsidRPr="00D770F2" w:rsidRDefault="006F56EE" w:rsidP="006F56EE">
      <w:pPr>
        <w:jc w:val="both"/>
        <w:rPr>
          <w:sz w:val="20"/>
          <w:lang w:val="fr-CA"/>
        </w:rPr>
      </w:pPr>
    </w:p>
    <w:p w:rsidR="006F56EE" w:rsidRPr="00D770F2" w:rsidRDefault="006F56EE" w:rsidP="006F56E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56EE" w:rsidRPr="00D770F2" w:rsidTr="006F56EE">
        <w:tc>
          <w:tcPr>
            <w:tcW w:w="543" w:type="pct"/>
          </w:tcPr>
          <w:p w:rsidR="006F56EE" w:rsidRPr="00D770F2" w:rsidRDefault="006F56EE" w:rsidP="006F56EE">
            <w:pPr>
              <w:jc w:val="both"/>
              <w:rPr>
                <w:sz w:val="20"/>
              </w:rPr>
            </w:pPr>
            <w:r w:rsidRPr="00D770F2">
              <w:rPr>
                <w:rStyle w:val="SCCFileNumberChar"/>
                <w:sz w:val="20"/>
                <w:szCs w:val="20"/>
              </w:rPr>
              <w:t>37807</w:t>
            </w:r>
          </w:p>
        </w:tc>
        <w:tc>
          <w:tcPr>
            <w:tcW w:w="4457" w:type="pct"/>
            <w:gridSpan w:val="3"/>
          </w:tcPr>
          <w:p w:rsidR="006F56EE" w:rsidRPr="00D770F2" w:rsidRDefault="006F56EE" w:rsidP="006F56EE">
            <w:pPr>
              <w:pStyle w:val="SCCLsocParty"/>
              <w:jc w:val="both"/>
              <w:rPr>
                <w:b/>
                <w:sz w:val="20"/>
                <w:szCs w:val="20"/>
                <w:lang w:val="en-US"/>
              </w:rPr>
            </w:pPr>
            <w:r w:rsidRPr="00D770F2">
              <w:rPr>
                <w:b/>
                <w:sz w:val="20"/>
                <w:szCs w:val="20"/>
                <w:lang w:val="en-US"/>
              </w:rPr>
              <w:t>John Meulendyks, Mark Meulendyks v. Her Majesty the Queen</w:t>
            </w:r>
          </w:p>
          <w:p w:rsidR="006F56EE" w:rsidRPr="00D770F2" w:rsidRDefault="006F56EE" w:rsidP="006F56EE">
            <w:pPr>
              <w:jc w:val="both"/>
              <w:rPr>
                <w:sz w:val="20"/>
              </w:rPr>
            </w:pPr>
            <w:r w:rsidRPr="00D770F2">
              <w:rPr>
                <w:sz w:val="20"/>
              </w:rPr>
              <w:t>(Ont.) (Criminal) (By Leave)</w:t>
            </w:r>
          </w:p>
        </w:tc>
      </w:tr>
      <w:tr w:rsidR="006F56EE" w:rsidRPr="00D770F2" w:rsidTr="006F56EE">
        <w:tc>
          <w:tcPr>
            <w:tcW w:w="5000" w:type="pct"/>
            <w:gridSpan w:val="4"/>
          </w:tcPr>
          <w:p w:rsidR="006F56EE" w:rsidRPr="00D770F2" w:rsidRDefault="006F56EE" w:rsidP="006F56EE">
            <w:pPr>
              <w:jc w:val="both"/>
              <w:rPr>
                <w:sz w:val="20"/>
              </w:rPr>
            </w:pPr>
            <w:r w:rsidRPr="00D770F2">
              <w:rPr>
                <w:sz w:val="20"/>
              </w:rPr>
              <w:t xml:space="preserve">Criminal law – Bail hearing – Accused charged with a number of narcotic offences – Accused released on a $50,000 recognizance with his father as sole surety – Accused breached the house arrest condition and was arrested for breach of bail – Surety ordered to forfeit the sum of $25,000 – Whether the application judge erred in ordering the forfeiture by the surety – Whether the law is clear and properly applied – </w:t>
            </w:r>
            <w:r w:rsidRPr="00D770F2">
              <w:rPr>
                <w:i/>
                <w:sz w:val="20"/>
                <w:lang w:val="en"/>
              </w:rPr>
              <w:t>Criminal Code</w:t>
            </w:r>
            <w:r w:rsidRPr="00D770F2">
              <w:rPr>
                <w:sz w:val="20"/>
                <w:lang w:val="en"/>
              </w:rPr>
              <w:t>, R.S.C., 1985, c. C-46, s. 771(3).</w:t>
            </w:r>
          </w:p>
        </w:tc>
      </w:tr>
      <w:tr w:rsidR="006F56EE" w:rsidRPr="00D770F2" w:rsidTr="006F56EE">
        <w:tc>
          <w:tcPr>
            <w:tcW w:w="5000" w:type="pct"/>
            <w:gridSpan w:val="4"/>
          </w:tcPr>
          <w:p w:rsidR="006F56EE" w:rsidRPr="00D770F2" w:rsidRDefault="006F56EE" w:rsidP="006F56EE">
            <w:pPr>
              <w:jc w:val="both"/>
              <w:rPr>
                <w:sz w:val="20"/>
              </w:rPr>
            </w:pPr>
          </w:p>
        </w:tc>
      </w:tr>
      <w:tr w:rsidR="006F56EE" w:rsidRPr="00D770F2" w:rsidTr="006F56EE">
        <w:tc>
          <w:tcPr>
            <w:tcW w:w="5000" w:type="pct"/>
            <w:gridSpan w:val="4"/>
          </w:tcPr>
          <w:p w:rsidR="006F56EE" w:rsidRPr="00D770F2" w:rsidRDefault="006F56EE" w:rsidP="006F56EE">
            <w:pPr>
              <w:jc w:val="both"/>
              <w:rPr>
                <w:sz w:val="20"/>
              </w:rPr>
            </w:pPr>
            <w:r w:rsidRPr="00D770F2">
              <w:rPr>
                <w:sz w:val="20"/>
                <w:lang w:val="en"/>
              </w:rPr>
              <w:t xml:space="preserve">Mark Meulendyks (the “accused”), was charged with a number of narcotic offences. On March 23, 2016, he was released on a $50,000 recognizance with his father, John Meulendyks, (the “surety”) as the sole surety. The recognizance contains a number of terms including a term that the accused was to remain within his residence every day of the week, at all times except for a number of listed exceptions in the recognizance. The surety agreed to have the accused live at his home to ensure that he could fulfill his obligation of supervision. Mark Meulendyks breached the house arrest condition and was arrested for breach of his bail. </w:t>
            </w:r>
            <w:r w:rsidRPr="00D770F2">
              <w:rPr>
                <w:sz w:val="20"/>
              </w:rPr>
              <w:t>John Meulendyks was ordered to forfeit the sum of $25,000.</w:t>
            </w:r>
          </w:p>
          <w:p w:rsidR="006F56EE" w:rsidRPr="00D770F2" w:rsidRDefault="006F56EE" w:rsidP="006F56EE">
            <w:pPr>
              <w:jc w:val="both"/>
              <w:rPr>
                <w:sz w:val="20"/>
              </w:rPr>
            </w:pPr>
          </w:p>
        </w:tc>
      </w:tr>
      <w:tr w:rsidR="006F56EE" w:rsidRPr="00D770F2" w:rsidTr="006F56EE">
        <w:tc>
          <w:tcPr>
            <w:tcW w:w="2427" w:type="pct"/>
            <w:gridSpan w:val="2"/>
          </w:tcPr>
          <w:p w:rsidR="006F56EE" w:rsidRPr="00D770F2" w:rsidRDefault="006F56EE" w:rsidP="006F56EE">
            <w:pPr>
              <w:jc w:val="both"/>
              <w:rPr>
                <w:sz w:val="20"/>
              </w:rPr>
            </w:pPr>
            <w:r w:rsidRPr="00D770F2">
              <w:rPr>
                <w:sz w:val="20"/>
              </w:rPr>
              <w:t>August 16, 2017</w:t>
            </w:r>
          </w:p>
          <w:p w:rsidR="006F56EE" w:rsidRPr="00D770F2" w:rsidRDefault="006F56EE" w:rsidP="006F56EE">
            <w:pPr>
              <w:jc w:val="both"/>
              <w:rPr>
                <w:sz w:val="20"/>
              </w:rPr>
            </w:pPr>
            <w:r w:rsidRPr="00D770F2">
              <w:rPr>
                <w:sz w:val="20"/>
              </w:rPr>
              <w:t>Ontario Superior Court of Justice</w:t>
            </w:r>
          </w:p>
          <w:p w:rsidR="006F56EE" w:rsidRPr="00D770F2" w:rsidRDefault="006F56EE" w:rsidP="006F56EE">
            <w:pPr>
              <w:jc w:val="both"/>
              <w:rPr>
                <w:sz w:val="20"/>
                <w:lang w:val="fr-CA"/>
              </w:rPr>
            </w:pPr>
            <w:r w:rsidRPr="00D770F2">
              <w:rPr>
                <w:sz w:val="20"/>
                <w:lang w:val="fr-CA"/>
              </w:rPr>
              <w:t>(de Sa J.)</w:t>
            </w:r>
          </w:p>
          <w:p w:rsidR="006F56EE" w:rsidRPr="00D770F2" w:rsidRDefault="006F56EE" w:rsidP="006F56EE">
            <w:pPr>
              <w:jc w:val="both"/>
              <w:rPr>
                <w:sz w:val="20"/>
                <w:lang w:val="fr-CA"/>
              </w:rPr>
            </w:pPr>
            <w:r w:rsidRPr="00D770F2">
              <w:rPr>
                <w:sz w:val="20"/>
                <w:lang w:val="fr-CA"/>
              </w:rPr>
              <w:t>2017 ONSC 4462; 17-10-00BE</w:t>
            </w:r>
          </w:p>
          <w:p w:rsidR="006F56EE" w:rsidRPr="00D770F2" w:rsidRDefault="009479D6" w:rsidP="006F56EE">
            <w:pPr>
              <w:jc w:val="both"/>
              <w:rPr>
                <w:sz w:val="20"/>
                <w:lang w:val="fr-CA"/>
              </w:rPr>
            </w:pPr>
            <w:hyperlink r:id="rId82" w:history="1">
              <w:r w:rsidR="006F56EE" w:rsidRPr="00D770F2">
                <w:rPr>
                  <w:rStyle w:val="Hyperlink"/>
                  <w:rFonts w:eastAsiaTheme="majorEastAsia"/>
                  <w:sz w:val="20"/>
                  <w:lang w:val="fr-CA"/>
                </w:rPr>
                <w:t>http://canlii.ca/t/h5gkf</w:t>
              </w:r>
            </w:hyperlink>
          </w:p>
          <w:p w:rsidR="006F56EE" w:rsidRPr="00D770F2" w:rsidRDefault="006F56EE" w:rsidP="006F56EE">
            <w:pPr>
              <w:jc w:val="both"/>
              <w:rPr>
                <w:sz w:val="20"/>
                <w:lang w:val="fr-CA"/>
              </w:rPr>
            </w:pPr>
          </w:p>
        </w:tc>
        <w:tc>
          <w:tcPr>
            <w:tcW w:w="243" w:type="pct"/>
          </w:tcPr>
          <w:p w:rsidR="006F56EE" w:rsidRPr="00D770F2" w:rsidRDefault="006F56EE" w:rsidP="006F56EE">
            <w:pPr>
              <w:jc w:val="both"/>
              <w:rPr>
                <w:sz w:val="20"/>
                <w:lang w:val="fr-CA"/>
              </w:rPr>
            </w:pPr>
          </w:p>
        </w:tc>
        <w:tc>
          <w:tcPr>
            <w:tcW w:w="2330" w:type="pct"/>
          </w:tcPr>
          <w:p w:rsidR="006F56EE" w:rsidRPr="00D770F2" w:rsidRDefault="006F56EE" w:rsidP="006F56EE">
            <w:pPr>
              <w:jc w:val="both"/>
              <w:rPr>
                <w:sz w:val="20"/>
              </w:rPr>
            </w:pPr>
            <w:r w:rsidRPr="00D770F2">
              <w:rPr>
                <w:sz w:val="20"/>
              </w:rPr>
              <w:t>John Meulendyks ordered  to forfeit the sum of $25,000</w:t>
            </w:r>
          </w:p>
          <w:p w:rsidR="006F56EE" w:rsidRPr="00D770F2" w:rsidRDefault="006F56EE" w:rsidP="006F56EE">
            <w:pPr>
              <w:jc w:val="both"/>
              <w:rPr>
                <w:sz w:val="20"/>
              </w:rPr>
            </w:pPr>
          </w:p>
          <w:p w:rsidR="006F56EE" w:rsidRPr="00D770F2" w:rsidRDefault="006F56EE" w:rsidP="006F56EE">
            <w:pPr>
              <w:jc w:val="both"/>
              <w:rPr>
                <w:sz w:val="20"/>
              </w:rPr>
            </w:pPr>
          </w:p>
        </w:tc>
      </w:tr>
      <w:tr w:rsidR="006F56EE" w:rsidRPr="00D770F2" w:rsidTr="006F56EE">
        <w:tc>
          <w:tcPr>
            <w:tcW w:w="2427" w:type="pct"/>
            <w:gridSpan w:val="2"/>
          </w:tcPr>
          <w:p w:rsidR="006F56EE" w:rsidRPr="00D770F2" w:rsidRDefault="006F56EE" w:rsidP="006F56EE">
            <w:pPr>
              <w:jc w:val="both"/>
              <w:rPr>
                <w:sz w:val="20"/>
              </w:rPr>
            </w:pPr>
            <w:r w:rsidRPr="00D770F2">
              <w:rPr>
                <w:sz w:val="20"/>
              </w:rPr>
              <w:t>October 13, 2017</w:t>
            </w:r>
          </w:p>
          <w:p w:rsidR="006F56EE" w:rsidRPr="00D770F2" w:rsidRDefault="006F56EE" w:rsidP="006F56EE">
            <w:pPr>
              <w:jc w:val="both"/>
              <w:rPr>
                <w:sz w:val="20"/>
              </w:rPr>
            </w:pPr>
            <w:r w:rsidRPr="00D770F2">
              <w:rPr>
                <w:sz w:val="20"/>
              </w:rPr>
              <w:t>Supreme Court of Canada</w:t>
            </w:r>
          </w:p>
        </w:tc>
        <w:tc>
          <w:tcPr>
            <w:tcW w:w="243" w:type="pct"/>
          </w:tcPr>
          <w:p w:rsidR="006F56EE" w:rsidRPr="00D770F2" w:rsidRDefault="006F56EE" w:rsidP="006F56EE">
            <w:pPr>
              <w:jc w:val="both"/>
              <w:rPr>
                <w:sz w:val="20"/>
              </w:rPr>
            </w:pPr>
          </w:p>
        </w:tc>
        <w:tc>
          <w:tcPr>
            <w:tcW w:w="2330" w:type="pct"/>
          </w:tcPr>
          <w:p w:rsidR="006F56EE" w:rsidRPr="00D770F2" w:rsidRDefault="006F56EE" w:rsidP="006F56EE">
            <w:pPr>
              <w:jc w:val="both"/>
              <w:rPr>
                <w:sz w:val="20"/>
              </w:rPr>
            </w:pPr>
            <w:r w:rsidRPr="00D770F2">
              <w:rPr>
                <w:sz w:val="20"/>
              </w:rPr>
              <w:t>Application for leave to appeal filed</w:t>
            </w:r>
          </w:p>
          <w:p w:rsidR="006F56EE" w:rsidRPr="00D770F2" w:rsidRDefault="006F56EE" w:rsidP="006F56EE">
            <w:pPr>
              <w:jc w:val="both"/>
              <w:rPr>
                <w:sz w:val="20"/>
              </w:rPr>
            </w:pPr>
          </w:p>
        </w:tc>
      </w:tr>
    </w:tbl>
    <w:p w:rsidR="006F56EE" w:rsidRPr="00D770F2" w:rsidRDefault="006F56EE" w:rsidP="006F56EE">
      <w:pPr>
        <w:jc w:val="both"/>
        <w:rPr>
          <w:sz w:val="20"/>
        </w:rPr>
      </w:pPr>
    </w:p>
    <w:p w:rsidR="009303CD" w:rsidRPr="00D770F2" w:rsidRDefault="009303CD" w:rsidP="006F56E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56EE" w:rsidRPr="00D770F2" w:rsidTr="006F56EE">
        <w:tc>
          <w:tcPr>
            <w:tcW w:w="543" w:type="pct"/>
          </w:tcPr>
          <w:p w:rsidR="006F56EE" w:rsidRPr="00D770F2" w:rsidRDefault="006F56EE" w:rsidP="006F56EE">
            <w:pPr>
              <w:jc w:val="both"/>
              <w:rPr>
                <w:sz w:val="20"/>
              </w:rPr>
            </w:pPr>
            <w:r w:rsidRPr="00D770F2">
              <w:rPr>
                <w:rStyle w:val="SCCFileNumberChar"/>
                <w:sz w:val="20"/>
                <w:szCs w:val="20"/>
              </w:rPr>
              <w:t>37807</w:t>
            </w:r>
          </w:p>
        </w:tc>
        <w:tc>
          <w:tcPr>
            <w:tcW w:w="4457" w:type="pct"/>
            <w:gridSpan w:val="3"/>
          </w:tcPr>
          <w:p w:rsidR="006F56EE" w:rsidRPr="00D770F2" w:rsidRDefault="006F56EE" w:rsidP="006F56EE">
            <w:pPr>
              <w:pStyle w:val="SCCLsocParty"/>
              <w:jc w:val="both"/>
              <w:rPr>
                <w:b/>
                <w:sz w:val="20"/>
                <w:szCs w:val="20"/>
              </w:rPr>
            </w:pPr>
            <w:r w:rsidRPr="00D770F2">
              <w:rPr>
                <w:b/>
                <w:sz w:val="20"/>
                <w:szCs w:val="20"/>
              </w:rPr>
              <w:t>John Meulendyks, Mark Meulendyks c. Sa Majesté la Reine</w:t>
            </w:r>
          </w:p>
          <w:p w:rsidR="006F56EE" w:rsidRPr="00D770F2" w:rsidRDefault="006F56EE" w:rsidP="006F56EE">
            <w:pPr>
              <w:jc w:val="both"/>
              <w:rPr>
                <w:sz w:val="20"/>
              </w:rPr>
            </w:pPr>
            <w:r w:rsidRPr="00D770F2">
              <w:rPr>
                <w:sz w:val="20"/>
              </w:rPr>
              <w:t>(Ont.) (Criminelle) (Sur autorisation)</w:t>
            </w:r>
          </w:p>
        </w:tc>
      </w:tr>
      <w:tr w:rsidR="006F56EE" w:rsidRPr="0030635C" w:rsidTr="006F56EE">
        <w:tc>
          <w:tcPr>
            <w:tcW w:w="5000" w:type="pct"/>
            <w:gridSpan w:val="4"/>
          </w:tcPr>
          <w:p w:rsidR="006F56EE" w:rsidRPr="00D770F2" w:rsidRDefault="006F56EE" w:rsidP="006F56EE">
            <w:pPr>
              <w:jc w:val="both"/>
              <w:rPr>
                <w:sz w:val="20"/>
                <w:lang w:val="fr-CA"/>
              </w:rPr>
            </w:pPr>
            <w:r w:rsidRPr="00D770F2">
              <w:rPr>
                <w:sz w:val="20"/>
                <w:lang w:val="fr-CA"/>
              </w:rPr>
              <w:t xml:space="preserve">Droit criminel – Audience relative à la mise en liberté sous caution – Accusé inculpé de plusieurs infractions relatives aux stupéfiants – Accusé mis en liberté moyennant un engagement de 50 000 $, son père agissant seul comme caution – Condition de détention à domicile violée par l’accusé qui a été mis en état d’arrestation pour avoir contrevenu aux conditions de sa mise en liberté sous caution – Caution condamnée à verser la somme de 25 000 $ – Le juge de première instance a-t-il commis une erreur en ordonnant la confiscation de la somme mise en garantie par la caution? – La loi est-elle claire et appliquée correctement? – </w:t>
            </w:r>
            <w:r w:rsidRPr="00D770F2">
              <w:rPr>
                <w:i/>
                <w:sz w:val="20"/>
                <w:lang w:val="fr-CA"/>
              </w:rPr>
              <w:t>Code criminel</w:t>
            </w:r>
            <w:r w:rsidRPr="00D770F2">
              <w:rPr>
                <w:sz w:val="20"/>
                <w:lang w:val="fr-CA"/>
              </w:rPr>
              <w:t>, L.R.C</w:t>
            </w:r>
            <w:r w:rsidR="009303CD" w:rsidRPr="00D770F2">
              <w:rPr>
                <w:sz w:val="20"/>
                <w:lang w:val="fr-CA"/>
              </w:rPr>
              <w:t>, 1985, c. C-46, par. 771(3).</w:t>
            </w:r>
          </w:p>
        </w:tc>
      </w:tr>
      <w:tr w:rsidR="006F56EE" w:rsidRPr="0030635C" w:rsidTr="006F56EE">
        <w:tc>
          <w:tcPr>
            <w:tcW w:w="5000" w:type="pct"/>
            <w:gridSpan w:val="4"/>
          </w:tcPr>
          <w:p w:rsidR="006F56EE" w:rsidRPr="00D770F2" w:rsidRDefault="006F56EE" w:rsidP="006F56EE">
            <w:pPr>
              <w:jc w:val="both"/>
              <w:rPr>
                <w:sz w:val="20"/>
                <w:lang w:val="fr-CA"/>
              </w:rPr>
            </w:pPr>
          </w:p>
        </w:tc>
      </w:tr>
      <w:tr w:rsidR="006F56EE" w:rsidRPr="00D770F2" w:rsidTr="006F56EE">
        <w:tc>
          <w:tcPr>
            <w:tcW w:w="5000" w:type="pct"/>
            <w:gridSpan w:val="4"/>
          </w:tcPr>
          <w:p w:rsidR="006F56EE" w:rsidRPr="00D770F2" w:rsidRDefault="006F56EE" w:rsidP="006F56EE">
            <w:pPr>
              <w:jc w:val="both"/>
              <w:rPr>
                <w:sz w:val="20"/>
                <w:lang w:val="fr-CA"/>
              </w:rPr>
            </w:pPr>
            <w:r w:rsidRPr="00D770F2">
              <w:rPr>
                <w:sz w:val="20"/>
                <w:lang w:val="fr-CA"/>
              </w:rPr>
              <w:t>Mark Meulendyks (l’« accusé </w:t>
            </w:r>
            <w:r w:rsidRPr="00D770F2">
              <w:rPr>
                <w:rFonts w:asciiTheme="minorBidi" w:hAnsiTheme="minorBidi"/>
                <w:sz w:val="20"/>
                <w:lang w:val="fr-CA"/>
              </w:rPr>
              <w:t>»</w:t>
            </w:r>
            <w:r w:rsidRPr="00D770F2">
              <w:rPr>
                <w:sz w:val="20"/>
                <w:lang w:val="fr-CA"/>
              </w:rPr>
              <w:t>) a été inculpé de plusieurs infractions relatives aux stupéfiants. Le 23 mars 2016, il a été mis en liberté sous caution moyennant un engagement de 50 000 $ pour lequel son père, John Meulendyks (la « caution »</w:t>
            </w:r>
            <w:r w:rsidRPr="00D770F2">
              <w:rPr>
                <w:rFonts w:asciiTheme="minorBidi" w:hAnsiTheme="minorBidi"/>
                <w:sz w:val="20"/>
                <w:lang w:val="fr-CA"/>
              </w:rPr>
              <w:t>) était la seule caution. L’engagement comprend un certain nombre de conditions, y compris celle pour l’accusé de rester à son domicile tous les jours de la semaine, à tout moment sauf dans les cas exceptionnels précisés dans l’engagement. La caution a accepté d’héberger l’accusé chez lui pour garantir qu’il s’acquitterait de son obligation de supervision. Mark Meulendyks n’a pas respecté la condition de rester à son domicile et il a été mis en état d’arrestation pour violation de sa mise en liberté sous caution. John Meulendyks s’est vu confisquer la somme de 25 000 $.</w:t>
            </w:r>
          </w:p>
          <w:p w:rsidR="006F56EE" w:rsidRPr="00D770F2" w:rsidRDefault="006F56EE" w:rsidP="006F56EE">
            <w:pPr>
              <w:jc w:val="both"/>
              <w:rPr>
                <w:sz w:val="20"/>
                <w:lang w:val="fr-CA"/>
              </w:rPr>
            </w:pPr>
          </w:p>
        </w:tc>
      </w:tr>
      <w:tr w:rsidR="006F56EE" w:rsidRPr="0030635C" w:rsidTr="006F56EE">
        <w:tc>
          <w:tcPr>
            <w:tcW w:w="2427" w:type="pct"/>
            <w:gridSpan w:val="2"/>
          </w:tcPr>
          <w:p w:rsidR="006F56EE" w:rsidRPr="00D770F2" w:rsidRDefault="006F56EE" w:rsidP="006F56EE">
            <w:pPr>
              <w:jc w:val="both"/>
              <w:rPr>
                <w:sz w:val="20"/>
                <w:lang w:val="fr-CA"/>
              </w:rPr>
            </w:pPr>
            <w:r w:rsidRPr="00D770F2">
              <w:rPr>
                <w:sz w:val="20"/>
                <w:lang w:val="fr-CA"/>
              </w:rPr>
              <w:t>16 août 2017</w:t>
            </w:r>
          </w:p>
          <w:p w:rsidR="006F56EE" w:rsidRPr="00D770F2" w:rsidRDefault="006F56EE" w:rsidP="006F56EE">
            <w:pPr>
              <w:jc w:val="both"/>
              <w:rPr>
                <w:sz w:val="20"/>
                <w:lang w:val="fr-CA"/>
              </w:rPr>
            </w:pPr>
            <w:r w:rsidRPr="00D770F2">
              <w:rPr>
                <w:sz w:val="20"/>
                <w:lang w:val="fr-CA"/>
              </w:rPr>
              <w:t>Cour supérieure de justice de l’Ontario</w:t>
            </w:r>
          </w:p>
          <w:p w:rsidR="006F56EE" w:rsidRPr="00D770F2" w:rsidRDefault="006F56EE" w:rsidP="006F56EE">
            <w:pPr>
              <w:jc w:val="both"/>
              <w:rPr>
                <w:sz w:val="20"/>
                <w:lang w:val="fr-CA"/>
              </w:rPr>
            </w:pPr>
            <w:r w:rsidRPr="00D770F2">
              <w:rPr>
                <w:sz w:val="20"/>
                <w:lang w:val="fr-CA"/>
              </w:rPr>
              <w:t>(Juge de Sa)</w:t>
            </w:r>
          </w:p>
          <w:p w:rsidR="006F56EE" w:rsidRPr="00D770F2" w:rsidRDefault="006F56EE" w:rsidP="006F56EE">
            <w:pPr>
              <w:jc w:val="both"/>
              <w:rPr>
                <w:sz w:val="20"/>
                <w:lang w:val="fr-CA"/>
              </w:rPr>
            </w:pPr>
            <w:r w:rsidRPr="00D770F2">
              <w:rPr>
                <w:sz w:val="20"/>
                <w:lang w:val="fr-CA"/>
              </w:rPr>
              <w:t>2017 ONSC 4462; 17-10-00BE</w:t>
            </w:r>
          </w:p>
          <w:p w:rsidR="006F56EE" w:rsidRPr="00D770F2" w:rsidRDefault="009479D6" w:rsidP="006F56EE">
            <w:pPr>
              <w:jc w:val="both"/>
              <w:rPr>
                <w:sz w:val="20"/>
                <w:lang w:val="fr-CA"/>
              </w:rPr>
            </w:pPr>
            <w:hyperlink r:id="rId83" w:history="1">
              <w:r w:rsidR="006F56EE" w:rsidRPr="00D770F2">
                <w:rPr>
                  <w:rStyle w:val="Hyperlink"/>
                  <w:rFonts w:eastAsiaTheme="majorEastAsia"/>
                  <w:sz w:val="20"/>
                  <w:lang w:val="fr-CA"/>
                </w:rPr>
                <w:t>http://canlii.ca/t/h5gkf</w:t>
              </w:r>
            </w:hyperlink>
          </w:p>
          <w:p w:rsidR="006F56EE" w:rsidRPr="00D770F2" w:rsidRDefault="006F56EE" w:rsidP="006F56EE">
            <w:pPr>
              <w:jc w:val="both"/>
              <w:rPr>
                <w:sz w:val="20"/>
                <w:lang w:val="fr-CA"/>
              </w:rPr>
            </w:pPr>
          </w:p>
        </w:tc>
        <w:tc>
          <w:tcPr>
            <w:tcW w:w="243" w:type="pct"/>
          </w:tcPr>
          <w:p w:rsidR="006F56EE" w:rsidRPr="00D770F2" w:rsidRDefault="006F56EE" w:rsidP="006F56EE">
            <w:pPr>
              <w:jc w:val="both"/>
              <w:rPr>
                <w:sz w:val="20"/>
                <w:lang w:val="fr-CA"/>
              </w:rPr>
            </w:pPr>
          </w:p>
        </w:tc>
        <w:tc>
          <w:tcPr>
            <w:tcW w:w="2330" w:type="pct"/>
          </w:tcPr>
          <w:p w:rsidR="006F56EE" w:rsidRPr="00D770F2" w:rsidRDefault="006F56EE" w:rsidP="006F56EE">
            <w:pPr>
              <w:jc w:val="both"/>
              <w:rPr>
                <w:sz w:val="20"/>
                <w:lang w:val="fr-CA"/>
              </w:rPr>
            </w:pPr>
            <w:r w:rsidRPr="00D770F2">
              <w:rPr>
                <w:sz w:val="20"/>
                <w:lang w:val="fr-CA"/>
              </w:rPr>
              <w:t xml:space="preserve">Condamnation de John Meulendyks à se voir confisquer la somme de 25 000 $ </w:t>
            </w:r>
          </w:p>
          <w:p w:rsidR="006F56EE" w:rsidRPr="00D770F2" w:rsidRDefault="006F56EE" w:rsidP="006F56EE">
            <w:pPr>
              <w:jc w:val="both"/>
              <w:rPr>
                <w:sz w:val="20"/>
                <w:lang w:val="fr-CA"/>
              </w:rPr>
            </w:pPr>
          </w:p>
          <w:p w:rsidR="006F56EE" w:rsidRPr="00D770F2" w:rsidRDefault="006F56EE" w:rsidP="006F56EE">
            <w:pPr>
              <w:jc w:val="both"/>
              <w:rPr>
                <w:sz w:val="20"/>
                <w:lang w:val="fr-CA"/>
              </w:rPr>
            </w:pPr>
          </w:p>
        </w:tc>
      </w:tr>
      <w:tr w:rsidR="006F56EE" w:rsidRPr="00D770F2" w:rsidTr="006F56EE">
        <w:tc>
          <w:tcPr>
            <w:tcW w:w="2427" w:type="pct"/>
            <w:gridSpan w:val="2"/>
          </w:tcPr>
          <w:p w:rsidR="006F56EE" w:rsidRPr="00D770F2" w:rsidRDefault="006F56EE" w:rsidP="006F56EE">
            <w:pPr>
              <w:jc w:val="both"/>
              <w:rPr>
                <w:sz w:val="20"/>
                <w:lang w:val="fr-CA"/>
              </w:rPr>
            </w:pPr>
            <w:r w:rsidRPr="00D770F2">
              <w:rPr>
                <w:sz w:val="20"/>
                <w:lang w:val="fr-CA"/>
              </w:rPr>
              <w:t>13 octobre 2017</w:t>
            </w:r>
          </w:p>
          <w:p w:rsidR="006F56EE" w:rsidRPr="00D770F2" w:rsidRDefault="006F56EE" w:rsidP="006F56EE">
            <w:pPr>
              <w:jc w:val="both"/>
              <w:rPr>
                <w:sz w:val="20"/>
                <w:lang w:val="fr-CA"/>
              </w:rPr>
            </w:pPr>
            <w:r w:rsidRPr="00D770F2">
              <w:rPr>
                <w:sz w:val="20"/>
                <w:lang w:val="fr-CA"/>
              </w:rPr>
              <w:t>Cour suprême du Canada</w:t>
            </w:r>
          </w:p>
        </w:tc>
        <w:tc>
          <w:tcPr>
            <w:tcW w:w="243" w:type="pct"/>
          </w:tcPr>
          <w:p w:rsidR="006F56EE" w:rsidRPr="00D770F2" w:rsidRDefault="006F56EE" w:rsidP="006F56EE">
            <w:pPr>
              <w:jc w:val="both"/>
              <w:rPr>
                <w:sz w:val="20"/>
                <w:lang w:val="fr-CA"/>
              </w:rPr>
            </w:pPr>
          </w:p>
        </w:tc>
        <w:tc>
          <w:tcPr>
            <w:tcW w:w="2330" w:type="pct"/>
          </w:tcPr>
          <w:p w:rsidR="006F56EE" w:rsidRPr="00D770F2" w:rsidRDefault="006F56EE" w:rsidP="006F56EE">
            <w:pPr>
              <w:jc w:val="both"/>
              <w:rPr>
                <w:sz w:val="20"/>
              </w:rPr>
            </w:pPr>
            <w:r w:rsidRPr="00D770F2">
              <w:rPr>
                <w:sz w:val="20"/>
              </w:rPr>
              <w:t>Demande d’autorisation d’appel déposée</w:t>
            </w:r>
          </w:p>
          <w:p w:rsidR="006F56EE" w:rsidRPr="00D770F2" w:rsidRDefault="006F56EE" w:rsidP="006F56EE">
            <w:pPr>
              <w:jc w:val="both"/>
              <w:rPr>
                <w:sz w:val="20"/>
              </w:rPr>
            </w:pPr>
          </w:p>
        </w:tc>
      </w:tr>
    </w:tbl>
    <w:p w:rsidR="006F56EE" w:rsidRPr="00D770F2" w:rsidRDefault="006F56EE" w:rsidP="006F56EE">
      <w:pPr>
        <w:jc w:val="both"/>
        <w:rPr>
          <w:sz w:val="20"/>
        </w:rPr>
      </w:pPr>
    </w:p>
    <w:p w:rsidR="001E6FC9" w:rsidRPr="00D770F2" w:rsidRDefault="001E6FC9" w:rsidP="006F56E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56EE" w:rsidRPr="00D770F2" w:rsidTr="006F56EE">
        <w:tc>
          <w:tcPr>
            <w:tcW w:w="543" w:type="pct"/>
          </w:tcPr>
          <w:p w:rsidR="006F56EE" w:rsidRPr="00D770F2" w:rsidRDefault="006F56EE" w:rsidP="006F56EE">
            <w:pPr>
              <w:jc w:val="both"/>
              <w:rPr>
                <w:sz w:val="20"/>
              </w:rPr>
            </w:pPr>
            <w:r w:rsidRPr="00D770F2">
              <w:rPr>
                <w:rStyle w:val="SCCFileNumberChar"/>
                <w:sz w:val="20"/>
                <w:szCs w:val="20"/>
              </w:rPr>
              <w:t>37762</w:t>
            </w:r>
          </w:p>
        </w:tc>
        <w:tc>
          <w:tcPr>
            <w:tcW w:w="4457" w:type="pct"/>
            <w:gridSpan w:val="3"/>
          </w:tcPr>
          <w:p w:rsidR="006F56EE" w:rsidRPr="00D770F2" w:rsidRDefault="006F56EE" w:rsidP="006F56EE">
            <w:pPr>
              <w:pStyle w:val="SCCLsocParty"/>
              <w:jc w:val="both"/>
              <w:rPr>
                <w:b/>
                <w:sz w:val="20"/>
                <w:szCs w:val="20"/>
                <w:lang w:val="en-US"/>
              </w:rPr>
            </w:pPr>
            <w:r w:rsidRPr="00D770F2">
              <w:rPr>
                <w:b/>
                <w:sz w:val="20"/>
                <w:szCs w:val="20"/>
                <w:lang w:val="en-US"/>
              </w:rPr>
              <w:t>Aviva Insurance Company of Canada v. Erin Dittmann</w:t>
            </w:r>
          </w:p>
          <w:p w:rsidR="006F56EE" w:rsidRPr="00D770F2" w:rsidRDefault="006F56EE" w:rsidP="006F56EE">
            <w:pPr>
              <w:jc w:val="both"/>
              <w:rPr>
                <w:sz w:val="20"/>
              </w:rPr>
            </w:pPr>
            <w:r w:rsidRPr="00D770F2">
              <w:rPr>
                <w:sz w:val="20"/>
              </w:rPr>
              <w:t>(Ont.) (Civil) (By Leave)</w:t>
            </w:r>
          </w:p>
        </w:tc>
      </w:tr>
      <w:tr w:rsidR="006F56EE" w:rsidRPr="00D770F2" w:rsidTr="006F56EE">
        <w:tc>
          <w:tcPr>
            <w:tcW w:w="5000" w:type="pct"/>
            <w:gridSpan w:val="4"/>
          </w:tcPr>
          <w:p w:rsidR="006F56EE" w:rsidRPr="00D770F2" w:rsidRDefault="006F56EE" w:rsidP="006F56EE">
            <w:pPr>
              <w:jc w:val="both"/>
              <w:rPr>
                <w:sz w:val="20"/>
              </w:rPr>
            </w:pPr>
            <w:r w:rsidRPr="00D770F2">
              <w:rPr>
                <w:sz w:val="20"/>
              </w:rPr>
              <w:t xml:space="preserve">Insurance — Automobile insurance — No-fault statutory accident benefits — Definition of “accident” — Causation — What is an accident under Ontario automobile insurance law — Whether the definition of “accident” in s. 3(1) of the </w:t>
            </w:r>
            <w:r w:rsidRPr="00D770F2">
              <w:rPr>
                <w:i/>
                <w:sz w:val="20"/>
              </w:rPr>
              <w:t>Statutory Accident Benefits Schedule</w:t>
            </w:r>
            <w:r w:rsidRPr="00D770F2">
              <w:rPr>
                <w:sz w:val="20"/>
              </w:rPr>
              <w:t>, O. Reg. 34/10, encompasses a situation wherein a person spills coffee on themselves while sitting in a stationary automobile.</w:t>
            </w:r>
          </w:p>
        </w:tc>
      </w:tr>
      <w:tr w:rsidR="006F56EE" w:rsidRPr="00D770F2" w:rsidTr="006F56EE">
        <w:tc>
          <w:tcPr>
            <w:tcW w:w="5000" w:type="pct"/>
            <w:gridSpan w:val="4"/>
          </w:tcPr>
          <w:p w:rsidR="006F56EE" w:rsidRPr="00D770F2" w:rsidRDefault="006F56EE" w:rsidP="006F56EE">
            <w:pPr>
              <w:jc w:val="both"/>
              <w:rPr>
                <w:sz w:val="20"/>
              </w:rPr>
            </w:pPr>
          </w:p>
        </w:tc>
      </w:tr>
      <w:tr w:rsidR="006F56EE" w:rsidRPr="00D770F2" w:rsidTr="006F56EE">
        <w:tc>
          <w:tcPr>
            <w:tcW w:w="5000" w:type="pct"/>
            <w:gridSpan w:val="4"/>
          </w:tcPr>
          <w:p w:rsidR="006F56EE" w:rsidRPr="00D770F2" w:rsidRDefault="006F56EE" w:rsidP="006F56EE">
            <w:pPr>
              <w:jc w:val="both"/>
              <w:rPr>
                <w:sz w:val="20"/>
              </w:rPr>
            </w:pPr>
            <w:r w:rsidRPr="00D770F2">
              <w:rPr>
                <w:sz w:val="20"/>
              </w:rPr>
              <w:t>Ms. Dittmann sustained serious burns to her lower body when the entire contents of a cup of coffee she ordered at a McDonald’s drive-through spilled as she attempted to transfer the cup into the cup holder in her vehicle.</w:t>
            </w:r>
          </w:p>
          <w:p w:rsidR="006F56EE" w:rsidRPr="00D770F2" w:rsidRDefault="006F56EE" w:rsidP="006F56EE">
            <w:pPr>
              <w:jc w:val="both"/>
              <w:rPr>
                <w:sz w:val="20"/>
              </w:rPr>
            </w:pPr>
          </w:p>
          <w:p w:rsidR="006F56EE" w:rsidRPr="00D770F2" w:rsidRDefault="006F56EE" w:rsidP="006F56EE">
            <w:pPr>
              <w:jc w:val="both"/>
              <w:rPr>
                <w:sz w:val="20"/>
              </w:rPr>
            </w:pPr>
            <w:r w:rsidRPr="00D770F2">
              <w:rPr>
                <w:sz w:val="20"/>
              </w:rPr>
              <w:t xml:space="preserve">The trial judge determined that Ms. Dittmann was impaired as a result of an accident as defined in the </w:t>
            </w:r>
            <w:r w:rsidRPr="00D770F2">
              <w:rPr>
                <w:i/>
                <w:sz w:val="20"/>
              </w:rPr>
              <w:t>Statutory Accident Benefits Schedule</w:t>
            </w:r>
            <w:r w:rsidRPr="00D770F2">
              <w:rPr>
                <w:sz w:val="20"/>
              </w:rPr>
              <w:t xml:space="preserve">, O. Reg. 34/10. She was therefore entitled to accident benefits in accordance with her insurance policy. The Court of Appeal dismissed the insurer’s appeal, holding that the motions judge did not err in his application of the causation test in the </w:t>
            </w:r>
            <w:r w:rsidRPr="00D770F2">
              <w:rPr>
                <w:i/>
                <w:sz w:val="20"/>
              </w:rPr>
              <w:t>Statutory Accident Benefits Schedule</w:t>
            </w:r>
            <w:r w:rsidRPr="00D770F2">
              <w:rPr>
                <w:sz w:val="20"/>
              </w:rPr>
              <w:t>.</w:t>
            </w:r>
          </w:p>
          <w:p w:rsidR="006F56EE" w:rsidRPr="00D770F2" w:rsidRDefault="006F56EE" w:rsidP="006F56EE">
            <w:pPr>
              <w:jc w:val="both"/>
              <w:rPr>
                <w:sz w:val="20"/>
              </w:rPr>
            </w:pPr>
          </w:p>
        </w:tc>
      </w:tr>
      <w:tr w:rsidR="006F56EE" w:rsidRPr="00D770F2" w:rsidTr="006F56EE">
        <w:tc>
          <w:tcPr>
            <w:tcW w:w="2427" w:type="pct"/>
            <w:gridSpan w:val="2"/>
          </w:tcPr>
          <w:p w:rsidR="006F56EE" w:rsidRPr="00D770F2" w:rsidRDefault="006F56EE" w:rsidP="006F56EE">
            <w:pPr>
              <w:jc w:val="both"/>
              <w:rPr>
                <w:sz w:val="20"/>
              </w:rPr>
            </w:pPr>
            <w:r w:rsidRPr="00D770F2">
              <w:rPr>
                <w:sz w:val="20"/>
              </w:rPr>
              <w:t>October 24, 2016</w:t>
            </w:r>
          </w:p>
          <w:p w:rsidR="006F56EE" w:rsidRPr="00D770F2" w:rsidRDefault="006F56EE" w:rsidP="006F56EE">
            <w:pPr>
              <w:jc w:val="both"/>
              <w:rPr>
                <w:sz w:val="20"/>
              </w:rPr>
            </w:pPr>
            <w:r w:rsidRPr="00D770F2">
              <w:rPr>
                <w:sz w:val="20"/>
              </w:rPr>
              <w:t>Ontario Superior Court of Justice</w:t>
            </w:r>
          </w:p>
          <w:p w:rsidR="006F56EE" w:rsidRPr="00D770F2" w:rsidRDefault="006F56EE" w:rsidP="006F56EE">
            <w:pPr>
              <w:jc w:val="both"/>
              <w:rPr>
                <w:sz w:val="20"/>
              </w:rPr>
            </w:pPr>
            <w:r w:rsidRPr="00D770F2">
              <w:rPr>
                <w:sz w:val="20"/>
              </w:rPr>
              <w:t>(Gordon J.)</w:t>
            </w:r>
          </w:p>
          <w:p w:rsidR="006F56EE" w:rsidRPr="00D770F2" w:rsidRDefault="009479D6" w:rsidP="006F56EE">
            <w:pPr>
              <w:jc w:val="both"/>
              <w:rPr>
                <w:sz w:val="20"/>
              </w:rPr>
            </w:pPr>
            <w:hyperlink r:id="rId84" w:history="1">
              <w:r w:rsidR="006F56EE" w:rsidRPr="00D770F2">
                <w:rPr>
                  <w:rStyle w:val="Hyperlink"/>
                  <w:sz w:val="20"/>
                </w:rPr>
                <w:t>2016 ONSC 6429</w:t>
              </w:r>
            </w:hyperlink>
          </w:p>
          <w:p w:rsidR="006F56EE" w:rsidRPr="00D770F2" w:rsidRDefault="006F56EE" w:rsidP="006F56EE">
            <w:pPr>
              <w:jc w:val="both"/>
              <w:rPr>
                <w:sz w:val="20"/>
              </w:rPr>
            </w:pPr>
          </w:p>
        </w:tc>
        <w:tc>
          <w:tcPr>
            <w:tcW w:w="243" w:type="pct"/>
          </w:tcPr>
          <w:p w:rsidR="006F56EE" w:rsidRPr="00D770F2" w:rsidRDefault="006F56EE" w:rsidP="006F56EE">
            <w:pPr>
              <w:jc w:val="both"/>
              <w:rPr>
                <w:sz w:val="20"/>
              </w:rPr>
            </w:pPr>
          </w:p>
        </w:tc>
        <w:tc>
          <w:tcPr>
            <w:tcW w:w="2330" w:type="pct"/>
          </w:tcPr>
          <w:p w:rsidR="006F56EE" w:rsidRPr="00D770F2" w:rsidRDefault="006F56EE" w:rsidP="006F56EE">
            <w:pPr>
              <w:jc w:val="both"/>
              <w:rPr>
                <w:sz w:val="20"/>
              </w:rPr>
            </w:pPr>
            <w:r w:rsidRPr="00D770F2">
              <w:rPr>
                <w:sz w:val="20"/>
              </w:rPr>
              <w:t xml:space="preserve">Order that Ms. Dittman’s impairment is a result of an accident as defined in the </w:t>
            </w:r>
            <w:r w:rsidRPr="00D770F2">
              <w:rPr>
                <w:i/>
                <w:sz w:val="20"/>
              </w:rPr>
              <w:t>Statutory Accident Benefits Schedule</w:t>
            </w:r>
            <w:r w:rsidRPr="00D770F2">
              <w:rPr>
                <w:sz w:val="20"/>
              </w:rPr>
              <w:t>; Ms. Dittmann is entitled to the accident benefit coverage provided in her policy of insurance</w:t>
            </w:r>
          </w:p>
          <w:p w:rsidR="006F56EE" w:rsidRPr="00D770F2" w:rsidRDefault="006F56EE" w:rsidP="006F56EE">
            <w:pPr>
              <w:jc w:val="both"/>
              <w:rPr>
                <w:sz w:val="20"/>
              </w:rPr>
            </w:pPr>
          </w:p>
        </w:tc>
      </w:tr>
      <w:tr w:rsidR="006F56EE" w:rsidRPr="00D770F2" w:rsidTr="006F56EE">
        <w:tc>
          <w:tcPr>
            <w:tcW w:w="2427" w:type="pct"/>
            <w:gridSpan w:val="2"/>
          </w:tcPr>
          <w:p w:rsidR="006F56EE" w:rsidRPr="00D770F2" w:rsidRDefault="006F56EE" w:rsidP="006F56EE">
            <w:pPr>
              <w:jc w:val="both"/>
              <w:rPr>
                <w:sz w:val="20"/>
              </w:rPr>
            </w:pPr>
            <w:r w:rsidRPr="00D770F2">
              <w:rPr>
                <w:sz w:val="20"/>
              </w:rPr>
              <w:t>July 21, 2017</w:t>
            </w:r>
          </w:p>
          <w:p w:rsidR="006F56EE" w:rsidRPr="00D770F2" w:rsidRDefault="006F56EE" w:rsidP="006F56EE">
            <w:pPr>
              <w:jc w:val="both"/>
              <w:rPr>
                <w:sz w:val="20"/>
              </w:rPr>
            </w:pPr>
            <w:r w:rsidRPr="00D770F2">
              <w:rPr>
                <w:sz w:val="20"/>
              </w:rPr>
              <w:t>Court of Appeal for Ontario</w:t>
            </w:r>
          </w:p>
          <w:p w:rsidR="006F56EE" w:rsidRPr="00D770F2" w:rsidRDefault="006F56EE" w:rsidP="006F56EE">
            <w:pPr>
              <w:jc w:val="both"/>
              <w:rPr>
                <w:sz w:val="20"/>
              </w:rPr>
            </w:pPr>
            <w:r w:rsidRPr="00D770F2">
              <w:rPr>
                <w:sz w:val="20"/>
              </w:rPr>
              <w:t xml:space="preserve">(Sharpe, </w:t>
            </w:r>
            <w:proofErr w:type="spellStart"/>
            <w:r w:rsidRPr="00D770F2">
              <w:rPr>
                <w:sz w:val="20"/>
              </w:rPr>
              <w:t>Lauwers</w:t>
            </w:r>
            <w:proofErr w:type="spellEnd"/>
            <w:r w:rsidRPr="00D770F2">
              <w:rPr>
                <w:sz w:val="20"/>
              </w:rPr>
              <w:t>, Roberts JJ.A.)</w:t>
            </w:r>
          </w:p>
          <w:p w:rsidR="006F56EE" w:rsidRPr="00D770F2" w:rsidRDefault="009479D6" w:rsidP="006F56EE">
            <w:pPr>
              <w:jc w:val="both"/>
              <w:rPr>
                <w:sz w:val="20"/>
              </w:rPr>
            </w:pPr>
            <w:hyperlink r:id="rId85" w:history="1">
              <w:r w:rsidR="006F56EE" w:rsidRPr="00D770F2">
                <w:rPr>
                  <w:rStyle w:val="Hyperlink"/>
                  <w:sz w:val="20"/>
                </w:rPr>
                <w:t>2017 ONCA 617</w:t>
              </w:r>
            </w:hyperlink>
          </w:p>
          <w:p w:rsidR="006F56EE" w:rsidRPr="00D770F2" w:rsidRDefault="006F56EE" w:rsidP="006F56EE">
            <w:pPr>
              <w:jc w:val="both"/>
              <w:rPr>
                <w:sz w:val="20"/>
              </w:rPr>
            </w:pPr>
          </w:p>
        </w:tc>
        <w:tc>
          <w:tcPr>
            <w:tcW w:w="243" w:type="pct"/>
          </w:tcPr>
          <w:p w:rsidR="006F56EE" w:rsidRPr="00D770F2" w:rsidRDefault="006F56EE" w:rsidP="006F56EE">
            <w:pPr>
              <w:jc w:val="both"/>
              <w:rPr>
                <w:sz w:val="20"/>
              </w:rPr>
            </w:pPr>
          </w:p>
        </w:tc>
        <w:tc>
          <w:tcPr>
            <w:tcW w:w="2330" w:type="pct"/>
          </w:tcPr>
          <w:p w:rsidR="006F56EE" w:rsidRPr="00D770F2" w:rsidRDefault="006F56EE" w:rsidP="006F56EE">
            <w:pPr>
              <w:jc w:val="both"/>
              <w:rPr>
                <w:sz w:val="20"/>
              </w:rPr>
            </w:pPr>
            <w:r w:rsidRPr="00D770F2">
              <w:rPr>
                <w:sz w:val="20"/>
              </w:rPr>
              <w:t>Appeal dismissed</w:t>
            </w:r>
          </w:p>
          <w:p w:rsidR="006F56EE" w:rsidRPr="00D770F2" w:rsidRDefault="006F56EE" w:rsidP="006F56EE">
            <w:pPr>
              <w:jc w:val="both"/>
              <w:rPr>
                <w:sz w:val="20"/>
              </w:rPr>
            </w:pPr>
          </w:p>
        </w:tc>
      </w:tr>
      <w:tr w:rsidR="006F56EE" w:rsidRPr="00D770F2" w:rsidTr="006F56EE">
        <w:tc>
          <w:tcPr>
            <w:tcW w:w="2427" w:type="pct"/>
            <w:gridSpan w:val="2"/>
          </w:tcPr>
          <w:p w:rsidR="006F56EE" w:rsidRPr="00D770F2" w:rsidRDefault="006F56EE" w:rsidP="006F56EE">
            <w:pPr>
              <w:jc w:val="both"/>
              <w:rPr>
                <w:sz w:val="20"/>
              </w:rPr>
            </w:pPr>
            <w:r w:rsidRPr="00D770F2">
              <w:rPr>
                <w:sz w:val="20"/>
              </w:rPr>
              <w:t>September 27, 2017</w:t>
            </w:r>
          </w:p>
          <w:p w:rsidR="006F56EE" w:rsidRPr="00D770F2" w:rsidRDefault="006F56EE" w:rsidP="006F56EE">
            <w:pPr>
              <w:jc w:val="both"/>
              <w:rPr>
                <w:sz w:val="20"/>
              </w:rPr>
            </w:pPr>
            <w:r w:rsidRPr="00D770F2">
              <w:rPr>
                <w:sz w:val="20"/>
              </w:rPr>
              <w:t>Supreme Court of Canada</w:t>
            </w:r>
          </w:p>
        </w:tc>
        <w:tc>
          <w:tcPr>
            <w:tcW w:w="243" w:type="pct"/>
          </w:tcPr>
          <w:p w:rsidR="006F56EE" w:rsidRPr="00D770F2" w:rsidRDefault="006F56EE" w:rsidP="006F56EE">
            <w:pPr>
              <w:jc w:val="both"/>
              <w:rPr>
                <w:sz w:val="20"/>
              </w:rPr>
            </w:pPr>
          </w:p>
        </w:tc>
        <w:tc>
          <w:tcPr>
            <w:tcW w:w="2330" w:type="pct"/>
          </w:tcPr>
          <w:p w:rsidR="006F56EE" w:rsidRPr="00D770F2" w:rsidRDefault="006F56EE" w:rsidP="006F56EE">
            <w:pPr>
              <w:jc w:val="both"/>
              <w:rPr>
                <w:sz w:val="20"/>
              </w:rPr>
            </w:pPr>
            <w:r w:rsidRPr="00D770F2">
              <w:rPr>
                <w:sz w:val="20"/>
              </w:rPr>
              <w:t>Application for leave to appeal filed</w:t>
            </w:r>
          </w:p>
          <w:p w:rsidR="006F56EE" w:rsidRPr="00D770F2" w:rsidRDefault="006F56EE" w:rsidP="006F56EE">
            <w:pPr>
              <w:jc w:val="both"/>
              <w:rPr>
                <w:sz w:val="20"/>
              </w:rPr>
            </w:pPr>
          </w:p>
        </w:tc>
      </w:tr>
    </w:tbl>
    <w:p w:rsidR="006F56EE" w:rsidRPr="00D770F2" w:rsidRDefault="006F56EE" w:rsidP="006F56EE">
      <w:pPr>
        <w:jc w:val="both"/>
        <w:rPr>
          <w:sz w:val="20"/>
        </w:rPr>
      </w:pPr>
    </w:p>
    <w:p w:rsidR="009303CD" w:rsidRPr="00D770F2" w:rsidRDefault="009303CD" w:rsidP="006F56E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56EE" w:rsidRPr="00D770F2" w:rsidTr="006F56EE">
        <w:tc>
          <w:tcPr>
            <w:tcW w:w="543" w:type="pct"/>
          </w:tcPr>
          <w:p w:rsidR="006F56EE" w:rsidRPr="00D770F2" w:rsidRDefault="006F56EE" w:rsidP="006F56EE">
            <w:pPr>
              <w:jc w:val="both"/>
              <w:rPr>
                <w:sz w:val="20"/>
              </w:rPr>
            </w:pPr>
            <w:r w:rsidRPr="00D770F2">
              <w:rPr>
                <w:rStyle w:val="SCCFileNumberChar"/>
                <w:sz w:val="20"/>
                <w:szCs w:val="20"/>
              </w:rPr>
              <w:t>37762</w:t>
            </w:r>
          </w:p>
        </w:tc>
        <w:tc>
          <w:tcPr>
            <w:tcW w:w="4457" w:type="pct"/>
            <w:gridSpan w:val="3"/>
          </w:tcPr>
          <w:p w:rsidR="006F56EE" w:rsidRPr="00D770F2" w:rsidRDefault="006F56EE" w:rsidP="006F56EE">
            <w:pPr>
              <w:pStyle w:val="SCCLsocParty"/>
              <w:jc w:val="both"/>
              <w:rPr>
                <w:b/>
                <w:sz w:val="20"/>
                <w:szCs w:val="20"/>
                <w:lang w:val="en-US"/>
              </w:rPr>
            </w:pPr>
            <w:r w:rsidRPr="00D770F2">
              <w:rPr>
                <w:b/>
                <w:sz w:val="20"/>
                <w:szCs w:val="20"/>
                <w:lang w:val="en-US"/>
              </w:rPr>
              <w:t>Aviva Insurance Company of Canada c. Erin Dittmann</w:t>
            </w:r>
          </w:p>
          <w:p w:rsidR="006F56EE" w:rsidRPr="00D770F2" w:rsidRDefault="006F56EE" w:rsidP="006F56EE">
            <w:pPr>
              <w:jc w:val="both"/>
              <w:rPr>
                <w:sz w:val="20"/>
              </w:rPr>
            </w:pPr>
            <w:r w:rsidRPr="00D770F2">
              <w:rPr>
                <w:sz w:val="20"/>
              </w:rPr>
              <w:t>(Ont.) (Civile) (Sur autorisation)</w:t>
            </w:r>
          </w:p>
        </w:tc>
      </w:tr>
      <w:tr w:rsidR="006F56EE" w:rsidRPr="0030635C" w:rsidTr="006F56EE">
        <w:tc>
          <w:tcPr>
            <w:tcW w:w="5000" w:type="pct"/>
            <w:gridSpan w:val="4"/>
          </w:tcPr>
          <w:p w:rsidR="006F56EE" w:rsidRPr="00D770F2" w:rsidRDefault="006F56EE" w:rsidP="006F56EE">
            <w:pPr>
              <w:jc w:val="both"/>
              <w:rPr>
                <w:sz w:val="20"/>
                <w:lang w:val="fr-CA"/>
              </w:rPr>
            </w:pPr>
            <w:r w:rsidRPr="00D770F2">
              <w:rPr>
                <w:sz w:val="20"/>
                <w:lang w:val="fr-CA"/>
              </w:rPr>
              <w:t>Assurance — Assurance automobile — Indemnités d’accident légales sans égard à la faute — Définition d’« accident </w:t>
            </w:r>
            <w:r w:rsidRPr="00D770F2">
              <w:rPr>
                <w:rFonts w:asciiTheme="minorBidi" w:hAnsiTheme="minorBidi"/>
                <w:sz w:val="20"/>
                <w:lang w:val="fr-CA"/>
              </w:rPr>
              <w:t>»</w:t>
            </w:r>
            <w:r w:rsidRPr="00D770F2">
              <w:rPr>
                <w:sz w:val="20"/>
                <w:lang w:val="fr-CA"/>
              </w:rPr>
              <w:t xml:space="preserve"> — Lien de causalité — Qu’est-ce qu’un accident au sens de la loi ontarienne sur l’assurance automobile? — La définition d’« accident </w:t>
            </w:r>
            <w:r w:rsidRPr="00D770F2">
              <w:rPr>
                <w:rFonts w:asciiTheme="minorBidi" w:hAnsiTheme="minorBidi"/>
                <w:sz w:val="20"/>
                <w:lang w:val="fr-CA"/>
              </w:rPr>
              <w:t xml:space="preserve">» au </w:t>
            </w:r>
            <w:proofErr w:type="spellStart"/>
            <w:r w:rsidRPr="00D770F2">
              <w:rPr>
                <w:rFonts w:asciiTheme="minorBidi" w:hAnsiTheme="minorBidi"/>
                <w:sz w:val="20"/>
                <w:lang w:val="fr-CA"/>
              </w:rPr>
              <w:t>par</w:t>
            </w:r>
            <w:proofErr w:type="spellEnd"/>
            <w:r w:rsidRPr="00D770F2">
              <w:rPr>
                <w:rFonts w:asciiTheme="minorBidi" w:hAnsiTheme="minorBidi"/>
                <w:sz w:val="20"/>
                <w:lang w:val="fr-CA"/>
              </w:rPr>
              <w:t>. 3(1) de</w:t>
            </w:r>
            <w:r w:rsidRPr="00D770F2">
              <w:rPr>
                <w:sz w:val="20"/>
                <w:lang w:val="fr-FR"/>
              </w:rPr>
              <w:t xml:space="preserve"> l’</w:t>
            </w:r>
            <w:r w:rsidRPr="00D770F2">
              <w:rPr>
                <w:i/>
                <w:sz w:val="20"/>
                <w:lang w:val="fr-FR"/>
              </w:rPr>
              <w:t>Annexe sur les indemnités d’accident légales</w:t>
            </w:r>
            <w:r w:rsidRPr="00D770F2">
              <w:rPr>
                <w:sz w:val="20"/>
                <w:lang w:val="fr-FR"/>
              </w:rPr>
              <w:t xml:space="preserve">, </w:t>
            </w:r>
            <w:proofErr w:type="spellStart"/>
            <w:r w:rsidRPr="00D770F2">
              <w:rPr>
                <w:sz w:val="20"/>
                <w:lang w:val="fr-FR"/>
              </w:rPr>
              <w:t>Règl</w:t>
            </w:r>
            <w:proofErr w:type="spellEnd"/>
            <w:r w:rsidRPr="00D770F2">
              <w:rPr>
                <w:sz w:val="20"/>
                <w:lang w:val="fr-FR"/>
              </w:rPr>
              <w:t>. de l’Ont. 34/10, vise-t-elle la situation où une personne se renverse du café sur elle lorsqu’elle est assise dans une voiture immobile?</w:t>
            </w:r>
          </w:p>
          <w:p w:rsidR="006F56EE" w:rsidRPr="00D770F2" w:rsidRDefault="006F56EE" w:rsidP="006F56EE">
            <w:pPr>
              <w:jc w:val="both"/>
              <w:rPr>
                <w:sz w:val="20"/>
                <w:lang w:val="fr-CA"/>
              </w:rPr>
            </w:pPr>
          </w:p>
        </w:tc>
      </w:tr>
      <w:tr w:rsidR="006F56EE" w:rsidRPr="0030635C" w:rsidTr="006F56EE">
        <w:tc>
          <w:tcPr>
            <w:tcW w:w="5000" w:type="pct"/>
            <w:gridSpan w:val="4"/>
          </w:tcPr>
          <w:p w:rsidR="006F56EE" w:rsidRPr="00D770F2" w:rsidRDefault="006F56EE" w:rsidP="006F56EE">
            <w:pPr>
              <w:jc w:val="both"/>
              <w:rPr>
                <w:sz w:val="20"/>
                <w:lang w:val="fr-CA"/>
              </w:rPr>
            </w:pPr>
            <w:r w:rsidRPr="00D770F2">
              <w:rPr>
                <w:sz w:val="20"/>
                <w:lang w:val="fr-CA"/>
              </w:rPr>
              <w:t>M</w:t>
            </w:r>
            <w:r w:rsidRPr="00D770F2">
              <w:rPr>
                <w:sz w:val="20"/>
                <w:vertAlign w:val="superscript"/>
                <w:lang w:val="fr-CA"/>
              </w:rPr>
              <w:t>me</w:t>
            </w:r>
            <w:r w:rsidRPr="00D770F2">
              <w:rPr>
                <w:sz w:val="20"/>
                <w:lang w:val="fr-CA"/>
              </w:rPr>
              <w:t> </w:t>
            </w:r>
            <w:proofErr w:type="spellStart"/>
            <w:r w:rsidRPr="00D770F2">
              <w:rPr>
                <w:sz w:val="20"/>
                <w:lang w:val="fr-CA"/>
              </w:rPr>
              <w:t>Dittmann</w:t>
            </w:r>
            <w:proofErr w:type="spellEnd"/>
            <w:r w:rsidRPr="00D770F2">
              <w:rPr>
                <w:sz w:val="20"/>
                <w:lang w:val="fr-CA"/>
              </w:rPr>
              <w:t xml:space="preserve"> a subi de graves brûlures au bas du corps lorsque la tasse de café qu’elle avait commandée à la commande à l’auto d’un restaurant McDonald s’est totalement renversée sur elle au moment où elle tentait de la placer dans le porte-gobelet de sa voiture.</w:t>
            </w:r>
          </w:p>
          <w:p w:rsidR="006F56EE" w:rsidRPr="00D770F2" w:rsidRDefault="006F56EE" w:rsidP="006F56EE">
            <w:pPr>
              <w:jc w:val="both"/>
              <w:rPr>
                <w:sz w:val="20"/>
                <w:lang w:val="fr-CA"/>
              </w:rPr>
            </w:pPr>
          </w:p>
        </w:tc>
      </w:tr>
      <w:tr w:rsidR="006F56EE" w:rsidRPr="0030635C" w:rsidTr="006F56EE">
        <w:tc>
          <w:tcPr>
            <w:tcW w:w="5000" w:type="pct"/>
            <w:gridSpan w:val="4"/>
          </w:tcPr>
          <w:p w:rsidR="006F56EE" w:rsidRPr="00D770F2" w:rsidRDefault="006F56EE" w:rsidP="006F56EE">
            <w:pPr>
              <w:jc w:val="both"/>
              <w:rPr>
                <w:sz w:val="20"/>
                <w:lang w:val="fr-CA"/>
              </w:rPr>
            </w:pPr>
            <w:r w:rsidRPr="00D770F2">
              <w:rPr>
                <w:sz w:val="20"/>
                <w:lang w:val="fr-CA"/>
              </w:rPr>
              <w:t>Le juge du procès a conclu que M</w:t>
            </w:r>
            <w:r w:rsidRPr="00D770F2">
              <w:rPr>
                <w:sz w:val="20"/>
                <w:vertAlign w:val="superscript"/>
                <w:lang w:val="fr-CA"/>
              </w:rPr>
              <w:t>me</w:t>
            </w:r>
            <w:r w:rsidRPr="00D770F2">
              <w:rPr>
                <w:sz w:val="20"/>
                <w:lang w:val="fr-CA"/>
              </w:rPr>
              <w:t> Dittmann a été blessée par suite d’un accident au sens de</w:t>
            </w:r>
            <w:r w:rsidRPr="00D770F2">
              <w:rPr>
                <w:sz w:val="20"/>
                <w:lang w:val="fr-FR"/>
              </w:rPr>
              <w:t xml:space="preserve"> l’</w:t>
            </w:r>
            <w:r w:rsidRPr="00D770F2">
              <w:rPr>
                <w:i/>
                <w:sz w:val="20"/>
                <w:lang w:val="fr-FR"/>
              </w:rPr>
              <w:t>Annexe sur les indemnités d’accident légales</w:t>
            </w:r>
            <w:r w:rsidRPr="00D770F2">
              <w:rPr>
                <w:sz w:val="20"/>
                <w:lang w:val="fr-FR"/>
              </w:rPr>
              <w:t xml:space="preserve">, </w:t>
            </w:r>
            <w:proofErr w:type="spellStart"/>
            <w:r w:rsidRPr="00D770F2">
              <w:rPr>
                <w:sz w:val="20"/>
                <w:lang w:val="fr-FR"/>
              </w:rPr>
              <w:t>Règl</w:t>
            </w:r>
            <w:proofErr w:type="spellEnd"/>
            <w:r w:rsidRPr="00D770F2">
              <w:rPr>
                <w:sz w:val="20"/>
                <w:lang w:val="fr-FR"/>
              </w:rPr>
              <w:t>. de l’Ont. 34/10</w:t>
            </w:r>
            <w:r w:rsidRPr="00D770F2">
              <w:rPr>
                <w:sz w:val="20"/>
                <w:lang w:val="fr-CA"/>
              </w:rPr>
              <w:t>. Elle avait donc droit à des indemnités d’accident conformes à sa police d’assurance. La Cour d’appel a rejeté l’appel de l’assureur, concluant que le juge des requêtes n’avait pas commis d’erreur en appliquant le critère de causalité établi par l’</w:t>
            </w:r>
            <w:r w:rsidRPr="00D770F2">
              <w:rPr>
                <w:i/>
                <w:sz w:val="20"/>
                <w:lang w:val="fr-CA"/>
              </w:rPr>
              <w:t>Annexe sur les indemnités d’accident légales</w:t>
            </w:r>
            <w:r w:rsidR="009303CD" w:rsidRPr="00D770F2">
              <w:rPr>
                <w:sz w:val="20"/>
                <w:lang w:val="fr-CA"/>
              </w:rPr>
              <w:t>.</w:t>
            </w:r>
          </w:p>
          <w:p w:rsidR="006F56EE" w:rsidRPr="00D770F2" w:rsidRDefault="006F56EE" w:rsidP="006F56EE">
            <w:pPr>
              <w:jc w:val="both"/>
              <w:rPr>
                <w:sz w:val="20"/>
                <w:lang w:val="fr-CA"/>
              </w:rPr>
            </w:pPr>
          </w:p>
        </w:tc>
      </w:tr>
      <w:tr w:rsidR="006F56EE" w:rsidRPr="0030635C" w:rsidTr="006F56EE">
        <w:tc>
          <w:tcPr>
            <w:tcW w:w="2427" w:type="pct"/>
            <w:gridSpan w:val="2"/>
          </w:tcPr>
          <w:p w:rsidR="006F56EE" w:rsidRPr="00D770F2" w:rsidRDefault="006F56EE" w:rsidP="006F56EE">
            <w:pPr>
              <w:jc w:val="both"/>
              <w:rPr>
                <w:sz w:val="20"/>
                <w:lang w:val="fr-CA"/>
              </w:rPr>
            </w:pPr>
            <w:r w:rsidRPr="00D770F2">
              <w:rPr>
                <w:sz w:val="20"/>
                <w:lang w:val="fr-CA"/>
              </w:rPr>
              <w:t>24 octobre 2016</w:t>
            </w:r>
          </w:p>
          <w:p w:rsidR="006F56EE" w:rsidRPr="00D770F2" w:rsidRDefault="006F56EE" w:rsidP="006F56EE">
            <w:pPr>
              <w:jc w:val="both"/>
              <w:rPr>
                <w:sz w:val="20"/>
                <w:lang w:val="fr-CA"/>
              </w:rPr>
            </w:pPr>
            <w:r w:rsidRPr="00D770F2">
              <w:rPr>
                <w:sz w:val="20"/>
                <w:lang w:val="fr-CA"/>
              </w:rPr>
              <w:t xml:space="preserve">Cour supérieure de justice de l’Ontario </w:t>
            </w:r>
          </w:p>
          <w:p w:rsidR="006F56EE" w:rsidRPr="00D770F2" w:rsidRDefault="006F56EE" w:rsidP="006F56EE">
            <w:pPr>
              <w:jc w:val="both"/>
              <w:rPr>
                <w:sz w:val="20"/>
              </w:rPr>
            </w:pPr>
            <w:r w:rsidRPr="00D770F2">
              <w:rPr>
                <w:sz w:val="20"/>
              </w:rPr>
              <w:t>(Juge Gordon)</w:t>
            </w:r>
          </w:p>
          <w:p w:rsidR="006F56EE" w:rsidRPr="00D770F2" w:rsidRDefault="009479D6" w:rsidP="006F56EE">
            <w:pPr>
              <w:jc w:val="both"/>
              <w:rPr>
                <w:sz w:val="20"/>
              </w:rPr>
            </w:pPr>
            <w:hyperlink r:id="rId86" w:history="1">
              <w:r w:rsidR="006F56EE" w:rsidRPr="00D770F2">
                <w:rPr>
                  <w:rStyle w:val="Hyperlink"/>
                  <w:sz w:val="20"/>
                </w:rPr>
                <w:t>2016 ONSC 6429</w:t>
              </w:r>
            </w:hyperlink>
          </w:p>
          <w:p w:rsidR="006F56EE" w:rsidRPr="00D770F2" w:rsidRDefault="006F56EE" w:rsidP="006F56EE">
            <w:pPr>
              <w:jc w:val="both"/>
              <w:rPr>
                <w:sz w:val="20"/>
              </w:rPr>
            </w:pPr>
          </w:p>
        </w:tc>
        <w:tc>
          <w:tcPr>
            <w:tcW w:w="243" w:type="pct"/>
          </w:tcPr>
          <w:p w:rsidR="006F56EE" w:rsidRPr="00D770F2" w:rsidRDefault="006F56EE" w:rsidP="006F56EE">
            <w:pPr>
              <w:jc w:val="both"/>
              <w:rPr>
                <w:sz w:val="20"/>
              </w:rPr>
            </w:pPr>
          </w:p>
        </w:tc>
        <w:tc>
          <w:tcPr>
            <w:tcW w:w="2330" w:type="pct"/>
          </w:tcPr>
          <w:p w:rsidR="006F56EE" w:rsidRPr="00D770F2" w:rsidRDefault="006F56EE" w:rsidP="006F56EE">
            <w:pPr>
              <w:jc w:val="both"/>
              <w:rPr>
                <w:sz w:val="20"/>
                <w:lang w:val="fr-CA"/>
              </w:rPr>
            </w:pPr>
            <w:r w:rsidRPr="00D770F2">
              <w:rPr>
                <w:sz w:val="20"/>
                <w:lang w:val="fr-CA"/>
              </w:rPr>
              <w:t>Ordonnance concluant à une déficience de M</w:t>
            </w:r>
            <w:r w:rsidRPr="00D770F2">
              <w:rPr>
                <w:sz w:val="20"/>
                <w:vertAlign w:val="superscript"/>
                <w:lang w:val="fr-CA"/>
              </w:rPr>
              <w:t>me</w:t>
            </w:r>
            <w:r w:rsidRPr="00D770F2">
              <w:rPr>
                <w:sz w:val="20"/>
                <w:lang w:val="fr-CA"/>
              </w:rPr>
              <w:t> Dittman par suite d’un accident au sens de l’</w:t>
            </w:r>
            <w:r w:rsidRPr="00D770F2">
              <w:rPr>
                <w:i/>
                <w:sz w:val="20"/>
                <w:lang w:val="fr-CA"/>
              </w:rPr>
              <w:t>Annexe sur les indemnités d’accident légales</w:t>
            </w:r>
            <w:r w:rsidRPr="00D770F2">
              <w:rPr>
                <w:sz w:val="20"/>
                <w:lang w:val="fr-CA"/>
              </w:rPr>
              <w:t xml:space="preserve"> prononcée; droit de M</w:t>
            </w:r>
            <w:r w:rsidRPr="00D770F2">
              <w:rPr>
                <w:sz w:val="20"/>
                <w:vertAlign w:val="superscript"/>
                <w:lang w:val="fr-CA"/>
              </w:rPr>
              <w:t>me</w:t>
            </w:r>
            <w:r w:rsidRPr="00D770F2">
              <w:rPr>
                <w:sz w:val="20"/>
                <w:lang w:val="fr-CA"/>
              </w:rPr>
              <w:t xml:space="preserve"> Dittmann aux indemnités prévues par sa police d’assurance  </w:t>
            </w:r>
          </w:p>
          <w:p w:rsidR="006F56EE" w:rsidRPr="00D770F2" w:rsidRDefault="006F56EE" w:rsidP="006F56EE">
            <w:pPr>
              <w:jc w:val="both"/>
              <w:rPr>
                <w:sz w:val="20"/>
                <w:lang w:val="fr-CA"/>
              </w:rPr>
            </w:pPr>
          </w:p>
        </w:tc>
      </w:tr>
      <w:tr w:rsidR="006F56EE" w:rsidRPr="00D770F2" w:rsidTr="006F56EE">
        <w:tc>
          <w:tcPr>
            <w:tcW w:w="2427" w:type="pct"/>
            <w:gridSpan w:val="2"/>
          </w:tcPr>
          <w:p w:rsidR="006F56EE" w:rsidRPr="00D770F2" w:rsidRDefault="006F56EE" w:rsidP="006F56EE">
            <w:pPr>
              <w:jc w:val="both"/>
              <w:rPr>
                <w:sz w:val="20"/>
                <w:lang w:val="fr-CA"/>
              </w:rPr>
            </w:pPr>
            <w:r w:rsidRPr="00D770F2">
              <w:rPr>
                <w:sz w:val="20"/>
                <w:lang w:val="fr-CA"/>
              </w:rPr>
              <w:t>21 juillet 2017</w:t>
            </w:r>
          </w:p>
          <w:p w:rsidR="006F56EE" w:rsidRPr="00D770F2" w:rsidRDefault="006F56EE" w:rsidP="006F56EE">
            <w:pPr>
              <w:jc w:val="both"/>
              <w:rPr>
                <w:sz w:val="20"/>
                <w:lang w:val="fr-CA"/>
              </w:rPr>
            </w:pPr>
            <w:r w:rsidRPr="00D770F2">
              <w:rPr>
                <w:sz w:val="20"/>
                <w:lang w:val="fr-CA"/>
              </w:rPr>
              <w:t>Cour d’appel de l’Ontario</w:t>
            </w:r>
          </w:p>
          <w:p w:rsidR="006F56EE" w:rsidRPr="00D770F2" w:rsidRDefault="006F56EE" w:rsidP="006F56EE">
            <w:pPr>
              <w:jc w:val="both"/>
              <w:rPr>
                <w:sz w:val="20"/>
                <w:lang w:val="fr-CA"/>
              </w:rPr>
            </w:pPr>
            <w:r w:rsidRPr="00D770F2">
              <w:rPr>
                <w:sz w:val="20"/>
                <w:lang w:val="fr-CA"/>
              </w:rPr>
              <w:t xml:space="preserve">(Juges Sharpe, </w:t>
            </w:r>
            <w:proofErr w:type="spellStart"/>
            <w:r w:rsidRPr="00D770F2">
              <w:rPr>
                <w:sz w:val="20"/>
                <w:lang w:val="fr-CA"/>
              </w:rPr>
              <w:t>Lauwers</w:t>
            </w:r>
            <w:proofErr w:type="spellEnd"/>
            <w:r w:rsidRPr="00D770F2">
              <w:rPr>
                <w:sz w:val="20"/>
                <w:lang w:val="fr-CA"/>
              </w:rPr>
              <w:t xml:space="preserve"> et Roberts)</w:t>
            </w:r>
          </w:p>
          <w:p w:rsidR="006F56EE" w:rsidRPr="00D770F2" w:rsidRDefault="009479D6" w:rsidP="006F56EE">
            <w:pPr>
              <w:jc w:val="both"/>
              <w:rPr>
                <w:sz w:val="20"/>
              </w:rPr>
            </w:pPr>
            <w:hyperlink r:id="rId87" w:history="1">
              <w:r w:rsidR="006F56EE" w:rsidRPr="00D770F2">
                <w:rPr>
                  <w:rStyle w:val="Hyperlink"/>
                  <w:sz w:val="20"/>
                </w:rPr>
                <w:t>2017 ONCA 617</w:t>
              </w:r>
            </w:hyperlink>
          </w:p>
          <w:p w:rsidR="006F56EE" w:rsidRPr="00D770F2" w:rsidRDefault="006F56EE" w:rsidP="006F56EE">
            <w:pPr>
              <w:jc w:val="both"/>
              <w:rPr>
                <w:sz w:val="20"/>
              </w:rPr>
            </w:pPr>
          </w:p>
        </w:tc>
        <w:tc>
          <w:tcPr>
            <w:tcW w:w="243" w:type="pct"/>
          </w:tcPr>
          <w:p w:rsidR="006F56EE" w:rsidRPr="00D770F2" w:rsidRDefault="006F56EE" w:rsidP="006F56EE">
            <w:pPr>
              <w:jc w:val="both"/>
              <w:rPr>
                <w:sz w:val="20"/>
              </w:rPr>
            </w:pPr>
          </w:p>
        </w:tc>
        <w:tc>
          <w:tcPr>
            <w:tcW w:w="2330" w:type="pct"/>
          </w:tcPr>
          <w:p w:rsidR="006F56EE" w:rsidRPr="00D770F2" w:rsidRDefault="006F56EE" w:rsidP="006F56EE">
            <w:pPr>
              <w:jc w:val="both"/>
              <w:rPr>
                <w:sz w:val="20"/>
              </w:rPr>
            </w:pPr>
            <w:r w:rsidRPr="00D770F2">
              <w:rPr>
                <w:sz w:val="20"/>
              </w:rPr>
              <w:t xml:space="preserve">Appel </w:t>
            </w:r>
            <w:proofErr w:type="spellStart"/>
            <w:r w:rsidRPr="00D770F2">
              <w:rPr>
                <w:sz w:val="20"/>
              </w:rPr>
              <w:t>rejeté</w:t>
            </w:r>
            <w:proofErr w:type="spellEnd"/>
          </w:p>
          <w:p w:rsidR="006F56EE" w:rsidRPr="00D770F2" w:rsidRDefault="006F56EE" w:rsidP="006F56EE">
            <w:pPr>
              <w:jc w:val="both"/>
              <w:rPr>
                <w:sz w:val="20"/>
              </w:rPr>
            </w:pPr>
          </w:p>
        </w:tc>
      </w:tr>
      <w:tr w:rsidR="006F56EE" w:rsidRPr="00D770F2" w:rsidTr="006F56EE">
        <w:tc>
          <w:tcPr>
            <w:tcW w:w="2427" w:type="pct"/>
            <w:gridSpan w:val="2"/>
          </w:tcPr>
          <w:p w:rsidR="006F56EE" w:rsidRPr="00D770F2" w:rsidRDefault="006F56EE" w:rsidP="006F56EE">
            <w:pPr>
              <w:jc w:val="both"/>
              <w:rPr>
                <w:sz w:val="20"/>
                <w:lang w:val="fr-CA"/>
              </w:rPr>
            </w:pPr>
            <w:r w:rsidRPr="00D770F2">
              <w:rPr>
                <w:sz w:val="20"/>
                <w:lang w:val="fr-CA"/>
              </w:rPr>
              <w:t>27 septembre 2017</w:t>
            </w:r>
          </w:p>
          <w:p w:rsidR="006F56EE" w:rsidRPr="00D770F2" w:rsidRDefault="006F56EE" w:rsidP="006F56EE">
            <w:pPr>
              <w:jc w:val="both"/>
              <w:rPr>
                <w:sz w:val="20"/>
                <w:lang w:val="fr-CA"/>
              </w:rPr>
            </w:pPr>
            <w:r w:rsidRPr="00D770F2">
              <w:rPr>
                <w:sz w:val="20"/>
                <w:lang w:val="fr-CA"/>
              </w:rPr>
              <w:t>Cour suprême du Canada</w:t>
            </w:r>
          </w:p>
        </w:tc>
        <w:tc>
          <w:tcPr>
            <w:tcW w:w="243" w:type="pct"/>
          </w:tcPr>
          <w:p w:rsidR="006F56EE" w:rsidRPr="00D770F2" w:rsidRDefault="006F56EE" w:rsidP="006F56EE">
            <w:pPr>
              <w:jc w:val="both"/>
              <w:rPr>
                <w:sz w:val="20"/>
                <w:lang w:val="fr-CA"/>
              </w:rPr>
            </w:pPr>
          </w:p>
        </w:tc>
        <w:tc>
          <w:tcPr>
            <w:tcW w:w="2330" w:type="pct"/>
          </w:tcPr>
          <w:p w:rsidR="006F56EE" w:rsidRPr="00D770F2" w:rsidRDefault="006F56EE" w:rsidP="006F56EE">
            <w:pPr>
              <w:jc w:val="both"/>
              <w:rPr>
                <w:sz w:val="20"/>
              </w:rPr>
            </w:pPr>
            <w:r w:rsidRPr="00D770F2">
              <w:rPr>
                <w:sz w:val="20"/>
              </w:rPr>
              <w:t>Demande d’autorisation d’appel déposée</w:t>
            </w:r>
          </w:p>
          <w:p w:rsidR="006F56EE" w:rsidRPr="00D770F2" w:rsidRDefault="006F56EE" w:rsidP="006F56EE">
            <w:pPr>
              <w:jc w:val="both"/>
              <w:rPr>
                <w:sz w:val="20"/>
              </w:rPr>
            </w:pPr>
          </w:p>
        </w:tc>
      </w:tr>
    </w:tbl>
    <w:p w:rsidR="006F56EE" w:rsidRPr="00D770F2" w:rsidRDefault="006F56EE" w:rsidP="006F56EE">
      <w:pPr>
        <w:jc w:val="both"/>
        <w:rPr>
          <w:sz w:val="20"/>
        </w:rPr>
      </w:pPr>
    </w:p>
    <w:p w:rsidR="001E6FC9" w:rsidRPr="00D770F2" w:rsidRDefault="001E6FC9" w:rsidP="006F56E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56EE" w:rsidRPr="00D770F2" w:rsidTr="006F56EE">
        <w:tc>
          <w:tcPr>
            <w:tcW w:w="543" w:type="pct"/>
          </w:tcPr>
          <w:p w:rsidR="006F56EE" w:rsidRPr="00D770F2" w:rsidRDefault="006F56EE" w:rsidP="006F56EE">
            <w:pPr>
              <w:jc w:val="both"/>
              <w:rPr>
                <w:sz w:val="20"/>
              </w:rPr>
            </w:pPr>
            <w:r w:rsidRPr="00D770F2">
              <w:rPr>
                <w:rStyle w:val="SCCFileNumberChar"/>
                <w:sz w:val="20"/>
                <w:szCs w:val="20"/>
              </w:rPr>
              <w:t>37734</w:t>
            </w:r>
          </w:p>
        </w:tc>
        <w:tc>
          <w:tcPr>
            <w:tcW w:w="4457" w:type="pct"/>
            <w:gridSpan w:val="3"/>
          </w:tcPr>
          <w:p w:rsidR="006F56EE" w:rsidRPr="00D770F2" w:rsidRDefault="006F56EE" w:rsidP="006F56EE">
            <w:pPr>
              <w:pStyle w:val="SCCLsocParty"/>
              <w:jc w:val="both"/>
              <w:rPr>
                <w:b/>
                <w:sz w:val="20"/>
                <w:szCs w:val="20"/>
                <w:lang w:val="en-US"/>
              </w:rPr>
            </w:pPr>
            <w:r w:rsidRPr="00D770F2">
              <w:rPr>
                <w:b/>
                <w:sz w:val="20"/>
                <w:szCs w:val="20"/>
                <w:lang w:val="en-US"/>
              </w:rPr>
              <w:t>Brenlee Kemp on her own behalf and as Executrix of the Estate of Shannon Jean Kemp, deceased v. Vancouver Coastal Health Authority Ltd., dba Vancouver General Hospital, David Sweet, Riyad B. Abu-Laban, Steven Sutcliffe, Dean Chittock</w:t>
            </w:r>
          </w:p>
          <w:p w:rsidR="006F56EE" w:rsidRPr="00D770F2" w:rsidRDefault="006F56EE" w:rsidP="006F56EE">
            <w:pPr>
              <w:pStyle w:val="SCCLsocSubfileSeparator"/>
              <w:rPr>
                <w:sz w:val="20"/>
                <w:szCs w:val="20"/>
              </w:rPr>
            </w:pPr>
            <w:r w:rsidRPr="00D770F2">
              <w:rPr>
                <w:sz w:val="20"/>
                <w:szCs w:val="20"/>
              </w:rPr>
              <w:t>- and between -</w:t>
            </w:r>
          </w:p>
          <w:p w:rsidR="006F56EE" w:rsidRPr="00D770F2" w:rsidRDefault="006F56EE" w:rsidP="006F56EE">
            <w:pPr>
              <w:pStyle w:val="SCCLsocParty"/>
              <w:jc w:val="both"/>
              <w:rPr>
                <w:b/>
                <w:sz w:val="20"/>
                <w:szCs w:val="20"/>
                <w:lang w:val="en-US"/>
              </w:rPr>
            </w:pPr>
            <w:r w:rsidRPr="00D770F2">
              <w:rPr>
                <w:b/>
                <w:sz w:val="20"/>
                <w:szCs w:val="20"/>
                <w:lang w:val="en-US"/>
              </w:rPr>
              <w:t>Brenlee Kemp on her own behalf and as Executrix of the Estate of Shannon Jean Kemp, deceased v. David Sweet</w:t>
            </w:r>
          </w:p>
          <w:p w:rsidR="006F56EE" w:rsidRPr="00D770F2" w:rsidRDefault="006F56EE" w:rsidP="006F56EE">
            <w:pPr>
              <w:jc w:val="both"/>
              <w:rPr>
                <w:sz w:val="20"/>
              </w:rPr>
            </w:pPr>
            <w:r w:rsidRPr="00D770F2">
              <w:rPr>
                <w:sz w:val="20"/>
              </w:rPr>
              <w:t>(B.C.) (Civil) (By Leave)</w:t>
            </w:r>
          </w:p>
        </w:tc>
      </w:tr>
      <w:tr w:rsidR="006F56EE" w:rsidRPr="00D770F2" w:rsidTr="006F56EE">
        <w:tc>
          <w:tcPr>
            <w:tcW w:w="5000" w:type="pct"/>
            <w:gridSpan w:val="4"/>
          </w:tcPr>
          <w:p w:rsidR="006F56EE" w:rsidRPr="00D770F2" w:rsidRDefault="006F56EE" w:rsidP="006F56EE">
            <w:pPr>
              <w:jc w:val="both"/>
              <w:rPr>
                <w:sz w:val="20"/>
              </w:rPr>
            </w:pPr>
            <w:r w:rsidRPr="00D770F2">
              <w:rPr>
                <w:sz w:val="20"/>
              </w:rPr>
              <w:t xml:space="preserve">Appeals – Standard of review – Civil Procedure – Summary Dismissal – </w:t>
            </w:r>
            <w:r w:rsidRPr="00D770F2">
              <w:rPr>
                <w:bCs/>
                <w:sz w:val="20"/>
              </w:rPr>
              <w:t xml:space="preserve">Whether Court of Appeal erred with respect to applicable standard of review – </w:t>
            </w:r>
            <w:r w:rsidRPr="00D770F2">
              <w:rPr>
                <w:bCs/>
                <w:iCs/>
                <w:sz w:val="20"/>
              </w:rPr>
              <w:t xml:space="preserve">Whether </w:t>
            </w:r>
            <w:r w:rsidRPr="00D770F2">
              <w:rPr>
                <w:bCs/>
                <w:i/>
                <w:iCs/>
                <w:sz w:val="20"/>
              </w:rPr>
              <w:t>Hryniak v Mauldin</w:t>
            </w:r>
            <w:r w:rsidRPr="00D770F2">
              <w:rPr>
                <w:bCs/>
                <w:sz w:val="20"/>
              </w:rPr>
              <w:t>, 2014 SCC 7, applies outside Ontario?</w:t>
            </w:r>
          </w:p>
        </w:tc>
      </w:tr>
      <w:tr w:rsidR="006F56EE" w:rsidRPr="00D770F2" w:rsidTr="006F56EE">
        <w:tc>
          <w:tcPr>
            <w:tcW w:w="5000" w:type="pct"/>
            <w:gridSpan w:val="4"/>
          </w:tcPr>
          <w:p w:rsidR="006F56EE" w:rsidRPr="00D770F2" w:rsidRDefault="006F56EE" w:rsidP="006F56EE">
            <w:pPr>
              <w:jc w:val="both"/>
              <w:rPr>
                <w:sz w:val="20"/>
              </w:rPr>
            </w:pPr>
          </w:p>
        </w:tc>
      </w:tr>
      <w:tr w:rsidR="006F56EE" w:rsidRPr="00D770F2" w:rsidTr="006F56EE">
        <w:tc>
          <w:tcPr>
            <w:tcW w:w="5000" w:type="pct"/>
            <w:gridSpan w:val="4"/>
          </w:tcPr>
          <w:p w:rsidR="006F56EE" w:rsidRPr="00D770F2" w:rsidRDefault="006F56EE" w:rsidP="006F56EE">
            <w:pPr>
              <w:jc w:val="both"/>
              <w:rPr>
                <w:sz w:val="20"/>
              </w:rPr>
            </w:pPr>
            <w:r w:rsidRPr="00D770F2">
              <w:rPr>
                <w:sz w:val="20"/>
              </w:rPr>
              <w:t>Ms. Kemp’s mother died in Vancouver General Hospital’s emergency department when resuscitation attempts failed. Ms. Kemp, as executrix of her mother’s estate, made claims in negligence and battery against the health authority (operating as the hospital), some hospital staff and physicians, in relation to the death and a previous hospital visit. Ms. Kemp also claimed for her own nervous shock. The defendants applied for summary judgment dismissing the action. The motions judge dismissed all claims but for a claim in battery against the emergency doctor. The Court of Appeal dismissed an appeal by Ms. Kemp and allowed an appeal by the emergency doctor, dismissing th</w:t>
            </w:r>
            <w:r w:rsidR="009303CD" w:rsidRPr="00D770F2">
              <w:rPr>
                <w:sz w:val="20"/>
              </w:rPr>
              <w:t>e claim in battery against him.</w:t>
            </w:r>
          </w:p>
          <w:p w:rsidR="006F56EE" w:rsidRPr="00D770F2" w:rsidRDefault="006F56EE" w:rsidP="006F56EE">
            <w:pPr>
              <w:jc w:val="both"/>
              <w:rPr>
                <w:sz w:val="20"/>
              </w:rPr>
            </w:pPr>
          </w:p>
        </w:tc>
      </w:tr>
      <w:tr w:rsidR="006F56EE" w:rsidRPr="00D770F2" w:rsidTr="006F56EE">
        <w:tc>
          <w:tcPr>
            <w:tcW w:w="2427" w:type="pct"/>
            <w:gridSpan w:val="2"/>
          </w:tcPr>
          <w:p w:rsidR="006F56EE" w:rsidRPr="00D770F2" w:rsidRDefault="006F56EE" w:rsidP="006F56EE">
            <w:pPr>
              <w:jc w:val="both"/>
              <w:rPr>
                <w:sz w:val="20"/>
              </w:rPr>
            </w:pPr>
            <w:r w:rsidRPr="00D770F2">
              <w:rPr>
                <w:sz w:val="20"/>
              </w:rPr>
              <w:t>July 29, 2015</w:t>
            </w:r>
          </w:p>
          <w:p w:rsidR="006F56EE" w:rsidRPr="00D770F2" w:rsidRDefault="006F56EE" w:rsidP="006F56EE">
            <w:pPr>
              <w:jc w:val="both"/>
              <w:rPr>
                <w:sz w:val="20"/>
              </w:rPr>
            </w:pPr>
            <w:r w:rsidRPr="00D770F2">
              <w:rPr>
                <w:sz w:val="20"/>
              </w:rPr>
              <w:t>Supreme Court of British Columbia</w:t>
            </w:r>
          </w:p>
          <w:p w:rsidR="006F56EE" w:rsidRPr="00D770F2" w:rsidRDefault="006F56EE" w:rsidP="006F56EE">
            <w:pPr>
              <w:jc w:val="both"/>
              <w:rPr>
                <w:sz w:val="20"/>
              </w:rPr>
            </w:pPr>
            <w:r w:rsidRPr="00D770F2">
              <w:rPr>
                <w:sz w:val="20"/>
              </w:rPr>
              <w:t>(Arnold-Bailey J.)</w:t>
            </w:r>
          </w:p>
          <w:p w:rsidR="006F56EE" w:rsidRPr="00D770F2" w:rsidRDefault="009479D6" w:rsidP="006F56EE">
            <w:pPr>
              <w:jc w:val="both"/>
              <w:rPr>
                <w:sz w:val="20"/>
              </w:rPr>
            </w:pPr>
            <w:hyperlink r:id="rId88" w:history="1">
              <w:r w:rsidR="006F56EE" w:rsidRPr="00D770F2">
                <w:rPr>
                  <w:rStyle w:val="Hyperlink"/>
                  <w:sz w:val="20"/>
                </w:rPr>
                <w:t>2015 BCSC 1319</w:t>
              </w:r>
            </w:hyperlink>
          </w:p>
          <w:p w:rsidR="006F56EE" w:rsidRPr="00D770F2" w:rsidRDefault="006F56EE" w:rsidP="006F56EE">
            <w:pPr>
              <w:jc w:val="both"/>
              <w:rPr>
                <w:sz w:val="20"/>
              </w:rPr>
            </w:pPr>
          </w:p>
        </w:tc>
        <w:tc>
          <w:tcPr>
            <w:tcW w:w="243" w:type="pct"/>
          </w:tcPr>
          <w:p w:rsidR="006F56EE" w:rsidRPr="00D770F2" w:rsidRDefault="006F56EE" w:rsidP="006F56EE">
            <w:pPr>
              <w:jc w:val="both"/>
              <w:rPr>
                <w:sz w:val="20"/>
              </w:rPr>
            </w:pPr>
          </w:p>
        </w:tc>
        <w:tc>
          <w:tcPr>
            <w:tcW w:w="2330" w:type="pct"/>
          </w:tcPr>
          <w:p w:rsidR="006F56EE" w:rsidRPr="00D770F2" w:rsidRDefault="006F56EE" w:rsidP="006F56EE">
            <w:pPr>
              <w:jc w:val="both"/>
              <w:rPr>
                <w:sz w:val="20"/>
              </w:rPr>
            </w:pPr>
            <w:r w:rsidRPr="00D770F2">
              <w:rPr>
                <w:sz w:val="20"/>
              </w:rPr>
              <w:t xml:space="preserve">Motion for summary dismissal of action granted in part, Claims dismissed, One claim ordered to proceed to trial </w:t>
            </w:r>
          </w:p>
          <w:p w:rsidR="006F56EE" w:rsidRPr="00D770F2" w:rsidRDefault="006F56EE" w:rsidP="006F56EE">
            <w:pPr>
              <w:jc w:val="both"/>
              <w:rPr>
                <w:sz w:val="20"/>
              </w:rPr>
            </w:pPr>
          </w:p>
        </w:tc>
      </w:tr>
      <w:tr w:rsidR="006F56EE" w:rsidRPr="00D770F2" w:rsidTr="006F56EE">
        <w:tc>
          <w:tcPr>
            <w:tcW w:w="2427" w:type="pct"/>
            <w:gridSpan w:val="2"/>
          </w:tcPr>
          <w:p w:rsidR="006F56EE" w:rsidRPr="00D770F2" w:rsidRDefault="006F56EE" w:rsidP="006F56EE">
            <w:pPr>
              <w:jc w:val="both"/>
              <w:rPr>
                <w:sz w:val="20"/>
              </w:rPr>
            </w:pPr>
            <w:r w:rsidRPr="00D770F2">
              <w:rPr>
                <w:sz w:val="20"/>
              </w:rPr>
              <w:t>June 13, 2017</w:t>
            </w:r>
          </w:p>
          <w:p w:rsidR="006F56EE" w:rsidRPr="00D770F2" w:rsidRDefault="006F56EE" w:rsidP="006F56EE">
            <w:pPr>
              <w:jc w:val="both"/>
              <w:rPr>
                <w:sz w:val="20"/>
              </w:rPr>
            </w:pPr>
            <w:r w:rsidRPr="00D770F2">
              <w:rPr>
                <w:sz w:val="20"/>
              </w:rPr>
              <w:t xml:space="preserve">Court of Appeal for British Columbia </w:t>
            </w:r>
          </w:p>
          <w:p w:rsidR="006F56EE" w:rsidRPr="00D770F2" w:rsidRDefault="006F56EE" w:rsidP="006F56EE">
            <w:pPr>
              <w:jc w:val="both"/>
              <w:rPr>
                <w:sz w:val="20"/>
              </w:rPr>
            </w:pPr>
            <w:r w:rsidRPr="00D770F2">
              <w:rPr>
                <w:sz w:val="20"/>
              </w:rPr>
              <w:t>(Vancouver)</w:t>
            </w:r>
          </w:p>
          <w:p w:rsidR="006F56EE" w:rsidRPr="00D770F2" w:rsidRDefault="006F56EE" w:rsidP="006F56EE">
            <w:pPr>
              <w:jc w:val="both"/>
              <w:rPr>
                <w:sz w:val="20"/>
              </w:rPr>
            </w:pPr>
            <w:r w:rsidRPr="00D770F2">
              <w:rPr>
                <w:sz w:val="20"/>
              </w:rPr>
              <w:t>(Newbury, Smith, Willcock JJ.A.)</w:t>
            </w:r>
          </w:p>
          <w:p w:rsidR="006F56EE" w:rsidRPr="00D770F2" w:rsidRDefault="006F56EE" w:rsidP="006F56EE">
            <w:pPr>
              <w:jc w:val="both"/>
              <w:rPr>
                <w:sz w:val="20"/>
              </w:rPr>
            </w:pPr>
            <w:r w:rsidRPr="00D770F2">
              <w:rPr>
                <w:sz w:val="20"/>
              </w:rPr>
              <w:t xml:space="preserve">CA43033; </w:t>
            </w:r>
            <w:hyperlink r:id="rId89" w:history="1">
              <w:r w:rsidRPr="00D770F2">
                <w:rPr>
                  <w:rStyle w:val="Hyperlink"/>
                  <w:sz w:val="20"/>
                </w:rPr>
                <w:t>2107 BCCA 229</w:t>
              </w:r>
            </w:hyperlink>
            <w:r w:rsidRPr="00D770F2">
              <w:rPr>
                <w:sz w:val="20"/>
              </w:rPr>
              <w:t xml:space="preserve"> </w:t>
            </w:r>
          </w:p>
          <w:p w:rsidR="006F56EE" w:rsidRPr="00D770F2" w:rsidRDefault="006F56EE" w:rsidP="006F56EE">
            <w:pPr>
              <w:jc w:val="both"/>
              <w:rPr>
                <w:sz w:val="20"/>
              </w:rPr>
            </w:pPr>
          </w:p>
        </w:tc>
        <w:tc>
          <w:tcPr>
            <w:tcW w:w="243" w:type="pct"/>
          </w:tcPr>
          <w:p w:rsidR="006F56EE" w:rsidRPr="00D770F2" w:rsidRDefault="006F56EE" w:rsidP="006F56EE">
            <w:pPr>
              <w:jc w:val="both"/>
              <w:rPr>
                <w:sz w:val="20"/>
              </w:rPr>
            </w:pPr>
          </w:p>
        </w:tc>
        <w:tc>
          <w:tcPr>
            <w:tcW w:w="2330" w:type="pct"/>
          </w:tcPr>
          <w:p w:rsidR="006F56EE" w:rsidRPr="00D770F2" w:rsidRDefault="006F56EE" w:rsidP="006F56EE">
            <w:pPr>
              <w:jc w:val="both"/>
              <w:rPr>
                <w:sz w:val="20"/>
              </w:rPr>
            </w:pPr>
            <w:r w:rsidRPr="00D770F2">
              <w:rPr>
                <w:sz w:val="20"/>
              </w:rPr>
              <w:t xml:space="preserve">Appeal by applicant dismissed, Appeal by respondents allowed, Claim not already dismissed ordered dismissed </w:t>
            </w:r>
          </w:p>
          <w:p w:rsidR="006F56EE" w:rsidRPr="00D770F2" w:rsidRDefault="006F56EE" w:rsidP="006F56EE">
            <w:pPr>
              <w:jc w:val="both"/>
              <w:rPr>
                <w:sz w:val="20"/>
              </w:rPr>
            </w:pPr>
          </w:p>
        </w:tc>
      </w:tr>
      <w:tr w:rsidR="006F56EE" w:rsidRPr="00D770F2" w:rsidTr="006F56EE">
        <w:tc>
          <w:tcPr>
            <w:tcW w:w="2427" w:type="pct"/>
            <w:gridSpan w:val="2"/>
          </w:tcPr>
          <w:p w:rsidR="006F56EE" w:rsidRPr="00D770F2" w:rsidRDefault="006F56EE" w:rsidP="006F56EE">
            <w:pPr>
              <w:jc w:val="both"/>
              <w:rPr>
                <w:sz w:val="20"/>
              </w:rPr>
            </w:pPr>
            <w:r w:rsidRPr="00D770F2">
              <w:rPr>
                <w:sz w:val="20"/>
              </w:rPr>
              <w:t>September 12, 2017</w:t>
            </w:r>
          </w:p>
          <w:p w:rsidR="006F56EE" w:rsidRPr="00D770F2" w:rsidRDefault="006F56EE" w:rsidP="006F56EE">
            <w:pPr>
              <w:jc w:val="both"/>
              <w:rPr>
                <w:sz w:val="20"/>
              </w:rPr>
            </w:pPr>
            <w:r w:rsidRPr="00D770F2">
              <w:rPr>
                <w:sz w:val="20"/>
              </w:rPr>
              <w:t>Supreme Court of Canada</w:t>
            </w:r>
          </w:p>
        </w:tc>
        <w:tc>
          <w:tcPr>
            <w:tcW w:w="243" w:type="pct"/>
          </w:tcPr>
          <w:p w:rsidR="006F56EE" w:rsidRPr="00D770F2" w:rsidRDefault="006F56EE" w:rsidP="006F56EE">
            <w:pPr>
              <w:jc w:val="both"/>
              <w:rPr>
                <w:sz w:val="20"/>
              </w:rPr>
            </w:pPr>
          </w:p>
        </w:tc>
        <w:tc>
          <w:tcPr>
            <w:tcW w:w="2330" w:type="pct"/>
          </w:tcPr>
          <w:p w:rsidR="006F56EE" w:rsidRPr="00D770F2" w:rsidRDefault="006F56EE" w:rsidP="006F56EE">
            <w:pPr>
              <w:jc w:val="both"/>
              <w:rPr>
                <w:sz w:val="20"/>
              </w:rPr>
            </w:pPr>
            <w:r w:rsidRPr="00D770F2">
              <w:rPr>
                <w:sz w:val="20"/>
              </w:rPr>
              <w:t>Application for leave to appeal filed</w:t>
            </w:r>
          </w:p>
          <w:p w:rsidR="006F56EE" w:rsidRPr="00D770F2" w:rsidRDefault="006F56EE" w:rsidP="006F56EE">
            <w:pPr>
              <w:jc w:val="both"/>
              <w:rPr>
                <w:sz w:val="20"/>
              </w:rPr>
            </w:pPr>
          </w:p>
        </w:tc>
      </w:tr>
    </w:tbl>
    <w:p w:rsidR="006F56EE" w:rsidRPr="00D770F2" w:rsidRDefault="006F56EE" w:rsidP="006F56EE">
      <w:pPr>
        <w:jc w:val="both"/>
        <w:rPr>
          <w:sz w:val="20"/>
        </w:rPr>
      </w:pPr>
    </w:p>
    <w:p w:rsidR="009303CD" w:rsidRPr="00D770F2" w:rsidRDefault="009303CD" w:rsidP="006F56E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56EE" w:rsidRPr="0030635C" w:rsidTr="006F56EE">
        <w:tc>
          <w:tcPr>
            <w:tcW w:w="543" w:type="pct"/>
          </w:tcPr>
          <w:p w:rsidR="006F56EE" w:rsidRPr="00D770F2" w:rsidRDefault="006F56EE" w:rsidP="006F56EE">
            <w:pPr>
              <w:jc w:val="both"/>
              <w:rPr>
                <w:sz w:val="20"/>
              </w:rPr>
            </w:pPr>
            <w:r w:rsidRPr="00D770F2">
              <w:rPr>
                <w:rStyle w:val="SCCFileNumberChar"/>
                <w:sz w:val="20"/>
                <w:szCs w:val="20"/>
              </w:rPr>
              <w:t>37734</w:t>
            </w:r>
          </w:p>
        </w:tc>
        <w:tc>
          <w:tcPr>
            <w:tcW w:w="4457" w:type="pct"/>
            <w:gridSpan w:val="3"/>
          </w:tcPr>
          <w:p w:rsidR="006F56EE" w:rsidRPr="00D770F2" w:rsidRDefault="006F56EE" w:rsidP="006F56EE">
            <w:pPr>
              <w:pStyle w:val="SCCLsocParty"/>
              <w:jc w:val="both"/>
              <w:rPr>
                <w:b/>
                <w:sz w:val="20"/>
                <w:szCs w:val="20"/>
                <w:lang w:val="en-US"/>
              </w:rPr>
            </w:pPr>
            <w:r w:rsidRPr="00D770F2">
              <w:rPr>
                <w:b/>
                <w:sz w:val="20"/>
                <w:szCs w:val="20"/>
                <w:lang w:val="en-US"/>
              </w:rPr>
              <w:t>Brenlee Kemp en son nom et à titre d’exécutrice de la succession de Shannon Jean Kemp, décédée c. Vancouver Coastal Health Authority Ltd., dba Vancouver General Hospital, David Sweet, Riyad B. Abu-Laban, Steven Sutcliffe, Dean Chittock</w:t>
            </w:r>
          </w:p>
          <w:p w:rsidR="006F56EE" w:rsidRPr="00D770F2" w:rsidRDefault="006F56EE" w:rsidP="006F56EE">
            <w:pPr>
              <w:pStyle w:val="SCCLsocSubfileSeparator"/>
              <w:rPr>
                <w:sz w:val="20"/>
                <w:szCs w:val="20"/>
                <w:lang w:val="fr-CA"/>
              </w:rPr>
            </w:pPr>
            <w:r w:rsidRPr="00D770F2">
              <w:rPr>
                <w:sz w:val="20"/>
                <w:szCs w:val="20"/>
                <w:lang w:val="fr-CA"/>
              </w:rPr>
              <w:t>- et entre -</w:t>
            </w:r>
          </w:p>
          <w:p w:rsidR="006F56EE" w:rsidRPr="00D770F2" w:rsidRDefault="006F56EE" w:rsidP="006F56EE">
            <w:pPr>
              <w:pStyle w:val="SCCLsocParty"/>
              <w:jc w:val="both"/>
              <w:rPr>
                <w:b/>
                <w:sz w:val="20"/>
                <w:szCs w:val="20"/>
              </w:rPr>
            </w:pPr>
            <w:r w:rsidRPr="00D770F2">
              <w:rPr>
                <w:b/>
                <w:sz w:val="20"/>
                <w:szCs w:val="20"/>
              </w:rPr>
              <w:t>Brenlee Kemp en son nom et à titre d’exécutrice de la succession de Shannon Jean Kemp, décédée c. David Sweet</w:t>
            </w:r>
          </w:p>
          <w:p w:rsidR="006F56EE" w:rsidRPr="00D770F2" w:rsidRDefault="006F56EE" w:rsidP="006F56EE">
            <w:pPr>
              <w:jc w:val="both"/>
              <w:rPr>
                <w:sz w:val="20"/>
                <w:lang w:val="fr-CA"/>
              </w:rPr>
            </w:pPr>
            <w:r w:rsidRPr="00D770F2">
              <w:rPr>
                <w:sz w:val="20"/>
                <w:lang w:val="fr-CA"/>
              </w:rPr>
              <w:t>(C.-B.) (Civile) (Sur autorisation)</w:t>
            </w:r>
          </w:p>
        </w:tc>
      </w:tr>
      <w:tr w:rsidR="006F56EE" w:rsidRPr="0030635C" w:rsidTr="006F56EE">
        <w:tc>
          <w:tcPr>
            <w:tcW w:w="5000" w:type="pct"/>
            <w:gridSpan w:val="4"/>
          </w:tcPr>
          <w:p w:rsidR="006F56EE" w:rsidRPr="00D770F2" w:rsidRDefault="006F56EE" w:rsidP="006F56EE">
            <w:pPr>
              <w:jc w:val="both"/>
              <w:rPr>
                <w:sz w:val="20"/>
                <w:lang w:val="fr-CA"/>
              </w:rPr>
            </w:pPr>
            <w:r w:rsidRPr="00D770F2">
              <w:rPr>
                <w:sz w:val="20"/>
                <w:lang w:val="fr-CA"/>
              </w:rPr>
              <w:t xml:space="preserve">Appels – Norme de contrôle – Procédure civile – Rejet sommaire – La Cour d’appel a-t-elle commis une erreur quant à la norme de contrôle applicable? </w:t>
            </w:r>
            <w:r w:rsidRPr="00D770F2">
              <w:rPr>
                <w:bCs/>
                <w:sz w:val="20"/>
                <w:lang w:val="fr-CA"/>
              </w:rPr>
              <w:t xml:space="preserve">– </w:t>
            </w:r>
            <w:r w:rsidRPr="00D770F2">
              <w:rPr>
                <w:bCs/>
                <w:iCs/>
                <w:sz w:val="20"/>
                <w:lang w:val="fr-CA"/>
              </w:rPr>
              <w:t xml:space="preserve">L’arrêt </w:t>
            </w:r>
            <w:r w:rsidRPr="00D770F2">
              <w:rPr>
                <w:bCs/>
                <w:i/>
                <w:iCs/>
                <w:sz w:val="20"/>
                <w:lang w:val="fr-CA"/>
              </w:rPr>
              <w:t>Hryniak c. Mauldin</w:t>
            </w:r>
            <w:r w:rsidRPr="00D770F2">
              <w:rPr>
                <w:bCs/>
                <w:sz w:val="20"/>
                <w:lang w:val="fr-CA"/>
              </w:rPr>
              <w:t>, 2014 CSC 7, s’applique-t-il en dehors de l’Ontario?</w:t>
            </w:r>
          </w:p>
        </w:tc>
      </w:tr>
      <w:tr w:rsidR="006F56EE" w:rsidRPr="0030635C" w:rsidTr="006F56EE">
        <w:tc>
          <w:tcPr>
            <w:tcW w:w="5000" w:type="pct"/>
            <w:gridSpan w:val="4"/>
          </w:tcPr>
          <w:p w:rsidR="006F56EE" w:rsidRPr="00D770F2" w:rsidRDefault="006F56EE" w:rsidP="006F56EE">
            <w:pPr>
              <w:jc w:val="both"/>
              <w:rPr>
                <w:sz w:val="20"/>
                <w:lang w:val="fr-CA"/>
              </w:rPr>
            </w:pPr>
          </w:p>
        </w:tc>
      </w:tr>
      <w:tr w:rsidR="006F56EE" w:rsidRPr="0030635C" w:rsidTr="006F56EE">
        <w:tc>
          <w:tcPr>
            <w:tcW w:w="5000" w:type="pct"/>
            <w:gridSpan w:val="4"/>
          </w:tcPr>
          <w:p w:rsidR="006F56EE" w:rsidRPr="00D770F2" w:rsidRDefault="006F56EE" w:rsidP="006F56EE">
            <w:pPr>
              <w:jc w:val="both"/>
              <w:rPr>
                <w:sz w:val="20"/>
                <w:lang w:val="fr-CA"/>
              </w:rPr>
            </w:pPr>
            <w:r w:rsidRPr="00D770F2">
              <w:rPr>
                <w:sz w:val="20"/>
                <w:lang w:val="fr-CA"/>
              </w:rPr>
              <w:t>La mère de M</w:t>
            </w:r>
            <w:r w:rsidRPr="00D770F2">
              <w:rPr>
                <w:sz w:val="20"/>
                <w:vertAlign w:val="superscript"/>
                <w:lang w:val="fr-CA"/>
              </w:rPr>
              <w:t>me</w:t>
            </w:r>
            <w:r w:rsidRPr="00D770F2">
              <w:rPr>
                <w:sz w:val="20"/>
                <w:lang w:val="fr-CA"/>
              </w:rPr>
              <w:t> Kemp est décédée à l’urgence du Vancouver General Hospital après l’échec de tentatives de réanimation. À titre d’exécutrice testamentaire de la succession de sa mère, M</w:t>
            </w:r>
            <w:r w:rsidRPr="00D770F2">
              <w:rPr>
                <w:sz w:val="20"/>
                <w:vertAlign w:val="superscript"/>
                <w:lang w:val="fr-CA"/>
              </w:rPr>
              <w:t>me</w:t>
            </w:r>
            <w:r w:rsidRPr="00D770F2">
              <w:rPr>
                <w:sz w:val="20"/>
                <w:lang w:val="fr-CA"/>
              </w:rPr>
              <w:t> Kemp a intenté des poursuites fondées sur la négligence et les voies de fait contre les autorités de la santé (agissant à titre d’hôpital), contre certains membres du personnel hospitalier et contre certains médecins, relativement au décès de sa mère et à une visite antérieure à l’hôpital. M</w:t>
            </w:r>
            <w:r w:rsidRPr="00D770F2">
              <w:rPr>
                <w:sz w:val="20"/>
                <w:vertAlign w:val="superscript"/>
                <w:lang w:val="fr-CA"/>
              </w:rPr>
              <w:t>me</w:t>
            </w:r>
            <w:r w:rsidRPr="00D770F2">
              <w:rPr>
                <w:sz w:val="20"/>
                <w:lang w:val="fr-CA"/>
              </w:rPr>
              <w:t> Kemp a également présenté des réclamations pour son propre choc nerveux. Les défendeurs ont sollicité le rejet sommaire de l’action. La juge des requêtes a rejeté toutes les demandes sauf celle pour voies de fait reprochées au médecin de l’urgence. La Cour d’appel a rejeté l’appel de M</w:t>
            </w:r>
            <w:r w:rsidRPr="00D770F2">
              <w:rPr>
                <w:sz w:val="20"/>
                <w:vertAlign w:val="superscript"/>
                <w:lang w:val="fr-CA"/>
              </w:rPr>
              <w:t>me</w:t>
            </w:r>
            <w:r w:rsidRPr="00D770F2">
              <w:rPr>
                <w:sz w:val="20"/>
                <w:lang w:val="fr-CA"/>
              </w:rPr>
              <w:t> Kemp et accueilli celui du médecin de l’urgence, rejetant ainsi la poursuite pour voies de fait intentée contre lui.</w:t>
            </w:r>
          </w:p>
          <w:p w:rsidR="006F56EE" w:rsidRPr="00D770F2" w:rsidRDefault="006F56EE" w:rsidP="006F56EE">
            <w:pPr>
              <w:jc w:val="both"/>
              <w:rPr>
                <w:sz w:val="20"/>
                <w:lang w:val="fr-CA"/>
              </w:rPr>
            </w:pPr>
          </w:p>
        </w:tc>
      </w:tr>
      <w:tr w:rsidR="006F56EE" w:rsidRPr="0030635C" w:rsidTr="006F56EE">
        <w:tc>
          <w:tcPr>
            <w:tcW w:w="2427" w:type="pct"/>
            <w:gridSpan w:val="2"/>
          </w:tcPr>
          <w:p w:rsidR="006F56EE" w:rsidRPr="00D770F2" w:rsidRDefault="006F56EE" w:rsidP="006F56EE">
            <w:pPr>
              <w:jc w:val="both"/>
              <w:rPr>
                <w:sz w:val="20"/>
                <w:lang w:val="fr-CA"/>
              </w:rPr>
            </w:pPr>
            <w:r w:rsidRPr="00D770F2">
              <w:rPr>
                <w:sz w:val="20"/>
                <w:lang w:val="fr-CA"/>
              </w:rPr>
              <w:t>29 juillet 2015</w:t>
            </w:r>
          </w:p>
          <w:p w:rsidR="006F56EE" w:rsidRPr="00D770F2" w:rsidRDefault="006F56EE" w:rsidP="006F56EE">
            <w:pPr>
              <w:jc w:val="both"/>
              <w:rPr>
                <w:sz w:val="20"/>
                <w:lang w:val="fr-CA"/>
              </w:rPr>
            </w:pPr>
            <w:r w:rsidRPr="00D770F2">
              <w:rPr>
                <w:sz w:val="20"/>
                <w:lang w:val="fr-CA"/>
              </w:rPr>
              <w:t>Cour suprême de la Colombie-Britannique</w:t>
            </w:r>
          </w:p>
          <w:p w:rsidR="006F56EE" w:rsidRPr="00D770F2" w:rsidRDefault="006F56EE" w:rsidP="006F56EE">
            <w:pPr>
              <w:jc w:val="both"/>
              <w:rPr>
                <w:sz w:val="20"/>
              </w:rPr>
            </w:pPr>
            <w:r w:rsidRPr="00D770F2">
              <w:rPr>
                <w:sz w:val="20"/>
              </w:rPr>
              <w:t>(Juge Arnold-Bailey)</w:t>
            </w:r>
          </w:p>
          <w:p w:rsidR="006F56EE" w:rsidRPr="00D770F2" w:rsidRDefault="009479D6" w:rsidP="006F56EE">
            <w:pPr>
              <w:jc w:val="both"/>
              <w:rPr>
                <w:sz w:val="20"/>
              </w:rPr>
            </w:pPr>
            <w:hyperlink r:id="rId90" w:history="1">
              <w:r w:rsidR="006F56EE" w:rsidRPr="00D770F2">
                <w:rPr>
                  <w:rStyle w:val="Hyperlink"/>
                  <w:sz w:val="20"/>
                </w:rPr>
                <w:t>2015 BCSC 1319</w:t>
              </w:r>
            </w:hyperlink>
          </w:p>
          <w:p w:rsidR="006F56EE" w:rsidRPr="00D770F2" w:rsidRDefault="006F56EE" w:rsidP="006F56EE">
            <w:pPr>
              <w:jc w:val="both"/>
              <w:rPr>
                <w:sz w:val="20"/>
              </w:rPr>
            </w:pPr>
          </w:p>
        </w:tc>
        <w:tc>
          <w:tcPr>
            <w:tcW w:w="243" w:type="pct"/>
          </w:tcPr>
          <w:p w:rsidR="006F56EE" w:rsidRPr="00D770F2" w:rsidRDefault="006F56EE" w:rsidP="006F56EE">
            <w:pPr>
              <w:jc w:val="both"/>
              <w:rPr>
                <w:sz w:val="20"/>
              </w:rPr>
            </w:pPr>
          </w:p>
        </w:tc>
        <w:tc>
          <w:tcPr>
            <w:tcW w:w="2330" w:type="pct"/>
          </w:tcPr>
          <w:p w:rsidR="006F56EE" w:rsidRPr="00D770F2" w:rsidRDefault="006F56EE" w:rsidP="006F56EE">
            <w:pPr>
              <w:jc w:val="both"/>
              <w:rPr>
                <w:sz w:val="20"/>
                <w:lang w:val="fr-CA"/>
              </w:rPr>
            </w:pPr>
            <w:r w:rsidRPr="00D770F2">
              <w:rPr>
                <w:sz w:val="20"/>
                <w:lang w:val="fr-CA"/>
              </w:rPr>
              <w:t xml:space="preserve">Requête en vue du rejet sommaire de l’action accueillie en partie, demandes rejetées, renvoi d’une demande à procès  </w:t>
            </w:r>
          </w:p>
          <w:p w:rsidR="006F56EE" w:rsidRPr="00D770F2" w:rsidRDefault="006F56EE" w:rsidP="006F56EE">
            <w:pPr>
              <w:jc w:val="both"/>
              <w:rPr>
                <w:sz w:val="20"/>
                <w:lang w:val="fr-CA"/>
              </w:rPr>
            </w:pPr>
          </w:p>
        </w:tc>
      </w:tr>
      <w:tr w:rsidR="006F56EE" w:rsidRPr="0030635C" w:rsidTr="006F56EE">
        <w:tc>
          <w:tcPr>
            <w:tcW w:w="2427" w:type="pct"/>
            <w:gridSpan w:val="2"/>
          </w:tcPr>
          <w:p w:rsidR="006F56EE" w:rsidRPr="00D770F2" w:rsidRDefault="006F56EE" w:rsidP="006F56EE">
            <w:pPr>
              <w:jc w:val="both"/>
              <w:rPr>
                <w:sz w:val="20"/>
                <w:lang w:val="fr-CA"/>
              </w:rPr>
            </w:pPr>
            <w:r w:rsidRPr="00D770F2">
              <w:rPr>
                <w:sz w:val="20"/>
                <w:lang w:val="fr-CA"/>
              </w:rPr>
              <w:t>13 juin 2017</w:t>
            </w:r>
          </w:p>
          <w:p w:rsidR="006F56EE" w:rsidRPr="00D770F2" w:rsidRDefault="006F56EE" w:rsidP="006F56EE">
            <w:pPr>
              <w:jc w:val="both"/>
              <w:rPr>
                <w:sz w:val="20"/>
                <w:lang w:val="fr-CA"/>
              </w:rPr>
            </w:pPr>
            <w:r w:rsidRPr="00D770F2">
              <w:rPr>
                <w:sz w:val="20"/>
                <w:lang w:val="fr-CA"/>
              </w:rPr>
              <w:t xml:space="preserve">Cour d’appel de la Colombie-Britannique </w:t>
            </w:r>
          </w:p>
          <w:p w:rsidR="006F56EE" w:rsidRPr="00D770F2" w:rsidRDefault="006F56EE" w:rsidP="006F56EE">
            <w:pPr>
              <w:jc w:val="both"/>
              <w:rPr>
                <w:sz w:val="20"/>
              </w:rPr>
            </w:pPr>
            <w:r w:rsidRPr="00D770F2">
              <w:rPr>
                <w:sz w:val="20"/>
              </w:rPr>
              <w:t>(Vancouver)</w:t>
            </w:r>
          </w:p>
          <w:p w:rsidR="006F56EE" w:rsidRPr="00D770F2" w:rsidRDefault="006F56EE" w:rsidP="006F56EE">
            <w:pPr>
              <w:jc w:val="both"/>
              <w:rPr>
                <w:sz w:val="20"/>
              </w:rPr>
            </w:pPr>
            <w:r w:rsidRPr="00D770F2">
              <w:rPr>
                <w:sz w:val="20"/>
              </w:rPr>
              <w:t>(Juges Newbury, Smith et Willcock)</w:t>
            </w:r>
          </w:p>
          <w:p w:rsidR="006F56EE" w:rsidRPr="00D770F2" w:rsidRDefault="006F56EE" w:rsidP="006F56EE">
            <w:pPr>
              <w:jc w:val="both"/>
              <w:rPr>
                <w:sz w:val="20"/>
              </w:rPr>
            </w:pPr>
            <w:r w:rsidRPr="00D770F2">
              <w:rPr>
                <w:sz w:val="20"/>
              </w:rPr>
              <w:t xml:space="preserve">CA43033; </w:t>
            </w:r>
            <w:hyperlink r:id="rId91" w:history="1">
              <w:r w:rsidRPr="00D770F2">
                <w:rPr>
                  <w:rStyle w:val="Hyperlink"/>
                  <w:sz w:val="20"/>
                </w:rPr>
                <w:t>2107 BCCA 229</w:t>
              </w:r>
            </w:hyperlink>
            <w:r w:rsidRPr="00D770F2">
              <w:rPr>
                <w:sz w:val="20"/>
              </w:rPr>
              <w:t xml:space="preserve"> </w:t>
            </w:r>
          </w:p>
          <w:p w:rsidR="006F56EE" w:rsidRPr="00D770F2" w:rsidRDefault="006F56EE" w:rsidP="006F56EE">
            <w:pPr>
              <w:jc w:val="both"/>
              <w:rPr>
                <w:sz w:val="20"/>
              </w:rPr>
            </w:pPr>
          </w:p>
        </w:tc>
        <w:tc>
          <w:tcPr>
            <w:tcW w:w="243" w:type="pct"/>
          </w:tcPr>
          <w:p w:rsidR="006F56EE" w:rsidRPr="00D770F2" w:rsidRDefault="006F56EE" w:rsidP="006F56EE">
            <w:pPr>
              <w:jc w:val="both"/>
              <w:rPr>
                <w:sz w:val="20"/>
              </w:rPr>
            </w:pPr>
          </w:p>
        </w:tc>
        <w:tc>
          <w:tcPr>
            <w:tcW w:w="2330" w:type="pct"/>
          </w:tcPr>
          <w:p w:rsidR="006F56EE" w:rsidRPr="00D770F2" w:rsidRDefault="006F56EE" w:rsidP="006F56EE">
            <w:pPr>
              <w:jc w:val="both"/>
              <w:rPr>
                <w:sz w:val="20"/>
                <w:lang w:val="fr-CA"/>
              </w:rPr>
            </w:pPr>
            <w:r w:rsidRPr="00D770F2">
              <w:rPr>
                <w:sz w:val="20"/>
                <w:lang w:val="fr-CA"/>
              </w:rPr>
              <w:t xml:space="preserve">Appel de la demanderesse rejeté, appel des intimés accueilli, demande non rejetée antérieurement rejetée </w:t>
            </w:r>
          </w:p>
          <w:p w:rsidR="006F56EE" w:rsidRPr="00D770F2" w:rsidRDefault="006F56EE" w:rsidP="006F56EE">
            <w:pPr>
              <w:jc w:val="both"/>
              <w:rPr>
                <w:sz w:val="20"/>
                <w:lang w:val="fr-CA"/>
              </w:rPr>
            </w:pPr>
          </w:p>
        </w:tc>
      </w:tr>
      <w:tr w:rsidR="006F56EE" w:rsidRPr="00D770F2" w:rsidTr="006F56EE">
        <w:tc>
          <w:tcPr>
            <w:tcW w:w="2427" w:type="pct"/>
            <w:gridSpan w:val="2"/>
          </w:tcPr>
          <w:p w:rsidR="006F56EE" w:rsidRPr="00D770F2" w:rsidRDefault="006F56EE" w:rsidP="006F56EE">
            <w:pPr>
              <w:jc w:val="both"/>
              <w:rPr>
                <w:sz w:val="20"/>
                <w:lang w:val="fr-CA"/>
              </w:rPr>
            </w:pPr>
            <w:r w:rsidRPr="00D770F2">
              <w:rPr>
                <w:sz w:val="20"/>
                <w:lang w:val="fr-CA"/>
              </w:rPr>
              <w:t>12 septembre 2017</w:t>
            </w:r>
          </w:p>
          <w:p w:rsidR="006F56EE" w:rsidRPr="00D770F2" w:rsidRDefault="006F56EE" w:rsidP="006F56EE">
            <w:pPr>
              <w:jc w:val="both"/>
              <w:rPr>
                <w:sz w:val="20"/>
                <w:lang w:val="fr-CA"/>
              </w:rPr>
            </w:pPr>
            <w:r w:rsidRPr="00D770F2">
              <w:rPr>
                <w:sz w:val="20"/>
                <w:lang w:val="fr-CA"/>
              </w:rPr>
              <w:t>Cour suprême du Canada</w:t>
            </w:r>
          </w:p>
        </w:tc>
        <w:tc>
          <w:tcPr>
            <w:tcW w:w="243" w:type="pct"/>
          </w:tcPr>
          <w:p w:rsidR="006F56EE" w:rsidRPr="00D770F2" w:rsidRDefault="006F56EE" w:rsidP="006F56EE">
            <w:pPr>
              <w:jc w:val="both"/>
              <w:rPr>
                <w:sz w:val="20"/>
                <w:lang w:val="fr-CA"/>
              </w:rPr>
            </w:pPr>
          </w:p>
        </w:tc>
        <w:tc>
          <w:tcPr>
            <w:tcW w:w="2330" w:type="pct"/>
          </w:tcPr>
          <w:p w:rsidR="006F56EE" w:rsidRPr="00D770F2" w:rsidRDefault="006F56EE" w:rsidP="006F56EE">
            <w:pPr>
              <w:jc w:val="both"/>
              <w:rPr>
                <w:sz w:val="20"/>
              </w:rPr>
            </w:pPr>
            <w:r w:rsidRPr="00D770F2">
              <w:rPr>
                <w:sz w:val="20"/>
              </w:rPr>
              <w:t>Demande d’autorisation d’appel déposée</w:t>
            </w:r>
          </w:p>
          <w:p w:rsidR="006F56EE" w:rsidRPr="00D770F2" w:rsidRDefault="006F56EE" w:rsidP="006F56EE">
            <w:pPr>
              <w:jc w:val="both"/>
              <w:rPr>
                <w:sz w:val="20"/>
              </w:rPr>
            </w:pPr>
          </w:p>
        </w:tc>
      </w:tr>
    </w:tbl>
    <w:p w:rsidR="001E6FC9" w:rsidRPr="00D770F2" w:rsidRDefault="001E6FC9" w:rsidP="00957A1E">
      <w:pPr>
        <w:jc w:val="both"/>
        <w:rPr>
          <w:sz w:val="20"/>
          <w:lang w:val="fr-CA"/>
        </w:rPr>
      </w:pPr>
    </w:p>
    <w:p w:rsidR="001E6FC9" w:rsidRPr="00D770F2" w:rsidRDefault="001E6FC9" w:rsidP="00957A1E">
      <w:pPr>
        <w:jc w:val="both"/>
        <w:rPr>
          <w:sz w:val="20"/>
          <w:lang w:val="fr-CA"/>
        </w:rPr>
      </w:pPr>
    </w:p>
    <w:p w:rsidR="00691CDA" w:rsidRPr="00D770F2" w:rsidRDefault="00691CDA" w:rsidP="00A169B5">
      <w:pPr>
        <w:tabs>
          <w:tab w:val="left" w:pos="900"/>
          <w:tab w:val="center" w:pos="5760"/>
        </w:tabs>
        <w:ind w:left="360" w:hanging="360"/>
        <w:rPr>
          <w:sz w:val="20"/>
          <w:lang w:val="fr-CA"/>
        </w:rPr>
      </w:pPr>
    </w:p>
    <w:p w:rsidR="00D3344A" w:rsidRPr="00D770F2" w:rsidRDefault="00D3344A" w:rsidP="00D3344A">
      <w:pPr>
        <w:widowControl w:val="0"/>
        <w:outlineLvl w:val="0"/>
      </w:pPr>
      <w:r w:rsidRPr="00D770F2">
        <w:t xml:space="preserve">Supreme Court of Canada / Cour suprême du </w:t>
      </w:r>
      <w:proofErr w:type="gramStart"/>
      <w:r w:rsidRPr="00D770F2">
        <w:t>Canad</w:t>
      </w:r>
      <w:r w:rsidR="00EE289F" w:rsidRPr="00D770F2">
        <w:t>a</w:t>
      </w:r>
      <w:r w:rsidRPr="00D770F2">
        <w:t xml:space="preserve"> :</w:t>
      </w:r>
      <w:proofErr w:type="gramEnd"/>
    </w:p>
    <w:p w:rsidR="00D3344A" w:rsidRPr="00D770F2" w:rsidRDefault="009479D6" w:rsidP="00D3344A">
      <w:pPr>
        <w:widowControl w:val="0"/>
        <w:outlineLvl w:val="0"/>
        <w:rPr>
          <w:u w:val="single"/>
        </w:rPr>
      </w:pPr>
      <w:hyperlink r:id="rId92" w:history="1">
        <w:r w:rsidR="009B7391" w:rsidRPr="00D770F2">
          <w:rPr>
            <w:rStyle w:val="Hyperlink"/>
          </w:rPr>
          <w:t>comments-commentaires@scc-csc.ca</w:t>
        </w:r>
      </w:hyperlink>
    </w:p>
    <w:p w:rsidR="00D3344A" w:rsidRPr="00D770F2" w:rsidRDefault="0065588C" w:rsidP="00D3344A">
      <w:pPr>
        <w:widowControl w:val="0"/>
        <w:outlineLvl w:val="0"/>
      </w:pPr>
      <w:r w:rsidRPr="00D770F2">
        <w:t>613-</w:t>
      </w:r>
      <w:r w:rsidR="00D3344A" w:rsidRPr="00D770F2">
        <w:t>995-4330</w:t>
      </w:r>
    </w:p>
    <w:p w:rsidR="00497B5E" w:rsidRPr="00D770F2" w:rsidRDefault="00497B5E" w:rsidP="00497B5E">
      <w:pPr>
        <w:widowControl w:val="0"/>
        <w:rPr>
          <w:sz w:val="20"/>
        </w:rPr>
      </w:pPr>
    </w:p>
    <w:p w:rsidR="00F6251B" w:rsidRPr="006E558B" w:rsidRDefault="003F43E6" w:rsidP="00F6251B">
      <w:pPr>
        <w:pStyle w:val="Footer"/>
        <w:jc w:val="center"/>
      </w:pPr>
      <w:r w:rsidRPr="00D770F2">
        <w:t>- 30 -</w:t>
      </w:r>
    </w:p>
    <w:sectPr w:rsidR="00F6251B" w:rsidRPr="006E558B" w:rsidSect="00524822">
      <w:headerReference w:type="even" r:id="rId93"/>
      <w:headerReference w:type="default" r:id="rId94"/>
      <w:footerReference w:type="even" r:id="rId95"/>
      <w:footerReference w:type="default" r:id="rId96"/>
      <w:headerReference w:type="first" r:id="rId97"/>
      <w:footerReference w:type="first" r:id="rId98"/>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6EE" w:rsidRDefault="006F56EE" w:rsidP="0034178A">
      <w:r>
        <w:separator/>
      </w:r>
    </w:p>
  </w:endnote>
  <w:endnote w:type="continuationSeparator" w:id="0">
    <w:p w:rsidR="006F56EE" w:rsidRDefault="006F56EE"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6EE" w:rsidRDefault="006F56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6EE" w:rsidRPr="009F77F0" w:rsidRDefault="006F56EE"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6EE" w:rsidRDefault="006F5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6EE" w:rsidRDefault="006F56EE" w:rsidP="0034178A">
      <w:r>
        <w:separator/>
      </w:r>
    </w:p>
  </w:footnote>
  <w:footnote w:type="continuationSeparator" w:id="0">
    <w:p w:rsidR="006F56EE" w:rsidRDefault="006F56EE"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6EE" w:rsidRDefault="006F56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6EE" w:rsidRDefault="006F5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6EE" w:rsidRDefault="006F56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A4E"/>
    <w:multiLevelType w:val="hybridMultilevel"/>
    <w:tmpl w:val="1786E0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45F44"/>
    <w:multiLevelType w:val="hybridMultilevel"/>
    <w:tmpl w:val="502875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743393"/>
    <w:multiLevelType w:val="hybridMultilevel"/>
    <w:tmpl w:val="75B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30BE"/>
    <w:multiLevelType w:val="hybridMultilevel"/>
    <w:tmpl w:val="FC74A3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69664E3"/>
    <w:multiLevelType w:val="hybridMultilevel"/>
    <w:tmpl w:val="FC74A3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11D30CA2"/>
    <w:multiLevelType w:val="hybridMultilevel"/>
    <w:tmpl w:val="A148E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F5C7B"/>
    <w:multiLevelType w:val="hybridMultilevel"/>
    <w:tmpl w:val="8E8E70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1FE5456D"/>
    <w:multiLevelType w:val="hybridMultilevel"/>
    <w:tmpl w:val="3F749C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65E8D"/>
    <w:multiLevelType w:val="hybridMultilevel"/>
    <w:tmpl w:val="0B1C7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80604E"/>
    <w:multiLevelType w:val="hybridMultilevel"/>
    <w:tmpl w:val="C720B9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AF25BBA"/>
    <w:multiLevelType w:val="hybridMultilevel"/>
    <w:tmpl w:val="92044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E76D50"/>
    <w:multiLevelType w:val="hybridMultilevel"/>
    <w:tmpl w:val="B2608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E6207C"/>
    <w:multiLevelType w:val="hybridMultilevel"/>
    <w:tmpl w:val="C7105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3462CD"/>
    <w:multiLevelType w:val="hybridMultilevel"/>
    <w:tmpl w:val="486CC4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5000015"/>
    <w:multiLevelType w:val="hybridMultilevel"/>
    <w:tmpl w:val="AF027C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B0A2FDB"/>
    <w:multiLevelType w:val="hybridMultilevel"/>
    <w:tmpl w:val="4878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2B7EEC"/>
    <w:multiLevelType w:val="hybridMultilevel"/>
    <w:tmpl w:val="D7E2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E92BB4"/>
    <w:multiLevelType w:val="hybridMultilevel"/>
    <w:tmpl w:val="B724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7"/>
  </w:num>
  <w:num w:numId="5">
    <w:abstractNumId w:val="9"/>
  </w:num>
  <w:num w:numId="6">
    <w:abstractNumId w:val="8"/>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1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3"/>
  </w:num>
  <w:num w:numId="16">
    <w:abstractNumId w:val="17"/>
  </w:num>
  <w:num w:numId="17">
    <w:abstractNumId w:val="11"/>
  </w:num>
  <w:num w:numId="18">
    <w:abstractNumId w:val="16"/>
  </w:num>
  <w:num w:numId="19">
    <w:abstractNumId w:val="15"/>
  </w:num>
  <w:num w:numId="20">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78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BD3"/>
    <w:rsid w:val="00032CDB"/>
    <w:rsid w:val="00032E02"/>
    <w:rsid w:val="00033257"/>
    <w:rsid w:val="00033935"/>
    <w:rsid w:val="00033D1E"/>
    <w:rsid w:val="00033D28"/>
    <w:rsid w:val="000343B3"/>
    <w:rsid w:val="0003496D"/>
    <w:rsid w:val="00034A7F"/>
    <w:rsid w:val="000352F8"/>
    <w:rsid w:val="00035790"/>
    <w:rsid w:val="000368C3"/>
    <w:rsid w:val="00036DC6"/>
    <w:rsid w:val="00040247"/>
    <w:rsid w:val="00041302"/>
    <w:rsid w:val="0004159F"/>
    <w:rsid w:val="00041B58"/>
    <w:rsid w:val="00042069"/>
    <w:rsid w:val="00042390"/>
    <w:rsid w:val="0004298B"/>
    <w:rsid w:val="000437B4"/>
    <w:rsid w:val="00043D20"/>
    <w:rsid w:val="00043FDE"/>
    <w:rsid w:val="000467DE"/>
    <w:rsid w:val="00046CB2"/>
    <w:rsid w:val="00047188"/>
    <w:rsid w:val="00047CD6"/>
    <w:rsid w:val="00051DE6"/>
    <w:rsid w:val="00053BAF"/>
    <w:rsid w:val="00054353"/>
    <w:rsid w:val="00054A01"/>
    <w:rsid w:val="00054F8E"/>
    <w:rsid w:val="00055DB2"/>
    <w:rsid w:val="000577D9"/>
    <w:rsid w:val="000579A0"/>
    <w:rsid w:val="00060753"/>
    <w:rsid w:val="00060B62"/>
    <w:rsid w:val="00061283"/>
    <w:rsid w:val="0006231F"/>
    <w:rsid w:val="000627A2"/>
    <w:rsid w:val="000629D7"/>
    <w:rsid w:val="0006325B"/>
    <w:rsid w:val="00063A81"/>
    <w:rsid w:val="0006417A"/>
    <w:rsid w:val="000645F4"/>
    <w:rsid w:val="00065F8F"/>
    <w:rsid w:val="0006649C"/>
    <w:rsid w:val="00066B80"/>
    <w:rsid w:val="00067F50"/>
    <w:rsid w:val="00070830"/>
    <w:rsid w:val="0007424A"/>
    <w:rsid w:val="00074EB7"/>
    <w:rsid w:val="00077C71"/>
    <w:rsid w:val="00077CCC"/>
    <w:rsid w:val="00077E16"/>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978"/>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0EA"/>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233F"/>
    <w:rsid w:val="000F2CAD"/>
    <w:rsid w:val="000F3118"/>
    <w:rsid w:val="000F352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7219"/>
    <w:rsid w:val="00107DAF"/>
    <w:rsid w:val="001101BB"/>
    <w:rsid w:val="00110FE1"/>
    <w:rsid w:val="0011219D"/>
    <w:rsid w:val="00113F0C"/>
    <w:rsid w:val="001147A4"/>
    <w:rsid w:val="00114929"/>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596E"/>
    <w:rsid w:val="001260C8"/>
    <w:rsid w:val="001262EF"/>
    <w:rsid w:val="00126583"/>
    <w:rsid w:val="0012732F"/>
    <w:rsid w:val="001307C5"/>
    <w:rsid w:val="00131433"/>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3A8"/>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5EAA"/>
    <w:rsid w:val="001665EA"/>
    <w:rsid w:val="00167721"/>
    <w:rsid w:val="001708BE"/>
    <w:rsid w:val="0017098A"/>
    <w:rsid w:val="001716F7"/>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6BF"/>
    <w:rsid w:val="00186884"/>
    <w:rsid w:val="00187102"/>
    <w:rsid w:val="00187119"/>
    <w:rsid w:val="001878EB"/>
    <w:rsid w:val="0019000C"/>
    <w:rsid w:val="0019030D"/>
    <w:rsid w:val="0019092C"/>
    <w:rsid w:val="00190C7A"/>
    <w:rsid w:val="00190E9E"/>
    <w:rsid w:val="00190F7F"/>
    <w:rsid w:val="0019269B"/>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2704"/>
    <w:rsid w:val="001B2F6B"/>
    <w:rsid w:val="001B3657"/>
    <w:rsid w:val="001B3EDD"/>
    <w:rsid w:val="001B3EE2"/>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E04E8"/>
    <w:rsid w:val="001E1EE3"/>
    <w:rsid w:val="001E1F20"/>
    <w:rsid w:val="001E394B"/>
    <w:rsid w:val="001E3BCD"/>
    <w:rsid w:val="001E4E84"/>
    <w:rsid w:val="001E4EBC"/>
    <w:rsid w:val="001E55D4"/>
    <w:rsid w:val="001E6FC9"/>
    <w:rsid w:val="001E71B5"/>
    <w:rsid w:val="001E7B18"/>
    <w:rsid w:val="001F15CD"/>
    <w:rsid w:val="001F1F3F"/>
    <w:rsid w:val="001F27B1"/>
    <w:rsid w:val="001F2F00"/>
    <w:rsid w:val="001F348D"/>
    <w:rsid w:val="001F3AE7"/>
    <w:rsid w:val="001F47D0"/>
    <w:rsid w:val="001F5B11"/>
    <w:rsid w:val="001F69E8"/>
    <w:rsid w:val="001F7038"/>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3057"/>
    <w:rsid w:val="002331EC"/>
    <w:rsid w:val="00234A3D"/>
    <w:rsid w:val="00235ACB"/>
    <w:rsid w:val="00235DEC"/>
    <w:rsid w:val="00236B10"/>
    <w:rsid w:val="00236EEA"/>
    <w:rsid w:val="002372B2"/>
    <w:rsid w:val="002401C8"/>
    <w:rsid w:val="002407C6"/>
    <w:rsid w:val="00240AF3"/>
    <w:rsid w:val="0024142D"/>
    <w:rsid w:val="00241714"/>
    <w:rsid w:val="00241F1E"/>
    <w:rsid w:val="0024354E"/>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2BE"/>
    <w:rsid w:val="002613AC"/>
    <w:rsid w:val="00261D3C"/>
    <w:rsid w:val="00262C42"/>
    <w:rsid w:val="0026349D"/>
    <w:rsid w:val="00265174"/>
    <w:rsid w:val="00266E0E"/>
    <w:rsid w:val="00266FD4"/>
    <w:rsid w:val="002671CC"/>
    <w:rsid w:val="00267241"/>
    <w:rsid w:val="002676FA"/>
    <w:rsid w:val="00270135"/>
    <w:rsid w:val="0027099E"/>
    <w:rsid w:val="002709E7"/>
    <w:rsid w:val="00271222"/>
    <w:rsid w:val="0027369C"/>
    <w:rsid w:val="00273706"/>
    <w:rsid w:val="00274B8F"/>
    <w:rsid w:val="00274D9D"/>
    <w:rsid w:val="00276C42"/>
    <w:rsid w:val="002775A0"/>
    <w:rsid w:val="0027764C"/>
    <w:rsid w:val="00280E55"/>
    <w:rsid w:val="0028141B"/>
    <w:rsid w:val="00282FEC"/>
    <w:rsid w:val="00282FF3"/>
    <w:rsid w:val="0028364E"/>
    <w:rsid w:val="00284655"/>
    <w:rsid w:val="002848CB"/>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3B1"/>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B68FE"/>
    <w:rsid w:val="002C0BC3"/>
    <w:rsid w:val="002C10D1"/>
    <w:rsid w:val="002C239C"/>
    <w:rsid w:val="002C30B8"/>
    <w:rsid w:val="002C356F"/>
    <w:rsid w:val="002C3A5F"/>
    <w:rsid w:val="002C3CEB"/>
    <w:rsid w:val="002C4DD7"/>
    <w:rsid w:val="002C5754"/>
    <w:rsid w:val="002C6BF5"/>
    <w:rsid w:val="002D0C49"/>
    <w:rsid w:val="002D0F70"/>
    <w:rsid w:val="002D1469"/>
    <w:rsid w:val="002D2333"/>
    <w:rsid w:val="002D2553"/>
    <w:rsid w:val="002D43A1"/>
    <w:rsid w:val="002D6310"/>
    <w:rsid w:val="002D63D6"/>
    <w:rsid w:val="002D6680"/>
    <w:rsid w:val="002D6EFA"/>
    <w:rsid w:val="002E00CC"/>
    <w:rsid w:val="002E0473"/>
    <w:rsid w:val="002E0BB8"/>
    <w:rsid w:val="002E1197"/>
    <w:rsid w:val="002E1AB7"/>
    <w:rsid w:val="002E1AF1"/>
    <w:rsid w:val="002E24D4"/>
    <w:rsid w:val="002E293D"/>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C6"/>
    <w:rsid w:val="00304ACA"/>
    <w:rsid w:val="0030635C"/>
    <w:rsid w:val="0030704A"/>
    <w:rsid w:val="003075BC"/>
    <w:rsid w:val="00307E7E"/>
    <w:rsid w:val="00311663"/>
    <w:rsid w:val="003127F4"/>
    <w:rsid w:val="003133C7"/>
    <w:rsid w:val="00313652"/>
    <w:rsid w:val="0031376D"/>
    <w:rsid w:val="003151B5"/>
    <w:rsid w:val="00315AF8"/>
    <w:rsid w:val="00315C91"/>
    <w:rsid w:val="003175F3"/>
    <w:rsid w:val="00317835"/>
    <w:rsid w:val="00317A71"/>
    <w:rsid w:val="00317C72"/>
    <w:rsid w:val="00320ED9"/>
    <w:rsid w:val="003225D9"/>
    <w:rsid w:val="00322AF3"/>
    <w:rsid w:val="0032306C"/>
    <w:rsid w:val="00323146"/>
    <w:rsid w:val="003235CC"/>
    <w:rsid w:val="00324EC4"/>
    <w:rsid w:val="00325427"/>
    <w:rsid w:val="00325668"/>
    <w:rsid w:val="00325823"/>
    <w:rsid w:val="00325E60"/>
    <w:rsid w:val="0032752E"/>
    <w:rsid w:val="0033097A"/>
    <w:rsid w:val="00330C51"/>
    <w:rsid w:val="00330DCC"/>
    <w:rsid w:val="003310D4"/>
    <w:rsid w:val="0033199D"/>
    <w:rsid w:val="00331CFC"/>
    <w:rsid w:val="0033241A"/>
    <w:rsid w:val="00332627"/>
    <w:rsid w:val="00332A87"/>
    <w:rsid w:val="00332E97"/>
    <w:rsid w:val="00332F1F"/>
    <w:rsid w:val="0033535C"/>
    <w:rsid w:val="0033559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47CC0"/>
    <w:rsid w:val="0035093A"/>
    <w:rsid w:val="003509E6"/>
    <w:rsid w:val="00351237"/>
    <w:rsid w:val="00351946"/>
    <w:rsid w:val="0035210E"/>
    <w:rsid w:val="003521FD"/>
    <w:rsid w:val="00352802"/>
    <w:rsid w:val="00352C0E"/>
    <w:rsid w:val="00353085"/>
    <w:rsid w:val="003535EF"/>
    <w:rsid w:val="003538EF"/>
    <w:rsid w:val="0035515E"/>
    <w:rsid w:val="00355868"/>
    <w:rsid w:val="00355E2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6DE7"/>
    <w:rsid w:val="0037769F"/>
    <w:rsid w:val="0037792A"/>
    <w:rsid w:val="00377C17"/>
    <w:rsid w:val="00377C46"/>
    <w:rsid w:val="00377DD6"/>
    <w:rsid w:val="003817A9"/>
    <w:rsid w:val="00382BFE"/>
    <w:rsid w:val="0038431A"/>
    <w:rsid w:val="0038547C"/>
    <w:rsid w:val="00385A88"/>
    <w:rsid w:val="00385BA5"/>
    <w:rsid w:val="00386E93"/>
    <w:rsid w:val="00387900"/>
    <w:rsid w:val="00387AF8"/>
    <w:rsid w:val="00387BE8"/>
    <w:rsid w:val="00390065"/>
    <w:rsid w:val="00390A1E"/>
    <w:rsid w:val="00393383"/>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4B3"/>
    <w:rsid w:val="003B693A"/>
    <w:rsid w:val="003B6E18"/>
    <w:rsid w:val="003B7053"/>
    <w:rsid w:val="003B7102"/>
    <w:rsid w:val="003B7D49"/>
    <w:rsid w:val="003B7EA2"/>
    <w:rsid w:val="003C0862"/>
    <w:rsid w:val="003C0C25"/>
    <w:rsid w:val="003C160A"/>
    <w:rsid w:val="003C2377"/>
    <w:rsid w:val="003C2BBD"/>
    <w:rsid w:val="003C2CE7"/>
    <w:rsid w:val="003C2D62"/>
    <w:rsid w:val="003C3097"/>
    <w:rsid w:val="003C3816"/>
    <w:rsid w:val="003C4234"/>
    <w:rsid w:val="003C5F5E"/>
    <w:rsid w:val="003C5FC2"/>
    <w:rsid w:val="003C6A1E"/>
    <w:rsid w:val="003C6BB7"/>
    <w:rsid w:val="003C7603"/>
    <w:rsid w:val="003D0A88"/>
    <w:rsid w:val="003D12C2"/>
    <w:rsid w:val="003D19A0"/>
    <w:rsid w:val="003D27BD"/>
    <w:rsid w:val="003D3202"/>
    <w:rsid w:val="003D353C"/>
    <w:rsid w:val="003D63C8"/>
    <w:rsid w:val="003D6472"/>
    <w:rsid w:val="003D6A4E"/>
    <w:rsid w:val="003D7756"/>
    <w:rsid w:val="003E19E7"/>
    <w:rsid w:val="003E29B3"/>
    <w:rsid w:val="003E36C0"/>
    <w:rsid w:val="003E3724"/>
    <w:rsid w:val="003E3957"/>
    <w:rsid w:val="003E487B"/>
    <w:rsid w:val="003E5DFE"/>
    <w:rsid w:val="003E5F4F"/>
    <w:rsid w:val="003E6A80"/>
    <w:rsid w:val="003E6EF7"/>
    <w:rsid w:val="003E7F59"/>
    <w:rsid w:val="003F0D8B"/>
    <w:rsid w:val="003F1E6F"/>
    <w:rsid w:val="003F1F9E"/>
    <w:rsid w:val="003F2A93"/>
    <w:rsid w:val="003F3BC1"/>
    <w:rsid w:val="003F3D76"/>
    <w:rsid w:val="003F43E6"/>
    <w:rsid w:val="003F4894"/>
    <w:rsid w:val="003F4DDB"/>
    <w:rsid w:val="003F61E1"/>
    <w:rsid w:val="003F704D"/>
    <w:rsid w:val="003F77FC"/>
    <w:rsid w:val="004000BE"/>
    <w:rsid w:val="00401D3D"/>
    <w:rsid w:val="004020AB"/>
    <w:rsid w:val="004026BA"/>
    <w:rsid w:val="00403038"/>
    <w:rsid w:val="004030D5"/>
    <w:rsid w:val="0040388F"/>
    <w:rsid w:val="00406755"/>
    <w:rsid w:val="004069C5"/>
    <w:rsid w:val="0040709C"/>
    <w:rsid w:val="00407F30"/>
    <w:rsid w:val="00410ECC"/>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76E8"/>
    <w:rsid w:val="00457CEE"/>
    <w:rsid w:val="00460794"/>
    <w:rsid w:val="00461DF1"/>
    <w:rsid w:val="00462BA8"/>
    <w:rsid w:val="00463731"/>
    <w:rsid w:val="00463A9F"/>
    <w:rsid w:val="00463CEF"/>
    <w:rsid w:val="00463DEF"/>
    <w:rsid w:val="00464FEE"/>
    <w:rsid w:val="004672B7"/>
    <w:rsid w:val="00467391"/>
    <w:rsid w:val="004706A0"/>
    <w:rsid w:val="004715A8"/>
    <w:rsid w:val="00471789"/>
    <w:rsid w:val="00472190"/>
    <w:rsid w:val="004724BF"/>
    <w:rsid w:val="00472695"/>
    <w:rsid w:val="004729E0"/>
    <w:rsid w:val="00473E9C"/>
    <w:rsid w:val="004744D7"/>
    <w:rsid w:val="00474AAA"/>
    <w:rsid w:val="00474BF7"/>
    <w:rsid w:val="00474D9B"/>
    <w:rsid w:val="00474F62"/>
    <w:rsid w:val="00475E1A"/>
    <w:rsid w:val="004762ED"/>
    <w:rsid w:val="00476F6F"/>
    <w:rsid w:val="00477469"/>
    <w:rsid w:val="004774B6"/>
    <w:rsid w:val="004775E8"/>
    <w:rsid w:val="00477A87"/>
    <w:rsid w:val="0048052E"/>
    <w:rsid w:val="00481888"/>
    <w:rsid w:val="00482BE4"/>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2F02"/>
    <w:rsid w:val="004A3074"/>
    <w:rsid w:val="004A32DD"/>
    <w:rsid w:val="004A570E"/>
    <w:rsid w:val="004A59B2"/>
    <w:rsid w:val="004A74F3"/>
    <w:rsid w:val="004A7CEC"/>
    <w:rsid w:val="004B06E1"/>
    <w:rsid w:val="004B129A"/>
    <w:rsid w:val="004B24F7"/>
    <w:rsid w:val="004B26C7"/>
    <w:rsid w:val="004B2A91"/>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6E67"/>
    <w:rsid w:val="004E00B4"/>
    <w:rsid w:val="004E0963"/>
    <w:rsid w:val="004E0B2F"/>
    <w:rsid w:val="004E1B3F"/>
    <w:rsid w:val="004E21ED"/>
    <w:rsid w:val="004E2A8E"/>
    <w:rsid w:val="004E458C"/>
    <w:rsid w:val="004E70F1"/>
    <w:rsid w:val="004E714B"/>
    <w:rsid w:val="004F000D"/>
    <w:rsid w:val="004F0EC9"/>
    <w:rsid w:val="004F0F77"/>
    <w:rsid w:val="004F27DD"/>
    <w:rsid w:val="004F40AB"/>
    <w:rsid w:val="004F47F7"/>
    <w:rsid w:val="004F5AD4"/>
    <w:rsid w:val="004F5E74"/>
    <w:rsid w:val="004F7CCB"/>
    <w:rsid w:val="0050050B"/>
    <w:rsid w:val="0050132A"/>
    <w:rsid w:val="00502F3E"/>
    <w:rsid w:val="00503196"/>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0860"/>
    <w:rsid w:val="00531932"/>
    <w:rsid w:val="00531C3D"/>
    <w:rsid w:val="00532EB0"/>
    <w:rsid w:val="005336CE"/>
    <w:rsid w:val="00533CD5"/>
    <w:rsid w:val="00534621"/>
    <w:rsid w:val="00534871"/>
    <w:rsid w:val="00534F33"/>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B18"/>
    <w:rsid w:val="00561F0C"/>
    <w:rsid w:val="005624E0"/>
    <w:rsid w:val="0056329F"/>
    <w:rsid w:val="0056339B"/>
    <w:rsid w:val="00563DF3"/>
    <w:rsid w:val="00564EBB"/>
    <w:rsid w:val="0056580C"/>
    <w:rsid w:val="00565B20"/>
    <w:rsid w:val="00566C79"/>
    <w:rsid w:val="00567966"/>
    <w:rsid w:val="00570169"/>
    <w:rsid w:val="00571FF4"/>
    <w:rsid w:val="00573C76"/>
    <w:rsid w:val="005748A1"/>
    <w:rsid w:val="00575001"/>
    <w:rsid w:val="005757C3"/>
    <w:rsid w:val="00580185"/>
    <w:rsid w:val="005809B5"/>
    <w:rsid w:val="005812EF"/>
    <w:rsid w:val="00582010"/>
    <w:rsid w:val="0058254B"/>
    <w:rsid w:val="0058351E"/>
    <w:rsid w:val="005858C5"/>
    <w:rsid w:val="00587914"/>
    <w:rsid w:val="0059181C"/>
    <w:rsid w:val="00591A8C"/>
    <w:rsid w:val="005921B3"/>
    <w:rsid w:val="005925EC"/>
    <w:rsid w:val="00594F57"/>
    <w:rsid w:val="0059611F"/>
    <w:rsid w:val="005964F5"/>
    <w:rsid w:val="00597224"/>
    <w:rsid w:val="005A0727"/>
    <w:rsid w:val="005A1B7D"/>
    <w:rsid w:val="005A1FB5"/>
    <w:rsid w:val="005A3592"/>
    <w:rsid w:val="005A4082"/>
    <w:rsid w:val="005A46DD"/>
    <w:rsid w:val="005A64FE"/>
    <w:rsid w:val="005B0AAB"/>
    <w:rsid w:val="005B3F91"/>
    <w:rsid w:val="005B409A"/>
    <w:rsid w:val="005B4EB8"/>
    <w:rsid w:val="005B5497"/>
    <w:rsid w:val="005B5790"/>
    <w:rsid w:val="005B5E9D"/>
    <w:rsid w:val="005B5FA3"/>
    <w:rsid w:val="005B5FD3"/>
    <w:rsid w:val="005B633B"/>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40A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5F6751"/>
    <w:rsid w:val="00601639"/>
    <w:rsid w:val="006024F3"/>
    <w:rsid w:val="006028B7"/>
    <w:rsid w:val="006055FE"/>
    <w:rsid w:val="006067DB"/>
    <w:rsid w:val="006073F9"/>
    <w:rsid w:val="00607F86"/>
    <w:rsid w:val="0061009A"/>
    <w:rsid w:val="00610BC0"/>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76C"/>
    <w:rsid w:val="00644B90"/>
    <w:rsid w:val="00646E32"/>
    <w:rsid w:val="00646E56"/>
    <w:rsid w:val="00647687"/>
    <w:rsid w:val="00647768"/>
    <w:rsid w:val="00651AD8"/>
    <w:rsid w:val="0065230F"/>
    <w:rsid w:val="0065353F"/>
    <w:rsid w:val="006546B9"/>
    <w:rsid w:val="00654B60"/>
    <w:rsid w:val="00655090"/>
    <w:rsid w:val="0065588C"/>
    <w:rsid w:val="00656F58"/>
    <w:rsid w:val="00657727"/>
    <w:rsid w:val="00660B48"/>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232"/>
    <w:rsid w:val="00680316"/>
    <w:rsid w:val="006803A0"/>
    <w:rsid w:val="0068141A"/>
    <w:rsid w:val="00681B55"/>
    <w:rsid w:val="00682088"/>
    <w:rsid w:val="0068303F"/>
    <w:rsid w:val="006830FC"/>
    <w:rsid w:val="00683770"/>
    <w:rsid w:val="00683926"/>
    <w:rsid w:val="00683B58"/>
    <w:rsid w:val="006849D2"/>
    <w:rsid w:val="00685F7C"/>
    <w:rsid w:val="00686A7E"/>
    <w:rsid w:val="00686C41"/>
    <w:rsid w:val="00686CAE"/>
    <w:rsid w:val="00690509"/>
    <w:rsid w:val="00690963"/>
    <w:rsid w:val="00690B95"/>
    <w:rsid w:val="00691156"/>
    <w:rsid w:val="00691601"/>
    <w:rsid w:val="00691CDA"/>
    <w:rsid w:val="00691FAB"/>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134B"/>
    <w:rsid w:val="006A1957"/>
    <w:rsid w:val="006A21CC"/>
    <w:rsid w:val="006A31DB"/>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164E"/>
    <w:rsid w:val="006C1EDD"/>
    <w:rsid w:val="006C2188"/>
    <w:rsid w:val="006C22E4"/>
    <w:rsid w:val="006C2F5C"/>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46C7"/>
    <w:rsid w:val="006D5E38"/>
    <w:rsid w:val="006D614A"/>
    <w:rsid w:val="006D61AF"/>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2A6"/>
    <w:rsid w:val="006F1443"/>
    <w:rsid w:val="006F1C69"/>
    <w:rsid w:val="006F2579"/>
    <w:rsid w:val="006F2855"/>
    <w:rsid w:val="006F2887"/>
    <w:rsid w:val="006F2958"/>
    <w:rsid w:val="006F5439"/>
    <w:rsid w:val="006F56EE"/>
    <w:rsid w:val="006F713E"/>
    <w:rsid w:val="006F750C"/>
    <w:rsid w:val="006F7EB1"/>
    <w:rsid w:val="00700A36"/>
    <w:rsid w:val="00700AD5"/>
    <w:rsid w:val="00701834"/>
    <w:rsid w:val="0070199E"/>
    <w:rsid w:val="007019C6"/>
    <w:rsid w:val="00701BDD"/>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2C38"/>
    <w:rsid w:val="00712E25"/>
    <w:rsid w:val="007130F7"/>
    <w:rsid w:val="00714183"/>
    <w:rsid w:val="00715CA4"/>
    <w:rsid w:val="00715E75"/>
    <w:rsid w:val="0071691D"/>
    <w:rsid w:val="00717CD9"/>
    <w:rsid w:val="00720C6C"/>
    <w:rsid w:val="00721EC2"/>
    <w:rsid w:val="007225C9"/>
    <w:rsid w:val="00722634"/>
    <w:rsid w:val="007226F3"/>
    <w:rsid w:val="0072344E"/>
    <w:rsid w:val="007237EE"/>
    <w:rsid w:val="007240C3"/>
    <w:rsid w:val="007243CC"/>
    <w:rsid w:val="0072530B"/>
    <w:rsid w:val="007255CB"/>
    <w:rsid w:val="007263B7"/>
    <w:rsid w:val="0072677C"/>
    <w:rsid w:val="00727471"/>
    <w:rsid w:val="00727632"/>
    <w:rsid w:val="007301CB"/>
    <w:rsid w:val="00731957"/>
    <w:rsid w:val="007323E0"/>
    <w:rsid w:val="00732744"/>
    <w:rsid w:val="0073288D"/>
    <w:rsid w:val="0073297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04A0"/>
    <w:rsid w:val="00741002"/>
    <w:rsid w:val="00741637"/>
    <w:rsid w:val="007418D4"/>
    <w:rsid w:val="00741E81"/>
    <w:rsid w:val="00742121"/>
    <w:rsid w:val="00743353"/>
    <w:rsid w:val="00743655"/>
    <w:rsid w:val="0074467F"/>
    <w:rsid w:val="00744F24"/>
    <w:rsid w:val="0074501E"/>
    <w:rsid w:val="00745868"/>
    <w:rsid w:val="00746472"/>
    <w:rsid w:val="00746CD0"/>
    <w:rsid w:val="00746F76"/>
    <w:rsid w:val="00747C5A"/>
    <w:rsid w:val="00747CD0"/>
    <w:rsid w:val="007500B9"/>
    <w:rsid w:val="00751DE7"/>
    <w:rsid w:val="00752CE8"/>
    <w:rsid w:val="00753790"/>
    <w:rsid w:val="0075428A"/>
    <w:rsid w:val="0075561B"/>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5DF"/>
    <w:rsid w:val="00772E1A"/>
    <w:rsid w:val="007736D0"/>
    <w:rsid w:val="00773A11"/>
    <w:rsid w:val="00773D01"/>
    <w:rsid w:val="0077411F"/>
    <w:rsid w:val="007754D1"/>
    <w:rsid w:val="007758B8"/>
    <w:rsid w:val="007758CF"/>
    <w:rsid w:val="00775FEC"/>
    <w:rsid w:val="00776317"/>
    <w:rsid w:val="00776B10"/>
    <w:rsid w:val="00776D06"/>
    <w:rsid w:val="00780317"/>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65D4"/>
    <w:rsid w:val="007B67FE"/>
    <w:rsid w:val="007B7B2B"/>
    <w:rsid w:val="007B7B34"/>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BFC"/>
    <w:rsid w:val="007D5080"/>
    <w:rsid w:val="007D6193"/>
    <w:rsid w:val="007D6B1C"/>
    <w:rsid w:val="007D7A92"/>
    <w:rsid w:val="007E01C5"/>
    <w:rsid w:val="007E0750"/>
    <w:rsid w:val="007E0A49"/>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457"/>
    <w:rsid w:val="007F4DE5"/>
    <w:rsid w:val="007F4F42"/>
    <w:rsid w:val="007F536B"/>
    <w:rsid w:val="007F59CD"/>
    <w:rsid w:val="007F5E48"/>
    <w:rsid w:val="007F6BC7"/>
    <w:rsid w:val="007F7F32"/>
    <w:rsid w:val="00800824"/>
    <w:rsid w:val="00800A70"/>
    <w:rsid w:val="00800DF8"/>
    <w:rsid w:val="008017C2"/>
    <w:rsid w:val="00801E32"/>
    <w:rsid w:val="00801FB7"/>
    <w:rsid w:val="008021FD"/>
    <w:rsid w:val="00802554"/>
    <w:rsid w:val="008026FA"/>
    <w:rsid w:val="00802DB4"/>
    <w:rsid w:val="008036BE"/>
    <w:rsid w:val="00803B18"/>
    <w:rsid w:val="00803B2E"/>
    <w:rsid w:val="00804BA2"/>
    <w:rsid w:val="00804FE6"/>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E32"/>
    <w:rsid w:val="00825B9C"/>
    <w:rsid w:val="00827EFF"/>
    <w:rsid w:val="008301C6"/>
    <w:rsid w:val="0083049A"/>
    <w:rsid w:val="008319DA"/>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6DA9"/>
    <w:rsid w:val="00877B13"/>
    <w:rsid w:val="00880AB5"/>
    <w:rsid w:val="00880AD5"/>
    <w:rsid w:val="00880C01"/>
    <w:rsid w:val="00881095"/>
    <w:rsid w:val="00881457"/>
    <w:rsid w:val="00881918"/>
    <w:rsid w:val="00882802"/>
    <w:rsid w:val="00882B0F"/>
    <w:rsid w:val="008836A7"/>
    <w:rsid w:val="00883749"/>
    <w:rsid w:val="00884467"/>
    <w:rsid w:val="00884AB6"/>
    <w:rsid w:val="008872D7"/>
    <w:rsid w:val="00887E8C"/>
    <w:rsid w:val="00887F03"/>
    <w:rsid w:val="0089055E"/>
    <w:rsid w:val="008914A2"/>
    <w:rsid w:val="00893B95"/>
    <w:rsid w:val="008941B2"/>
    <w:rsid w:val="0089486E"/>
    <w:rsid w:val="00896875"/>
    <w:rsid w:val="008A0D44"/>
    <w:rsid w:val="008A1084"/>
    <w:rsid w:val="008A1C2F"/>
    <w:rsid w:val="008A1DA7"/>
    <w:rsid w:val="008A3884"/>
    <w:rsid w:val="008A3A4B"/>
    <w:rsid w:val="008A41DE"/>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51E"/>
    <w:rsid w:val="008D19DB"/>
    <w:rsid w:val="008D35E2"/>
    <w:rsid w:val="008D41B5"/>
    <w:rsid w:val="008D52D5"/>
    <w:rsid w:val="008D5BE0"/>
    <w:rsid w:val="008D72C3"/>
    <w:rsid w:val="008D7689"/>
    <w:rsid w:val="008D7B10"/>
    <w:rsid w:val="008E04F6"/>
    <w:rsid w:val="008E0FD3"/>
    <w:rsid w:val="008E154C"/>
    <w:rsid w:val="008E1DCB"/>
    <w:rsid w:val="008E2248"/>
    <w:rsid w:val="008E2DF1"/>
    <w:rsid w:val="008E53E7"/>
    <w:rsid w:val="008E5B3B"/>
    <w:rsid w:val="008E63EA"/>
    <w:rsid w:val="008E7537"/>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368C"/>
    <w:rsid w:val="00904674"/>
    <w:rsid w:val="00904BC9"/>
    <w:rsid w:val="009056C1"/>
    <w:rsid w:val="009056CA"/>
    <w:rsid w:val="009057C5"/>
    <w:rsid w:val="009062BB"/>
    <w:rsid w:val="0090688C"/>
    <w:rsid w:val="0090766E"/>
    <w:rsid w:val="0091038B"/>
    <w:rsid w:val="009119D3"/>
    <w:rsid w:val="00911F66"/>
    <w:rsid w:val="00913377"/>
    <w:rsid w:val="0091344B"/>
    <w:rsid w:val="00913DCC"/>
    <w:rsid w:val="0091409A"/>
    <w:rsid w:val="00914F27"/>
    <w:rsid w:val="00917B21"/>
    <w:rsid w:val="00922101"/>
    <w:rsid w:val="00922A4B"/>
    <w:rsid w:val="009236F3"/>
    <w:rsid w:val="009241BB"/>
    <w:rsid w:val="009244F7"/>
    <w:rsid w:val="00924C0D"/>
    <w:rsid w:val="00924D94"/>
    <w:rsid w:val="0092501B"/>
    <w:rsid w:val="0092587F"/>
    <w:rsid w:val="00925AA4"/>
    <w:rsid w:val="009272CD"/>
    <w:rsid w:val="009303CD"/>
    <w:rsid w:val="00930FA6"/>
    <w:rsid w:val="009313BE"/>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491"/>
    <w:rsid w:val="00945752"/>
    <w:rsid w:val="00946910"/>
    <w:rsid w:val="009479D6"/>
    <w:rsid w:val="00947C38"/>
    <w:rsid w:val="00951718"/>
    <w:rsid w:val="00952CCB"/>
    <w:rsid w:val="00953BFE"/>
    <w:rsid w:val="009550BB"/>
    <w:rsid w:val="00955992"/>
    <w:rsid w:val="00956067"/>
    <w:rsid w:val="00956115"/>
    <w:rsid w:val="00956244"/>
    <w:rsid w:val="00956304"/>
    <w:rsid w:val="00957342"/>
    <w:rsid w:val="009574F2"/>
    <w:rsid w:val="00957921"/>
    <w:rsid w:val="00957A1E"/>
    <w:rsid w:val="00957A76"/>
    <w:rsid w:val="00957C00"/>
    <w:rsid w:val="00960719"/>
    <w:rsid w:val="009619CF"/>
    <w:rsid w:val="00962255"/>
    <w:rsid w:val="00962B2A"/>
    <w:rsid w:val="00963502"/>
    <w:rsid w:val="00963C96"/>
    <w:rsid w:val="009648EF"/>
    <w:rsid w:val="00966B53"/>
    <w:rsid w:val="00970584"/>
    <w:rsid w:val="00970F04"/>
    <w:rsid w:val="0097114B"/>
    <w:rsid w:val="00971F36"/>
    <w:rsid w:val="0097358B"/>
    <w:rsid w:val="00973A12"/>
    <w:rsid w:val="00973AFE"/>
    <w:rsid w:val="00974614"/>
    <w:rsid w:val="00975084"/>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9011B"/>
    <w:rsid w:val="009912E2"/>
    <w:rsid w:val="00991536"/>
    <w:rsid w:val="009918AC"/>
    <w:rsid w:val="0099255B"/>
    <w:rsid w:val="00992A8B"/>
    <w:rsid w:val="00993DAC"/>
    <w:rsid w:val="00995D5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4F53"/>
    <w:rsid w:val="009D7121"/>
    <w:rsid w:val="009E01B8"/>
    <w:rsid w:val="009E0843"/>
    <w:rsid w:val="009E1B79"/>
    <w:rsid w:val="009E1E84"/>
    <w:rsid w:val="009E2A52"/>
    <w:rsid w:val="009E38AF"/>
    <w:rsid w:val="009E52A8"/>
    <w:rsid w:val="009E673E"/>
    <w:rsid w:val="009E68BE"/>
    <w:rsid w:val="009E7AD8"/>
    <w:rsid w:val="009F096D"/>
    <w:rsid w:val="009F0C01"/>
    <w:rsid w:val="009F0D41"/>
    <w:rsid w:val="009F161C"/>
    <w:rsid w:val="009F1BC2"/>
    <w:rsid w:val="009F28F7"/>
    <w:rsid w:val="009F29A4"/>
    <w:rsid w:val="009F2BAF"/>
    <w:rsid w:val="009F2F18"/>
    <w:rsid w:val="009F3041"/>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81A"/>
    <w:rsid w:val="00A42CF9"/>
    <w:rsid w:val="00A44228"/>
    <w:rsid w:val="00A44C41"/>
    <w:rsid w:val="00A44E81"/>
    <w:rsid w:val="00A45529"/>
    <w:rsid w:val="00A461E4"/>
    <w:rsid w:val="00A466AC"/>
    <w:rsid w:val="00A47031"/>
    <w:rsid w:val="00A4765E"/>
    <w:rsid w:val="00A50604"/>
    <w:rsid w:val="00A50E26"/>
    <w:rsid w:val="00A522C3"/>
    <w:rsid w:val="00A52331"/>
    <w:rsid w:val="00A524A6"/>
    <w:rsid w:val="00A543D2"/>
    <w:rsid w:val="00A54818"/>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390A"/>
    <w:rsid w:val="00A64A9B"/>
    <w:rsid w:val="00A65A66"/>
    <w:rsid w:val="00A65C73"/>
    <w:rsid w:val="00A66BBF"/>
    <w:rsid w:val="00A66EE4"/>
    <w:rsid w:val="00A67235"/>
    <w:rsid w:val="00A675DD"/>
    <w:rsid w:val="00A70197"/>
    <w:rsid w:val="00A70585"/>
    <w:rsid w:val="00A70C52"/>
    <w:rsid w:val="00A715EF"/>
    <w:rsid w:val="00A71BDB"/>
    <w:rsid w:val="00A720B7"/>
    <w:rsid w:val="00A72719"/>
    <w:rsid w:val="00A72BCC"/>
    <w:rsid w:val="00A731D2"/>
    <w:rsid w:val="00A73387"/>
    <w:rsid w:val="00A73405"/>
    <w:rsid w:val="00A745D3"/>
    <w:rsid w:val="00A7462D"/>
    <w:rsid w:val="00A7498A"/>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3F84"/>
    <w:rsid w:val="00AA4886"/>
    <w:rsid w:val="00AA509E"/>
    <w:rsid w:val="00AA53A0"/>
    <w:rsid w:val="00AA66A3"/>
    <w:rsid w:val="00AB0396"/>
    <w:rsid w:val="00AB0440"/>
    <w:rsid w:val="00AB05C9"/>
    <w:rsid w:val="00AB0BC7"/>
    <w:rsid w:val="00AB1831"/>
    <w:rsid w:val="00AB20AB"/>
    <w:rsid w:val="00AB27B9"/>
    <w:rsid w:val="00AB2AAE"/>
    <w:rsid w:val="00AB2C0F"/>
    <w:rsid w:val="00AB40A0"/>
    <w:rsid w:val="00AB5528"/>
    <w:rsid w:val="00AB5538"/>
    <w:rsid w:val="00AB5825"/>
    <w:rsid w:val="00AB6656"/>
    <w:rsid w:val="00AB7178"/>
    <w:rsid w:val="00AB74C3"/>
    <w:rsid w:val="00AC0E72"/>
    <w:rsid w:val="00AC1250"/>
    <w:rsid w:val="00AC21C6"/>
    <w:rsid w:val="00AC3779"/>
    <w:rsid w:val="00AC422A"/>
    <w:rsid w:val="00AC4979"/>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E5"/>
    <w:rsid w:val="00AF03C7"/>
    <w:rsid w:val="00AF12DE"/>
    <w:rsid w:val="00AF1653"/>
    <w:rsid w:val="00AF3BF4"/>
    <w:rsid w:val="00AF3F93"/>
    <w:rsid w:val="00AF50BF"/>
    <w:rsid w:val="00AF5369"/>
    <w:rsid w:val="00AF5612"/>
    <w:rsid w:val="00AF5C96"/>
    <w:rsid w:val="00AF63E5"/>
    <w:rsid w:val="00AF71D2"/>
    <w:rsid w:val="00B01410"/>
    <w:rsid w:val="00B01BCB"/>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AAC"/>
    <w:rsid w:val="00B215D0"/>
    <w:rsid w:val="00B21F73"/>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74C7"/>
    <w:rsid w:val="00B27A36"/>
    <w:rsid w:val="00B27DB4"/>
    <w:rsid w:val="00B30861"/>
    <w:rsid w:val="00B33676"/>
    <w:rsid w:val="00B33FC9"/>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0BD3"/>
    <w:rsid w:val="00B5139A"/>
    <w:rsid w:val="00B52315"/>
    <w:rsid w:val="00B5294D"/>
    <w:rsid w:val="00B52D8A"/>
    <w:rsid w:val="00B52DAB"/>
    <w:rsid w:val="00B539BE"/>
    <w:rsid w:val="00B53BAE"/>
    <w:rsid w:val="00B54336"/>
    <w:rsid w:val="00B5549D"/>
    <w:rsid w:val="00B56011"/>
    <w:rsid w:val="00B56EF5"/>
    <w:rsid w:val="00B57C19"/>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3779"/>
    <w:rsid w:val="00B749EC"/>
    <w:rsid w:val="00B74DA0"/>
    <w:rsid w:val="00B74DFD"/>
    <w:rsid w:val="00B7733B"/>
    <w:rsid w:val="00B809A7"/>
    <w:rsid w:val="00B80F85"/>
    <w:rsid w:val="00B81CDF"/>
    <w:rsid w:val="00B824E7"/>
    <w:rsid w:val="00B829D3"/>
    <w:rsid w:val="00B82D29"/>
    <w:rsid w:val="00B83B7C"/>
    <w:rsid w:val="00B83EBF"/>
    <w:rsid w:val="00B84F90"/>
    <w:rsid w:val="00B85A66"/>
    <w:rsid w:val="00B86E92"/>
    <w:rsid w:val="00B90370"/>
    <w:rsid w:val="00B90F3B"/>
    <w:rsid w:val="00B91053"/>
    <w:rsid w:val="00B91270"/>
    <w:rsid w:val="00B916F3"/>
    <w:rsid w:val="00B92397"/>
    <w:rsid w:val="00B92EB5"/>
    <w:rsid w:val="00B92EEB"/>
    <w:rsid w:val="00B9309E"/>
    <w:rsid w:val="00B93544"/>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B61"/>
    <w:rsid w:val="00BA5BDA"/>
    <w:rsid w:val="00BA5EB3"/>
    <w:rsid w:val="00BA5F1E"/>
    <w:rsid w:val="00BA6D44"/>
    <w:rsid w:val="00BA6F31"/>
    <w:rsid w:val="00BA7782"/>
    <w:rsid w:val="00BB0472"/>
    <w:rsid w:val="00BB134D"/>
    <w:rsid w:val="00BB2F5F"/>
    <w:rsid w:val="00BB3D35"/>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7433"/>
    <w:rsid w:val="00BE7CB6"/>
    <w:rsid w:val="00BF048F"/>
    <w:rsid w:val="00BF159A"/>
    <w:rsid w:val="00BF1A2A"/>
    <w:rsid w:val="00BF1EEF"/>
    <w:rsid w:val="00BF1FCA"/>
    <w:rsid w:val="00BF44FB"/>
    <w:rsid w:val="00BF5160"/>
    <w:rsid w:val="00BF7494"/>
    <w:rsid w:val="00BF7FF6"/>
    <w:rsid w:val="00C00650"/>
    <w:rsid w:val="00C00E23"/>
    <w:rsid w:val="00C012C4"/>
    <w:rsid w:val="00C021BB"/>
    <w:rsid w:val="00C026F9"/>
    <w:rsid w:val="00C037A3"/>
    <w:rsid w:val="00C03932"/>
    <w:rsid w:val="00C03D86"/>
    <w:rsid w:val="00C04D79"/>
    <w:rsid w:val="00C0626D"/>
    <w:rsid w:val="00C06879"/>
    <w:rsid w:val="00C06B98"/>
    <w:rsid w:val="00C06DE4"/>
    <w:rsid w:val="00C110FB"/>
    <w:rsid w:val="00C1171A"/>
    <w:rsid w:val="00C1312A"/>
    <w:rsid w:val="00C138FD"/>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0E5E"/>
    <w:rsid w:val="00C412AD"/>
    <w:rsid w:val="00C413B0"/>
    <w:rsid w:val="00C418F0"/>
    <w:rsid w:val="00C419F7"/>
    <w:rsid w:val="00C42040"/>
    <w:rsid w:val="00C4313B"/>
    <w:rsid w:val="00C435AB"/>
    <w:rsid w:val="00C44016"/>
    <w:rsid w:val="00C45F01"/>
    <w:rsid w:val="00C4698C"/>
    <w:rsid w:val="00C508AD"/>
    <w:rsid w:val="00C516F1"/>
    <w:rsid w:val="00C5207F"/>
    <w:rsid w:val="00C52604"/>
    <w:rsid w:val="00C52AC9"/>
    <w:rsid w:val="00C52D21"/>
    <w:rsid w:val="00C53FC7"/>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B57"/>
    <w:rsid w:val="00C77C0E"/>
    <w:rsid w:val="00C80125"/>
    <w:rsid w:val="00C809C6"/>
    <w:rsid w:val="00C81430"/>
    <w:rsid w:val="00C83899"/>
    <w:rsid w:val="00C8569F"/>
    <w:rsid w:val="00C86377"/>
    <w:rsid w:val="00C86829"/>
    <w:rsid w:val="00C86A4F"/>
    <w:rsid w:val="00C86DA3"/>
    <w:rsid w:val="00C871F5"/>
    <w:rsid w:val="00C879EA"/>
    <w:rsid w:val="00C87EBA"/>
    <w:rsid w:val="00C9135D"/>
    <w:rsid w:val="00C914F8"/>
    <w:rsid w:val="00C9209C"/>
    <w:rsid w:val="00C9319C"/>
    <w:rsid w:val="00C935F6"/>
    <w:rsid w:val="00C95234"/>
    <w:rsid w:val="00C971B3"/>
    <w:rsid w:val="00C9788C"/>
    <w:rsid w:val="00C97C59"/>
    <w:rsid w:val="00CA047B"/>
    <w:rsid w:val="00CA06A9"/>
    <w:rsid w:val="00CA08E3"/>
    <w:rsid w:val="00CA0C2B"/>
    <w:rsid w:val="00CA2734"/>
    <w:rsid w:val="00CA37CC"/>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71A"/>
    <w:rsid w:val="00CD1CCA"/>
    <w:rsid w:val="00CD2B43"/>
    <w:rsid w:val="00CD33A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633C"/>
    <w:rsid w:val="00CE6C1C"/>
    <w:rsid w:val="00CE7B3F"/>
    <w:rsid w:val="00CE7C81"/>
    <w:rsid w:val="00CF0D83"/>
    <w:rsid w:val="00CF0EF2"/>
    <w:rsid w:val="00CF234B"/>
    <w:rsid w:val="00CF3BB6"/>
    <w:rsid w:val="00CF40C5"/>
    <w:rsid w:val="00CF47E5"/>
    <w:rsid w:val="00CF5B2D"/>
    <w:rsid w:val="00CF6964"/>
    <w:rsid w:val="00CF6AA3"/>
    <w:rsid w:val="00CF732A"/>
    <w:rsid w:val="00D00533"/>
    <w:rsid w:val="00D00540"/>
    <w:rsid w:val="00D0083A"/>
    <w:rsid w:val="00D00AA4"/>
    <w:rsid w:val="00D01406"/>
    <w:rsid w:val="00D015A7"/>
    <w:rsid w:val="00D0250E"/>
    <w:rsid w:val="00D0423A"/>
    <w:rsid w:val="00D04A90"/>
    <w:rsid w:val="00D05D7C"/>
    <w:rsid w:val="00D06573"/>
    <w:rsid w:val="00D06EF2"/>
    <w:rsid w:val="00D07131"/>
    <w:rsid w:val="00D07526"/>
    <w:rsid w:val="00D07E3B"/>
    <w:rsid w:val="00D1233D"/>
    <w:rsid w:val="00D123CF"/>
    <w:rsid w:val="00D1308F"/>
    <w:rsid w:val="00D13678"/>
    <w:rsid w:val="00D1460D"/>
    <w:rsid w:val="00D14B1E"/>
    <w:rsid w:val="00D150F9"/>
    <w:rsid w:val="00D152F0"/>
    <w:rsid w:val="00D1550B"/>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829"/>
    <w:rsid w:val="00D47E7C"/>
    <w:rsid w:val="00D50AD1"/>
    <w:rsid w:val="00D542A9"/>
    <w:rsid w:val="00D54789"/>
    <w:rsid w:val="00D54F6A"/>
    <w:rsid w:val="00D5501F"/>
    <w:rsid w:val="00D55807"/>
    <w:rsid w:val="00D56540"/>
    <w:rsid w:val="00D56BA3"/>
    <w:rsid w:val="00D57242"/>
    <w:rsid w:val="00D57F64"/>
    <w:rsid w:val="00D57FAB"/>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60C7"/>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0F2"/>
    <w:rsid w:val="00D77153"/>
    <w:rsid w:val="00D77953"/>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F43"/>
    <w:rsid w:val="00D9772E"/>
    <w:rsid w:val="00DA07B1"/>
    <w:rsid w:val="00DA0DC8"/>
    <w:rsid w:val="00DA17B0"/>
    <w:rsid w:val="00DA27C6"/>
    <w:rsid w:val="00DA2C00"/>
    <w:rsid w:val="00DA33EC"/>
    <w:rsid w:val="00DA3B79"/>
    <w:rsid w:val="00DA3F09"/>
    <w:rsid w:val="00DA48B0"/>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581"/>
    <w:rsid w:val="00DD085F"/>
    <w:rsid w:val="00DD19C3"/>
    <w:rsid w:val="00DD273A"/>
    <w:rsid w:val="00DD3483"/>
    <w:rsid w:val="00DD40A3"/>
    <w:rsid w:val="00DD4C6C"/>
    <w:rsid w:val="00DD4D17"/>
    <w:rsid w:val="00DD5846"/>
    <w:rsid w:val="00DD620A"/>
    <w:rsid w:val="00DD6AAC"/>
    <w:rsid w:val="00DD7392"/>
    <w:rsid w:val="00DE0462"/>
    <w:rsid w:val="00DE10A6"/>
    <w:rsid w:val="00DE11D6"/>
    <w:rsid w:val="00DE1AEE"/>
    <w:rsid w:val="00DE2212"/>
    <w:rsid w:val="00DE2457"/>
    <w:rsid w:val="00DE2796"/>
    <w:rsid w:val="00DE2C8D"/>
    <w:rsid w:val="00DE5E69"/>
    <w:rsid w:val="00DE610C"/>
    <w:rsid w:val="00DE6776"/>
    <w:rsid w:val="00DE6C81"/>
    <w:rsid w:val="00DE7B73"/>
    <w:rsid w:val="00DE7CEB"/>
    <w:rsid w:val="00DE7F13"/>
    <w:rsid w:val="00DF06C4"/>
    <w:rsid w:val="00DF0C8E"/>
    <w:rsid w:val="00DF1212"/>
    <w:rsid w:val="00DF12DD"/>
    <w:rsid w:val="00DF1A38"/>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4119"/>
    <w:rsid w:val="00E04231"/>
    <w:rsid w:val="00E04A8B"/>
    <w:rsid w:val="00E0592D"/>
    <w:rsid w:val="00E05B90"/>
    <w:rsid w:val="00E05BF7"/>
    <w:rsid w:val="00E06224"/>
    <w:rsid w:val="00E06316"/>
    <w:rsid w:val="00E06B80"/>
    <w:rsid w:val="00E06E46"/>
    <w:rsid w:val="00E10EA2"/>
    <w:rsid w:val="00E10F8D"/>
    <w:rsid w:val="00E114D9"/>
    <w:rsid w:val="00E11EF2"/>
    <w:rsid w:val="00E126BB"/>
    <w:rsid w:val="00E1305B"/>
    <w:rsid w:val="00E134A9"/>
    <w:rsid w:val="00E135F9"/>
    <w:rsid w:val="00E136F7"/>
    <w:rsid w:val="00E13771"/>
    <w:rsid w:val="00E140FF"/>
    <w:rsid w:val="00E14AED"/>
    <w:rsid w:val="00E14D31"/>
    <w:rsid w:val="00E150E0"/>
    <w:rsid w:val="00E155F6"/>
    <w:rsid w:val="00E167A2"/>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DDA"/>
    <w:rsid w:val="00E30009"/>
    <w:rsid w:val="00E30B9B"/>
    <w:rsid w:val="00E30FF3"/>
    <w:rsid w:val="00E3151F"/>
    <w:rsid w:val="00E31BA9"/>
    <w:rsid w:val="00E31C80"/>
    <w:rsid w:val="00E31DD1"/>
    <w:rsid w:val="00E31E1C"/>
    <w:rsid w:val="00E31E48"/>
    <w:rsid w:val="00E337C4"/>
    <w:rsid w:val="00E337E8"/>
    <w:rsid w:val="00E339C0"/>
    <w:rsid w:val="00E33A8F"/>
    <w:rsid w:val="00E34AA2"/>
    <w:rsid w:val="00E35486"/>
    <w:rsid w:val="00E35A3A"/>
    <w:rsid w:val="00E37FAF"/>
    <w:rsid w:val="00E4090B"/>
    <w:rsid w:val="00E40ABB"/>
    <w:rsid w:val="00E416FB"/>
    <w:rsid w:val="00E419BD"/>
    <w:rsid w:val="00E41F06"/>
    <w:rsid w:val="00E422DC"/>
    <w:rsid w:val="00E42314"/>
    <w:rsid w:val="00E42B30"/>
    <w:rsid w:val="00E42DA2"/>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566F"/>
    <w:rsid w:val="00E57188"/>
    <w:rsid w:val="00E604A4"/>
    <w:rsid w:val="00E609FD"/>
    <w:rsid w:val="00E61C4E"/>
    <w:rsid w:val="00E62147"/>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37E"/>
    <w:rsid w:val="00E76439"/>
    <w:rsid w:val="00E76936"/>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224E"/>
    <w:rsid w:val="00EA3FF6"/>
    <w:rsid w:val="00EA6DC0"/>
    <w:rsid w:val="00EA7D94"/>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001"/>
    <w:rsid w:val="00EC61E5"/>
    <w:rsid w:val="00EC63BD"/>
    <w:rsid w:val="00EC6654"/>
    <w:rsid w:val="00EC67A3"/>
    <w:rsid w:val="00EC7EEF"/>
    <w:rsid w:val="00ED0E87"/>
    <w:rsid w:val="00ED1037"/>
    <w:rsid w:val="00ED11BA"/>
    <w:rsid w:val="00ED1764"/>
    <w:rsid w:val="00ED200B"/>
    <w:rsid w:val="00ED2520"/>
    <w:rsid w:val="00ED2E12"/>
    <w:rsid w:val="00ED3EDC"/>
    <w:rsid w:val="00ED4F03"/>
    <w:rsid w:val="00ED52B2"/>
    <w:rsid w:val="00ED552A"/>
    <w:rsid w:val="00ED56DC"/>
    <w:rsid w:val="00EE0ADC"/>
    <w:rsid w:val="00EE173D"/>
    <w:rsid w:val="00EE231A"/>
    <w:rsid w:val="00EE24D6"/>
    <w:rsid w:val="00EE289F"/>
    <w:rsid w:val="00EE59C6"/>
    <w:rsid w:val="00EE69B9"/>
    <w:rsid w:val="00EE75E5"/>
    <w:rsid w:val="00EF0066"/>
    <w:rsid w:val="00EF1864"/>
    <w:rsid w:val="00EF26B4"/>
    <w:rsid w:val="00EF2732"/>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635E"/>
    <w:rsid w:val="00F071CC"/>
    <w:rsid w:val="00F07867"/>
    <w:rsid w:val="00F10181"/>
    <w:rsid w:val="00F107A8"/>
    <w:rsid w:val="00F10F01"/>
    <w:rsid w:val="00F110F6"/>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3754"/>
    <w:rsid w:val="00F237A4"/>
    <w:rsid w:val="00F23F6D"/>
    <w:rsid w:val="00F24087"/>
    <w:rsid w:val="00F243AE"/>
    <w:rsid w:val="00F24A5E"/>
    <w:rsid w:val="00F265F6"/>
    <w:rsid w:val="00F26653"/>
    <w:rsid w:val="00F27291"/>
    <w:rsid w:val="00F2770C"/>
    <w:rsid w:val="00F31113"/>
    <w:rsid w:val="00F314C0"/>
    <w:rsid w:val="00F31E5C"/>
    <w:rsid w:val="00F32084"/>
    <w:rsid w:val="00F32457"/>
    <w:rsid w:val="00F32541"/>
    <w:rsid w:val="00F3254D"/>
    <w:rsid w:val="00F32569"/>
    <w:rsid w:val="00F33889"/>
    <w:rsid w:val="00F351D3"/>
    <w:rsid w:val="00F357FA"/>
    <w:rsid w:val="00F35C22"/>
    <w:rsid w:val="00F377FB"/>
    <w:rsid w:val="00F37FE3"/>
    <w:rsid w:val="00F40306"/>
    <w:rsid w:val="00F41337"/>
    <w:rsid w:val="00F4140B"/>
    <w:rsid w:val="00F41940"/>
    <w:rsid w:val="00F43E13"/>
    <w:rsid w:val="00F44405"/>
    <w:rsid w:val="00F44796"/>
    <w:rsid w:val="00F44D8E"/>
    <w:rsid w:val="00F46255"/>
    <w:rsid w:val="00F47DC5"/>
    <w:rsid w:val="00F50665"/>
    <w:rsid w:val="00F50A23"/>
    <w:rsid w:val="00F50E9F"/>
    <w:rsid w:val="00F518F3"/>
    <w:rsid w:val="00F5367B"/>
    <w:rsid w:val="00F54B12"/>
    <w:rsid w:val="00F55403"/>
    <w:rsid w:val="00F55934"/>
    <w:rsid w:val="00F5608F"/>
    <w:rsid w:val="00F6027C"/>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535"/>
    <w:rsid w:val="00F916C9"/>
    <w:rsid w:val="00F91915"/>
    <w:rsid w:val="00F921C0"/>
    <w:rsid w:val="00F92282"/>
    <w:rsid w:val="00F9337A"/>
    <w:rsid w:val="00F944B3"/>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440C"/>
    <w:rsid w:val="00FD4EC8"/>
    <w:rsid w:val="00FD5E81"/>
    <w:rsid w:val="00FD5FF0"/>
    <w:rsid w:val="00FD7F01"/>
    <w:rsid w:val="00FE0775"/>
    <w:rsid w:val="00FE0F88"/>
    <w:rsid w:val="00FE2400"/>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591A8C"/>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591A8C"/>
    <w:rPr>
      <w:rFonts w:ascii="Times New Roman" w:eastAsiaTheme="minorHAnsi" w:hAnsi="Times New Roman" w:cstheme="minorBidi"/>
      <w:b/>
      <w:sz w:val="24"/>
      <w:szCs w:val="22"/>
      <w:lang w:val="en-CA"/>
    </w:rPr>
  </w:style>
  <w:style w:type="character" w:customStyle="1" w:styleId="documentstaticurl">
    <w:name w:val="documentstaticurl"/>
    <w:basedOn w:val="DefaultParagraphFont"/>
    <w:rsid w:val="006F56EE"/>
  </w:style>
  <w:style w:type="paragraph" w:customStyle="1" w:styleId="SCCLsocSubfileSeparator">
    <w:name w:val="SCC.Lsoc.SubfileSeparator"/>
    <w:basedOn w:val="Normal"/>
    <w:next w:val="Normal"/>
    <w:link w:val="SCCLsocSubfileSeparatorChar"/>
    <w:rsid w:val="006F56EE"/>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6F56EE"/>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fr/qc/qccs/doc/2015/2015qccs4369/2015qccs4369.html?autocompleteStr=2015%20QCCS%204369&amp;autocompletePos=1" TargetMode="External"/><Relationship Id="rId21" Type="http://schemas.openxmlformats.org/officeDocument/2006/relationships/hyperlink" Target="http://www.scc-csc.ca/case-dossier/info/sum-som-eng.aspx?cas=37807" TargetMode="External"/><Relationship Id="rId34" Type="http://schemas.openxmlformats.org/officeDocument/2006/relationships/hyperlink" Target="http://canlii.ca/t/g63fs" TargetMode="External"/><Relationship Id="rId42" Type="http://schemas.openxmlformats.org/officeDocument/2006/relationships/hyperlink" Target="http://www.canlii.org/en/mb/mbqb/doc/2013/2013mbqb142/2013mbqb142.html" TargetMode="External"/><Relationship Id="rId47" Type="http://schemas.openxmlformats.org/officeDocument/2006/relationships/hyperlink" Target="https://www.canlii.org/fr/qc/qcca/doc/2017/2017qcca1482/2017qcca1482.html?autocompleteStr=2017%20qcca%201482&amp;autocompletePos=1" TargetMode="External"/><Relationship Id="rId50" Type="http://schemas.openxmlformats.org/officeDocument/2006/relationships/hyperlink" Target="https://www.canlii.org/fr/qc/qccs/doc/2015/2015qccs4905/2015qccs4905.pdf" TargetMode="External"/><Relationship Id="rId55" Type="http://schemas.openxmlformats.org/officeDocument/2006/relationships/hyperlink" Target="http://canlii.ca/t/gjgdw" TargetMode="External"/><Relationship Id="rId63" Type="http://schemas.openxmlformats.org/officeDocument/2006/relationships/hyperlink" Target="https://www.canlii.org/en/on/onca/doc/2017/2017onca549/2017onca549.html?autocompleteStr=2017%20ONCA%20549&amp;autocompletePos=1" TargetMode="External"/><Relationship Id="rId68" Type="http://schemas.openxmlformats.org/officeDocument/2006/relationships/hyperlink" Target="https://www.canlii.org/en/on/onsc/doc/2014/2014onsc717/2014onsc717.html?resultIndex=1" TargetMode="External"/><Relationship Id="rId76" Type="http://schemas.openxmlformats.org/officeDocument/2006/relationships/hyperlink" Target="https://www.canlii.org/en/sk/skqb/doc/2016/2016skqb25/2016skqb25.html?autocompleteStr=2016%20SKQB%2025&amp;autocompletePos=1" TargetMode="External"/><Relationship Id="rId84" Type="http://schemas.openxmlformats.org/officeDocument/2006/relationships/hyperlink" Target="https://www.canlii.org/en/on/onsc/doc/2016/2016onsc6429/2016onsc6429.html?autocompleteStr=2016%20ONSC%206429&amp;autocompletePos=1" TargetMode="External"/><Relationship Id="rId89" Type="http://schemas.openxmlformats.org/officeDocument/2006/relationships/hyperlink" Target="https://www.canlii.org/en/bc/bcca/doc/2017/2017bcca229/2017bcca229.html?resultIndex=1" TargetMode="External"/><Relationship Id="rId97" Type="http://schemas.openxmlformats.org/officeDocument/2006/relationships/header" Target="header3.xml"/><Relationship Id="rId7" Type="http://schemas.openxmlformats.org/officeDocument/2006/relationships/hyperlink" Target="http://www.scc-csc.ca/case-dossier/info/sum-som-fra.aspx?cas=37760" TargetMode="External"/><Relationship Id="rId71" Type="http://schemas.openxmlformats.org/officeDocument/2006/relationships/hyperlink" Target="http://canlii.ca/t/h4nq2" TargetMode="External"/><Relationship Id="rId92" Type="http://schemas.openxmlformats.org/officeDocument/2006/relationships/hyperlink" Target="mailto:comments-commentaires@scc-csc.ca" TargetMode="External"/><Relationship Id="rId2" Type="http://schemas.openxmlformats.org/officeDocument/2006/relationships/styles" Target="styles.xml"/><Relationship Id="rId16" Type="http://schemas.openxmlformats.org/officeDocument/2006/relationships/hyperlink" Target="http://www.scc-csc.ca/case-dossier/info/sum-som-eng.aspx?cas=37759" TargetMode="External"/><Relationship Id="rId29" Type="http://schemas.openxmlformats.org/officeDocument/2006/relationships/hyperlink" Target="https://www.canlii.org/en/bc/bcca/doc/2017/2017bcca52/2017bcca52.html?resultIndex=1" TargetMode="External"/><Relationship Id="rId11" Type="http://schemas.openxmlformats.org/officeDocument/2006/relationships/hyperlink" Target="http://www.scc-csc.ca/case-dossier/info/sum-som-eng.aspx?cas=35875" TargetMode="External"/><Relationship Id="rId24" Type="http://schemas.openxmlformats.org/officeDocument/2006/relationships/hyperlink" Target="https://www.canlii.org/fr/qc/qccs/doc/2015/2015qccs4369/2015qccs4369.html?autocompleteStr=2015%20QCCS%204369&amp;autocompletePos=1" TargetMode="External"/><Relationship Id="rId32" Type="http://schemas.openxmlformats.org/officeDocument/2006/relationships/hyperlink" Target="https://www.canlii.org/en/bc/bcsc/doc/2016/2016bcsc419/2016bcsc419.html" TargetMode="External"/><Relationship Id="rId37" Type="http://schemas.openxmlformats.org/officeDocument/2006/relationships/hyperlink" Target="http://canlii.ca/t/g63fs" TargetMode="External"/><Relationship Id="rId40" Type="http://schemas.openxmlformats.org/officeDocument/2006/relationships/hyperlink" Target="http://www.canlii.org/en/mb/mbqb/doc/2013/2013mbqb142/2013mbqb142.html" TargetMode="External"/><Relationship Id="rId45" Type="http://schemas.openxmlformats.org/officeDocument/2006/relationships/hyperlink" Target="https://www.canlii.org/fr/qc/qcca/doc/2017/2017qcca1482/2017qcca1482.html?autocompleteStr=2017%20qcca%201482&amp;autocompletePos=1" TargetMode="External"/><Relationship Id="rId53" Type="http://schemas.openxmlformats.org/officeDocument/2006/relationships/hyperlink" Target="http://canlii.ca/t/gnf3j" TargetMode="External"/><Relationship Id="rId58" Type="http://schemas.openxmlformats.org/officeDocument/2006/relationships/hyperlink" Target="https://www.canlii.org/fr/qc/qccq/doc/2016/2016qccq19930/2016qccq19930.html?autocompleteStr=banque%20royale%20du%20canada%20.%20gestion%20&amp;autocompletePos=1" TargetMode="External"/><Relationship Id="rId66" Type="http://schemas.openxmlformats.org/officeDocument/2006/relationships/hyperlink" Target="https://www.canlii.org/en/on/onsc/doc/2014/2014onsc717/2014onsc717.html?resultIndex=1" TargetMode="External"/><Relationship Id="rId74" Type="http://schemas.openxmlformats.org/officeDocument/2006/relationships/hyperlink" Target="https://www.canlii.org/en/sk/skqb/doc/2016/2016skqb25/2016skqb25.html?autocompleteStr=2016%20SKQB%2025&amp;autocompletePos=1" TargetMode="External"/><Relationship Id="rId79" Type="http://schemas.openxmlformats.org/officeDocument/2006/relationships/hyperlink" Target="https://www.canlii.org/en/on/onca/doc/2017/2017onca591/2017onca591.html?autocompleteStr=2017%20ONCA%20591&amp;autocompletePos=1" TargetMode="External"/><Relationship Id="rId87" Type="http://schemas.openxmlformats.org/officeDocument/2006/relationships/hyperlink" Target="https://www.canlii.org/en/on/onca/doc/2017/2017onca617/2017onca617.html?autocompleteStr=2017%20ONCA%20617&amp;autocompletePos=1" TargetMode="External"/><Relationship Id="rId5" Type="http://schemas.openxmlformats.org/officeDocument/2006/relationships/footnotes" Target="footnotes.xml"/><Relationship Id="rId61" Type="http://schemas.openxmlformats.org/officeDocument/2006/relationships/hyperlink" Target="https://www.canlii.org/fr/qc/qcca/doc/2017/2017qcca356/2017qcca356.html?autocompleteStr=gestion%20eric%20tardif&amp;autocompletePos=1" TargetMode="External"/><Relationship Id="rId82" Type="http://schemas.openxmlformats.org/officeDocument/2006/relationships/hyperlink" Target="http://canlii.ca/t/h5gkf" TargetMode="External"/><Relationship Id="rId90" Type="http://schemas.openxmlformats.org/officeDocument/2006/relationships/hyperlink" Target="https://www.canlii.org/en/bc/bcsc/doc/2015/2015bcsc1319/2015bcsc1319.html?resultIndex=1" TargetMode="External"/><Relationship Id="rId95" Type="http://schemas.openxmlformats.org/officeDocument/2006/relationships/footer" Target="footer1.xml"/><Relationship Id="rId19" Type="http://schemas.openxmlformats.org/officeDocument/2006/relationships/hyperlink" Target="http://www.scc-csc.ca/case-dossier/info/sum-som-eng.aspx?cas=37794" TargetMode="External"/><Relationship Id="rId14" Type="http://schemas.openxmlformats.org/officeDocument/2006/relationships/hyperlink" Target="http://www.scc-csc.ca/case-dossier/info/sum-som-eng.aspx?cas=37792" TargetMode="External"/><Relationship Id="rId22" Type="http://schemas.openxmlformats.org/officeDocument/2006/relationships/hyperlink" Target="http://www.scc-csc.ca/case-dossier/info/sum-som-eng.aspx?cas=37762" TargetMode="External"/><Relationship Id="rId27" Type="http://schemas.openxmlformats.org/officeDocument/2006/relationships/hyperlink" Target="https://www.canlii.org/fr/qc/qcca/doc/2017/2017qcca1033/2017qcca1033.html" TargetMode="External"/><Relationship Id="rId30" Type="http://schemas.openxmlformats.org/officeDocument/2006/relationships/hyperlink" Target="https://www.canlii.org/en/bc/bcsc/doc/2016/2016bcsc419/2016bcsc419.html" TargetMode="External"/><Relationship Id="rId35" Type="http://schemas.openxmlformats.org/officeDocument/2006/relationships/hyperlink" Target="http://canlii.ca/t/gx86n" TargetMode="External"/><Relationship Id="rId43" Type="http://schemas.openxmlformats.org/officeDocument/2006/relationships/hyperlink" Target="http://www.canlii.org/en/mb/mbca/doc/2014/2014mbca26/2014mbca26.html" TargetMode="External"/><Relationship Id="rId48" Type="http://schemas.openxmlformats.org/officeDocument/2006/relationships/hyperlink" Target="https://www.canlii.org/fr/qc/qccs/doc/2015/2015qccs4905/2015qccs4905.pdf" TargetMode="External"/><Relationship Id="rId56" Type="http://schemas.openxmlformats.org/officeDocument/2006/relationships/hyperlink" Target="http://canlii.ca/t/gnf3j" TargetMode="External"/><Relationship Id="rId64" Type="http://schemas.openxmlformats.org/officeDocument/2006/relationships/hyperlink" Target="https://www.canlii.org/en/on/onsc/doc/2016/2016onsc3759/2016onsc3759.html?resultIndex=1" TargetMode="External"/><Relationship Id="rId69" Type="http://schemas.openxmlformats.org/officeDocument/2006/relationships/hyperlink" Target="https://www.canlii.org/en/on/onca/doc/2017/2017onca575/2017onca575.html?resultIndex=1" TargetMode="External"/><Relationship Id="rId77" Type="http://schemas.openxmlformats.org/officeDocument/2006/relationships/hyperlink" Target="https://www.canlii.org/en/sk/skca/doc/2017/2017skca62/2017skca62.html?searchUrlHash=AAAAAAAAAAEAFTIwMTYgU0tRQiAyNSAoQ2FuTElJKQAAAAEACy8yMDE2c2txYjI1AQ&amp;resultIndex=3" TargetMode="External"/><Relationship Id="rId100" Type="http://schemas.openxmlformats.org/officeDocument/2006/relationships/theme" Target="theme/theme1.xml"/><Relationship Id="rId8" Type="http://schemas.openxmlformats.org/officeDocument/2006/relationships/hyperlink" Target="http://www.scc-csc.ca/case-dossier/info/sum-som-eng.aspx?cas=37469" TargetMode="External"/><Relationship Id="rId51" Type="http://schemas.openxmlformats.org/officeDocument/2006/relationships/hyperlink" Target="https://www.canlii.org/fr/qc/qcca/doc/2017/2017qcca798/2017qcca798.pdf" TargetMode="External"/><Relationship Id="rId72" Type="http://schemas.openxmlformats.org/officeDocument/2006/relationships/hyperlink" Target="http://canlii.ca/t/g03dw" TargetMode="External"/><Relationship Id="rId80" Type="http://schemas.openxmlformats.org/officeDocument/2006/relationships/hyperlink" Target="https://www.canlii.org/en/on/onsc/doc/2016/2016onsc5071/2016onsc5071.html" TargetMode="External"/><Relationship Id="rId85" Type="http://schemas.openxmlformats.org/officeDocument/2006/relationships/hyperlink" Target="https://www.canlii.org/en/on/onca/doc/2017/2017onca617/2017onca617.html?autocompleteStr=2017%20ONCA%20617&amp;autocompletePos=1" TargetMode="External"/><Relationship Id="rId93" Type="http://schemas.openxmlformats.org/officeDocument/2006/relationships/header" Target="header1.xml"/><Relationship Id="rId98"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www.scc-csc.ca/case-dossier/info/sum-som-fra.aspx?cas=37834" TargetMode="External"/><Relationship Id="rId17" Type="http://schemas.openxmlformats.org/officeDocument/2006/relationships/hyperlink" Target="http://www.scc-csc.ca/case-dossier/info/sum-som-eng.aspx?cas=37788" TargetMode="External"/><Relationship Id="rId25" Type="http://schemas.openxmlformats.org/officeDocument/2006/relationships/hyperlink" Target="https://www.canlii.org/en/qc/qcca/doc/2017/2017qcca1033/2017qcca1033.html" TargetMode="External"/><Relationship Id="rId33" Type="http://schemas.openxmlformats.org/officeDocument/2006/relationships/hyperlink" Target="https://www.canlii.org/en/bc/bcca/doc/2017/2017bcca186/2017bcca186.html?autocompleteStr=2017%20BCCA%20186&amp;autocompletePos=1" TargetMode="External"/><Relationship Id="rId38" Type="http://schemas.openxmlformats.org/officeDocument/2006/relationships/hyperlink" Target="http://canlii.ca/t/gx86n" TargetMode="External"/><Relationship Id="rId46" Type="http://schemas.openxmlformats.org/officeDocument/2006/relationships/hyperlink" Target="https://www.canlii.org/fr/qc/qccs/doc/2015/2015qccs269/2015qccs269.html" TargetMode="External"/><Relationship Id="rId59" Type="http://schemas.openxmlformats.org/officeDocument/2006/relationships/hyperlink" Target="https://www.canlii.org/fr/qc/qcca/doc/2017/2017qcca356/2017qcca356.html?autocompleteStr=gestion%20eric%20tardif&amp;autocompletePos=1" TargetMode="External"/><Relationship Id="rId67" Type="http://schemas.openxmlformats.org/officeDocument/2006/relationships/hyperlink" Target="https://www.canlii.org/en/on/onca/doc/2017/2017onca575/2017onca575.html?resultIndex=1" TargetMode="External"/><Relationship Id="rId20" Type="http://schemas.openxmlformats.org/officeDocument/2006/relationships/hyperlink" Target="http://www.scc-csc.ca/case-dossier/info/sum-som-eng.aspx?cas=37733" TargetMode="External"/><Relationship Id="rId41" Type="http://schemas.openxmlformats.org/officeDocument/2006/relationships/hyperlink" Target="http://www.canlii.org/en/mb/mbca/doc/2014/2014mbca26/2014mbca26.html" TargetMode="External"/><Relationship Id="rId54" Type="http://schemas.openxmlformats.org/officeDocument/2006/relationships/hyperlink" Target="http://canlii.ca/t/h55hp" TargetMode="External"/><Relationship Id="rId62" Type="http://schemas.openxmlformats.org/officeDocument/2006/relationships/hyperlink" Target="https://www.canlii.org/en/on/onsc/doc/2016/2016onsc3759/2016onsc3759.html?resultIndex=1" TargetMode="External"/><Relationship Id="rId70" Type="http://schemas.openxmlformats.org/officeDocument/2006/relationships/hyperlink" Target="http://canlii.ca/t/g03dw" TargetMode="External"/><Relationship Id="rId75" Type="http://schemas.openxmlformats.org/officeDocument/2006/relationships/hyperlink" Target="https://www.canlii.org/en/sk/skca/doc/2017/2017skca62/2017skca62.html?searchUrlHash=AAAAAAAAAAEAFTIwMTYgU0tRQiAyNSAoQ2FuTElJKQAAAAEACy8yMDE2c2txYjI1AQ&amp;resultIndex=3" TargetMode="External"/><Relationship Id="rId83" Type="http://schemas.openxmlformats.org/officeDocument/2006/relationships/hyperlink" Target="http://canlii.ca/t/h5gkf" TargetMode="External"/><Relationship Id="rId88" Type="http://schemas.openxmlformats.org/officeDocument/2006/relationships/hyperlink" Target="https://www.canlii.org/en/bc/bcsc/doc/2015/2015bcsc1319/2015bcsc1319.html?resultIndex=1" TargetMode="External"/><Relationship Id="rId91" Type="http://schemas.openxmlformats.org/officeDocument/2006/relationships/hyperlink" Target="https://www.canlii.org/en/bc/bcca/doc/2017/2017bcca229/2017bcca229.html?resultIndex=1" TargetMode="External"/><Relationship Id="rId9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cc-csc.ca/case-dossier/info/sum-som-fra.aspx?cas=37548" TargetMode="External"/><Relationship Id="rId23" Type="http://schemas.openxmlformats.org/officeDocument/2006/relationships/hyperlink" Target="http://www.scc-csc.ca/case-dossier/info/sum-som-eng.aspx?cas=37734" TargetMode="External"/><Relationship Id="rId28" Type="http://schemas.openxmlformats.org/officeDocument/2006/relationships/hyperlink" Target="https://www.canlii.org/en/bc/bcca/doc/2017/2017bcca52/2017bcca52.html?resultIndex=1" TargetMode="External"/><Relationship Id="rId36" Type="http://schemas.openxmlformats.org/officeDocument/2006/relationships/hyperlink" Target="http://canlii.ca/t/h03pp" TargetMode="External"/><Relationship Id="rId49" Type="http://schemas.openxmlformats.org/officeDocument/2006/relationships/hyperlink" Target="https://www.canlii.org/fr/qc/qcca/doc/2017/2017qcca798/2017qcca798.pdf" TargetMode="External"/><Relationship Id="rId57" Type="http://schemas.openxmlformats.org/officeDocument/2006/relationships/hyperlink" Target="http://canlii.ca/t/h55hp" TargetMode="External"/><Relationship Id="rId10" Type="http://schemas.openxmlformats.org/officeDocument/2006/relationships/hyperlink" Target="http://www.scc-csc.ca/case-dossier/info/sum-som-eng.aspx?cas=37728" TargetMode="External"/><Relationship Id="rId31" Type="http://schemas.openxmlformats.org/officeDocument/2006/relationships/hyperlink" Target="https://www.canlii.org/en/bc/bcca/doc/2017/2017bcca186/2017bcca186.html?autocompleteStr=2017%20BCCA%20186&amp;autocompletePos=1" TargetMode="External"/><Relationship Id="rId44" Type="http://schemas.openxmlformats.org/officeDocument/2006/relationships/hyperlink" Target="https://www.canlii.org/fr/qc/qccs/doc/2015/2015qccs269/2015qccs269.html" TargetMode="External"/><Relationship Id="rId52" Type="http://schemas.openxmlformats.org/officeDocument/2006/relationships/hyperlink" Target="http://canlii.ca/t/gjgdw" TargetMode="External"/><Relationship Id="rId60" Type="http://schemas.openxmlformats.org/officeDocument/2006/relationships/hyperlink" Target="https://www.canlii.org/fr/qc/qccq/doc/2016/2016qccq19930/2016qccq19930.html?autocompleteStr=banque%20royale%20du%20canada%20.%20gestion%20&amp;autocompletePos=1" TargetMode="External"/><Relationship Id="rId65" Type="http://schemas.openxmlformats.org/officeDocument/2006/relationships/hyperlink" Target="https://www.canlii.org/en/on/onca/doc/2017/2017onca549/2017onca549.html?autocompleteStr=2017%20ONCA%20549&amp;autocompletePos=1" TargetMode="External"/><Relationship Id="rId73" Type="http://schemas.openxmlformats.org/officeDocument/2006/relationships/hyperlink" Target="http://canlii.ca/t/h4nq2" TargetMode="External"/><Relationship Id="rId78" Type="http://schemas.openxmlformats.org/officeDocument/2006/relationships/hyperlink" Target="https://www.canlii.org/en/on/onsc/doc/2016/2016onsc5071/2016onsc5071.html" TargetMode="External"/><Relationship Id="rId81" Type="http://schemas.openxmlformats.org/officeDocument/2006/relationships/hyperlink" Target="https://www.canlii.org/en/on/onca/doc/2017/2017onca591/2017onca591.html?autocompleteStr=2017%20ONCA%20591&amp;autocompletePos=1" TargetMode="External"/><Relationship Id="rId86" Type="http://schemas.openxmlformats.org/officeDocument/2006/relationships/hyperlink" Target="https://www.canlii.org/en/on/onsc/doc/2016/2016onsc6429/2016onsc6429.html?autocompleteStr=2016%20ONSC%206429&amp;autocompletePos=1" TargetMode="External"/><Relationship Id="rId94" Type="http://schemas.openxmlformats.org/officeDocument/2006/relationships/header" Target="header2.xm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c-csc.ca/case-dossier/info/sum-som-eng.aspx?cas=37696" TargetMode="External"/><Relationship Id="rId13" Type="http://schemas.openxmlformats.org/officeDocument/2006/relationships/hyperlink" Target="http://www.scc-csc.ca/case-dossier/info/sum-som-fra.aspx?cas=37695" TargetMode="External"/><Relationship Id="rId18" Type="http://schemas.openxmlformats.org/officeDocument/2006/relationships/hyperlink" Target="http://www.scc-csc.ca/case-dossier/info/sum-som-eng.aspx?cas=37784" TargetMode="External"/><Relationship Id="rId39" Type="http://schemas.openxmlformats.org/officeDocument/2006/relationships/hyperlink" Target="http://canlii.ca/t/h03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15109</Words>
  <Characters>86125</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101032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2018-03-09T16:20:00Z</dcterms:created>
  <dcterms:modified xsi:type="dcterms:W3CDTF">2018-03-15T13:35:00Z</dcterms:modified>
</cp:coreProperties>
</file>