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9874AA" w:rsidRDefault="00C007C3" w:rsidP="006F2579">
      <w:pPr>
        <w:widowControl w:val="0"/>
        <w:jc w:val="center"/>
        <w:rPr>
          <w:b/>
          <w:lang w:val="fr-CA"/>
        </w:rPr>
      </w:pPr>
      <w:r>
        <w:fldChar w:fldCharType="begin"/>
      </w:r>
      <w:r w:rsidR="006F2579" w:rsidRPr="009874AA">
        <w:rPr>
          <w:lang w:val="fr-CA"/>
        </w:rPr>
        <w:instrText xml:space="preserve"> SEQ CHAPTER \h \r 1</w:instrText>
      </w:r>
      <w:r>
        <w:fldChar w:fldCharType="end"/>
      </w:r>
      <w:r w:rsidR="002767DF" w:rsidRPr="009874AA">
        <w:rPr>
          <w:b/>
          <w:lang w:val="fr-CA"/>
        </w:rPr>
        <w:t xml:space="preserve">JUDGMENTS </w:t>
      </w:r>
      <w:r w:rsidR="004C4C26" w:rsidRPr="009874AA">
        <w:rPr>
          <w:b/>
          <w:lang w:val="fr-CA"/>
        </w:rPr>
        <w:t>IN LEAVE APPLICATION</w:t>
      </w:r>
      <w:r w:rsidR="00CC044F" w:rsidRPr="009874AA">
        <w:rPr>
          <w:b/>
          <w:lang w:val="fr-CA"/>
        </w:rPr>
        <w:t>S</w:t>
      </w:r>
    </w:p>
    <w:p w:rsidR="006F2579" w:rsidRPr="009874AA" w:rsidRDefault="006F2579" w:rsidP="006F2579">
      <w:pPr>
        <w:widowControl w:val="0"/>
        <w:rPr>
          <w:b/>
          <w:lang w:val="fr-CA"/>
        </w:rPr>
      </w:pPr>
    </w:p>
    <w:p w:rsidR="006F2579" w:rsidRPr="00497B5E" w:rsidRDefault="008E6FD2" w:rsidP="006F2579">
      <w:pPr>
        <w:widowControl w:val="0"/>
        <w:rPr>
          <w:b/>
        </w:rPr>
      </w:pPr>
      <w:r>
        <w:rPr>
          <w:b/>
        </w:rPr>
        <w:t>October 1</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8E6FD2">
        <w:rPr>
          <w:b/>
          <w:lang w:val="fr-CA"/>
        </w:rPr>
        <w:t>1</w:t>
      </w:r>
      <w:r w:rsidR="008E6FD2" w:rsidRPr="008E6FD2">
        <w:rPr>
          <w:b/>
          <w:vertAlign w:val="superscript"/>
          <w:lang w:val="fr-CA"/>
        </w:rPr>
        <w:t>er</w:t>
      </w:r>
      <w:r w:rsidR="008E6FD2">
        <w:rPr>
          <w:b/>
          <w:lang w:val="fr-CA"/>
        </w:rPr>
        <w:t xml:space="preserve"> octo</w:t>
      </w:r>
      <w:r w:rsidR="00893DAB">
        <w:rPr>
          <w:b/>
          <w:lang w:val="fr-CA"/>
        </w:rPr>
        <w:t>bre</w:t>
      </w:r>
      <w:r w:rsidR="002D404A">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8E6FD2" w:rsidRPr="00494DF2">
          <w:rPr>
            <w:rStyle w:val="Hyperlink"/>
            <w:szCs w:val="24"/>
          </w:rPr>
          <w:t>http://scc-csc.lexum.com/scc-csc/news/en/item/5047/index.do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021C4F">
        <w:fldChar w:fldCharType="begin"/>
      </w:r>
      <w:r w:rsidR="00021C4F" w:rsidRPr="00021C4F">
        <w:rPr>
          <w:lang w:val="fr-CA"/>
        </w:rPr>
        <w:instrText xml:space="preserve"> HYPERLINK "http://scc-csc.lexum.com/scc-csc/</w:instrText>
      </w:r>
      <w:r w:rsidR="00021C4F" w:rsidRPr="00021C4F">
        <w:rPr>
          <w:lang w:val="fr-CA"/>
        </w:rPr>
        <w:instrText xml:space="preserve">news/fr/item/5047/index.do" </w:instrText>
      </w:r>
      <w:r w:rsidR="00021C4F">
        <w:fldChar w:fldCharType="separate"/>
      </w:r>
      <w:r w:rsidR="008E6FD2" w:rsidRPr="00494DF2">
        <w:rPr>
          <w:rStyle w:val="Hyperlink"/>
          <w:szCs w:val="24"/>
          <w:lang w:val="fr-CA"/>
        </w:rPr>
        <w:t>http://scc-csc.lexum.com/scc-csc/news/fr/item/5047/index.do</w:t>
      </w:r>
      <w:r w:rsidR="00021C4F">
        <w:rPr>
          <w:rStyle w:val="Hyperlink"/>
          <w:szCs w:val="24"/>
          <w:lang w:val="fr-CA"/>
        </w:rPr>
        <w:fldChar w:fldCharType="end"/>
      </w:r>
      <w:r w:rsidR="00463D03">
        <w:rPr>
          <w:szCs w:val="24"/>
          <w:lang w:val="fr-CA"/>
        </w:rPr>
        <w:t xml:space="preserve"> </w:t>
      </w:r>
    </w:p>
    <w:p w:rsidR="0025713A" w:rsidRDefault="0025713A" w:rsidP="0025713A">
      <w:pPr>
        <w:widowControl w:val="0"/>
        <w:rPr>
          <w:sz w:val="20"/>
          <w:lang w:val="fr-CA"/>
        </w:rPr>
      </w:pPr>
    </w:p>
    <w:p w:rsidR="00A86C5B" w:rsidRDefault="00A86C5B" w:rsidP="00D96A34">
      <w:pPr>
        <w:jc w:val="both"/>
        <w:rPr>
          <w:sz w:val="20"/>
          <w:lang w:val="fr-CA"/>
        </w:rPr>
      </w:pPr>
    </w:p>
    <w:p w:rsidR="005C1C0C" w:rsidRPr="008E6FD2" w:rsidRDefault="005C1C0C" w:rsidP="005C1C0C">
      <w:pPr>
        <w:jc w:val="both"/>
        <w:rPr>
          <w:i/>
          <w:sz w:val="20"/>
          <w:lang w:val="fr-CA"/>
        </w:rPr>
      </w:pPr>
    </w:p>
    <w:p w:rsidR="000C7BA4" w:rsidRPr="00021C4F" w:rsidRDefault="00890762" w:rsidP="0089414D">
      <w:pPr>
        <w:jc w:val="both"/>
        <w:rPr>
          <w:b/>
        </w:rPr>
      </w:pPr>
      <w:r w:rsidRPr="00021C4F">
        <w:rPr>
          <w:b/>
        </w:rPr>
        <w:t>DISMISSED WITH COSTS / REJETÉE</w:t>
      </w:r>
      <w:r w:rsidR="00D96A34" w:rsidRPr="00021C4F">
        <w:rPr>
          <w:b/>
        </w:rPr>
        <w:t>S</w:t>
      </w:r>
      <w:r w:rsidRPr="00021C4F">
        <w:rPr>
          <w:b/>
        </w:rPr>
        <w:t xml:space="preserve"> AVEC DÉPENS</w:t>
      </w:r>
    </w:p>
    <w:p w:rsidR="00890762" w:rsidRPr="00021C4F" w:rsidRDefault="00890762" w:rsidP="005C1C0C">
      <w:pPr>
        <w:jc w:val="both"/>
        <w:rPr>
          <w:sz w:val="20"/>
        </w:rPr>
      </w:pPr>
    </w:p>
    <w:p w:rsidR="00C0085C" w:rsidRPr="00C0085C" w:rsidRDefault="00C0085C" w:rsidP="00C0085C">
      <w:pPr>
        <w:jc w:val="both"/>
        <w:rPr>
          <w:sz w:val="20"/>
        </w:rPr>
      </w:pPr>
      <w:proofErr w:type="spellStart"/>
      <w:r w:rsidRPr="00C0085C">
        <w:rPr>
          <w:i/>
          <w:sz w:val="20"/>
        </w:rPr>
        <w:t>Eamon</w:t>
      </w:r>
      <w:proofErr w:type="spellEnd"/>
      <w:r w:rsidRPr="00C0085C">
        <w:rPr>
          <w:i/>
          <w:sz w:val="20"/>
        </w:rPr>
        <w:t xml:space="preserve"> Rocks v. Ian Savage Professional Corporation</w:t>
      </w:r>
      <w:r w:rsidRPr="00C0085C">
        <w:rPr>
          <w:sz w:val="20"/>
        </w:rPr>
        <w:t xml:space="preserve"> (Alta.) (Civil) (By Leave) (</w:t>
      </w:r>
      <w:hyperlink r:id="rId8" w:history="1">
        <w:r w:rsidRPr="00C0085C">
          <w:rPr>
            <w:rStyle w:val="Hyperlink"/>
            <w:sz w:val="20"/>
          </w:rPr>
          <w:t>36454</w:t>
        </w:r>
      </w:hyperlink>
      <w:r w:rsidRPr="00C0085C">
        <w:rPr>
          <w:sz w:val="20"/>
        </w:rPr>
        <w:t>)</w:t>
      </w:r>
    </w:p>
    <w:p w:rsidR="00C0085C" w:rsidRPr="00C0085C" w:rsidRDefault="00C0085C" w:rsidP="00C0085C">
      <w:pPr>
        <w:rPr>
          <w:sz w:val="20"/>
        </w:rPr>
      </w:pPr>
      <w:r w:rsidRPr="00C0085C">
        <w:rPr>
          <w:sz w:val="20"/>
        </w:rPr>
        <w:t xml:space="preserve">(The motion for an extension of time to serve and file the application for leave to appeal is granted. The application for leave to appeal is dismissed with costs in accordance with the Tariff of fees and disbursements set out in Schedule B of the </w:t>
      </w:r>
      <w:r w:rsidRPr="00C0085C">
        <w:rPr>
          <w:i/>
          <w:sz w:val="20"/>
        </w:rPr>
        <w:t>Rules</w:t>
      </w:r>
      <w:r w:rsidRPr="00C0085C">
        <w:rPr>
          <w:sz w:val="20"/>
        </w:rPr>
        <w:t xml:space="preserve"> </w:t>
      </w:r>
      <w:r w:rsidRPr="00C0085C">
        <w:rPr>
          <w:i/>
          <w:sz w:val="20"/>
        </w:rPr>
        <w:t>of the</w:t>
      </w:r>
      <w:r w:rsidRPr="00C0085C">
        <w:rPr>
          <w:sz w:val="20"/>
        </w:rPr>
        <w:t xml:space="preserve"> </w:t>
      </w:r>
      <w:r w:rsidRPr="00C0085C">
        <w:rPr>
          <w:i/>
          <w:sz w:val="20"/>
        </w:rPr>
        <w:t>Supreme Court of Canada</w:t>
      </w:r>
      <w:r w:rsidRPr="00C0085C">
        <w:rPr>
          <w:sz w:val="20"/>
        </w:rPr>
        <w:t>. /</w:t>
      </w:r>
    </w:p>
    <w:p w:rsidR="00C0085C" w:rsidRPr="00C0085C" w:rsidRDefault="00C0085C" w:rsidP="00C0085C">
      <w:pPr>
        <w:rPr>
          <w:sz w:val="20"/>
          <w:lang w:val="fr-CA"/>
        </w:rPr>
      </w:pPr>
      <w:r w:rsidRPr="00C0085C">
        <w:rPr>
          <w:sz w:val="20"/>
          <w:lang w:val="fr-CA"/>
        </w:rPr>
        <w:t xml:space="preserve">La requête en prorogation du délai de signification et de dépôt de la demande d’autorisation d’appel est accueillie.  La demande d’autorisation de l’appel est rejetée avec dépens conformément au tarif des honoraires et débours établi à l’Annexe B des </w:t>
      </w:r>
      <w:r w:rsidRPr="00C0085C">
        <w:rPr>
          <w:i/>
          <w:sz w:val="20"/>
          <w:lang w:val="fr-CA"/>
        </w:rPr>
        <w:t>Règles de la Cour suprême du Canada</w:t>
      </w:r>
      <w:r w:rsidRPr="00C0085C">
        <w:rPr>
          <w:sz w:val="20"/>
          <w:lang w:val="fr-CA"/>
        </w:rPr>
        <w:t>.)</w:t>
      </w:r>
    </w:p>
    <w:p w:rsidR="00C0085C" w:rsidRPr="00C0085C" w:rsidRDefault="00C0085C" w:rsidP="00C0085C">
      <w:pPr>
        <w:jc w:val="both"/>
        <w:rPr>
          <w:sz w:val="20"/>
        </w:rPr>
      </w:pPr>
      <w:r w:rsidRPr="00C0085C">
        <w:rPr>
          <w:sz w:val="20"/>
        </w:rPr>
        <w:t>Coram: Rothstein / Cromwell / Moldaver</w:t>
      </w:r>
    </w:p>
    <w:p w:rsidR="00C0085C" w:rsidRPr="00C0085C" w:rsidRDefault="00C0085C" w:rsidP="00C0085C">
      <w:pPr>
        <w:jc w:val="both"/>
        <w:rPr>
          <w:iCs/>
          <w:sz w:val="20"/>
        </w:rPr>
      </w:pPr>
    </w:p>
    <w:p w:rsidR="00C0085C" w:rsidRPr="00C0085C" w:rsidRDefault="00C0085C" w:rsidP="00C0085C">
      <w:pPr>
        <w:jc w:val="both"/>
        <w:rPr>
          <w:sz w:val="20"/>
        </w:rPr>
      </w:pPr>
      <w:r w:rsidRPr="00C0085C">
        <w:rPr>
          <w:sz w:val="20"/>
        </w:rPr>
        <w:t>****</w:t>
      </w:r>
    </w:p>
    <w:p w:rsidR="00C0085C" w:rsidRPr="00C0085C" w:rsidRDefault="00C0085C" w:rsidP="00C0085C">
      <w:pPr>
        <w:jc w:val="both"/>
        <w:rPr>
          <w:i/>
          <w:sz w:val="20"/>
        </w:rPr>
      </w:pPr>
    </w:p>
    <w:p w:rsidR="00C0085C" w:rsidRPr="00C0085C" w:rsidRDefault="00C0085C" w:rsidP="00C0085C">
      <w:pPr>
        <w:jc w:val="both"/>
        <w:rPr>
          <w:sz w:val="20"/>
        </w:rPr>
      </w:pPr>
      <w:r w:rsidRPr="00C0085C">
        <w:rPr>
          <w:i/>
          <w:sz w:val="20"/>
        </w:rPr>
        <w:t xml:space="preserve">Perry </w:t>
      </w:r>
      <w:proofErr w:type="spellStart"/>
      <w:r w:rsidRPr="00C0085C">
        <w:rPr>
          <w:i/>
          <w:sz w:val="20"/>
        </w:rPr>
        <w:t>Breslin</w:t>
      </w:r>
      <w:proofErr w:type="spellEnd"/>
      <w:r w:rsidRPr="00C0085C">
        <w:rPr>
          <w:i/>
          <w:sz w:val="20"/>
        </w:rPr>
        <w:t xml:space="preserve"> et al. v. Ontario Securities Commission et al. </w:t>
      </w:r>
      <w:r w:rsidRPr="00C0085C">
        <w:rPr>
          <w:sz w:val="20"/>
        </w:rPr>
        <w:t>(Ont.) (Civil) (By Leave) (</w:t>
      </w:r>
      <w:hyperlink r:id="rId9" w:history="1">
        <w:r w:rsidRPr="00C0085C">
          <w:rPr>
            <w:rStyle w:val="Hyperlink"/>
            <w:sz w:val="20"/>
          </w:rPr>
          <w:t>36419</w:t>
        </w:r>
      </w:hyperlink>
      <w:r w:rsidRPr="00C0085C">
        <w:rPr>
          <w:sz w:val="20"/>
        </w:rPr>
        <w:t>)</w:t>
      </w:r>
    </w:p>
    <w:p w:rsidR="00C0085C" w:rsidRPr="00C0085C" w:rsidRDefault="00C0085C" w:rsidP="00C0085C">
      <w:pPr>
        <w:rPr>
          <w:sz w:val="20"/>
        </w:rPr>
      </w:pPr>
      <w:r w:rsidRPr="00C0085C">
        <w:rPr>
          <w:sz w:val="20"/>
        </w:rPr>
        <w:t>(The application for leave to appeal is dismissed with costs to the respondent, the Ontario Securities Commission. /</w:t>
      </w:r>
    </w:p>
    <w:p w:rsidR="00C0085C" w:rsidRPr="00C0085C" w:rsidRDefault="00C0085C" w:rsidP="00C0085C">
      <w:pPr>
        <w:rPr>
          <w:sz w:val="20"/>
          <w:lang w:val="fr-CA"/>
        </w:rPr>
      </w:pPr>
      <w:r w:rsidRPr="00C0085C">
        <w:rPr>
          <w:sz w:val="20"/>
          <w:lang w:val="fr-CA"/>
        </w:rPr>
        <w:t>La demande d’autorisation d’appel est rejetée avec dépens en faveur de l’intimée, la Commission des valeurs mobilières de l’Ontario.)</w:t>
      </w:r>
    </w:p>
    <w:p w:rsidR="00C0085C" w:rsidRPr="00021C4F" w:rsidRDefault="00C0085C" w:rsidP="00C0085C">
      <w:pPr>
        <w:jc w:val="both"/>
        <w:rPr>
          <w:sz w:val="20"/>
          <w:lang w:val="fr-CA"/>
        </w:rPr>
      </w:pPr>
      <w:r w:rsidRPr="00021C4F">
        <w:rPr>
          <w:sz w:val="20"/>
          <w:lang w:val="fr-CA"/>
        </w:rPr>
        <w:t>Coram: Rothstein / Cromwell / Moldaver</w:t>
      </w:r>
    </w:p>
    <w:p w:rsidR="00C0085C" w:rsidRPr="00021C4F" w:rsidRDefault="00C0085C" w:rsidP="00C0085C">
      <w:pPr>
        <w:jc w:val="both"/>
        <w:rPr>
          <w:iCs/>
          <w:sz w:val="20"/>
          <w:lang w:val="fr-CA"/>
        </w:rPr>
      </w:pPr>
    </w:p>
    <w:p w:rsidR="00C0085C" w:rsidRPr="00021C4F" w:rsidRDefault="00C0085C" w:rsidP="00C0085C">
      <w:pPr>
        <w:jc w:val="both"/>
        <w:rPr>
          <w:sz w:val="20"/>
          <w:lang w:val="fr-CA"/>
        </w:rPr>
      </w:pPr>
      <w:r w:rsidRPr="00021C4F">
        <w:rPr>
          <w:sz w:val="20"/>
          <w:lang w:val="fr-CA"/>
        </w:rPr>
        <w:t>****</w:t>
      </w:r>
    </w:p>
    <w:p w:rsidR="00C0085C" w:rsidRPr="00021C4F" w:rsidRDefault="00C0085C" w:rsidP="00C0085C">
      <w:pPr>
        <w:jc w:val="both"/>
        <w:rPr>
          <w:i/>
          <w:sz w:val="20"/>
          <w:lang w:val="fr-CA"/>
        </w:rPr>
      </w:pPr>
    </w:p>
    <w:p w:rsidR="00A86C5B" w:rsidRPr="00C0085C" w:rsidRDefault="00C0085C" w:rsidP="005C1C0C">
      <w:pPr>
        <w:pStyle w:val="NoSpacing"/>
        <w:jc w:val="both"/>
        <w:rPr>
          <w:b/>
          <w:szCs w:val="20"/>
          <w:lang w:val="fr-CA" w:eastAsia="en-US"/>
        </w:rPr>
      </w:pPr>
      <w:r w:rsidRPr="00C0085C">
        <w:rPr>
          <w:b/>
          <w:szCs w:val="20"/>
          <w:lang w:val="fr-CA" w:eastAsia="en-US"/>
        </w:rPr>
        <w:t>MOTION FOR EXTENSION OF TIME AND APPLICATION FOR LEAVE TO APPEAL/ DEMANDE DE PROROGATION DU DÉLAI ET DEMANDE D’AUTORISATION D’APPEL</w:t>
      </w:r>
    </w:p>
    <w:p w:rsidR="00C0085C" w:rsidRPr="00021C4F" w:rsidRDefault="00C0085C" w:rsidP="005C1C0C">
      <w:pPr>
        <w:pStyle w:val="NoSpacing"/>
        <w:jc w:val="both"/>
        <w:rPr>
          <w:i/>
          <w:sz w:val="20"/>
          <w:szCs w:val="20"/>
          <w:lang w:val="fr-CA"/>
        </w:rPr>
      </w:pPr>
    </w:p>
    <w:p w:rsidR="00C0085C" w:rsidRPr="00C0085C" w:rsidRDefault="00C0085C" w:rsidP="00C0085C">
      <w:pPr>
        <w:jc w:val="both"/>
        <w:rPr>
          <w:sz w:val="20"/>
        </w:rPr>
      </w:pPr>
      <w:r w:rsidRPr="00C0085C">
        <w:rPr>
          <w:i/>
          <w:sz w:val="20"/>
        </w:rPr>
        <w:t xml:space="preserve">Gabor Kadar v. Susan </w:t>
      </w:r>
      <w:proofErr w:type="spellStart"/>
      <w:r w:rsidRPr="00C0085C">
        <w:rPr>
          <w:i/>
          <w:sz w:val="20"/>
        </w:rPr>
        <w:t>Reichman</w:t>
      </w:r>
      <w:proofErr w:type="spellEnd"/>
      <w:r w:rsidRPr="00C0085C">
        <w:rPr>
          <w:i/>
          <w:sz w:val="20"/>
        </w:rPr>
        <w:t xml:space="preserve"> personally and in her capacity as liquidator and trustee of the Estate of the late Edith Kadar</w:t>
      </w:r>
      <w:r w:rsidRPr="00C0085C">
        <w:rPr>
          <w:sz w:val="20"/>
        </w:rPr>
        <w:t xml:space="preserve"> (Que.) (Civil) (By Leave) (</w:t>
      </w:r>
      <w:hyperlink r:id="rId10" w:history="1">
        <w:r w:rsidRPr="00C0085C">
          <w:rPr>
            <w:color w:val="0000FF"/>
            <w:sz w:val="20"/>
            <w:u w:val="single"/>
          </w:rPr>
          <w:t>36292</w:t>
        </w:r>
      </w:hyperlink>
      <w:r w:rsidRPr="00C0085C">
        <w:rPr>
          <w:sz w:val="20"/>
        </w:rPr>
        <w:t>)</w:t>
      </w:r>
    </w:p>
    <w:p w:rsidR="00C0085C" w:rsidRPr="00C0085C" w:rsidRDefault="00C0085C" w:rsidP="00C0085C">
      <w:pPr>
        <w:rPr>
          <w:sz w:val="20"/>
        </w:rPr>
      </w:pPr>
      <w:r w:rsidRPr="00C0085C">
        <w:rPr>
          <w:sz w:val="20"/>
        </w:rPr>
        <w:t xml:space="preserve">(The motion for an extension to serve and file the application for leave to appeal is dismissed with costs.  In any event, had such a motion been granted, the application for leave to appeal would have been dismissed. / </w:t>
      </w:r>
    </w:p>
    <w:p w:rsidR="00C0085C" w:rsidRPr="00C0085C" w:rsidRDefault="00C0085C" w:rsidP="00C0085C">
      <w:pPr>
        <w:rPr>
          <w:sz w:val="20"/>
          <w:lang w:val="fr-CA"/>
        </w:rPr>
      </w:pPr>
      <w:r w:rsidRPr="00C0085C">
        <w:rPr>
          <w:sz w:val="20"/>
          <w:lang w:val="fr-CA"/>
        </w:rPr>
        <w:t>La requête en prorogation du délai de signification et dépôt de la demande d’autorisation d’appel est rejetée avec dépens. Quoiqu’il en soit, même si la requête avait été accueillie, la demande d’autorisation d’appel aurait été rejetée.)</w:t>
      </w:r>
    </w:p>
    <w:p w:rsidR="00C0085C" w:rsidRPr="00C0085C" w:rsidRDefault="00C0085C" w:rsidP="00C0085C">
      <w:pPr>
        <w:jc w:val="both"/>
        <w:rPr>
          <w:sz w:val="20"/>
        </w:rPr>
      </w:pPr>
      <w:r w:rsidRPr="00C0085C">
        <w:rPr>
          <w:sz w:val="20"/>
        </w:rPr>
        <w:t>Coram: Rothstein / Cromwell / Moldaver</w:t>
      </w:r>
    </w:p>
    <w:p w:rsidR="00C0085C" w:rsidRPr="00C0085C" w:rsidRDefault="00C0085C" w:rsidP="00C0085C">
      <w:pPr>
        <w:jc w:val="both"/>
        <w:rPr>
          <w:iCs/>
          <w:sz w:val="20"/>
        </w:rPr>
      </w:pPr>
    </w:p>
    <w:p w:rsidR="00C0085C" w:rsidRPr="00C0085C" w:rsidRDefault="00C0085C" w:rsidP="00C0085C">
      <w:pPr>
        <w:jc w:val="both"/>
        <w:rPr>
          <w:sz w:val="20"/>
        </w:rPr>
      </w:pPr>
      <w:r w:rsidRPr="00C0085C">
        <w:rPr>
          <w:sz w:val="20"/>
        </w:rPr>
        <w:t>****</w:t>
      </w:r>
    </w:p>
    <w:p w:rsidR="00C0085C" w:rsidRPr="00C0085C" w:rsidRDefault="00C0085C" w:rsidP="00C0085C">
      <w:pPr>
        <w:jc w:val="both"/>
        <w:rPr>
          <w:i/>
          <w:sz w:val="20"/>
        </w:rPr>
      </w:pPr>
    </w:p>
    <w:p w:rsidR="00A86C5B" w:rsidRPr="008E6FD2" w:rsidRDefault="00A86C5B" w:rsidP="00A86C5B">
      <w:pPr>
        <w:jc w:val="both"/>
        <w:rPr>
          <w:sz w:val="20"/>
        </w:rPr>
      </w:pPr>
    </w:p>
    <w:p w:rsidR="00382B6A" w:rsidRPr="008E6FD2" w:rsidRDefault="00382B6A" w:rsidP="00344FD4">
      <w:pPr>
        <w:jc w:val="both"/>
        <w:rPr>
          <w:sz w:val="20"/>
        </w:rPr>
      </w:pPr>
    </w:p>
    <w:p w:rsidR="00AB09B6" w:rsidRPr="008E6FD2" w:rsidRDefault="00AB09B6"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021C4F" w:rsidP="00D3344A">
      <w:pPr>
        <w:widowControl w:val="0"/>
        <w:outlineLvl w:val="0"/>
        <w:rPr>
          <w:color w:val="0000FF"/>
          <w:u w:val="single"/>
        </w:rPr>
      </w:pPr>
      <w:hyperlink r:id="rId11"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bookmarkStart w:id="0" w:name="_GoBack"/>
      <w:bookmarkEnd w:id="0"/>
    </w:p>
    <w:sectPr w:rsidR="00DE0F77"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1C4F"/>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0F65"/>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1496"/>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3932"/>
    <w:rsid w:val="00C07C01"/>
    <w:rsid w:val="00C12264"/>
    <w:rsid w:val="00C1477B"/>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case-dossier/info/sum-som-eng.aspx?cas=3645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news/en/item/5047/index.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c-csc.gc.ca/case-dossier/info/sum-som-eng.aspx?cas=36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gc.ca/case-dossier/info/sum-som-eng.aspx?cas=364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2015-10-01T13:35:00Z</dcterms:created>
  <dcterms:modified xsi:type="dcterms:W3CDTF">2015-10-01T13:35:00Z</dcterms:modified>
</cp:coreProperties>
</file>