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957342" w:rsidP="006F2579">
      <w:pPr>
        <w:widowControl w:val="0"/>
        <w:rPr>
          <w:b/>
        </w:rPr>
      </w:pPr>
      <w:r>
        <w:rPr>
          <w:b/>
        </w:rPr>
        <w:t>November</w:t>
      </w:r>
      <w:r w:rsidR="0001736B">
        <w:rPr>
          <w:b/>
        </w:rPr>
        <w:t xml:space="preserve"> </w:t>
      </w:r>
      <w:r w:rsidR="00FE0775">
        <w:rPr>
          <w:b/>
        </w:rPr>
        <w:t>23</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A2138C"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957342">
        <w:t>Novem</w:t>
      </w:r>
      <w:r w:rsidR="00A024F6">
        <w:t xml:space="preserve">ber </w:t>
      </w:r>
      <w:r w:rsidR="00FE0775">
        <w:t>26</w:t>
      </w:r>
      <w:r w:rsidR="00960719" w:rsidRPr="004B4D42">
        <w:t>,</w:t>
      </w:r>
      <w:r w:rsidR="002F38D7" w:rsidRPr="004B4D42">
        <w:t xml:space="preserve"> </w:t>
      </w:r>
      <w:r w:rsidR="006648D1" w:rsidRPr="004B4D42">
        <w:t>2015</w:t>
      </w:r>
      <w:r w:rsidRPr="004B4D42">
        <w:t xml:space="preserve">.  </w:t>
      </w:r>
      <w:r w:rsidRPr="00A2138C">
        <w:rPr>
          <w:lang w:val="fr-CA"/>
        </w:rPr>
        <w:t>This list is subject to change.</w:t>
      </w:r>
    </w:p>
    <w:p w:rsidR="00FF5AA4" w:rsidRPr="00A2138C" w:rsidRDefault="00FF5AA4" w:rsidP="006F2579">
      <w:pPr>
        <w:widowControl w:val="0"/>
        <w:rPr>
          <w:lang w:val="fr-CA"/>
        </w:rPr>
      </w:pPr>
    </w:p>
    <w:p w:rsidR="004F1160" w:rsidRPr="00A2138C" w:rsidRDefault="004F1160"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FE0775">
        <w:rPr>
          <w:b/>
          <w:lang w:val="fr-CA"/>
        </w:rPr>
        <w:t>23</w:t>
      </w:r>
      <w:r w:rsidR="0001736B">
        <w:rPr>
          <w:b/>
          <w:lang w:val="fr-CA"/>
        </w:rPr>
        <w:t xml:space="preserve"> </w:t>
      </w:r>
      <w:r w:rsidR="00957342">
        <w:rPr>
          <w:b/>
          <w:lang w:val="fr-CA"/>
        </w:rPr>
        <w:t>novem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FE0775">
        <w:rPr>
          <w:lang w:val="fr-CA"/>
        </w:rPr>
        <w:t>26</w:t>
      </w:r>
      <w:r w:rsidR="00957342">
        <w:rPr>
          <w:lang w:val="fr-CA"/>
        </w:rPr>
        <w:t xml:space="preserve"> novembre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F6E6D" w:rsidRPr="00FE0775" w:rsidRDefault="00EF6E6D" w:rsidP="00FE0775">
      <w:pPr>
        <w:jc w:val="both"/>
        <w:rPr>
          <w:sz w:val="20"/>
        </w:rPr>
      </w:pPr>
    </w:p>
    <w:p w:rsidR="00FE0775" w:rsidRPr="00FE0775" w:rsidRDefault="00FE0775" w:rsidP="00FE0775">
      <w:pPr>
        <w:pStyle w:val="ListParagraph"/>
        <w:numPr>
          <w:ilvl w:val="0"/>
          <w:numId w:val="31"/>
        </w:numPr>
        <w:ind w:left="360"/>
        <w:jc w:val="both"/>
        <w:rPr>
          <w:sz w:val="20"/>
          <w:lang w:val="en-CA"/>
        </w:rPr>
      </w:pPr>
      <w:r w:rsidRPr="00FE0775">
        <w:rPr>
          <w:i/>
          <w:sz w:val="20"/>
          <w:lang w:val="en-CA"/>
        </w:rPr>
        <w:t>Lyle Agar v. Ulrich Weber et al.</w:t>
      </w:r>
      <w:r w:rsidR="008E5B3B">
        <w:rPr>
          <w:sz w:val="20"/>
          <w:lang w:val="en-CA"/>
        </w:rPr>
        <w:t xml:space="preserve"> </w:t>
      </w:r>
      <w:r w:rsidRPr="00FE0775">
        <w:rPr>
          <w:sz w:val="20"/>
          <w:lang w:val="en-CA"/>
        </w:rPr>
        <w:t>(B.C.) (Civil) (By Leave) (</w:t>
      </w:r>
      <w:hyperlink r:id="rId8" w:history="1">
        <w:r w:rsidRPr="007E4C9C">
          <w:rPr>
            <w:rStyle w:val="Hyperlink"/>
            <w:sz w:val="20"/>
            <w:lang w:val="en-CA"/>
          </w:rPr>
          <w:t>36090</w:t>
        </w:r>
      </w:hyperlink>
      <w:r w:rsidRPr="00FE0775">
        <w:rPr>
          <w:sz w:val="20"/>
          <w:lang w:val="en-CA"/>
        </w:rPr>
        <w:t>)</w:t>
      </w:r>
    </w:p>
    <w:p w:rsidR="00FE0775" w:rsidRPr="00FE0775" w:rsidRDefault="00FE0775" w:rsidP="00FE0775">
      <w:pPr>
        <w:ind w:left="360" w:hanging="360"/>
        <w:jc w:val="both"/>
        <w:rPr>
          <w:sz w:val="20"/>
        </w:rPr>
      </w:pPr>
    </w:p>
    <w:p w:rsidR="00FE0775" w:rsidRPr="00FE0775" w:rsidRDefault="00FE0775" w:rsidP="00FE0775">
      <w:pPr>
        <w:numPr>
          <w:ilvl w:val="0"/>
          <w:numId w:val="31"/>
        </w:numPr>
        <w:autoSpaceDN w:val="0"/>
        <w:ind w:left="360"/>
        <w:jc w:val="both"/>
        <w:rPr>
          <w:sz w:val="20"/>
          <w:lang w:val="en-CA" w:eastAsia="en-CA"/>
        </w:rPr>
      </w:pPr>
      <w:r w:rsidRPr="00FE0775">
        <w:rPr>
          <w:i/>
          <w:sz w:val="20"/>
          <w:lang w:val="fr-FR" w:eastAsia="en-CA"/>
        </w:rPr>
        <w:t xml:space="preserve">Rahim </w:t>
      </w:r>
      <w:proofErr w:type="spellStart"/>
      <w:r w:rsidRPr="00FE0775">
        <w:rPr>
          <w:i/>
          <w:sz w:val="20"/>
          <w:lang w:val="fr-FR" w:eastAsia="en-CA"/>
        </w:rPr>
        <w:t>Jivraj</w:t>
      </w:r>
      <w:proofErr w:type="spellEnd"/>
      <w:r w:rsidRPr="00FE0775">
        <w:rPr>
          <w:i/>
          <w:sz w:val="20"/>
          <w:lang w:val="fr-FR" w:eastAsia="en-CA"/>
        </w:rPr>
        <w:t xml:space="preserve"> v. Bryan G. </w:t>
      </w:r>
      <w:proofErr w:type="spellStart"/>
      <w:r w:rsidRPr="00FE0775">
        <w:rPr>
          <w:i/>
          <w:sz w:val="20"/>
          <w:lang w:val="fr-FR" w:eastAsia="en-CA"/>
        </w:rPr>
        <w:t>Baynham</w:t>
      </w:r>
      <w:proofErr w:type="spellEnd"/>
      <w:r w:rsidR="008E5B3B" w:rsidRPr="007E4C9C">
        <w:rPr>
          <w:i/>
          <w:sz w:val="20"/>
          <w:lang w:val="fr-FR" w:eastAsia="en-CA"/>
        </w:rPr>
        <w:t>, Q.C.</w:t>
      </w:r>
      <w:r w:rsidRPr="008E5B3B">
        <w:rPr>
          <w:i/>
          <w:sz w:val="20"/>
          <w:lang w:val="fr-FR" w:eastAsia="en-CA"/>
        </w:rPr>
        <w:t xml:space="preserve"> et al.</w:t>
      </w:r>
      <w:r w:rsidRPr="00FE0775">
        <w:rPr>
          <w:sz w:val="20"/>
          <w:lang w:val="fr-FR" w:eastAsia="en-CA"/>
        </w:rPr>
        <w:t xml:space="preserve"> </w:t>
      </w:r>
      <w:r w:rsidRPr="00FE0775">
        <w:rPr>
          <w:sz w:val="20"/>
          <w:lang w:val="en-CA" w:eastAsia="en-CA"/>
        </w:rPr>
        <w:t>(B.C.) (Civil) (By Leave) (</w:t>
      </w:r>
      <w:hyperlink r:id="rId9" w:history="1">
        <w:r w:rsidRPr="007E4C9C">
          <w:rPr>
            <w:rStyle w:val="Hyperlink"/>
            <w:sz w:val="20"/>
            <w:lang w:val="en-CA" w:eastAsia="en-CA"/>
          </w:rPr>
          <w:t>36531</w:t>
        </w:r>
      </w:hyperlink>
      <w:r w:rsidRPr="00FE0775">
        <w:rPr>
          <w:sz w:val="20"/>
          <w:lang w:val="en-CA" w:eastAsia="en-CA"/>
        </w:rPr>
        <w:t>)</w:t>
      </w:r>
    </w:p>
    <w:p w:rsidR="00FE0775" w:rsidRPr="00FE0775" w:rsidRDefault="00FE0775" w:rsidP="00FE0775">
      <w:pPr>
        <w:ind w:left="360" w:hanging="360"/>
        <w:jc w:val="both"/>
        <w:rPr>
          <w:sz w:val="20"/>
          <w:lang w:val="en-CA" w:eastAsia="en-CA"/>
        </w:rPr>
      </w:pPr>
    </w:p>
    <w:p w:rsidR="00FE0775" w:rsidRPr="00FE0775" w:rsidRDefault="00FE0775" w:rsidP="00FE0775">
      <w:pPr>
        <w:numPr>
          <w:ilvl w:val="0"/>
          <w:numId w:val="31"/>
        </w:numPr>
        <w:autoSpaceDN w:val="0"/>
        <w:ind w:left="360"/>
        <w:jc w:val="both"/>
        <w:rPr>
          <w:sz w:val="20"/>
          <w:lang w:val="en-CA" w:eastAsia="en-CA"/>
        </w:rPr>
      </w:pPr>
      <w:r w:rsidRPr="00FE0775">
        <w:rPr>
          <w:i/>
          <w:sz w:val="20"/>
          <w:lang w:val="en-CA" w:eastAsia="en-CA"/>
        </w:rPr>
        <w:t xml:space="preserve">Saskatchewan Democratic Action Party v. Saskatchewan Chief Electoral Officer, Michael D. </w:t>
      </w:r>
      <w:proofErr w:type="spellStart"/>
      <w:r w:rsidRPr="00FE0775">
        <w:rPr>
          <w:i/>
          <w:sz w:val="20"/>
          <w:lang w:val="en-CA" w:eastAsia="en-CA"/>
        </w:rPr>
        <w:t>Boda</w:t>
      </w:r>
      <w:proofErr w:type="spellEnd"/>
      <w:r w:rsidRPr="00FE0775">
        <w:rPr>
          <w:sz w:val="20"/>
          <w:lang w:val="en-CA" w:eastAsia="en-CA"/>
        </w:rPr>
        <w:t xml:space="preserve"> (Sask.) (Civil) (By Leave) (</w:t>
      </w:r>
      <w:hyperlink r:id="rId10" w:history="1">
        <w:r w:rsidRPr="007E4C9C">
          <w:rPr>
            <w:rStyle w:val="Hyperlink"/>
            <w:sz w:val="20"/>
            <w:lang w:val="en-CA" w:eastAsia="en-CA"/>
          </w:rPr>
          <w:t>36604</w:t>
        </w:r>
      </w:hyperlink>
      <w:r w:rsidRPr="00FE0775">
        <w:rPr>
          <w:sz w:val="20"/>
          <w:lang w:val="en-CA" w:eastAsia="en-CA"/>
        </w:rPr>
        <w:t>)</w:t>
      </w:r>
    </w:p>
    <w:p w:rsidR="00FE0775" w:rsidRPr="00FE0775" w:rsidRDefault="00FE0775" w:rsidP="00FE0775">
      <w:pPr>
        <w:ind w:left="360" w:hanging="360"/>
        <w:jc w:val="both"/>
        <w:rPr>
          <w:sz w:val="20"/>
          <w:lang w:val="en-CA" w:eastAsia="en-CA"/>
        </w:rPr>
      </w:pPr>
    </w:p>
    <w:p w:rsidR="00FE0775" w:rsidRPr="00FE0775" w:rsidRDefault="00FE0775" w:rsidP="00FE0775">
      <w:pPr>
        <w:pStyle w:val="ListParagraph"/>
        <w:numPr>
          <w:ilvl w:val="0"/>
          <w:numId w:val="31"/>
        </w:numPr>
        <w:ind w:left="360"/>
        <w:jc w:val="both"/>
        <w:rPr>
          <w:sz w:val="20"/>
        </w:rPr>
      </w:pPr>
      <w:r w:rsidRPr="00FE0775">
        <w:rPr>
          <w:i/>
          <w:sz w:val="20"/>
          <w:lang w:val="en-CA" w:eastAsia="en-CA"/>
        </w:rPr>
        <w:t xml:space="preserve">Peter A. </w:t>
      </w:r>
      <w:proofErr w:type="spellStart"/>
      <w:r w:rsidRPr="00FE0775">
        <w:rPr>
          <w:i/>
          <w:sz w:val="20"/>
          <w:lang w:val="en-CA" w:eastAsia="en-CA"/>
        </w:rPr>
        <w:t>Khaiter</w:t>
      </w:r>
      <w:proofErr w:type="spellEnd"/>
      <w:r w:rsidRPr="00FE0775">
        <w:rPr>
          <w:i/>
          <w:sz w:val="20"/>
          <w:lang w:val="en-CA" w:eastAsia="en-CA"/>
        </w:rPr>
        <w:t xml:space="preserve"> v. Her Majesty the Queen in Right of Ontario et al.</w:t>
      </w:r>
      <w:r w:rsidRPr="00FE0775">
        <w:rPr>
          <w:sz w:val="20"/>
          <w:lang w:val="en-CA" w:eastAsia="en-CA"/>
        </w:rPr>
        <w:t xml:space="preserve"> (Ont.) (Civil) (By Leave) (</w:t>
      </w:r>
      <w:hyperlink r:id="rId11" w:history="1">
        <w:r w:rsidRPr="007E4C9C">
          <w:rPr>
            <w:rStyle w:val="Hyperlink"/>
            <w:sz w:val="20"/>
            <w:lang w:val="en-CA" w:eastAsia="en-CA"/>
          </w:rPr>
          <w:t>36576</w:t>
        </w:r>
      </w:hyperlink>
      <w:r w:rsidRPr="00FE0775">
        <w:rPr>
          <w:sz w:val="20"/>
          <w:lang w:val="en-CA" w:eastAsia="en-CA"/>
        </w:rPr>
        <w:t>)</w:t>
      </w:r>
    </w:p>
    <w:p w:rsidR="00FE0775" w:rsidRDefault="00FE0775" w:rsidP="00FE0775">
      <w:pPr>
        <w:ind w:left="360" w:hanging="360"/>
        <w:jc w:val="both"/>
        <w:rPr>
          <w:sz w:val="20"/>
        </w:rPr>
      </w:pPr>
    </w:p>
    <w:p w:rsidR="00FE0775" w:rsidRPr="007C1479" w:rsidRDefault="00FE0775" w:rsidP="004F1160">
      <w:pPr>
        <w:jc w:val="both"/>
        <w:rPr>
          <w:sz w:val="20"/>
        </w:rPr>
      </w:pPr>
    </w:p>
    <w:p w:rsidR="00F70C8A" w:rsidRPr="007C1479" w:rsidRDefault="00F70C8A" w:rsidP="004F1160">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7C1479" w:rsidTr="005E05BB">
        <w:tc>
          <w:tcPr>
            <w:tcW w:w="543" w:type="pct"/>
          </w:tcPr>
          <w:p w:rsidR="004F1160" w:rsidRPr="007C1479" w:rsidRDefault="004F1160" w:rsidP="004F1160">
            <w:pPr>
              <w:jc w:val="both"/>
              <w:rPr>
                <w:sz w:val="20"/>
              </w:rPr>
            </w:pPr>
            <w:r w:rsidRPr="007C1479">
              <w:rPr>
                <w:rStyle w:val="SCCFileNumberChar"/>
                <w:sz w:val="20"/>
                <w:szCs w:val="20"/>
              </w:rPr>
              <w:t>36090</w:t>
            </w:r>
          </w:p>
        </w:tc>
        <w:tc>
          <w:tcPr>
            <w:tcW w:w="4457" w:type="pct"/>
            <w:gridSpan w:val="3"/>
          </w:tcPr>
          <w:p w:rsidR="004F1160" w:rsidRPr="007C1479" w:rsidRDefault="004F1160" w:rsidP="004F1160">
            <w:pPr>
              <w:pStyle w:val="SCCLsocParty"/>
              <w:jc w:val="both"/>
              <w:rPr>
                <w:b/>
                <w:sz w:val="20"/>
                <w:szCs w:val="20"/>
                <w:lang w:val="en-US"/>
              </w:rPr>
            </w:pPr>
            <w:r w:rsidRPr="007C1479">
              <w:rPr>
                <w:b/>
                <w:sz w:val="20"/>
                <w:szCs w:val="20"/>
                <w:lang w:val="en-US"/>
              </w:rPr>
              <w:t>Lyle Agar v. Ulrich Weber, Paula Mae Weber</w:t>
            </w:r>
          </w:p>
          <w:p w:rsidR="004F1160" w:rsidRPr="007C1479" w:rsidRDefault="004F1160" w:rsidP="004F1160">
            <w:pPr>
              <w:jc w:val="both"/>
              <w:rPr>
                <w:sz w:val="20"/>
              </w:rPr>
            </w:pPr>
            <w:r w:rsidRPr="007C1479">
              <w:rPr>
                <w:sz w:val="20"/>
              </w:rPr>
              <w:t>(B.C.) (Civil) (By Leave)</w:t>
            </w:r>
          </w:p>
        </w:tc>
      </w:tr>
      <w:tr w:rsidR="004F1160" w:rsidRPr="007C1479" w:rsidTr="005E05BB">
        <w:tc>
          <w:tcPr>
            <w:tcW w:w="5000" w:type="pct"/>
            <w:gridSpan w:val="4"/>
          </w:tcPr>
          <w:p w:rsidR="004F1160" w:rsidRPr="007C1479" w:rsidRDefault="004F1160" w:rsidP="004F1160">
            <w:pPr>
              <w:jc w:val="both"/>
              <w:rPr>
                <w:sz w:val="20"/>
              </w:rPr>
            </w:pPr>
            <w:r w:rsidRPr="007C1479">
              <w:rPr>
                <w:sz w:val="20"/>
              </w:rPr>
              <w:t>Torts – Negligence – Occupiers’ liability – Courts – Jurisdiction – Evidence – What is the scope of an appellate court’s jurisdiction as it relates to real evidence – Is the reasonableness test set out by the appeal court in this case inconsistent with the general principle that the factors relevant to an assessment of reasonableness must be determined on a case-by-case basis?</w:t>
            </w:r>
          </w:p>
        </w:tc>
      </w:tr>
      <w:tr w:rsidR="004F1160" w:rsidRPr="007C1479" w:rsidTr="005E05BB">
        <w:tc>
          <w:tcPr>
            <w:tcW w:w="5000" w:type="pct"/>
            <w:gridSpan w:val="4"/>
          </w:tcPr>
          <w:p w:rsidR="004F1160" w:rsidRPr="007C1479" w:rsidRDefault="004F1160" w:rsidP="004F1160">
            <w:pPr>
              <w:jc w:val="both"/>
              <w:rPr>
                <w:sz w:val="20"/>
              </w:rPr>
            </w:pPr>
          </w:p>
        </w:tc>
      </w:tr>
      <w:tr w:rsidR="004F1160" w:rsidRPr="007C1479" w:rsidTr="005E05BB">
        <w:tc>
          <w:tcPr>
            <w:tcW w:w="5000" w:type="pct"/>
            <w:gridSpan w:val="4"/>
          </w:tcPr>
          <w:p w:rsidR="004F1160" w:rsidRPr="007C1479" w:rsidRDefault="004F1160" w:rsidP="004F1160">
            <w:pPr>
              <w:jc w:val="both"/>
              <w:rPr>
                <w:sz w:val="20"/>
              </w:rPr>
            </w:pPr>
            <w:r w:rsidRPr="007C1479">
              <w:rPr>
                <w:sz w:val="20"/>
              </w:rPr>
              <w:t xml:space="preserve">The applicant and respondents are next-door neighbours.  The applicant’s family were “welcomed guests” to use and moor their boat at the respondents’ dock.  The male respondent offered to bait and set a crab trap so that the applicant could catch crabs.  The respondent pointed out the homemade crab cleaning device on the respondents’ dock.  There are different ways to clean crabs, none of which require a sharp edge.  The applicant was familiar with catching and cleaning crabs.  The applicant caught crabs the next day and used the crab cleaning device without incident to clean two crabs. With the third crab, as he needed to apply extra force, the shell gave way, causing the applicant to lose his </w:t>
            </w:r>
            <w:r w:rsidRPr="007C1479">
              <w:rPr>
                <w:sz w:val="20"/>
              </w:rPr>
              <w:lastRenderedPageBreak/>
              <w:t xml:space="preserve">balance and lurch forward.  He experienced an electric shock up his arm and later realized he had been cut across his entire right wrist.  He commenced an action against the respondents, bringing a statutory claim under the </w:t>
            </w:r>
            <w:r w:rsidRPr="007C1479">
              <w:rPr>
                <w:i/>
                <w:sz w:val="20"/>
              </w:rPr>
              <w:t>Occupiers Liability Act</w:t>
            </w:r>
            <w:r w:rsidRPr="007C1479">
              <w:rPr>
                <w:sz w:val="20"/>
              </w:rPr>
              <w:t>, R.S.B.C. 1996, c. 337, and a common law claim in negligence.</w:t>
            </w:r>
          </w:p>
          <w:p w:rsidR="004F1160" w:rsidRPr="007C1479" w:rsidRDefault="004F1160" w:rsidP="004F1160">
            <w:pPr>
              <w:jc w:val="both"/>
              <w:rPr>
                <w:sz w:val="20"/>
              </w:rPr>
            </w:pPr>
          </w:p>
          <w:p w:rsidR="004F1160" w:rsidRPr="007C1479" w:rsidRDefault="004F1160" w:rsidP="004F1160">
            <w:pPr>
              <w:jc w:val="both"/>
              <w:rPr>
                <w:sz w:val="20"/>
              </w:rPr>
            </w:pPr>
            <w:r w:rsidRPr="007C1479">
              <w:rPr>
                <w:sz w:val="20"/>
              </w:rPr>
              <w:t>The Supreme Court of British Columbia found the respondents liable in damages.  It held that the respondents breached their duty of care to the applicant by installing a device with a concealed sharp edge that constituted an “unusual danger” and by failing to warn the applicant of the existence of the concealed outboard sharp edge.  The Court found that the breach caused the applicant’s injury and that he was not contributorily negligent.  The appellate court allowed the appeal and dismissed the applicant’s action.  The court examined the device and confirmed that there was no palpable and overriding error in the conclusion it was sharp.  However, it was not inherently sharp, and the applicant had cleaned the crab with the dull inboard edge of the device.  It was the downward force of his wrist hitting the outboard edge as he lost his balance that caused the applicant’s injury.  The trial judge’s reliance on the term “unusual danger” may have caused him to limit his analysis.  The conclusion that the outboard edge created an unreasonable risk of harm for the applicant in these circumstances could not be sustained.</w:t>
            </w:r>
          </w:p>
          <w:p w:rsidR="004F1160" w:rsidRPr="007C1479" w:rsidRDefault="004F1160" w:rsidP="004F1160">
            <w:pPr>
              <w:jc w:val="both"/>
              <w:rPr>
                <w:sz w:val="20"/>
              </w:rPr>
            </w:pPr>
          </w:p>
        </w:tc>
      </w:tr>
      <w:tr w:rsidR="004F1160" w:rsidRPr="007C1479" w:rsidTr="005E05BB">
        <w:tc>
          <w:tcPr>
            <w:tcW w:w="2427" w:type="pct"/>
            <w:gridSpan w:val="2"/>
          </w:tcPr>
          <w:p w:rsidR="004F1160" w:rsidRPr="007C1479" w:rsidRDefault="004F1160" w:rsidP="004F1160">
            <w:pPr>
              <w:jc w:val="both"/>
              <w:rPr>
                <w:sz w:val="20"/>
              </w:rPr>
            </w:pPr>
            <w:r w:rsidRPr="007C1479">
              <w:rPr>
                <w:sz w:val="20"/>
              </w:rPr>
              <w:lastRenderedPageBreak/>
              <w:t>July 3, 2013</w:t>
            </w:r>
          </w:p>
          <w:p w:rsidR="004F1160" w:rsidRPr="007C1479" w:rsidRDefault="004F1160" w:rsidP="004F1160">
            <w:pPr>
              <w:jc w:val="both"/>
              <w:rPr>
                <w:sz w:val="20"/>
              </w:rPr>
            </w:pPr>
            <w:r w:rsidRPr="007C1479">
              <w:rPr>
                <w:sz w:val="20"/>
              </w:rPr>
              <w:t>Supreme Court of British Columbia</w:t>
            </w:r>
          </w:p>
          <w:p w:rsidR="004F1160" w:rsidRPr="007C1479" w:rsidRDefault="004F1160" w:rsidP="004F1160">
            <w:pPr>
              <w:jc w:val="both"/>
              <w:rPr>
                <w:sz w:val="20"/>
              </w:rPr>
            </w:pPr>
            <w:r w:rsidRPr="007C1479">
              <w:rPr>
                <w:sz w:val="20"/>
              </w:rPr>
              <w:t>(Leask J.)</w:t>
            </w:r>
          </w:p>
          <w:p w:rsidR="004F1160" w:rsidRPr="007C1479" w:rsidRDefault="004F1160" w:rsidP="004F1160">
            <w:pPr>
              <w:jc w:val="both"/>
              <w:rPr>
                <w:sz w:val="20"/>
              </w:rPr>
            </w:pPr>
            <w:r w:rsidRPr="007C1479">
              <w:rPr>
                <w:sz w:val="20"/>
              </w:rPr>
              <w:t>S120783</w:t>
            </w: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 xml:space="preserve">Respondents held jointly and severally liable to applicant for damages claim under the </w:t>
            </w:r>
            <w:proofErr w:type="spellStart"/>
            <w:r w:rsidRPr="007C1479">
              <w:rPr>
                <w:i/>
                <w:sz w:val="20"/>
              </w:rPr>
              <w:t>Occupers</w:t>
            </w:r>
            <w:proofErr w:type="spellEnd"/>
            <w:r w:rsidRPr="007C1479">
              <w:rPr>
                <w:i/>
                <w:sz w:val="20"/>
              </w:rPr>
              <w:t>’ Liability Act</w:t>
            </w:r>
            <w:r w:rsidRPr="007C1479">
              <w:rPr>
                <w:sz w:val="20"/>
              </w:rPr>
              <w:t xml:space="preserve"> and common law negligence</w:t>
            </w:r>
          </w:p>
          <w:p w:rsidR="004F1160" w:rsidRPr="007C1479" w:rsidRDefault="004F1160" w:rsidP="004F1160">
            <w:pPr>
              <w:jc w:val="both"/>
              <w:rPr>
                <w:sz w:val="20"/>
              </w:rPr>
            </w:pPr>
          </w:p>
        </w:tc>
      </w:tr>
      <w:tr w:rsidR="004F1160" w:rsidRPr="007C1479" w:rsidTr="005E05BB">
        <w:tc>
          <w:tcPr>
            <w:tcW w:w="2427" w:type="pct"/>
            <w:gridSpan w:val="2"/>
          </w:tcPr>
          <w:p w:rsidR="004F1160" w:rsidRPr="007C1479" w:rsidRDefault="004F1160" w:rsidP="004F1160">
            <w:pPr>
              <w:jc w:val="both"/>
              <w:rPr>
                <w:sz w:val="20"/>
              </w:rPr>
            </w:pPr>
            <w:r w:rsidRPr="007C1479">
              <w:rPr>
                <w:sz w:val="20"/>
              </w:rPr>
              <w:t>July 22, 2014</w:t>
            </w:r>
          </w:p>
          <w:p w:rsidR="004F1160" w:rsidRPr="007C1479" w:rsidRDefault="004F1160" w:rsidP="004F1160">
            <w:pPr>
              <w:jc w:val="both"/>
              <w:rPr>
                <w:sz w:val="20"/>
              </w:rPr>
            </w:pPr>
            <w:r w:rsidRPr="007C1479">
              <w:rPr>
                <w:sz w:val="20"/>
              </w:rPr>
              <w:t xml:space="preserve">Court of Appeal for British Columbia </w:t>
            </w:r>
          </w:p>
          <w:p w:rsidR="004F1160" w:rsidRPr="007C1479" w:rsidRDefault="004F1160" w:rsidP="004F1160">
            <w:pPr>
              <w:jc w:val="both"/>
              <w:rPr>
                <w:sz w:val="20"/>
              </w:rPr>
            </w:pPr>
            <w:r w:rsidRPr="007C1479">
              <w:rPr>
                <w:sz w:val="20"/>
              </w:rPr>
              <w:t>(Vancouver)</w:t>
            </w:r>
          </w:p>
          <w:p w:rsidR="004F1160" w:rsidRPr="007C1479" w:rsidRDefault="004F1160" w:rsidP="004F1160">
            <w:pPr>
              <w:jc w:val="both"/>
              <w:rPr>
                <w:sz w:val="20"/>
              </w:rPr>
            </w:pPr>
            <w:r w:rsidRPr="007C1479">
              <w:rPr>
                <w:sz w:val="20"/>
              </w:rPr>
              <w:t>(Levine, Smith and Garson JJ.A.)</w:t>
            </w:r>
          </w:p>
          <w:p w:rsidR="004F1160" w:rsidRPr="007C1479" w:rsidRDefault="00A2138C" w:rsidP="004F1160">
            <w:pPr>
              <w:jc w:val="both"/>
              <w:rPr>
                <w:sz w:val="20"/>
              </w:rPr>
            </w:pPr>
            <w:hyperlink r:id="rId12" w:history="1">
              <w:r w:rsidR="004F1160" w:rsidRPr="007C1479">
                <w:rPr>
                  <w:rStyle w:val="Hyperlink"/>
                  <w:sz w:val="20"/>
                </w:rPr>
                <w:t>2014 BCCA 297</w:t>
              </w:r>
            </w:hyperlink>
            <w:r w:rsidR="004F1160" w:rsidRPr="007C1479">
              <w:rPr>
                <w:sz w:val="20"/>
              </w:rPr>
              <w:t>; CA041082</w:t>
            </w:r>
          </w:p>
          <w:p w:rsidR="004F1160" w:rsidRPr="007C1479" w:rsidRDefault="004F1160" w:rsidP="004F1160">
            <w:pPr>
              <w:jc w:val="both"/>
              <w:rPr>
                <w:sz w:val="20"/>
              </w:rPr>
            </w:pP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Respondent’s appeal allowed and applicant’s action dismissed</w:t>
            </w:r>
          </w:p>
          <w:p w:rsidR="004F1160" w:rsidRPr="007C1479" w:rsidRDefault="004F1160" w:rsidP="004F1160">
            <w:pPr>
              <w:jc w:val="both"/>
              <w:rPr>
                <w:sz w:val="20"/>
              </w:rPr>
            </w:pPr>
          </w:p>
        </w:tc>
      </w:tr>
      <w:tr w:rsidR="004F1160" w:rsidRPr="007C1479" w:rsidTr="005E05BB">
        <w:tc>
          <w:tcPr>
            <w:tcW w:w="2427" w:type="pct"/>
            <w:gridSpan w:val="2"/>
          </w:tcPr>
          <w:p w:rsidR="004F1160" w:rsidRPr="007C1479" w:rsidRDefault="004F1160" w:rsidP="004F1160">
            <w:pPr>
              <w:jc w:val="both"/>
              <w:rPr>
                <w:sz w:val="20"/>
              </w:rPr>
            </w:pPr>
            <w:r w:rsidRPr="007C1479">
              <w:rPr>
                <w:sz w:val="20"/>
              </w:rPr>
              <w:t>September 26, 2014</w:t>
            </w:r>
          </w:p>
          <w:p w:rsidR="004F1160" w:rsidRPr="007C1479" w:rsidRDefault="004F1160" w:rsidP="004F1160">
            <w:pPr>
              <w:jc w:val="both"/>
              <w:rPr>
                <w:sz w:val="20"/>
              </w:rPr>
            </w:pPr>
            <w:r w:rsidRPr="007C1479">
              <w:rPr>
                <w:sz w:val="20"/>
              </w:rPr>
              <w:t>Supreme Court of Canada</w:t>
            </w: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Application for leave to appeal filed</w:t>
            </w:r>
          </w:p>
        </w:tc>
      </w:tr>
    </w:tbl>
    <w:p w:rsidR="004F1160" w:rsidRPr="007C1479" w:rsidRDefault="004F1160" w:rsidP="004F1160">
      <w:pPr>
        <w:jc w:val="both"/>
        <w:rPr>
          <w:sz w:val="20"/>
        </w:rPr>
      </w:pPr>
    </w:p>
    <w:p w:rsidR="004F1160" w:rsidRPr="007C1479" w:rsidRDefault="004F1160" w:rsidP="004F116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A2138C" w:rsidTr="009C24F9">
        <w:tc>
          <w:tcPr>
            <w:tcW w:w="543" w:type="pct"/>
          </w:tcPr>
          <w:p w:rsidR="004F1160" w:rsidRPr="007C1479" w:rsidRDefault="004F1160" w:rsidP="004F1160">
            <w:pPr>
              <w:jc w:val="both"/>
              <w:rPr>
                <w:sz w:val="20"/>
                <w:lang w:val="fr-CA"/>
              </w:rPr>
            </w:pPr>
            <w:r w:rsidRPr="007C1479">
              <w:rPr>
                <w:rStyle w:val="SCCFileNumberChar"/>
                <w:sz w:val="20"/>
                <w:szCs w:val="20"/>
                <w:lang w:val="fr-CA"/>
              </w:rPr>
              <w:t>36090</w:t>
            </w:r>
          </w:p>
        </w:tc>
        <w:tc>
          <w:tcPr>
            <w:tcW w:w="4457" w:type="pct"/>
            <w:gridSpan w:val="3"/>
          </w:tcPr>
          <w:p w:rsidR="004F1160" w:rsidRPr="007C1479" w:rsidRDefault="004F1160" w:rsidP="004F1160">
            <w:pPr>
              <w:pStyle w:val="SCCLsocParty"/>
              <w:jc w:val="both"/>
              <w:rPr>
                <w:b/>
                <w:sz w:val="20"/>
                <w:szCs w:val="20"/>
                <w:lang w:val="en-US"/>
              </w:rPr>
            </w:pPr>
            <w:r w:rsidRPr="007C1479">
              <w:rPr>
                <w:b/>
                <w:sz w:val="20"/>
                <w:szCs w:val="20"/>
                <w:lang w:val="en-US"/>
              </w:rPr>
              <w:t>Lyle Agar c. Ulrich Weber, Paula Mae Weber</w:t>
            </w:r>
          </w:p>
          <w:p w:rsidR="004F1160" w:rsidRPr="007C1479" w:rsidRDefault="004F1160" w:rsidP="004F1160">
            <w:pPr>
              <w:jc w:val="both"/>
              <w:rPr>
                <w:sz w:val="20"/>
                <w:lang w:val="fr-CA"/>
              </w:rPr>
            </w:pPr>
            <w:r w:rsidRPr="007C1479">
              <w:rPr>
                <w:sz w:val="20"/>
                <w:lang w:val="fr-CA"/>
              </w:rPr>
              <w:t>(C.-B.) (Civile) (Sur autorisation)</w:t>
            </w:r>
          </w:p>
        </w:tc>
      </w:tr>
      <w:tr w:rsidR="004F1160" w:rsidRPr="00A2138C" w:rsidTr="009C24F9">
        <w:tc>
          <w:tcPr>
            <w:tcW w:w="5000" w:type="pct"/>
            <w:gridSpan w:val="4"/>
          </w:tcPr>
          <w:p w:rsidR="004F1160" w:rsidRPr="007C1479" w:rsidRDefault="004F1160" w:rsidP="004F1160">
            <w:pPr>
              <w:jc w:val="both"/>
              <w:rPr>
                <w:sz w:val="20"/>
                <w:lang w:val="fr-CA"/>
              </w:rPr>
            </w:pPr>
            <w:r w:rsidRPr="007C1479">
              <w:rPr>
                <w:sz w:val="20"/>
                <w:lang w:val="fr-CA"/>
              </w:rPr>
              <w:t>Responsabilité délictuelle – Négligence – Responsabilité de l’occupant – Tribunaux judiciaires – Compétence – Preuve – Quelle est la portée de la compétence d’une cour d’appel quant à la preuve matérielle? – Le critère du caractère raisonnable établi par la cour d’appel en l’espèce est-il incompatible avec le principe général voulant que les facteurs dont il peut être tenu compte dans l’évaluation du caractère raisonnable doivent être déterminés au cas par cas?</w:t>
            </w:r>
          </w:p>
        </w:tc>
      </w:tr>
      <w:tr w:rsidR="004F1160" w:rsidRPr="00A2138C" w:rsidTr="009C24F9">
        <w:tc>
          <w:tcPr>
            <w:tcW w:w="5000" w:type="pct"/>
            <w:gridSpan w:val="4"/>
          </w:tcPr>
          <w:p w:rsidR="004F1160" w:rsidRPr="007C1479" w:rsidRDefault="004F1160" w:rsidP="004F1160">
            <w:pPr>
              <w:jc w:val="both"/>
              <w:rPr>
                <w:sz w:val="20"/>
                <w:lang w:val="fr-CA"/>
              </w:rPr>
            </w:pPr>
          </w:p>
        </w:tc>
      </w:tr>
      <w:tr w:rsidR="004F1160" w:rsidRPr="00A2138C" w:rsidTr="009C24F9">
        <w:tc>
          <w:tcPr>
            <w:tcW w:w="5000" w:type="pct"/>
            <w:gridSpan w:val="4"/>
          </w:tcPr>
          <w:p w:rsidR="004F1160" w:rsidRPr="007C1479" w:rsidRDefault="004F1160" w:rsidP="004F1160">
            <w:pPr>
              <w:jc w:val="both"/>
              <w:rPr>
                <w:sz w:val="20"/>
                <w:lang w:val="fr-CA"/>
              </w:rPr>
            </w:pPr>
            <w:r w:rsidRPr="007C1479">
              <w:rPr>
                <w:sz w:val="20"/>
                <w:lang w:val="fr-CA"/>
              </w:rPr>
              <w:t xml:space="preserve">Le demandeur et les défendeurs sont voisins.  La famille du demandeur était invitée à utiliser le quai des défendeurs et à y amarrer son embarcation.  Le défendeur a offert d’installer un casier à crabe et des appâts à l’intention du demandeur. Le défendeur a indiqué sur son quai la présence d’un instrument de fabrication artisanale pour décortiquer les crabes.  Le décorticage peut s’effectuer de diverses manières, mais aucune d’entre elles ne nécessite le recours à un objet tranchant.  Le demandeur avait de l’expérience dans la pêche au crabe et le décorticage de ces crustacés. Le lendemain, il a attrapé des crabes et en a décortiqué deux sans incident à l’aide de l’instrument. Pour le troisième, il a dû appliquer une force accrue, la carapace s’est brisée, il a perdu l’équilibre et a piqué du nez.  Il a senti un choc électrique lui irradier le bras et a constaté plus tard que le tour de son poignet droit était entaillé.  Il a intenté une action contre les défendeurs, fondée sur la </w:t>
            </w:r>
            <w:proofErr w:type="spellStart"/>
            <w:r w:rsidRPr="007C1479">
              <w:rPr>
                <w:i/>
                <w:sz w:val="20"/>
                <w:lang w:val="fr-CA"/>
              </w:rPr>
              <w:t>Occupiers</w:t>
            </w:r>
            <w:proofErr w:type="spellEnd"/>
            <w:r w:rsidRPr="007C1479">
              <w:rPr>
                <w:i/>
                <w:sz w:val="20"/>
                <w:lang w:val="fr-CA"/>
              </w:rPr>
              <w:t xml:space="preserve"> </w:t>
            </w:r>
            <w:proofErr w:type="spellStart"/>
            <w:r w:rsidRPr="007C1479">
              <w:rPr>
                <w:i/>
                <w:sz w:val="20"/>
                <w:lang w:val="fr-CA"/>
              </w:rPr>
              <w:t>Liability</w:t>
            </w:r>
            <w:proofErr w:type="spellEnd"/>
            <w:r w:rsidRPr="007C1479">
              <w:rPr>
                <w:i/>
                <w:sz w:val="20"/>
                <w:lang w:val="fr-CA"/>
              </w:rPr>
              <w:t xml:space="preserve"> </w:t>
            </w:r>
            <w:proofErr w:type="spellStart"/>
            <w:r w:rsidRPr="007C1479">
              <w:rPr>
                <w:i/>
                <w:sz w:val="20"/>
                <w:lang w:val="fr-CA"/>
              </w:rPr>
              <w:t>Act</w:t>
            </w:r>
            <w:proofErr w:type="spellEnd"/>
            <w:r w:rsidRPr="007C1479">
              <w:rPr>
                <w:sz w:val="20"/>
                <w:lang w:val="fr-CA"/>
              </w:rPr>
              <w:t xml:space="preserve">, R.S.B.C. 1996, c. 337, d’une part et sur la </w:t>
            </w:r>
            <w:proofErr w:type="spellStart"/>
            <w:r w:rsidRPr="007C1479">
              <w:rPr>
                <w:sz w:val="20"/>
                <w:lang w:val="fr-CA"/>
              </w:rPr>
              <w:t>common</w:t>
            </w:r>
            <w:proofErr w:type="spellEnd"/>
            <w:r w:rsidRPr="007C1479">
              <w:rPr>
                <w:sz w:val="20"/>
                <w:lang w:val="fr-CA"/>
              </w:rPr>
              <w:t xml:space="preserve"> </w:t>
            </w:r>
            <w:proofErr w:type="spellStart"/>
            <w:r w:rsidRPr="007C1479">
              <w:rPr>
                <w:sz w:val="20"/>
                <w:lang w:val="fr-CA"/>
              </w:rPr>
              <w:t>law</w:t>
            </w:r>
            <w:proofErr w:type="spellEnd"/>
            <w:r w:rsidRPr="007C1479">
              <w:rPr>
                <w:sz w:val="20"/>
                <w:lang w:val="fr-CA"/>
              </w:rPr>
              <w:t xml:space="preserve"> pour négligence d’autre part.</w:t>
            </w:r>
          </w:p>
          <w:p w:rsidR="004F1160" w:rsidRPr="007C1479" w:rsidRDefault="004F1160" w:rsidP="004F1160">
            <w:pPr>
              <w:jc w:val="both"/>
              <w:rPr>
                <w:sz w:val="20"/>
                <w:lang w:val="fr-CA"/>
              </w:rPr>
            </w:pPr>
          </w:p>
          <w:p w:rsidR="004F1160" w:rsidRPr="007C1479" w:rsidRDefault="004F1160" w:rsidP="004F1160">
            <w:pPr>
              <w:jc w:val="both"/>
              <w:rPr>
                <w:sz w:val="20"/>
                <w:lang w:val="fr-CA"/>
              </w:rPr>
            </w:pPr>
            <w:r w:rsidRPr="007C1479">
              <w:rPr>
                <w:sz w:val="20"/>
                <w:lang w:val="fr-CA"/>
              </w:rPr>
              <w:t xml:space="preserve">La Cour suprême de la Colombie-Britannique a condamné les défendeurs aux dommages-intérêts.  Selon elle, les défendeurs avaient manqué à l’obligation de diligence à l’égard du demandeur en installant un instrument muni d’une lame tranchante dissimulée qui constituait un « danger inhabituel » et en n’avisant pas le demandeur de l’existence de la lame tranchante sur le bord extérieur de l’instrument.  La cour a également conclu que ce manquement avait </w:t>
            </w:r>
            <w:r w:rsidRPr="007C1479">
              <w:rPr>
                <w:sz w:val="20"/>
                <w:lang w:val="fr-CA"/>
              </w:rPr>
              <w:lastRenderedPageBreak/>
              <w:t xml:space="preserve">causé la blessure du demandeur et que ce dernier n’avait pas été négligent.  La Cour d’appel a accueilli l’appel et a rejeté l’action du demandeur.  Après avoir examiné l’instrument, elle a confirmé l’absence d’une erreur manifeste et dominante dans la conclusion selon laquelle l’instrument était tranchant.  Toutefois, l’objet n’était pas intrinsèquement tranchant, et le demandeur avait utilisé le rebord intérieur, qui n’était pas tranchant, pour décortiquer le crabe.  C’était la force, appliquée vers le bas, avec laquelle le poignet du demandeur avait frappé le bord extérieur lorsqu’il a perdu l’équilibre qui avait causé sa blessure.  En mettant l’accent sur le terme « danger inhabituel », le juge de première instance avait peut-être limité son analyse.  La conclusion selon laquelle le bord extérieur avait créé un risque de blessure inacceptable pour le demandeur dans de telles circonstances ne tenait pas.  </w:t>
            </w:r>
          </w:p>
          <w:p w:rsidR="004F1160" w:rsidRPr="007C1479" w:rsidRDefault="004F1160" w:rsidP="004F1160">
            <w:pPr>
              <w:jc w:val="both"/>
              <w:rPr>
                <w:sz w:val="20"/>
                <w:lang w:val="fr-CA"/>
              </w:rPr>
            </w:pPr>
          </w:p>
        </w:tc>
      </w:tr>
      <w:tr w:rsidR="004F1160" w:rsidRPr="00A2138C" w:rsidTr="009C24F9">
        <w:tc>
          <w:tcPr>
            <w:tcW w:w="2427" w:type="pct"/>
            <w:gridSpan w:val="2"/>
          </w:tcPr>
          <w:p w:rsidR="004F1160" w:rsidRPr="007C1479" w:rsidRDefault="004F1160" w:rsidP="004F1160">
            <w:pPr>
              <w:jc w:val="both"/>
              <w:rPr>
                <w:sz w:val="20"/>
                <w:lang w:val="fr-CA"/>
              </w:rPr>
            </w:pPr>
            <w:r w:rsidRPr="007C1479">
              <w:rPr>
                <w:sz w:val="20"/>
                <w:lang w:val="fr-CA"/>
              </w:rPr>
              <w:lastRenderedPageBreak/>
              <w:t>3 juillet 2013</w:t>
            </w:r>
          </w:p>
          <w:p w:rsidR="004F1160" w:rsidRPr="007C1479" w:rsidRDefault="004F1160" w:rsidP="004F1160">
            <w:pPr>
              <w:jc w:val="both"/>
              <w:rPr>
                <w:sz w:val="20"/>
                <w:lang w:val="fr-CA"/>
              </w:rPr>
            </w:pPr>
            <w:r w:rsidRPr="007C1479">
              <w:rPr>
                <w:sz w:val="20"/>
                <w:lang w:val="fr-CA"/>
              </w:rPr>
              <w:t>Cour suprême de la Colombie-Britannique</w:t>
            </w:r>
          </w:p>
          <w:p w:rsidR="004F1160" w:rsidRPr="007C1479" w:rsidRDefault="004F1160" w:rsidP="004F1160">
            <w:pPr>
              <w:jc w:val="both"/>
              <w:rPr>
                <w:sz w:val="20"/>
                <w:lang w:val="fr-CA"/>
              </w:rPr>
            </w:pPr>
            <w:r w:rsidRPr="007C1479">
              <w:rPr>
                <w:sz w:val="20"/>
                <w:lang w:val="fr-CA"/>
              </w:rPr>
              <w:t xml:space="preserve">(Juge </w:t>
            </w:r>
            <w:proofErr w:type="spellStart"/>
            <w:r w:rsidRPr="007C1479">
              <w:rPr>
                <w:sz w:val="20"/>
                <w:lang w:val="fr-CA"/>
              </w:rPr>
              <w:t>Leask</w:t>
            </w:r>
            <w:proofErr w:type="spellEnd"/>
            <w:r w:rsidRPr="007C1479">
              <w:rPr>
                <w:sz w:val="20"/>
                <w:lang w:val="fr-CA"/>
              </w:rPr>
              <w:t>)</w:t>
            </w:r>
          </w:p>
          <w:p w:rsidR="004F1160" w:rsidRPr="007C1479" w:rsidRDefault="004F1160" w:rsidP="004F1160">
            <w:pPr>
              <w:jc w:val="both"/>
              <w:rPr>
                <w:sz w:val="20"/>
                <w:lang w:val="fr-CA"/>
              </w:rPr>
            </w:pPr>
            <w:r w:rsidRPr="007C1479">
              <w:rPr>
                <w:sz w:val="20"/>
                <w:lang w:val="fr-CA"/>
              </w:rPr>
              <w:t>S120783</w:t>
            </w: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 xml:space="preserve">Décision tenant les défendeurs solidairement responsables du paiement des dommages-intérêts au demandeur dans l’action fondée sur la </w:t>
            </w:r>
            <w:proofErr w:type="spellStart"/>
            <w:r w:rsidRPr="007C1479">
              <w:rPr>
                <w:i/>
                <w:sz w:val="20"/>
                <w:lang w:val="fr-CA"/>
              </w:rPr>
              <w:t>Occupiers</w:t>
            </w:r>
            <w:proofErr w:type="spellEnd"/>
            <w:r w:rsidRPr="007C1479">
              <w:rPr>
                <w:i/>
                <w:sz w:val="20"/>
                <w:lang w:val="fr-CA"/>
              </w:rPr>
              <w:t xml:space="preserve">’ </w:t>
            </w:r>
            <w:proofErr w:type="spellStart"/>
            <w:r w:rsidRPr="007C1479">
              <w:rPr>
                <w:i/>
                <w:sz w:val="20"/>
                <w:lang w:val="fr-CA"/>
              </w:rPr>
              <w:t>Liability</w:t>
            </w:r>
            <w:proofErr w:type="spellEnd"/>
            <w:r w:rsidRPr="007C1479">
              <w:rPr>
                <w:i/>
                <w:sz w:val="20"/>
                <w:lang w:val="fr-CA"/>
              </w:rPr>
              <w:t xml:space="preserve"> </w:t>
            </w:r>
            <w:proofErr w:type="spellStart"/>
            <w:r w:rsidRPr="007C1479">
              <w:rPr>
                <w:i/>
                <w:sz w:val="20"/>
                <w:lang w:val="fr-CA"/>
              </w:rPr>
              <w:t>Act</w:t>
            </w:r>
            <w:proofErr w:type="spellEnd"/>
            <w:r w:rsidRPr="007C1479">
              <w:rPr>
                <w:sz w:val="20"/>
                <w:lang w:val="fr-CA"/>
              </w:rPr>
              <w:t xml:space="preserve"> et celle fondée sur la </w:t>
            </w:r>
            <w:proofErr w:type="spellStart"/>
            <w:r w:rsidRPr="007C1479">
              <w:rPr>
                <w:sz w:val="20"/>
                <w:lang w:val="fr-CA"/>
              </w:rPr>
              <w:t>common</w:t>
            </w:r>
            <w:proofErr w:type="spellEnd"/>
            <w:r w:rsidRPr="007C1479">
              <w:rPr>
                <w:sz w:val="20"/>
                <w:lang w:val="fr-CA"/>
              </w:rPr>
              <w:t xml:space="preserve"> </w:t>
            </w:r>
            <w:proofErr w:type="spellStart"/>
            <w:r w:rsidRPr="007C1479">
              <w:rPr>
                <w:sz w:val="20"/>
                <w:lang w:val="fr-CA"/>
              </w:rPr>
              <w:t>law</w:t>
            </w:r>
            <w:proofErr w:type="spellEnd"/>
            <w:r w:rsidRPr="007C1479">
              <w:rPr>
                <w:sz w:val="20"/>
                <w:lang w:val="fr-CA"/>
              </w:rPr>
              <w:t xml:space="preserve"> pour négligence  </w:t>
            </w:r>
          </w:p>
          <w:p w:rsidR="004F1160" w:rsidRPr="007C1479" w:rsidRDefault="004F1160" w:rsidP="004F1160">
            <w:pPr>
              <w:jc w:val="both"/>
              <w:rPr>
                <w:sz w:val="20"/>
                <w:lang w:val="fr-CA"/>
              </w:rPr>
            </w:pPr>
          </w:p>
        </w:tc>
      </w:tr>
      <w:tr w:rsidR="004F1160" w:rsidRPr="00A2138C" w:rsidTr="009C24F9">
        <w:tc>
          <w:tcPr>
            <w:tcW w:w="2427" w:type="pct"/>
            <w:gridSpan w:val="2"/>
          </w:tcPr>
          <w:p w:rsidR="004F1160" w:rsidRPr="007C1479" w:rsidRDefault="004F1160" w:rsidP="004F1160">
            <w:pPr>
              <w:jc w:val="both"/>
              <w:rPr>
                <w:sz w:val="20"/>
                <w:lang w:val="fr-CA"/>
              </w:rPr>
            </w:pPr>
            <w:r w:rsidRPr="007C1479">
              <w:rPr>
                <w:sz w:val="20"/>
                <w:lang w:val="fr-CA"/>
              </w:rPr>
              <w:t>22 juillet 2014</w:t>
            </w:r>
          </w:p>
          <w:p w:rsidR="004F1160" w:rsidRPr="007C1479" w:rsidRDefault="004F1160" w:rsidP="004F1160">
            <w:pPr>
              <w:jc w:val="both"/>
              <w:rPr>
                <w:sz w:val="20"/>
                <w:lang w:val="fr-CA"/>
              </w:rPr>
            </w:pPr>
            <w:r w:rsidRPr="007C1479">
              <w:rPr>
                <w:sz w:val="20"/>
                <w:lang w:val="fr-CA"/>
              </w:rPr>
              <w:t xml:space="preserve">Cour d’appel de la Colombie-Britannique </w:t>
            </w:r>
          </w:p>
          <w:p w:rsidR="004F1160" w:rsidRPr="007C1479" w:rsidRDefault="004F1160" w:rsidP="004F1160">
            <w:pPr>
              <w:jc w:val="both"/>
              <w:rPr>
                <w:sz w:val="20"/>
                <w:lang w:val="fr-CA"/>
              </w:rPr>
            </w:pPr>
            <w:r w:rsidRPr="007C1479">
              <w:rPr>
                <w:sz w:val="20"/>
                <w:lang w:val="fr-CA"/>
              </w:rPr>
              <w:t>(Vancouver)</w:t>
            </w:r>
          </w:p>
          <w:p w:rsidR="004F1160" w:rsidRPr="007C1479" w:rsidRDefault="004F1160" w:rsidP="004F1160">
            <w:pPr>
              <w:jc w:val="both"/>
              <w:rPr>
                <w:sz w:val="20"/>
                <w:lang w:val="fr-CA"/>
              </w:rPr>
            </w:pPr>
            <w:r w:rsidRPr="007C1479">
              <w:rPr>
                <w:sz w:val="20"/>
                <w:lang w:val="fr-CA"/>
              </w:rPr>
              <w:t xml:space="preserve">(Juges </w:t>
            </w:r>
            <w:proofErr w:type="spellStart"/>
            <w:r w:rsidRPr="007C1479">
              <w:rPr>
                <w:sz w:val="20"/>
                <w:lang w:val="fr-CA"/>
              </w:rPr>
              <w:t>Levine</w:t>
            </w:r>
            <w:proofErr w:type="spellEnd"/>
            <w:r w:rsidRPr="007C1479">
              <w:rPr>
                <w:sz w:val="20"/>
                <w:lang w:val="fr-CA"/>
              </w:rPr>
              <w:t xml:space="preserve">, Smith et </w:t>
            </w:r>
            <w:proofErr w:type="spellStart"/>
            <w:r w:rsidRPr="007C1479">
              <w:rPr>
                <w:sz w:val="20"/>
                <w:lang w:val="fr-CA"/>
              </w:rPr>
              <w:t>Garson</w:t>
            </w:r>
            <w:proofErr w:type="spellEnd"/>
            <w:r w:rsidRPr="007C1479">
              <w:rPr>
                <w:sz w:val="20"/>
                <w:lang w:val="fr-CA"/>
              </w:rPr>
              <w:t>)</w:t>
            </w:r>
          </w:p>
          <w:p w:rsidR="004F1160" w:rsidRPr="007C1479" w:rsidRDefault="00A2138C" w:rsidP="004F1160">
            <w:pPr>
              <w:jc w:val="both"/>
              <w:rPr>
                <w:sz w:val="20"/>
                <w:lang w:val="fr-CA"/>
              </w:rPr>
            </w:pPr>
            <w:hyperlink r:id="rId13" w:history="1">
              <w:r w:rsidR="004F1160" w:rsidRPr="007C1479">
                <w:rPr>
                  <w:rStyle w:val="Hyperlink"/>
                  <w:sz w:val="20"/>
                  <w:lang w:val="fr-CA"/>
                </w:rPr>
                <w:t>2014 BCCA 297</w:t>
              </w:r>
            </w:hyperlink>
            <w:r w:rsidR="004F1160" w:rsidRPr="007C1479">
              <w:rPr>
                <w:sz w:val="20"/>
                <w:lang w:val="fr-CA"/>
              </w:rPr>
              <w:t>; CA041082</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Accueil de l’appel interjeté par les défendeurs et rejet de l’action du demandeur</w:t>
            </w:r>
          </w:p>
          <w:p w:rsidR="004F1160" w:rsidRPr="007C1479" w:rsidRDefault="004F1160" w:rsidP="004F1160">
            <w:pPr>
              <w:jc w:val="both"/>
              <w:rPr>
                <w:sz w:val="20"/>
                <w:lang w:val="fr-CA"/>
              </w:rPr>
            </w:pPr>
          </w:p>
        </w:tc>
      </w:tr>
      <w:tr w:rsidR="004F1160" w:rsidRPr="00A2138C" w:rsidTr="009C24F9">
        <w:tc>
          <w:tcPr>
            <w:tcW w:w="2427" w:type="pct"/>
            <w:gridSpan w:val="2"/>
          </w:tcPr>
          <w:p w:rsidR="004F1160" w:rsidRPr="007C1479" w:rsidRDefault="004F1160" w:rsidP="004F1160">
            <w:pPr>
              <w:jc w:val="both"/>
              <w:rPr>
                <w:sz w:val="20"/>
                <w:lang w:val="fr-CA"/>
              </w:rPr>
            </w:pPr>
            <w:r w:rsidRPr="007C1479">
              <w:rPr>
                <w:sz w:val="20"/>
                <w:lang w:val="fr-CA"/>
              </w:rPr>
              <w:t>26 septembre 2014</w:t>
            </w:r>
          </w:p>
          <w:p w:rsidR="004F1160" w:rsidRPr="007C1479" w:rsidRDefault="004F1160" w:rsidP="004F1160">
            <w:pPr>
              <w:jc w:val="both"/>
              <w:rPr>
                <w:sz w:val="20"/>
                <w:lang w:val="fr-CA"/>
              </w:rPr>
            </w:pPr>
            <w:r w:rsidRPr="007C1479">
              <w:rPr>
                <w:sz w:val="20"/>
                <w:lang w:val="fr-CA"/>
              </w:rPr>
              <w:t>Cour suprême du Canada</w:t>
            </w: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Dépôt de la demande d’autorisation d’appel</w:t>
            </w:r>
          </w:p>
        </w:tc>
      </w:tr>
    </w:tbl>
    <w:p w:rsidR="004F1160" w:rsidRPr="007C1479" w:rsidRDefault="004F1160" w:rsidP="004F1160">
      <w:pPr>
        <w:jc w:val="both"/>
        <w:rPr>
          <w:sz w:val="20"/>
          <w:lang w:val="fr-CA"/>
        </w:rPr>
      </w:pPr>
    </w:p>
    <w:p w:rsidR="004F1160" w:rsidRPr="007C1479" w:rsidRDefault="004F1160" w:rsidP="004F116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7C1479" w:rsidTr="00E95A6A">
        <w:tc>
          <w:tcPr>
            <w:tcW w:w="543" w:type="pct"/>
          </w:tcPr>
          <w:p w:rsidR="004F1160" w:rsidRPr="007C1479" w:rsidRDefault="004F1160" w:rsidP="004F1160">
            <w:pPr>
              <w:jc w:val="both"/>
              <w:rPr>
                <w:sz w:val="20"/>
              </w:rPr>
            </w:pPr>
            <w:r w:rsidRPr="007C1479">
              <w:rPr>
                <w:rStyle w:val="SCCFileNumberChar"/>
                <w:sz w:val="20"/>
                <w:szCs w:val="20"/>
              </w:rPr>
              <w:t>36531</w:t>
            </w:r>
          </w:p>
        </w:tc>
        <w:tc>
          <w:tcPr>
            <w:tcW w:w="4457" w:type="pct"/>
            <w:gridSpan w:val="3"/>
          </w:tcPr>
          <w:p w:rsidR="004F1160" w:rsidRPr="007C1479" w:rsidRDefault="004F1160" w:rsidP="004F1160">
            <w:pPr>
              <w:pStyle w:val="SCCLsocParty"/>
              <w:jc w:val="both"/>
              <w:rPr>
                <w:b/>
                <w:sz w:val="20"/>
                <w:szCs w:val="20"/>
                <w:lang w:val="en-US"/>
              </w:rPr>
            </w:pPr>
            <w:r w:rsidRPr="007C1479">
              <w:rPr>
                <w:b/>
                <w:sz w:val="20"/>
                <w:szCs w:val="20"/>
                <w:lang w:val="en-US"/>
              </w:rPr>
              <w:t xml:space="preserve">Rahim </w:t>
            </w:r>
            <w:proofErr w:type="spellStart"/>
            <w:r w:rsidRPr="007C1479">
              <w:rPr>
                <w:b/>
                <w:sz w:val="20"/>
                <w:szCs w:val="20"/>
                <w:lang w:val="en-US"/>
              </w:rPr>
              <w:t>Jivraj</w:t>
            </w:r>
            <w:proofErr w:type="spellEnd"/>
            <w:r w:rsidRPr="007C1479">
              <w:rPr>
                <w:b/>
                <w:sz w:val="20"/>
                <w:szCs w:val="20"/>
                <w:lang w:val="en-US"/>
              </w:rPr>
              <w:t xml:space="preserve"> v. Bryan G. </w:t>
            </w:r>
            <w:proofErr w:type="spellStart"/>
            <w:r w:rsidRPr="007C1479">
              <w:rPr>
                <w:b/>
                <w:sz w:val="20"/>
                <w:szCs w:val="20"/>
                <w:lang w:val="en-US"/>
              </w:rPr>
              <w:t>Baynham</w:t>
            </w:r>
            <w:proofErr w:type="spellEnd"/>
            <w:r w:rsidRPr="007C1479">
              <w:rPr>
                <w:b/>
                <w:sz w:val="20"/>
                <w:szCs w:val="20"/>
                <w:lang w:val="en-US"/>
              </w:rPr>
              <w:t>, Q.C., Daniel J. Reid, Brent Pierce</w:t>
            </w:r>
          </w:p>
          <w:p w:rsidR="004F1160" w:rsidRPr="007C1479" w:rsidRDefault="004F1160" w:rsidP="004F1160">
            <w:pPr>
              <w:jc w:val="both"/>
              <w:rPr>
                <w:sz w:val="20"/>
              </w:rPr>
            </w:pPr>
            <w:r w:rsidRPr="007C1479">
              <w:rPr>
                <w:sz w:val="20"/>
              </w:rPr>
              <w:t>(B.C.) (Civil) (By Leave)</w:t>
            </w:r>
          </w:p>
        </w:tc>
      </w:tr>
      <w:tr w:rsidR="004F1160" w:rsidRPr="007C1479" w:rsidTr="00E95A6A">
        <w:tc>
          <w:tcPr>
            <w:tcW w:w="5000" w:type="pct"/>
            <w:gridSpan w:val="4"/>
          </w:tcPr>
          <w:p w:rsidR="004F1160" w:rsidRPr="007C1479" w:rsidRDefault="004F1160" w:rsidP="004F1160">
            <w:pPr>
              <w:jc w:val="both"/>
              <w:rPr>
                <w:sz w:val="20"/>
              </w:rPr>
            </w:pPr>
            <w:r w:rsidRPr="007C1479">
              <w:rPr>
                <w:sz w:val="20"/>
              </w:rPr>
              <w:t xml:space="preserve">Civil procedure – Costs – Special costs – Ex parte orders – Anton </w:t>
            </w:r>
            <w:proofErr w:type="spellStart"/>
            <w:r w:rsidRPr="007C1479">
              <w:rPr>
                <w:sz w:val="20"/>
              </w:rPr>
              <w:t>piller</w:t>
            </w:r>
            <w:proofErr w:type="spellEnd"/>
            <w:r w:rsidRPr="007C1479">
              <w:rPr>
                <w:sz w:val="20"/>
              </w:rPr>
              <w:t xml:space="preserve"> – Whether intentional dishonesty is required before special costs can be ordered for misrepresentations at an </w:t>
            </w:r>
            <w:r w:rsidRPr="007C1479">
              <w:rPr>
                <w:i/>
                <w:sz w:val="20"/>
              </w:rPr>
              <w:t>ex parte</w:t>
            </w:r>
            <w:r w:rsidRPr="007C1479">
              <w:rPr>
                <w:sz w:val="20"/>
              </w:rPr>
              <w:t xml:space="preserve"> proceeding, or does it suffice that misrepresentations were careless or reckless – Whether lawyer are to be held to a lower standard of conduct than litigants when it comes to special costs awards against them.</w:t>
            </w:r>
          </w:p>
        </w:tc>
      </w:tr>
      <w:tr w:rsidR="004F1160" w:rsidRPr="007C1479" w:rsidTr="00E95A6A">
        <w:tc>
          <w:tcPr>
            <w:tcW w:w="5000" w:type="pct"/>
            <w:gridSpan w:val="4"/>
          </w:tcPr>
          <w:p w:rsidR="004F1160" w:rsidRPr="007C1479" w:rsidRDefault="004F1160" w:rsidP="004F1160">
            <w:pPr>
              <w:jc w:val="both"/>
              <w:rPr>
                <w:sz w:val="20"/>
              </w:rPr>
            </w:pPr>
          </w:p>
        </w:tc>
      </w:tr>
      <w:tr w:rsidR="004F1160" w:rsidRPr="007C1479" w:rsidTr="00E95A6A">
        <w:tc>
          <w:tcPr>
            <w:tcW w:w="5000" w:type="pct"/>
            <w:gridSpan w:val="4"/>
          </w:tcPr>
          <w:p w:rsidR="004F1160" w:rsidRPr="007C1479" w:rsidRDefault="004F1160" w:rsidP="004F1160">
            <w:pPr>
              <w:jc w:val="both"/>
              <w:rPr>
                <w:sz w:val="20"/>
              </w:rPr>
            </w:pPr>
            <w:r w:rsidRPr="007C1479">
              <w:rPr>
                <w:sz w:val="20"/>
              </w:rPr>
              <w:t>The respondents, Mr. </w:t>
            </w:r>
            <w:proofErr w:type="spellStart"/>
            <w:r w:rsidRPr="007C1479">
              <w:rPr>
                <w:sz w:val="20"/>
              </w:rPr>
              <w:t>Baynham</w:t>
            </w:r>
            <w:proofErr w:type="spellEnd"/>
            <w:r w:rsidRPr="007C1479">
              <w:rPr>
                <w:sz w:val="20"/>
              </w:rPr>
              <w:t xml:space="preserve"> and Mr. Reid are former counsel to Mr. Pierce, who sued the Applicant, Mr. </w:t>
            </w:r>
            <w:proofErr w:type="spellStart"/>
            <w:r w:rsidRPr="007C1479">
              <w:rPr>
                <w:sz w:val="20"/>
              </w:rPr>
              <w:t>Jivraj</w:t>
            </w:r>
            <w:proofErr w:type="spellEnd"/>
            <w:r w:rsidRPr="007C1479">
              <w:rPr>
                <w:sz w:val="20"/>
              </w:rPr>
              <w:t xml:space="preserve"> for defamation relating to comments made in two online newsletters entitled “Fraud Alert”. The comments referred to sanctions levied in the past against Mr. Pierce by securities regulators and alleged he was now currently engaging in fraudulent and criminal conduct involving different companies. Mr. </w:t>
            </w:r>
            <w:proofErr w:type="spellStart"/>
            <w:r w:rsidRPr="007C1479">
              <w:rPr>
                <w:sz w:val="20"/>
              </w:rPr>
              <w:t>Baynham</w:t>
            </w:r>
            <w:proofErr w:type="spellEnd"/>
            <w:r w:rsidRPr="007C1479">
              <w:rPr>
                <w:sz w:val="20"/>
              </w:rPr>
              <w:t xml:space="preserve"> and Mr. Reid, on Mr. Pierce’s behalf successfully applied for an Anton </w:t>
            </w:r>
            <w:proofErr w:type="spellStart"/>
            <w:r w:rsidRPr="007C1479">
              <w:rPr>
                <w:sz w:val="20"/>
              </w:rPr>
              <w:t>Piller</w:t>
            </w:r>
            <w:proofErr w:type="spellEnd"/>
            <w:r w:rsidRPr="007C1479">
              <w:rPr>
                <w:sz w:val="20"/>
              </w:rPr>
              <w:t xml:space="preserve"> order at an </w:t>
            </w:r>
            <w:r w:rsidRPr="007C1479">
              <w:rPr>
                <w:i/>
                <w:sz w:val="20"/>
              </w:rPr>
              <w:t>ex parte</w:t>
            </w:r>
            <w:r w:rsidRPr="007C1479">
              <w:rPr>
                <w:sz w:val="20"/>
              </w:rPr>
              <w:t xml:space="preserve"> and </w:t>
            </w:r>
            <w:r w:rsidRPr="007C1479">
              <w:rPr>
                <w:i/>
                <w:sz w:val="20"/>
              </w:rPr>
              <w:t>in camera</w:t>
            </w:r>
            <w:r w:rsidRPr="007C1479">
              <w:rPr>
                <w:sz w:val="20"/>
              </w:rPr>
              <w:t xml:space="preserve"> hearing to assist in identifying the publisher of the newsletters. Mr. </w:t>
            </w:r>
            <w:proofErr w:type="spellStart"/>
            <w:r w:rsidRPr="007C1479">
              <w:rPr>
                <w:sz w:val="20"/>
              </w:rPr>
              <w:t>Javraj</w:t>
            </w:r>
            <w:proofErr w:type="spellEnd"/>
            <w:r w:rsidRPr="007C1479">
              <w:rPr>
                <w:sz w:val="20"/>
              </w:rPr>
              <w:t xml:space="preserve"> was identified by these means. The order permitted Mr. Pierce to seize Mr. </w:t>
            </w:r>
            <w:proofErr w:type="spellStart"/>
            <w:r w:rsidRPr="007C1479">
              <w:rPr>
                <w:sz w:val="20"/>
              </w:rPr>
              <w:t>Jivraj’s</w:t>
            </w:r>
            <w:proofErr w:type="spellEnd"/>
            <w:r w:rsidRPr="007C1479">
              <w:rPr>
                <w:sz w:val="20"/>
              </w:rPr>
              <w:t xml:space="preserve"> computer hard drive. Mr. </w:t>
            </w:r>
            <w:proofErr w:type="spellStart"/>
            <w:r w:rsidRPr="007C1479">
              <w:rPr>
                <w:sz w:val="20"/>
              </w:rPr>
              <w:t>Jivraj</w:t>
            </w:r>
            <w:proofErr w:type="spellEnd"/>
            <w:r w:rsidRPr="007C1479">
              <w:rPr>
                <w:sz w:val="20"/>
              </w:rPr>
              <w:t xml:space="preserve"> was later ordered to pay special costs to Mr. Pierce. Upon application by Mr. </w:t>
            </w:r>
            <w:proofErr w:type="spellStart"/>
            <w:r w:rsidRPr="007C1479">
              <w:rPr>
                <w:sz w:val="20"/>
              </w:rPr>
              <w:t>Jivraj</w:t>
            </w:r>
            <w:proofErr w:type="spellEnd"/>
            <w:r w:rsidRPr="007C1479">
              <w:rPr>
                <w:sz w:val="20"/>
              </w:rPr>
              <w:t xml:space="preserve">, the chambers judge later set aside the Anton </w:t>
            </w:r>
            <w:proofErr w:type="spellStart"/>
            <w:r w:rsidRPr="007C1479">
              <w:rPr>
                <w:sz w:val="20"/>
              </w:rPr>
              <w:t>Piller</w:t>
            </w:r>
            <w:proofErr w:type="spellEnd"/>
            <w:r w:rsidRPr="007C1479">
              <w:rPr>
                <w:sz w:val="20"/>
              </w:rPr>
              <w:t xml:space="preserve"> order on the grounds that Mr. </w:t>
            </w:r>
            <w:proofErr w:type="spellStart"/>
            <w:r w:rsidRPr="007C1479">
              <w:rPr>
                <w:sz w:val="20"/>
              </w:rPr>
              <w:t>Baynham</w:t>
            </w:r>
            <w:proofErr w:type="spellEnd"/>
            <w:r w:rsidRPr="007C1479">
              <w:rPr>
                <w:sz w:val="20"/>
              </w:rPr>
              <w:t xml:space="preserve"> and Mr. Reid had not provided full disclosure relating to the past sanctions. Pursuant to an application for an order of special costs, although the chambers judge found that Mr. </w:t>
            </w:r>
            <w:proofErr w:type="spellStart"/>
            <w:r w:rsidRPr="007C1479">
              <w:rPr>
                <w:sz w:val="20"/>
              </w:rPr>
              <w:t>Baynham</w:t>
            </w:r>
            <w:proofErr w:type="spellEnd"/>
            <w:r w:rsidRPr="007C1479">
              <w:rPr>
                <w:sz w:val="20"/>
              </w:rPr>
              <w:t xml:space="preserve"> and Mr. Reid did not act dishonestly, he found their conduct, which resulted in the search of Mr. </w:t>
            </w:r>
            <w:proofErr w:type="spellStart"/>
            <w:r w:rsidRPr="007C1479">
              <w:rPr>
                <w:sz w:val="20"/>
              </w:rPr>
              <w:t>Jivraj’s</w:t>
            </w:r>
            <w:proofErr w:type="spellEnd"/>
            <w:r w:rsidRPr="007C1479">
              <w:rPr>
                <w:sz w:val="20"/>
              </w:rPr>
              <w:t xml:space="preserve"> home, to be reprehensible and ordered special costs against them personally. The Court of Appeal allowed Mr. </w:t>
            </w:r>
            <w:proofErr w:type="spellStart"/>
            <w:r w:rsidRPr="007C1479">
              <w:rPr>
                <w:sz w:val="20"/>
              </w:rPr>
              <w:t>Baynham</w:t>
            </w:r>
            <w:proofErr w:type="spellEnd"/>
            <w:r w:rsidRPr="007C1479">
              <w:rPr>
                <w:sz w:val="20"/>
              </w:rPr>
              <w:t xml:space="preserve"> and Mr. Reid’s appeal on the special costs award.</w:t>
            </w:r>
          </w:p>
          <w:p w:rsidR="004F1160" w:rsidRPr="007C1479" w:rsidRDefault="004F1160" w:rsidP="004F1160">
            <w:pPr>
              <w:jc w:val="both"/>
              <w:rPr>
                <w:sz w:val="20"/>
              </w:rPr>
            </w:pPr>
          </w:p>
        </w:tc>
      </w:tr>
      <w:tr w:rsidR="004F1160" w:rsidRPr="007C1479" w:rsidTr="00E95A6A">
        <w:tc>
          <w:tcPr>
            <w:tcW w:w="2427" w:type="pct"/>
            <w:gridSpan w:val="2"/>
          </w:tcPr>
          <w:p w:rsidR="004F1160" w:rsidRPr="007C1479" w:rsidRDefault="004F1160" w:rsidP="004F1160">
            <w:pPr>
              <w:jc w:val="both"/>
              <w:rPr>
                <w:sz w:val="20"/>
              </w:rPr>
            </w:pPr>
            <w:r w:rsidRPr="007C1479">
              <w:rPr>
                <w:sz w:val="20"/>
              </w:rPr>
              <w:t>May 28, 2014</w:t>
            </w:r>
          </w:p>
          <w:p w:rsidR="004F1160" w:rsidRPr="007C1479" w:rsidRDefault="004F1160" w:rsidP="004F1160">
            <w:pPr>
              <w:jc w:val="both"/>
              <w:rPr>
                <w:sz w:val="20"/>
              </w:rPr>
            </w:pPr>
            <w:r w:rsidRPr="007C1479">
              <w:rPr>
                <w:sz w:val="20"/>
              </w:rPr>
              <w:t>Supreme Court of British Columbia</w:t>
            </w:r>
          </w:p>
          <w:p w:rsidR="004F1160" w:rsidRPr="007C1479" w:rsidRDefault="004F1160" w:rsidP="004F1160">
            <w:pPr>
              <w:jc w:val="both"/>
              <w:rPr>
                <w:sz w:val="20"/>
              </w:rPr>
            </w:pPr>
            <w:r w:rsidRPr="007C1479">
              <w:rPr>
                <w:sz w:val="20"/>
              </w:rPr>
              <w:t>(</w:t>
            </w:r>
            <w:proofErr w:type="spellStart"/>
            <w:r w:rsidRPr="007C1479">
              <w:rPr>
                <w:sz w:val="20"/>
              </w:rPr>
              <w:t>Dley</w:t>
            </w:r>
            <w:proofErr w:type="spellEnd"/>
            <w:r w:rsidRPr="007C1479">
              <w:rPr>
                <w:sz w:val="20"/>
              </w:rPr>
              <w:t xml:space="preserve"> J.)</w:t>
            </w:r>
          </w:p>
          <w:p w:rsidR="004F1160" w:rsidRPr="007C1479" w:rsidRDefault="00A2138C" w:rsidP="004F1160">
            <w:pPr>
              <w:jc w:val="both"/>
              <w:rPr>
                <w:sz w:val="20"/>
              </w:rPr>
            </w:pPr>
            <w:hyperlink r:id="rId14" w:history="1">
              <w:r w:rsidR="004F1160" w:rsidRPr="007C1479">
                <w:rPr>
                  <w:rStyle w:val="Hyperlink"/>
                  <w:sz w:val="20"/>
                </w:rPr>
                <w:t>2014 BCSC 926</w:t>
              </w:r>
            </w:hyperlink>
            <w:r w:rsidR="004F1160" w:rsidRPr="007C1479">
              <w:rPr>
                <w:sz w:val="20"/>
              </w:rPr>
              <w:t>; S116400</w:t>
            </w:r>
          </w:p>
          <w:p w:rsidR="004F1160" w:rsidRPr="007C1479" w:rsidRDefault="004F1160" w:rsidP="004F1160">
            <w:pPr>
              <w:jc w:val="both"/>
              <w:rPr>
                <w:sz w:val="20"/>
              </w:rPr>
            </w:pP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 xml:space="preserve">Applicant awarded special costs </w:t>
            </w:r>
          </w:p>
          <w:p w:rsidR="004F1160" w:rsidRPr="007C1479" w:rsidRDefault="004F1160" w:rsidP="004F1160">
            <w:pPr>
              <w:jc w:val="both"/>
              <w:rPr>
                <w:sz w:val="20"/>
              </w:rPr>
            </w:pPr>
          </w:p>
        </w:tc>
      </w:tr>
      <w:tr w:rsidR="004F1160" w:rsidRPr="007C1479" w:rsidTr="00E95A6A">
        <w:tc>
          <w:tcPr>
            <w:tcW w:w="2427" w:type="pct"/>
            <w:gridSpan w:val="2"/>
          </w:tcPr>
          <w:p w:rsidR="004F1160" w:rsidRPr="007C1479" w:rsidRDefault="004F1160" w:rsidP="004F1160">
            <w:pPr>
              <w:jc w:val="both"/>
              <w:rPr>
                <w:sz w:val="20"/>
              </w:rPr>
            </w:pPr>
            <w:r w:rsidRPr="007C1479">
              <w:rPr>
                <w:sz w:val="20"/>
              </w:rPr>
              <w:t>May 1, 2015</w:t>
            </w:r>
          </w:p>
          <w:p w:rsidR="004F1160" w:rsidRPr="007C1479" w:rsidRDefault="004F1160" w:rsidP="004F1160">
            <w:pPr>
              <w:jc w:val="both"/>
              <w:rPr>
                <w:sz w:val="20"/>
              </w:rPr>
            </w:pPr>
            <w:r w:rsidRPr="007C1479">
              <w:rPr>
                <w:sz w:val="20"/>
              </w:rPr>
              <w:t>Court of Appeal for British Columbia</w:t>
            </w:r>
          </w:p>
          <w:p w:rsidR="004F1160" w:rsidRPr="007C1479" w:rsidRDefault="004F1160" w:rsidP="004F1160">
            <w:pPr>
              <w:jc w:val="both"/>
              <w:rPr>
                <w:sz w:val="20"/>
              </w:rPr>
            </w:pPr>
            <w:r w:rsidRPr="007C1479">
              <w:rPr>
                <w:sz w:val="20"/>
              </w:rPr>
              <w:lastRenderedPageBreak/>
              <w:t>(Vancouver)</w:t>
            </w:r>
          </w:p>
          <w:p w:rsidR="004F1160" w:rsidRPr="007C1479" w:rsidRDefault="004F1160" w:rsidP="004F1160">
            <w:pPr>
              <w:jc w:val="both"/>
              <w:rPr>
                <w:sz w:val="20"/>
              </w:rPr>
            </w:pPr>
            <w:r w:rsidRPr="007C1479">
              <w:rPr>
                <w:sz w:val="20"/>
              </w:rPr>
              <w:t>(Bauman, Newbury and Harris JJ.A.)</w:t>
            </w:r>
          </w:p>
          <w:p w:rsidR="004F1160" w:rsidRPr="007C1479" w:rsidRDefault="00A2138C" w:rsidP="004F1160">
            <w:pPr>
              <w:jc w:val="both"/>
              <w:rPr>
                <w:sz w:val="20"/>
              </w:rPr>
            </w:pPr>
            <w:hyperlink r:id="rId15" w:history="1">
              <w:r w:rsidR="004F1160" w:rsidRPr="007C1479">
                <w:rPr>
                  <w:rStyle w:val="Hyperlink"/>
                  <w:sz w:val="20"/>
                </w:rPr>
                <w:t>2015 BCCA 188</w:t>
              </w:r>
            </w:hyperlink>
            <w:r w:rsidR="004F1160" w:rsidRPr="007C1479">
              <w:rPr>
                <w:sz w:val="20"/>
              </w:rPr>
              <w:t>; CA041933</w:t>
            </w:r>
          </w:p>
          <w:p w:rsidR="004F1160" w:rsidRPr="007C1479" w:rsidRDefault="004F1160" w:rsidP="004F1160">
            <w:pPr>
              <w:jc w:val="both"/>
              <w:rPr>
                <w:sz w:val="20"/>
              </w:rPr>
            </w:pP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Appeal allowed; order of chambers judge set aside</w:t>
            </w:r>
          </w:p>
        </w:tc>
      </w:tr>
      <w:tr w:rsidR="004F1160" w:rsidRPr="007C1479" w:rsidTr="00E95A6A">
        <w:tc>
          <w:tcPr>
            <w:tcW w:w="2427" w:type="pct"/>
            <w:gridSpan w:val="2"/>
          </w:tcPr>
          <w:p w:rsidR="004F1160" w:rsidRPr="007C1479" w:rsidRDefault="004F1160" w:rsidP="004F1160">
            <w:pPr>
              <w:jc w:val="both"/>
              <w:rPr>
                <w:sz w:val="20"/>
              </w:rPr>
            </w:pPr>
            <w:r w:rsidRPr="007C1479">
              <w:rPr>
                <w:sz w:val="20"/>
              </w:rPr>
              <w:lastRenderedPageBreak/>
              <w:t>July 31, 2015</w:t>
            </w:r>
          </w:p>
          <w:p w:rsidR="004F1160" w:rsidRPr="007C1479" w:rsidRDefault="004F1160" w:rsidP="004F1160">
            <w:pPr>
              <w:jc w:val="both"/>
              <w:rPr>
                <w:sz w:val="20"/>
              </w:rPr>
            </w:pPr>
            <w:r w:rsidRPr="007C1479">
              <w:rPr>
                <w:sz w:val="20"/>
              </w:rPr>
              <w:t>Supreme Court of Canada</w:t>
            </w: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Motion for extension of time and Application for leave to appeal filed</w:t>
            </w:r>
          </w:p>
        </w:tc>
      </w:tr>
    </w:tbl>
    <w:p w:rsidR="004F1160" w:rsidRDefault="004F1160" w:rsidP="004F1160">
      <w:pPr>
        <w:jc w:val="both"/>
        <w:rPr>
          <w:sz w:val="20"/>
        </w:rPr>
      </w:pPr>
    </w:p>
    <w:p w:rsidR="007C1479" w:rsidRPr="007C1479" w:rsidRDefault="007C1479" w:rsidP="004F116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A2138C" w:rsidTr="00E95A6A">
        <w:tc>
          <w:tcPr>
            <w:tcW w:w="543" w:type="pct"/>
          </w:tcPr>
          <w:p w:rsidR="004F1160" w:rsidRPr="007C1479" w:rsidRDefault="004F1160" w:rsidP="004F1160">
            <w:pPr>
              <w:jc w:val="both"/>
              <w:rPr>
                <w:sz w:val="20"/>
                <w:lang w:val="fr-CA"/>
              </w:rPr>
            </w:pPr>
            <w:r w:rsidRPr="007C1479">
              <w:rPr>
                <w:rStyle w:val="SCCFileNumberChar"/>
                <w:sz w:val="20"/>
                <w:szCs w:val="20"/>
                <w:lang w:val="fr-CA"/>
              </w:rPr>
              <w:t>36531</w:t>
            </w:r>
          </w:p>
        </w:tc>
        <w:tc>
          <w:tcPr>
            <w:tcW w:w="4457" w:type="pct"/>
            <w:gridSpan w:val="3"/>
          </w:tcPr>
          <w:p w:rsidR="004F1160" w:rsidRPr="007C1479" w:rsidRDefault="004F1160" w:rsidP="004F1160">
            <w:pPr>
              <w:pStyle w:val="SCCLsocParty"/>
              <w:jc w:val="both"/>
              <w:rPr>
                <w:b/>
                <w:sz w:val="20"/>
                <w:szCs w:val="20"/>
                <w:lang w:val="en-US"/>
              </w:rPr>
            </w:pPr>
            <w:r w:rsidRPr="007C1479">
              <w:rPr>
                <w:b/>
                <w:sz w:val="20"/>
                <w:szCs w:val="20"/>
                <w:lang w:val="en-US"/>
              </w:rPr>
              <w:t xml:space="preserve">Rahim </w:t>
            </w:r>
            <w:proofErr w:type="spellStart"/>
            <w:r w:rsidRPr="007C1479">
              <w:rPr>
                <w:b/>
                <w:sz w:val="20"/>
                <w:szCs w:val="20"/>
                <w:lang w:val="en-US"/>
              </w:rPr>
              <w:t>Jivraj</w:t>
            </w:r>
            <w:proofErr w:type="spellEnd"/>
            <w:r w:rsidRPr="007C1479">
              <w:rPr>
                <w:b/>
                <w:sz w:val="20"/>
                <w:szCs w:val="20"/>
                <w:lang w:val="en-US"/>
              </w:rPr>
              <w:t xml:space="preserve"> c. Bryan G. </w:t>
            </w:r>
            <w:proofErr w:type="spellStart"/>
            <w:r w:rsidRPr="007C1479">
              <w:rPr>
                <w:b/>
                <w:sz w:val="20"/>
                <w:szCs w:val="20"/>
                <w:lang w:val="en-US"/>
              </w:rPr>
              <w:t>Baynham</w:t>
            </w:r>
            <w:proofErr w:type="spellEnd"/>
            <w:r w:rsidRPr="007C1479">
              <w:rPr>
                <w:b/>
                <w:sz w:val="20"/>
                <w:szCs w:val="20"/>
                <w:lang w:val="en-US"/>
              </w:rPr>
              <w:t xml:space="preserve">, </w:t>
            </w:r>
            <w:proofErr w:type="spellStart"/>
            <w:r w:rsidRPr="007C1479">
              <w:rPr>
                <w:b/>
                <w:sz w:val="20"/>
                <w:szCs w:val="20"/>
                <w:lang w:val="en-US"/>
              </w:rPr>
              <w:t>c.r.</w:t>
            </w:r>
            <w:proofErr w:type="spellEnd"/>
            <w:r w:rsidRPr="007C1479">
              <w:rPr>
                <w:b/>
                <w:sz w:val="20"/>
                <w:szCs w:val="20"/>
                <w:lang w:val="en-US"/>
              </w:rPr>
              <w:t>, Daniel J. Reid, Brent Pierce</w:t>
            </w:r>
          </w:p>
          <w:p w:rsidR="004F1160" w:rsidRPr="007C1479" w:rsidRDefault="004F1160" w:rsidP="004F1160">
            <w:pPr>
              <w:jc w:val="both"/>
              <w:rPr>
                <w:sz w:val="20"/>
                <w:lang w:val="fr-CA"/>
              </w:rPr>
            </w:pPr>
            <w:r w:rsidRPr="007C1479">
              <w:rPr>
                <w:sz w:val="20"/>
                <w:lang w:val="fr-CA"/>
              </w:rPr>
              <w:t>(C.-B.) (Civile) (Sur autorisation)</w:t>
            </w:r>
          </w:p>
        </w:tc>
      </w:tr>
      <w:tr w:rsidR="004F1160" w:rsidRPr="00A2138C" w:rsidTr="00E95A6A">
        <w:tc>
          <w:tcPr>
            <w:tcW w:w="5000" w:type="pct"/>
            <w:gridSpan w:val="4"/>
          </w:tcPr>
          <w:p w:rsidR="004F1160" w:rsidRPr="007C1479" w:rsidRDefault="004F1160" w:rsidP="004F1160">
            <w:pPr>
              <w:jc w:val="both"/>
              <w:rPr>
                <w:sz w:val="20"/>
                <w:lang w:val="fr-CA"/>
              </w:rPr>
            </w:pPr>
            <w:r w:rsidRPr="007C1479">
              <w:rPr>
                <w:sz w:val="20"/>
                <w:lang w:val="fr-CA"/>
              </w:rPr>
              <w:t xml:space="preserve">Procédure civile – Dépens – Dépens spéciaux – Ordonnances </w:t>
            </w:r>
            <w:r w:rsidRPr="007C1479">
              <w:rPr>
                <w:i/>
                <w:sz w:val="20"/>
                <w:lang w:val="fr-CA"/>
              </w:rPr>
              <w:t>ex parte</w:t>
            </w:r>
            <w:r w:rsidRPr="007C1479">
              <w:rPr>
                <w:sz w:val="20"/>
                <w:lang w:val="fr-CA"/>
              </w:rPr>
              <w:t xml:space="preserve"> – Anton Piller – Faut-il qu’il y ait eu malhonnêteté intentionnelle pour que des dépens spéciaux puissent être accordés relativement à des déclarations inexactes lors d’une instance </w:t>
            </w:r>
            <w:r w:rsidRPr="007C1479">
              <w:rPr>
                <w:i/>
                <w:sz w:val="20"/>
                <w:lang w:val="fr-CA"/>
              </w:rPr>
              <w:t>ex parte</w:t>
            </w:r>
            <w:r w:rsidRPr="007C1479">
              <w:rPr>
                <w:sz w:val="20"/>
                <w:lang w:val="fr-CA"/>
              </w:rPr>
              <w:t xml:space="preserve"> ou suffit-il que les déclarations inexactes aient été faites par imprudence ou insouciance? – Les avocats doivent-ils être soumis à une norme de conduite moins rigoureuse que les parties à l’instance lorsqu’il s’agit de condamnations aux dépens spéciaux prononcées contre eux?</w:t>
            </w:r>
          </w:p>
        </w:tc>
      </w:tr>
      <w:tr w:rsidR="004F1160" w:rsidRPr="00A2138C" w:rsidTr="00E95A6A">
        <w:tc>
          <w:tcPr>
            <w:tcW w:w="5000" w:type="pct"/>
            <w:gridSpan w:val="4"/>
          </w:tcPr>
          <w:p w:rsidR="004F1160" w:rsidRPr="007C1479" w:rsidRDefault="004F1160" w:rsidP="004F1160">
            <w:pPr>
              <w:jc w:val="both"/>
              <w:rPr>
                <w:sz w:val="20"/>
                <w:lang w:val="fr-CA"/>
              </w:rPr>
            </w:pPr>
          </w:p>
        </w:tc>
      </w:tr>
      <w:tr w:rsidR="004F1160" w:rsidRPr="00A2138C" w:rsidTr="00E95A6A">
        <w:tc>
          <w:tcPr>
            <w:tcW w:w="5000" w:type="pct"/>
            <w:gridSpan w:val="4"/>
          </w:tcPr>
          <w:p w:rsidR="004F1160" w:rsidRPr="007C1479" w:rsidRDefault="004F1160" w:rsidP="004F1160">
            <w:pPr>
              <w:jc w:val="both"/>
              <w:rPr>
                <w:sz w:val="20"/>
                <w:lang w:val="fr-CA"/>
              </w:rPr>
            </w:pPr>
            <w:r w:rsidRPr="007C1479">
              <w:rPr>
                <w:sz w:val="20"/>
                <w:lang w:val="fr-CA"/>
              </w:rPr>
              <w:t>Les intimés, M</w:t>
            </w:r>
            <w:r w:rsidRPr="007C1479">
              <w:rPr>
                <w:sz w:val="20"/>
                <w:vertAlign w:val="superscript"/>
                <w:lang w:val="fr-CA"/>
              </w:rPr>
              <w:t>e</w:t>
            </w:r>
            <w:r w:rsidRPr="007C1479">
              <w:rPr>
                <w:sz w:val="20"/>
                <w:lang w:val="fr-CA"/>
              </w:rPr>
              <w:t> Baynham et M</w:t>
            </w:r>
            <w:r w:rsidRPr="007C1479">
              <w:rPr>
                <w:sz w:val="20"/>
                <w:vertAlign w:val="superscript"/>
                <w:lang w:val="fr-CA"/>
              </w:rPr>
              <w:t>e</w:t>
            </w:r>
            <w:r w:rsidRPr="007C1479">
              <w:rPr>
                <w:sz w:val="20"/>
                <w:lang w:val="fr-CA"/>
              </w:rPr>
              <w:t> Reid sont les anciens avocats de M. Pierce, qui avait poursuivi en diffamation le demandeur, M. Jivraj, relativement à des commentaires faits dans deux bulletins d’information en ligne intitulés [</w:t>
            </w:r>
            <w:r w:rsidRPr="007C1479">
              <w:rPr>
                <w:smallCaps/>
                <w:sz w:val="20"/>
                <w:lang w:val="fr-CA"/>
              </w:rPr>
              <w:t>traduction</w:t>
            </w:r>
            <w:r w:rsidRPr="007C1479">
              <w:rPr>
                <w:sz w:val="20"/>
                <w:lang w:val="fr-CA"/>
              </w:rPr>
              <w:t>] « alerte à la fraude ». Les commentaires faisaient mention de sanctions imposées par le passé contre M. Pierce par des organismes de réglementation des valeurs mobilières et alléguaient que l’intéressé se livrait actuellement à des actes frauduleux et criminels impliquant diverses compagnies. Maître Baynham et M</w:t>
            </w:r>
            <w:r w:rsidRPr="007C1479">
              <w:rPr>
                <w:sz w:val="20"/>
                <w:vertAlign w:val="superscript"/>
                <w:lang w:val="fr-CA"/>
              </w:rPr>
              <w:t>e</w:t>
            </w:r>
            <w:r w:rsidRPr="007C1479">
              <w:rPr>
                <w:sz w:val="20"/>
                <w:lang w:val="fr-CA"/>
              </w:rPr>
              <w:t xml:space="preserve"> Reid, au nom de M. Pierce, ont demandé avec succès une ordonnance Anton Piller à une audience </w:t>
            </w:r>
            <w:r w:rsidRPr="007C1479">
              <w:rPr>
                <w:i/>
                <w:sz w:val="20"/>
                <w:lang w:val="fr-CA"/>
              </w:rPr>
              <w:t>ex parte</w:t>
            </w:r>
            <w:r w:rsidRPr="007C1479">
              <w:rPr>
                <w:sz w:val="20"/>
                <w:lang w:val="fr-CA"/>
              </w:rPr>
              <w:t xml:space="preserve"> à huis clos pour aider à identifier l’éditeur des bulletins d’information. Monsieur Javraj a été identifié par ces moyens. L’ordonnance permettait à M. Pierce de saisir le disque dur de l’ordinateur de M. Jivraj. Monsieur Jivraj a subséquemment été condamné à payer des dépens spéciaux à M. Pierce. À la demande de M. Jivraj, le juge en son cabinet a subséquemment annulé l’ordonnance Anton Piller au motif que M</w:t>
            </w:r>
            <w:r w:rsidRPr="007C1479">
              <w:rPr>
                <w:sz w:val="20"/>
                <w:vertAlign w:val="superscript"/>
                <w:lang w:val="fr-CA"/>
              </w:rPr>
              <w:t>e</w:t>
            </w:r>
            <w:r w:rsidRPr="007C1479">
              <w:rPr>
                <w:sz w:val="20"/>
                <w:lang w:val="fr-CA"/>
              </w:rPr>
              <w:t> </w:t>
            </w:r>
            <w:proofErr w:type="spellStart"/>
            <w:r w:rsidRPr="007C1479">
              <w:rPr>
                <w:sz w:val="20"/>
                <w:lang w:val="fr-CA"/>
              </w:rPr>
              <w:t>Baynham</w:t>
            </w:r>
            <w:proofErr w:type="spellEnd"/>
            <w:r w:rsidRPr="007C1479">
              <w:rPr>
                <w:sz w:val="20"/>
                <w:lang w:val="fr-CA"/>
              </w:rPr>
              <w:t xml:space="preserve"> et M</w:t>
            </w:r>
            <w:r w:rsidRPr="007C1479">
              <w:rPr>
                <w:sz w:val="20"/>
                <w:vertAlign w:val="superscript"/>
                <w:lang w:val="fr-CA"/>
              </w:rPr>
              <w:t>e</w:t>
            </w:r>
            <w:r w:rsidRPr="007C1479">
              <w:rPr>
                <w:sz w:val="20"/>
                <w:lang w:val="fr-CA"/>
              </w:rPr>
              <w:t> Reid n’avaient pas fait une divulgation complète relativement aux sanctions passées. Saisi d’une demande de dépens spéciaux, le juge en son cabinet a conclu que même si M</w:t>
            </w:r>
            <w:r w:rsidRPr="007C1479">
              <w:rPr>
                <w:sz w:val="20"/>
                <w:vertAlign w:val="superscript"/>
                <w:lang w:val="fr-CA"/>
              </w:rPr>
              <w:t>e</w:t>
            </w:r>
            <w:r w:rsidRPr="007C1479">
              <w:rPr>
                <w:sz w:val="20"/>
                <w:lang w:val="fr-CA"/>
              </w:rPr>
              <w:t> </w:t>
            </w:r>
            <w:proofErr w:type="spellStart"/>
            <w:r w:rsidRPr="007C1479">
              <w:rPr>
                <w:sz w:val="20"/>
                <w:lang w:val="fr-CA"/>
              </w:rPr>
              <w:t>Baynham</w:t>
            </w:r>
            <w:proofErr w:type="spellEnd"/>
            <w:r w:rsidRPr="007C1479">
              <w:rPr>
                <w:sz w:val="20"/>
                <w:lang w:val="fr-CA"/>
              </w:rPr>
              <w:t xml:space="preserve"> et M</w:t>
            </w:r>
            <w:r w:rsidRPr="007C1479">
              <w:rPr>
                <w:sz w:val="20"/>
                <w:vertAlign w:val="superscript"/>
                <w:lang w:val="fr-CA"/>
              </w:rPr>
              <w:t>e</w:t>
            </w:r>
            <w:r w:rsidRPr="007C1479">
              <w:rPr>
                <w:sz w:val="20"/>
                <w:lang w:val="fr-CA"/>
              </w:rPr>
              <w:t> Reid n’avaient pas agi malhonnêtement, leur conduite, qui avait mené à la perquisition du domicile de M. Jivraj, avait été répréhensible et il les a condamnés personnellement à des dépens spéciaux. La Cour d’appel a accueilli l’appel de M</w:t>
            </w:r>
            <w:r w:rsidRPr="007C1479">
              <w:rPr>
                <w:sz w:val="20"/>
                <w:vertAlign w:val="superscript"/>
                <w:lang w:val="fr-CA"/>
              </w:rPr>
              <w:t>e</w:t>
            </w:r>
            <w:r w:rsidRPr="007C1479">
              <w:rPr>
                <w:sz w:val="20"/>
                <w:lang w:val="fr-CA"/>
              </w:rPr>
              <w:t> </w:t>
            </w:r>
            <w:proofErr w:type="spellStart"/>
            <w:r w:rsidRPr="007C1479">
              <w:rPr>
                <w:sz w:val="20"/>
                <w:lang w:val="fr-CA"/>
              </w:rPr>
              <w:t>Baynham</w:t>
            </w:r>
            <w:proofErr w:type="spellEnd"/>
            <w:r w:rsidRPr="007C1479">
              <w:rPr>
                <w:sz w:val="20"/>
                <w:lang w:val="fr-CA"/>
              </w:rPr>
              <w:t xml:space="preserve"> et de M</w:t>
            </w:r>
            <w:r w:rsidRPr="007C1479">
              <w:rPr>
                <w:sz w:val="20"/>
                <w:vertAlign w:val="superscript"/>
                <w:lang w:val="fr-CA"/>
              </w:rPr>
              <w:t>e</w:t>
            </w:r>
            <w:r w:rsidRPr="007C1479">
              <w:rPr>
                <w:sz w:val="20"/>
                <w:lang w:val="fr-CA"/>
              </w:rPr>
              <w:t> Reid de la condamnation aux dépens spéciaux.</w:t>
            </w:r>
          </w:p>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28 mai 2014</w:t>
            </w:r>
          </w:p>
          <w:p w:rsidR="004F1160" w:rsidRPr="007C1479" w:rsidRDefault="004F1160" w:rsidP="004F1160">
            <w:pPr>
              <w:jc w:val="both"/>
              <w:rPr>
                <w:sz w:val="20"/>
                <w:lang w:val="fr-CA"/>
              </w:rPr>
            </w:pPr>
            <w:r w:rsidRPr="007C1479">
              <w:rPr>
                <w:sz w:val="20"/>
                <w:lang w:val="fr-CA"/>
              </w:rPr>
              <w:t>Cour suprême de la Colombie-Britannique</w:t>
            </w:r>
          </w:p>
          <w:p w:rsidR="004F1160" w:rsidRPr="007C1479" w:rsidRDefault="004F1160" w:rsidP="004F1160">
            <w:pPr>
              <w:jc w:val="both"/>
              <w:rPr>
                <w:sz w:val="20"/>
                <w:lang w:val="fr-CA"/>
              </w:rPr>
            </w:pPr>
            <w:r w:rsidRPr="007C1479">
              <w:rPr>
                <w:sz w:val="20"/>
                <w:lang w:val="fr-CA"/>
              </w:rPr>
              <w:t>(Juge Dley)</w:t>
            </w:r>
          </w:p>
          <w:p w:rsidR="004F1160" w:rsidRPr="007C1479" w:rsidRDefault="00A2138C" w:rsidP="004F1160">
            <w:pPr>
              <w:jc w:val="both"/>
              <w:rPr>
                <w:sz w:val="20"/>
                <w:lang w:val="fr-CA"/>
              </w:rPr>
            </w:pPr>
            <w:hyperlink r:id="rId16" w:history="1">
              <w:r w:rsidR="004F1160" w:rsidRPr="007C1479">
                <w:rPr>
                  <w:rStyle w:val="Hyperlink"/>
                  <w:sz w:val="20"/>
                  <w:lang w:val="fr-CA"/>
                </w:rPr>
                <w:t>2014 BCSC 926</w:t>
              </w:r>
            </w:hyperlink>
            <w:r w:rsidR="004F1160" w:rsidRPr="007C1479">
              <w:rPr>
                <w:sz w:val="20"/>
                <w:lang w:val="fr-CA"/>
              </w:rPr>
              <w:t>; S116400</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Jugement accordant des dépens spéciaux au demandeur</w:t>
            </w:r>
          </w:p>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1</w:t>
            </w:r>
            <w:r w:rsidRPr="007C1479">
              <w:rPr>
                <w:sz w:val="20"/>
                <w:vertAlign w:val="superscript"/>
                <w:lang w:val="fr-CA"/>
              </w:rPr>
              <w:t>er</w:t>
            </w:r>
            <w:r w:rsidRPr="007C1479">
              <w:rPr>
                <w:sz w:val="20"/>
                <w:lang w:val="fr-CA"/>
              </w:rPr>
              <w:t xml:space="preserve"> mai 2015</w:t>
            </w:r>
          </w:p>
          <w:p w:rsidR="004F1160" w:rsidRPr="007C1479" w:rsidRDefault="004F1160" w:rsidP="004F1160">
            <w:pPr>
              <w:jc w:val="both"/>
              <w:rPr>
                <w:sz w:val="20"/>
                <w:lang w:val="fr-CA"/>
              </w:rPr>
            </w:pPr>
            <w:r w:rsidRPr="007C1479">
              <w:rPr>
                <w:sz w:val="20"/>
                <w:lang w:val="fr-CA"/>
              </w:rPr>
              <w:t>Cour d’appel de la Colombie-Britannique</w:t>
            </w:r>
          </w:p>
          <w:p w:rsidR="004F1160" w:rsidRPr="007C1479" w:rsidRDefault="004F1160" w:rsidP="004F1160">
            <w:pPr>
              <w:jc w:val="both"/>
              <w:rPr>
                <w:sz w:val="20"/>
                <w:lang w:val="fr-CA"/>
              </w:rPr>
            </w:pPr>
            <w:r w:rsidRPr="007C1479">
              <w:rPr>
                <w:sz w:val="20"/>
                <w:lang w:val="fr-CA"/>
              </w:rPr>
              <w:t>(Vancouver)</w:t>
            </w:r>
          </w:p>
          <w:p w:rsidR="004F1160" w:rsidRPr="007C1479" w:rsidRDefault="004F1160" w:rsidP="004F1160">
            <w:pPr>
              <w:jc w:val="both"/>
              <w:rPr>
                <w:sz w:val="20"/>
                <w:lang w:val="fr-CA"/>
              </w:rPr>
            </w:pPr>
            <w:r w:rsidRPr="007C1479">
              <w:rPr>
                <w:sz w:val="20"/>
                <w:lang w:val="fr-CA"/>
              </w:rPr>
              <w:t>(Juges Bauman, Newbury et Harris)</w:t>
            </w:r>
          </w:p>
          <w:p w:rsidR="004F1160" w:rsidRPr="007C1479" w:rsidRDefault="00A2138C" w:rsidP="004F1160">
            <w:pPr>
              <w:jc w:val="both"/>
              <w:rPr>
                <w:sz w:val="20"/>
                <w:lang w:val="fr-CA"/>
              </w:rPr>
            </w:pPr>
            <w:hyperlink r:id="rId17" w:history="1">
              <w:r w:rsidR="004F1160" w:rsidRPr="007C1479">
                <w:rPr>
                  <w:rStyle w:val="Hyperlink"/>
                  <w:sz w:val="20"/>
                  <w:lang w:val="fr-CA"/>
                </w:rPr>
                <w:t>2015 BCCA 188</w:t>
              </w:r>
            </w:hyperlink>
            <w:r w:rsidR="004F1160" w:rsidRPr="007C1479">
              <w:rPr>
                <w:sz w:val="20"/>
                <w:lang w:val="fr-CA"/>
              </w:rPr>
              <w:t>; CA041933</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Arrêt accueillant l’appel; annulation de l’ordonnance du juge en son cabinet</w:t>
            </w: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31 juillet 2015</w:t>
            </w:r>
          </w:p>
          <w:p w:rsidR="004F1160" w:rsidRPr="007C1479" w:rsidRDefault="004F1160" w:rsidP="004F1160">
            <w:pPr>
              <w:jc w:val="both"/>
              <w:rPr>
                <w:sz w:val="20"/>
                <w:lang w:val="fr-CA"/>
              </w:rPr>
            </w:pPr>
            <w:r w:rsidRPr="007C1479">
              <w:rPr>
                <w:sz w:val="20"/>
                <w:lang w:val="fr-CA"/>
              </w:rPr>
              <w:t>Cour suprême du Canada</w:t>
            </w: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Dépôt de la requête en prorogation de délai de la demande d’autorisation d’appel</w:t>
            </w:r>
          </w:p>
        </w:tc>
      </w:tr>
    </w:tbl>
    <w:p w:rsidR="004F1160" w:rsidRDefault="004F1160" w:rsidP="004F1160">
      <w:pPr>
        <w:jc w:val="both"/>
        <w:rPr>
          <w:sz w:val="20"/>
          <w:lang w:val="fr-CA"/>
        </w:rPr>
      </w:pPr>
    </w:p>
    <w:p w:rsidR="007C1479" w:rsidRDefault="007C1479" w:rsidP="004F116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541"/>
        <w:gridCol w:w="4229"/>
      </w:tblGrid>
      <w:tr w:rsidR="00230CD1" w:rsidRPr="007C1479" w:rsidTr="00AF0882">
        <w:tc>
          <w:tcPr>
            <w:tcW w:w="543" w:type="pct"/>
          </w:tcPr>
          <w:p w:rsidR="00230CD1" w:rsidRPr="007C1479" w:rsidRDefault="00230CD1" w:rsidP="00AF0882">
            <w:pPr>
              <w:jc w:val="both"/>
              <w:rPr>
                <w:sz w:val="20"/>
              </w:rPr>
            </w:pPr>
            <w:r w:rsidRPr="007C1479">
              <w:rPr>
                <w:rStyle w:val="SCCFileNumberChar"/>
                <w:sz w:val="20"/>
                <w:szCs w:val="20"/>
              </w:rPr>
              <w:t>36604</w:t>
            </w:r>
          </w:p>
        </w:tc>
        <w:tc>
          <w:tcPr>
            <w:tcW w:w="4457" w:type="pct"/>
            <w:gridSpan w:val="3"/>
          </w:tcPr>
          <w:p w:rsidR="00230CD1" w:rsidRPr="007C1479" w:rsidRDefault="00230CD1" w:rsidP="00AF0882">
            <w:pPr>
              <w:pStyle w:val="SCCLsocParty"/>
              <w:jc w:val="both"/>
              <w:rPr>
                <w:b/>
                <w:sz w:val="20"/>
                <w:szCs w:val="20"/>
                <w:lang w:val="en-US"/>
              </w:rPr>
            </w:pPr>
            <w:r w:rsidRPr="007C1479">
              <w:rPr>
                <w:b/>
                <w:sz w:val="20"/>
                <w:szCs w:val="20"/>
                <w:lang w:val="en-US"/>
              </w:rPr>
              <w:t xml:space="preserve">Saskatchewan Democratic Action Party v. Saskatchewan Chief Electoral Officer, Michael D. </w:t>
            </w:r>
            <w:proofErr w:type="spellStart"/>
            <w:r w:rsidRPr="007C1479">
              <w:rPr>
                <w:b/>
                <w:sz w:val="20"/>
                <w:szCs w:val="20"/>
                <w:lang w:val="en-US"/>
              </w:rPr>
              <w:t>Boda</w:t>
            </w:r>
            <w:proofErr w:type="spellEnd"/>
          </w:p>
          <w:p w:rsidR="00230CD1" w:rsidRPr="007C1479" w:rsidRDefault="00230CD1" w:rsidP="00AF0882">
            <w:pPr>
              <w:jc w:val="both"/>
              <w:rPr>
                <w:sz w:val="20"/>
              </w:rPr>
            </w:pPr>
            <w:r w:rsidRPr="007C1479">
              <w:rPr>
                <w:sz w:val="20"/>
              </w:rPr>
              <w:t>(Sask.) (Civil) (By Leave)</w:t>
            </w:r>
          </w:p>
        </w:tc>
      </w:tr>
      <w:tr w:rsidR="00230CD1" w:rsidRPr="007C1479" w:rsidTr="00AF0882">
        <w:tc>
          <w:tcPr>
            <w:tcW w:w="5000" w:type="pct"/>
            <w:gridSpan w:val="4"/>
          </w:tcPr>
          <w:p w:rsidR="00230CD1" w:rsidRPr="007C1479" w:rsidRDefault="00230CD1" w:rsidP="00AF0882">
            <w:pPr>
              <w:jc w:val="both"/>
              <w:rPr>
                <w:sz w:val="20"/>
              </w:rPr>
            </w:pPr>
            <w:r w:rsidRPr="007C1479">
              <w:rPr>
                <w:sz w:val="20"/>
              </w:rPr>
              <w:t xml:space="preserve">Administrative Law – Municipal Law - Appeals – Application for registration as a political party - Decision of the Chief Electoral Officer to deny the application – Judicial review - Whether the Chief Electoral Officer erred in </w:t>
            </w:r>
            <w:r w:rsidRPr="007C1479">
              <w:rPr>
                <w:sz w:val="20"/>
              </w:rPr>
              <w:lastRenderedPageBreak/>
              <w:t xml:space="preserve">denying Saskatchewan Democratic Action Party’s application to be registered as a political party pursuant to sections 224 and 225 of the </w:t>
            </w:r>
            <w:r w:rsidRPr="007C1479">
              <w:rPr>
                <w:i/>
                <w:sz w:val="20"/>
              </w:rPr>
              <w:t>Election Act</w:t>
            </w:r>
            <w:r w:rsidRPr="007C1479">
              <w:rPr>
                <w:sz w:val="20"/>
              </w:rPr>
              <w:t>, 1996.</w:t>
            </w:r>
          </w:p>
          <w:p w:rsidR="00230CD1" w:rsidRPr="007C1479" w:rsidRDefault="00230CD1" w:rsidP="00AF0882">
            <w:pPr>
              <w:jc w:val="both"/>
              <w:rPr>
                <w:sz w:val="20"/>
              </w:rPr>
            </w:pPr>
          </w:p>
          <w:p w:rsidR="00230CD1" w:rsidRPr="007C1479" w:rsidRDefault="00230CD1" w:rsidP="00AF0882">
            <w:pPr>
              <w:jc w:val="both"/>
              <w:rPr>
                <w:sz w:val="20"/>
              </w:rPr>
            </w:pPr>
            <w:r w:rsidRPr="007C1479">
              <w:rPr>
                <w:sz w:val="20"/>
              </w:rPr>
              <w:t xml:space="preserve">Saskatchewan Democratic Action Party (SDAP) submitted an application to the Chief Electoral Officer in order to be registered as a political party in accordance with sections 224 and 225 of the </w:t>
            </w:r>
            <w:r w:rsidRPr="007C1479">
              <w:rPr>
                <w:i/>
                <w:sz w:val="20"/>
              </w:rPr>
              <w:t>Election Act</w:t>
            </w:r>
            <w:r w:rsidRPr="007C1479">
              <w:rPr>
                <w:sz w:val="20"/>
              </w:rPr>
              <w:t xml:space="preserve">, 1996. After examination, the Chief Electoral Officer advised SDAP that its application did not fully comply with s. 224 of the </w:t>
            </w:r>
            <w:r w:rsidRPr="007C1479">
              <w:rPr>
                <w:i/>
                <w:sz w:val="20"/>
              </w:rPr>
              <w:t xml:space="preserve">Act. </w:t>
            </w:r>
            <w:r w:rsidRPr="007C1479">
              <w:rPr>
                <w:sz w:val="20"/>
              </w:rPr>
              <w:t>The Court of Queen’s Bench of Saskatchewan ruled in favor of the Chief Electoral Officer. The Court of Appeal dismissed the application for leave to appeal.</w:t>
            </w:r>
          </w:p>
        </w:tc>
      </w:tr>
      <w:tr w:rsidR="00230CD1" w:rsidRPr="007C1479" w:rsidTr="00AF0882">
        <w:tc>
          <w:tcPr>
            <w:tcW w:w="5000" w:type="pct"/>
            <w:gridSpan w:val="4"/>
          </w:tcPr>
          <w:p w:rsidR="00230CD1" w:rsidRPr="007C1479" w:rsidRDefault="00230CD1" w:rsidP="00AF0882">
            <w:pPr>
              <w:jc w:val="both"/>
              <w:rPr>
                <w:sz w:val="20"/>
              </w:rPr>
            </w:pPr>
          </w:p>
        </w:tc>
      </w:tr>
      <w:tr w:rsidR="00230CD1" w:rsidRPr="007C1479" w:rsidTr="00AF0882">
        <w:tc>
          <w:tcPr>
            <w:tcW w:w="2427" w:type="pct"/>
            <w:gridSpan w:val="2"/>
          </w:tcPr>
          <w:p w:rsidR="00230CD1" w:rsidRPr="007C1479" w:rsidRDefault="00230CD1" w:rsidP="00AF0882">
            <w:pPr>
              <w:jc w:val="both"/>
              <w:rPr>
                <w:sz w:val="20"/>
              </w:rPr>
            </w:pPr>
            <w:r w:rsidRPr="007C1479">
              <w:rPr>
                <w:sz w:val="20"/>
              </w:rPr>
              <w:t>April 9, 2015</w:t>
            </w:r>
          </w:p>
          <w:p w:rsidR="00230CD1" w:rsidRPr="007C1479" w:rsidRDefault="00230CD1" w:rsidP="00AF0882">
            <w:pPr>
              <w:jc w:val="both"/>
              <w:rPr>
                <w:sz w:val="20"/>
              </w:rPr>
            </w:pPr>
            <w:r w:rsidRPr="007C1479">
              <w:rPr>
                <w:sz w:val="20"/>
              </w:rPr>
              <w:t>Court of Queen’s Bench of Saskatchewan</w:t>
            </w:r>
          </w:p>
          <w:p w:rsidR="00230CD1" w:rsidRPr="007C1479" w:rsidRDefault="00230CD1" w:rsidP="00AF0882">
            <w:pPr>
              <w:jc w:val="both"/>
              <w:rPr>
                <w:sz w:val="20"/>
              </w:rPr>
            </w:pPr>
            <w:r w:rsidRPr="007C1479">
              <w:rPr>
                <w:sz w:val="20"/>
              </w:rPr>
              <w:t>(</w:t>
            </w:r>
            <w:proofErr w:type="spellStart"/>
            <w:r w:rsidRPr="007C1479">
              <w:rPr>
                <w:sz w:val="20"/>
              </w:rPr>
              <w:t>Scherman</w:t>
            </w:r>
            <w:proofErr w:type="spellEnd"/>
            <w:r w:rsidRPr="007C1479">
              <w:rPr>
                <w:sz w:val="20"/>
              </w:rPr>
              <w:t xml:space="preserve"> J.)</w:t>
            </w:r>
          </w:p>
          <w:p w:rsidR="00230CD1" w:rsidRPr="007C1479" w:rsidRDefault="00230CD1" w:rsidP="00AF0882">
            <w:pPr>
              <w:jc w:val="both"/>
              <w:rPr>
                <w:sz w:val="20"/>
              </w:rPr>
            </w:pPr>
          </w:p>
          <w:p w:rsidR="00230CD1" w:rsidRPr="007C1479" w:rsidRDefault="00230CD1" w:rsidP="00AF0882">
            <w:pPr>
              <w:jc w:val="both"/>
              <w:rPr>
                <w:sz w:val="20"/>
              </w:rPr>
            </w:pPr>
            <w:r w:rsidRPr="007C1479">
              <w:rPr>
                <w:sz w:val="20"/>
              </w:rPr>
              <w:t>May 25, 2015</w:t>
            </w:r>
          </w:p>
          <w:p w:rsidR="00230CD1" w:rsidRPr="007C1479" w:rsidRDefault="00230CD1" w:rsidP="00AF0882">
            <w:pPr>
              <w:jc w:val="both"/>
              <w:rPr>
                <w:sz w:val="20"/>
              </w:rPr>
            </w:pPr>
            <w:r w:rsidRPr="007C1479">
              <w:rPr>
                <w:sz w:val="20"/>
              </w:rPr>
              <w:t>Court of Queen’s Bench of Saskatchewan</w:t>
            </w:r>
          </w:p>
          <w:p w:rsidR="00230CD1" w:rsidRPr="007C1479" w:rsidRDefault="00230CD1" w:rsidP="00AF0882">
            <w:pPr>
              <w:jc w:val="both"/>
              <w:rPr>
                <w:sz w:val="20"/>
              </w:rPr>
            </w:pPr>
            <w:r w:rsidRPr="007C1479">
              <w:rPr>
                <w:sz w:val="20"/>
              </w:rPr>
              <w:t>(Mills J.)</w:t>
            </w:r>
          </w:p>
          <w:p w:rsidR="00230CD1" w:rsidRPr="007C1479" w:rsidRDefault="00230CD1" w:rsidP="00AF0882">
            <w:pPr>
              <w:jc w:val="both"/>
              <w:rPr>
                <w:sz w:val="20"/>
              </w:rPr>
            </w:pPr>
          </w:p>
        </w:tc>
        <w:tc>
          <w:tcPr>
            <w:tcW w:w="292" w:type="pct"/>
          </w:tcPr>
          <w:p w:rsidR="00230CD1" w:rsidRPr="007C1479" w:rsidRDefault="00230CD1" w:rsidP="00AF0882">
            <w:pPr>
              <w:jc w:val="both"/>
              <w:rPr>
                <w:sz w:val="20"/>
              </w:rPr>
            </w:pPr>
          </w:p>
        </w:tc>
        <w:tc>
          <w:tcPr>
            <w:tcW w:w="2281" w:type="pct"/>
          </w:tcPr>
          <w:p w:rsidR="00230CD1" w:rsidRPr="007C1479" w:rsidRDefault="00230CD1" w:rsidP="00AF0882">
            <w:pPr>
              <w:jc w:val="both"/>
              <w:rPr>
                <w:sz w:val="20"/>
              </w:rPr>
            </w:pPr>
            <w:r w:rsidRPr="007C1479">
              <w:rPr>
                <w:sz w:val="20"/>
              </w:rPr>
              <w:t xml:space="preserve">Application for judicial review dismissed but </w:t>
            </w:r>
            <w:proofErr w:type="spellStart"/>
            <w:r w:rsidRPr="007C1479">
              <w:rPr>
                <w:sz w:val="20"/>
              </w:rPr>
              <w:t>Scherman</w:t>
            </w:r>
            <w:proofErr w:type="spellEnd"/>
            <w:r w:rsidRPr="007C1479">
              <w:rPr>
                <w:sz w:val="20"/>
              </w:rPr>
              <w:t xml:space="preserve"> J. left it open for Saskatchewan Democratic Action Party to reapply</w:t>
            </w:r>
          </w:p>
          <w:p w:rsidR="00230CD1" w:rsidRPr="007C1479" w:rsidRDefault="00230CD1" w:rsidP="00AF0882">
            <w:pPr>
              <w:jc w:val="both"/>
              <w:rPr>
                <w:sz w:val="20"/>
              </w:rPr>
            </w:pPr>
          </w:p>
          <w:p w:rsidR="00230CD1" w:rsidRPr="007C1479" w:rsidRDefault="00230CD1" w:rsidP="00AF0882">
            <w:pPr>
              <w:jc w:val="both"/>
              <w:rPr>
                <w:sz w:val="20"/>
              </w:rPr>
            </w:pPr>
            <w:r w:rsidRPr="007C1479">
              <w:rPr>
                <w:sz w:val="20"/>
              </w:rPr>
              <w:t>Application for judicial review dismissed</w:t>
            </w:r>
          </w:p>
        </w:tc>
      </w:tr>
      <w:tr w:rsidR="00230CD1" w:rsidRPr="007C1479" w:rsidTr="00AF0882">
        <w:tc>
          <w:tcPr>
            <w:tcW w:w="2427" w:type="pct"/>
            <w:gridSpan w:val="2"/>
          </w:tcPr>
          <w:p w:rsidR="00230CD1" w:rsidRPr="007C1479" w:rsidRDefault="00230CD1" w:rsidP="00AF0882">
            <w:pPr>
              <w:jc w:val="both"/>
              <w:rPr>
                <w:sz w:val="20"/>
              </w:rPr>
            </w:pPr>
            <w:r w:rsidRPr="007C1479">
              <w:rPr>
                <w:sz w:val="20"/>
              </w:rPr>
              <w:t>June 24, 2015</w:t>
            </w:r>
          </w:p>
          <w:p w:rsidR="00230CD1" w:rsidRPr="007C1479" w:rsidRDefault="00230CD1" w:rsidP="00AF0882">
            <w:pPr>
              <w:jc w:val="both"/>
              <w:rPr>
                <w:sz w:val="20"/>
              </w:rPr>
            </w:pPr>
            <w:r w:rsidRPr="007C1479">
              <w:rPr>
                <w:sz w:val="20"/>
              </w:rPr>
              <w:t>Court of Appeal for Saskatchewan</w:t>
            </w:r>
          </w:p>
          <w:p w:rsidR="00230CD1" w:rsidRPr="007C1479" w:rsidRDefault="00230CD1" w:rsidP="00AF0882">
            <w:pPr>
              <w:jc w:val="both"/>
              <w:rPr>
                <w:sz w:val="20"/>
              </w:rPr>
            </w:pPr>
            <w:r w:rsidRPr="007C1479">
              <w:rPr>
                <w:sz w:val="20"/>
              </w:rPr>
              <w:t>(Richards C.J.S.)</w:t>
            </w:r>
          </w:p>
          <w:p w:rsidR="00230CD1" w:rsidRPr="007C1479" w:rsidRDefault="00230CD1" w:rsidP="00AF0882">
            <w:pPr>
              <w:jc w:val="both"/>
              <w:rPr>
                <w:sz w:val="20"/>
              </w:rPr>
            </w:pPr>
          </w:p>
        </w:tc>
        <w:tc>
          <w:tcPr>
            <w:tcW w:w="292" w:type="pct"/>
          </w:tcPr>
          <w:p w:rsidR="00230CD1" w:rsidRPr="007C1479" w:rsidRDefault="00230CD1" w:rsidP="00AF0882">
            <w:pPr>
              <w:jc w:val="both"/>
              <w:rPr>
                <w:sz w:val="20"/>
              </w:rPr>
            </w:pPr>
          </w:p>
        </w:tc>
        <w:tc>
          <w:tcPr>
            <w:tcW w:w="2281" w:type="pct"/>
          </w:tcPr>
          <w:p w:rsidR="00230CD1" w:rsidRPr="007C1479" w:rsidRDefault="00230CD1" w:rsidP="00AF0882">
            <w:pPr>
              <w:jc w:val="both"/>
              <w:rPr>
                <w:sz w:val="20"/>
              </w:rPr>
            </w:pPr>
            <w:r w:rsidRPr="007C1479">
              <w:rPr>
                <w:sz w:val="20"/>
              </w:rPr>
              <w:t>Application for leave to appeal dismissed</w:t>
            </w:r>
          </w:p>
          <w:p w:rsidR="00230CD1" w:rsidRPr="007C1479" w:rsidRDefault="00230CD1" w:rsidP="00AF0882">
            <w:pPr>
              <w:jc w:val="both"/>
              <w:rPr>
                <w:sz w:val="20"/>
              </w:rPr>
            </w:pPr>
          </w:p>
        </w:tc>
      </w:tr>
      <w:tr w:rsidR="00230CD1" w:rsidRPr="007C1479" w:rsidTr="00AF0882">
        <w:tc>
          <w:tcPr>
            <w:tcW w:w="2427" w:type="pct"/>
            <w:gridSpan w:val="2"/>
          </w:tcPr>
          <w:p w:rsidR="00230CD1" w:rsidRPr="007C1479" w:rsidRDefault="00230CD1" w:rsidP="00AF0882">
            <w:pPr>
              <w:jc w:val="both"/>
              <w:rPr>
                <w:sz w:val="20"/>
              </w:rPr>
            </w:pPr>
            <w:r w:rsidRPr="007C1479">
              <w:rPr>
                <w:sz w:val="20"/>
              </w:rPr>
              <w:t>September 4, 2015</w:t>
            </w:r>
          </w:p>
          <w:p w:rsidR="00230CD1" w:rsidRPr="007C1479" w:rsidRDefault="00230CD1" w:rsidP="00AF0882">
            <w:pPr>
              <w:jc w:val="both"/>
              <w:rPr>
                <w:sz w:val="20"/>
              </w:rPr>
            </w:pPr>
            <w:r w:rsidRPr="007C1479">
              <w:rPr>
                <w:sz w:val="20"/>
              </w:rPr>
              <w:t>Supreme Court of Canada</w:t>
            </w:r>
          </w:p>
          <w:p w:rsidR="00230CD1" w:rsidRPr="007C1479" w:rsidRDefault="00230CD1" w:rsidP="00AF0882">
            <w:pPr>
              <w:jc w:val="both"/>
              <w:rPr>
                <w:sz w:val="20"/>
              </w:rPr>
            </w:pPr>
          </w:p>
        </w:tc>
        <w:tc>
          <w:tcPr>
            <w:tcW w:w="292" w:type="pct"/>
          </w:tcPr>
          <w:p w:rsidR="00230CD1" w:rsidRPr="007C1479" w:rsidRDefault="00230CD1" w:rsidP="00AF0882">
            <w:pPr>
              <w:jc w:val="both"/>
              <w:rPr>
                <w:sz w:val="20"/>
              </w:rPr>
            </w:pPr>
          </w:p>
        </w:tc>
        <w:tc>
          <w:tcPr>
            <w:tcW w:w="2281" w:type="pct"/>
          </w:tcPr>
          <w:p w:rsidR="00230CD1" w:rsidRPr="007C1479" w:rsidRDefault="00230CD1" w:rsidP="00AF0882">
            <w:pPr>
              <w:jc w:val="both"/>
              <w:rPr>
                <w:sz w:val="20"/>
              </w:rPr>
            </w:pPr>
            <w:r w:rsidRPr="007C1479">
              <w:rPr>
                <w:sz w:val="20"/>
              </w:rPr>
              <w:t xml:space="preserve">Application for leave to appeal filed, together with motions in </w:t>
            </w:r>
            <w:r w:rsidRPr="007C1479">
              <w:rPr>
                <w:i/>
                <w:sz w:val="20"/>
              </w:rPr>
              <w:t>Mandamus</w:t>
            </w:r>
            <w:r w:rsidRPr="007C1479">
              <w:rPr>
                <w:sz w:val="20"/>
              </w:rPr>
              <w:t xml:space="preserve"> and to expedite the leave application</w:t>
            </w:r>
          </w:p>
          <w:p w:rsidR="00230CD1" w:rsidRPr="007C1479" w:rsidRDefault="00230CD1" w:rsidP="00AF0882">
            <w:pPr>
              <w:jc w:val="both"/>
              <w:rPr>
                <w:sz w:val="20"/>
              </w:rPr>
            </w:pPr>
          </w:p>
        </w:tc>
      </w:tr>
    </w:tbl>
    <w:p w:rsidR="00230CD1" w:rsidRPr="00230CD1" w:rsidRDefault="00230CD1" w:rsidP="004F116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7C1479" w:rsidTr="00E95A6A">
        <w:tc>
          <w:tcPr>
            <w:tcW w:w="543" w:type="pct"/>
          </w:tcPr>
          <w:p w:rsidR="004F1160" w:rsidRPr="007C1479" w:rsidRDefault="004F1160" w:rsidP="004F1160">
            <w:pPr>
              <w:jc w:val="both"/>
              <w:rPr>
                <w:sz w:val="20"/>
                <w:lang w:val="fr-CA"/>
              </w:rPr>
            </w:pPr>
            <w:r w:rsidRPr="007C1479">
              <w:rPr>
                <w:rStyle w:val="SCCFileNumberChar"/>
                <w:sz w:val="20"/>
                <w:szCs w:val="20"/>
                <w:lang w:val="fr-CA"/>
              </w:rPr>
              <w:t>36604</w:t>
            </w:r>
          </w:p>
        </w:tc>
        <w:tc>
          <w:tcPr>
            <w:tcW w:w="4457" w:type="pct"/>
            <w:gridSpan w:val="3"/>
          </w:tcPr>
          <w:p w:rsidR="004F1160" w:rsidRPr="007C1479" w:rsidRDefault="004F1160" w:rsidP="004F1160">
            <w:pPr>
              <w:pStyle w:val="SCCLsocParty"/>
              <w:jc w:val="both"/>
              <w:rPr>
                <w:b/>
                <w:sz w:val="20"/>
                <w:szCs w:val="20"/>
                <w:lang w:val="en-US"/>
              </w:rPr>
            </w:pPr>
            <w:r w:rsidRPr="007C1479">
              <w:rPr>
                <w:b/>
                <w:sz w:val="20"/>
                <w:szCs w:val="20"/>
                <w:lang w:val="en-US"/>
              </w:rPr>
              <w:t xml:space="preserve">Saskatchewan Democratic Action Party c. Saskatchewan Chief Electoral Officer, Michael D. </w:t>
            </w:r>
            <w:proofErr w:type="spellStart"/>
            <w:r w:rsidRPr="007C1479">
              <w:rPr>
                <w:b/>
                <w:sz w:val="20"/>
                <w:szCs w:val="20"/>
                <w:lang w:val="en-US"/>
              </w:rPr>
              <w:t>Boda</w:t>
            </w:r>
            <w:proofErr w:type="spellEnd"/>
          </w:p>
          <w:p w:rsidR="004F1160" w:rsidRPr="007C1479" w:rsidRDefault="004F1160" w:rsidP="004F1160">
            <w:pPr>
              <w:jc w:val="both"/>
              <w:rPr>
                <w:sz w:val="20"/>
                <w:lang w:val="fr-CA"/>
              </w:rPr>
            </w:pPr>
            <w:r w:rsidRPr="007C1479">
              <w:rPr>
                <w:sz w:val="20"/>
                <w:lang w:val="fr-CA"/>
              </w:rPr>
              <w:t>(</w:t>
            </w:r>
            <w:proofErr w:type="spellStart"/>
            <w:r w:rsidRPr="007C1479">
              <w:rPr>
                <w:sz w:val="20"/>
                <w:lang w:val="fr-CA"/>
              </w:rPr>
              <w:t>Sask</w:t>
            </w:r>
            <w:proofErr w:type="spellEnd"/>
            <w:r w:rsidRPr="007C1479">
              <w:rPr>
                <w:sz w:val="20"/>
                <w:lang w:val="fr-CA"/>
              </w:rPr>
              <w:t>.) (Civile) (Sur autorisation)</w:t>
            </w:r>
          </w:p>
        </w:tc>
      </w:tr>
      <w:tr w:rsidR="004F1160" w:rsidRPr="00A2138C" w:rsidTr="00E95A6A">
        <w:tc>
          <w:tcPr>
            <w:tcW w:w="5000" w:type="pct"/>
            <w:gridSpan w:val="4"/>
          </w:tcPr>
          <w:p w:rsidR="004F1160" w:rsidRPr="007C1479" w:rsidRDefault="004F1160" w:rsidP="004F1160">
            <w:pPr>
              <w:jc w:val="both"/>
              <w:rPr>
                <w:sz w:val="20"/>
                <w:lang w:val="fr-CA"/>
              </w:rPr>
            </w:pPr>
            <w:r w:rsidRPr="007C1479">
              <w:rPr>
                <w:sz w:val="20"/>
                <w:lang w:val="fr-CA"/>
              </w:rPr>
              <w:t>Droit administratif – Droit municipal – Appels – Demande d’inscription d’un parti politique – Décision du directeur général des élections de refuser l’inscription – Contrôle judiciaire – Le directeur général des élections a-t-il eu tort de rejeter la demande d’inscription du Saskatchewan Democratic Action Party comme parti politique en application des articles 224 et 225 de l’</w:t>
            </w:r>
            <w:r w:rsidRPr="007C1479">
              <w:rPr>
                <w:i/>
                <w:sz w:val="20"/>
                <w:lang w:val="fr-CA"/>
              </w:rPr>
              <w:t>Election Act, 1996</w:t>
            </w:r>
            <w:r w:rsidRPr="007C1479">
              <w:rPr>
                <w:sz w:val="20"/>
                <w:lang w:val="fr-CA"/>
              </w:rPr>
              <w:t>?</w:t>
            </w:r>
          </w:p>
        </w:tc>
      </w:tr>
      <w:tr w:rsidR="004F1160" w:rsidRPr="00A2138C" w:rsidTr="00E95A6A">
        <w:tc>
          <w:tcPr>
            <w:tcW w:w="5000" w:type="pct"/>
            <w:gridSpan w:val="4"/>
          </w:tcPr>
          <w:p w:rsidR="004F1160" w:rsidRPr="007C1479" w:rsidRDefault="004F1160" w:rsidP="004F1160">
            <w:pPr>
              <w:jc w:val="both"/>
              <w:rPr>
                <w:sz w:val="20"/>
                <w:lang w:val="fr-CA"/>
              </w:rPr>
            </w:pPr>
          </w:p>
        </w:tc>
      </w:tr>
      <w:tr w:rsidR="004F1160" w:rsidRPr="007C1479" w:rsidTr="00E95A6A">
        <w:tc>
          <w:tcPr>
            <w:tcW w:w="5000" w:type="pct"/>
            <w:gridSpan w:val="4"/>
          </w:tcPr>
          <w:p w:rsidR="004F1160" w:rsidRPr="007C1479" w:rsidRDefault="004F1160" w:rsidP="004F1160">
            <w:pPr>
              <w:jc w:val="both"/>
              <w:rPr>
                <w:sz w:val="20"/>
                <w:lang w:val="fr-CA"/>
              </w:rPr>
            </w:pPr>
            <w:r w:rsidRPr="007C1479">
              <w:rPr>
                <w:sz w:val="20"/>
                <w:lang w:val="fr-CA"/>
              </w:rPr>
              <w:t>Le Saskatchewan Democratic Action Party (SDAP) a présenté une demande au directeur général des élections pour être inscrit comme parti politique conformément aux articles 224 et 225 de l’</w:t>
            </w:r>
            <w:r w:rsidRPr="007C1479">
              <w:rPr>
                <w:i/>
                <w:sz w:val="20"/>
                <w:lang w:val="fr-CA"/>
              </w:rPr>
              <w:t>Election Act, 1996</w:t>
            </w:r>
            <w:r w:rsidRPr="007C1479">
              <w:rPr>
                <w:sz w:val="20"/>
                <w:lang w:val="fr-CA"/>
              </w:rPr>
              <w:t>. Après examen, le directeur général des élections a informé SDAP que sa demande n’était pas entièrement conforme à l’art. 224 de la loi</w:t>
            </w:r>
            <w:r w:rsidRPr="007C1479">
              <w:rPr>
                <w:i/>
                <w:sz w:val="20"/>
                <w:lang w:val="fr-CA"/>
              </w:rPr>
              <w:t xml:space="preserve">. </w:t>
            </w:r>
            <w:r w:rsidRPr="007C1479">
              <w:rPr>
                <w:sz w:val="20"/>
                <w:lang w:val="fr-CA"/>
              </w:rPr>
              <w:t>La Cour du Banc de la Reine de la Saskatchewan a statué en faveur du directeur général des élections. La Cour d’appel a rejeté la demande d’autorisation d’appel.</w:t>
            </w:r>
          </w:p>
        </w:tc>
      </w:tr>
      <w:tr w:rsidR="004F1160" w:rsidRPr="007C1479" w:rsidTr="00E95A6A">
        <w:tc>
          <w:tcPr>
            <w:tcW w:w="5000" w:type="pct"/>
            <w:gridSpan w:val="4"/>
          </w:tcPr>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9 avril 2015</w:t>
            </w:r>
          </w:p>
          <w:p w:rsidR="004F1160" w:rsidRPr="007C1479" w:rsidRDefault="004F1160" w:rsidP="004F1160">
            <w:pPr>
              <w:jc w:val="both"/>
              <w:rPr>
                <w:sz w:val="20"/>
                <w:lang w:val="fr-CA"/>
              </w:rPr>
            </w:pPr>
            <w:r w:rsidRPr="007C1479">
              <w:rPr>
                <w:sz w:val="20"/>
                <w:lang w:val="fr-CA"/>
              </w:rPr>
              <w:t>Cour du Banc de la Reine de la Saskatchewan</w:t>
            </w:r>
          </w:p>
          <w:p w:rsidR="004F1160" w:rsidRPr="007C1479" w:rsidRDefault="004F1160" w:rsidP="004F1160">
            <w:pPr>
              <w:jc w:val="both"/>
              <w:rPr>
                <w:sz w:val="20"/>
                <w:lang w:val="fr-CA"/>
              </w:rPr>
            </w:pPr>
            <w:r w:rsidRPr="007C1479">
              <w:rPr>
                <w:sz w:val="20"/>
                <w:lang w:val="fr-CA"/>
              </w:rPr>
              <w:t>(Juge Scherman)</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 xml:space="preserve">Rejet de la demande de contrôle judiciaire; décision du juge Scherman de laisser au Saskatchewan Democratic Action Party la possibilité de présenter une nouvelle demande </w:t>
            </w:r>
          </w:p>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25 mai 2015</w:t>
            </w:r>
          </w:p>
          <w:p w:rsidR="004F1160" w:rsidRPr="007C1479" w:rsidRDefault="004F1160" w:rsidP="004F1160">
            <w:pPr>
              <w:jc w:val="both"/>
              <w:rPr>
                <w:sz w:val="20"/>
                <w:lang w:val="fr-CA"/>
              </w:rPr>
            </w:pPr>
            <w:r w:rsidRPr="007C1479">
              <w:rPr>
                <w:sz w:val="20"/>
                <w:lang w:val="fr-CA"/>
              </w:rPr>
              <w:t>Cour du Banc de la Reine de la Saskatchewan</w:t>
            </w:r>
          </w:p>
          <w:p w:rsidR="004F1160" w:rsidRPr="007C1479" w:rsidRDefault="004F1160" w:rsidP="004F1160">
            <w:pPr>
              <w:jc w:val="both"/>
              <w:rPr>
                <w:sz w:val="20"/>
                <w:lang w:val="fr-CA"/>
              </w:rPr>
            </w:pPr>
            <w:r w:rsidRPr="007C1479">
              <w:rPr>
                <w:sz w:val="20"/>
                <w:lang w:val="fr-CA"/>
              </w:rPr>
              <w:t>(Juge Mills)</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Rejet de la demande de contrôle judiciaire</w:t>
            </w: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24 juin 2015</w:t>
            </w:r>
          </w:p>
          <w:p w:rsidR="004F1160" w:rsidRPr="007C1479" w:rsidRDefault="004F1160" w:rsidP="004F1160">
            <w:pPr>
              <w:jc w:val="both"/>
              <w:rPr>
                <w:sz w:val="20"/>
                <w:lang w:val="fr-CA"/>
              </w:rPr>
            </w:pPr>
            <w:r w:rsidRPr="007C1479">
              <w:rPr>
                <w:sz w:val="20"/>
                <w:lang w:val="fr-CA"/>
              </w:rPr>
              <w:t>Cour d’appel de la Saskatchewan</w:t>
            </w:r>
          </w:p>
          <w:p w:rsidR="004F1160" w:rsidRPr="007C1479" w:rsidRDefault="004F1160" w:rsidP="004F1160">
            <w:pPr>
              <w:jc w:val="both"/>
              <w:rPr>
                <w:sz w:val="20"/>
                <w:lang w:val="fr-CA"/>
              </w:rPr>
            </w:pPr>
            <w:r w:rsidRPr="007C1479">
              <w:rPr>
                <w:sz w:val="20"/>
                <w:lang w:val="fr-CA"/>
              </w:rPr>
              <w:lastRenderedPageBreak/>
              <w:t>(Juge en chef Richards)</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Rejet de la demande d’autorisation d’appel</w:t>
            </w:r>
          </w:p>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lastRenderedPageBreak/>
              <w:t>4 septembre 2015</w:t>
            </w:r>
          </w:p>
          <w:p w:rsidR="004F1160" w:rsidRPr="007C1479" w:rsidRDefault="004F1160" w:rsidP="004F1160">
            <w:pPr>
              <w:jc w:val="both"/>
              <w:rPr>
                <w:sz w:val="20"/>
                <w:lang w:val="fr-CA"/>
              </w:rPr>
            </w:pPr>
            <w:r w:rsidRPr="007C1479">
              <w:rPr>
                <w:sz w:val="20"/>
                <w:lang w:val="fr-CA"/>
              </w:rPr>
              <w:t>Cour suprême du Canada</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Dépôt de la demande d’autorisation d’appel et de requêtes en mandamus et pour accélérer la demande d’autorisation d’appel</w:t>
            </w:r>
          </w:p>
        </w:tc>
      </w:tr>
    </w:tbl>
    <w:p w:rsidR="004F1160" w:rsidRDefault="004F1160" w:rsidP="004F1160">
      <w:pPr>
        <w:jc w:val="both"/>
        <w:rPr>
          <w:sz w:val="20"/>
          <w:lang w:val="fr-CA"/>
        </w:rPr>
      </w:pPr>
    </w:p>
    <w:p w:rsidR="007C1479" w:rsidRPr="007C1479" w:rsidRDefault="007C1479" w:rsidP="004F116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7C1479" w:rsidTr="00E95A6A">
        <w:tc>
          <w:tcPr>
            <w:tcW w:w="543" w:type="pct"/>
          </w:tcPr>
          <w:p w:rsidR="004F1160" w:rsidRPr="007C1479" w:rsidRDefault="004F1160" w:rsidP="004F1160">
            <w:pPr>
              <w:jc w:val="both"/>
              <w:rPr>
                <w:sz w:val="20"/>
              </w:rPr>
            </w:pPr>
            <w:r w:rsidRPr="007C1479">
              <w:rPr>
                <w:rStyle w:val="SCCFileNumberChar"/>
                <w:sz w:val="20"/>
                <w:szCs w:val="20"/>
              </w:rPr>
              <w:t>36576</w:t>
            </w:r>
          </w:p>
        </w:tc>
        <w:tc>
          <w:tcPr>
            <w:tcW w:w="4457" w:type="pct"/>
            <w:gridSpan w:val="3"/>
          </w:tcPr>
          <w:p w:rsidR="004F1160" w:rsidRPr="007C1479" w:rsidRDefault="004F1160" w:rsidP="004F1160">
            <w:pPr>
              <w:pStyle w:val="SCCLsocParty"/>
              <w:jc w:val="both"/>
              <w:rPr>
                <w:b/>
                <w:sz w:val="20"/>
                <w:szCs w:val="20"/>
                <w:lang w:val="en-US"/>
              </w:rPr>
            </w:pPr>
            <w:r w:rsidRPr="007C1479">
              <w:rPr>
                <w:b/>
                <w:sz w:val="20"/>
                <w:szCs w:val="20"/>
                <w:lang w:val="en-US"/>
              </w:rPr>
              <w:t xml:space="preserve">Peter A. </w:t>
            </w:r>
            <w:proofErr w:type="spellStart"/>
            <w:r w:rsidRPr="007C1479">
              <w:rPr>
                <w:b/>
                <w:sz w:val="20"/>
                <w:szCs w:val="20"/>
                <w:lang w:val="en-US"/>
              </w:rPr>
              <w:t>Khaiter</w:t>
            </w:r>
            <w:proofErr w:type="spellEnd"/>
            <w:r w:rsidRPr="007C1479">
              <w:rPr>
                <w:b/>
                <w:sz w:val="20"/>
                <w:szCs w:val="20"/>
                <w:lang w:val="en-US"/>
              </w:rPr>
              <w:t xml:space="preserve"> v. Her Majesty the Queen in Right of Ontario, Kevin Whitaker, Kelly </w:t>
            </w:r>
            <w:proofErr w:type="spellStart"/>
            <w:r w:rsidRPr="007C1479">
              <w:rPr>
                <w:b/>
                <w:sz w:val="20"/>
                <w:szCs w:val="20"/>
                <w:lang w:val="en-US"/>
              </w:rPr>
              <w:t>Waddingham</w:t>
            </w:r>
            <w:proofErr w:type="spellEnd"/>
            <w:r w:rsidRPr="007C1479">
              <w:rPr>
                <w:b/>
                <w:sz w:val="20"/>
                <w:szCs w:val="20"/>
                <w:lang w:val="en-US"/>
              </w:rPr>
              <w:t xml:space="preserve">, Christopher J. </w:t>
            </w:r>
            <w:proofErr w:type="spellStart"/>
            <w:r w:rsidRPr="007C1479">
              <w:rPr>
                <w:b/>
                <w:sz w:val="20"/>
                <w:szCs w:val="20"/>
                <w:lang w:val="en-US"/>
              </w:rPr>
              <w:t>Albertyn</w:t>
            </w:r>
            <w:proofErr w:type="spellEnd"/>
            <w:r w:rsidRPr="007C1479">
              <w:rPr>
                <w:b/>
                <w:sz w:val="20"/>
                <w:szCs w:val="20"/>
                <w:lang w:val="en-US"/>
              </w:rPr>
              <w:t xml:space="preserve">, Diane L. Gee, Tim R. Parker, </w:t>
            </w:r>
            <w:proofErr w:type="spellStart"/>
            <w:r w:rsidRPr="007C1479">
              <w:rPr>
                <w:b/>
                <w:sz w:val="20"/>
                <w:szCs w:val="20"/>
                <w:lang w:val="en-US"/>
              </w:rPr>
              <w:t>Voy</w:t>
            </w:r>
            <w:proofErr w:type="spellEnd"/>
            <w:r w:rsidRPr="007C1479">
              <w:rPr>
                <w:b/>
                <w:sz w:val="20"/>
                <w:szCs w:val="20"/>
                <w:lang w:val="en-US"/>
              </w:rPr>
              <w:t xml:space="preserve"> T. </w:t>
            </w:r>
            <w:proofErr w:type="spellStart"/>
            <w:r w:rsidRPr="007C1479">
              <w:rPr>
                <w:b/>
                <w:sz w:val="20"/>
                <w:szCs w:val="20"/>
                <w:lang w:val="en-US"/>
              </w:rPr>
              <w:t>Stelmaszynski</w:t>
            </w:r>
            <w:proofErr w:type="spellEnd"/>
            <w:r w:rsidRPr="007C1479">
              <w:rPr>
                <w:b/>
                <w:sz w:val="20"/>
                <w:szCs w:val="20"/>
                <w:lang w:val="en-US"/>
              </w:rPr>
              <w:t xml:space="preserve"> and Leonard </w:t>
            </w:r>
            <w:proofErr w:type="spellStart"/>
            <w:r w:rsidRPr="007C1479">
              <w:rPr>
                <w:b/>
                <w:sz w:val="20"/>
                <w:szCs w:val="20"/>
                <w:lang w:val="en-US"/>
              </w:rPr>
              <w:t>Marvy</w:t>
            </w:r>
            <w:proofErr w:type="spellEnd"/>
          </w:p>
          <w:p w:rsidR="004F1160" w:rsidRPr="007C1479" w:rsidRDefault="004F1160" w:rsidP="004F1160">
            <w:pPr>
              <w:jc w:val="both"/>
              <w:rPr>
                <w:sz w:val="20"/>
              </w:rPr>
            </w:pPr>
            <w:r w:rsidRPr="007C1479">
              <w:rPr>
                <w:sz w:val="20"/>
              </w:rPr>
              <w:t>(Ont.) (Civil) (By Leave)</w:t>
            </w:r>
          </w:p>
        </w:tc>
      </w:tr>
      <w:tr w:rsidR="004F1160" w:rsidRPr="007C1479" w:rsidTr="00E95A6A">
        <w:tc>
          <w:tcPr>
            <w:tcW w:w="5000" w:type="pct"/>
            <w:gridSpan w:val="4"/>
          </w:tcPr>
          <w:p w:rsidR="004F1160" w:rsidRPr="007C1479" w:rsidRDefault="004F1160" w:rsidP="004F1160">
            <w:pPr>
              <w:jc w:val="both"/>
              <w:rPr>
                <w:sz w:val="20"/>
              </w:rPr>
            </w:pPr>
            <w:r w:rsidRPr="007C1479">
              <w:rPr>
                <w:i/>
                <w:sz w:val="20"/>
              </w:rPr>
              <w:t xml:space="preserve">Charter of Rights </w:t>
            </w:r>
            <w:r w:rsidRPr="007C1479">
              <w:rPr>
                <w:sz w:val="20"/>
              </w:rPr>
              <w:t xml:space="preserve">– Right to fair hearing – Labour relations – Ontario Labour Relations Board – Applicant bringing action against Board and its delegates for, </w:t>
            </w:r>
            <w:r w:rsidRPr="007C1479">
              <w:rPr>
                <w:i/>
                <w:sz w:val="20"/>
              </w:rPr>
              <w:t>inter alia</w:t>
            </w:r>
            <w:r w:rsidRPr="007C1479">
              <w:rPr>
                <w:sz w:val="20"/>
              </w:rPr>
              <w:t>, acting unlawfully, arbitrarily, capriciously in abuse of power and due process in dismissing his employment complaints – Whether fundamentals</w:t>
            </w:r>
            <w:r w:rsidRPr="007C1479">
              <w:rPr>
                <w:spacing w:val="12"/>
                <w:sz w:val="20"/>
              </w:rPr>
              <w:t xml:space="preserve"> </w:t>
            </w:r>
            <w:r w:rsidRPr="007C1479">
              <w:rPr>
                <w:sz w:val="20"/>
              </w:rPr>
              <w:t>underlying</w:t>
            </w:r>
            <w:r w:rsidRPr="007C1479">
              <w:rPr>
                <w:spacing w:val="9"/>
                <w:sz w:val="20"/>
              </w:rPr>
              <w:t xml:space="preserve"> </w:t>
            </w:r>
            <w:r w:rsidRPr="007C1479">
              <w:rPr>
                <w:sz w:val="20"/>
              </w:rPr>
              <w:t>and</w:t>
            </w:r>
            <w:r w:rsidRPr="007C1479">
              <w:rPr>
                <w:spacing w:val="12"/>
                <w:sz w:val="20"/>
              </w:rPr>
              <w:t xml:space="preserve"> </w:t>
            </w:r>
            <w:r w:rsidRPr="007C1479">
              <w:rPr>
                <w:sz w:val="20"/>
              </w:rPr>
              <w:t>shaping</w:t>
            </w:r>
            <w:r w:rsidRPr="007C1479">
              <w:rPr>
                <w:spacing w:val="9"/>
                <w:sz w:val="20"/>
              </w:rPr>
              <w:t xml:space="preserve"> </w:t>
            </w:r>
            <w:r w:rsidRPr="007C1479">
              <w:rPr>
                <w:sz w:val="20"/>
              </w:rPr>
              <w:t>the</w:t>
            </w:r>
            <w:r w:rsidRPr="007C1479">
              <w:rPr>
                <w:spacing w:val="11"/>
                <w:sz w:val="20"/>
              </w:rPr>
              <w:t xml:space="preserve"> </w:t>
            </w:r>
            <w:r w:rsidRPr="007C1479">
              <w:rPr>
                <w:sz w:val="20"/>
              </w:rPr>
              <w:t>model</w:t>
            </w:r>
            <w:r w:rsidRPr="007C1479">
              <w:rPr>
                <w:spacing w:val="12"/>
                <w:sz w:val="20"/>
              </w:rPr>
              <w:t xml:space="preserve"> </w:t>
            </w:r>
            <w:r w:rsidRPr="007C1479">
              <w:rPr>
                <w:sz w:val="20"/>
              </w:rPr>
              <w:t>of</w:t>
            </w:r>
            <w:r w:rsidRPr="007C1479">
              <w:rPr>
                <w:spacing w:val="11"/>
                <w:sz w:val="20"/>
              </w:rPr>
              <w:t xml:space="preserve"> </w:t>
            </w:r>
            <w:r w:rsidRPr="007C1479">
              <w:rPr>
                <w:sz w:val="20"/>
              </w:rPr>
              <w:t>“exclusive</w:t>
            </w:r>
            <w:r w:rsidRPr="007C1479">
              <w:rPr>
                <w:spacing w:val="11"/>
                <w:sz w:val="20"/>
              </w:rPr>
              <w:t xml:space="preserve"> </w:t>
            </w:r>
            <w:r w:rsidRPr="007C1479">
              <w:rPr>
                <w:sz w:val="20"/>
              </w:rPr>
              <w:t>jurisdiction”</w:t>
            </w:r>
            <w:r w:rsidRPr="007C1479">
              <w:rPr>
                <w:spacing w:val="93"/>
                <w:sz w:val="20"/>
              </w:rPr>
              <w:t xml:space="preserve"> </w:t>
            </w:r>
            <w:r w:rsidRPr="007C1479">
              <w:rPr>
                <w:sz w:val="20"/>
              </w:rPr>
              <w:t>in</w:t>
            </w:r>
            <w:r w:rsidRPr="007C1479">
              <w:rPr>
                <w:spacing w:val="26"/>
                <w:sz w:val="20"/>
              </w:rPr>
              <w:t xml:space="preserve"> </w:t>
            </w:r>
            <w:r w:rsidRPr="007C1479">
              <w:rPr>
                <w:i/>
                <w:spacing w:val="-2"/>
                <w:sz w:val="20"/>
              </w:rPr>
              <w:t>Labour</w:t>
            </w:r>
            <w:r w:rsidRPr="007C1479">
              <w:rPr>
                <w:i/>
                <w:spacing w:val="25"/>
                <w:sz w:val="20"/>
              </w:rPr>
              <w:t xml:space="preserve"> </w:t>
            </w:r>
            <w:r w:rsidRPr="007C1479">
              <w:rPr>
                <w:i/>
                <w:sz w:val="20"/>
              </w:rPr>
              <w:t>Law</w:t>
            </w:r>
            <w:r w:rsidRPr="007C1479">
              <w:rPr>
                <w:spacing w:val="23"/>
                <w:sz w:val="20"/>
              </w:rPr>
              <w:t xml:space="preserve"> </w:t>
            </w:r>
            <w:r w:rsidRPr="007C1479">
              <w:rPr>
                <w:sz w:val="20"/>
              </w:rPr>
              <w:t>provide</w:t>
            </w:r>
            <w:r w:rsidRPr="007C1479">
              <w:rPr>
                <w:spacing w:val="23"/>
                <w:sz w:val="20"/>
              </w:rPr>
              <w:t xml:space="preserve"> </w:t>
            </w:r>
            <w:r w:rsidRPr="007C1479">
              <w:rPr>
                <w:sz w:val="20"/>
              </w:rPr>
              <w:t>a</w:t>
            </w:r>
            <w:r w:rsidRPr="007C1479">
              <w:rPr>
                <w:spacing w:val="23"/>
                <w:sz w:val="20"/>
              </w:rPr>
              <w:t xml:space="preserve"> </w:t>
            </w:r>
            <w:r w:rsidRPr="007C1479">
              <w:rPr>
                <w:sz w:val="20"/>
              </w:rPr>
              <w:t>just,</w:t>
            </w:r>
            <w:r w:rsidRPr="007C1479">
              <w:rPr>
                <w:spacing w:val="24"/>
                <w:sz w:val="20"/>
              </w:rPr>
              <w:t xml:space="preserve"> </w:t>
            </w:r>
            <w:r w:rsidRPr="007C1479">
              <w:rPr>
                <w:sz w:val="20"/>
              </w:rPr>
              <w:t>fair</w:t>
            </w:r>
            <w:r w:rsidRPr="007C1479">
              <w:rPr>
                <w:spacing w:val="23"/>
                <w:sz w:val="20"/>
              </w:rPr>
              <w:t xml:space="preserve"> </w:t>
            </w:r>
            <w:r w:rsidRPr="007C1479">
              <w:rPr>
                <w:sz w:val="20"/>
              </w:rPr>
              <w:t>and</w:t>
            </w:r>
            <w:r w:rsidRPr="007C1479">
              <w:rPr>
                <w:spacing w:val="24"/>
                <w:sz w:val="20"/>
              </w:rPr>
              <w:t xml:space="preserve"> </w:t>
            </w:r>
            <w:r w:rsidRPr="007C1479">
              <w:rPr>
                <w:sz w:val="20"/>
              </w:rPr>
              <w:t>expeditious</w:t>
            </w:r>
            <w:r w:rsidRPr="007C1479">
              <w:rPr>
                <w:spacing w:val="24"/>
                <w:sz w:val="20"/>
              </w:rPr>
              <w:t xml:space="preserve"> </w:t>
            </w:r>
            <w:r w:rsidRPr="007C1479">
              <w:rPr>
                <w:sz w:val="20"/>
              </w:rPr>
              <w:t>resolution</w:t>
            </w:r>
            <w:r w:rsidRPr="007C1479">
              <w:rPr>
                <w:spacing w:val="24"/>
                <w:sz w:val="20"/>
              </w:rPr>
              <w:t xml:space="preserve"> </w:t>
            </w:r>
            <w:r w:rsidRPr="007C1479">
              <w:rPr>
                <w:sz w:val="20"/>
              </w:rPr>
              <w:t>of</w:t>
            </w:r>
            <w:r w:rsidRPr="007C1479">
              <w:rPr>
                <w:spacing w:val="23"/>
                <w:sz w:val="20"/>
              </w:rPr>
              <w:t xml:space="preserve"> </w:t>
            </w:r>
            <w:r w:rsidRPr="007C1479">
              <w:rPr>
                <w:sz w:val="20"/>
              </w:rPr>
              <w:t>labour</w:t>
            </w:r>
            <w:r w:rsidRPr="007C1479">
              <w:rPr>
                <w:spacing w:val="67"/>
                <w:sz w:val="20"/>
              </w:rPr>
              <w:t xml:space="preserve"> </w:t>
            </w:r>
            <w:r w:rsidRPr="007C1479">
              <w:rPr>
                <w:sz w:val="20"/>
              </w:rPr>
              <w:t>disputes – Whether fundamentals are consistent with the purposes of</w:t>
            </w:r>
            <w:r w:rsidRPr="007C1479">
              <w:rPr>
                <w:spacing w:val="1"/>
                <w:sz w:val="20"/>
              </w:rPr>
              <w:t xml:space="preserve"> </w:t>
            </w:r>
            <w:r w:rsidRPr="007C1479">
              <w:rPr>
                <w:i/>
                <w:sz w:val="20"/>
              </w:rPr>
              <w:t>Labour</w:t>
            </w:r>
            <w:r w:rsidRPr="007C1479">
              <w:rPr>
                <w:i/>
                <w:spacing w:val="1"/>
                <w:sz w:val="20"/>
              </w:rPr>
              <w:t xml:space="preserve"> </w:t>
            </w:r>
            <w:r w:rsidRPr="007C1479">
              <w:rPr>
                <w:i/>
                <w:sz w:val="20"/>
              </w:rPr>
              <w:t>Law</w:t>
            </w:r>
            <w:r w:rsidRPr="007C1479">
              <w:rPr>
                <w:sz w:val="20"/>
              </w:rPr>
              <w:t xml:space="preserve"> and </w:t>
            </w:r>
            <w:r w:rsidRPr="007C1479">
              <w:rPr>
                <w:i/>
                <w:sz w:val="20"/>
              </w:rPr>
              <w:t>Charter</w:t>
            </w:r>
            <w:r w:rsidRPr="007C1479">
              <w:rPr>
                <w:sz w:val="20"/>
              </w:rPr>
              <w:t>? – Whether there is practice</w:t>
            </w:r>
            <w:r w:rsidRPr="007C1479">
              <w:rPr>
                <w:spacing w:val="32"/>
                <w:sz w:val="20"/>
              </w:rPr>
              <w:t xml:space="preserve"> </w:t>
            </w:r>
            <w:r w:rsidRPr="007C1479">
              <w:rPr>
                <w:sz w:val="20"/>
              </w:rPr>
              <w:t>of</w:t>
            </w:r>
            <w:r w:rsidRPr="007C1479">
              <w:rPr>
                <w:spacing w:val="32"/>
                <w:sz w:val="20"/>
              </w:rPr>
              <w:t xml:space="preserve"> </w:t>
            </w:r>
            <w:r w:rsidRPr="007C1479">
              <w:rPr>
                <w:sz w:val="20"/>
              </w:rPr>
              <w:t>misinterpretation</w:t>
            </w:r>
            <w:r w:rsidRPr="007C1479">
              <w:rPr>
                <w:spacing w:val="33"/>
                <w:sz w:val="20"/>
              </w:rPr>
              <w:t xml:space="preserve"> </w:t>
            </w:r>
            <w:r w:rsidRPr="007C1479">
              <w:rPr>
                <w:sz w:val="20"/>
              </w:rPr>
              <w:t>or</w:t>
            </w:r>
            <w:r w:rsidRPr="007C1479">
              <w:rPr>
                <w:spacing w:val="32"/>
                <w:sz w:val="20"/>
              </w:rPr>
              <w:t xml:space="preserve"> </w:t>
            </w:r>
            <w:r w:rsidRPr="007C1479">
              <w:rPr>
                <w:sz w:val="20"/>
              </w:rPr>
              <w:t>misapplication</w:t>
            </w:r>
            <w:r w:rsidRPr="007C1479">
              <w:rPr>
                <w:spacing w:val="33"/>
                <w:sz w:val="20"/>
              </w:rPr>
              <w:t xml:space="preserve"> </w:t>
            </w:r>
            <w:r w:rsidRPr="007C1479">
              <w:rPr>
                <w:sz w:val="20"/>
              </w:rPr>
              <w:t>of</w:t>
            </w:r>
            <w:r w:rsidRPr="007C1479">
              <w:rPr>
                <w:spacing w:val="32"/>
                <w:sz w:val="20"/>
              </w:rPr>
              <w:t xml:space="preserve"> </w:t>
            </w:r>
            <w:r w:rsidRPr="007C1479">
              <w:rPr>
                <w:sz w:val="20"/>
              </w:rPr>
              <w:t>legal</w:t>
            </w:r>
            <w:r w:rsidRPr="007C1479">
              <w:rPr>
                <w:spacing w:val="34"/>
                <w:sz w:val="20"/>
              </w:rPr>
              <w:t xml:space="preserve"> </w:t>
            </w:r>
            <w:r w:rsidRPr="007C1479">
              <w:rPr>
                <w:sz w:val="20"/>
              </w:rPr>
              <w:t>concepts</w:t>
            </w:r>
            <w:r w:rsidRPr="007C1479">
              <w:rPr>
                <w:spacing w:val="33"/>
                <w:sz w:val="20"/>
              </w:rPr>
              <w:t xml:space="preserve"> </w:t>
            </w:r>
            <w:r w:rsidRPr="007C1479">
              <w:rPr>
                <w:spacing w:val="1"/>
                <w:sz w:val="20"/>
              </w:rPr>
              <w:t>by</w:t>
            </w:r>
            <w:r w:rsidRPr="007C1479">
              <w:rPr>
                <w:spacing w:val="31"/>
                <w:sz w:val="20"/>
              </w:rPr>
              <w:t xml:space="preserve"> </w:t>
            </w:r>
            <w:r w:rsidRPr="007C1479">
              <w:rPr>
                <w:sz w:val="20"/>
              </w:rPr>
              <w:t>Ontario courts</w:t>
            </w:r>
            <w:r w:rsidRPr="007C1479">
              <w:rPr>
                <w:spacing w:val="2"/>
                <w:sz w:val="20"/>
              </w:rPr>
              <w:t xml:space="preserve"> </w:t>
            </w:r>
            <w:r w:rsidRPr="007C1479">
              <w:rPr>
                <w:sz w:val="20"/>
              </w:rPr>
              <w:t>in</w:t>
            </w:r>
            <w:r w:rsidRPr="007C1479">
              <w:rPr>
                <w:spacing w:val="2"/>
                <w:sz w:val="20"/>
              </w:rPr>
              <w:t xml:space="preserve"> </w:t>
            </w:r>
            <w:r w:rsidRPr="007C1479">
              <w:rPr>
                <w:sz w:val="20"/>
              </w:rPr>
              <w:t>dealing with</w:t>
            </w:r>
            <w:r w:rsidRPr="007C1479">
              <w:rPr>
                <w:spacing w:val="2"/>
                <w:sz w:val="20"/>
              </w:rPr>
              <w:t xml:space="preserve"> </w:t>
            </w:r>
            <w:r w:rsidRPr="007C1479">
              <w:rPr>
                <w:sz w:val="20"/>
              </w:rPr>
              <w:t>the</w:t>
            </w:r>
            <w:r w:rsidRPr="007C1479">
              <w:rPr>
                <w:spacing w:val="1"/>
                <w:sz w:val="20"/>
              </w:rPr>
              <w:t xml:space="preserve"> </w:t>
            </w:r>
            <w:r w:rsidRPr="007C1479">
              <w:rPr>
                <w:sz w:val="20"/>
              </w:rPr>
              <w:t>class</w:t>
            </w:r>
            <w:r w:rsidRPr="007C1479">
              <w:rPr>
                <w:spacing w:val="2"/>
                <w:sz w:val="20"/>
              </w:rPr>
              <w:t xml:space="preserve"> </w:t>
            </w:r>
            <w:r w:rsidRPr="007C1479">
              <w:rPr>
                <w:sz w:val="20"/>
              </w:rPr>
              <w:t>of</w:t>
            </w:r>
            <w:r w:rsidRPr="007C1479">
              <w:rPr>
                <w:spacing w:val="1"/>
                <w:sz w:val="20"/>
              </w:rPr>
              <w:t xml:space="preserve"> </w:t>
            </w:r>
            <w:r w:rsidRPr="007C1479">
              <w:rPr>
                <w:sz w:val="20"/>
              </w:rPr>
              <w:t>tort</w:t>
            </w:r>
            <w:r w:rsidRPr="007C1479">
              <w:rPr>
                <w:spacing w:val="2"/>
                <w:sz w:val="20"/>
              </w:rPr>
              <w:t xml:space="preserve"> </w:t>
            </w:r>
            <w:r w:rsidRPr="007C1479">
              <w:rPr>
                <w:sz w:val="20"/>
              </w:rPr>
              <w:t>actions</w:t>
            </w:r>
            <w:r w:rsidRPr="007C1479">
              <w:rPr>
                <w:spacing w:val="2"/>
                <w:sz w:val="20"/>
              </w:rPr>
              <w:t xml:space="preserve"> </w:t>
            </w:r>
            <w:r w:rsidRPr="007C1479">
              <w:rPr>
                <w:sz w:val="20"/>
              </w:rPr>
              <w:t>against</w:t>
            </w:r>
            <w:r w:rsidRPr="007C1479">
              <w:rPr>
                <w:spacing w:val="81"/>
                <w:sz w:val="20"/>
              </w:rPr>
              <w:t xml:space="preserve"> </w:t>
            </w:r>
            <w:r w:rsidRPr="007C1479">
              <w:rPr>
                <w:sz w:val="20"/>
              </w:rPr>
              <w:t>the decision-makers in the quasi-judicial Administrative Tribunals – Whether there is a pattern</w:t>
            </w:r>
            <w:r w:rsidRPr="007C1479">
              <w:rPr>
                <w:spacing w:val="57"/>
                <w:sz w:val="20"/>
              </w:rPr>
              <w:t xml:space="preserve"> </w:t>
            </w:r>
            <w:r w:rsidRPr="007C1479">
              <w:rPr>
                <w:sz w:val="20"/>
              </w:rPr>
              <w:t>of</w:t>
            </w:r>
            <w:r w:rsidRPr="007C1479">
              <w:rPr>
                <w:spacing w:val="56"/>
                <w:sz w:val="20"/>
              </w:rPr>
              <w:t xml:space="preserve"> </w:t>
            </w:r>
            <w:r w:rsidRPr="007C1479">
              <w:rPr>
                <w:sz w:val="20"/>
              </w:rPr>
              <w:t>persistence</w:t>
            </w:r>
            <w:r w:rsidRPr="007C1479">
              <w:rPr>
                <w:spacing w:val="56"/>
                <w:sz w:val="20"/>
              </w:rPr>
              <w:t xml:space="preserve"> </w:t>
            </w:r>
            <w:r w:rsidRPr="007C1479">
              <w:rPr>
                <w:sz w:val="20"/>
              </w:rPr>
              <w:t>in</w:t>
            </w:r>
            <w:r w:rsidRPr="007C1479">
              <w:rPr>
                <w:spacing w:val="57"/>
                <w:sz w:val="20"/>
              </w:rPr>
              <w:t xml:space="preserve"> </w:t>
            </w:r>
            <w:r w:rsidRPr="007C1479">
              <w:rPr>
                <w:sz w:val="20"/>
              </w:rPr>
              <w:t>denial</w:t>
            </w:r>
            <w:r w:rsidRPr="007C1479">
              <w:rPr>
                <w:spacing w:val="58"/>
                <w:sz w:val="20"/>
              </w:rPr>
              <w:t xml:space="preserve"> </w:t>
            </w:r>
            <w:r w:rsidRPr="007C1479">
              <w:rPr>
                <w:sz w:val="20"/>
              </w:rPr>
              <w:t>of</w:t>
            </w:r>
            <w:r w:rsidRPr="007C1479">
              <w:rPr>
                <w:spacing w:val="56"/>
                <w:sz w:val="20"/>
              </w:rPr>
              <w:t xml:space="preserve"> </w:t>
            </w:r>
            <w:r w:rsidRPr="007C1479">
              <w:rPr>
                <w:sz w:val="20"/>
              </w:rPr>
              <w:t>justice,</w:t>
            </w:r>
            <w:r w:rsidRPr="007C1479">
              <w:rPr>
                <w:spacing w:val="57"/>
                <w:sz w:val="20"/>
              </w:rPr>
              <w:t xml:space="preserve"> </w:t>
            </w:r>
            <w:r w:rsidRPr="007C1479">
              <w:rPr>
                <w:sz w:val="20"/>
              </w:rPr>
              <w:t>in</w:t>
            </w:r>
            <w:r w:rsidRPr="007C1479">
              <w:rPr>
                <w:spacing w:val="57"/>
                <w:sz w:val="20"/>
              </w:rPr>
              <w:t xml:space="preserve"> </w:t>
            </w:r>
            <w:r w:rsidRPr="007C1479">
              <w:rPr>
                <w:sz w:val="20"/>
              </w:rPr>
              <w:t>refusal</w:t>
            </w:r>
            <w:r w:rsidRPr="007C1479">
              <w:rPr>
                <w:spacing w:val="58"/>
                <w:sz w:val="20"/>
              </w:rPr>
              <w:t xml:space="preserve"> </w:t>
            </w:r>
            <w:r w:rsidRPr="007C1479">
              <w:rPr>
                <w:sz w:val="20"/>
              </w:rPr>
              <w:t>to</w:t>
            </w:r>
            <w:r w:rsidRPr="007C1479">
              <w:rPr>
                <w:spacing w:val="57"/>
                <w:sz w:val="20"/>
              </w:rPr>
              <w:t xml:space="preserve"> </w:t>
            </w:r>
            <w:r w:rsidRPr="007C1479">
              <w:rPr>
                <w:sz w:val="20"/>
              </w:rPr>
              <w:t>act</w:t>
            </w:r>
            <w:r w:rsidRPr="007C1479">
              <w:rPr>
                <w:spacing w:val="58"/>
                <w:sz w:val="20"/>
              </w:rPr>
              <w:t xml:space="preserve"> </w:t>
            </w:r>
            <w:r w:rsidRPr="007C1479">
              <w:rPr>
                <w:sz w:val="20"/>
              </w:rPr>
              <w:t>judicially,</w:t>
            </w:r>
            <w:r w:rsidRPr="007C1479">
              <w:rPr>
                <w:spacing w:val="57"/>
                <w:sz w:val="20"/>
              </w:rPr>
              <w:t xml:space="preserve"> </w:t>
            </w:r>
            <w:r w:rsidRPr="007C1479">
              <w:rPr>
                <w:sz w:val="20"/>
              </w:rPr>
              <w:t>in</w:t>
            </w:r>
            <w:r w:rsidRPr="007C1479">
              <w:rPr>
                <w:spacing w:val="71"/>
                <w:sz w:val="20"/>
              </w:rPr>
              <w:t xml:space="preserve"> </w:t>
            </w:r>
            <w:r w:rsidRPr="007C1479">
              <w:rPr>
                <w:sz w:val="20"/>
              </w:rPr>
              <w:t>ignorance</w:t>
            </w:r>
            <w:r w:rsidRPr="007C1479">
              <w:rPr>
                <w:spacing w:val="-4"/>
                <w:sz w:val="20"/>
              </w:rPr>
              <w:t xml:space="preserve"> </w:t>
            </w:r>
            <w:r w:rsidRPr="007C1479">
              <w:rPr>
                <w:spacing w:val="1"/>
                <w:sz w:val="20"/>
              </w:rPr>
              <w:t>of</w:t>
            </w:r>
            <w:r w:rsidRPr="007C1479">
              <w:rPr>
                <w:spacing w:val="-4"/>
                <w:sz w:val="20"/>
              </w:rPr>
              <w:t xml:space="preserve"> </w:t>
            </w:r>
            <w:r w:rsidRPr="007C1479">
              <w:rPr>
                <w:sz w:val="20"/>
              </w:rPr>
              <w:t>the</w:t>
            </w:r>
            <w:r w:rsidRPr="007C1479">
              <w:rPr>
                <w:spacing w:val="-4"/>
                <w:sz w:val="20"/>
              </w:rPr>
              <w:t xml:space="preserve"> </w:t>
            </w:r>
            <w:r w:rsidRPr="007C1479">
              <w:rPr>
                <w:sz w:val="20"/>
              </w:rPr>
              <w:t>law, in</w:t>
            </w:r>
            <w:r w:rsidRPr="007C1479">
              <w:rPr>
                <w:spacing w:val="-3"/>
                <w:sz w:val="20"/>
              </w:rPr>
              <w:t xml:space="preserve"> </w:t>
            </w:r>
            <w:r w:rsidRPr="007C1479">
              <w:rPr>
                <w:sz w:val="20"/>
              </w:rPr>
              <w:t>miscarriage of</w:t>
            </w:r>
            <w:r w:rsidRPr="007C1479">
              <w:rPr>
                <w:spacing w:val="-4"/>
                <w:sz w:val="20"/>
              </w:rPr>
              <w:t xml:space="preserve"> </w:t>
            </w:r>
            <w:r w:rsidRPr="007C1479">
              <w:rPr>
                <w:sz w:val="20"/>
              </w:rPr>
              <w:t>justice,</w:t>
            </w:r>
            <w:r w:rsidRPr="007C1479">
              <w:rPr>
                <w:spacing w:val="-3"/>
                <w:sz w:val="20"/>
              </w:rPr>
              <w:t xml:space="preserve"> </w:t>
            </w:r>
            <w:r w:rsidRPr="007C1479">
              <w:rPr>
                <w:sz w:val="20"/>
              </w:rPr>
              <w:t>in a</w:t>
            </w:r>
            <w:r w:rsidRPr="007C1479">
              <w:rPr>
                <w:spacing w:val="-4"/>
                <w:sz w:val="20"/>
              </w:rPr>
              <w:t xml:space="preserve"> </w:t>
            </w:r>
            <w:r w:rsidRPr="007C1479">
              <w:rPr>
                <w:sz w:val="20"/>
              </w:rPr>
              <w:t>breach</w:t>
            </w:r>
            <w:r w:rsidRPr="007C1479">
              <w:rPr>
                <w:spacing w:val="-3"/>
                <w:sz w:val="20"/>
              </w:rPr>
              <w:t xml:space="preserve"> </w:t>
            </w:r>
            <w:r w:rsidRPr="007C1479">
              <w:rPr>
                <w:sz w:val="20"/>
              </w:rPr>
              <w:t>of</w:t>
            </w:r>
            <w:r w:rsidRPr="007C1479">
              <w:rPr>
                <w:spacing w:val="-4"/>
                <w:sz w:val="20"/>
              </w:rPr>
              <w:t xml:space="preserve"> </w:t>
            </w:r>
            <w:r w:rsidRPr="007C1479">
              <w:rPr>
                <w:sz w:val="20"/>
              </w:rPr>
              <w:t>impartiality</w:t>
            </w:r>
            <w:r w:rsidRPr="007C1479">
              <w:rPr>
                <w:spacing w:val="-5"/>
                <w:sz w:val="20"/>
              </w:rPr>
              <w:t xml:space="preserve"> </w:t>
            </w:r>
            <w:r w:rsidRPr="007C1479">
              <w:rPr>
                <w:sz w:val="20"/>
              </w:rPr>
              <w:t>and</w:t>
            </w:r>
            <w:r w:rsidRPr="007C1479">
              <w:rPr>
                <w:spacing w:val="-3"/>
                <w:sz w:val="20"/>
              </w:rPr>
              <w:t xml:space="preserve"> </w:t>
            </w:r>
            <w:r w:rsidRPr="007C1479">
              <w:rPr>
                <w:sz w:val="20"/>
              </w:rPr>
              <w:t>rule of law.</w:t>
            </w:r>
          </w:p>
        </w:tc>
      </w:tr>
      <w:tr w:rsidR="004F1160" w:rsidRPr="007C1479" w:rsidTr="00E95A6A">
        <w:tc>
          <w:tcPr>
            <w:tcW w:w="5000" w:type="pct"/>
            <w:gridSpan w:val="4"/>
          </w:tcPr>
          <w:p w:rsidR="004F1160" w:rsidRPr="007C1479" w:rsidRDefault="004F1160" w:rsidP="004F1160">
            <w:pPr>
              <w:jc w:val="both"/>
              <w:rPr>
                <w:sz w:val="20"/>
              </w:rPr>
            </w:pPr>
          </w:p>
        </w:tc>
      </w:tr>
      <w:tr w:rsidR="004F1160" w:rsidRPr="007C1479" w:rsidTr="00E95A6A">
        <w:tc>
          <w:tcPr>
            <w:tcW w:w="5000" w:type="pct"/>
            <w:gridSpan w:val="4"/>
          </w:tcPr>
          <w:p w:rsidR="004F1160" w:rsidRPr="007C1479" w:rsidRDefault="004F1160" w:rsidP="004F1160">
            <w:pPr>
              <w:jc w:val="both"/>
              <w:rPr>
                <w:sz w:val="20"/>
              </w:rPr>
            </w:pPr>
            <w:r w:rsidRPr="007C1479">
              <w:rPr>
                <w:sz w:val="20"/>
              </w:rPr>
              <w:t xml:space="preserve">The applicant was hired as a faculty member of York University in 2000. The terms and conditions of his employment were determined by a collective agreement between the University and his union, the York University Faculty Association. Since 2003, the applicant has made a series of complaints against the University for unjust, unfair and harassing treatment in his employment and requested that the union act in his support. The Ontario Labour Relations Board dismissed all of his complaints. The applicant brought an action against the Crown, the Ontario Labour Relations Board and some of its individual members, alleging that the Board and its delegates, </w:t>
            </w:r>
            <w:r w:rsidRPr="007C1479">
              <w:rPr>
                <w:i/>
                <w:sz w:val="20"/>
              </w:rPr>
              <w:t>inter alia</w:t>
            </w:r>
            <w:r w:rsidRPr="007C1479">
              <w:rPr>
                <w:sz w:val="20"/>
              </w:rPr>
              <w:t>, acted unlawfully, arbitrarily, capriciously in harassing, humiliating and harming him. The respondents moved to have the action dismissed.</w:t>
            </w:r>
          </w:p>
          <w:p w:rsidR="004F1160" w:rsidRPr="007C1479" w:rsidRDefault="004F1160" w:rsidP="004F1160">
            <w:pPr>
              <w:jc w:val="both"/>
              <w:rPr>
                <w:sz w:val="20"/>
              </w:rPr>
            </w:pPr>
          </w:p>
        </w:tc>
      </w:tr>
      <w:tr w:rsidR="004F1160" w:rsidRPr="007C1479" w:rsidTr="00E95A6A">
        <w:tc>
          <w:tcPr>
            <w:tcW w:w="2427" w:type="pct"/>
            <w:gridSpan w:val="2"/>
          </w:tcPr>
          <w:p w:rsidR="004F1160" w:rsidRPr="007C1479" w:rsidRDefault="004F1160" w:rsidP="004F1160">
            <w:pPr>
              <w:jc w:val="both"/>
              <w:rPr>
                <w:sz w:val="20"/>
              </w:rPr>
            </w:pPr>
            <w:r w:rsidRPr="007C1479">
              <w:rPr>
                <w:sz w:val="20"/>
              </w:rPr>
              <w:t>June 24, 2013</w:t>
            </w:r>
          </w:p>
          <w:p w:rsidR="004F1160" w:rsidRPr="007C1479" w:rsidRDefault="004F1160" w:rsidP="004F1160">
            <w:pPr>
              <w:jc w:val="both"/>
              <w:rPr>
                <w:sz w:val="20"/>
              </w:rPr>
            </w:pPr>
            <w:r w:rsidRPr="007C1479">
              <w:rPr>
                <w:sz w:val="20"/>
              </w:rPr>
              <w:t>Ontario Superior Court of Justice</w:t>
            </w:r>
          </w:p>
          <w:p w:rsidR="004F1160" w:rsidRPr="007C1479" w:rsidRDefault="004F1160" w:rsidP="004F1160">
            <w:pPr>
              <w:jc w:val="both"/>
              <w:rPr>
                <w:sz w:val="20"/>
              </w:rPr>
            </w:pPr>
            <w:r w:rsidRPr="007C1479">
              <w:rPr>
                <w:sz w:val="20"/>
              </w:rPr>
              <w:t>(Corbett J.)</w:t>
            </w:r>
          </w:p>
          <w:p w:rsidR="004F1160" w:rsidRPr="007C1479" w:rsidRDefault="004F1160" w:rsidP="004F1160">
            <w:pPr>
              <w:ind w:left="90" w:hanging="90"/>
              <w:jc w:val="both"/>
              <w:rPr>
                <w:sz w:val="20"/>
              </w:rPr>
            </w:pPr>
            <w:r w:rsidRPr="007C1479">
              <w:rPr>
                <w:sz w:val="20"/>
              </w:rPr>
              <w:t>Unreported</w:t>
            </w:r>
          </w:p>
          <w:p w:rsidR="004F1160" w:rsidRPr="007C1479" w:rsidRDefault="004F1160" w:rsidP="004F1160">
            <w:pPr>
              <w:ind w:left="90" w:hanging="90"/>
              <w:jc w:val="both"/>
              <w:rPr>
                <w:sz w:val="20"/>
              </w:rPr>
            </w:pP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Respondents’ motion for dismissal of applicant’s action granted</w:t>
            </w:r>
          </w:p>
          <w:p w:rsidR="004F1160" w:rsidRPr="007C1479" w:rsidRDefault="004F1160" w:rsidP="004F1160">
            <w:pPr>
              <w:jc w:val="both"/>
              <w:rPr>
                <w:sz w:val="20"/>
              </w:rPr>
            </w:pPr>
          </w:p>
        </w:tc>
      </w:tr>
      <w:tr w:rsidR="004F1160" w:rsidRPr="007C1479" w:rsidTr="00E95A6A">
        <w:tc>
          <w:tcPr>
            <w:tcW w:w="2427" w:type="pct"/>
            <w:gridSpan w:val="2"/>
          </w:tcPr>
          <w:p w:rsidR="004F1160" w:rsidRPr="007C1479" w:rsidRDefault="004F1160" w:rsidP="004F1160">
            <w:pPr>
              <w:jc w:val="both"/>
              <w:rPr>
                <w:sz w:val="20"/>
              </w:rPr>
            </w:pPr>
            <w:r w:rsidRPr="007C1479">
              <w:rPr>
                <w:sz w:val="20"/>
              </w:rPr>
              <w:t>June 11, 2015</w:t>
            </w:r>
          </w:p>
          <w:p w:rsidR="004F1160" w:rsidRPr="007C1479" w:rsidRDefault="004F1160" w:rsidP="004F1160">
            <w:pPr>
              <w:jc w:val="both"/>
              <w:rPr>
                <w:sz w:val="20"/>
              </w:rPr>
            </w:pPr>
            <w:r w:rsidRPr="007C1479">
              <w:rPr>
                <w:sz w:val="20"/>
              </w:rPr>
              <w:t>Court of Appeal for Ontario</w:t>
            </w:r>
          </w:p>
          <w:p w:rsidR="004F1160" w:rsidRPr="007C1479" w:rsidRDefault="004F1160" w:rsidP="004F1160">
            <w:pPr>
              <w:jc w:val="both"/>
              <w:rPr>
                <w:sz w:val="20"/>
              </w:rPr>
            </w:pPr>
            <w:r w:rsidRPr="007C1479">
              <w:rPr>
                <w:sz w:val="20"/>
              </w:rPr>
              <w:t>(MacPherson, Epstein and Roberts JJ.A.)</w:t>
            </w:r>
          </w:p>
          <w:p w:rsidR="004F1160" w:rsidRPr="007C1479" w:rsidRDefault="00A2138C" w:rsidP="004F1160">
            <w:pPr>
              <w:jc w:val="both"/>
              <w:rPr>
                <w:sz w:val="20"/>
              </w:rPr>
            </w:pPr>
            <w:hyperlink r:id="rId18" w:history="1">
              <w:r w:rsidR="004F1160" w:rsidRPr="007C1479">
                <w:rPr>
                  <w:rStyle w:val="Hyperlink"/>
                  <w:sz w:val="20"/>
                </w:rPr>
                <w:t>2015 ONCA 43</w:t>
              </w:r>
            </w:hyperlink>
            <w:r w:rsidR="004F1160" w:rsidRPr="007C1479">
              <w:rPr>
                <w:rStyle w:val="Hyperlink"/>
                <w:sz w:val="20"/>
              </w:rPr>
              <w:t>8</w:t>
            </w:r>
          </w:p>
          <w:p w:rsidR="004F1160" w:rsidRPr="007C1479" w:rsidRDefault="004F1160" w:rsidP="004F1160">
            <w:pPr>
              <w:jc w:val="both"/>
              <w:rPr>
                <w:sz w:val="20"/>
              </w:rPr>
            </w:pP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Applicant’s appeal dismissed</w:t>
            </w:r>
          </w:p>
          <w:p w:rsidR="004F1160" w:rsidRPr="007C1479" w:rsidRDefault="004F1160" w:rsidP="004F1160">
            <w:pPr>
              <w:jc w:val="both"/>
              <w:rPr>
                <w:sz w:val="20"/>
              </w:rPr>
            </w:pPr>
          </w:p>
        </w:tc>
      </w:tr>
      <w:tr w:rsidR="004F1160" w:rsidRPr="007C1479" w:rsidTr="00E95A6A">
        <w:tc>
          <w:tcPr>
            <w:tcW w:w="2427" w:type="pct"/>
            <w:gridSpan w:val="2"/>
          </w:tcPr>
          <w:p w:rsidR="004F1160" w:rsidRPr="007C1479" w:rsidRDefault="004F1160" w:rsidP="004F1160">
            <w:pPr>
              <w:jc w:val="both"/>
              <w:rPr>
                <w:sz w:val="20"/>
              </w:rPr>
            </w:pPr>
            <w:r w:rsidRPr="007C1479">
              <w:rPr>
                <w:sz w:val="20"/>
              </w:rPr>
              <w:t>August 27, 2015</w:t>
            </w:r>
          </w:p>
          <w:p w:rsidR="004F1160" w:rsidRPr="007C1479" w:rsidRDefault="004F1160" w:rsidP="004F1160">
            <w:pPr>
              <w:jc w:val="both"/>
              <w:rPr>
                <w:sz w:val="20"/>
              </w:rPr>
            </w:pPr>
            <w:r w:rsidRPr="007C1479">
              <w:rPr>
                <w:sz w:val="20"/>
              </w:rPr>
              <w:t>Supreme Court of Canada</w:t>
            </w:r>
          </w:p>
        </w:tc>
        <w:tc>
          <w:tcPr>
            <w:tcW w:w="243" w:type="pct"/>
          </w:tcPr>
          <w:p w:rsidR="004F1160" w:rsidRPr="007C1479" w:rsidRDefault="004F1160" w:rsidP="004F1160">
            <w:pPr>
              <w:jc w:val="both"/>
              <w:rPr>
                <w:sz w:val="20"/>
              </w:rPr>
            </w:pPr>
          </w:p>
        </w:tc>
        <w:tc>
          <w:tcPr>
            <w:tcW w:w="2330" w:type="pct"/>
          </w:tcPr>
          <w:p w:rsidR="004F1160" w:rsidRPr="007C1479" w:rsidRDefault="004F1160" w:rsidP="004F1160">
            <w:pPr>
              <w:jc w:val="both"/>
              <w:rPr>
                <w:sz w:val="20"/>
              </w:rPr>
            </w:pPr>
            <w:r w:rsidRPr="007C1479">
              <w:rPr>
                <w:sz w:val="20"/>
              </w:rPr>
              <w:t>Application for leave to appeal filed</w:t>
            </w:r>
          </w:p>
          <w:p w:rsidR="004F1160" w:rsidRPr="007C1479" w:rsidRDefault="004F1160" w:rsidP="004F1160">
            <w:pPr>
              <w:jc w:val="both"/>
              <w:rPr>
                <w:sz w:val="20"/>
              </w:rPr>
            </w:pPr>
          </w:p>
        </w:tc>
      </w:tr>
    </w:tbl>
    <w:p w:rsidR="004F1160" w:rsidRDefault="004F1160" w:rsidP="004F1160">
      <w:pPr>
        <w:jc w:val="both"/>
        <w:rPr>
          <w:sz w:val="20"/>
        </w:rPr>
      </w:pPr>
    </w:p>
    <w:p w:rsidR="007C1479" w:rsidRPr="007C1479" w:rsidRDefault="007C1479" w:rsidP="004F116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F1160" w:rsidRPr="007C1479" w:rsidTr="00E95A6A">
        <w:tc>
          <w:tcPr>
            <w:tcW w:w="543" w:type="pct"/>
          </w:tcPr>
          <w:p w:rsidR="004F1160" w:rsidRPr="007C1479" w:rsidRDefault="004F1160" w:rsidP="004F1160">
            <w:pPr>
              <w:jc w:val="both"/>
              <w:rPr>
                <w:sz w:val="20"/>
                <w:lang w:val="fr-CA"/>
              </w:rPr>
            </w:pPr>
            <w:r w:rsidRPr="007C1479">
              <w:rPr>
                <w:rStyle w:val="SCCFileNumberChar"/>
                <w:sz w:val="20"/>
                <w:szCs w:val="20"/>
                <w:lang w:val="fr-CA"/>
              </w:rPr>
              <w:t>36576</w:t>
            </w:r>
          </w:p>
        </w:tc>
        <w:tc>
          <w:tcPr>
            <w:tcW w:w="4457" w:type="pct"/>
            <w:gridSpan w:val="3"/>
          </w:tcPr>
          <w:p w:rsidR="004F1160" w:rsidRPr="007C1479" w:rsidRDefault="004F1160" w:rsidP="004F1160">
            <w:pPr>
              <w:pStyle w:val="SCCLsocParty"/>
              <w:jc w:val="both"/>
              <w:rPr>
                <w:b/>
                <w:sz w:val="20"/>
                <w:szCs w:val="20"/>
              </w:rPr>
            </w:pPr>
            <w:r w:rsidRPr="007C1479">
              <w:rPr>
                <w:b/>
                <w:sz w:val="20"/>
                <w:szCs w:val="20"/>
              </w:rPr>
              <w:t>Peter A. Khaiter c. Sa Majesté la Reine du chef de l’Ontario, Kevin Whitaker, Kelly Waddingham, Christopher J. Albertyn, Diane L. Gee, Tim R. Parker, Voy T. Stelmaszynski et Leonard Marvy</w:t>
            </w:r>
          </w:p>
          <w:p w:rsidR="004F1160" w:rsidRPr="007C1479" w:rsidRDefault="004F1160" w:rsidP="004F1160">
            <w:pPr>
              <w:jc w:val="both"/>
              <w:rPr>
                <w:sz w:val="20"/>
                <w:lang w:val="fr-CA"/>
              </w:rPr>
            </w:pPr>
            <w:r w:rsidRPr="007C1479">
              <w:rPr>
                <w:sz w:val="20"/>
                <w:lang w:val="fr-CA"/>
              </w:rPr>
              <w:t>(Ont.) (Civile) (Sur autorisation)</w:t>
            </w:r>
          </w:p>
        </w:tc>
      </w:tr>
      <w:tr w:rsidR="004F1160" w:rsidRPr="00A2138C" w:rsidTr="00E95A6A">
        <w:tc>
          <w:tcPr>
            <w:tcW w:w="5000" w:type="pct"/>
            <w:gridSpan w:val="4"/>
          </w:tcPr>
          <w:p w:rsidR="004F1160" w:rsidRPr="007C1479" w:rsidRDefault="004F1160" w:rsidP="004F1160">
            <w:pPr>
              <w:jc w:val="both"/>
              <w:rPr>
                <w:sz w:val="20"/>
                <w:lang w:val="fr-CA"/>
              </w:rPr>
            </w:pPr>
            <w:r w:rsidRPr="007C1479">
              <w:rPr>
                <w:i/>
                <w:sz w:val="20"/>
                <w:lang w:val="fr-CA"/>
              </w:rPr>
              <w:t xml:space="preserve">Charte des droits </w:t>
            </w:r>
            <w:r w:rsidRPr="007C1479">
              <w:rPr>
                <w:sz w:val="20"/>
                <w:lang w:val="fr-CA"/>
              </w:rPr>
              <w:t xml:space="preserve">– Procès équitable – Relations du travail – Commission des relations du travail de l’Ontario – Le demandeur a intenté une action contre la Commission et ses délégués, alléguant notamment qu’ils auraient agi illégalement et arbitrairement, abusant de leur pouvoir et sans égard à l’application régulière de la loi en rejetant ses plaintes en matière d’emploi – Les principes fondamentaux qui sous-tendent et façonnent le modèle de la </w:t>
            </w:r>
            <w:r w:rsidRPr="007C1479">
              <w:rPr>
                <w:sz w:val="20"/>
                <w:lang w:val="fr-CA"/>
              </w:rPr>
              <w:lastRenderedPageBreak/>
              <w:t xml:space="preserve">« compétence exclusive » en droit du travail permettent-ils le règlement juste, équitable et rapide des différends du travail? – Ces principes fondamentaux sont-ils compatibles avec les objets du droit du travail et de la </w:t>
            </w:r>
            <w:r w:rsidRPr="007C1479">
              <w:rPr>
                <w:i/>
                <w:sz w:val="20"/>
                <w:lang w:val="fr-CA"/>
              </w:rPr>
              <w:t>Charte</w:t>
            </w:r>
            <w:r w:rsidRPr="007C1479">
              <w:rPr>
                <w:sz w:val="20"/>
                <w:lang w:val="fr-CA"/>
              </w:rPr>
              <w:t>? – Les tribunaux judiciaires de l’Ontario ont-ils tendance à mal interpréter ou à mal appliquer les notions juridiques dans le traitement de la catégorie des actions en responsabilité délictuelle intentées contre les décideurs qui siègent aux tribunaux administratifs quasi judiciaires? – Existe-t-il une tendance à répéter les dénis de justice fondamentale, les refus d’agir judiciairement, l’ignorance de la loi, les erreurs judiciaires, les manquements à l’impartialité et les atteintes à la primauté du droit?</w:t>
            </w:r>
          </w:p>
        </w:tc>
      </w:tr>
      <w:tr w:rsidR="004F1160" w:rsidRPr="00A2138C" w:rsidTr="00E95A6A">
        <w:tc>
          <w:tcPr>
            <w:tcW w:w="5000" w:type="pct"/>
            <w:gridSpan w:val="4"/>
          </w:tcPr>
          <w:p w:rsidR="004F1160" w:rsidRPr="007C1479" w:rsidRDefault="004F1160" w:rsidP="004F1160">
            <w:pPr>
              <w:jc w:val="both"/>
              <w:rPr>
                <w:sz w:val="20"/>
                <w:lang w:val="fr-CA"/>
              </w:rPr>
            </w:pPr>
          </w:p>
        </w:tc>
      </w:tr>
      <w:tr w:rsidR="004F1160" w:rsidRPr="00A2138C" w:rsidTr="00E95A6A">
        <w:tc>
          <w:tcPr>
            <w:tcW w:w="5000" w:type="pct"/>
            <w:gridSpan w:val="4"/>
          </w:tcPr>
          <w:p w:rsidR="004F1160" w:rsidRPr="007C1479" w:rsidRDefault="004F1160" w:rsidP="004F1160">
            <w:pPr>
              <w:jc w:val="both"/>
              <w:rPr>
                <w:sz w:val="20"/>
                <w:lang w:val="fr-CA"/>
              </w:rPr>
            </w:pPr>
            <w:r w:rsidRPr="007C1479">
              <w:rPr>
                <w:sz w:val="20"/>
                <w:lang w:val="fr-CA"/>
              </w:rPr>
              <w:t xml:space="preserve">Le demandeur a été embauché comme membre du personnel enseignant de l’Université York en 2000. Les conditions de son emploi étaient déterminées par une convention collective entre l’Université et son syndicat, l’York </w:t>
            </w:r>
            <w:proofErr w:type="spellStart"/>
            <w:r w:rsidRPr="007C1479">
              <w:rPr>
                <w:sz w:val="20"/>
                <w:lang w:val="fr-CA"/>
              </w:rPr>
              <w:t>University</w:t>
            </w:r>
            <w:proofErr w:type="spellEnd"/>
            <w:r w:rsidRPr="007C1479">
              <w:rPr>
                <w:sz w:val="20"/>
                <w:lang w:val="fr-CA"/>
              </w:rPr>
              <w:t xml:space="preserve"> </w:t>
            </w:r>
            <w:proofErr w:type="spellStart"/>
            <w:r w:rsidRPr="007C1479">
              <w:rPr>
                <w:sz w:val="20"/>
                <w:lang w:val="fr-CA"/>
              </w:rPr>
              <w:t>Faculty</w:t>
            </w:r>
            <w:proofErr w:type="spellEnd"/>
            <w:r w:rsidRPr="007C1479">
              <w:rPr>
                <w:sz w:val="20"/>
                <w:lang w:val="fr-CA"/>
              </w:rPr>
              <w:t xml:space="preserve"> Association. À partir de 2003, le demandeur a porté une série de plaintes contre l’Université pour traitement injuste, inéquitable et harcelant dans son emploi et il a demandé au syndicat de l’appuyer. La Commission des relations du travail de l’Ontario a rejeté toutes ses plaintes. Le demandeur a intenté une action contre Sa Majesté, la Commission des relations du travail de l’Ontario et certains de ses membres, alléguant notamment que la Commission et ses délégués avaient agi illégalement et arbitrairement en le harcelant, en l’humiliant et en lui causant préjudice. Par requête, les intimés ont demandé le rejet de l’action.</w:t>
            </w:r>
          </w:p>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24 juin 2013</w:t>
            </w:r>
          </w:p>
          <w:p w:rsidR="004F1160" w:rsidRPr="007C1479" w:rsidRDefault="004F1160" w:rsidP="004F1160">
            <w:pPr>
              <w:jc w:val="both"/>
              <w:rPr>
                <w:sz w:val="20"/>
                <w:lang w:val="fr-CA"/>
              </w:rPr>
            </w:pPr>
            <w:r w:rsidRPr="007C1479">
              <w:rPr>
                <w:sz w:val="20"/>
                <w:lang w:val="fr-CA"/>
              </w:rPr>
              <w:t>Cour supérieure de justice de l’Ontario</w:t>
            </w:r>
          </w:p>
          <w:p w:rsidR="004F1160" w:rsidRPr="007C1479" w:rsidRDefault="004F1160" w:rsidP="004F1160">
            <w:pPr>
              <w:jc w:val="both"/>
              <w:rPr>
                <w:sz w:val="20"/>
                <w:lang w:val="fr-CA"/>
              </w:rPr>
            </w:pPr>
            <w:r w:rsidRPr="007C1479">
              <w:rPr>
                <w:sz w:val="20"/>
                <w:lang w:val="fr-CA"/>
              </w:rPr>
              <w:t>(Juge Corbett)</w:t>
            </w:r>
          </w:p>
          <w:p w:rsidR="004F1160" w:rsidRPr="007C1479" w:rsidRDefault="004F1160" w:rsidP="004F1160">
            <w:pPr>
              <w:ind w:left="90" w:hanging="90"/>
              <w:jc w:val="both"/>
              <w:rPr>
                <w:sz w:val="20"/>
                <w:lang w:val="fr-CA"/>
              </w:rPr>
            </w:pPr>
            <w:r w:rsidRPr="007C1479">
              <w:rPr>
                <w:sz w:val="20"/>
                <w:lang w:val="fr-CA"/>
              </w:rPr>
              <w:t>Non publié</w:t>
            </w:r>
          </w:p>
          <w:p w:rsidR="004F1160" w:rsidRPr="007C1479" w:rsidRDefault="004F1160" w:rsidP="004F1160">
            <w:pPr>
              <w:ind w:left="90" w:hanging="90"/>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Rejet de l’action du demandeur, sur requête des intimés</w:t>
            </w:r>
          </w:p>
          <w:p w:rsidR="004F1160" w:rsidRPr="007C1479" w:rsidRDefault="004F1160" w:rsidP="004F1160">
            <w:pPr>
              <w:jc w:val="both"/>
              <w:rPr>
                <w:sz w:val="20"/>
                <w:lang w:val="fr-CA"/>
              </w:rPr>
            </w:pPr>
          </w:p>
        </w:tc>
      </w:tr>
      <w:tr w:rsidR="004F1160" w:rsidRPr="007C1479" w:rsidTr="00E95A6A">
        <w:tc>
          <w:tcPr>
            <w:tcW w:w="2427" w:type="pct"/>
            <w:gridSpan w:val="2"/>
          </w:tcPr>
          <w:p w:rsidR="004F1160" w:rsidRPr="007C1479" w:rsidRDefault="004F1160" w:rsidP="004F1160">
            <w:pPr>
              <w:jc w:val="both"/>
              <w:rPr>
                <w:sz w:val="20"/>
                <w:lang w:val="fr-CA"/>
              </w:rPr>
            </w:pPr>
            <w:r w:rsidRPr="007C1479">
              <w:rPr>
                <w:sz w:val="20"/>
                <w:lang w:val="fr-CA"/>
              </w:rPr>
              <w:t>11 juillet 2015</w:t>
            </w:r>
          </w:p>
          <w:p w:rsidR="004F1160" w:rsidRPr="007C1479" w:rsidRDefault="004F1160" w:rsidP="004F1160">
            <w:pPr>
              <w:jc w:val="both"/>
              <w:rPr>
                <w:sz w:val="20"/>
                <w:lang w:val="fr-CA"/>
              </w:rPr>
            </w:pPr>
            <w:r w:rsidRPr="007C1479">
              <w:rPr>
                <w:sz w:val="20"/>
                <w:lang w:val="fr-CA"/>
              </w:rPr>
              <w:t>Cour d’appel de l’Ontario</w:t>
            </w:r>
          </w:p>
          <w:p w:rsidR="004F1160" w:rsidRPr="007C1479" w:rsidRDefault="004F1160" w:rsidP="004F1160">
            <w:pPr>
              <w:jc w:val="both"/>
              <w:rPr>
                <w:sz w:val="20"/>
                <w:lang w:val="fr-CA"/>
              </w:rPr>
            </w:pPr>
            <w:r w:rsidRPr="007C1479">
              <w:rPr>
                <w:sz w:val="20"/>
                <w:lang w:val="fr-CA"/>
              </w:rPr>
              <w:t>(Juges MacPherson, Epstein et Roberts)</w:t>
            </w:r>
          </w:p>
          <w:p w:rsidR="004F1160" w:rsidRPr="007C1479" w:rsidRDefault="00A2138C" w:rsidP="004F1160">
            <w:pPr>
              <w:jc w:val="both"/>
              <w:rPr>
                <w:sz w:val="20"/>
                <w:lang w:val="fr-CA"/>
              </w:rPr>
            </w:pPr>
            <w:hyperlink r:id="rId19" w:history="1">
              <w:r w:rsidR="004F1160" w:rsidRPr="007C1479">
                <w:rPr>
                  <w:rStyle w:val="Hyperlink"/>
                  <w:sz w:val="20"/>
                  <w:lang w:val="fr-CA"/>
                </w:rPr>
                <w:t>2015 ONCA 43</w:t>
              </w:r>
            </w:hyperlink>
            <w:r w:rsidR="004F1160" w:rsidRPr="007C1479">
              <w:rPr>
                <w:rStyle w:val="Hyperlink"/>
                <w:sz w:val="20"/>
                <w:lang w:val="fr-CA"/>
              </w:rPr>
              <w:t>8</w:t>
            </w:r>
          </w:p>
          <w:p w:rsidR="004F1160" w:rsidRPr="007C1479" w:rsidRDefault="004F1160" w:rsidP="004F1160">
            <w:pPr>
              <w:jc w:val="both"/>
              <w:rPr>
                <w:sz w:val="20"/>
                <w:lang w:val="fr-CA"/>
              </w:rPr>
            </w:pP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Rejet de l’appel du demandeur</w:t>
            </w:r>
          </w:p>
          <w:p w:rsidR="004F1160" w:rsidRPr="007C1479" w:rsidRDefault="004F1160" w:rsidP="004F1160">
            <w:pPr>
              <w:jc w:val="both"/>
              <w:rPr>
                <w:sz w:val="20"/>
                <w:lang w:val="fr-CA"/>
              </w:rPr>
            </w:pPr>
          </w:p>
        </w:tc>
      </w:tr>
      <w:tr w:rsidR="004F1160" w:rsidRPr="00A2138C" w:rsidTr="00E95A6A">
        <w:tc>
          <w:tcPr>
            <w:tcW w:w="2427" w:type="pct"/>
            <w:gridSpan w:val="2"/>
          </w:tcPr>
          <w:p w:rsidR="004F1160" w:rsidRPr="007C1479" w:rsidRDefault="004F1160" w:rsidP="004F1160">
            <w:pPr>
              <w:jc w:val="both"/>
              <w:rPr>
                <w:sz w:val="20"/>
                <w:lang w:val="fr-CA"/>
              </w:rPr>
            </w:pPr>
            <w:r w:rsidRPr="007C1479">
              <w:rPr>
                <w:sz w:val="20"/>
                <w:lang w:val="fr-CA"/>
              </w:rPr>
              <w:t>27 août 2015</w:t>
            </w:r>
          </w:p>
          <w:p w:rsidR="004F1160" w:rsidRPr="007C1479" w:rsidRDefault="004F1160" w:rsidP="004F1160">
            <w:pPr>
              <w:jc w:val="both"/>
              <w:rPr>
                <w:sz w:val="20"/>
                <w:lang w:val="fr-CA"/>
              </w:rPr>
            </w:pPr>
            <w:r w:rsidRPr="007C1479">
              <w:rPr>
                <w:sz w:val="20"/>
                <w:lang w:val="fr-CA"/>
              </w:rPr>
              <w:t>Cour suprême du Canada</w:t>
            </w:r>
          </w:p>
        </w:tc>
        <w:tc>
          <w:tcPr>
            <w:tcW w:w="243" w:type="pct"/>
          </w:tcPr>
          <w:p w:rsidR="004F1160" w:rsidRPr="007C1479" w:rsidRDefault="004F1160" w:rsidP="004F1160">
            <w:pPr>
              <w:jc w:val="both"/>
              <w:rPr>
                <w:sz w:val="20"/>
                <w:lang w:val="fr-CA"/>
              </w:rPr>
            </w:pPr>
          </w:p>
        </w:tc>
        <w:tc>
          <w:tcPr>
            <w:tcW w:w="2330" w:type="pct"/>
          </w:tcPr>
          <w:p w:rsidR="004F1160" w:rsidRPr="007C1479" w:rsidRDefault="004F1160" w:rsidP="004F1160">
            <w:pPr>
              <w:jc w:val="both"/>
              <w:rPr>
                <w:sz w:val="20"/>
                <w:lang w:val="fr-CA"/>
              </w:rPr>
            </w:pPr>
            <w:r w:rsidRPr="007C1479">
              <w:rPr>
                <w:sz w:val="20"/>
                <w:lang w:val="fr-CA"/>
              </w:rPr>
              <w:t>Dépôt de la demande d’autorisation d’appel</w:t>
            </w:r>
          </w:p>
          <w:p w:rsidR="004F1160" w:rsidRPr="007C1479" w:rsidRDefault="004F1160" w:rsidP="004F1160">
            <w:pPr>
              <w:jc w:val="both"/>
              <w:rPr>
                <w:sz w:val="20"/>
                <w:lang w:val="fr-CA"/>
              </w:rPr>
            </w:pPr>
          </w:p>
        </w:tc>
      </w:tr>
    </w:tbl>
    <w:p w:rsidR="004F1160" w:rsidRPr="007C1479" w:rsidRDefault="004F1160" w:rsidP="004F1160">
      <w:pPr>
        <w:jc w:val="both"/>
        <w:rPr>
          <w:sz w:val="20"/>
          <w:lang w:val="fr-CA"/>
        </w:rPr>
      </w:pPr>
    </w:p>
    <w:p w:rsidR="004F1160" w:rsidRPr="007C1479" w:rsidRDefault="004F1160" w:rsidP="009550BB">
      <w:pPr>
        <w:ind w:left="360" w:hanging="360"/>
        <w:jc w:val="both"/>
        <w:rPr>
          <w:sz w:val="20"/>
          <w:lang w:val="fr-CA"/>
        </w:rPr>
      </w:pPr>
    </w:p>
    <w:p w:rsidR="004F1160" w:rsidRPr="004F1160" w:rsidRDefault="004F1160"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A2138C" w:rsidP="00D3344A">
      <w:pPr>
        <w:widowControl w:val="0"/>
        <w:outlineLvl w:val="0"/>
        <w:rPr>
          <w:u w:val="single"/>
        </w:rPr>
      </w:pPr>
      <w:hyperlink r:id="rId20"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26" w:rsidRDefault="005D3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5D3326" w:rsidRDefault="00D46172" w:rsidP="005D3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26" w:rsidRDefault="005D3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26" w:rsidRDefault="005D3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26" w:rsidRDefault="005D3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26" w:rsidRDefault="005D3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7"/>
  </w:num>
  <w:num w:numId="2">
    <w:abstractNumId w:val="5"/>
  </w:num>
  <w:num w:numId="3">
    <w:abstractNumId w:val="0"/>
  </w:num>
  <w:num w:numId="4">
    <w:abstractNumId w:val="26"/>
  </w:num>
  <w:num w:numId="5">
    <w:abstractNumId w:val="1"/>
  </w:num>
  <w:num w:numId="6">
    <w:abstractNumId w:val="3"/>
  </w:num>
  <w:num w:numId="7">
    <w:abstractNumId w:val="4"/>
  </w:num>
  <w:num w:numId="8">
    <w:abstractNumId w:val="29"/>
  </w:num>
  <w:num w:numId="9">
    <w:abstractNumId w:val="27"/>
  </w:num>
  <w:num w:numId="10">
    <w:abstractNumId w:val="16"/>
  </w:num>
  <w:num w:numId="11">
    <w:abstractNumId w:val="23"/>
  </w:num>
  <w:num w:numId="12">
    <w:abstractNumId w:val="14"/>
  </w:num>
  <w:num w:numId="13">
    <w:abstractNumId w:val="6"/>
  </w:num>
  <w:num w:numId="14">
    <w:abstractNumId w:val="10"/>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0CD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35D"/>
    <w:rsid w:val="00420841"/>
    <w:rsid w:val="00423732"/>
    <w:rsid w:val="00425B31"/>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1160"/>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326"/>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1479"/>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38C"/>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52D"/>
    <w:rsid w:val="00C34D9A"/>
    <w:rsid w:val="00C36C08"/>
    <w:rsid w:val="00C36CF8"/>
    <w:rsid w:val="00C36FF2"/>
    <w:rsid w:val="00C373FF"/>
    <w:rsid w:val="00C412AD"/>
    <w:rsid w:val="00C419F7"/>
    <w:rsid w:val="00C4313B"/>
    <w:rsid w:val="00C44537"/>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090" TargetMode="External"/><Relationship Id="rId13" Type="http://schemas.openxmlformats.org/officeDocument/2006/relationships/hyperlink" Target="http://www.canlii.org/en/bc/bcca/doc/2014/2014bcca297/2014bcca297.html" TargetMode="External"/><Relationship Id="rId18" Type="http://schemas.openxmlformats.org/officeDocument/2006/relationships/hyperlink" Target="http://canlii.ca/t/gk1q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nlii.org/en/bc/bcca/doc/2014/2014bcca297/2014bcca297.html" TargetMode="External"/><Relationship Id="rId17" Type="http://schemas.openxmlformats.org/officeDocument/2006/relationships/hyperlink" Target="http://www.canlii.org/en/bc/bcca/doc/2015/2015bcca188/2015bcca188.html?autocompleteStr=2015%20BCCA%20188&amp;autocompletePos=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anlii.org/en/bc/bcsc/doc/2014/2014bcsc926/2014bcsc926.html?resultIndex=1"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57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nlii.org/en/bc/bcca/doc/2015/2015bcca188/2015bcca188.html?autocompleteStr=2015%20BCCA%20188&amp;autocompletePos=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c-csc.ca/case-dossier/info/sum-som-eng.aspx?cas=36604" TargetMode="External"/><Relationship Id="rId19" Type="http://schemas.openxmlformats.org/officeDocument/2006/relationships/hyperlink" Target="http://canlii.ca/t/gk1q7" TargetMode="External"/><Relationship Id="rId4" Type="http://schemas.openxmlformats.org/officeDocument/2006/relationships/settings" Target="settings.xml"/><Relationship Id="rId9" Type="http://schemas.openxmlformats.org/officeDocument/2006/relationships/hyperlink" Target="http://www.scc-csc.ca/case-dossier/info/sum-som-eng.aspx?cas=36531" TargetMode="External"/><Relationship Id="rId14" Type="http://schemas.openxmlformats.org/officeDocument/2006/relationships/hyperlink" Target="http://www.canlii.org/en/bc/bcsc/doc/2014/2014bcsc926/2014bcsc926.html?resultIndex=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95040-B910-441E-AAD5-9F78C602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2015-11-23T15:19:00Z</dcterms:created>
  <dcterms:modified xsi:type="dcterms:W3CDTF">2015-11-26T20:15:00Z</dcterms:modified>
</cp:coreProperties>
</file>