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Cour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7B229B" w:rsidRDefault="00C007C3" w:rsidP="006F2579">
      <w:pPr>
        <w:widowControl w:val="0"/>
        <w:jc w:val="center"/>
        <w:rPr>
          <w:b/>
          <w:lang w:val="fr-CA"/>
        </w:rPr>
      </w:pPr>
      <w:r w:rsidRPr="001A5B79">
        <w:fldChar w:fldCharType="begin"/>
      </w:r>
      <w:r w:rsidR="006F2579" w:rsidRPr="007B229B">
        <w:rPr>
          <w:lang w:val="fr-CA"/>
        </w:rPr>
        <w:instrText xml:space="preserve"> SEQ CHAPTER \h \r 1</w:instrText>
      </w:r>
      <w:r w:rsidRPr="001A5B79">
        <w:fldChar w:fldCharType="end"/>
      </w:r>
      <w:r w:rsidR="002767DF" w:rsidRPr="007B229B">
        <w:rPr>
          <w:b/>
          <w:lang w:val="fr-CA"/>
        </w:rPr>
        <w:t xml:space="preserve">JUDGMENTS </w:t>
      </w:r>
      <w:r w:rsidR="004C4C26" w:rsidRPr="007B229B">
        <w:rPr>
          <w:b/>
          <w:lang w:val="fr-CA"/>
        </w:rPr>
        <w:t>IN LEAVE APPLICATION</w:t>
      </w:r>
      <w:r w:rsidR="00CC044F" w:rsidRPr="007B229B">
        <w:rPr>
          <w:b/>
          <w:lang w:val="fr-CA"/>
        </w:rPr>
        <w:t>S</w:t>
      </w:r>
    </w:p>
    <w:p w:rsidR="006F2579" w:rsidRPr="007B229B" w:rsidRDefault="006F2579" w:rsidP="006F2579">
      <w:pPr>
        <w:widowControl w:val="0"/>
        <w:rPr>
          <w:b/>
          <w:lang w:val="fr-CA"/>
        </w:rPr>
      </w:pPr>
    </w:p>
    <w:p w:rsidR="006F2579" w:rsidRPr="001A5B79" w:rsidRDefault="004E4B02" w:rsidP="006F2579">
      <w:pPr>
        <w:widowControl w:val="0"/>
        <w:rPr>
          <w:b/>
        </w:rPr>
      </w:pPr>
      <w:r>
        <w:rPr>
          <w:b/>
        </w:rPr>
        <w:t xml:space="preserve">January </w:t>
      </w:r>
      <w:r w:rsidR="00DC06E8">
        <w:rPr>
          <w:b/>
        </w:rPr>
        <w:t>2</w:t>
      </w:r>
      <w:r w:rsidR="00B908B6">
        <w:rPr>
          <w:b/>
        </w:rPr>
        <w:t>8</w:t>
      </w:r>
      <w:r w:rsidR="008825DB" w:rsidRPr="001A5B79">
        <w:rPr>
          <w:b/>
        </w:rPr>
        <w:t>, 201</w:t>
      </w:r>
      <w:r>
        <w:rPr>
          <w:b/>
        </w:rPr>
        <w:t>6</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8" w:history="1">
        <w:r w:rsidR="00F61AD7" w:rsidRPr="0069582F">
          <w:rPr>
            <w:rStyle w:val="Hyperlink"/>
            <w:szCs w:val="24"/>
          </w:rPr>
          <w:t>http://scc-csc.lexum.com/scc-csc/news/en/item/5155/index.do</w:t>
        </w:r>
      </w:hyperlink>
      <w:r w:rsidR="00DC06E8">
        <w:rPr>
          <w:szCs w:val="24"/>
        </w:rPr>
        <w:t>.</w:t>
      </w:r>
      <w:r w:rsidR="004C3B86">
        <w:rPr>
          <w:szCs w:val="24"/>
        </w:rPr>
        <w:t xml:space="preserve"> </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DC06E8">
        <w:rPr>
          <w:b/>
          <w:lang w:val="fr-CA"/>
        </w:rPr>
        <w:t>2</w:t>
      </w:r>
      <w:r w:rsidR="00B908B6">
        <w:rPr>
          <w:b/>
          <w:lang w:val="fr-CA"/>
        </w:rPr>
        <w:t>8</w:t>
      </w:r>
      <w:r w:rsidR="00C02C9D">
        <w:rPr>
          <w:b/>
          <w:lang w:val="fr-CA"/>
        </w:rPr>
        <w:t xml:space="preserve"> </w:t>
      </w:r>
      <w:r w:rsidR="004E4B02">
        <w:rPr>
          <w:b/>
          <w:lang w:val="fr-CA"/>
        </w:rPr>
        <w:t xml:space="preserve">janvier </w:t>
      </w:r>
      <w:r w:rsidR="008825DB" w:rsidRPr="001A5B79">
        <w:rPr>
          <w:b/>
          <w:lang w:val="fr-CA"/>
        </w:rPr>
        <w:t>201</w:t>
      </w:r>
      <w:r w:rsidR="004E4B02">
        <w:rPr>
          <w:b/>
          <w:lang w:val="fr-CA"/>
        </w:rPr>
        <w:t>6</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9" w:history="1">
        <w:r w:rsidR="00F61AD7" w:rsidRPr="0069582F">
          <w:rPr>
            <w:rStyle w:val="Hyperlink"/>
            <w:szCs w:val="24"/>
            <w:lang w:val="fr-CA"/>
          </w:rPr>
          <w:t>http://scc-csc.lexum.com/scc-csc/news/fr/item/5155/index.do</w:t>
        </w:r>
      </w:hyperlink>
      <w:r w:rsidR="004C3B86">
        <w:rPr>
          <w:szCs w:val="24"/>
          <w:lang w:val="fr-CA"/>
        </w:rPr>
        <w:t>.</w:t>
      </w:r>
      <w:r w:rsidR="00F61AD7">
        <w:rPr>
          <w:szCs w:val="24"/>
          <w:lang w:val="fr-CA"/>
        </w:rPr>
        <w:t xml:space="preserve"> </w:t>
      </w:r>
      <w:r w:rsidR="004C3B86">
        <w:rPr>
          <w:szCs w:val="24"/>
          <w:lang w:val="fr-CA"/>
        </w:rPr>
        <w:t xml:space="preserve"> </w:t>
      </w:r>
    </w:p>
    <w:p w:rsidR="00C037CA" w:rsidRDefault="00C037CA" w:rsidP="000B5274">
      <w:pPr>
        <w:jc w:val="both"/>
        <w:rPr>
          <w:b/>
          <w:lang w:val="fr-CA"/>
        </w:rPr>
      </w:pPr>
    </w:p>
    <w:p w:rsidR="007B229B" w:rsidRPr="004B2163" w:rsidRDefault="007B229B" w:rsidP="000B5274">
      <w:pPr>
        <w:jc w:val="both"/>
        <w:rPr>
          <w:b/>
          <w:lang w:val="fr-CA"/>
        </w:rPr>
      </w:pPr>
    </w:p>
    <w:p w:rsidR="00C037CA" w:rsidRDefault="00C037CA" w:rsidP="000B5274">
      <w:pPr>
        <w:jc w:val="both"/>
        <w:rPr>
          <w:b/>
        </w:rPr>
      </w:pPr>
      <w:r>
        <w:rPr>
          <w:b/>
        </w:rPr>
        <w:t>GRANTED / ACCORDÉES</w:t>
      </w:r>
    </w:p>
    <w:p w:rsidR="00C037CA" w:rsidRDefault="00C037CA" w:rsidP="000B5274">
      <w:pPr>
        <w:jc w:val="both"/>
        <w:rPr>
          <w:b/>
        </w:rPr>
      </w:pPr>
    </w:p>
    <w:p w:rsidR="00C037CA" w:rsidRDefault="00C037CA" w:rsidP="000B5274">
      <w:pPr>
        <w:jc w:val="both"/>
        <w:rPr>
          <w:b/>
        </w:rPr>
      </w:pPr>
      <w:r w:rsidRPr="00332E97">
        <w:rPr>
          <w:i/>
          <w:sz w:val="20"/>
          <w:lang w:val="en-CA" w:eastAsia="en-CA"/>
        </w:rPr>
        <w:t xml:space="preserve">Brendan Paterson v. Her Majesty the Queen </w:t>
      </w:r>
      <w:r w:rsidRPr="00332E97">
        <w:rPr>
          <w:sz w:val="20"/>
          <w:lang w:val="en-CA" w:eastAsia="en-CA"/>
        </w:rPr>
        <w:t>(B.C.) (Criminal) (By Leave) (</w:t>
      </w:r>
      <w:hyperlink r:id="rId10" w:history="1">
        <w:r w:rsidRPr="00332E97">
          <w:rPr>
            <w:rStyle w:val="Hyperlink"/>
            <w:sz w:val="20"/>
            <w:lang w:val="en-CA" w:eastAsia="en-CA"/>
          </w:rPr>
          <w:t>36472</w:t>
        </w:r>
      </w:hyperlink>
      <w:r w:rsidRPr="00332E97">
        <w:rPr>
          <w:sz w:val="20"/>
          <w:lang w:val="en-CA" w:eastAsia="en-CA"/>
        </w:rPr>
        <w:t>)</w:t>
      </w:r>
    </w:p>
    <w:p w:rsidR="00C037CA" w:rsidRPr="007B229B" w:rsidRDefault="00850BE7" w:rsidP="00C037CA">
      <w:pPr>
        <w:jc w:val="both"/>
        <w:rPr>
          <w:sz w:val="20"/>
          <w:lang w:val="fr-CA"/>
        </w:rPr>
      </w:pPr>
      <w:r>
        <w:rPr>
          <w:sz w:val="20"/>
        </w:rPr>
        <w:t>(</w:t>
      </w:r>
      <w:r w:rsidR="00C037CA" w:rsidRPr="00C037CA">
        <w:rPr>
          <w:sz w:val="20"/>
        </w:rPr>
        <w:t xml:space="preserve">The motion for an extension of time to serve and file the application for leave to appeal is granted.  </w:t>
      </w:r>
      <w:r w:rsidR="00C037CA" w:rsidRPr="007B229B">
        <w:rPr>
          <w:sz w:val="20"/>
          <w:lang w:val="fr-CA"/>
        </w:rPr>
        <w:t xml:space="preserve">The application for </w:t>
      </w:r>
      <w:proofErr w:type="spellStart"/>
      <w:r w:rsidR="00C037CA" w:rsidRPr="007B229B">
        <w:rPr>
          <w:sz w:val="20"/>
          <w:lang w:val="fr-CA"/>
        </w:rPr>
        <w:t>leave</w:t>
      </w:r>
      <w:proofErr w:type="spellEnd"/>
      <w:r w:rsidR="00C037CA" w:rsidRPr="007B229B">
        <w:rPr>
          <w:sz w:val="20"/>
          <w:lang w:val="fr-CA"/>
        </w:rPr>
        <w:t xml:space="preserve"> to </w:t>
      </w:r>
      <w:proofErr w:type="spellStart"/>
      <w:r w:rsidR="00C037CA" w:rsidRPr="007B229B">
        <w:rPr>
          <w:sz w:val="20"/>
          <w:lang w:val="fr-CA"/>
        </w:rPr>
        <w:t>appeal</w:t>
      </w:r>
      <w:proofErr w:type="spellEnd"/>
      <w:r w:rsidR="00C037CA" w:rsidRPr="007B229B">
        <w:rPr>
          <w:sz w:val="20"/>
          <w:lang w:val="fr-CA"/>
        </w:rPr>
        <w:t xml:space="preserve"> </w:t>
      </w:r>
      <w:proofErr w:type="spellStart"/>
      <w:r w:rsidR="00C037CA" w:rsidRPr="007B229B">
        <w:rPr>
          <w:sz w:val="20"/>
          <w:lang w:val="fr-CA"/>
        </w:rPr>
        <w:t>is</w:t>
      </w:r>
      <w:proofErr w:type="spellEnd"/>
      <w:r w:rsidR="00C037CA" w:rsidRPr="007B229B">
        <w:rPr>
          <w:sz w:val="20"/>
          <w:lang w:val="fr-CA"/>
        </w:rPr>
        <w:t xml:space="preserve"> </w:t>
      </w:r>
      <w:proofErr w:type="spellStart"/>
      <w:r w:rsidR="00C037CA" w:rsidRPr="007B229B">
        <w:rPr>
          <w:sz w:val="20"/>
          <w:lang w:val="fr-CA"/>
        </w:rPr>
        <w:t>granted</w:t>
      </w:r>
      <w:proofErr w:type="spellEnd"/>
      <w:r w:rsidR="00C037CA" w:rsidRPr="007B229B">
        <w:rPr>
          <w:sz w:val="20"/>
          <w:lang w:val="fr-CA"/>
        </w:rPr>
        <w:t>.</w:t>
      </w:r>
      <w:r w:rsidRPr="007B229B">
        <w:rPr>
          <w:sz w:val="20"/>
          <w:lang w:val="fr-CA"/>
        </w:rPr>
        <w:t xml:space="preserve"> /</w:t>
      </w:r>
    </w:p>
    <w:p w:rsidR="00850BE7" w:rsidRPr="00850BE7" w:rsidRDefault="00850BE7" w:rsidP="00C037CA">
      <w:pPr>
        <w:jc w:val="both"/>
        <w:rPr>
          <w:sz w:val="20"/>
          <w:lang w:val="fr-CA"/>
        </w:rPr>
      </w:pPr>
      <w:r w:rsidRPr="00850BE7">
        <w:rPr>
          <w:sz w:val="20"/>
          <w:lang w:val="fr-CA"/>
        </w:rPr>
        <w:t>La requête en prorogation du délai de signification et de dépôt de la demande d’autorisation d’appel est accueillie. La demande d’autorisation d’appel est accueillie.</w:t>
      </w:r>
      <w:r>
        <w:rPr>
          <w:sz w:val="20"/>
          <w:lang w:val="fr-CA"/>
        </w:rPr>
        <w:t>)</w:t>
      </w:r>
    </w:p>
    <w:p w:rsidR="00C037CA" w:rsidRPr="007B229B" w:rsidRDefault="00C037CA" w:rsidP="00C037CA">
      <w:pPr>
        <w:jc w:val="both"/>
        <w:rPr>
          <w:sz w:val="20"/>
          <w:lang w:val="fr-CA"/>
        </w:rPr>
      </w:pPr>
      <w:r w:rsidRPr="007B229B">
        <w:rPr>
          <w:sz w:val="20"/>
          <w:lang w:val="fr-CA"/>
        </w:rPr>
        <w:t>Coram: McLachlin / Moldaver / Gascon</w:t>
      </w:r>
    </w:p>
    <w:p w:rsidR="00850BE7" w:rsidRPr="007B229B" w:rsidRDefault="00850BE7" w:rsidP="00850BE7">
      <w:pPr>
        <w:jc w:val="both"/>
        <w:rPr>
          <w:iCs/>
          <w:sz w:val="20"/>
          <w:lang w:val="fr-CA"/>
        </w:rPr>
      </w:pPr>
    </w:p>
    <w:p w:rsidR="00850BE7" w:rsidRPr="007B229B" w:rsidRDefault="00850BE7" w:rsidP="00850BE7">
      <w:pPr>
        <w:jc w:val="both"/>
        <w:rPr>
          <w:sz w:val="20"/>
          <w:lang w:val="fr-CA"/>
        </w:rPr>
      </w:pPr>
      <w:r w:rsidRPr="007B229B">
        <w:rPr>
          <w:sz w:val="20"/>
          <w:lang w:val="fr-CA"/>
        </w:rPr>
        <w:t>****</w:t>
      </w:r>
    </w:p>
    <w:p w:rsidR="00850BE7" w:rsidRPr="007B229B" w:rsidRDefault="00850BE7" w:rsidP="00850BE7">
      <w:pPr>
        <w:jc w:val="both"/>
        <w:rPr>
          <w:i/>
          <w:sz w:val="20"/>
          <w:lang w:val="fr-CA"/>
        </w:rPr>
      </w:pPr>
    </w:p>
    <w:p w:rsidR="00850BE7" w:rsidRDefault="00850BE7" w:rsidP="000B5274">
      <w:pPr>
        <w:jc w:val="both"/>
        <w:rPr>
          <w:b/>
        </w:rPr>
      </w:pPr>
      <w:r w:rsidRPr="00332E97">
        <w:rPr>
          <w:i/>
          <w:sz w:val="20"/>
          <w:lang w:val="en-CA"/>
        </w:rPr>
        <w:t xml:space="preserve">Carson Bingley v. Her Majesty the Queen </w:t>
      </w:r>
      <w:r w:rsidRPr="00332E97">
        <w:rPr>
          <w:sz w:val="20"/>
          <w:lang w:val="en-CA"/>
        </w:rPr>
        <w:t>(Ont.) (Criminal) (By Leave) (</w:t>
      </w:r>
      <w:hyperlink r:id="rId11" w:history="1">
        <w:r w:rsidRPr="00332E97">
          <w:rPr>
            <w:rStyle w:val="Hyperlink"/>
            <w:sz w:val="20"/>
            <w:lang w:val="en-CA"/>
          </w:rPr>
          <w:t>36610</w:t>
        </w:r>
      </w:hyperlink>
      <w:r w:rsidRPr="00332E97">
        <w:rPr>
          <w:sz w:val="20"/>
          <w:lang w:val="en-CA"/>
        </w:rPr>
        <w:t>)</w:t>
      </w:r>
    </w:p>
    <w:p w:rsidR="00850BE7" w:rsidRPr="00C037CA" w:rsidRDefault="00850BE7" w:rsidP="00850BE7">
      <w:pPr>
        <w:jc w:val="both"/>
        <w:rPr>
          <w:sz w:val="20"/>
        </w:rPr>
      </w:pPr>
      <w:r w:rsidRPr="00C037CA">
        <w:rPr>
          <w:sz w:val="20"/>
        </w:rPr>
        <w:t xml:space="preserve">Coram: </w:t>
      </w:r>
      <w:r>
        <w:rPr>
          <w:sz w:val="20"/>
        </w:rPr>
        <w:t xml:space="preserve">McLachlin / Moldaver / </w:t>
      </w:r>
      <w:proofErr w:type="spellStart"/>
      <w:r>
        <w:rPr>
          <w:sz w:val="20"/>
        </w:rPr>
        <w:t>Gascon</w:t>
      </w:r>
      <w:proofErr w:type="spellEnd"/>
    </w:p>
    <w:p w:rsidR="00850BE7" w:rsidRPr="003E4FA3" w:rsidRDefault="00850BE7" w:rsidP="00850BE7">
      <w:pPr>
        <w:jc w:val="both"/>
        <w:rPr>
          <w:iCs/>
          <w:sz w:val="20"/>
        </w:rPr>
      </w:pPr>
    </w:p>
    <w:p w:rsidR="00850BE7" w:rsidRPr="007B229B" w:rsidRDefault="00850BE7" w:rsidP="00850BE7">
      <w:pPr>
        <w:jc w:val="both"/>
        <w:rPr>
          <w:sz w:val="20"/>
        </w:rPr>
      </w:pPr>
      <w:r w:rsidRPr="007B229B">
        <w:rPr>
          <w:sz w:val="20"/>
        </w:rPr>
        <w:t>****</w:t>
      </w:r>
    </w:p>
    <w:p w:rsidR="00850BE7" w:rsidRPr="007B229B" w:rsidRDefault="00850BE7" w:rsidP="00850BE7">
      <w:pPr>
        <w:jc w:val="both"/>
        <w:rPr>
          <w:i/>
          <w:sz w:val="20"/>
        </w:rPr>
      </w:pPr>
    </w:p>
    <w:p w:rsidR="00850BE7" w:rsidRPr="007B229B" w:rsidRDefault="00850BE7" w:rsidP="000B5274">
      <w:pPr>
        <w:jc w:val="both"/>
        <w:rPr>
          <w:b/>
        </w:rPr>
      </w:pPr>
      <w:r w:rsidRPr="007B229B">
        <w:rPr>
          <w:b/>
        </w:rPr>
        <w:t>DISMISSED / REJETÉES</w:t>
      </w:r>
    </w:p>
    <w:p w:rsidR="00850BE7" w:rsidRPr="007B229B" w:rsidRDefault="00850BE7" w:rsidP="000B5274">
      <w:pPr>
        <w:jc w:val="both"/>
        <w:rPr>
          <w:b/>
        </w:rPr>
      </w:pPr>
    </w:p>
    <w:p w:rsidR="00850BE7" w:rsidRPr="00850BE7" w:rsidRDefault="00850BE7" w:rsidP="00850BE7">
      <w:pPr>
        <w:jc w:val="both"/>
        <w:rPr>
          <w:rFonts w:eastAsia="Calibri"/>
          <w:sz w:val="20"/>
          <w:lang w:val="en-CA"/>
        </w:rPr>
      </w:pPr>
      <w:r w:rsidRPr="00850BE7">
        <w:rPr>
          <w:rFonts w:eastAsia="Calibri"/>
          <w:bCs/>
          <w:i/>
          <w:iCs/>
          <w:sz w:val="20"/>
          <w:lang w:val="en-CA"/>
        </w:rPr>
        <w:t>Daniel Marshall v. Her Majesty the Queen</w:t>
      </w:r>
      <w:r w:rsidRPr="00850BE7">
        <w:rPr>
          <w:rFonts w:eastAsia="Calibri"/>
          <w:sz w:val="20"/>
          <w:lang w:val="en-CA"/>
        </w:rPr>
        <w:t xml:space="preserve"> (Ont.) (Criminal) (By Leave) (</w:t>
      </w:r>
      <w:hyperlink r:id="rId12" w:history="1">
        <w:r w:rsidRPr="00850BE7">
          <w:rPr>
            <w:rStyle w:val="Hyperlink"/>
            <w:rFonts w:eastAsia="Calibri"/>
            <w:sz w:val="20"/>
            <w:lang w:val="en-CA"/>
          </w:rPr>
          <w:t>36587</w:t>
        </w:r>
      </w:hyperlink>
      <w:r w:rsidRPr="00850BE7">
        <w:rPr>
          <w:rFonts w:eastAsia="Calibri"/>
          <w:sz w:val="20"/>
          <w:lang w:val="en-CA"/>
        </w:rPr>
        <w:t>)</w:t>
      </w:r>
    </w:p>
    <w:p w:rsidR="00850BE7" w:rsidRPr="007B229B" w:rsidRDefault="00850BE7" w:rsidP="000B5274">
      <w:pPr>
        <w:jc w:val="both"/>
        <w:rPr>
          <w:sz w:val="20"/>
          <w:lang w:val="fr-CA"/>
        </w:rPr>
      </w:pPr>
      <w:r w:rsidRPr="00850BE7">
        <w:rPr>
          <w:sz w:val="20"/>
        </w:rPr>
        <w:t xml:space="preserve">(The motion for an extension of time to serve and file the response to the application for leave to appeal is granted. </w:t>
      </w:r>
      <w:r w:rsidRPr="007B229B">
        <w:rPr>
          <w:sz w:val="20"/>
          <w:lang w:val="fr-CA"/>
        </w:rPr>
        <w:t xml:space="preserve">The application for </w:t>
      </w:r>
      <w:proofErr w:type="spellStart"/>
      <w:r w:rsidRPr="007B229B">
        <w:rPr>
          <w:sz w:val="20"/>
          <w:lang w:val="fr-CA"/>
        </w:rPr>
        <w:t>leave</w:t>
      </w:r>
      <w:proofErr w:type="spellEnd"/>
      <w:r w:rsidRPr="007B229B">
        <w:rPr>
          <w:sz w:val="20"/>
          <w:lang w:val="fr-CA"/>
        </w:rPr>
        <w:t xml:space="preserve"> to </w:t>
      </w:r>
      <w:proofErr w:type="spellStart"/>
      <w:r w:rsidRPr="007B229B">
        <w:rPr>
          <w:sz w:val="20"/>
          <w:lang w:val="fr-CA"/>
        </w:rPr>
        <w:t>appeal</w:t>
      </w:r>
      <w:proofErr w:type="spellEnd"/>
      <w:r w:rsidRPr="007B229B">
        <w:rPr>
          <w:sz w:val="20"/>
          <w:lang w:val="fr-CA"/>
        </w:rPr>
        <w:t xml:space="preserve"> </w:t>
      </w:r>
      <w:proofErr w:type="spellStart"/>
      <w:r w:rsidRPr="007B229B">
        <w:rPr>
          <w:sz w:val="20"/>
          <w:lang w:val="fr-CA"/>
        </w:rPr>
        <w:t>is</w:t>
      </w:r>
      <w:proofErr w:type="spellEnd"/>
      <w:r w:rsidRPr="007B229B">
        <w:rPr>
          <w:sz w:val="20"/>
          <w:lang w:val="fr-CA"/>
        </w:rPr>
        <w:t xml:space="preserve"> </w:t>
      </w:r>
      <w:proofErr w:type="spellStart"/>
      <w:r w:rsidRPr="007B229B">
        <w:rPr>
          <w:sz w:val="20"/>
          <w:lang w:val="fr-CA"/>
        </w:rPr>
        <w:t>dismissed</w:t>
      </w:r>
      <w:proofErr w:type="spellEnd"/>
      <w:r w:rsidRPr="007B229B">
        <w:rPr>
          <w:sz w:val="20"/>
          <w:lang w:val="fr-CA"/>
        </w:rPr>
        <w:t>. /</w:t>
      </w:r>
    </w:p>
    <w:p w:rsidR="00850BE7" w:rsidRPr="00850BE7" w:rsidRDefault="00850BE7" w:rsidP="000B5274">
      <w:pPr>
        <w:jc w:val="both"/>
        <w:rPr>
          <w:sz w:val="20"/>
          <w:lang w:val="fr-CA"/>
        </w:rPr>
      </w:pPr>
      <w:r w:rsidRPr="00850BE7">
        <w:rPr>
          <w:sz w:val="20"/>
          <w:lang w:val="fr-CA"/>
        </w:rPr>
        <w:t>La requête en prorogation du délai de signification et de dépôt de la réponse à la demande d’autorisation d’appel est accueillie. La demande d’autorisation d’appel est rejetée.)</w:t>
      </w:r>
    </w:p>
    <w:p w:rsidR="00850BE7" w:rsidRPr="00850BE7" w:rsidRDefault="00850BE7" w:rsidP="00850BE7">
      <w:pPr>
        <w:jc w:val="both"/>
        <w:rPr>
          <w:b/>
          <w:lang w:val="fr-CA"/>
        </w:rPr>
      </w:pPr>
      <w:r>
        <w:rPr>
          <w:rFonts w:eastAsia="Calibri"/>
          <w:sz w:val="20"/>
          <w:lang w:val="fr-CA"/>
        </w:rPr>
        <w:lastRenderedPageBreak/>
        <w:t>Coram : Abella / Karakatsanis / Brown</w:t>
      </w:r>
    </w:p>
    <w:p w:rsidR="00850BE7" w:rsidRPr="00850BE7" w:rsidRDefault="00850BE7" w:rsidP="00850BE7">
      <w:pPr>
        <w:jc w:val="both"/>
        <w:rPr>
          <w:iCs/>
          <w:sz w:val="20"/>
          <w:lang w:val="fr-CA"/>
        </w:rPr>
      </w:pPr>
    </w:p>
    <w:p w:rsidR="00850BE7" w:rsidRPr="00850BE7" w:rsidRDefault="00850BE7" w:rsidP="00850BE7">
      <w:pPr>
        <w:jc w:val="both"/>
        <w:rPr>
          <w:sz w:val="20"/>
          <w:lang w:val="fr-CA"/>
        </w:rPr>
      </w:pPr>
      <w:r w:rsidRPr="00850BE7">
        <w:rPr>
          <w:sz w:val="20"/>
          <w:lang w:val="fr-CA"/>
        </w:rPr>
        <w:t>****</w:t>
      </w:r>
    </w:p>
    <w:p w:rsidR="00850BE7" w:rsidRPr="00850BE7" w:rsidRDefault="00850BE7" w:rsidP="00850BE7">
      <w:pPr>
        <w:jc w:val="both"/>
        <w:rPr>
          <w:i/>
          <w:sz w:val="20"/>
          <w:lang w:val="fr-CA"/>
        </w:rPr>
      </w:pPr>
    </w:p>
    <w:p w:rsidR="00850BE7" w:rsidRDefault="00850BE7" w:rsidP="000B5274">
      <w:pPr>
        <w:jc w:val="both"/>
        <w:rPr>
          <w:rFonts w:eastAsia="Calibri"/>
          <w:sz w:val="20"/>
          <w:lang w:val="fr-CA"/>
        </w:rPr>
      </w:pPr>
      <w:proofErr w:type="spellStart"/>
      <w:r w:rsidRPr="00332E97">
        <w:rPr>
          <w:rFonts w:eastAsia="Calibri"/>
          <w:bCs/>
          <w:i/>
          <w:iCs/>
          <w:sz w:val="20"/>
          <w:lang w:val="fr-CA"/>
        </w:rPr>
        <w:t>Nidal</w:t>
      </w:r>
      <w:proofErr w:type="spellEnd"/>
      <w:r w:rsidRPr="00332E97">
        <w:rPr>
          <w:rFonts w:eastAsia="Calibri"/>
          <w:bCs/>
          <w:i/>
          <w:iCs/>
          <w:sz w:val="20"/>
          <w:lang w:val="fr-CA"/>
        </w:rPr>
        <w:t xml:space="preserve"> Joad c. Les Portes et Châssis Eddy Boulet </w:t>
      </w:r>
      <w:proofErr w:type="spellStart"/>
      <w:r w:rsidRPr="00332E97">
        <w:rPr>
          <w:rFonts w:eastAsia="Calibri"/>
          <w:bCs/>
          <w:i/>
          <w:iCs/>
          <w:sz w:val="20"/>
          <w:lang w:val="fr-CA"/>
        </w:rPr>
        <w:t>inc.</w:t>
      </w:r>
      <w:proofErr w:type="spellEnd"/>
      <w:r w:rsidRPr="00332E97">
        <w:rPr>
          <w:rFonts w:eastAsia="Calibri"/>
          <w:sz w:val="20"/>
          <w:lang w:val="fr-CA"/>
        </w:rPr>
        <w:t xml:space="preserve"> (</w:t>
      </w:r>
      <w:proofErr w:type="spellStart"/>
      <w:r w:rsidRPr="00332E97">
        <w:rPr>
          <w:rFonts w:eastAsia="Calibri"/>
          <w:sz w:val="20"/>
          <w:lang w:val="fr-CA"/>
        </w:rPr>
        <w:t>Qc</w:t>
      </w:r>
      <w:proofErr w:type="spellEnd"/>
      <w:r w:rsidRPr="00332E97">
        <w:rPr>
          <w:rFonts w:eastAsia="Calibri"/>
          <w:sz w:val="20"/>
          <w:lang w:val="fr-CA"/>
        </w:rPr>
        <w:t>) (Civile) (Autorisation) (</w:t>
      </w:r>
      <w:hyperlink r:id="rId13" w:history="1">
        <w:r w:rsidRPr="00332E97">
          <w:rPr>
            <w:rStyle w:val="Hyperlink"/>
            <w:rFonts w:eastAsia="Calibri"/>
            <w:sz w:val="20"/>
            <w:lang w:val="fr-CA"/>
          </w:rPr>
          <w:t>36513</w:t>
        </w:r>
      </w:hyperlink>
      <w:r w:rsidRPr="00332E97">
        <w:rPr>
          <w:rFonts w:eastAsia="Calibri"/>
          <w:sz w:val="20"/>
          <w:lang w:val="fr-CA"/>
        </w:rPr>
        <w:t>)</w:t>
      </w:r>
    </w:p>
    <w:p w:rsidR="00850BE7" w:rsidRPr="00850BE7" w:rsidRDefault="00850BE7" w:rsidP="000B5274">
      <w:pPr>
        <w:jc w:val="both"/>
        <w:rPr>
          <w:b/>
          <w:lang w:val="fr-CA"/>
        </w:rPr>
      </w:pPr>
      <w:r>
        <w:rPr>
          <w:rFonts w:eastAsia="Calibri"/>
          <w:sz w:val="20"/>
          <w:lang w:val="fr-CA"/>
        </w:rPr>
        <w:t>Coram : Abella / Karakatsanis / Brown</w:t>
      </w:r>
    </w:p>
    <w:p w:rsidR="00850BE7" w:rsidRPr="007B229B" w:rsidRDefault="00850BE7" w:rsidP="00850BE7">
      <w:pPr>
        <w:jc w:val="both"/>
        <w:rPr>
          <w:iCs/>
          <w:sz w:val="20"/>
          <w:lang w:val="fr-CA"/>
        </w:rPr>
      </w:pPr>
    </w:p>
    <w:p w:rsidR="00850BE7" w:rsidRPr="00850BE7" w:rsidRDefault="00850BE7" w:rsidP="00850BE7">
      <w:pPr>
        <w:jc w:val="both"/>
        <w:rPr>
          <w:sz w:val="20"/>
          <w:lang w:val="fr-CA"/>
        </w:rPr>
      </w:pPr>
      <w:r w:rsidRPr="00850BE7">
        <w:rPr>
          <w:sz w:val="20"/>
          <w:lang w:val="fr-CA"/>
        </w:rPr>
        <w:t>****</w:t>
      </w:r>
    </w:p>
    <w:p w:rsidR="00850BE7" w:rsidRPr="00850BE7" w:rsidRDefault="00850BE7" w:rsidP="00850BE7">
      <w:pPr>
        <w:jc w:val="both"/>
        <w:rPr>
          <w:i/>
          <w:sz w:val="20"/>
          <w:lang w:val="fr-CA"/>
        </w:rPr>
      </w:pPr>
    </w:p>
    <w:p w:rsidR="00850BE7" w:rsidRDefault="00850BE7" w:rsidP="000B5274">
      <w:pPr>
        <w:jc w:val="both"/>
        <w:rPr>
          <w:rFonts w:eastAsia="Calibri"/>
          <w:sz w:val="20"/>
          <w:lang w:val="fr-CA"/>
        </w:rPr>
      </w:pPr>
      <w:r w:rsidRPr="00332E97">
        <w:rPr>
          <w:rFonts w:eastAsia="Calibri"/>
          <w:bCs/>
          <w:i/>
          <w:iCs/>
          <w:sz w:val="20"/>
          <w:lang w:val="fr-CA"/>
        </w:rPr>
        <w:t xml:space="preserve">Marie-France Cordeau c. Portes et Châssis Eddy Boulet </w:t>
      </w:r>
      <w:proofErr w:type="spellStart"/>
      <w:r w:rsidRPr="00332E97">
        <w:rPr>
          <w:rFonts w:eastAsia="Calibri"/>
          <w:bCs/>
          <w:i/>
          <w:iCs/>
          <w:sz w:val="20"/>
          <w:lang w:val="fr-CA"/>
        </w:rPr>
        <w:t>inc.</w:t>
      </w:r>
      <w:proofErr w:type="spellEnd"/>
      <w:r w:rsidRPr="00332E97">
        <w:rPr>
          <w:rFonts w:eastAsia="Calibri"/>
          <w:sz w:val="20"/>
          <w:lang w:val="fr-CA"/>
        </w:rPr>
        <w:t xml:space="preserve"> (</w:t>
      </w:r>
      <w:proofErr w:type="spellStart"/>
      <w:r w:rsidRPr="00332E97">
        <w:rPr>
          <w:rFonts w:eastAsia="Calibri"/>
          <w:sz w:val="20"/>
          <w:lang w:val="fr-CA"/>
        </w:rPr>
        <w:t>Qc</w:t>
      </w:r>
      <w:proofErr w:type="spellEnd"/>
      <w:r w:rsidRPr="00332E97">
        <w:rPr>
          <w:rFonts w:eastAsia="Calibri"/>
          <w:sz w:val="20"/>
          <w:lang w:val="fr-CA"/>
        </w:rPr>
        <w:t>) (Civile) (Autorisation) (</w:t>
      </w:r>
      <w:hyperlink r:id="rId14" w:history="1">
        <w:r w:rsidRPr="00332E97">
          <w:rPr>
            <w:rStyle w:val="Hyperlink"/>
            <w:rFonts w:eastAsia="Calibri"/>
            <w:sz w:val="20"/>
            <w:lang w:val="fr-CA"/>
          </w:rPr>
          <w:t>36514</w:t>
        </w:r>
      </w:hyperlink>
      <w:r w:rsidRPr="00332E97">
        <w:rPr>
          <w:rFonts w:eastAsia="Calibri"/>
          <w:sz w:val="20"/>
          <w:lang w:val="fr-CA"/>
        </w:rPr>
        <w:t>)</w:t>
      </w:r>
    </w:p>
    <w:p w:rsidR="00850BE7" w:rsidRPr="007B229B" w:rsidRDefault="00850BE7" w:rsidP="00850BE7">
      <w:pPr>
        <w:jc w:val="both"/>
        <w:rPr>
          <w:b/>
          <w:lang w:val="fr-CA"/>
        </w:rPr>
      </w:pPr>
      <w:r w:rsidRPr="007B229B">
        <w:rPr>
          <w:rFonts w:eastAsia="Calibri"/>
          <w:sz w:val="20"/>
          <w:lang w:val="fr-CA"/>
        </w:rPr>
        <w:t>Coram : Abella / Karakatsanis / Brown</w:t>
      </w:r>
    </w:p>
    <w:p w:rsidR="007B229B" w:rsidRPr="007B229B" w:rsidRDefault="007B229B" w:rsidP="007B229B">
      <w:pPr>
        <w:jc w:val="both"/>
        <w:rPr>
          <w:iCs/>
          <w:sz w:val="20"/>
          <w:lang w:val="fr-CA"/>
        </w:rPr>
      </w:pPr>
    </w:p>
    <w:p w:rsidR="007B229B" w:rsidRPr="00850BE7" w:rsidRDefault="007B229B" w:rsidP="007B229B">
      <w:pPr>
        <w:jc w:val="both"/>
        <w:rPr>
          <w:sz w:val="20"/>
          <w:lang w:val="fr-CA"/>
        </w:rPr>
      </w:pPr>
      <w:r w:rsidRPr="00850BE7">
        <w:rPr>
          <w:sz w:val="20"/>
          <w:lang w:val="fr-CA"/>
        </w:rPr>
        <w:t>****</w:t>
      </w:r>
    </w:p>
    <w:p w:rsidR="007B229B" w:rsidRPr="00850BE7" w:rsidRDefault="007B229B" w:rsidP="007B229B">
      <w:pPr>
        <w:jc w:val="both"/>
        <w:rPr>
          <w:i/>
          <w:sz w:val="20"/>
          <w:lang w:val="fr-CA"/>
        </w:rPr>
      </w:pPr>
    </w:p>
    <w:p w:rsidR="000B5274" w:rsidRPr="007B229B" w:rsidRDefault="000B5274" w:rsidP="000B5274">
      <w:pPr>
        <w:jc w:val="both"/>
        <w:rPr>
          <w:b/>
          <w:lang w:val="fr-CA"/>
        </w:rPr>
      </w:pPr>
      <w:r w:rsidRPr="007B229B">
        <w:rPr>
          <w:b/>
          <w:lang w:val="fr-CA"/>
        </w:rPr>
        <w:t>DISMISSED WITH COSTS / REJETÉES AVEC DÉPENS</w:t>
      </w:r>
    </w:p>
    <w:p w:rsidR="000B5274" w:rsidRPr="007B229B" w:rsidRDefault="000B5274" w:rsidP="009C599B">
      <w:pPr>
        <w:jc w:val="both"/>
        <w:rPr>
          <w:i/>
          <w:sz w:val="20"/>
          <w:lang w:val="fr-CA" w:eastAsia="en-CA"/>
        </w:rPr>
      </w:pPr>
    </w:p>
    <w:p w:rsidR="009C599B" w:rsidRDefault="00850BE7" w:rsidP="009C599B">
      <w:pPr>
        <w:jc w:val="both"/>
        <w:rPr>
          <w:i/>
          <w:sz w:val="20"/>
          <w:lang w:eastAsia="en-CA"/>
        </w:rPr>
      </w:pPr>
      <w:proofErr w:type="spellStart"/>
      <w:r w:rsidRPr="007B229B">
        <w:rPr>
          <w:i/>
          <w:sz w:val="20"/>
          <w:lang w:val="fr-CA" w:eastAsia="en-CA"/>
        </w:rPr>
        <w:t>Luu</w:t>
      </w:r>
      <w:proofErr w:type="spellEnd"/>
      <w:r w:rsidRPr="007B229B">
        <w:rPr>
          <w:i/>
          <w:sz w:val="20"/>
          <w:lang w:val="fr-CA" w:eastAsia="en-CA"/>
        </w:rPr>
        <w:t xml:space="preserve"> Hung Viet Derrick et al. v. Wong Tak Man Stephen et al.</w:t>
      </w:r>
      <w:r w:rsidRPr="007B229B">
        <w:rPr>
          <w:sz w:val="20"/>
          <w:lang w:val="fr-CA" w:eastAsia="en-CA"/>
        </w:rPr>
        <w:t xml:space="preserve"> </w:t>
      </w:r>
      <w:r w:rsidRPr="00332E97">
        <w:rPr>
          <w:sz w:val="20"/>
          <w:lang w:val="en-CA" w:eastAsia="en-CA"/>
        </w:rPr>
        <w:t>(B.C.) (Civil) (By Leave) (</w:t>
      </w:r>
      <w:hyperlink r:id="rId15" w:history="1">
        <w:r w:rsidRPr="00332E97">
          <w:rPr>
            <w:rStyle w:val="Hyperlink"/>
            <w:sz w:val="20"/>
            <w:lang w:val="en-CA" w:eastAsia="en-CA"/>
          </w:rPr>
          <w:t>36482</w:t>
        </w:r>
      </w:hyperlink>
      <w:r w:rsidRPr="00332E97">
        <w:rPr>
          <w:sz w:val="20"/>
          <w:lang w:val="en-CA" w:eastAsia="en-CA"/>
        </w:rPr>
        <w:t>)</w:t>
      </w:r>
    </w:p>
    <w:p w:rsidR="00850BE7" w:rsidRPr="00C037CA" w:rsidRDefault="00850BE7" w:rsidP="00850BE7">
      <w:pPr>
        <w:jc w:val="both"/>
        <w:rPr>
          <w:sz w:val="20"/>
        </w:rPr>
      </w:pPr>
      <w:r w:rsidRPr="00C037CA">
        <w:rPr>
          <w:sz w:val="20"/>
        </w:rPr>
        <w:t xml:space="preserve">Coram: </w:t>
      </w:r>
      <w:r>
        <w:rPr>
          <w:sz w:val="20"/>
        </w:rPr>
        <w:t xml:space="preserve">McLachlin / Moldaver / </w:t>
      </w:r>
      <w:proofErr w:type="spellStart"/>
      <w:r>
        <w:rPr>
          <w:sz w:val="20"/>
        </w:rPr>
        <w:t>Gascon</w:t>
      </w:r>
      <w:proofErr w:type="spellEnd"/>
    </w:p>
    <w:p w:rsidR="00850BE7" w:rsidRPr="003E4FA3" w:rsidRDefault="00850BE7" w:rsidP="00850BE7">
      <w:pPr>
        <w:jc w:val="both"/>
        <w:rPr>
          <w:iCs/>
          <w:sz w:val="20"/>
        </w:rPr>
      </w:pPr>
    </w:p>
    <w:p w:rsidR="00850BE7" w:rsidRPr="00850BE7" w:rsidRDefault="00850BE7" w:rsidP="00850BE7">
      <w:pPr>
        <w:jc w:val="both"/>
        <w:rPr>
          <w:sz w:val="20"/>
        </w:rPr>
      </w:pPr>
      <w:r w:rsidRPr="00850BE7">
        <w:rPr>
          <w:sz w:val="20"/>
        </w:rPr>
        <w:t>****</w:t>
      </w:r>
    </w:p>
    <w:p w:rsidR="00850BE7" w:rsidRPr="00850BE7" w:rsidRDefault="00850BE7" w:rsidP="00850BE7">
      <w:pPr>
        <w:jc w:val="both"/>
        <w:rPr>
          <w:i/>
          <w:sz w:val="20"/>
        </w:rPr>
      </w:pPr>
    </w:p>
    <w:p w:rsidR="00850BE7" w:rsidRDefault="00850BE7" w:rsidP="009C599B">
      <w:pPr>
        <w:jc w:val="both"/>
        <w:rPr>
          <w:sz w:val="20"/>
          <w:lang w:val="en-CA" w:eastAsia="en-CA"/>
        </w:rPr>
      </w:pPr>
      <w:r w:rsidRPr="00332E97">
        <w:rPr>
          <w:i/>
          <w:sz w:val="20"/>
          <w:lang w:val="en-CA" w:eastAsia="en-CA"/>
        </w:rPr>
        <w:t>6517633 Canada Ltd. v. Knudsen and Sons Muddy View Ranch Ltd.</w:t>
      </w:r>
      <w:r w:rsidRPr="00332E97">
        <w:rPr>
          <w:sz w:val="20"/>
          <w:lang w:val="en-CA" w:eastAsia="en-CA"/>
        </w:rPr>
        <w:t xml:space="preserve"> (Sask.) (Civil) (By Leave) (</w:t>
      </w:r>
      <w:hyperlink r:id="rId16" w:history="1">
        <w:r w:rsidRPr="00332E97">
          <w:rPr>
            <w:rStyle w:val="Hyperlink"/>
            <w:sz w:val="20"/>
            <w:lang w:val="en-CA" w:eastAsia="en-CA"/>
          </w:rPr>
          <w:t>36695</w:t>
        </w:r>
      </w:hyperlink>
      <w:r w:rsidRPr="00332E97">
        <w:rPr>
          <w:sz w:val="20"/>
          <w:lang w:val="en-CA" w:eastAsia="en-CA"/>
        </w:rPr>
        <w:t>)</w:t>
      </w:r>
    </w:p>
    <w:p w:rsidR="00850BE7" w:rsidRPr="00C037CA" w:rsidRDefault="00850BE7" w:rsidP="00850BE7">
      <w:pPr>
        <w:jc w:val="both"/>
        <w:rPr>
          <w:sz w:val="20"/>
        </w:rPr>
      </w:pPr>
      <w:r w:rsidRPr="00C037CA">
        <w:rPr>
          <w:sz w:val="20"/>
        </w:rPr>
        <w:t xml:space="preserve">Coram: </w:t>
      </w:r>
      <w:r>
        <w:rPr>
          <w:sz w:val="20"/>
        </w:rPr>
        <w:t xml:space="preserve">McLachlin / Moldaver / </w:t>
      </w:r>
      <w:proofErr w:type="spellStart"/>
      <w:r>
        <w:rPr>
          <w:sz w:val="20"/>
        </w:rPr>
        <w:t>Gascon</w:t>
      </w:r>
      <w:proofErr w:type="spellEnd"/>
    </w:p>
    <w:p w:rsidR="00850BE7" w:rsidRPr="00B95683" w:rsidRDefault="00850BE7" w:rsidP="009C599B">
      <w:pPr>
        <w:jc w:val="both"/>
        <w:rPr>
          <w:iCs/>
          <w:sz w:val="20"/>
        </w:rPr>
      </w:pPr>
    </w:p>
    <w:p w:rsidR="009C599B" w:rsidRPr="007B229B" w:rsidRDefault="009C599B" w:rsidP="009C599B">
      <w:pPr>
        <w:jc w:val="both"/>
        <w:rPr>
          <w:sz w:val="20"/>
          <w:lang w:val="fr-CA"/>
        </w:rPr>
      </w:pPr>
      <w:r w:rsidRPr="007B229B">
        <w:rPr>
          <w:sz w:val="20"/>
          <w:lang w:val="fr-CA"/>
        </w:rPr>
        <w:t>****</w:t>
      </w:r>
    </w:p>
    <w:p w:rsidR="009C599B" w:rsidRPr="007B229B" w:rsidRDefault="009C599B" w:rsidP="009C599B">
      <w:pPr>
        <w:jc w:val="both"/>
        <w:rPr>
          <w:i/>
          <w:sz w:val="20"/>
          <w:lang w:val="fr-CA"/>
        </w:rPr>
      </w:pPr>
    </w:p>
    <w:p w:rsidR="00850BE7" w:rsidRDefault="00850BE7" w:rsidP="009C599B">
      <w:pPr>
        <w:jc w:val="both"/>
        <w:rPr>
          <w:i/>
          <w:sz w:val="20"/>
        </w:rPr>
      </w:pPr>
      <w:r w:rsidRPr="00332E97">
        <w:rPr>
          <w:i/>
          <w:sz w:val="20"/>
          <w:lang w:val="fr-FR" w:eastAsia="en-CA"/>
        </w:rPr>
        <w:t xml:space="preserve">Martin </w:t>
      </w:r>
      <w:proofErr w:type="spellStart"/>
      <w:r w:rsidRPr="00332E97">
        <w:rPr>
          <w:i/>
          <w:sz w:val="20"/>
          <w:lang w:val="fr-FR" w:eastAsia="en-CA"/>
        </w:rPr>
        <w:t>Ravelo</w:t>
      </w:r>
      <w:proofErr w:type="spellEnd"/>
      <w:r w:rsidRPr="00332E97">
        <w:rPr>
          <w:i/>
          <w:sz w:val="20"/>
          <w:lang w:val="fr-FR" w:eastAsia="en-CA"/>
        </w:rPr>
        <w:t xml:space="preserve"> v. CIBC </w:t>
      </w:r>
      <w:proofErr w:type="spellStart"/>
      <w:r w:rsidRPr="00332E97">
        <w:rPr>
          <w:i/>
          <w:sz w:val="20"/>
          <w:lang w:val="fr-FR" w:eastAsia="en-CA"/>
        </w:rPr>
        <w:t>Mortgages</w:t>
      </w:r>
      <w:proofErr w:type="spellEnd"/>
      <w:r w:rsidRPr="00332E97">
        <w:rPr>
          <w:i/>
          <w:sz w:val="20"/>
          <w:lang w:val="fr-FR" w:eastAsia="en-CA"/>
        </w:rPr>
        <w:t xml:space="preserve"> Inc. et al.</w:t>
      </w:r>
      <w:r w:rsidRPr="00332E97">
        <w:rPr>
          <w:sz w:val="20"/>
          <w:lang w:val="fr-FR" w:eastAsia="en-CA"/>
        </w:rPr>
        <w:t xml:space="preserve"> </w:t>
      </w:r>
      <w:r w:rsidRPr="00332E97">
        <w:rPr>
          <w:sz w:val="20"/>
          <w:lang w:val="en-CA" w:eastAsia="en-CA"/>
        </w:rPr>
        <w:t>(B.C.) (Civil) (By Leave) (</w:t>
      </w:r>
      <w:hyperlink r:id="rId17" w:history="1">
        <w:r w:rsidRPr="00332E97">
          <w:rPr>
            <w:rStyle w:val="Hyperlink"/>
            <w:sz w:val="20"/>
            <w:lang w:val="en-CA" w:eastAsia="en-CA"/>
          </w:rPr>
          <w:t>36663</w:t>
        </w:r>
      </w:hyperlink>
      <w:r w:rsidRPr="00332E97">
        <w:rPr>
          <w:sz w:val="20"/>
          <w:lang w:val="en-CA" w:eastAsia="en-CA"/>
        </w:rPr>
        <w:t>)</w:t>
      </w:r>
    </w:p>
    <w:p w:rsidR="00850BE7" w:rsidRDefault="00850BE7" w:rsidP="00850BE7">
      <w:pPr>
        <w:jc w:val="both"/>
        <w:rPr>
          <w:sz w:val="20"/>
        </w:rPr>
      </w:pPr>
      <w:r>
        <w:rPr>
          <w:sz w:val="20"/>
        </w:rPr>
        <w:t>(</w:t>
      </w:r>
      <w:r w:rsidRPr="00850BE7">
        <w:rPr>
          <w:sz w:val="20"/>
        </w:rPr>
        <w:t>The motion for an extension of time to serve the application for leave to appeal is granted.  The application for leave to appeal is dismissed with costs to the respondent, CIBC Mortgages Inc.</w:t>
      </w:r>
      <w:r>
        <w:rPr>
          <w:sz w:val="20"/>
        </w:rPr>
        <w:t xml:space="preserve"> /</w:t>
      </w:r>
    </w:p>
    <w:p w:rsidR="00850BE7" w:rsidRPr="00850BE7" w:rsidRDefault="00850BE7" w:rsidP="00850BE7">
      <w:pPr>
        <w:jc w:val="both"/>
        <w:rPr>
          <w:sz w:val="20"/>
          <w:lang w:val="fr-CA"/>
        </w:rPr>
      </w:pPr>
      <w:r w:rsidRPr="00850BE7">
        <w:rPr>
          <w:sz w:val="20"/>
          <w:lang w:val="fr-CA"/>
        </w:rPr>
        <w:t xml:space="preserve">La requête en prorogation du délai de signification de la demande d’autorisation d’appel est accueillie. La demande d’autorisation d’appel est rejetée avec dépens en faveur de l’intimée, CIBC </w:t>
      </w:r>
      <w:proofErr w:type="spellStart"/>
      <w:r w:rsidRPr="00850BE7">
        <w:rPr>
          <w:sz w:val="20"/>
          <w:lang w:val="fr-CA"/>
        </w:rPr>
        <w:t>Mortgages</w:t>
      </w:r>
      <w:proofErr w:type="spellEnd"/>
      <w:r w:rsidRPr="00850BE7">
        <w:rPr>
          <w:sz w:val="20"/>
          <w:lang w:val="fr-CA"/>
        </w:rPr>
        <w:t xml:space="preserve"> Inc.)</w:t>
      </w:r>
    </w:p>
    <w:p w:rsidR="00850BE7" w:rsidRPr="00C037CA" w:rsidRDefault="00850BE7" w:rsidP="00850BE7">
      <w:pPr>
        <w:jc w:val="both"/>
        <w:rPr>
          <w:sz w:val="20"/>
        </w:rPr>
      </w:pPr>
      <w:r w:rsidRPr="00C037CA">
        <w:rPr>
          <w:sz w:val="20"/>
        </w:rPr>
        <w:t xml:space="preserve">Coram: </w:t>
      </w:r>
      <w:r>
        <w:rPr>
          <w:sz w:val="20"/>
        </w:rPr>
        <w:t xml:space="preserve">McLachlin / Moldaver / </w:t>
      </w:r>
      <w:proofErr w:type="spellStart"/>
      <w:r>
        <w:rPr>
          <w:sz w:val="20"/>
        </w:rPr>
        <w:t>Gascon</w:t>
      </w:r>
      <w:proofErr w:type="spellEnd"/>
    </w:p>
    <w:p w:rsidR="00850BE7" w:rsidRPr="00B95683" w:rsidRDefault="00850BE7" w:rsidP="00850BE7">
      <w:pPr>
        <w:jc w:val="both"/>
        <w:rPr>
          <w:iCs/>
          <w:sz w:val="20"/>
        </w:rPr>
      </w:pPr>
    </w:p>
    <w:p w:rsidR="00850BE7" w:rsidRPr="00B95683" w:rsidRDefault="00850BE7" w:rsidP="00850BE7">
      <w:pPr>
        <w:jc w:val="both"/>
        <w:rPr>
          <w:sz w:val="20"/>
        </w:rPr>
      </w:pPr>
      <w:r w:rsidRPr="00B95683">
        <w:rPr>
          <w:sz w:val="20"/>
        </w:rPr>
        <w:t>****</w:t>
      </w:r>
    </w:p>
    <w:p w:rsidR="00850BE7" w:rsidRDefault="00850BE7" w:rsidP="00850BE7">
      <w:pPr>
        <w:jc w:val="both"/>
        <w:rPr>
          <w:i/>
          <w:sz w:val="20"/>
        </w:rPr>
      </w:pPr>
    </w:p>
    <w:p w:rsidR="00850BE7" w:rsidRPr="00850BE7" w:rsidRDefault="00850BE7" w:rsidP="00850BE7">
      <w:pPr>
        <w:jc w:val="both"/>
        <w:rPr>
          <w:rFonts w:eastAsia="Calibri"/>
          <w:sz w:val="20"/>
          <w:lang w:val="en-CA"/>
        </w:rPr>
      </w:pPr>
      <w:proofErr w:type="spellStart"/>
      <w:r w:rsidRPr="00850BE7">
        <w:rPr>
          <w:rFonts w:eastAsia="Calibri"/>
          <w:bCs/>
          <w:i/>
          <w:iCs/>
          <w:sz w:val="20"/>
          <w:lang w:val="en-CA"/>
        </w:rPr>
        <w:t>Deepan</w:t>
      </w:r>
      <w:proofErr w:type="spellEnd"/>
      <w:r w:rsidRPr="00850BE7">
        <w:rPr>
          <w:rFonts w:eastAsia="Calibri"/>
          <w:bCs/>
          <w:i/>
          <w:iCs/>
          <w:sz w:val="20"/>
          <w:lang w:val="en-CA"/>
        </w:rPr>
        <w:t xml:space="preserve"> </w:t>
      </w:r>
      <w:proofErr w:type="spellStart"/>
      <w:r w:rsidRPr="00850BE7">
        <w:rPr>
          <w:rFonts w:eastAsia="Calibri"/>
          <w:bCs/>
          <w:i/>
          <w:iCs/>
          <w:sz w:val="20"/>
          <w:lang w:val="en-CA"/>
        </w:rPr>
        <w:t>Budlakoti</w:t>
      </w:r>
      <w:proofErr w:type="spellEnd"/>
      <w:r w:rsidRPr="00850BE7">
        <w:rPr>
          <w:rFonts w:eastAsia="Calibri"/>
          <w:bCs/>
          <w:i/>
          <w:iCs/>
          <w:sz w:val="20"/>
          <w:lang w:val="en-CA"/>
        </w:rPr>
        <w:t xml:space="preserve"> v. Minister of Citizenship and Immigration</w:t>
      </w:r>
      <w:r w:rsidRPr="00850BE7">
        <w:rPr>
          <w:rFonts w:eastAsia="Calibri"/>
          <w:sz w:val="20"/>
          <w:lang w:val="en-CA"/>
        </w:rPr>
        <w:t xml:space="preserve"> (F.C.) (Civil) (By Leave) (</w:t>
      </w:r>
      <w:hyperlink r:id="rId18" w:history="1">
        <w:r w:rsidRPr="00850BE7">
          <w:rPr>
            <w:rStyle w:val="Hyperlink"/>
            <w:rFonts w:eastAsia="Calibri"/>
            <w:sz w:val="20"/>
            <w:lang w:val="en-CA"/>
          </w:rPr>
          <w:t>36591</w:t>
        </w:r>
      </w:hyperlink>
      <w:r w:rsidRPr="00850BE7">
        <w:rPr>
          <w:rFonts w:eastAsia="Calibri"/>
          <w:sz w:val="20"/>
          <w:lang w:val="en-CA"/>
        </w:rPr>
        <w:t>)</w:t>
      </w:r>
    </w:p>
    <w:p w:rsidR="00850BE7" w:rsidRPr="00B95683" w:rsidRDefault="00850BE7" w:rsidP="00850BE7">
      <w:pPr>
        <w:jc w:val="both"/>
        <w:rPr>
          <w:sz w:val="20"/>
        </w:rPr>
      </w:pPr>
      <w:r w:rsidRPr="00B95683">
        <w:rPr>
          <w:sz w:val="20"/>
        </w:rPr>
        <w:t xml:space="preserve">Coram: </w:t>
      </w:r>
      <w:proofErr w:type="spellStart"/>
      <w:r w:rsidRPr="003E4FA3">
        <w:rPr>
          <w:sz w:val="20"/>
        </w:rPr>
        <w:t>Abella</w:t>
      </w:r>
      <w:proofErr w:type="spellEnd"/>
      <w:r w:rsidRPr="003E4FA3">
        <w:rPr>
          <w:sz w:val="20"/>
        </w:rPr>
        <w:t xml:space="preserve"> / Karakatsanis / Brown</w:t>
      </w:r>
    </w:p>
    <w:p w:rsidR="00850BE7" w:rsidRPr="00B95683" w:rsidRDefault="00850BE7" w:rsidP="00850BE7">
      <w:pPr>
        <w:jc w:val="both"/>
        <w:rPr>
          <w:iCs/>
          <w:sz w:val="20"/>
        </w:rPr>
      </w:pPr>
    </w:p>
    <w:p w:rsidR="00850BE7" w:rsidRPr="00B95683" w:rsidRDefault="00850BE7" w:rsidP="00850BE7">
      <w:pPr>
        <w:jc w:val="both"/>
        <w:rPr>
          <w:sz w:val="20"/>
        </w:rPr>
      </w:pPr>
      <w:r w:rsidRPr="00B95683">
        <w:rPr>
          <w:sz w:val="20"/>
        </w:rPr>
        <w:t>****</w:t>
      </w:r>
    </w:p>
    <w:p w:rsidR="006E11A2" w:rsidRPr="00B34D21" w:rsidRDefault="006E11A2" w:rsidP="0004380B">
      <w:pPr>
        <w:jc w:val="both"/>
        <w:rPr>
          <w:sz w:val="20"/>
        </w:rPr>
      </w:pPr>
    </w:p>
    <w:p w:rsidR="00520AD0" w:rsidRPr="00B34D21" w:rsidRDefault="00520AD0" w:rsidP="008B12FB">
      <w:pPr>
        <w:jc w:val="both"/>
        <w:rPr>
          <w:sz w:val="20"/>
        </w:rPr>
      </w:pPr>
    </w:p>
    <w:p w:rsidR="00D3344A" w:rsidRPr="001A5B79" w:rsidRDefault="00D3344A" w:rsidP="00D3344A">
      <w:pPr>
        <w:widowControl w:val="0"/>
        <w:outlineLvl w:val="0"/>
      </w:pPr>
      <w:r w:rsidRPr="001A5B79">
        <w:t xml:space="preserve">Supreme Court of Canada / Cour </w:t>
      </w:r>
      <w:proofErr w:type="spellStart"/>
      <w:r w:rsidRPr="001A5B79">
        <w:t>suprême</w:t>
      </w:r>
      <w:proofErr w:type="spellEnd"/>
      <w:r w:rsidRPr="001A5B79">
        <w:t xml:space="preserve"> du Canada : </w:t>
      </w:r>
    </w:p>
    <w:p w:rsidR="00D3344A" w:rsidRPr="001A5B79" w:rsidRDefault="002E0F46" w:rsidP="00D3344A">
      <w:pPr>
        <w:widowControl w:val="0"/>
        <w:outlineLvl w:val="0"/>
        <w:rPr>
          <w:color w:val="0000FF"/>
          <w:u w:val="single"/>
        </w:rPr>
      </w:pPr>
      <w:hyperlink r:id="rId19"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bookmarkStart w:id="0" w:name="_GoBack"/>
      <w:bookmarkEnd w:id="0"/>
    </w:p>
    <w:sectPr w:rsidR="00DE0F77" w:rsidRPr="001A5B79"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56" w:rsidRDefault="00C3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0"/>
  </w:num>
  <w:num w:numId="6">
    <w:abstractNumId w:val="15"/>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9"/>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22"/>
  </w:num>
  <w:num w:numId="19">
    <w:abstractNumId w:val="11"/>
  </w:num>
  <w:num w:numId="20">
    <w:abstractNumId w:val="7"/>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5A19"/>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7BE4"/>
    <w:rsid w:val="00147DE3"/>
    <w:rsid w:val="00150453"/>
    <w:rsid w:val="00151336"/>
    <w:rsid w:val="0015605D"/>
    <w:rsid w:val="001560EC"/>
    <w:rsid w:val="00157C03"/>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3720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0F46"/>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E4FA3"/>
    <w:rsid w:val="003F1029"/>
    <w:rsid w:val="003F1E6F"/>
    <w:rsid w:val="003F3BC1"/>
    <w:rsid w:val="003F43E6"/>
    <w:rsid w:val="003F466B"/>
    <w:rsid w:val="003F639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49F8"/>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F09"/>
    <w:rsid w:val="009D2AD9"/>
    <w:rsid w:val="009D2D62"/>
    <w:rsid w:val="009D31CD"/>
    <w:rsid w:val="009D7121"/>
    <w:rsid w:val="009E2E0D"/>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C00650"/>
    <w:rsid w:val="00C007C3"/>
    <w:rsid w:val="00C0085C"/>
    <w:rsid w:val="00C01CEF"/>
    <w:rsid w:val="00C021BB"/>
    <w:rsid w:val="00C02C9D"/>
    <w:rsid w:val="00C037CA"/>
    <w:rsid w:val="00C03932"/>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06E8"/>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AD7"/>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155/index.do" TargetMode="External"/><Relationship Id="rId13" Type="http://schemas.openxmlformats.org/officeDocument/2006/relationships/hyperlink" Target="http://www.scc-csc.ca/case-dossier/info/sum-som-fra.aspx?cas=36513" TargetMode="External"/><Relationship Id="rId18" Type="http://schemas.openxmlformats.org/officeDocument/2006/relationships/hyperlink" Target="http://www.scc-csc.ca/case-dossier/info/sum-som-eng.aspx?cas=365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c-csc.ca/case-dossier/info/sum-som-eng.aspx?cas=36587" TargetMode="External"/><Relationship Id="rId17" Type="http://schemas.openxmlformats.org/officeDocument/2006/relationships/hyperlink" Target="http://www.scc-csc.ca/case-dossier/info/sum-som-eng.aspx?cas=3666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669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1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6482" TargetMode="External"/><Relationship Id="rId23" Type="http://schemas.openxmlformats.org/officeDocument/2006/relationships/footer" Target="footer2.xml"/><Relationship Id="rId10" Type="http://schemas.openxmlformats.org/officeDocument/2006/relationships/hyperlink" Target="http://www.scc-csc.ca/case-dossier/info/sum-som-eng.aspx?cas=36472"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cc-csc.lexum.com/scc-csc/news/fr/item/5155/index.do" TargetMode="External"/><Relationship Id="rId14" Type="http://schemas.openxmlformats.org/officeDocument/2006/relationships/hyperlink" Target="http://www.scc-csc.ca/case-dossier/info/sum-som-fra.aspx?cas=3651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F76A-BB5E-428A-B728-27958129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2016-01-28T14:24:00Z</dcterms:created>
  <dcterms:modified xsi:type="dcterms:W3CDTF">2016-01-28T14:24:00Z</dcterms:modified>
</cp:coreProperties>
</file>