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D19A0" w:rsidRDefault="003F43E6" w:rsidP="00122CE1">
      <w:pPr>
        <w:pStyle w:val="Header"/>
        <w:tabs>
          <w:tab w:val="left" w:pos="1620"/>
          <w:tab w:val="left" w:pos="1710"/>
        </w:tabs>
        <w:jc w:val="center"/>
        <w:rPr>
          <w:b/>
          <w:sz w:val="32"/>
        </w:rPr>
      </w:pPr>
      <w:r w:rsidRPr="003D19A0">
        <w:rPr>
          <w:b/>
          <w:sz w:val="32"/>
        </w:rPr>
        <w:t xml:space="preserve">Supreme Court of Canada / </w:t>
      </w:r>
      <w:proofErr w:type="spellStart"/>
      <w:r w:rsidRPr="003D19A0">
        <w:rPr>
          <w:b/>
          <w:sz w:val="32"/>
        </w:rPr>
        <w:t>Cour</w:t>
      </w:r>
      <w:proofErr w:type="spellEnd"/>
      <w:r w:rsidRPr="003D19A0">
        <w:rPr>
          <w:b/>
          <w:sz w:val="32"/>
        </w:rPr>
        <w:t xml:space="preserve"> </w:t>
      </w:r>
      <w:proofErr w:type="spellStart"/>
      <w:r w:rsidRPr="003D19A0">
        <w:rPr>
          <w:b/>
          <w:sz w:val="32"/>
        </w:rPr>
        <w:t>suprême</w:t>
      </w:r>
      <w:proofErr w:type="spellEnd"/>
      <w:r w:rsidRPr="003D19A0">
        <w:rPr>
          <w:b/>
          <w:sz w:val="32"/>
        </w:rPr>
        <w:t xml:space="preserve"> du Canada</w:t>
      </w:r>
    </w:p>
    <w:p w:rsidR="003F43E6" w:rsidRPr="003D19A0" w:rsidRDefault="003F43E6" w:rsidP="006F2579">
      <w:pPr>
        <w:widowControl w:val="0"/>
        <w:rPr>
          <w:i/>
        </w:rPr>
      </w:pPr>
    </w:p>
    <w:p w:rsidR="006F2579" w:rsidRPr="003D19A0" w:rsidRDefault="006F2579" w:rsidP="006F2579">
      <w:pPr>
        <w:widowControl w:val="0"/>
        <w:rPr>
          <w:i/>
        </w:rPr>
      </w:pPr>
      <w:r w:rsidRPr="003D19A0">
        <w:rPr>
          <w:i/>
        </w:rPr>
        <w:t>(</w:t>
      </w:r>
      <w:proofErr w:type="gramStart"/>
      <w:r w:rsidRPr="003D19A0">
        <w:rPr>
          <w:i/>
        </w:rPr>
        <w:t>le</w:t>
      </w:r>
      <w:proofErr w:type="gramEnd"/>
      <w:r w:rsidRPr="003D19A0">
        <w:rPr>
          <w:i/>
        </w:rPr>
        <w:t xml:space="preserve"> </w:t>
      </w:r>
      <w:proofErr w:type="spellStart"/>
      <w:r w:rsidRPr="003D19A0">
        <w:rPr>
          <w:i/>
        </w:rPr>
        <w:t>français</w:t>
      </w:r>
      <w:proofErr w:type="spellEnd"/>
      <w:r w:rsidRPr="003D19A0">
        <w:rPr>
          <w:i/>
        </w:rPr>
        <w:t xml:space="preserve"> suit)</w:t>
      </w:r>
    </w:p>
    <w:p w:rsidR="006F2579" w:rsidRPr="003D19A0" w:rsidRDefault="006F2579" w:rsidP="006F2579">
      <w:pPr>
        <w:widowControl w:val="0"/>
      </w:pPr>
    </w:p>
    <w:p w:rsidR="006F2579" w:rsidRPr="003D19A0" w:rsidRDefault="00B07908" w:rsidP="006F2579">
      <w:pPr>
        <w:widowControl w:val="0"/>
        <w:jc w:val="center"/>
        <w:rPr>
          <w:b/>
        </w:rPr>
      </w:pPr>
      <w:r w:rsidRPr="003D19A0">
        <w:fldChar w:fldCharType="begin"/>
      </w:r>
      <w:r w:rsidR="006F2579" w:rsidRPr="003D19A0">
        <w:instrText xml:space="preserve"> SEQ CHAPTER \h \r 1</w:instrText>
      </w:r>
      <w:r w:rsidRPr="003D19A0">
        <w:fldChar w:fldCharType="end"/>
      </w:r>
      <w:r w:rsidR="006F2579" w:rsidRPr="003D19A0">
        <w:rPr>
          <w:b/>
        </w:rPr>
        <w:t>JUDGMENT</w:t>
      </w:r>
      <w:r w:rsidR="00B17AAC" w:rsidRPr="003D19A0">
        <w:rPr>
          <w:b/>
        </w:rPr>
        <w:t>S</w:t>
      </w:r>
      <w:r w:rsidR="006F2579" w:rsidRPr="003D19A0">
        <w:rPr>
          <w:b/>
        </w:rPr>
        <w:t xml:space="preserve"> TO B</w:t>
      </w:r>
      <w:r w:rsidR="00001846" w:rsidRPr="003D19A0">
        <w:rPr>
          <w:b/>
        </w:rPr>
        <w:t>E RENDERED IN LEAVE APPLICATION</w:t>
      </w:r>
      <w:r w:rsidR="00B17AAC" w:rsidRPr="003D19A0">
        <w:rPr>
          <w:b/>
        </w:rPr>
        <w:t>S</w:t>
      </w:r>
    </w:p>
    <w:p w:rsidR="006F2579" w:rsidRPr="003D19A0" w:rsidRDefault="006F2579" w:rsidP="006F2579">
      <w:pPr>
        <w:widowControl w:val="0"/>
        <w:rPr>
          <w:b/>
        </w:rPr>
      </w:pPr>
    </w:p>
    <w:p w:rsidR="006F2579" w:rsidRPr="003D19A0" w:rsidRDefault="001878EB" w:rsidP="006F2579">
      <w:pPr>
        <w:widowControl w:val="0"/>
        <w:rPr>
          <w:b/>
        </w:rPr>
      </w:pPr>
      <w:r w:rsidRPr="003D19A0">
        <w:rPr>
          <w:b/>
        </w:rPr>
        <w:t>April</w:t>
      </w:r>
      <w:r w:rsidR="003817A9" w:rsidRPr="003D19A0">
        <w:rPr>
          <w:b/>
        </w:rPr>
        <w:t xml:space="preserve"> </w:t>
      </w:r>
      <w:r w:rsidR="00141591">
        <w:rPr>
          <w:b/>
        </w:rPr>
        <w:t>25</w:t>
      </w:r>
      <w:r w:rsidR="00AB5538" w:rsidRPr="003D19A0">
        <w:rPr>
          <w:b/>
        </w:rPr>
        <w:t>,</w:t>
      </w:r>
      <w:r w:rsidR="006F2579" w:rsidRPr="003D19A0">
        <w:rPr>
          <w:b/>
        </w:rPr>
        <w:t xml:space="preserve"> </w:t>
      </w:r>
      <w:r w:rsidR="0054689F" w:rsidRPr="003D19A0">
        <w:rPr>
          <w:b/>
        </w:rPr>
        <w:t>201</w:t>
      </w:r>
      <w:r w:rsidR="00674329" w:rsidRPr="003D19A0">
        <w:rPr>
          <w:b/>
        </w:rPr>
        <w:t>6</w:t>
      </w:r>
    </w:p>
    <w:p w:rsidR="006F2579" w:rsidRPr="003D19A0" w:rsidRDefault="006F2579" w:rsidP="006F2579">
      <w:pPr>
        <w:widowControl w:val="0"/>
        <w:rPr>
          <w:b/>
        </w:rPr>
      </w:pPr>
      <w:r w:rsidRPr="003D19A0">
        <w:rPr>
          <w:b/>
        </w:rPr>
        <w:t>For immediate release</w:t>
      </w:r>
    </w:p>
    <w:p w:rsidR="006F2579" w:rsidRPr="003D19A0" w:rsidRDefault="006F2579" w:rsidP="006F2579">
      <w:pPr>
        <w:widowControl w:val="0"/>
      </w:pPr>
    </w:p>
    <w:p w:rsidR="006F2579" w:rsidRPr="003D19A0" w:rsidRDefault="006F2579" w:rsidP="006F2579">
      <w:pPr>
        <w:widowControl w:val="0"/>
      </w:pPr>
      <w:r w:rsidRPr="003D19A0">
        <w:rPr>
          <w:b/>
        </w:rPr>
        <w:t>OTTAWA</w:t>
      </w:r>
      <w:r w:rsidRPr="003D19A0">
        <w:t xml:space="preserve"> – The Supreme Court of Canada announced today that judgment in the following application</w:t>
      </w:r>
      <w:r w:rsidR="008600ED" w:rsidRPr="003D19A0">
        <w:t>s</w:t>
      </w:r>
      <w:r w:rsidRPr="003D19A0">
        <w:t xml:space="preserve"> for leave to appeal will be delivered at 9:45 a.m. E</w:t>
      </w:r>
      <w:r w:rsidR="003817A9" w:rsidRPr="003D19A0">
        <w:t>D</w:t>
      </w:r>
      <w:r w:rsidRPr="003D19A0">
        <w:t xml:space="preserve">T on Thursday, </w:t>
      </w:r>
      <w:r w:rsidR="001878EB" w:rsidRPr="003D19A0">
        <w:t>April</w:t>
      </w:r>
      <w:r w:rsidR="007E112F" w:rsidRPr="003D19A0">
        <w:t xml:space="preserve"> </w:t>
      </w:r>
      <w:r w:rsidR="00E52A08" w:rsidRPr="003D19A0">
        <w:t>2</w:t>
      </w:r>
      <w:r w:rsidR="00141591">
        <w:t>8</w:t>
      </w:r>
      <w:r w:rsidR="007E112F" w:rsidRPr="003D19A0">
        <w:t>,</w:t>
      </w:r>
      <w:r w:rsidR="002F38D7" w:rsidRPr="003D19A0">
        <w:t xml:space="preserve"> </w:t>
      </w:r>
      <w:r w:rsidR="006648D1" w:rsidRPr="003D19A0">
        <w:t>201</w:t>
      </w:r>
      <w:r w:rsidR="00674329" w:rsidRPr="003D19A0">
        <w:t>6</w:t>
      </w:r>
      <w:r w:rsidRPr="003D19A0">
        <w:t>.  This list is subject to change.</w:t>
      </w:r>
    </w:p>
    <w:p w:rsidR="00D4457A" w:rsidRDefault="00D4457A" w:rsidP="006F2579">
      <w:pPr>
        <w:widowControl w:val="0"/>
      </w:pPr>
    </w:p>
    <w:p w:rsidR="0080140E" w:rsidRPr="003D19A0" w:rsidRDefault="0080140E" w:rsidP="006F2579">
      <w:pPr>
        <w:widowControl w:val="0"/>
      </w:pPr>
    </w:p>
    <w:p w:rsidR="006F2579" w:rsidRPr="003D19A0" w:rsidRDefault="006F2579" w:rsidP="006F2579">
      <w:pPr>
        <w:widowControl w:val="0"/>
        <w:jc w:val="center"/>
        <w:rPr>
          <w:lang w:val="fr-CA"/>
        </w:rPr>
      </w:pPr>
      <w:r w:rsidRPr="003D19A0">
        <w:rPr>
          <w:b/>
          <w:lang w:val="fr-CA"/>
        </w:rPr>
        <w:t>PROCHAIN</w:t>
      </w:r>
      <w:r w:rsidR="00B17AAC" w:rsidRPr="003D19A0">
        <w:rPr>
          <w:b/>
          <w:lang w:val="fr-CA"/>
        </w:rPr>
        <w:t>S</w:t>
      </w:r>
      <w:r w:rsidRPr="003D19A0">
        <w:rPr>
          <w:b/>
          <w:lang w:val="fr-CA"/>
        </w:rPr>
        <w:t xml:space="preserve"> JUGEMENT</w:t>
      </w:r>
      <w:r w:rsidR="00B17AAC" w:rsidRPr="003D19A0">
        <w:rPr>
          <w:b/>
          <w:lang w:val="fr-CA"/>
        </w:rPr>
        <w:t>S</w:t>
      </w:r>
      <w:r w:rsidR="00001846" w:rsidRPr="003D19A0">
        <w:rPr>
          <w:b/>
          <w:lang w:val="fr-CA"/>
        </w:rPr>
        <w:t xml:space="preserve"> SUR DEMANDE</w:t>
      </w:r>
      <w:r w:rsidR="00B17AAC" w:rsidRPr="003D19A0">
        <w:rPr>
          <w:b/>
          <w:lang w:val="fr-CA"/>
        </w:rPr>
        <w:t>S</w:t>
      </w:r>
      <w:r w:rsidRPr="003D19A0">
        <w:rPr>
          <w:b/>
          <w:lang w:val="fr-CA"/>
        </w:rPr>
        <w:t xml:space="preserve"> D’AUTORISATION</w:t>
      </w:r>
    </w:p>
    <w:p w:rsidR="006F2579" w:rsidRPr="003D19A0" w:rsidRDefault="006F2579" w:rsidP="006F2579">
      <w:pPr>
        <w:widowControl w:val="0"/>
        <w:rPr>
          <w:lang w:val="fr-CA"/>
        </w:rPr>
      </w:pPr>
    </w:p>
    <w:p w:rsidR="006F2579" w:rsidRPr="003D19A0" w:rsidRDefault="006F2579" w:rsidP="006F2579">
      <w:pPr>
        <w:widowControl w:val="0"/>
        <w:rPr>
          <w:b/>
          <w:lang w:val="fr-CA"/>
        </w:rPr>
      </w:pPr>
      <w:r w:rsidRPr="003D19A0">
        <w:rPr>
          <w:b/>
          <w:lang w:val="fr-CA"/>
        </w:rPr>
        <w:t>Le</w:t>
      </w:r>
      <w:r w:rsidR="00957A76" w:rsidRPr="003D19A0">
        <w:rPr>
          <w:b/>
          <w:lang w:val="fr-CA"/>
        </w:rPr>
        <w:t xml:space="preserve"> </w:t>
      </w:r>
      <w:r w:rsidR="00141591">
        <w:rPr>
          <w:b/>
          <w:lang w:val="fr-CA"/>
        </w:rPr>
        <w:t>25</w:t>
      </w:r>
      <w:r w:rsidR="007E112F" w:rsidRPr="003D19A0">
        <w:rPr>
          <w:b/>
          <w:lang w:val="fr-CA"/>
        </w:rPr>
        <w:t xml:space="preserve"> a</w:t>
      </w:r>
      <w:r w:rsidR="001878EB" w:rsidRPr="003D19A0">
        <w:rPr>
          <w:b/>
          <w:lang w:val="fr-CA"/>
        </w:rPr>
        <w:t>v</w:t>
      </w:r>
      <w:r w:rsidR="007E112F" w:rsidRPr="003D19A0">
        <w:rPr>
          <w:b/>
          <w:lang w:val="fr-CA"/>
        </w:rPr>
        <w:t>r</w:t>
      </w:r>
      <w:r w:rsidR="001878EB" w:rsidRPr="003D19A0">
        <w:rPr>
          <w:b/>
          <w:lang w:val="fr-CA"/>
        </w:rPr>
        <w:t>il</w:t>
      </w:r>
      <w:r w:rsidR="00674329" w:rsidRPr="003D19A0">
        <w:rPr>
          <w:b/>
          <w:lang w:val="fr-CA"/>
        </w:rPr>
        <w:t xml:space="preserve"> 2016</w:t>
      </w:r>
    </w:p>
    <w:p w:rsidR="006F2579" w:rsidRPr="003D19A0" w:rsidRDefault="006F2579" w:rsidP="006F2579">
      <w:pPr>
        <w:widowControl w:val="0"/>
        <w:rPr>
          <w:b/>
          <w:lang w:val="fr-CA"/>
        </w:rPr>
      </w:pPr>
      <w:r w:rsidRPr="003D19A0">
        <w:rPr>
          <w:b/>
          <w:lang w:val="fr-CA"/>
        </w:rPr>
        <w:t>Pour diffusion immédiate</w:t>
      </w:r>
    </w:p>
    <w:p w:rsidR="006F2579" w:rsidRPr="003D19A0" w:rsidRDefault="006F2579" w:rsidP="006F2579">
      <w:pPr>
        <w:widowControl w:val="0"/>
        <w:rPr>
          <w:b/>
          <w:lang w:val="fr-CA"/>
        </w:rPr>
      </w:pPr>
    </w:p>
    <w:p w:rsidR="006F2579" w:rsidRPr="003D19A0" w:rsidRDefault="006F2579" w:rsidP="006F2579">
      <w:pPr>
        <w:widowControl w:val="0"/>
        <w:rPr>
          <w:lang w:val="fr-CA"/>
        </w:rPr>
      </w:pPr>
      <w:r w:rsidRPr="003D19A0">
        <w:rPr>
          <w:b/>
          <w:lang w:val="fr-CA"/>
        </w:rPr>
        <w:t>OTTAWA</w:t>
      </w:r>
      <w:r w:rsidRPr="003D19A0">
        <w:rPr>
          <w:lang w:val="fr-CA"/>
        </w:rPr>
        <w:t xml:space="preserve"> – La Cour suprême du Canada annonce que jugement ser</w:t>
      </w:r>
      <w:r w:rsidR="008600ED" w:rsidRPr="003D19A0">
        <w:rPr>
          <w:lang w:val="fr-CA"/>
        </w:rPr>
        <w:t>a</w:t>
      </w:r>
      <w:r w:rsidRPr="003D19A0">
        <w:rPr>
          <w:lang w:val="fr-CA"/>
        </w:rPr>
        <w:t xml:space="preserve"> rendu dans l</w:t>
      </w:r>
      <w:r w:rsidR="008600ED" w:rsidRPr="003D19A0">
        <w:rPr>
          <w:lang w:val="fr-CA"/>
        </w:rPr>
        <w:t>es</w:t>
      </w:r>
      <w:r w:rsidRPr="003D19A0">
        <w:rPr>
          <w:lang w:val="fr-CA"/>
        </w:rPr>
        <w:t xml:space="preserve"> demande</w:t>
      </w:r>
      <w:r w:rsidR="008600ED" w:rsidRPr="003D19A0">
        <w:rPr>
          <w:lang w:val="fr-CA"/>
        </w:rPr>
        <w:t>s</w:t>
      </w:r>
      <w:r w:rsidRPr="003D19A0">
        <w:rPr>
          <w:lang w:val="fr-CA"/>
        </w:rPr>
        <w:t xml:space="preserve"> d</w:t>
      </w:r>
      <w:r w:rsidR="00001846" w:rsidRPr="003D19A0">
        <w:rPr>
          <w:lang w:val="fr-CA"/>
        </w:rPr>
        <w:t>’autorisation d’appel suivante</w:t>
      </w:r>
      <w:r w:rsidR="008600ED" w:rsidRPr="003D19A0">
        <w:rPr>
          <w:lang w:val="fr-CA"/>
        </w:rPr>
        <w:t>s</w:t>
      </w:r>
      <w:r w:rsidRPr="003D19A0">
        <w:rPr>
          <w:lang w:val="fr-CA"/>
        </w:rPr>
        <w:t xml:space="preserve"> le jeudi </w:t>
      </w:r>
      <w:r w:rsidR="00E52A08" w:rsidRPr="003D19A0">
        <w:rPr>
          <w:lang w:val="fr-CA"/>
        </w:rPr>
        <w:t>2</w:t>
      </w:r>
      <w:r w:rsidR="0080140E">
        <w:rPr>
          <w:lang w:val="fr-CA"/>
        </w:rPr>
        <w:t>8</w:t>
      </w:r>
      <w:r w:rsidR="007E112F" w:rsidRPr="003D19A0">
        <w:rPr>
          <w:lang w:val="fr-CA"/>
        </w:rPr>
        <w:t xml:space="preserve"> </w:t>
      </w:r>
      <w:r w:rsidR="001878EB" w:rsidRPr="003D19A0">
        <w:rPr>
          <w:lang w:val="fr-CA"/>
        </w:rPr>
        <w:t>av</w:t>
      </w:r>
      <w:r w:rsidR="007E112F" w:rsidRPr="003D19A0">
        <w:rPr>
          <w:lang w:val="fr-CA"/>
        </w:rPr>
        <w:t>r</w:t>
      </w:r>
      <w:r w:rsidR="001878EB" w:rsidRPr="003D19A0">
        <w:rPr>
          <w:lang w:val="fr-CA"/>
        </w:rPr>
        <w:t>il</w:t>
      </w:r>
      <w:r w:rsidR="00674329" w:rsidRPr="003D19A0">
        <w:rPr>
          <w:lang w:val="fr-CA"/>
        </w:rPr>
        <w:t xml:space="preserve"> </w:t>
      </w:r>
      <w:r w:rsidR="006648D1" w:rsidRPr="003D19A0">
        <w:rPr>
          <w:lang w:val="fr-CA"/>
        </w:rPr>
        <w:t>201</w:t>
      </w:r>
      <w:r w:rsidR="00674329" w:rsidRPr="003D19A0">
        <w:rPr>
          <w:lang w:val="fr-CA"/>
        </w:rPr>
        <w:t>6</w:t>
      </w:r>
      <w:r w:rsidRPr="003D19A0">
        <w:rPr>
          <w:lang w:val="fr-CA"/>
        </w:rPr>
        <w:t xml:space="preserve">, à 9 h 45 </w:t>
      </w:r>
      <w:r w:rsidR="000627A2" w:rsidRPr="003D19A0">
        <w:rPr>
          <w:lang w:val="fr-CA"/>
        </w:rPr>
        <w:t>H</w:t>
      </w:r>
      <w:r w:rsidR="003817A9" w:rsidRPr="003D19A0">
        <w:rPr>
          <w:lang w:val="fr-CA"/>
        </w:rPr>
        <w:t>A</w:t>
      </w:r>
      <w:r w:rsidRPr="003D19A0">
        <w:rPr>
          <w:lang w:val="fr-CA"/>
        </w:rPr>
        <w:t>E.  Cette liste est sujette à modifications.</w:t>
      </w:r>
    </w:p>
    <w:p w:rsidR="0080556B" w:rsidRPr="003D19A0" w:rsidRDefault="0080556B" w:rsidP="009B14F4">
      <w:pPr>
        <w:widowControl w:val="0"/>
        <w:jc w:val="both"/>
        <w:rPr>
          <w:sz w:val="20"/>
          <w:lang w:val="fr-CA"/>
        </w:rPr>
      </w:pPr>
    </w:p>
    <w:p w:rsidR="001838E0" w:rsidRPr="003D19A0" w:rsidRDefault="003D353C" w:rsidP="009B14F4">
      <w:pPr>
        <w:widowControl w:val="0"/>
        <w:jc w:val="both"/>
        <w:rPr>
          <w:sz w:val="20"/>
          <w:lang w:val="fr-CA"/>
        </w:rPr>
      </w:pPr>
      <w:r w:rsidRPr="003D19A0">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E112F" w:rsidRDefault="007E112F" w:rsidP="00A14921">
      <w:pPr>
        <w:widowControl w:val="0"/>
        <w:ind w:left="360" w:hanging="360"/>
        <w:rPr>
          <w:sz w:val="20"/>
          <w:lang w:val="fr-CA" w:eastAsia="en-CA"/>
        </w:rPr>
      </w:pPr>
    </w:p>
    <w:p w:rsidR="00E4090B" w:rsidRPr="00E4090B" w:rsidRDefault="00E4090B" w:rsidP="00E4090B">
      <w:pPr>
        <w:pStyle w:val="ListParagraph"/>
        <w:numPr>
          <w:ilvl w:val="0"/>
          <w:numId w:val="24"/>
        </w:numPr>
        <w:ind w:left="360"/>
        <w:rPr>
          <w:sz w:val="20"/>
          <w:lang w:val="fr-CA" w:eastAsia="en-CA"/>
        </w:rPr>
      </w:pPr>
      <w:r w:rsidRPr="00E4090B">
        <w:rPr>
          <w:i/>
          <w:sz w:val="20"/>
          <w:lang w:val="fr-CA" w:eastAsia="en-CA"/>
        </w:rPr>
        <w:t xml:space="preserve">Jo Anne Nancy Alexander v. </w:t>
      </w:r>
      <w:proofErr w:type="spellStart"/>
      <w:r w:rsidRPr="00E4090B">
        <w:rPr>
          <w:i/>
          <w:sz w:val="20"/>
          <w:lang w:val="fr-CA" w:eastAsia="en-CA"/>
        </w:rPr>
        <w:t>Her</w:t>
      </w:r>
      <w:proofErr w:type="spellEnd"/>
      <w:r w:rsidRPr="00E4090B">
        <w:rPr>
          <w:i/>
          <w:sz w:val="20"/>
          <w:lang w:val="fr-CA" w:eastAsia="en-CA"/>
        </w:rPr>
        <w:t xml:space="preserve"> </w:t>
      </w:r>
      <w:proofErr w:type="spellStart"/>
      <w:r w:rsidRPr="00E4090B">
        <w:rPr>
          <w:i/>
          <w:sz w:val="20"/>
          <w:lang w:val="fr-CA" w:eastAsia="en-CA"/>
        </w:rPr>
        <w:t>Majesty</w:t>
      </w:r>
      <w:proofErr w:type="spellEnd"/>
      <w:r w:rsidRPr="00E4090B">
        <w:rPr>
          <w:i/>
          <w:sz w:val="20"/>
          <w:lang w:val="fr-CA" w:eastAsia="en-CA"/>
        </w:rPr>
        <w:t xml:space="preserve"> the </w:t>
      </w:r>
      <w:proofErr w:type="spellStart"/>
      <w:r w:rsidRPr="00E4090B">
        <w:rPr>
          <w:i/>
          <w:sz w:val="20"/>
          <w:lang w:val="fr-CA" w:eastAsia="en-CA"/>
        </w:rPr>
        <w:t>Queen</w:t>
      </w:r>
      <w:proofErr w:type="spellEnd"/>
      <w:r w:rsidRPr="00E4090B">
        <w:rPr>
          <w:sz w:val="20"/>
          <w:lang w:val="fr-CA" w:eastAsia="en-CA"/>
        </w:rPr>
        <w:t xml:space="preserve"> (B.C.) (</w:t>
      </w:r>
      <w:proofErr w:type="spellStart"/>
      <w:r w:rsidRPr="00E4090B">
        <w:rPr>
          <w:sz w:val="20"/>
          <w:lang w:val="fr-CA" w:eastAsia="en-CA"/>
        </w:rPr>
        <w:t>Criminal</w:t>
      </w:r>
      <w:proofErr w:type="spellEnd"/>
      <w:r w:rsidRPr="00E4090B">
        <w:rPr>
          <w:sz w:val="20"/>
          <w:lang w:val="fr-CA" w:eastAsia="en-CA"/>
        </w:rPr>
        <w:t xml:space="preserve">) (By </w:t>
      </w:r>
      <w:proofErr w:type="spellStart"/>
      <w:r w:rsidRPr="00E4090B">
        <w:rPr>
          <w:sz w:val="20"/>
          <w:lang w:val="fr-CA" w:eastAsia="en-CA"/>
        </w:rPr>
        <w:t>Leave</w:t>
      </w:r>
      <w:proofErr w:type="spellEnd"/>
      <w:r w:rsidRPr="00E4090B">
        <w:rPr>
          <w:sz w:val="20"/>
          <w:lang w:val="fr-CA" w:eastAsia="en-CA"/>
        </w:rPr>
        <w:t xml:space="preserve">) </w:t>
      </w:r>
      <w:r w:rsidRPr="00E4090B">
        <w:rPr>
          <w:sz w:val="20"/>
          <w:lang w:val="en-CA"/>
        </w:rPr>
        <w:t>(</w:t>
      </w:r>
      <w:hyperlink r:id="rId8" w:history="1">
        <w:r w:rsidRPr="00E4090B">
          <w:rPr>
            <w:rStyle w:val="Hyperlink"/>
            <w:sz w:val="20"/>
            <w:lang w:val="en-CA"/>
          </w:rPr>
          <w:t>36818</w:t>
        </w:r>
      </w:hyperlink>
      <w:r w:rsidRPr="00E4090B">
        <w:rPr>
          <w:sz w:val="20"/>
          <w:lang w:val="en-CA"/>
        </w:rPr>
        <w:t>)</w:t>
      </w:r>
    </w:p>
    <w:p w:rsidR="00E4090B" w:rsidRPr="00E4090B" w:rsidRDefault="00E4090B" w:rsidP="00E4090B">
      <w:pPr>
        <w:widowControl w:val="0"/>
        <w:ind w:left="360" w:hanging="360"/>
        <w:rPr>
          <w:sz w:val="20"/>
          <w:lang w:val="fr-CA" w:eastAsia="en-CA"/>
        </w:rPr>
      </w:pPr>
    </w:p>
    <w:p w:rsidR="00E4090B" w:rsidRPr="00E4090B" w:rsidRDefault="00E4090B" w:rsidP="00E4090B">
      <w:pPr>
        <w:pStyle w:val="ListParagraph"/>
        <w:numPr>
          <w:ilvl w:val="0"/>
          <w:numId w:val="24"/>
        </w:numPr>
        <w:ind w:left="360"/>
        <w:rPr>
          <w:sz w:val="20"/>
          <w:lang w:val="fr-CA" w:eastAsia="en-CA"/>
        </w:rPr>
      </w:pPr>
      <w:r w:rsidRPr="00E4090B">
        <w:rPr>
          <w:i/>
          <w:sz w:val="20"/>
          <w:lang w:val="fr-CA" w:eastAsia="en-CA"/>
        </w:rPr>
        <w:t xml:space="preserve">Greenpeace Canada et al. v. Ontario Power </w:t>
      </w:r>
      <w:proofErr w:type="spellStart"/>
      <w:r w:rsidRPr="00E4090B">
        <w:rPr>
          <w:i/>
          <w:sz w:val="20"/>
          <w:lang w:val="fr-CA" w:eastAsia="en-CA"/>
        </w:rPr>
        <w:t>Generation</w:t>
      </w:r>
      <w:proofErr w:type="spellEnd"/>
      <w:r w:rsidRPr="00E4090B">
        <w:rPr>
          <w:i/>
          <w:sz w:val="20"/>
          <w:lang w:val="fr-CA" w:eastAsia="en-CA"/>
        </w:rPr>
        <w:t xml:space="preserve"> Inc. et al.</w:t>
      </w:r>
      <w:r w:rsidRPr="00E4090B">
        <w:rPr>
          <w:sz w:val="20"/>
          <w:lang w:val="fr-CA" w:eastAsia="en-CA"/>
        </w:rPr>
        <w:t xml:space="preserve"> (F</w:t>
      </w:r>
      <w:r w:rsidR="007943A8">
        <w:rPr>
          <w:sz w:val="20"/>
          <w:lang w:val="fr-CA" w:eastAsia="en-CA"/>
        </w:rPr>
        <w:t>.</w:t>
      </w:r>
      <w:r w:rsidRPr="00E4090B">
        <w:rPr>
          <w:sz w:val="20"/>
          <w:lang w:val="fr-CA" w:eastAsia="en-CA"/>
        </w:rPr>
        <w:t>C</w:t>
      </w:r>
      <w:r w:rsidR="007943A8">
        <w:rPr>
          <w:sz w:val="20"/>
          <w:lang w:val="fr-CA" w:eastAsia="en-CA"/>
        </w:rPr>
        <w:t>.</w:t>
      </w:r>
      <w:r w:rsidRPr="00E4090B">
        <w:rPr>
          <w:sz w:val="20"/>
          <w:lang w:val="fr-CA" w:eastAsia="en-CA"/>
        </w:rPr>
        <w:t xml:space="preserve">) (Civil) (By </w:t>
      </w:r>
      <w:proofErr w:type="spellStart"/>
      <w:r w:rsidRPr="00E4090B">
        <w:rPr>
          <w:sz w:val="20"/>
          <w:lang w:val="fr-CA" w:eastAsia="en-CA"/>
        </w:rPr>
        <w:t>Leave</w:t>
      </w:r>
      <w:proofErr w:type="spellEnd"/>
      <w:r w:rsidRPr="00E4090B">
        <w:rPr>
          <w:sz w:val="20"/>
          <w:lang w:val="fr-CA" w:eastAsia="en-CA"/>
        </w:rPr>
        <w:t xml:space="preserve">) </w:t>
      </w:r>
      <w:r w:rsidRPr="00E4090B">
        <w:rPr>
          <w:sz w:val="20"/>
          <w:lang w:val="en-CA"/>
        </w:rPr>
        <w:t>(</w:t>
      </w:r>
      <w:hyperlink r:id="rId9" w:history="1">
        <w:r w:rsidRPr="00E4090B">
          <w:rPr>
            <w:rStyle w:val="Hyperlink"/>
            <w:sz w:val="20"/>
            <w:lang w:val="en-CA"/>
          </w:rPr>
          <w:t>36711</w:t>
        </w:r>
      </w:hyperlink>
      <w:r w:rsidRPr="00E4090B">
        <w:rPr>
          <w:sz w:val="20"/>
          <w:lang w:val="en-CA"/>
        </w:rPr>
        <w:t>)</w:t>
      </w:r>
    </w:p>
    <w:p w:rsidR="00E4090B" w:rsidRPr="00E4090B" w:rsidRDefault="00E4090B" w:rsidP="00E4090B">
      <w:pPr>
        <w:widowControl w:val="0"/>
        <w:ind w:left="360" w:hanging="360"/>
        <w:rPr>
          <w:sz w:val="20"/>
          <w:lang w:val="fr-CA" w:eastAsia="en-CA"/>
        </w:rPr>
      </w:pPr>
    </w:p>
    <w:p w:rsidR="00E4090B" w:rsidRPr="00E4090B" w:rsidRDefault="001A4109" w:rsidP="00E4090B">
      <w:pPr>
        <w:pStyle w:val="ListParagraph"/>
        <w:numPr>
          <w:ilvl w:val="0"/>
          <w:numId w:val="24"/>
        </w:numPr>
        <w:ind w:left="360"/>
        <w:rPr>
          <w:sz w:val="20"/>
          <w:lang w:val="fr-CA" w:eastAsia="en-CA"/>
        </w:rPr>
      </w:pPr>
      <w:r>
        <w:rPr>
          <w:i/>
          <w:sz w:val="20"/>
          <w:lang w:val="fr-CA" w:eastAsia="en-CA"/>
        </w:rPr>
        <w:t>Syndicat des</w:t>
      </w:r>
      <w:r w:rsidR="00E4090B" w:rsidRPr="00E4090B">
        <w:rPr>
          <w:i/>
          <w:sz w:val="20"/>
          <w:lang w:val="fr-CA" w:eastAsia="en-CA"/>
        </w:rPr>
        <w:t xml:space="preserve"> travailleurs(</w:t>
      </w:r>
      <w:proofErr w:type="spellStart"/>
      <w:r w:rsidR="00E4090B" w:rsidRPr="00E4090B">
        <w:rPr>
          <w:i/>
          <w:sz w:val="20"/>
          <w:lang w:val="fr-CA" w:eastAsia="en-CA"/>
        </w:rPr>
        <w:t>euses</w:t>
      </w:r>
      <w:proofErr w:type="spellEnd"/>
      <w:r w:rsidR="00E4090B" w:rsidRPr="00E4090B">
        <w:rPr>
          <w:i/>
          <w:sz w:val="20"/>
          <w:lang w:val="fr-CA" w:eastAsia="en-CA"/>
        </w:rPr>
        <w:t>) en télécommunications (S.T.T.)</w:t>
      </w:r>
      <w:r>
        <w:rPr>
          <w:i/>
          <w:sz w:val="20"/>
          <w:lang w:val="fr-CA" w:eastAsia="en-CA"/>
        </w:rPr>
        <w:t>, section locale 1944 du Syndicat des Métallos (anciennement connue sous le nom de Syndicat des travailleurs(</w:t>
      </w:r>
      <w:proofErr w:type="spellStart"/>
      <w:r>
        <w:rPr>
          <w:i/>
          <w:sz w:val="20"/>
          <w:lang w:val="fr-CA" w:eastAsia="en-CA"/>
        </w:rPr>
        <w:t>euses</w:t>
      </w:r>
      <w:proofErr w:type="spellEnd"/>
      <w:r>
        <w:rPr>
          <w:i/>
          <w:sz w:val="20"/>
          <w:lang w:val="fr-CA" w:eastAsia="en-CA"/>
        </w:rPr>
        <w:t xml:space="preserve">) en télécommunications (S.T.T.)) </w:t>
      </w:r>
      <w:r w:rsidR="00E4090B" w:rsidRPr="00E4090B">
        <w:rPr>
          <w:i/>
          <w:sz w:val="20"/>
          <w:lang w:val="fr-CA" w:eastAsia="en-CA"/>
        </w:rPr>
        <w:t xml:space="preserve">c. </w:t>
      </w:r>
      <w:proofErr w:type="spellStart"/>
      <w:r w:rsidR="00E4090B" w:rsidRPr="00E4090B">
        <w:rPr>
          <w:i/>
          <w:sz w:val="20"/>
          <w:lang w:val="fr-CA" w:eastAsia="en-CA"/>
        </w:rPr>
        <w:t>Telus</w:t>
      </w:r>
      <w:proofErr w:type="spellEnd"/>
      <w:r w:rsidR="00E4090B" w:rsidRPr="00E4090B">
        <w:rPr>
          <w:i/>
          <w:sz w:val="20"/>
          <w:lang w:val="fr-CA" w:eastAsia="en-CA"/>
        </w:rPr>
        <w:t xml:space="preserve"> Communications Inc.</w:t>
      </w:r>
      <w:r w:rsidR="00E4090B" w:rsidRPr="00E4090B">
        <w:rPr>
          <w:sz w:val="20"/>
          <w:lang w:val="fr-CA" w:eastAsia="en-CA"/>
        </w:rPr>
        <w:t>(</w:t>
      </w:r>
      <w:proofErr w:type="spellStart"/>
      <w:r w:rsidR="00E4090B" w:rsidRPr="00E4090B">
        <w:rPr>
          <w:sz w:val="20"/>
          <w:lang w:val="fr-CA" w:eastAsia="en-CA"/>
        </w:rPr>
        <w:t>Qc</w:t>
      </w:r>
      <w:proofErr w:type="spellEnd"/>
      <w:r w:rsidR="00E4090B" w:rsidRPr="00E4090B">
        <w:rPr>
          <w:sz w:val="20"/>
          <w:lang w:val="fr-CA" w:eastAsia="en-CA"/>
        </w:rPr>
        <w:t>) (Civile) (Autorisation)</w:t>
      </w:r>
      <w:r w:rsidR="007943A8">
        <w:rPr>
          <w:sz w:val="20"/>
          <w:lang w:val="en-CA"/>
        </w:rPr>
        <w:t xml:space="preserve"> </w:t>
      </w:r>
      <w:r w:rsidR="007943A8" w:rsidRPr="00E4090B">
        <w:rPr>
          <w:sz w:val="20"/>
          <w:lang w:val="fr-FR" w:eastAsia="en-CA"/>
        </w:rPr>
        <w:t>(</w:t>
      </w:r>
      <w:hyperlink r:id="rId10" w:history="1">
        <w:r w:rsidR="007943A8" w:rsidRPr="00E4090B">
          <w:rPr>
            <w:rStyle w:val="Hyperlink"/>
            <w:sz w:val="20"/>
            <w:lang w:val="fr-FR" w:eastAsia="en-CA"/>
          </w:rPr>
          <w:t>36</w:t>
        </w:r>
        <w:r w:rsidR="007943A8">
          <w:rPr>
            <w:rStyle w:val="Hyperlink"/>
            <w:sz w:val="20"/>
            <w:lang w:val="fr-FR" w:eastAsia="en-CA"/>
          </w:rPr>
          <w:t>787</w:t>
        </w:r>
      </w:hyperlink>
      <w:r w:rsidR="007943A8" w:rsidRPr="00E4090B">
        <w:rPr>
          <w:sz w:val="20"/>
          <w:lang w:val="fr-FR" w:eastAsia="en-CA"/>
        </w:rPr>
        <w:t>)</w:t>
      </w:r>
    </w:p>
    <w:p w:rsidR="00E4090B" w:rsidRPr="00E4090B" w:rsidRDefault="00E4090B" w:rsidP="00E4090B">
      <w:pPr>
        <w:widowControl w:val="0"/>
        <w:ind w:left="360" w:hanging="360"/>
        <w:rPr>
          <w:sz w:val="20"/>
          <w:lang w:val="fr-CA" w:eastAsia="en-CA"/>
        </w:rPr>
      </w:pPr>
    </w:p>
    <w:p w:rsidR="00E4090B" w:rsidRPr="00E4090B" w:rsidRDefault="00E4090B" w:rsidP="00E4090B">
      <w:pPr>
        <w:pStyle w:val="ListParagraph"/>
        <w:numPr>
          <w:ilvl w:val="0"/>
          <w:numId w:val="24"/>
        </w:numPr>
        <w:ind w:left="360"/>
        <w:rPr>
          <w:sz w:val="20"/>
          <w:lang w:val="fr-CA" w:eastAsia="en-CA"/>
        </w:rPr>
      </w:pPr>
      <w:proofErr w:type="spellStart"/>
      <w:r w:rsidRPr="00E4090B">
        <w:rPr>
          <w:i/>
          <w:sz w:val="20"/>
          <w:lang w:val="fr-CA" w:eastAsia="en-CA"/>
        </w:rPr>
        <w:t>Hachmi</w:t>
      </w:r>
      <w:proofErr w:type="spellEnd"/>
      <w:r w:rsidRPr="00E4090B">
        <w:rPr>
          <w:i/>
          <w:sz w:val="20"/>
          <w:lang w:val="fr-CA" w:eastAsia="en-CA"/>
        </w:rPr>
        <w:t xml:space="preserve"> </w:t>
      </w:r>
      <w:proofErr w:type="spellStart"/>
      <w:r w:rsidRPr="00E4090B">
        <w:rPr>
          <w:i/>
          <w:sz w:val="20"/>
          <w:lang w:val="fr-CA" w:eastAsia="en-CA"/>
        </w:rPr>
        <w:t>Hammami</w:t>
      </w:r>
      <w:proofErr w:type="spellEnd"/>
      <w:r w:rsidRPr="00E4090B">
        <w:rPr>
          <w:i/>
          <w:sz w:val="20"/>
          <w:lang w:val="fr-CA" w:eastAsia="en-CA"/>
        </w:rPr>
        <w:t xml:space="preserve"> c. Karim Rachid </w:t>
      </w:r>
      <w:proofErr w:type="spellStart"/>
      <w:r w:rsidRPr="00E4090B">
        <w:rPr>
          <w:i/>
          <w:sz w:val="20"/>
          <w:lang w:val="fr-CA" w:eastAsia="en-CA"/>
        </w:rPr>
        <w:t>Krey</w:t>
      </w:r>
      <w:proofErr w:type="spellEnd"/>
      <w:r w:rsidRPr="00E4090B">
        <w:rPr>
          <w:i/>
          <w:sz w:val="20"/>
          <w:lang w:val="fr-CA" w:eastAsia="en-CA"/>
        </w:rPr>
        <w:t xml:space="preserve"> et a</w:t>
      </w:r>
      <w:r w:rsidR="00CE7C81">
        <w:rPr>
          <w:i/>
          <w:sz w:val="20"/>
          <w:lang w:val="fr-CA" w:eastAsia="en-CA"/>
        </w:rPr>
        <w:t>utres</w:t>
      </w:r>
      <w:r w:rsidRPr="00E4090B">
        <w:rPr>
          <w:sz w:val="20"/>
          <w:lang w:val="fr-CA" w:eastAsia="en-CA"/>
        </w:rPr>
        <w:t xml:space="preserve"> (</w:t>
      </w:r>
      <w:proofErr w:type="spellStart"/>
      <w:r w:rsidRPr="00E4090B">
        <w:rPr>
          <w:sz w:val="20"/>
          <w:lang w:val="fr-CA" w:eastAsia="en-CA"/>
        </w:rPr>
        <w:t>Qc</w:t>
      </w:r>
      <w:proofErr w:type="spellEnd"/>
      <w:r w:rsidRPr="00E4090B">
        <w:rPr>
          <w:sz w:val="20"/>
          <w:lang w:val="fr-CA" w:eastAsia="en-CA"/>
        </w:rPr>
        <w:t xml:space="preserve">) (Civile) (Autorisation) </w:t>
      </w:r>
      <w:r w:rsidRPr="00E4090B">
        <w:rPr>
          <w:sz w:val="20"/>
          <w:lang w:val="fr-FR" w:eastAsia="en-CA"/>
        </w:rPr>
        <w:t>(</w:t>
      </w:r>
      <w:hyperlink r:id="rId11" w:history="1">
        <w:r w:rsidRPr="00E4090B">
          <w:rPr>
            <w:rStyle w:val="Hyperlink"/>
            <w:sz w:val="20"/>
            <w:lang w:val="fr-FR" w:eastAsia="en-CA"/>
          </w:rPr>
          <w:t>36857</w:t>
        </w:r>
      </w:hyperlink>
      <w:r w:rsidRPr="00E4090B">
        <w:rPr>
          <w:sz w:val="20"/>
          <w:lang w:val="fr-FR" w:eastAsia="en-CA"/>
        </w:rPr>
        <w:t>)</w:t>
      </w:r>
    </w:p>
    <w:p w:rsidR="00E4090B" w:rsidRDefault="00E4090B" w:rsidP="00A14921">
      <w:pPr>
        <w:widowControl w:val="0"/>
        <w:ind w:left="360" w:hanging="360"/>
        <w:rPr>
          <w:sz w:val="20"/>
          <w:lang w:val="fr-CA" w:eastAsia="en-CA"/>
        </w:rPr>
      </w:pPr>
    </w:p>
    <w:p w:rsidR="00372E91" w:rsidRPr="00353B14" w:rsidRDefault="00372E91" w:rsidP="00353B14">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3B14" w:rsidRPr="00353B14" w:rsidTr="00E95A6A">
        <w:tc>
          <w:tcPr>
            <w:tcW w:w="543" w:type="pct"/>
          </w:tcPr>
          <w:p w:rsidR="00353B14" w:rsidRPr="00353B14" w:rsidRDefault="00353B14" w:rsidP="00353B14">
            <w:pPr>
              <w:jc w:val="both"/>
              <w:rPr>
                <w:sz w:val="20"/>
              </w:rPr>
            </w:pPr>
            <w:r w:rsidRPr="00353B14">
              <w:rPr>
                <w:rStyle w:val="SCCFileNumberChar"/>
                <w:sz w:val="20"/>
                <w:szCs w:val="20"/>
              </w:rPr>
              <w:t>36818</w:t>
            </w:r>
          </w:p>
        </w:tc>
        <w:tc>
          <w:tcPr>
            <w:tcW w:w="4457" w:type="pct"/>
            <w:gridSpan w:val="3"/>
          </w:tcPr>
          <w:p w:rsidR="00353B14" w:rsidRPr="00353B14" w:rsidRDefault="00353B14" w:rsidP="00353B14">
            <w:pPr>
              <w:pStyle w:val="SCCLsocParty"/>
              <w:jc w:val="both"/>
              <w:rPr>
                <w:b/>
                <w:sz w:val="20"/>
                <w:szCs w:val="20"/>
              </w:rPr>
            </w:pPr>
            <w:r w:rsidRPr="00353B14">
              <w:rPr>
                <w:b/>
                <w:sz w:val="20"/>
                <w:szCs w:val="20"/>
              </w:rPr>
              <w:t>Jo Anne Nancy Alexander v. Her Majesty the Queen</w:t>
            </w:r>
          </w:p>
          <w:p w:rsidR="00353B14" w:rsidRPr="00353B14" w:rsidRDefault="00353B14" w:rsidP="00353B14">
            <w:pPr>
              <w:jc w:val="both"/>
              <w:rPr>
                <w:sz w:val="20"/>
              </w:rPr>
            </w:pPr>
            <w:r w:rsidRPr="00353B14">
              <w:rPr>
                <w:sz w:val="20"/>
              </w:rPr>
              <w:t>(B.C.) (Criminal) (By Leave)</w:t>
            </w:r>
          </w:p>
        </w:tc>
      </w:tr>
      <w:tr w:rsidR="00353B14" w:rsidRPr="00353B14" w:rsidTr="00E95A6A">
        <w:tc>
          <w:tcPr>
            <w:tcW w:w="5000" w:type="pct"/>
            <w:gridSpan w:val="4"/>
          </w:tcPr>
          <w:p w:rsidR="00353B14" w:rsidRPr="00353B14" w:rsidRDefault="00353B14" w:rsidP="00353B14">
            <w:pPr>
              <w:jc w:val="both"/>
              <w:rPr>
                <w:sz w:val="20"/>
              </w:rPr>
            </w:pPr>
            <w:r w:rsidRPr="00353B14">
              <w:rPr>
                <w:sz w:val="20"/>
              </w:rPr>
              <w:t xml:space="preserve">Criminal law — </w:t>
            </w:r>
            <w:proofErr w:type="spellStart"/>
            <w:r w:rsidRPr="00353B14">
              <w:rPr>
                <w:sz w:val="20"/>
              </w:rPr>
              <w:t>Defences</w:t>
            </w:r>
            <w:proofErr w:type="spellEnd"/>
            <w:r w:rsidRPr="00353B14">
              <w:rPr>
                <w:sz w:val="20"/>
              </w:rPr>
              <w:t xml:space="preserve"> — Non-mental disorder automatism — Mental disorder automatism —</w:t>
            </w:r>
            <w:r w:rsidRPr="00353B14">
              <w:rPr>
                <w:iCs/>
                <w:sz w:val="20"/>
              </w:rPr>
              <w:t xml:space="preserve"> Trial judge instructed the jury only on non-mental disorder automatism</w:t>
            </w:r>
            <w:r w:rsidRPr="00353B14">
              <w:rPr>
                <w:sz w:val="20"/>
              </w:rPr>
              <w:t xml:space="preserve"> — Whether the Court of Appeal erred in finding that both forms of automatism could not be left with the jury.</w:t>
            </w:r>
          </w:p>
        </w:tc>
      </w:tr>
      <w:tr w:rsidR="00353B14" w:rsidRPr="00353B14" w:rsidTr="00E95A6A">
        <w:tc>
          <w:tcPr>
            <w:tcW w:w="5000" w:type="pct"/>
            <w:gridSpan w:val="4"/>
          </w:tcPr>
          <w:p w:rsidR="00353B14" w:rsidRPr="00353B14" w:rsidRDefault="00353B14" w:rsidP="00353B14">
            <w:pPr>
              <w:jc w:val="both"/>
              <w:rPr>
                <w:sz w:val="20"/>
              </w:rPr>
            </w:pPr>
          </w:p>
        </w:tc>
      </w:tr>
      <w:tr w:rsidR="00353B14" w:rsidRPr="00353B14" w:rsidTr="00E95A6A">
        <w:tc>
          <w:tcPr>
            <w:tcW w:w="5000" w:type="pct"/>
            <w:gridSpan w:val="4"/>
          </w:tcPr>
          <w:p w:rsidR="00353B14" w:rsidRPr="00353B14" w:rsidRDefault="00353B14" w:rsidP="00353B14">
            <w:pPr>
              <w:jc w:val="both"/>
              <w:rPr>
                <w:iCs/>
                <w:sz w:val="20"/>
              </w:rPr>
            </w:pPr>
            <w:r w:rsidRPr="00353B14">
              <w:rPr>
                <w:sz w:val="20"/>
              </w:rPr>
              <w:t xml:space="preserve">The applicant does not dispute she killed her husband John by hitting his head several times with a baseball bat or a hammer. She claims she does not remember inflicting the blows but only recalls the shocking sight of her husband with a knife in his ear. The applicant requested that the </w:t>
            </w:r>
            <w:r w:rsidRPr="00353B14">
              <w:rPr>
                <w:iCs/>
                <w:sz w:val="20"/>
              </w:rPr>
              <w:t>trial judge instruct the jury on both mental and non-mental disorder automatism. The judge instructed the jury only on non-mental disorder automatism. The jury convicted the applicant of second degree murder. The Court of Appeal dismissed the appeal.</w:t>
            </w:r>
          </w:p>
          <w:p w:rsidR="00353B14" w:rsidRPr="00353B14" w:rsidRDefault="00353B14" w:rsidP="00353B14">
            <w:pPr>
              <w:jc w:val="both"/>
              <w:rPr>
                <w:sz w:val="20"/>
              </w:rPr>
            </w:pPr>
          </w:p>
        </w:tc>
      </w:tr>
      <w:tr w:rsidR="00353B14" w:rsidRPr="00353B14" w:rsidTr="00E95A6A">
        <w:tc>
          <w:tcPr>
            <w:tcW w:w="2427" w:type="pct"/>
            <w:gridSpan w:val="2"/>
          </w:tcPr>
          <w:p w:rsidR="00353B14" w:rsidRPr="00353B14" w:rsidRDefault="00353B14" w:rsidP="00353B14">
            <w:pPr>
              <w:jc w:val="both"/>
              <w:rPr>
                <w:sz w:val="20"/>
              </w:rPr>
            </w:pPr>
            <w:r w:rsidRPr="00353B14">
              <w:rPr>
                <w:sz w:val="20"/>
              </w:rPr>
              <w:lastRenderedPageBreak/>
              <w:t>March 19, 2014</w:t>
            </w:r>
          </w:p>
          <w:p w:rsidR="00353B14" w:rsidRPr="00353B14" w:rsidRDefault="00353B14" w:rsidP="00353B14">
            <w:pPr>
              <w:jc w:val="both"/>
              <w:rPr>
                <w:sz w:val="20"/>
              </w:rPr>
            </w:pPr>
            <w:r w:rsidRPr="00353B14">
              <w:rPr>
                <w:sz w:val="20"/>
              </w:rPr>
              <w:t>Supreme Court of British Columbia</w:t>
            </w:r>
          </w:p>
          <w:p w:rsidR="00353B14" w:rsidRPr="00353B14" w:rsidRDefault="00353B14" w:rsidP="00353B14">
            <w:pPr>
              <w:jc w:val="both"/>
              <w:rPr>
                <w:sz w:val="20"/>
              </w:rPr>
            </w:pPr>
            <w:r w:rsidRPr="00353B14">
              <w:rPr>
                <w:sz w:val="20"/>
              </w:rPr>
              <w:t>(</w:t>
            </w:r>
            <w:proofErr w:type="spellStart"/>
            <w:r w:rsidRPr="00353B14">
              <w:rPr>
                <w:sz w:val="20"/>
              </w:rPr>
              <w:t>Watchuk</w:t>
            </w:r>
            <w:proofErr w:type="spellEnd"/>
            <w:r w:rsidRPr="00353B14">
              <w:rPr>
                <w:sz w:val="20"/>
              </w:rPr>
              <w:t> J.)</w:t>
            </w:r>
          </w:p>
          <w:p w:rsidR="00353B14" w:rsidRPr="00353B14" w:rsidRDefault="00353B14" w:rsidP="00353B14">
            <w:pPr>
              <w:jc w:val="both"/>
              <w:rPr>
                <w:sz w:val="20"/>
              </w:rPr>
            </w:pPr>
            <w:r w:rsidRPr="00353B14">
              <w:rPr>
                <w:sz w:val="20"/>
              </w:rPr>
              <w:t>2014 BCSC 554</w:t>
            </w:r>
          </w:p>
          <w:p w:rsidR="00353B14" w:rsidRPr="00353B14" w:rsidRDefault="00353B14" w:rsidP="00353B14">
            <w:pPr>
              <w:jc w:val="both"/>
              <w:rPr>
                <w:sz w:val="20"/>
              </w:rPr>
            </w:pPr>
            <w:hyperlink r:id="rId12" w:history="1">
              <w:r w:rsidRPr="00353B14">
                <w:rPr>
                  <w:rStyle w:val="Hyperlink"/>
                  <w:rFonts w:eastAsiaTheme="majorEastAsia"/>
                  <w:sz w:val="20"/>
                </w:rPr>
                <w:t>http://canlii.ca/t/g6cfk</w:t>
              </w:r>
            </w:hyperlink>
          </w:p>
          <w:p w:rsidR="00353B14" w:rsidRPr="00353B14" w:rsidRDefault="00353B14" w:rsidP="00353B14">
            <w:pPr>
              <w:jc w:val="both"/>
              <w:rPr>
                <w:sz w:val="20"/>
              </w:rPr>
            </w:pPr>
          </w:p>
        </w:tc>
        <w:tc>
          <w:tcPr>
            <w:tcW w:w="243" w:type="pct"/>
          </w:tcPr>
          <w:p w:rsidR="00353B14" w:rsidRPr="00353B14" w:rsidRDefault="00353B14" w:rsidP="00353B14">
            <w:pPr>
              <w:jc w:val="both"/>
              <w:rPr>
                <w:sz w:val="20"/>
              </w:rPr>
            </w:pPr>
          </w:p>
        </w:tc>
        <w:tc>
          <w:tcPr>
            <w:tcW w:w="2330" w:type="pct"/>
          </w:tcPr>
          <w:p w:rsidR="00353B14" w:rsidRPr="00353B14" w:rsidRDefault="00353B14" w:rsidP="00353B14">
            <w:pPr>
              <w:jc w:val="both"/>
              <w:rPr>
                <w:sz w:val="20"/>
              </w:rPr>
            </w:pPr>
            <w:r w:rsidRPr="00353B14">
              <w:rPr>
                <w:sz w:val="20"/>
              </w:rPr>
              <w:t>Ruling: jury instructed on the non-mental disorder automatism defence</w:t>
            </w:r>
          </w:p>
          <w:p w:rsidR="00353B14" w:rsidRPr="00353B14" w:rsidRDefault="00353B14" w:rsidP="00353B14">
            <w:pPr>
              <w:jc w:val="both"/>
              <w:rPr>
                <w:sz w:val="20"/>
              </w:rPr>
            </w:pPr>
          </w:p>
        </w:tc>
      </w:tr>
      <w:tr w:rsidR="00353B14" w:rsidRPr="00353B14" w:rsidTr="00E95A6A">
        <w:tc>
          <w:tcPr>
            <w:tcW w:w="2427" w:type="pct"/>
            <w:gridSpan w:val="2"/>
          </w:tcPr>
          <w:p w:rsidR="00353B14" w:rsidRPr="00353B14" w:rsidRDefault="00353B14" w:rsidP="00353B14">
            <w:pPr>
              <w:jc w:val="both"/>
              <w:rPr>
                <w:sz w:val="20"/>
              </w:rPr>
            </w:pPr>
            <w:r w:rsidRPr="00353B14">
              <w:rPr>
                <w:sz w:val="20"/>
              </w:rPr>
              <w:t>March 25, 2014</w:t>
            </w:r>
          </w:p>
          <w:p w:rsidR="00353B14" w:rsidRPr="00353B14" w:rsidRDefault="00353B14" w:rsidP="00353B14">
            <w:pPr>
              <w:jc w:val="both"/>
              <w:rPr>
                <w:sz w:val="20"/>
              </w:rPr>
            </w:pPr>
            <w:r w:rsidRPr="00353B14">
              <w:rPr>
                <w:sz w:val="20"/>
              </w:rPr>
              <w:t>Supreme Court of British Columbia</w:t>
            </w:r>
          </w:p>
          <w:p w:rsidR="00353B14" w:rsidRPr="00353B14" w:rsidRDefault="00353B14" w:rsidP="00353B14">
            <w:pPr>
              <w:jc w:val="both"/>
              <w:rPr>
                <w:sz w:val="20"/>
              </w:rPr>
            </w:pPr>
            <w:r w:rsidRPr="00353B14">
              <w:rPr>
                <w:sz w:val="20"/>
              </w:rPr>
              <w:t>(</w:t>
            </w:r>
            <w:proofErr w:type="spellStart"/>
            <w:r w:rsidRPr="00353B14">
              <w:rPr>
                <w:sz w:val="20"/>
              </w:rPr>
              <w:t>Watchuk</w:t>
            </w:r>
            <w:proofErr w:type="spellEnd"/>
            <w:r w:rsidRPr="00353B14">
              <w:rPr>
                <w:sz w:val="20"/>
              </w:rPr>
              <w:t> J.)</w:t>
            </w:r>
          </w:p>
          <w:p w:rsidR="00353B14" w:rsidRPr="00353B14" w:rsidRDefault="00353B14" w:rsidP="00353B14">
            <w:pPr>
              <w:jc w:val="both"/>
              <w:rPr>
                <w:sz w:val="20"/>
              </w:rPr>
            </w:pPr>
          </w:p>
        </w:tc>
        <w:tc>
          <w:tcPr>
            <w:tcW w:w="243" w:type="pct"/>
          </w:tcPr>
          <w:p w:rsidR="00353B14" w:rsidRPr="00353B14" w:rsidRDefault="00353B14" w:rsidP="00353B14">
            <w:pPr>
              <w:jc w:val="both"/>
              <w:rPr>
                <w:sz w:val="20"/>
              </w:rPr>
            </w:pPr>
          </w:p>
        </w:tc>
        <w:tc>
          <w:tcPr>
            <w:tcW w:w="2330" w:type="pct"/>
          </w:tcPr>
          <w:p w:rsidR="00353B14" w:rsidRPr="00353B14" w:rsidRDefault="00353B14" w:rsidP="00353B14">
            <w:pPr>
              <w:jc w:val="both"/>
              <w:rPr>
                <w:sz w:val="20"/>
              </w:rPr>
            </w:pPr>
            <w:r w:rsidRPr="00353B14">
              <w:rPr>
                <w:sz w:val="20"/>
              </w:rPr>
              <w:t>Applicant convicted of second degree murder</w:t>
            </w:r>
          </w:p>
        </w:tc>
      </w:tr>
      <w:tr w:rsidR="00353B14" w:rsidRPr="00353B14" w:rsidTr="00E95A6A">
        <w:tc>
          <w:tcPr>
            <w:tcW w:w="2427" w:type="pct"/>
            <w:gridSpan w:val="2"/>
          </w:tcPr>
          <w:p w:rsidR="00353B14" w:rsidRPr="00353B14" w:rsidRDefault="00353B14" w:rsidP="00353B14">
            <w:pPr>
              <w:jc w:val="both"/>
              <w:rPr>
                <w:sz w:val="20"/>
              </w:rPr>
            </w:pPr>
            <w:r w:rsidRPr="00353B14">
              <w:rPr>
                <w:sz w:val="20"/>
              </w:rPr>
              <w:t>November 27, 2015</w:t>
            </w:r>
          </w:p>
          <w:p w:rsidR="00353B14" w:rsidRPr="00353B14" w:rsidRDefault="00353B14" w:rsidP="00353B14">
            <w:pPr>
              <w:jc w:val="both"/>
              <w:rPr>
                <w:sz w:val="20"/>
              </w:rPr>
            </w:pPr>
            <w:r w:rsidRPr="00353B14">
              <w:rPr>
                <w:sz w:val="20"/>
              </w:rPr>
              <w:t xml:space="preserve">Court of Appeal for British Columbia </w:t>
            </w:r>
          </w:p>
          <w:p w:rsidR="00353B14" w:rsidRPr="00353B14" w:rsidRDefault="00353B14" w:rsidP="00353B14">
            <w:pPr>
              <w:jc w:val="both"/>
              <w:rPr>
                <w:sz w:val="20"/>
                <w:lang w:val="fr-FR"/>
              </w:rPr>
            </w:pPr>
            <w:r w:rsidRPr="00353B14">
              <w:rPr>
                <w:sz w:val="20"/>
                <w:lang w:val="fr-FR"/>
              </w:rPr>
              <w:t>(Vancouver)</w:t>
            </w:r>
          </w:p>
          <w:p w:rsidR="00353B14" w:rsidRPr="00353B14" w:rsidRDefault="00353B14" w:rsidP="00353B14">
            <w:pPr>
              <w:jc w:val="both"/>
              <w:rPr>
                <w:sz w:val="20"/>
                <w:lang w:val="fr-FR"/>
              </w:rPr>
            </w:pPr>
            <w:r w:rsidRPr="00353B14">
              <w:rPr>
                <w:sz w:val="20"/>
                <w:lang w:val="fr-FR"/>
              </w:rPr>
              <w:t>(</w:t>
            </w:r>
            <w:proofErr w:type="spellStart"/>
            <w:r w:rsidRPr="00353B14">
              <w:rPr>
                <w:sz w:val="20"/>
                <w:lang w:val="fr-FR"/>
              </w:rPr>
              <w:t>Bauman</w:t>
            </w:r>
            <w:proofErr w:type="spellEnd"/>
            <w:r w:rsidRPr="00353B14">
              <w:rPr>
                <w:sz w:val="20"/>
                <w:lang w:val="fr-FR"/>
              </w:rPr>
              <w:t xml:space="preserve">, Chiasson, </w:t>
            </w:r>
            <w:proofErr w:type="spellStart"/>
            <w:r w:rsidRPr="00353B14">
              <w:rPr>
                <w:sz w:val="20"/>
                <w:lang w:val="fr-FR"/>
              </w:rPr>
              <w:t>Stromberg</w:t>
            </w:r>
            <w:proofErr w:type="spellEnd"/>
            <w:r w:rsidRPr="00353B14">
              <w:rPr>
                <w:sz w:val="20"/>
                <w:lang w:val="fr-FR"/>
              </w:rPr>
              <w:t>-Stein JJ.A.)</w:t>
            </w:r>
          </w:p>
          <w:p w:rsidR="00353B14" w:rsidRPr="00353B14" w:rsidRDefault="00353B14" w:rsidP="00353B14">
            <w:pPr>
              <w:jc w:val="both"/>
              <w:rPr>
                <w:sz w:val="20"/>
              </w:rPr>
            </w:pPr>
            <w:r w:rsidRPr="00353B14">
              <w:rPr>
                <w:sz w:val="20"/>
              </w:rPr>
              <w:t>2015 BCCA 484; CA42014</w:t>
            </w:r>
          </w:p>
          <w:p w:rsidR="00353B14" w:rsidRPr="00353B14" w:rsidRDefault="00353B14" w:rsidP="00353B14">
            <w:pPr>
              <w:jc w:val="both"/>
              <w:rPr>
                <w:sz w:val="20"/>
              </w:rPr>
            </w:pPr>
            <w:hyperlink r:id="rId13" w:history="1">
              <w:r w:rsidRPr="00353B14">
                <w:rPr>
                  <w:rStyle w:val="Hyperlink"/>
                  <w:rFonts w:eastAsiaTheme="majorEastAsia"/>
                  <w:sz w:val="20"/>
                </w:rPr>
                <w:t>http://canlii.ca/t/gm91s</w:t>
              </w:r>
            </w:hyperlink>
          </w:p>
          <w:p w:rsidR="00353B14" w:rsidRPr="00353B14" w:rsidRDefault="00353B14" w:rsidP="00353B14">
            <w:pPr>
              <w:jc w:val="both"/>
              <w:rPr>
                <w:sz w:val="20"/>
              </w:rPr>
            </w:pPr>
          </w:p>
        </w:tc>
        <w:tc>
          <w:tcPr>
            <w:tcW w:w="243" w:type="pct"/>
          </w:tcPr>
          <w:p w:rsidR="00353B14" w:rsidRPr="00353B14" w:rsidRDefault="00353B14" w:rsidP="00353B14">
            <w:pPr>
              <w:jc w:val="both"/>
              <w:rPr>
                <w:sz w:val="20"/>
              </w:rPr>
            </w:pPr>
          </w:p>
        </w:tc>
        <w:tc>
          <w:tcPr>
            <w:tcW w:w="2330" w:type="pct"/>
          </w:tcPr>
          <w:p w:rsidR="00353B14" w:rsidRPr="00353B14" w:rsidRDefault="00353B14" w:rsidP="00353B14">
            <w:pPr>
              <w:jc w:val="both"/>
              <w:rPr>
                <w:sz w:val="20"/>
              </w:rPr>
            </w:pPr>
            <w:r w:rsidRPr="00353B14">
              <w:rPr>
                <w:sz w:val="20"/>
              </w:rPr>
              <w:t>Appeal dismissed</w:t>
            </w:r>
          </w:p>
          <w:p w:rsidR="00353B14" w:rsidRPr="00353B14" w:rsidRDefault="00353B14" w:rsidP="00353B14">
            <w:pPr>
              <w:jc w:val="both"/>
              <w:rPr>
                <w:sz w:val="20"/>
              </w:rPr>
            </w:pPr>
          </w:p>
        </w:tc>
      </w:tr>
      <w:tr w:rsidR="00353B14" w:rsidRPr="00353B14" w:rsidTr="00E95A6A">
        <w:tc>
          <w:tcPr>
            <w:tcW w:w="2427" w:type="pct"/>
            <w:gridSpan w:val="2"/>
          </w:tcPr>
          <w:p w:rsidR="00353B14" w:rsidRPr="00353B14" w:rsidRDefault="00353B14" w:rsidP="00353B14">
            <w:pPr>
              <w:jc w:val="both"/>
              <w:rPr>
                <w:sz w:val="20"/>
              </w:rPr>
            </w:pPr>
            <w:r w:rsidRPr="00353B14">
              <w:rPr>
                <w:sz w:val="20"/>
              </w:rPr>
              <w:t>January 26, 2016</w:t>
            </w:r>
          </w:p>
          <w:p w:rsidR="00353B14" w:rsidRPr="00353B14" w:rsidRDefault="00353B14" w:rsidP="00353B14">
            <w:pPr>
              <w:jc w:val="both"/>
              <w:rPr>
                <w:sz w:val="20"/>
              </w:rPr>
            </w:pPr>
            <w:r w:rsidRPr="00353B14">
              <w:rPr>
                <w:sz w:val="20"/>
              </w:rPr>
              <w:t>Supreme Court of Canada</w:t>
            </w:r>
          </w:p>
        </w:tc>
        <w:tc>
          <w:tcPr>
            <w:tcW w:w="243" w:type="pct"/>
          </w:tcPr>
          <w:p w:rsidR="00353B14" w:rsidRPr="00353B14" w:rsidRDefault="00353B14" w:rsidP="00353B14">
            <w:pPr>
              <w:jc w:val="both"/>
              <w:rPr>
                <w:sz w:val="20"/>
              </w:rPr>
            </w:pPr>
          </w:p>
        </w:tc>
        <w:tc>
          <w:tcPr>
            <w:tcW w:w="2330" w:type="pct"/>
          </w:tcPr>
          <w:p w:rsidR="00353B14" w:rsidRPr="00353B14" w:rsidRDefault="00353B14" w:rsidP="00353B14">
            <w:pPr>
              <w:jc w:val="both"/>
              <w:rPr>
                <w:sz w:val="20"/>
              </w:rPr>
            </w:pPr>
            <w:r w:rsidRPr="00353B14">
              <w:rPr>
                <w:sz w:val="20"/>
              </w:rPr>
              <w:t>Application for leave to appeal filed</w:t>
            </w:r>
          </w:p>
          <w:p w:rsidR="00353B14" w:rsidRPr="00353B14" w:rsidRDefault="00353B14" w:rsidP="00353B14">
            <w:pPr>
              <w:jc w:val="both"/>
              <w:rPr>
                <w:sz w:val="20"/>
              </w:rPr>
            </w:pPr>
          </w:p>
        </w:tc>
      </w:tr>
    </w:tbl>
    <w:p w:rsidR="00353B14" w:rsidRDefault="00353B14" w:rsidP="00353B14">
      <w:pPr>
        <w:jc w:val="both"/>
        <w:rPr>
          <w:sz w:val="20"/>
        </w:rPr>
      </w:pPr>
    </w:p>
    <w:p w:rsidR="00353B14" w:rsidRPr="00353B14" w:rsidRDefault="00353B14" w:rsidP="00353B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3B14" w:rsidRPr="00353B14" w:rsidTr="00E95A6A">
        <w:tc>
          <w:tcPr>
            <w:tcW w:w="543" w:type="pct"/>
          </w:tcPr>
          <w:p w:rsidR="00353B14" w:rsidRPr="00353B14" w:rsidRDefault="00353B14" w:rsidP="00353B14">
            <w:pPr>
              <w:jc w:val="both"/>
              <w:rPr>
                <w:sz w:val="20"/>
                <w:lang w:val="fr-CA"/>
              </w:rPr>
            </w:pPr>
            <w:r w:rsidRPr="00353B14">
              <w:rPr>
                <w:rStyle w:val="SCCFileNumberChar"/>
                <w:sz w:val="20"/>
                <w:szCs w:val="20"/>
                <w:lang w:val="fr-CA"/>
              </w:rPr>
              <w:t>36818</w:t>
            </w:r>
          </w:p>
        </w:tc>
        <w:tc>
          <w:tcPr>
            <w:tcW w:w="4457" w:type="pct"/>
            <w:gridSpan w:val="3"/>
          </w:tcPr>
          <w:p w:rsidR="00353B14" w:rsidRPr="00353B14" w:rsidRDefault="00353B14" w:rsidP="00353B14">
            <w:pPr>
              <w:pStyle w:val="SCCLsocParty"/>
              <w:jc w:val="both"/>
              <w:rPr>
                <w:b/>
                <w:sz w:val="20"/>
                <w:szCs w:val="20"/>
              </w:rPr>
            </w:pPr>
            <w:r w:rsidRPr="00353B14">
              <w:rPr>
                <w:b/>
                <w:sz w:val="20"/>
                <w:szCs w:val="20"/>
              </w:rPr>
              <w:t>Jo Anne Nancy Alexander c. Sa Majesté la Reine</w:t>
            </w:r>
          </w:p>
          <w:p w:rsidR="00353B14" w:rsidRPr="00353B14" w:rsidRDefault="00353B14" w:rsidP="005F4531">
            <w:pPr>
              <w:jc w:val="both"/>
              <w:rPr>
                <w:sz w:val="20"/>
                <w:lang w:val="fr-CA"/>
              </w:rPr>
            </w:pPr>
            <w:r w:rsidRPr="00353B14">
              <w:rPr>
                <w:sz w:val="20"/>
                <w:lang w:val="fr-CA"/>
              </w:rPr>
              <w:t>(C.-B.) (Criminelle) (</w:t>
            </w:r>
            <w:r w:rsidR="005F4531">
              <w:rPr>
                <w:sz w:val="20"/>
                <w:lang w:val="fr-CA"/>
              </w:rPr>
              <w:t>A</w:t>
            </w:r>
            <w:r w:rsidRPr="00353B14">
              <w:rPr>
                <w:sz w:val="20"/>
                <w:lang w:val="fr-CA"/>
              </w:rPr>
              <w:t>utorisation)</w:t>
            </w:r>
          </w:p>
        </w:tc>
      </w:tr>
      <w:tr w:rsidR="00353B14" w:rsidRPr="00353B14" w:rsidTr="00E95A6A">
        <w:tc>
          <w:tcPr>
            <w:tcW w:w="5000" w:type="pct"/>
            <w:gridSpan w:val="4"/>
          </w:tcPr>
          <w:p w:rsidR="00353B14" w:rsidRPr="00353B14" w:rsidRDefault="00353B14" w:rsidP="00353B14">
            <w:pPr>
              <w:jc w:val="both"/>
              <w:rPr>
                <w:sz w:val="20"/>
                <w:lang w:val="fr-CA"/>
              </w:rPr>
            </w:pPr>
            <w:r w:rsidRPr="00353B14">
              <w:rPr>
                <w:sz w:val="20"/>
                <w:lang w:val="fr-CA"/>
              </w:rPr>
              <w:t>Droit criminel — Moyens de défense — Automatisme sans troubles mentaux — Automatisme avec troubles mentaux —</w:t>
            </w:r>
            <w:r w:rsidRPr="00353B14">
              <w:rPr>
                <w:iCs/>
                <w:sz w:val="20"/>
                <w:lang w:val="fr-CA"/>
              </w:rPr>
              <w:t xml:space="preserve"> La juge du procès a donné au jury des directives qui ne portaient que sur l’automatisme sans troubles mentaux </w:t>
            </w:r>
            <w:r w:rsidRPr="00353B14">
              <w:rPr>
                <w:sz w:val="20"/>
                <w:lang w:val="fr-CA"/>
              </w:rPr>
              <w:t>— La Cour d’appel a-t-elle eu tort de conclure que les deux formes d’automatisme ne pouvaient pas être soumises à l’appréciation du jury?</w:t>
            </w:r>
          </w:p>
        </w:tc>
      </w:tr>
      <w:tr w:rsidR="00353B14" w:rsidRPr="00353B14" w:rsidTr="00E95A6A">
        <w:tc>
          <w:tcPr>
            <w:tcW w:w="5000" w:type="pct"/>
            <w:gridSpan w:val="4"/>
          </w:tcPr>
          <w:p w:rsidR="00353B14" w:rsidRPr="00353B14" w:rsidRDefault="00353B14" w:rsidP="00353B14">
            <w:pPr>
              <w:jc w:val="both"/>
              <w:rPr>
                <w:sz w:val="20"/>
                <w:lang w:val="fr-CA"/>
              </w:rPr>
            </w:pPr>
          </w:p>
        </w:tc>
      </w:tr>
      <w:tr w:rsidR="00353B14" w:rsidRPr="00353B14" w:rsidTr="00E95A6A">
        <w:tc>
          <w:tcPr>
            <w:tcW w:w="5000" w:type="pct"/>
            <w:gridSpan w:val="4"/>
          </w:tcPr>
          <w:p w:rsidR="00353B14" w:rsidRPr="00353B14" w:rsidRDefault="00353B14" w:rsidP="00353B14">
            <w:pPr>
              <w:jc w:val="both"/>
              <w:rPr>
                <w:iCs/>
                <w:sz w:val="20"/>
                <w:lang w:val="fr-CA"/>
              </w:rPr>
            </w:pPr>
            <w:r w:rsidRPr="00353B14">
              <w:rPr>
                <w:sz w:val="20"/>
                <w:lang w:val="fr-CA"/>
              </w:rPr>
              <w:t>La demanderesse ne nie pas avoir tué son mari John en le frappant plusieurs fois à la tête avec un bâton de baseball ou un marteau. Elle allègue ne pas se souvenir de lui avoir asséné les coups, mais se rappelle seulement la vue bouleversante de son mari avec un couteau dans l’oreille. La demanderesse a demandé à la juge du procès de donner au jury des directives sur l’automatisme avec troubles mentaux et sans troubles mentaux. La juge a donné au jury des directives qui ne portaient que sur l’automatisme sans troubles mentaux. Le jury a déclaré la demanderesse coupable de meurtre au deuxième degré. La Cour d’appel a rejeté l’appel</w:t>
            </w:r>
            <w:r w:rsidRPr="00353B14">
              <w:rPr>
                <w:iCs/>
                <w:sz w:val="20"/>
                <w:lang w:val="fr-CA"/>
              </w:rPr>
              <w:t>.</w:t>
            </w:r>
          </w:p>
          <w:p w:rsidR="00353B14" w:rsidRPr="00353B14" w:rsidRDefault="00353B14" w:rsidP="00353B14">
            <w:pPr>
              <w:jc w:val="both"/>
              <w:rPr>
                <w:sz w:val="20"/>
                <w:lang w:val="fr-CA"/>
              </w:rPr>
            </w:pPr>
          </w:p>
        </w:tc>
      </w:tr>
      <w:tr w:rsidR="00353B14" w:rsidRPr="00353B14" w:rsidTr="00E95A6A">
        <w:tc>
          <w:tcPr>
            <w:tcW w:w="2427" w:type="pct"/>
            <w:gridSpan w:val="2"/>
          </w:tcPr>
          <w:p w:rsidR="00353B14" w:rsidRPr="00353B14" w:rsidRDefault="00353B14" w:rsidP="00353B14">
            <w:pPr>
              <w:jc w:val="both"/>
              <w:rPr>
                <w:sz w:val="20"/>
                <w:lang w:val="fr-CA"/>
              </w:rPr>
            </w:pPr>
            <w:r w:rsidRPr="00353B14">
              <w:rPr>
                <w:sz w:val="20"/>
                <w:lang w:val="fr-CA"/>
              </w:rPr>
              <w:t>19 mars 2014</w:t>
            </w:r>
          </w:p>
          <w:p w:rsidR="00353B14" w:rsidRPr="00353B14" w:rsidRDefault="00353B14" w:rsidP="00353B14">
            <w:pPr>
              <w:jc w:val="both"/>
              <w:rPr>
                <w:sz w:val="20"/>
                <w:lang w:val="fr-CA"/>
              </w:rPr>
            </w:pPr>
            <w:r w:rsidRPr="00353B14">
              <w:rPr>
                <w:sz w:val="20"/>
                <w:lang w:val="fr-CA"/>
              </w:rPr>
              <w:t>Cour suprême de la Colombie-Britannique</w:t>
            </w:r>
          </w:p>
          <w:p w:rsidR="00353B14" w:rsidRPr="00353B14" w:rsidRDefault="00353B14" w:rsidP="00353B14">
            <w:pPr>
              <w:jc w:val="both"/>
              <w:rPr>
                <w:sz w:val="20"/>
                <w:lang w:val="fr-CA"/>
              </w:rPr>
            </w:pPr>
            <w:r w:rsidRPr="00353B14">
              <w:rPr>
                <w:sz w:val="20"/>
                <w:lang w:val="fr-CA"/>
              </w:rPr>
              <w:t>(Juge Watchuk)</w:t>
            </w:r>
          </w:p>
          <w:p w:rsidR="00353B14" w:rsidRPr="00353B14" w:rsidRDefault="00353B14" w:rsidP="00353B14">
            <w:pPr>
              <w:jc w:val="both"/>
              <w:rPr>
                <w:sz w:val="20"/>
                <w:lang w:val="fr-CA"/>
              </w:rPr>
            </w:pPr>
            <w:r w:rsidRPr="00353B14">
              <w:rPr>
                <w:sz w:val="20"/>
                <w:lang w:val="fr-CA"/>
              </w:rPr>
              <w:t>2014 BCSC 554</w:t>
            </w:r>
          </w:p>
          <w:p w:rsidR="00353B14" w:rsidRPr="00353B14" w:rsidRDefault="00353B14" w:rsidP="00353B14">
            <w:pPr>
              <w:jc w:val="both"/>
              <w:rPr>
                <w:sz w:val="20"/>
                <w:lang w:val="fr-CA"/>
              </w:rPr>
            </w:pPr>
            <w:hyperlink r:id="rId14" w:history="1">
              <w:r w:rsidRPr="00353B14">
                <w:rPr>
                  <w:rStyle w:val="Hyperlink"/>
                  <w:rFonts w:eastAsiaTheme="majorEastAsia"/>
                  <w:sz w:val="20"/>
                  <w:lang w:val="fr-CA"/>
                </w:rPr>
                <w:t>http://canlii.ca/t/g6cfk</w:t>
              </w:r>
            </w:hyperlink>
          </w:p>
          <w:p w:rsidR="00353B14" w:rsidRPr="00353B14" w:rsidRDefault="00353B14" w:rsidP="00353B14">
            <w:pPr>
              <w:jc w:val="both"/>
              <w:rPr>
                <w:sz w:val="20"/>
                <w:lang w:val="fr-CA"/>
              </w:rPr>
            </w:pPr>
          </w:p>
        </w:tc>
        <w:tc>
          <w:tcPr>
            <w:tcW w:w="243" w:type="pct"/>
          </w:tcPr>
          <w:p w:rsidR="00353B14" w:rsidRPr="00353B14" w:rsidRDefault="00353B14" w:rsidP="00353B14">
            <w:pPr>
              <w:jc w:val="both"/>
              <w:rPr>
                <w:sz w:val="20"/>
                <w:lang w:val="fr-CA"/>
              </w:rPr>
            </w:pPr>
          </w:p>
        </w:tc>
        <w:tc>
          <w:tcPr>
            <w:tcW w:w="2330" w:type="pct"/>
          </w:tcPr>
          <w:p w:rsidR="00353B14" w:rsidRPr="00353B14" w:rsidRDefault="00353B14" w:rsidP="00353B14">
            <w:pPr>
              <w:jc w:val="both"/>
              <w:rPr>
                <w:sz w:val="20"/>
                <w:lang w:val="fr-CA"/>
              </w:rPr>
            </w:pPr>
            <w:r w:rsidRPr="00353B14">
              <w:rPr>
                <w:sz w:val="20"/>
                <w:lang w:val="fr-CA"/>
              </w:rPr>
              <w:t>Directives au jury sur le moyen de défense de l’automatisme sans troubles mentaux</w:t>
            </w:r>
          </w:p>
          <w:p w:rsidR="00353B14" w:rsidRPr="00353B14" w:rsidRDefault="00353B14" w:rsidP="00353B14">
            <w:pPr>
              <w:jc w:val="both"/>
              <w:rPr>
                <w:sz w:val="20"/>
                <w:lang w:val="fr-CA"/>
              </w:rPr>
            </w:pPr>
          </w:p>
        </w:tc>
      </w:tr>
      <w:tr w:rsidR="00353B14" w:rsidRPr="00353B14" w:rsidTr="00E95A6A">
        <w:tc>
          <w:tcPr>
            <w:tcW w:w="2427" w:type="pct"/>
            <w:gridSpan w:val="2"/>
          </w:tcPr>
          <w:p w:rsidR="00353B14" w:rsidRPr="00353B14" w:rsidRDefault="00353B14" w:rsidP="00353B14">
            <w:pPr>
              <w:jc w:val="both"/>
              <w:rPr>
                <w:sz w:val="20"/>
                <w:lang w:val="fr-CA"/>
              </w:rPr>
            </w:pPr>
            <w:r w:rsidRPr="00353B14">
              <w:rPr>
                <w:sz w:val="20"/>
                <w:lang w:val="fr-CA"/>
              </w:rPr>
              <w:t>25 mars 2014</w:t>
            </w:r>
          </w:p>
          <w:p w:rsidR="00353B14" w:rsidRPr="00353B14" w:rsidRDefault="00353B14" w:rsidP="00353B14">
            <w:pPr>
              <w:jc w:val="both"/>
              <w:rPr>
                <w:sz w:val="20"/>
                <w:lang w:val="fr-CA"/>
              </w:rPr>
            </w:pPr>
            <w:r w:rsidRPr="00353B14">
              <w:rPr>
                <w:sz w:val="20"/>
                <w:lang w:val="fr-CA"/>
              </w:rPr>
              <w:t xml:space="preserve">Cour suprême de la Colombie-Britannique </w:t>
            </w:r>
          </w:p>
          <w:p w:rsidR="00353B14" w:rsidRPr="00353B14" w:rsidRDefault="00353B14" w:rsidP="00353B14">
            <w:pPr>
              <w:jc w:val="both"/>
              <w:rPr>
                <w:sz w:val="20"/>
                <w:lang w:val="fr-CA"/>
              </w:rPr>
            </w:pPr>
            <w:r w:rsidRPr="00353B14">
              <w:rPr>
                <w:sz w:val="20"/>
                <w:lang w:val="fr-CA"/>
              </w:rPr>
              <w:t>(Juge Watchuk)</w:t>
            </w:r>
          </w:p>
          <w:p w:rsidR="00353B14" w:rsidRPr="00353B14" w:rsidRDefault="00353B14" w:rsidP="00353B14">
            <w:pPr>
              <w:jc w:val="both"/>
              <w:rPr>
                <w:sz w:val="20"/>
                <w:lang w:val="fr-CA"/>
              </w:rPr>
            </w:pPr>
          </w:p>
        </w:tc>
        <w:tc>
          <w:tcPr>
            <w:tcW w:w="243" w:type="pct"/>
          </w:tcPr>
          <w:p w:rsidR="00353B14" w:rsidRPr="00353B14" w:rsidRDefault="00353B14" w:rsidP="00353B14">
            <w:pPr>
              <w:jc w:val="both"/>
              <w:rPr>
                <w:sz w:val="20"/>
                <w:lang w:val="fr-CA"/>
              </w:rPr>
            </w:pPr>
          </w:p>
        </w:tc>
        <w:tc>
          <w:tcPr>
            <w:tcW w:w="2330" w:type="pct"/>
          </w:tcPr>
          <w:p w:rsidR="00353B14" w:rsidRPr="00353B14" w:rsidRDefault="00353B14" w:rsidP="00353B14">
            <w:pPr>
              <w:jc w:val="both"/>
              <w:rPr>
                <w:sz w:val="20"/>
                <w:lang w:val="fr-CA"/>
              </w:rPr>
            </w:pPr>
            <w:r w:rsidRPr="00353B14">
              <w:rPr>
                <w:sz w:val="20"/>
                <w:lang w:val="fr-CA"/>
              </w:rPr>
              <w:t>Déclaration de culpabilité de meurtre au deuxième degré</w:t>
            </w:r>
          </w:p>
        </w:tc>
      </w:tr>
      <w:tr w:rsidR="00353B14" w:rsidRPr="00353B14" w:rsidTr="00E95A6A">
        <w:tc>
          <w:tcPr>
            <w:tcW w:w="2427" w:type="pct"/>
            <w:gridSpan w:val="2"/>
          </w:tcPr>
          <w:p w:rsidR="00353B14" w:rsidRPr="00353B14" w:rsidRDefault="00353B14" w:rsidP="00353B14">
            <w:pPr>
              <w:jc w:val="both"/>
              <w:rPr>
                <w:sz w:val="20"/>
                <w:lang w:val="fr-CA"/>
              </w:rPr>
            </w:pPr>
            <w:r w:rsidRPr="00353B14">
              <w:rPr>
                <w:sz w:val="20"/>
                <w:lang w:val="fr-CA"/>
              </w:rPr>
              <w:t>27 novembre 2015</w:t>
            </w:r>
          </w:p>
          <w:p w:rsidR="00353B14" w:rsidRPr="00353B14" w:rsidRDefault="00353B14" w:rsidP="00353B14">
            <w:pPr>
              <w:jc w:val="both"/>
              <w:rPr>
                <w:sz w:val="20"/>
                <w:lang w:val="fr-CA"/>
              </w:rPr>
            </w:pPr>
            <w:r w:rsidRPr="00353B14">
              <w:rPr>
                <w:sz w:val="20"/>
                <w:lang w:val="fr-CA"/>
              </w:rPr>
              <w:t xml:space="preserve">Cour d’appel de la Colombie-Britannique </w:t>
            </w:r>
          </w:p>
          <w:p w:rsidR="00353B14" w:rsidRPr="00353B14" w:rsidRDefault="00353B14" w:rsidP="00353B14">
            <w:pPr>
              <w:jc w:val="both"/>
              <w:rPr>
                <w:sz w:val="20"/>
                <w:lang w:val="fr-CA"/>
              </w:rPr>
            </w:pPr>
            <w:r w:rsidRPr="00353B14">
              <w:rPr>
                <w:sz w:val="20"/>
                <w:lang w:val="fr-CA"/>
              </w:rPr>
              <w:t>(Vancouver)</w:t>
            </w:r>
          </w:p>
          <w:p w:rsidR="00353B14" w:rsidRPr="00353B14" w:rsidRDefault="00353B14" w:rsidP="00353B14">
            <w:pPr>
              <w:jc w:val="both"/>
              <w:rPr>
                <w:sz w:val="20"/>
                <w:lang w:val="fr-CA"/>
              </w:rPr>
            </w:pPr>
            <w:r w:rsidRPr="00353B14">
              <w:rPr>
                <w:sz w:val="20"/>
                <w:lang w:val="fr-CA"/>
              </w:rPr>
              <w:t>(Juges Bauman, Chiasson et Stromberg-Stein)</w:t>
            </w:r>
          </w:p>
          <w:p w:rsidR="00353B14" w:rsidRPr="00353B14" w:rsidRDefault="00353B14" w:rsidP="00353B14">
            <w:pPr>
              <w:jc w:val="both"/>
              <w:rPr>
                <w:sz w:val="20"/>
                <w:lang w:val="fr-CA"/>
              </w:rPr>
            </w:pPr>
            <w:r w:rsidRPr="00353B14">
              <w:rPr>
                <w:sz w:val="20"/>
                <w:lang w:val="fr-CA"/>
              </w:rPr>
              <w:t>2015 BCCA 484; CA42014</w:t>
            </w:r>
          </w:p>
          <w:p w:rsidR="00353B14" w:rsidRPr="00353B14" w:rsidRDefault="00353B14" w:rsidP="00353B14">
            <w:pPr>
              <w:jc w:val="both"/>
              <w:rPr>
                <w:sz w:val="20"/>
                <w:lang w:val="fr-CA"/>
              </w:rPr>
            </w:pPr>
            <w:hyperlink r:id="rId15" w:history="1">
              <w:r w:rsidRPr="00353B14">
                <w:rPr>
                  <w:rStyle w:val="Hyperlink"/>
                  <w:rFonts w:eastAsiaTheme="majorEastAsia"/>
                  <w:sz w:val="20"/>
                  <w:lang w:val="fr-CA"/>
                </w:rPr>
                <w:t>http://canlii.ca/t/gm91s</w:t>
              </w:r>
            </w:hyperlink>
          </w:p>
          <w:p w:rsidR="00353B14" w:rsidRPr="00353B14" w:rsidRDefault="00353B14" w:rsidP="00353B14">
            <w:pPr>
              <w:jc w:val="both"/>
              <w:rPr>
                <w:sz w:val="20"/>
                <w:lang w:val="fr-CA"/>
              </w:rPr>
            </w:pPr>
          </w:p>
        </w:tc>
        <w:tc>
          <w:tcPr>
            <w:tcW w:w="243" w:type="pct"/>
          </w:tcPr>
          <w:p w:rsidR="00353B14" w:rsidRPr="00353B14" w:rsidRDefault="00353B14" w:rsidP="00353B14">
            <w:pPr>
              <w:jc w:val="both"/>
              <w:rPr>
                <w:sz w:val="20"/>
                <w:lang w:val="fr-CA"/>
              </w:rPr>
            </w:pPr>
          </w:p>
        </w:tc>
        <w:tc>
          <w:tcPr>
            <w:tcW w:w="2330" w:type="pct"/>
          </w:tcPr>
          <w:p w:rsidR="00353B14" w:rsidRPr="00353B14" w:rsidRDefault="00353B14" w:rsidP="00353B14">
            <w:pPr>
              <w:jc w:val="both"/>
              <w:rPr>
                <w:sz w:val="20"/>
                <w:lang w:val="fr-CA"/>
              </w:rPr>
            </w:pPr>
            <w:r w:rsidRPr="00353B14">
              <w:rPr>
                <w:sz w:val="20"/>
                <w:lang w:val="fr-CA"/>
              </w:rPr>
              <w:t>Rejet de l’appel</w:t>
            </w:r>
          </w:p>
          <w:p w:rsidR="00353B14" w:rsidRPr="00353B14" w:rsidRDefault="00353B14" w:rsidP="00353B14">
            <w:pPr>
              <w:jc w:val="both"/>
              <w:rPr>
                <w:sz w:val="20"/>
                <w:lang w:val="fr-CA"/>
              </w:rPr>
            </w:pPr>
          </w:p>
        </w:tc>
      </w:tr>
      <w:tr w:rsidR="00353B14" w:rsidRPr="00353B14" w:rsidTr="00E95A6A">
        <w:tc>
          <w:tcPr>
            <w:tcW w:w="2427" w:type="pct"/>
            <w:gridSpan w:val="2"/>
          </w:tcPr>
          <w:p w:rsidR="00353B14" w:rsidRPr="00353B14" w:rsidRDefault="00353B14" w:rsidP="00353B14">
            <w:pPr>
              <w:jc w:val="both"/>
              <w:rPr>
                <w:sz w:val="20"/>
                <w:lang w:val="fr-CA"/>
              </w:rPr>
            </w:pPr>
            <w:r w:rsidRPr="00353B14">
              <w:rPr>
                <w:sz w:val="20"/>
                <w:lang w:val="fr-CA"/>
              </w:rPr>
              <w:t>26 janvier 2016</w:t>
            </w:r>
          </w:p>
          <w:p w:rsidR="00353B14" w:rsidRPr="00353B14" w:rsidRDefault="00353B14" w:rsidP="00353B14">
            <w:pPr>
              <w:jc w:val="both"/>
              <w:rPr>
                <w:sz w:val="20"/>
                <w:lang w:val="fr-CA"/>
              </w:rPr>
            </w:pPr>
            <w:r w:rsidRPr="00353B14">
              <w:rPr>
                <w:sz w:val="20"/>
                <w:lang w:val="fr-CA"/>
              </w:rPr>
              <w:t>Cour suprême du Canada</w:t>
            </w:r>
          </w:p>
        </w:tc>
        <w:tc>
          <w:tcPr>
            <w:tcW w:w="243" w:type="pct"/>
          </w:tcPr>
          <w:p w:rsidR="00353B14" w:rsidRPr="00353B14" w:rsidRDefault="00353B14" w:rsidP="00353B14">
            <w:pPr>
              <w:jc w:val="both"/>
              <w:rPr>
                <w:sz w:val="20"/>
                <w:lang w:val="fr-CA"/>
              </w:rPr>
            </w:pPr>
          </w:p>
        </w:tc>
        <w:tc>
          <w:tcPr>
            <w:tcW w:w="2330" w:type="pct"/>
          </w:tcPr>
          <w:p w:rsidR="00353B14" w:rsidRPr="00353B14" w:rsidRDefault="00353B14" w:rsidP="00353B14">
            <w:pPr>
              <w:jc w:val="both"/>
              <w:rPr>
                <w:sz w:val="20"/>
                <w:lang w:val="fr-CA"/>
              </w:rPr>
            </w:pPr>
            <w:r w:rsidRPr="00353B14">
              <w:rPr>
                <w:sz w:val="20"/>
                <w:lang w:val="fr-CA"/>
              </w:rPr>
              <w:t>Dépôt de la demande d’autorisation d’appel</w:t>
            </w:r>
          </w:p>
          <w:p w:rsidR="00353B14" w:rsidRPr="00353B14" w:rsidRDefault="00353B14" w:rsidP="00353B14">
            <w:pPr>
              <w:jc w:val="both"/>
              <w:rPr>
                <w:sz w:val="20"/>
                <w:lang w:val="fr-CA"/>
              </w:rPr>
            </w:pPr>
          </w:p>
        </w:tc>
      </w:tr>
    </w:tbl>
    <w:p w:rsidR="00353B14" w:rsidRPr="00353B14" w:rsidRDefault="00353B14" w:rsidP="00353B14">
      <w:pPr>
        <w:jc w:val="both"/>
        <w:rPr>
          <w:sz w:val="20"/>
          <w:lang w:val="fr-CA"/>
        </w:rPr>
      </w:pPr>
    </w:p>
    <w:p w:rsidR="0080140E" w:rsidRPr="00353B14" w:rsidRDefault="0080140E" w:rsidP="00353B14">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3B14" w:rsidRPr="00353B14" w:rsidTr="00C623A0">
        <w:tc>
          <w:tcPr>
            <w:tcW w:w="543" w:type="pct"/>
          </w:tcPr>
          <w:p w:rsidR="00353B14" w:rsidRPr="00353B14" w:rsidRDefault="00353B14" w:rsidP="00353B14">
            <w:pPr>
              <w:jc w:val="both"/>
              <w:rPr>
                <w:sz w:val="20"/>
              </w:rPr>
            </w:pPr>
            <w:r w:rsidRPr="00353B14">
              <w:rPr>
                <w:b/>
                <w:sz w:val="20"/>
              </w:rPr>
              <w:t>36711</w:t>
            </w:r>
          </w:p>
        </w:tc>
        <w:tc>
          <w:tcPr>
            <w:tcW w:w="4457" w:type="pct"/>
            <w:gridSpan w:val="3"/>
          </w:tcPr>
          <w:p w:rsidR="00353B14" w:rsidRPr="00353B14" w:rsidRDefault="00353B14" w:rsidP="00353B14">
            <w:pPr>
              <w:jc w:val="both"/>
              <w:rPr>
                <w:b/>
                <w:sz w:val="20"/>
              </w:rPr>
            </w:pPr>
            <w:r w:rsidRPr="00353B14">
              <w:rPr>
                <w:b/>
                <w:sz w:val="20"/>
              </w:rPr>
              <w:t>Greenpeace Canada, Lake Ontario Waterkeeper, Northwatch, Canadian Environmental Law Association v. Ontario Power Generation Inc.</w:t>
            </w:r>
          </w:p>
          <w:p w:rsidR="00353B14" w:rsidRPr="00353B14" w:rsidRDefault="00353B14" w:rsidP="00353B14">
            <w:pPr>
              <w:jc w:val="both"/>
              <w:rPr>
                <w:b/>
                <w:sz w:val="20"/>
              </w:rPr>
            </w:pPr>
            <w:r w:rsidRPr="00353B14">
              <w:rPr>
                <w:b/>
                <w:sz w:val="20"/>
              </w:rPr>
              <w:t>- and between -</w:t>
            </w:r>
          </w:p>
          <w:p w:rsidR="00353B14" w:rsidRPr="00353B14" w:rsidRDefault="00353B14" w:rsidP="00353B14">
            <w:pPr>
              <w:jc w:val="both"/>
              <w:rPr>
                <w:b/>
                <w:sz w:val="20"/>
              </w:rPr>
            </w:pPr>
            <w:r w:rsidRPr="00353B14">
              <w:rPr>
                <w:b/>
                <w:sz w:val="20"/>
              </w:rPr>
              <w:t>Greenpeace Canada, Canadian Environmental Law Association v. Ontario Power Generation Inc.</w:t>
            </w:r>
          </w:p>
          <w:p w:rsidR="00353B14" w:rsidRPr="00353B14" w:rsidRDefault="00353B14" w:rsidP="00353B14">
            <w:pPr>
              <w:jc w:val="both"/>
              <w:rPr>
                <w:b/>
                <w:sz w:val="20"/>
              </w:rPr>
            </w:pPr>
            <w:r w:rsidRPr="00353B14">
              <w:rPr>
                <w:b/>
                <w:sz w:val="20"/>
              </w:rPr>
              <w:t>- and between -</w:t>
            </w:r>
          </w:p>
          <w:p w:rsidR="00353B14" w:rsidRPr="00353B14" w:rsidRDefault="00353B14" w:rsidP="00353B14">
            <w:pPr>
              <w:jc w:val="both"/>
              <w:rPr>
                <w:b/>
                <w:sz w:val="20"/>
              </w:rPr>
            </w:pPr>
            <w:r w:rsidRPr="00353B14">
              <w:rPr>
                <w:b/>
                <w:sz w:val="20"/>
              </w:rPr>
              <w:t>Greenpeace Canada, Lake Ontario Waterkeeper, Northwatch, Canadian Environmental Law Association v. Canadian Nuclear Safety Commission</w:t>
            </w:r>
          </w:p>
          <w:p w:rsidR="00353B14" w:rsidRPr="00353B14" w:rsidRDefault="00353B14" w:rsidP="00353B14">
            <w:pPr>
              <w:jc w:val="both"/>
              <w:rPr>
                <w:b/>
                <w:sz w:val="20"/>
              </w:rPr>
            </w:pPr>
            <w:r w:rsidRPr="00353B14">
              <w:rPr>
                <w:b/>
                <w:sz w:val="20"/>
              </w:rPr>
              <w:t>- and between -</w:t>
            </w:r>
          </w:p>
          <w:p w:rsidR="00353B14" w:rsidRPr="00353B14" w:rsidRDefault="00353B14" w:rsidP="00353B14">
            <w:pPr>
              <w:jc w:val="both"/>
              <w:rPr>
                <w:b/>
                <w:sz w:val="20"/>
              </w:rPr>
            </w:pPr>
            <w:r w:rsidRPr="00353B14">
              <w:rPr>
                <w:b/>
                <w:sz w:val="20"/>
              </w:rPr>
              <w:t>Greenpeace Canada, Lake Ontario Waterkeeper, Northwatch, Canadian Environmental Law Association v. Attorney General of Canada, Minister of the Environment, Minister of Fisheries and Oceans and Minister of Transport</w:t>
            </w:r>
          </w:p>
          <w:p w:rsidR="00353B14" w:rsidRPr="00353B14" w:rsidRDefault="00353B14" w:rsidP="00353B14">
            <w:pPr>
              <w:jc w:val="both"/>
              <w:rPr>
                <w:b/>
                <w:sz w:val="20"/>
              </w:rPr>
            </w:pPr>
            <w:r w:rsidRPr="00353B14">
              <w:rPr>
                <w:b/>
                <w:sz w:val="20"/>
              </w:rPr>
              <w:t>- and between -</w:t>
            </w:r>
          </w:p>
          <w:p w:rsidR="00353B14" w:rsidRPr="00353B14" w:rsidRDefault="00353B14" w:rsidP="00353B14">
            <w:pPr>
              <w:jc w:val="both"/>
              <w:rPr>
                <w:b/>
                <w:sz w:val="20"/>
              </w:rPr>
            </w:pPr>
            <w:r w:rsidRPr="00353B14">
              <w:rPr>
                <w:b/>
                <w:sz w:val="20"/>
              </w:rPr>
              <w:t>Greenpeace Canada and Canadian Environmental Law Association v. Attorney General of Canada</w:t>
            </w:r>
          </w:p>
          <w:p w:rsidR="00353B14" w:rsidRPr="00353B14" w:rsidRDefault="00353B14" w:rsidP="00353B14">
            <w:pPr>
              <w:jc w:val="both"/>
              <w:rPr>
                <w:sz w:val="20"/>
              </w:rPr>
            </w:pPr>
            <w:r w:rsidRPr="00353B14">
              <w:rPr>
                <w:sz w:val="20"/>
              </w:rPr>
              <w:t>(FC) (Civil) (By Leave)</w:t>
            </w:r>
          </w:p>
        </w:tc>
      </w:tr>
      <w:tr w:rsidR="00353B14" w:rsidRPr="00353B14" w:rsidTr="00C623A0">
        <w:tc>
          <w:tcPr>
            <w:tcW w:w="5000" w:type="pct"/>
            <w:gridSpan w:val="4"/>
          </w:tcPr>
          <w:p w:rsidR="00353B14" w:rsidRPr="00353B14" w:rsidRDefault="00353B14" w:rsidP="00353B14">
            <w:pPr>
              <w:jc w:val="both"/>
              <w:rPr>
                <w:sz w:val="20"/>
              </w:rPr>
            </w:pPr>
            <w:r w:rsidRPr="00353B14">
              <w:rPr>
                <w:sz w:val="20"/>
              </w:rPr>
              <w:t xml:space="preserve">Environmental law — Environmental assessment — Site preparation for nuclear power generation station — Environmental impact statement prepared before reactor technology chosen — Bounding approach used in environmental impact statement — Bounding scenario not provided for all hazardous substances — Environmental assessment panel approved project, provided that proposed mitigation measures were taken, project proponent’s commitments were kept, and Panel’s 67 recommendations were implemented — What is the proper standard for compliance under the </w:t>
            </w:r>
            <w:r w:rsidRPr="00353B14">
              <w:rPr>
                <w:i/>
                <w:sz w:val="20"/>
              </w:rPr>
              <w:t>Canadian Environmental Assessment Act</w:t>
            </w:r>
            <w:r w:rsidRPr="00353B14">
              <w:rPr>
                <w:sz w:val="20"/>
              </w:rPr>
              <w:t>, S.C. 1992, c. 37 (rep. S.C. 2012, c. 19, s. 66), or other environmental protection legislation — Whether it is sufficient to require review panels or federal authorities to only give “some consideration” to statutory factors — What is the proper approach to the application of the reasonableness standard when reviewing an administrative decision that is made in the absence of supporting evidence?</w:t>
            </w:r>
          </w:p>
        </w:tc>
      </w:tr>
      <w:tr w:rsidR="00353B14" w:rsidRPr="00353B14" w:rsidTr="00C623A0">
        <w:tc>
          <w:tcPr>
            <w:tcW w:w="5000" w:type="pct"/>
            <w:gridSpan w:val="4"/>
          </w:tcPr>
          <w:p w:rsidR="00353B14" w:rsidRPr="00353B14" w:rsidRDefault="00353B14" w:rsidP="00353B14">
            <w:pPr>
              <w:jc w:val="both"/>
              <w:rPr>
                <w:sz w:val="20"/>
              </w:rPr>
            </w:pPr>
          </w:p>
        </w:tc>
      </w:tr>
      <w:tr w:rsidR="00353B14" w:rsidRPr="00353B14" w:rsidTr="00C623A0">
        <w:tc>
          <w:tcPr>
            <w:tcW w:w="5000" w:type="pct"/>
            <w:gridSpan w:val="4"/>
          </w:tcPr>
          <w:p w:rsidR="00353B14" w:rsidRPr="00353B14" w:rsidRDefault="00353B14" w:rsidP="00353B14">
            <w:pPr>
              <w:jc w:val="both"/>
              <w:rPr>
                <w:sz w:val="20"/>
              </w:rPr>
            </w:pPr>
            <w:r w:rsidRPr="00353B14">
              <w:rPr>
                <w:sz w:val="20"/>
              </w:rPr>
              <w:t xml:space="preserve">In 2006, Ontario Power Generation (“OPG”) began the approvals process for installing and operating up to four new nuclear power generation units at the existing Darlington Nuclear Generating Station located on the shore of Lake Ontario. It also applied to the Canadian Nuclear Safety Commission for a license to prepare the site for construction. When OPG submitted its Environmental Impact Statement (“EIS”), Ontario had not selected a reactor technology for the project, so the EIS was based on a “bounding approach” — significant design elements were identified and the adverse environmental effects for each option were assessed. However, bounding scenarios were not provided for hazardous substance emissions, on-site chemical inventories. The Panel held public hearings and submitted its Joint Review Panel Environmental Assessment Report to the Minister. The </w:t>
            </w:r>
            <w:r w:rsidRPr="00353B14">
              <w:rPr>
                <w:i/>
                <w:sz w:val="20"/>
              </w:rPr>
              <w:t>Canadian Environmental Assessment Act</w:t>
            </w:r>
            <w:r w:rsidRPr="00353B14">
              <w:rPr>
                <w:sz w:val="20"/>
              </w:rPr>
              <w:t>, S.C. 1992, c. 37 (rep. S.C. 2012, c. 19, s. 66) (the “CEAA”), s. 16, sets out the matters review panels conducting an environmental assessments are required to consider. The Panel concluded that the project was not likely to cause significant adverse environmental effects, provided that the mitigation measures proposed were taken, the OPG’s commitments were kept, and 67 recommendations were implemented. In its recommendations, it deferred the assessment of storage for spent nuclear fuel and severe common cause accidents until after the reactor technology was chosen. On the strength of the Report, the Panel issued a 10-year licence allowing OPG to prepare the site.</w:t>
            </w:r>
          </w:p>
          <w:p w:rsidR="00353B14" w:rsidRPr="00353B14" w:rsidRDefault="00353B14" w:rsidP="00353B14">
            <w:pPr>
              <w:jc w:val="both"/>
              <w:rPr>
                <w:sz w:val="20"/>
              </w:rPr>
            </w:pPr>
          </w:p>
          <w:p w:rsidR="00353B14" w:rsidRPr="00353B14" w:rsidRDefault="00353B14" w:rsidP="00353B14">
            <w:pPr>
              <w:jc w:val="both"/>
              <w:rPr>
                <w:sz w:val="20"/>
              </w:rPr>
            </w:pPr>
            <w:r w:rsidRPr="00353B14">
              <w:rPr>
                <w:sz w:val="20"/>
              </w:rPr>
              <w:t>The applicants filed an application for judicial review of the Report and another challenging the issuance of the licence. Judicial review of the Report was allowed in part; judicial review concerning the licence was allowed. Three appeals were filed and heard together. The judge was held to have misapplied the reasonableness standard and the Panel’s decision was found to be reasonable.</w:t>
            </w:r>
          </w:p>
          <w:p w:rsidR="00353B14" w:rsidRPr="00353B14" w:rsidRDefault="00353B14" w:rsidP="00353B14">
            <w:pPr>
              <w:jc w:val="both"/>
              <w:rPr>
                <w:sz w:val="20"/>
              </w:rPr>
            </w:pPr>
          </w:p>
        </w:tc>
      </w:tr>
      <w:tr w:rsidR="00353B14" w:rsidRPr="00353B14" w:rsidTr="00C623A0">
        <w:tc>
          <w:tcPr>
            <w:tcW w:w="2427" w:type="pct"/>
            <w:gridSpan w:val="2"/>
          </w:tcPr>
          <w:p w:rsidR="00353B14" w:rsidRPr="00353B14" w:rsidRDefault="00353B14" w:rsidP="00353B14">
            <w:pPr>
              <w:jc w:val="both"/>
              <w:rPr>
                <w:sz w:val="20"/>
              </w:rPr>
            </w:pPr>
            <w:r w:rsidRPr="00353B14">
              <w:rPr>
                <w:sz w:val="20"/>
              </w:rPr>
              <w:t>May 14, 2014</w:t>
            </w:r>
          </w:p>
          <w:p w:rsidR="00353B14" w:rsidRPr="00353B14" w:rsidRDefault="00353B14" w:rsidP="00353B14">
            <w:pPr>
              <w:jc w:val="both"/>
              <w:rPr>
                <w:sz w:val="20"/>
              </w:rPr>
            </w:pPr>
            <w:r w:rsidRPr="00353B14">
              <w:rPr>
                <w:sz w:val="20"/>
              </w:rPr>
              <w:t>Federal Court</w:t>
            </w:r>
          </w:p>
          <w:p w:rsidR="00353B14" w:rsidRPr="00353B14" w:rsidRDefault="00353B14" w:rsidP="00353B14">
            <w:pPr>
              <w:jc w:val="both"/>
              <w:rPr>
                <w:sz w:val="20"/>
              </w:rPr>
            </w:pPr>
            <w:r w:rsidRPr="00353B14">
              <w:rPr>
                <w:sz w:val="20"/>
              </w:rPr>
              <w:lastRenderedPageBreak/>
              <w:t>(Russell J.)</w:t>
            </w:r>
          </w:p>
          <w:p w:rsidR="00353B14" w:rsidRPr="00353B14" w:rsidRDefault="00353B14" w:rsidP="00353B14">
            <w:pPr>
              <w:jc w:val="both"/>
              <w:rPr>
                <w:sz w:val="20"/>
              </w:rPr>
            </w:pPr>
            <w:hyperlink r:id="rId16" w:history="1">
              <w:r w:rsidRPr="00353B14">
                <w:rPr>
                  <w:color w:val="0000FF" w:themeColor="hyperlink"/>
                  <w:sz w:val="20"/>
                  <w:u w:val="single"/>
                </w:rPr>
                <w:t>2014 FC 463</w:t>
              </w:r>
            </w:hyperlink>
          </w:p>
          <w:p w:rsidR="00353B14" w:rsidRPr="00353B14" w:rsidRDefault="00353B14" w:rsidP="00353B14">
            <w:pPr>
              <w:jc w:val="both"/>
              <w:rPr>
                <w:sz w:val="20"/>
              </w:rPr>
            </w:pPr>
          </w:p>
        </w:tc>
        <w:tc>
          <w:tcPr>
            <w:tcW w:w="243" w:type="pct"/>
          </w:tcPr>
          <w:p w:rsidR="00353B14" w:rsidRPr="00353B14" w:rsidRDefault="00353B14" w:rsidP="00353B14">
            <w:pPr>
              <w:jc w:val="both"/>
              <w:rPr>
                <w:sz w:val="20"/>
              </w:rPr>
            </w:pPr>
          </w:p>
        </w:tc>
        <w:tc>
          <w:tcPr>
            <w:tcW w:w="2330" w:type="pct"/>
          </w:tcPr>
          <w:p w:rsidR="00353B14" w:rsidRPr="00353B14" w:rsidRDefault="00353B14" w:rsidP="00353B14">
            <w:pPr>
              <w:jc w:val="both"/>
              <w:rPr>
                <w:sz w:val="20"/>
              </w:rPr>
            </w:pPr>
            <w:r w:rsidRPr="00353B14">
              <w:rPr>
                <w:i/>
                <w:sz w:val="20"/>
              </w:rPr>
              <w:t>T-1572-11</w:t>
            </w:r>
            <w:r w:rsidRPr="00353B14">
              <w:rPr>
                <w:sz w:val="20"/>
              </w:rPr>
              <w:t xml:space="preserve">: Application for judicial review allowed in part; environmental assessment report returned to </w:t>
            </w:r>
            <w:r w:rsidRPr="00353B14">
              <w:rPr>
                <w:sz w:val="20"/>
              </w:rPr>
              <w:lastRenderedPageBreak/>
              <w:t>Panel for reconsideration of specific issues; declarations that various bodies may not issue approvals, licences, permits, certificates or statutory authorizations  concerning the project until the Panel has completed the reconsideration;</w:t>
            </w:r>
          </w:p>
          <w:p w:rsidR="00353B14" w:rsidRPr="00353B14" w:rsidRDefault="00353B14" w:rsidP="00353B14">
            <w:pPr>
              <w:jc w:val="both"/>
              <w:rPr>
                <w:sz w:val="20"/>
              </w:rPr>
            </w:pPr>
            <w:r w:rsidRPr="00353B14">
              <w:rPr>
                <w:i/>
                <w:sz w:val="20"/>
              </w:rPr>
              <w:t>T-1723-12</w:t>
            </w:r>
            <w:r w:rsidRPr="00353B14">
              <w:rPr>
                <w:sz w:val="20"/>
              </w:rPr>
              <w:t xml:space="preserve">: Applicant’s motion to strike dismissed; application allowed on the ground that the environmental assessment report has yet to fully comply with the </w:t>
            </w:r>
            <w:r w:rsidRPr="00353B14">
              <w:rPr>
                <w:i/>
                <w:sz w:val="20"/>
              </w:rPr>
              <w:t>Canadian Environmental Assessment Act</w:t>
            </w:r>
            <w:r w:rsidRPr="00353B14">
              <w:rPr>
                <w:sz w:val="20"/>
              </w:rPr>
              <w:t xml:space="preserve"> pursuant to the judgment in T-1572-11; consequently, the Canadian Nuclear Safety Commission’s issuance of the licence is invalid and unlawful, the Commission has no jurisdiction to issue the licence until the CEAA is fully complied with; licence quashed and set aside</w:t>
            </w:r>
          </w:p>
          <w:p w:rsidR="00353B14" w:rsidRPr="00353B14" w:rsidRDefault="00353B14" w:rsidP="00353B14">
            <w:pPr>
              <w:jc w:val="both"/>
              <w:rPr>
                <w:sz w:val="20"/>
              </w:rPr>
            </w:pPr>
          </w:p>
        </w:tc>
      </w:tr>
      <w:tr w:rsidR="00353B14" w:rsidRPr="00353B14" w:rsidTr="00C623A0">
        <w:tc>
          <w:tcPr>
            <w:tcW w:w="2427" w:type="pct"/>
            <w:gridSpan w:val="2"/>
          </w:tcPr>
          <w:p w:rsidR="00353B14" w:rsidRPr="00353B14" w:rsidRDefault="00353B14" w:rsidP="00353B14">
            <w:pPr>
              <w:jc w:val="both"/>
              <w:rPr>
                <w:sz w:val="20"/>
              </w:rPr>
            </w:pPr>
            <w:r w:rsidRPr="00353B14">
              <w:rPr>
                <w:sz w:val="20"/>
              </w:rPr>
              <w:lastRenderedPageBreak/>
              <w:t>September 10, 2015</w:t>
            </w:r>
          </w:p>
          <w:p w:rsidR="00353B14" w:rsidRPr="00353B14" w:rsidRDefault="00353B14" w:rsidP="00353B14">
            <w:pPr>
              <w:jc w:val="both"/>
              <w:rPr>
                <w:sz w:val="20"/>
              </w:rPr>
            </w:pPr>
            <w:r w:rsidRPr="00353B14">
              <w:rPr>
                <w:sz w:val="20"/>
              </w:rPr>
              <w:t>Federal Court of Appeal</w:t>
            </w:r>
          </w:p>
          <w:p w:rsidR="00353B14" w:rsidRPr="00353B14" w:rsidRDefault="00353B14" w:rsidP="00353B14">
            <w:pPr>
              <w:jc w:val="both"/>
              <w:rPr>
                <w:sz w:val="20"/>
                <w:lang w:val="fr-CA"/>
              </w:rPr>
            </w:pPr>
            <w:r w:rsidRPr="00353B14">
              <w:rPr>
                <w:sz w:val="20"/>
                <w:lang w:val="fr-CA"/>
              </w:rPr>
              <w:t xml:space="preserve">(Trudel, </w:t>
            </w:r>
            <w:proofErr w:type="spellStart"/>
            <w:r w:rsidRPr="00353B14">
              <w:rPr>
                <w:sz w:val="20"/>
                <w:lang w:val="fr-CA"/>
              </w:rPr>
              <w:t>Ryer</w:t>
            </w:r>
            <w:proofErr w:type="spellEnd"/>
            <w:r w:rsidRPr="00353B14">
              <w:rPr>
                <w:sz w:val="20"/>
                <w:lang w:val="fr-CA"/>
              </w:rPr>
              <w:t>, Rennie JJ.A.)</w:t>
            </w:r>
          </w:p>
          <w:p w:rsidR="00353B14" w:rsidRPr="00353B14" w:rsidRDefault="00353B14" w:rsidP="00353B14">
            <w:pPr>
              <w:jc w:val="both"/>
              <w:rPr>
                <w:sz w:val="20"/>
              </w:rPr>
            </w:pPr>
            <w:hyperlink r:id="rId17" w:history="1">
              <w:r w:rsidRPr="00353B14">
                <w:rPr>
                  <w:color w:val="0000FF" w:themeColor="hyperlink"/>
                  <w:sz w:val="20"/>
                  <w:u w:val="single"/>
                </w:rPr>
                <w:t>2015 FCA 186</w:t>
              </w:r>
            </w:hyperlink>
          </w:p>
          <w:p w:rsidR="00353B14" w:rsidRPr="00353B14" w:rsidRDefault="00353B14" w:rsidP="00353B14">
            <w:pPr>
              <w:jc w:val="both"/>
              <w:rPr>
                <w:sz w:val="20"/>
              </w:rPr>
            </w:pPr>
          </w:p>
        </w:tc>
        <w:tc>
          <w:tcPr>
            <w:tcW w:w="243" w:type="pct"/>
          </w:tcPr>
          <w:p w:rsidR="00353B14" w:rsidRPr="00353B14" w:rsidRDefault="00353B14" w:rsidP="00353B14">
            <w:pPr>
              <w:jc w:val="both"/>
              <w:rPr>
                <w:sz w:val="20"/>
              </w:rPr>
            </w:pPr>
          </w:p>
        </w:tc>
        <w:tc>
          <w:tcPr>
            <w:tcW w:w="2330" w:type="pct"/>
          </w:tcPr>
          <w:p w:rsidR="00353B14" w:rsidRPr="00353B14" w:rsidRDefault="00353B14" w:rsidP="00353B14">
            <w:pPr>
              <w:jc w:val="both"/>
              <w:rPr>
                <w:sz w:val="20"/>
              </w:rPr>
            </w:pPr>
            <w:r w:rsidRPr="00353B14">
              <w:rPr>
                <w:sz w:val="20"/>
              </w:rPr>
              <w:t>Appeal allowed; judgments of Federal Court set aside; applications for judicial review dismissed</w:t>
            </w:r>
          </w:p>
        </w:tc>
      </w:tr>
      <w:tr w:rsidR="00353B14" w:rsidRPr="00353B14" w:rsidTr="00C623A0">
        <w:tc>
          <w:tcPr>
            <w:tcW w:w="2427" w:type="pct"/>
            <w:gridSpan w:val="2"/>
          </w:tcPr>
          <w:p w:rsidR="00353B14" w:rsidRPr="00353B14" w:rsidRDefault="00353B14" w:rsidP="00353B14">
            <w:pPr>
              <w:jc w:val="both"/>
              <w:rPr>
                <w:sz w:val="20"/>
              </w:rPr>
            </w:pPr>
            <w:r w:rsidRPr="00353B14">
              <w:rPr>
                <w:sz w:val="20"/>
              </w:rPr>
              <w:t>November 6, 2015</w:t>
            </w:r>
          </w:p>
          <w:p w:rsidR="00353B14" w:rsidRPr="00353B14" w:rsidRDefault="00353B14" w:rsidP="00353B14">
            <w:pPr>
              <w:jc w:val="both"/>
              <w:rPr>
                <w:sz w:val="20"/>
              </w:rPr>
            </w:pPr>
            <w:r w:rsidRPr="00353B14">
              <w:rPr>
                <w:sz w:val="20"/>
              </w:rPr>
              <w:t>Supreme Court of Canada</w:t>
            </w:r>
          </w:p>
        </w:tc>
        <w:tc>
          <w:tcPr>
            <w:tcW w:w="243" w:type="pct"/>
          </w:tcPr>
          <w:p w:rsidR="00353B14" w:rsidRPr="00353B14" w:rsidRDefault="00353B14" w:rsidP="00353B14">
            <w:pPr>
              <w:jc w:val="both"/>
              <w:rPr>
                <w:sz w:val="20"/>
              </w:rPr>
            </w:pPr>
          </w:p>
        </w:tc>
        <w:tc>
          <w:tcPr>
            <w:tcW w:w="2330" w:type="pct"/>
          </w:tcPr>
          <w:p w:rsidR="00353B14" w:rsidRPr="00353B14" w:rsidRDefault="00353B14" w:rsidP="00353B14">
            <w:pPr>
              <w:jc w:val="both"/>
              <w:rPr>
                <w:sz w:val="20"/>
              </w:rPr>
            </w:pPr>
            <w:r w:rsidRPr="00353B14">
              <w:rPr>
                <w:sz w:val="20"/>
              </w:rPr>
              <w:t>Application for leave to appeal filed</w:t>
            </w:r>
          </w:p>
          <w:p w:rsidR="00353B14" w:rsidRPr="00353B14" w:rsidRDefault="00353B14" w:rsidP="00353B14">
            <w:pPr>
              <w:jc w:val="both"/>
              <w:rPr>
                <w:sz w:val="20"/>
              </w:rPr>
            </w:pPr>
          </w:p>
        </w:tc>
      </w:tr>
    </w:tbl>
    <w:p w:rsidR="00353B14" w:rsidRDefault="00353B14" w:rsidP="00353B14">
      <w:pPr>
        <w:jc w:val="both"/>
        <w:rPr>
          <w:sz w:val="20"/>
        </w:rPr>
      </w:pPr>
    </w:p>
    <w:p w:rsidR="00353B14" w:rsidRPr="00353B14" w:rsidRDefault="00353B14" w:rsidP="00353B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3B14" w:rsidRPr="00353B14" w:rsidTr="00C623A0">
        <w:tc>
          <w:tcPr>
            <w:tcW w:w="543" w:type="pct"/>
          </w:tcPr>
          <w:p w:rsidR="00353B14" w:rsidRPr="00353B14" w:rsidRDefault="00353B14" w:rsidP="00353B14">
            <w:pPr>
              <w:jc w:val="both"/>
              <w:rPr>
                <w:sz w:val="20"/>
                <w:lang w:val="fr-CA"/>
              </w:rPr>
            </w:pPr>
            <w:r w:rsidRPr="00353B14">
              <w:rPr>
                <w:b/>
                <w:sz w:val="20"/>
                <w:lang w:val="fr-CA"/>
              </w:rPr>
              <w:t>36711</w:t>
            </w:r>
          </w:p>
        </w:tc>
        <w:tc>
          <w:tcPr>
            <w:tcW w:w="4457" w:type="pct"/>
            <w:gridSpan w:val="3"/>
          </w:tcPr>
          <w:p w:rsidR="00353B14" w:rsidRPr="00353B14" w:rsidRDefault="00353B14" w:rsidP="00353B14">
            <w:pPr>
              <w:jc w:val="both"/>
              <w:rPr>
                <w:b/>
                <w:sz w:val="20"/>
                <w:lang w:val="fr-CA"/>
              </w:rPr>
            </w:pPr>
            <w:r w:rsidRPr="00353B14">
              <w:rPr>
                <w:b/>
                <w:sz w:val="20"/>
                <w:lang w:val="fr-CA"/>
              </w:rPr>
              <w:t>Greenpeace Canada, Lake Ontario Waterkeeper, Northwatch, Association canadienne du droit de l’environnement c. Ontario Power Generation Inc.</w:t>
            </w:r>
          </w:p>
          <w:p w:rsidR="00353B14" w:rsidRPr="00353B14" w:rsidRDefault="00353B14" w:rsidP="00353B14">
            <w:pPr>
              <w:jc w:val="both"/>
              <w:rPr>
                <w:b/>
                <w:sz w:val="20"/>
                <w:lang w:val="fr-CA"/>
              </w:rPr>
            </w:pPr>
            <w:r w:rsidRPr="00353B14">
              <w:rPr>
                <w:b/>
                <w:sz w:val="20"/>
                <w:lang w:val="fr-CA"/>
              </w:rPr>
              <w:t>-et entre-</w:t>
            </w:r>
          </w:p>
          <w:p w:rsidR="00353B14" w:rsidRPr="00353B14" w:rsidRDefault="00353B14" w:rsidP="00353B14">
            <w:pPr>
              <w:jc w:val="both"/>
              <w:rPr>
                <w:b/>
                <w:sz w:val="20"/>
                <w:lang w:val="fr-CA"/>
              </w:rPr>
            </w:pPr>
            <w:r w:rsidRPr="00353B14">
              <w:rPr>
                <w:b/>
                <w:sz w:val="20"/>
                <w:lang w:val="fr-CA"/>
              </w:rPr>
              <w:t>Greenpeace Canada, Association canadienne du droit de l’environnement c. Ontario Power Generation Inc.</w:t>
            </w:r>
          </w:p>
          <w:p w:rsidR="00353B14" w:rsidRPr="00353B14" w:rsidRDefault="00353B14" w:rsidP="00353B14">
            <w:pPr>
              <w:jc w:val="both"/>
              <w:rPr>
                <w:b/>
                <w:sz w:val="20"/>
                <w:lang w:val="fr-CA"/>
              </w:rPr>
            </w:pPr>
            <w:r w:rsidRPr="00353B14">
              <w:rPr>
                <w:b/>
                <w:sz w:val="20"/>
                <w:lang w:val="fr-CA"/>
              </w:rPr>
              <w:t>-et entre-</w:t>
            </w:r>
          </w:p>
          <w:p w:rsidR="00353B14" w:rsidRPr="00353B14" w:rsidRDefault="00353B14" w:rsidP="00353B14">
            <w:pPr>
              <w:jc w:val="both"/>
              <w:rPr>
                <w:b/>
                <w:sz w:val="20"/>
                <w:lang w:val="fr-CA"/>
              </w:rPr>
            </w:pPr>
            <w:r w:rsidRPr="00353B14">
              <w:rPr>
                <w:b/>
                <w:sz w:val="20"/>
                <w:lang w:val="fr-CA"/>
              </w:rPr>
              <w:t>Greenpeace Canada, Lake Ontario Waterkeeper, Northwatch, Association canadienne du droit de l’environnement c. Commission canadienne de sûreté nucléaire</w:t>
            </w:r>
          </w:p>
          <w:p w:rsidR="00353B14" w:rsidRPr="00353B14" w:rsidRDefault="00353B14" w:rsidP="00353B14">
            <w:pPr>
              <w:jc w:val="both"/>
              <w:rPr>
                <w:b/>
                <w:sz w:val="20"/>
                <w:lang w:val="fr-CA"/>
              </w:rPr>
            </w:pPr>
            <w:r w:rsidRPr="00353B14">
              <w:rPr>
                <w:b/>
                <w:sz w:val="20"/>
                <w:lang w:val="fr-CA"/>
              </w:rPr>
              <w:t>-et entre-</w:t>
            </w:r>
          </w:p>
          <w:p w:rsidR="00353B14" w:rsidRPr="00353B14" w:rsidRDefault="00353B14" w:rsidP="00353B14">
            <w:pPr>
              <w:jc w:val="both"/>
              <w:rPr>
                <w:b/>
                <w:sz w:val="20"/>
                <w:lang w:val="fr-CA"/>
              </w:rPr>
            </w:pPr>
            <w:r w:rsidRPr="00353B14">
              <w:rPr>
                <w:b/>
                <w:sz w:val="20"/>
                <w:lang w:val="fr-CA"/>
              </w:rPr>
              <w:t xml:space="preserve">Greenpeace Canada, Lake Ontario Waterkeeper, Northwatch, Association canadienne du droit de l’environnement c. Procureur général du Canada, </w:t>
            </w:r>
            <w:r w:rsidR="00B441EF">
              <w:rPr>
                <w:b/>
                <w:sz w:val="20"/>
                <w:lang w:val="fr-CA"/>
              </w:rPr>
              <w:t>m</w:t>
            </w:r>
            <w:r w:rsidRPr="00353B14">
              <w:rPr>
                <w:b/>
                <w:sz w:val="20"/>
                <w:lang w:val="fr-CA"/>
              </w:rPr>
              <w:t>inistre de l’Environnement, ministre des Pêches et des Océans et ministre des Transports</w:t>
            </w:r>
          </w:p>
          <w:p w:rsidR="00353B14" w:rsidRPr="00353B14" w:rsidRDefault="00353B14" w:rsidP="00353B14">
            <w:pPr>
              <w:jc w:val="both"/>
              <w:rPr>
                <w:b/>
                <w:sz w:val="20"/>
                <w:lang w:val="fr-CA"/>
              </w:rPr>
            </w:pPr>
            <w:r w:rsidRPr="00353B14">
              <w:rPr>
                <w:b/>
                <w:sz w:val="20"/>
                <w:lang w:val="fr-CA"/>
              </w:rPr>
              <w:t>-et entre-</w:t>
            </w:r>
          </w:p>
          <w:p w:rsidR="00353B14" w:rsidRPr="00353B14" w:rsidRDefault="00353B14" w:rsidP="00353B14">
            <w:pPr>
              <w:jc w:val="both"/>
              <w:rPr>
                <w:b/>
                <w:sz w:val="20"/>
                <w:lang w:val="fr-CA"/>
              </w:rPr>
            </w:pPr>
            <w:r w:rsidRPr="00353B14">
              <w:rPr>
                <w:b/>
                <w:sz w:val="20"/>
                <w:lang w:val="fr-CA"/>
              </w:rPr>
              <w:t>Greenpeace Canada et Association canadienne du droit de l’environnement c. Procureur général du Canada</w:t>
            </w:r>
          </w:p>
          <w:p w:rsidR="00353B14" w:rsidRPr="00353B14" w:rsidRDefault="00353B14" w:rsidP="005F4531">
            <w:pPr>
              <w:jc w:val="both"/>
              <w:rPr>
                <w:sz w:val="20"/>
                <w:lang w:val="fr-CA"/>
              </w:rPr>
            </w:pPr>
            <w:r w:rsidRPr="00353B14">
              <w:rPr>
                <w:sz w:val="20"/>
                <w:lang w:val="fr-CA"/>
              </w:rPr>
              <w:t>(CF) (Civile) (</w:t>
            </w:r>
            <w:r w:rsidR="005F4531">
              <w:rPr>
                <w:sz w:val="20"/>
                <w:lang w:val="fr-CA"/>
              </w:rPr>
              <w:t>A</w:t>
            </w:r>
            <w:r w:rsidRPr="00353B14">
              <w:rPr>
                <w:sz w:val="20"/>
                <w:lang w:val="fr-CA"/>
              </w:rPr>
              <w:t>utorisation)</w:t>
            </w:r>
          </w:p>
        </w:tc>
      </w:tr>
      <w:tr w:rsidR="00353B14" w:rsidRPr="00353B14" w:rsidTr="00C623A0">
        <w:tc>
          <w:tcPr>
            <w:tcW w:w="5000" w:type="pct"/>
            <w:gridSpan w:val="4"/>
          </w:tcPr>
          <w:p w:rsidR="00353B14" w:rsidRPr="00353B14" w:rsidRDefault="00353B14" w:rsidP="00353B14">
            <w:pPr>
              <w:jc w:val="both"/>
              <w:rPr>
                <w:sz w:val="20"/>
                <w:lang w:val="fr-CA"/>
              </w:rPr>
            </w:pPr>
            <w:r w:rsidRPr="00353B14">
              <w:rPr>
                <w:sz w:val="20"/>
                <w:lang w:val="fr-CA"/>
              </w:rPr>
              <w:t xml:space="preserve">Droit de l’environnement — Évaluation environnementale — Préparation de l’emplacement d’une centrale nucléaire — L’énoncé des incidences environnementales a été établi avant que la technologie du réacteur ait été choisie — L’approche limitative a été adoptée dans l’énoncé des incidences environnementales — Un scénario limitatif n’a pas été fourni pour toutes les substances dangereuses — La commission d’évaluation environnementale a approuvé le projet, pourvu que les mesures d’atténuation proposées, les engagements pris par le promoteur et les 67 recommandations de la commission soient mis en œuvre — Quelle est la norme de conformité appropriée pour l’application de la </w:t>
            </w:r>
            <w:r w:rsidRPr="00353B14">
              <w:rPr>
                <w:i/>
                <w:sz w:val="20"/>
                <w:lang w:val="fr-CA"/>
              </w:rPr>
              <w:t>Loi canadienne sur l’évaluation environnementale</w:t>
            </w:r>
            <w:r w:rsidRPr="00353B14">
              <w:rPr>
                <w:sz w:val="20"/>
                <w:lang w:val="fr-CA"/>
              </w:rPr>
              <w:t>, L.C. 1992, ch. 37 (abrogée, L.C. 2012, ch. 19, art. 66), ou de toute autre loi sur la protection environnementale? — L’obligation qui incombe aux commissions ou aux autorités fédérales se limite-t-elle à « un certain degré d’examen » des facteurs prévus par la loi? — Comment faut-il envisager l’application de la norme de la décision raisonnable quand il s’agit de contrôler une décision administrative prise en l’absence de preuve à l’appui?</w:t>
            </w:r>
          </w:p>
        </w:tc>
      </w:tr>
      <w:tr w:rsidR="00353B14" w:rsidRPr="00353B14" w:rsidTr="00C623A0">
        <w:tc>
          <w:tcPr>
            <w:tcW w:w="5000" w:type="pct"/>
            <w:gridSpan w:val="4"/>
          </w:tcPr>
          <w:p w:rsidR="00353B14" w:rsidRPr="00353B14" w:rsidRDefault="00353B14" w:rsidP="00353B14">
            <w:pPr>
              <w:jc w:val="both"/>
              <w:rPr>
                <w:sz w:val="20"/>
                <w:lang w:val="fr-CA"/>
              </w:rPr>
            </w:pPr>
          </w:p>
        </w:tc>
      </w:tr>
      <w:tr w:rsidR="00353B14" w:rsidRPr="00353B14" w:rsidTr="00C623A0">
        <w:tc>
          <w:tcPr>
            <w:tcW w:w="5000" w:type="pct"/>
            <w:gridSpan w:val="4"/>
          </w:tcPr>
          <w:p w:rsidR="00353B14" w:rsidRPr="00353B14" w:rsidRDefault="00353B14" w:rsidP="00353B14">
            <w:pPr>
              <w:jc w:val="both"/>
              <w:rPr>
                <w:sz w:val="20"/>
                <w:lang w:val="fr-CA"/>
              </w:rPr>
            </w:pPr>
            <w:r w:rsidRPr="00353B14">
              <w:rPr>
                <w:sz w:val="20"/>
                <w:lang w:val="fr-CA"/>
              </w:rPr>
              <w:lastRenderedPageBreak/>
              <w:t xml:space="preserve">En 2006, Ontario Power Generation (« OPG ») a entrepris le processus d’approbations pour l’installation et l’exploitation de jusqu’à quatre nouveaux réacteurs à la centrale nucléaire existante de Darlington, située sur la rive du lac Ontario. OPG a également présenté à la Commission canadienne de sûreté nucléaire une demande de permis de préparation de l’emplacement pour la construction. Lorsque OPG a présenté son énoncé des incidences environnementales (EIE), l’Ontario n’avait pas choisi de technologie de réacteur nucléaire pour le projet, si bien que l’EIE a été établi en fonction de ce qui est appelé une « approche limitative » — les principales options de conception ont été identifiées et les effets environnementaux négatifs de chaque option ont été évalués. Toutefois, aucun scénario limitatif n’a été fourni pour les émissions de substances dangereuses ou pour les stocks de produits chimiques se trouvant sur place. La commission a tenu des audiences publiques et a présenté au ministre son rapport d’évaluation environnementale de la commission d’examen conjoint. La </w:t>
            </w:r>
            <w:r w:rsidRPr="00353B14">
              <w:rPr>
                <w:i/>
                <w:sz w:val="20"/>
                <w:lang w:val="fr-CA"/>
              </w:rPr>
              <w:t>Loi canadienne sur l’évaluation environnementale</w:t>
            </w:r>
            <w:r w:rsidRPr="00353B14">
              <w:rPr>
                <w:sz w:val="20"/>
                <w:lang w:val="fr-CA"/>
              </w:rPr>
              <w:t>, L.C. 1992, ch. 37 (abrogée, L.C. 2012, ch. 19, art. 66) (la « LCEE »), art. 16, énonce les questions que doivent examiner les commissions qui effectuent une évaluation environnementale. La commission a conclu que le projet n’était pas susceptible de causer des effets environnementaux négatifs importants si les mesures d’atténuation proposées, les engagements pris par OPG et les 67 recommandations étaient mis en œuvre. Dans ses recommandations, la commission a reporté l’examen du stockage de combustible nucléaire usé et des effets d’un accident grave de cause commune jusqu’à ce que la technologie du réacteur nucléaire soit choisie. Sur la foi du rapport, la commission a délivré un permis de dix ans autorisant OPG à préparer l’emplacement.</w:t>
            </w:r>
          </w:p>
          <w:p w:rsidR="00353B14" w:rsidRPr="00353B14" w:rsidRDefault="00353B14" w:rsidP="00353B14">
            <w:pPr>
              <w:jc w:val="both"/>
              <w:rPr>
                <w:sz w:val="20"/>
                <w:lang w:val="fr-CA"/>
              </w:rPr>
            </w:pPr>
          </w:p>
          <w:p w:rsidR="00353B14" w:rsidRPr="00353B14" w:rsidRDefault="00353B14" w:rsidP="00353B14">
            <w:pPr>
              <w:jc w:val="both"/>
              <w:rPr>
                <w:sz w:val="20"/>
                <w:lang w:val="fr-CA"/>
              </w:rPr>
            </w:pPr>
            <w:r w:rsidRPr="00353B14">
              <w:rPr>
                <w:sz w:val="20"/>
                <w:lang w:val="fr-CA"/>
              </w:rPr>
              <w:t>Les demanderesses ont déposé une demande de contrôle judiciaire du rapport et une autre contestant la délivrance du permis. La demande de contrôle judiciaire du rapport a été accueillie en partie; la demande de contrôle judiciaire concernant le permis a été accueillie. Trois appels ont été déposés et instruits ensemble. La Cour d’appel fédérale a statué que le juge de première instance avait mal appliqué la norme de la décision raisonnable et a conclu que la décision de la commission était raisonnable.</w:t>
            </w:r>
          </w:p>
          <w:p w:rsidR="00353B14" w:rsidRPr="00353B14" w:rsidRDefault="00353B14" w:rsidP="00353B14">
            <w:pPr>
              <w:jc w:val="both"/>
              <w:rPr>
                <w:sz w:val="20"/>
                <w:lang w:val="fr-CA"/>
              </w:rPr>
            </w:pPr>
          </w:p>
        </w:tc>
      </w:tr>
      <w:tr w:rsidR="00353B14" w:rsidRPr="00353B14" w:rsidTr="00C623A0">
        <w:tc>
          <w:tcPr>
            <w:tcW w:w="2427" w:type="pct"/>
            <w:gridSpan w:val="2"/>
          </w:tcPr>
          <w:p w:rsidR="00353B14" w:rsidRPr="00353B14" w:rsidRDefault="00353B14" w:rsidP="00353B14">
            <w:pPr>
              <w:jc w:val="both"/>
              <w:rPr>
                <w:sz w:val="20"/>
                <w:lang w:val="fr-CA"/>
              </w:rPr>
            </w:pPr>
            <w:r w:rsidRPr="00353B14">
              <w:rPr>
                <w:sz w:val="20"/>
                <w:lang w:val="fr-CA"/>
              </w:rPr>
              <w:t>14 mai 2014</w:t>
            </w:r>
          </w:p>
          <w:p w:rsidR="00353B14" w:rsidRPr="00353B14" w:rsidRDefault="00353B14" w:rsidP="00353B14">
            <w:pPr>
              <w:jc w:val="both"/>
              <w:rPr>
                <w:sz w:val="20"/>
                <w:lang w:val="fr-CA"/>
              </w:rPr>
            </w:pPr>
            <w:r w:rsidRPr="00353B14">
              <w:rPr>
                <w:sz w:val="20"/>
                <w:lang w:val="fr-CA"/>
              </w:rPr>
              <w:t xml:space="preserve">Cour fédérale </w:t>
            </w:r>
          </w:p>
          <w:p w:rsidR="00353B14" w:rsidRPr="00353B14" w:rsidRDefault="00353B14" w:rsidP="00353B14">
            <w:pPr>
              <w:jc w:val="both"/>
              <w:rPr>
                <w:sz w:val="20"/>
                <w:lang w:val="fr-CA"/>
              </w:rPr>
            </w:pPr>
            <w:r w:rsidRPr="00353B14">
              <w:rPr>
                <w:sz w:val="20"/>
                <w:lang w:val="fr-CA"/>
              </w:rPr>
              <w:t>(Juge Russell)</w:t>
            </w:r>
          </w:p>
          <w:p w:rsidR="00353B14" w:rsidRPr="00353B14" w:rsidRDefault="00353B14" w:rsidP="00353B14">
            <w:pPr>
              <w:jc w:val="both"/>
              <w:rPr>
                <w:sz w:val="20"/>
                <w:lang w:val="fr-CA"/>
              </w:rPr>
            </w:pPr>
            <w:hyperlink r:id="rId18" w:history="1">
              <w:r w:rsidRPr="00353B14">
                <w:rPr>
                  <w:color w:val="0000FF" w:themeColor="hyperlink"/>
                  <w:sz w:val="20"/>
                  <w:u w:val="single"/>
                  <w:lang w:val="fr-CA"/>
                </w:rPr>
                <w:t>2014 FC 463</w:t>
              </w:r>
            </w:hyperlink>
          </w:p>
          <w:p w:rsidR="00353B14" w:rsidRPr="00353B14" w:rsidRDefault="00353B14" w:rsidP="00353B14">
            <w:pPr>
              <w:jc w:val="both"/>
              <w:rPr>
                <w:sz w:val="20"/>
                <w:lang w:val="fr-CA"/>
              </w:rPr>
            </w:pPr>
          </w:p>
        </w:tc>
        <w:tc>
          <w:tcPr>
            <w:tcW w:w="243" w:type="pct"/>
          </w:tcPr>
          <w:p w:rsidR="00353B14" w:rsidRPr="00353B14" w:rsidRDefault="00353B14" w:rsidP="00353B14">
            <w:pPr>
              <w:jc w:val="both"/>
              <w:rPr>
                <w:sz w:val="20"/>
                <w:lang w:val="fr-CA"/>
              </w:rPr>
            </w:pPr>
          </w:p>
        </w:tc>
        <w:tc>
          <w:tcPr>
            <w:tcW w:w="2330" w:type="pct"/>
          </w:tcPr>
          <w:p w:rsidR="00353B14" w:rsidRPr="00353B14" w:rsidRDefault="00353B14" w:rsidP="00353B14">
            <w:pPr>
              <w:jc w:val="both"/>
              <w:rPr>
                <w:sz w:val="20"/>
                <w:lang w:val="fr-CA"/>
              </w:rPr>
            </w:pPr>
            <w:r w:rsidRPr="00353B14">
              <w:rPr>
                <w:i/>
                <w:sz w:val="20"/>
                <w:lang w:val="fr-CA"/>
              </w:rPr>
              <w:t>T-1572-11 </w:t>
            </w:r>
            <w:r w:rsidRPr="00353B14">
              <w:rPr>
                <w:sz w:val="20"/>
                <w:lang w:val="fr-CA"/>
              </w:rPr>
              <w:t>: jugement accueillant en partie la demande de contrôle judiciaire, renvoyant le rapport d’évaluation environnementale à la commission pour qu’elle l’examine à nouveau quant aux questions précises énoncées dans le jugement et déclarant que divers organismes ne peuvent donner d’approbation ni</w:t>
            </w:r>
            <w:bookmarkStart w:id="0" w:name="_Toc388868308"/>
            <w:r w:rsidRPr="00353B14">
              <w:rPr>
                <w:sz w:val="20"/>
                <w:lang w:val="fr-CA"/>
              </w:rPr>
              <w:t xml:space="preserve"> délivrer une licence, un permis, un certificat ou une autorisation prévu par la loi </w:t>
            </w:r>
            <w:bookmarkEnd w:id="0"/>
            <w:r w:rsidRPr="00353B14">
              <w:rPr>
                <w:sz w:val="20"/>
                <w:lang w:val="fr-CA"/>
              </w:rPr>
              <w:t xml:space="preserve"> concernant le projet tant que la commission n’aura pas terminé le nouvel examen;</w:t>
            </w:r>
          </w:p>
          <w:p w:rsidR="00353B14" w:rsidRPr="00353B14" w:rsidRDefault="00353B14" w:rsidP="00353B14">
            <w:pPr>
              <w:jc w:val="both"/>
              <w:rPr>
                <w:sz w:val="20"/>
                <w:lang w:val="fr-CA"/>
              </w:rPr>
            </w:pPr>
            <w:r w:rsidRPr="00353B14">
              <w:rPr>
                <w:i/>
                <w:sz w:val="20"/>
                <w:lang w:val="fr-CA"/>
              </w:rPr>
              <w:t>T-1723-12 </w:t>
            </w:r>
            <w:r w:rsidRPr="00353B14">
              <w:rPr>
                <w:sz w:val="20"/>
                <w:lang w:val="fr-CA"/>
              </w:rPr>
              <w:t xml:space="preserve">: rejet de la requête en radiation présentée par la demanderesse; jugement accueillant la demande </w:t>
            </w:r>
            <w:bookmarkStart w:id="1" w:name="_Toc388868311"/>
            <w:r w:rsidRPr="00353B14">
              <w:rPr>
                <w:sz w:val="20"/>
                <w:lang w:val="fr-CA"/>
              </w:rPr>
              <w:t>pour le motif que le rapport d’évaluation environnementale n’est pas encore complètement conforme à la</w:t>
            </w:r>
            <w:bookmarkEnd w:id="1"/>
            <w:r w:rsidRPr="00353B14">
              <w:rPr>
                <w:sz w:val="20"/>
                <w:lang w:val="fr-CA"/>
              </w:rPr>
              <w:t xml:space="preserve"> </w:t>
            </w:r>
            <w:r w:rsidRPr="00353B14">
              <w:rPr>
                <w:i/>
                <w:sz w:val="20"/>
                <w:lang w:val="fr-CA"/>
              </w:rPr>
              <w:t>Loi canadienne sur l’évaluation environnementale</w:t>
            </w:r>
            <w:r w:rsidRPr="00353B14">
              <w:rPr>
                <w:sz w:val="20"/>
                <w:lang w:val="fr-CA"/>
              </w:rPr>
              <w:t xml:space="preserve"> en ce qui a trait aux questions énoncées dans le jugement prononcé dans le dossier T-1572-11, statuant par conséquent que </w:t>
            </w:r>
            <w:bookmarkStart w:id="2" w:name="_Toc388868312"/>
            <w:r w:rsidRPr="00353B14">
              <w:rPr>
                <w:sz w:val="20"/>
                <w:lang w:val="fr-CA"/>
              </w:rPr>
              <w:t>la délivrance du permis par la Commission canadienne de sûreté nucléaire (CCSN) est invalide et illégale</w:t>
            </w:r>
            <w:bookmarkEnd w:id="2"/>
            <w:r w:rsidRPr="00353B14">
              <w:rPr>
                <w:sz w:val="20"/>
                <w:lang w:val="fr-CA"/>
              </w:rPr>
              <w:t xml:space="preserve">, </w:t>
            </w:r>
            <w:bookmarkStart w:id="3" w:name="_Toc388868313"/>
            <w:r w:rsidRPr="00353B14">
              <w:rPr>
                <w:sz w:val="20"/>
                <w:lang w:val="fr-CA"/>
              </w:rPr>
              <w:t>que la CCSN n’a pas compétence pour délivrer le permis tant qu’il n’y aura pas eu respect complet de la</w:t>
            </w:r>
            <w:bookmarkEnd w:id="3"/>
            <w:r w:rsidRPr="00353B14">
              <w:rPr>
                <w:sz w:val="20"/>
                <w:lang w:val="fr-CA"/>
              </w:rPr>
              <w:t xml:space="preserve"> LCEE et annulant le permis.</w:t>
            </w:r>
          </w:p>
          <w:p w:rsidR="00353B14" w:rsidRPr="00353B14" w:rsidRDefault="00353B14" w:rsidP="00353B14">
            <w:pPr>
              <w:jc w:val="both"/>
              <w:rPr>
                <w:sz w:val="20"/>
                <w:lang w:val="fr-CA"/>
              </w:rPr>
            </w:pPr>
          </w:p>
        </w:tc>
      </w:tr>
      <w:tr w:rsidR="00353B14" w:rsidRPr="00353B14" w:rsidTr="00C623A0">
        <w:tc>
          <w:tcPr>
            <w:tcW w:w="2427" w:type="pct"/>
            <w:gridSpan w:val="2"/>
          </w:tcPr>
          <w:p w:rsidR="00353B14" w:rsidRPr="00353B14" w:rsidRDefault="00353B14" w:rsidP="00353B14">
            <w:pPr>
              <w:jc w:val="both"/>
              <w:rPr>
                <w:sz w:val="20"/>
                <w:lang w:val="fr-CA"/>
              </w:rPr>
            </w:pPr>
            <w:r w:rsidRPr="00353B14">
              <w:rPr>
                <w:sz w:val="20"/>
                <w:lang w:val="fr-CA"/>
              </w:rPr>
              <w:t>10 septembre 2015</w:t>
            </w:r>
          </w:p>
          <w:p w:rsidR="00353B14" w:rsidRPr="00353B14" w:rsidRDefault="00353B14" w:rsidP="00353B14">
            <w:pPr>
              <w:jc w:val="both"/>
              <w:rPr>
                <w:sz w:val="20"/>
                <w:lang w:val="fr-CA"/>
              </w:rPr>
            </w:pPr>
            <w:r w:rsidRPr="00353B14">
              <w:rPr>
                <w:sz w:val="20"/>
                <w:lang w:val="fr-CA"/>
              </w:rPr>
              <w:t xml:space="preserve">Cour d’appel fédérale </w:t>
            </w:r>
          </w:p>
          <w:p w:rsidR="00353B14" w:rsidRPr="00353B14" w:rsidRDefault="00353B14" w:rsidP="00353B14">
            <w:pPr>
              <w:jc w:val="both"/>
              <w:rPr>
                <w:sz w:val="20"/>
                <w:lang w:val="fr-CA"/>
              </w:rPr>
            </w:pPr>
            <w:r w:rsidRPr="00353B14">
              <w:rPr>
                <w:sz w:val="20"/>
                <w:lang w:val="fr-CA"/>
              </w:rPr>
              <w:t>(Juges Trudel, Ryer et Rennie)</w:t>
            </w:r>
          </w:p>
          <w:p w:rsidR="00353B14" w:rsidRPr="00353B14" w:rsidRDefault="00353B14" w:rsidP="00353B14">
            <w:pPr>
              <w:jc w:val="both"/>
              <w:rPr>
                <w:sz w:val="20"/>
                <w:lang w:val="fr-CA"/>
              </w:rPr>
            </w:pPr>
            <w:hyperlink r:id="rId19" w:history="1">
              <w:r w:rsidRPr="00353B14">
                <w:rPr>
                  <w:color w:val="0000FF" w:themeColor="hyperlink"/>
                  <w:sz w:val="20"/>
                  <w:u w:val="single"/>
                  <w:lang w:val="fr-CA"/>
                </w:rPr>
                <w:t>2015 FCA 186</w:t>
              </w:r>
            </w:hyperlink>
          </w:p>
          <w:p w:rsidR="00353B14" w:rsidRPr="00353B14" w:rsidRDefault="00353B14" w:rsidP="00353B14">
            <w:pPr>
              <w:jc w:val="both"/>
              <w:rPr>
                <w:sz w:val="20"/>
                <w:lang w:val="fr-CA"/>
              </w:rPr>
            </w:pPr>
          </w:p>
        </w:tc>
        <w:tc>
          <w:tcPr>
            <w:tcW w:w="243" w:type="pct"/>
          </w:tcPr>
          <w:p w:rsidR="00353B14" w:rsidRPr="00353B14" w:rsidRDefault="00353B14" w:rsidP="00353B14">
            <w:pPr>
              <w:jc w:val="both"/>
              <w:rPr>
                <w:sz w:val="20"/>
                <w:lang w:val="fr-CA"/>
              </w:rPr>
            </w:pPr>
          </w:p>
        </w:tc>
        <w:tc>
          <w:tcPr>
            <w:tcW w:w="2330" w:type="pct"/>
          </w:tcPr>
          <w:p w:rsidR="00353B14" w:rsidRPr="00353B14" w:rsidRDefault="00353B14" w:rsidP="00353B14">
            <w:pPr>
              <w:jc w:val="both"/>
              <w:rPr>
                <w:sz w:val="20"/>
                <w:lang w:val="fr-CA"/>
              </w:rPr>
            </w:pPr>
            <w:r w:rsidRPr="00353B14">
              <w:rPr>
                <w:sz w:val="20"/>
                <w:lang w:val="fr-CA"/>
              </w:rPr>
              <w:t>Arrêt accueillant l’appel, annulant les jugements de la Cour fédérale et rejetant les demandes de contrôle judiciaire</w:t>
            </w:r>
          </w:p>
        </w:tc>
      </w:tr>
      <w:tr w:rsidR="00353B14" w:rsidRPr="00353B14" w:rsidTr="00C623A0">
        <w:tc>
          <w:tcPr>
            <w:tcW w:w="2427" w:type="pct"/>
            <w:gridSpan w:val="2"/>
          </w:tcPr>
          <w:p w:rsidR="00353B14" w:rsidRPr="00353B14" w:rsidRDefault="00353B14" w:rsidP="00353B14">
            <w:pPr>
              <w:jc w:val="both"/>
              <w:rPr>
                <w:sz w:val="20"/>
                <w:lang w:val="fr-CA"/>
              </w:rPr>
            </w:pPr>
            <w:r w:rsidRPr="00353B14">
              <w:rPr>
                <w:sz w:val="20"/>
                <w:lang w:val="fr-CA"/>
              </w:rPr>
              <w:t>6 novembre 2015</w:t>
            </w:r>
          </w:p>
          <w:p w:rsidR="00353B14" w:rsidRPr="00353B14" w:rsidRDefault="00353B14" w:rsidP="00353B14">
            <w:pPr>
              <w:jc w:val="both"/>
              <w:rPr>
                <w:sz w:val="20"/>
                <w:lang w:val="fr-CA"/>
              </w:rPr>
            </w:pPr>
            <w:r w:rsidRPr="00353B14">
              <w:rPr>
                <w:sz w:val="20"/>
                <w:lang w:val="fr-CA"/>
              </w:rPr>
              <w:lastRenderedPageBreak/>
              <w:t>Cour suprême du Canada</w:t>
            </w:r>
          </w:p>
        </w:tc>
        <w:tc>
          <w:tcPr>
            <w:tcW w:w="243" w:type="pct"/>
          </w:tcPr>
          <w:p w:rsidR="00353B14" w:rsidRPr="00353B14" w:rsidRDefault="00353B14" w:rsidP="00353B14">
            <w:pPr>
              <w:jc w:val="both"/>
              <w:rPr>
                <w:sz w:val="20"/>
                <w:lang w:val="fr-CA"/>
              </w:rPr>
            </w:pPr>
          </w:p>
        </w:tc>
        <w:tc>
          <w:tcPr>
            <w:tcW w:w="2330" w:type="pct"/>
          </w:tcPr>
          <w:p w:rsidR="00353B14" w:rsidRPr="00353B14" w:rsidRDefault="00353B14" w:rsidP="00353B14">
            <w:pPr>
              <w:jc w:val="both"/>
              <w:rPr>
                <w:sz w:val="20"/>
                <w:lang w:val="fr-CA"/>
              </w:rPr>
            </w:pPr>
            <w:r w:rsidRPr="00353B14">
              <w:rPr>
                <w:sz w:val="20"/>
                <w:lang w:val="fr-CA"/>
              </w:rPr>
              <w:t>Dépôt de la demande d’autorisation d’appel</w:t>
            </w:r>
          </w:p>
          <w:p w:rsidR="00353B14" w:rsidRPr="00353B14" w:rsidRDefault="00353B14" w:rsidP="00353B14">
            <w:pPr>
              <w:jc w:val="both"/>
              <w:rPr>
                <w:sz w:val="20"/>
                <w:lang w:val="fr-CA"/>
              </w:rPr>
            </w:pPr>
          </w:p>
        </w:tc>
      </w:tr>
    </w:tbl>
    <w:p w:rsidR="00353B14" w:rsidRPr="00456A57" w:rsidRDefault="00353B14" w:rsidP="00456A57">
      <w:pPr>
        <w:jc w:val="both"/>
        <w:rPr>
          <w:sz w:val="20"/>
          <w:lang w:val="fr-CA"/>
        </w:rPr>
      </w:pPr>
    </w:p>
    <w:p w:rsidR="0080140E" w:rsidRPr="00456A57" w:rsidRDefault="0080140E" w:rsidP="00456A57">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6A57" w:rsidRPr="00456A57" w:rsidTr="00E95A6A">
        <w:tc>
          <w:tcPr>
            <w:tcW w:w="543" w:type="pct"/>
          </w:tcPr>
          <w:p w:rsidR="00456A57" w:rsidRPr="00456A57" w:rsidRDefault="00456A57" w:rsidP="00456A57">
            <w:pPr>
              <w:jc w:val="both"/>
              <w:rPr>
                <w:sz w:val="20"/>
                <w:lang w:val="en-CA"/>
              </w:rPr>
            </w:pPr>
            <w:r w:rsidRPr="00456A57">
              <w:rPr>
                <w:rStyle w:val="SCCFileNumberChar"/>
                <w:sz w:val="20"/>
                <w:szCs w:val="20"/>
              </w:rPr>
              <w:t>36787</w:t>
            </w:r>
          </w:p>
        </w:tc>
        <w:tc>
          <w:tcPr>
            <w:tcW w:w="4457" w:type="pct"/>
            <w:gridSpan w:val="3"/>
          </w:tcPr>
          <w:p w:rsidR="00456A57" w:rsidRPr="00456A57" w:rsidRDefault="00456A57" w:rsidP="00456A57">
            <w:pPr>
              <w:jc w:val="both"/>
              <w:rPr>
                <w:b/>
                <w:iCs/>
                <w:sz w:val="20"/>
                <w:lang w:val="en-CA"/>
              </w:rPr>
            </w:pPr>
            <w:r w:rsidRPr="00456A57">
              <w:rPr>
                <w:b/>
                <w:iCs/>
                <w:sz w:val="20"/>
              </w:rPr>
              <w:t xml:space="preserve">Telecommunications Workers Union (T.W.U.), United Steelworkers Local Union 1944 (formerly known as Telecommunication Workers Union (T.W.U.)) </w:t>
            </w:r>
            <w:r w:rsidRPr="00456A57">
              <w:rPr>
                <w:b/>
                <w:sz w:val="20"/>
              </w:rPr>
              <w:t xml:space="preserve">v. </w:t>
            </w:r>
            <w:proofErr w:type="spellStart"/>
            <w:r w:rsidRPr="00456A57">
              <w:rPr>
                <w:b/>
                <w:sz w:val="20"/>
              </w:rPr>
              <w:t>Telus</w:t>
            </w:r>
            <w:proofErr w:type="spellEnd"/>
            <w:r w:rsidRPr="00456A57">
              <w:rPr>
                <w:b/>
                <w:sz w:val="20"/>
              </w:rPr>
              <w:t xml:space="preserve"> Communications Inc.</w:t>
            </w:r>
          </w:p>
          <w:p w:rsidR="00456A57" w:rsidRPr="00456A57" w:rsidRDefault="00456A57" w:rsidP="00456A57">
            <w:pPr>
              <w:jc w:val="both"/>
              <w:rPr>
                <w:sz w:val="20"/>
                <w:lang w:val="en-CA"/>
              </w:rPr>
            </w:pPr>
            <w:r w:rsidRPr="00456A57">
              <w:rPr>
                <w:sz w:val="20"/>
                <w:lang w:val="en-CA"/>
              </w:rPr>
              <w:t>(Que.) (Civil) (By Leave)</w:t>
            </w:r>
          </w:p>
        </w:tc>
      </w:tr>
      <w:tr w:rsidR="00456A57" w:rsidRPr="00456A57" w:rsidTr="00E95A6A">
        <w:tc>
          <w:tcPr>
            <w:tcW w:w="5000" w:type="pct"/>
            <w:gridSpan w:val="4"/>
          </w:tcPr>
          <w:p w:rsidR="00456A57" w:rsidRPr="00456A57" w:rsidRDefault="00456A57" w:rsidP="00456A57">
            <w:pPr>
              <w:pStyle w:val="SCCBanSummary"/>
              <w:rPr>
                <w:sz w:val="20"/>
                <w:szCs w:val="20"/>
              </w:rPr>
            </w:pPr>
            <w:proofErr w:type="gramStart"/>
            <w:r w:rsidRPr="00456A57">
              <w:rPr>
                <w:smallCaps w:val="0"/>
                <w:sz w:val="20"/>
                <w:szCs w:val="20"/>
              </w:rPr>
              <w:t>Administrative law — Labour law arbitration award — Dismissal — Judicial review — Admissibility of evidence — Natural justice and procedural fairness — Whether medical certificate prepared on same day as employer’s decision to dismiss employee, but dealing with prior events, can be considered subsequent evidence that is irrelevant in deciding grievance against dismissal — Whether refusal to admit content of medical certificate in evidence without restrictions is contrary to natural justice and affects fairness of process — Whether arbitration award and grounds relied on for upholding dismissal are unreasonable.</w:t>
            </w:r>
            <w:proofErr w:type="gramEnd"/>
          </w:p>
        </w:tc>
      </w:tr>
      <w:tr w:rsidR="00456A57" w:rsidRPr="00456A57" w:rsidTr="00E95A6A">
        <w:tc>
          <w:tcPr>
            <w:tcW w:w="5000" w:type="pct"/>
            <w:gridSpan w:val="4"/>
          </w:tcPr>
          <w:p w:rsidR="00456A57" w:rsidRPr="00456A57" w:rsidRDefault="00456A57" w:rsidP="00456A57">
            <w:pPr>
              <w:jc w:val="both"/>
              <w:rPr>
                <w:sz w:val="20"/>
                <w:lang w:val="en-CA"/>
              </w:rPr>
            </w:pPr>
          </w:p>
        </w:tc>
      </w:tr>
      <w:tr w:rsidR="00456A57" w:rsidRPr="00456A57" w:rsidTr="00E95A6A">
        <w:tc>
          <w:tcPr>
            <w:tcW w:w="5000" w:type="pct"/>
            <w:gridSpan w:val="4"/>
          </w:tcPr>
          <w:p w:rsidR="00456A57" w:rsidRPr="00456A57" w:rsidRDefault="00456A57" w:rsidP="00456A57">
            <w:pPr>
              <w:jc w:val="both"/>
              <w:rPr>
                <w:sz w:val="20"/>
                <w:lang w:val="en-CA"/>
              </w:rPr>
            </w:pPr>
            <w:r w:rsidRPr="00456A57">
              <w:rPr>
                <w:sz w:val="20"/>
                <w:lang w:val="en-CA"/>
              </w:rPr>
              <w:t xml:space="preserve">Cynthia </w:t>
            </w:r>
            <w:proofErr w:type="spellStart"/>
            <w:r w:rsidRPr="00456A57">
              <w:rPr>
                <w:sz w:val="20"/>
                <w:lang w:val="en-CA"/>
              </w:rPr>
              <w:t>Florestal</w:t>
            </w:r>
            <w:proofErr w:type="spellEnd"/>
            <w:r w:rsidRPr="00456A57">
              <w:rPr>
                <w:sz w:val="20"/>
                <w:lang w:val="en-CA"/>
              </w:rPr>
              <w:t xml:space="preserve"> had been an employee of the respondent Telus Communications Inc. since December 2008. In the summer of 2011, Ms. </w:t>
            </w:r>
            <w:proofErr w:type="spellStart"/>
            <w:r w:rsidRPr="00456A57">
              <w:rPr>
                <w:sz w:val="20"/>
                <w:lang w:val="en-CA"/>
              </w:rPr>
              <w:t>Florestal</w:t>
            </w:r>
            <w:proofErr w:type="spellEnd"/>
            <w:r w:rsidRPr="00456A57">
              <w:rPr>
                <w:sz w:val="20"/>
                <w:lang w:val="en-CA"/>
              </w:rPr>
              <w:t xml:space="preserve"> was absent from work several times due to illness. During her first two absences, at her employer’s request, she provided medical certificates as proof. However, during the third absence, she failed to comply with her employer’s repeated requests and did not provide a medical certificate within the required time, which resulted in her dismissal. The union then filed an unjust dismissal grievance and requested that Ms. </w:t>
            </w:r>
            <w:proofErr w:type="spellStart"/>
            <w:r w:rsidRPr="00456A57">
              <w:rPr>
                <w:sz w:val="20"/>
                <w:lang w:val="en-CA"/>
              </w:rPr>
              <w:t>Florestal</w:t>
            </w:r>
            <w:proofErr w:type="spellEnd"/>
            <w:r w:rsidRPr="00456A57">
              <w:rPr>
                <w:sz w:val="20"/>
                <w:lang w:val="en-CA"/>
              </w:rPr>
              <w:t xml:space="preserve"> </w:t>
            </w:r>
            <w:proofErr w:type="gramStart"/>
            <w:r w:rsidRPr="00456A57">
              <w:rPr>
                <w:sz w:val="20"/>
                <w:lang w:val="en-CA"/>
              </w:rPr>
              <w:t>be reinstated</w:t>
            </w:r>
            <w:proofErr w:type="gramEnd"/>
            <w:r w:rsidRPr="00456A57">
              <w:rPr>
                <w:sz w:val="20"/>
                <w:lang w:val="en-CA"/>
              </w:rPr>
              <w:t>. After analyzing the evidence filed, the arbitrator dismissed the grievance on the ground that the dismissal was not unreasonable, wrongful or discriminatory.</w:t>
            </w:r>
          </w:p>
          <w:p w:rsidR="00456A57" w:rsidRPr="00456A57" w:rsidRDefault="00456A57" w:rsidP="00456A57">
            <w:pPr>
              <w:jc w:val="both"/>
              <w:rPr>
                <w:sz w:val="20"/>
                <w:lang w:val="en-CA"/>
              </w:rPr>
            </w:pPr>
          </w:p>
        </w:tc>
      </w:tr>
      <w:tr w:rsidR="00456A57" w:rsidRPr="00456A57" w:rsidTr="00E95A6A">
        <w:tc>
          <w:tcPr>
            <w:tcW w:w="2427" w:type="pct"/>
            <w:gridSpan w:val="2"/>
          </w:tcPr>
          <w:p w:rsidR="00456A57" w:rsidRPr="00456A57" w:rsidRDefault="00456A57" w:rsidP="00456A57">
            <w:pPr>
              <w:jc w:val="both"/>
              <w:rPr>
                <w:sz w:val="20"/>
                <w:lang w:val="en-CA"/>
              </w:rPr>
            </w:pPr>
            <w:r w:rsidRPr="00456A57">
              <w:rPr>
                <w:sz w:val="20"/>
                <w:lang w:val="en-CA"/>
              </w:rPr>
              <w:t>March 13, 2015</w:t>
            </w:r>
          </w:p>
          <w:p w:rsidR="00456A57" w:rsidRPr="00456A57" w:rsidRDefault="00456A57" w:rsidP="00456A57">
            <w:pPr>
              <w:jc w:val="both"/>
              <w:rPr>
                <w:sz w:val="20"/>
                <w:lang w:val="en-CA"/>
              </w:rPr>
            </w:pPr>
            <w:r w:rsidRPr="00456A57">
              <w:rPr>
                <w:sz w:val="20"/>
                <w:lang w:val="en-CA"/>
              </w:rPr>
              <w:t>Quebec Superior Court</w:t>
            </w:r>
          </w:p>
          <w:p w:rsidR="00456A57" w:rsidRPr="00456A57" w:rsidRDefault="00456A57" w:rsidP="00456A57">
            <w:pPr>
              <w:jc w:val="both"/>
              <w:rPr>
                <w:sz w:val="20"/>
                <w:lang w:val="en-CA"/>
              </w:rPr>
            </w:pPr>
            <w:r w:rsidRPr="00456A57">
              <w:rPr>
                <w:sz w:val="20"/>
                <w:lang w:val="en-CA"/>
              </w:rPr>
              <w:t>(Roy J.)</w:t>
            </w:r>
          </w:p>
          <w:p w:rsidR="00456A57" w:rsidRPr="00456A57" w:rsidRDefault="00456A57" w:rsidP="00456A57">
            <w:pPr>
              <w:jc w:val="both"/>
              <w:rPr>
                <w:sz w:val="20"/>
                <w:lang w:val="en-CA"/>
              </w:rPr>
            </w:pPr>
            <w:hyperlink r:id="rId20" w:history="1">
              <w:r w:rsidRPr="00456A57">
                <w:rPr>
                  <w:rStyle w:val="Hyperlink"/>
                  <w:sz w:val="20"/>
                  <w:lang w:val="en-CA"/>
                </w:rPr>
                <w:t>2015 QCCS 985</w:t>
              </w:r>
            </w:hyperlink>
          </w:p>
          <w:p w:rsidR="00456A57" w:rsidRPr="00456A57" w:rsidRDefault="00456A57" w:rsidP="00456A57">
            <w:pPr>
              <w:jc w:val="both"/>
              <w:rPr>
                <w:sz w:val="20"/>
                <w:lang w:val="en-CA"/>
              </w:rPr>
            </w:pPr>
          </w:p>
        </w:tc>
        <w:tc>
          <w:tcPr>
            <w:tcW w:w="243" w:type="pct"/>
          </w:tcPr>
          <w:p w:rsidR="00456A57" w:rsidRPr="00456A57" w:rsidRDefault="00456A57" w:rsidP="00456A57">
            <w:pPr>
              <w:jc w:val="both"/>
              <w:rPr>
                <w:sz w:val="20"/>
                <w:lang w:val="en-CA"/>
              </w:rPr>
            </w:pPr>
          </w:p>
        </w:tc>
        <w:tc>
          <w:tcPr>
            <w:tcW w:w="2330" w:type="pct"/>
          </w:tcPr>
          <w:p w:rsidR="00456A57" w:rsidRPr="00456A57" w:rsidRDefault="00456A57" w:rsidP="00456A57">
            <w:pPr>
              <w:jc w:val="both"/>
              <w:rPr>
                <w:sz w:val="20"/>
                <w:lang w:val="en-CA"/>
              </w:rPr>
            </w:pPr>
            <w:r w:rsidRPr="00456A57">
              <w:rPr>
                <w:sz w:val="20"/>
                <w:lang w:val="en-CA"/>
              </w:rPr>
              <w:t>Motion for judicial review allowed.</w:t>
            </w:r>
          </w:p>
          <w:p w:rsidR="00456A57" w:rsidRPr="00456A57" w:rsidRDefault="00456A57" w:rsidP="00456A57">
            <w:pPr>
              <w:jc w:val="both"/>
              <w:rPr>
                <w:sz w:val="20"/>
                <w:lang w:val="en-CA"/>
              </w:rPr>
            </w:pPr>
          </w:p>
        </w:tc>
      </w:tr>
      <w:tr w:rsidR="00456A57" w:rsidRPr="00456A57" w:rsidTr="00E95A6A">
        <w:tc>
          <w:tcPr>
            <w:tcW w:w="2427" w:type="pct"/>
            <w:gridSpan w:val="2"/>
          </w:tcPr>
          <w:p w:rsidR="00456A57" w:rsidRPr="00456A57" w:rsidRDefault="00456A57" w:rsidP="00456A57">
            <w:pPr>
              <w:jc w:val="both"/>
              <w:rPr>
                <w:sz w:val="20"/>
                <w:lang w:val="en-CA"/>
              </w:rPr>
            </w:pPr>
            <w:r w:rsidRPr="00456A57">
              <w:rPr>
                <w:sz w:val="20"/>
                <w:lang w:val="en-CA"/>
              </w:rPr>
              <w:t>November 6, 2015</w:t>
            </w:r>
          </w:p>
          <w:p w:rsidR="00456A57" w:rsidRPr="00456A57" w:rsidRDefault="00456A57" w:rsidP="00456A57">
            <w:pPr>
              <w:jc w:val="both"/>
              <w:rPr>
                <w:sz w:val="20"/>
                <w:lang w:val="en-CA"/>
              </w:rPr>
            </w:pPr>
            <w:r w:rsidRPr="00456A57">
              <w:rPr>
                <w:sz w:val="20"/>
                <w:lang w:val="en-CA"/>
              </w:rPr>
              <w:t>Quebec Court of Appeal (Montréal)</w:t>
            </w:r>
          </w:p>
          <w:p w:rsidR="00456A57" w:rsidRPr="00456A57" w:rsidRDefault="00456A57" w:rsidP="00456A57">
            <w:pPr>
              <w:jc w:val="both"/>
              <w:rPr>
                <w:sz w:val="20"/>
                <w:lang w:val="en-CA"/>
              </w:rPr>
            </w:pPr>
            <w:r w:rsidRPr="00456A57">
              <w:rPr>
                <w:sz w:val="20"/>
                <w:lang w:val="en-CA"/>
              </w:rPr>
              <w:t>(</w:t>
            </w:r>
            <w:proofErr w:type="spellStart"/>
            <w:r w:rsidRPr="00456A57">
              <w:rPr>
                <w:sz w:val="20"/>
                <w:lang w:val="en-CA"/>
              </w:rPr>
              <w:t>Bich</w:t>
            </w:r>
            <w:proofErr w:type="spellEnd"/>
            <w:r w:rsidRPr="00456A57">
              <w:rPr>
                <w:sz w:val="20"/>
                <w:lang w:val="en-CA"/>
              </w:rPr>
              <w:t xml:space="preserve">, Dufresne and </w:t>
            </w:r>
            <w:proofErr w:type="spellStart"/>
            <w:r w:rsidRPr="00456A57">
              <w:rPr>
                <w:sz w:val="20"/>
                <w:lang w:val="en-CA"/>
              </w:rPr>
              <w:t>Marcotte</w:t>
            </w:r>
            <w:proofErr w:type="spellEnd"/>
            <w:r w:rsidRPr="00456A57">
              <w:rPr>
                <w:sz w:val="20"/>
                <w:lang w:val="en-CA"/>
              </w:rPr>
              <w:t xml:space="preserve"> JJ.A.)</w:t>
            </w:r>
          </w:p>
          <w:p w:rsidR="00456A57" w:rsidRPr="00456A57" w:rsidRDefault="00456A57" w:rsidP="00456A57">
            <w:pPr>
              <w:jc w:val="both"/>
              <w:rPr>
                <w:sz w:val="20"/>
                <w:lang w:val="en-CA"/>
              </w:rPr>
            </w:pPr>
            <w:hyperlink r:id="rId21" w:history="1">
              <w:r w:rsidRPr="00456A57">
                <w:rPr>
                  <w:rStyle w:val="Hyperlink"/>
                  <w:sz w:val="20"/>
                  <w:lang w:val="en-CA"/>
                </w:rPr>
                <w:t>2015 QCCA 1856</w:t>
              </w:r>
            </w:hyperlink>
          </w:p>
          <w:p w:rsidR="00456A57" w:rsidRPr="00456A57" w:rsidRDefault="00456A57" w:rsidP="00456A57">
            <w:pPr>
              <w:jc w:val="both"/>
              <w:rPr>
                <w:sz w:val="20"/>
                <w:lang w:val="en-CA"/>
              </w:rPr>
            </w:pPr>
          </w:p>
        </w:tc>
        <w:tc>
          <w:tcPr>
            <w:tcW w:w="243" w:type="pct"/>
          </w:tcPr>
          <w:p w:rsidR="00456A57" w:rsidRPr="00456A57" w:rsidRDefault="00456A57" w:rsidP="00456A57">
            <w:pPr>
              <w:jc w:val="both"/>
              <w:rPr>
                <w:sz w:val="20"/>
                <w:lang w:val="en-CA"/>
              </w:rPr>
            </w:pPr>
          </w:p>
        </w:tc>
        <w:tc>
          <w:tcPr>
            <w:tcW w:w="2330" w:type="pct"/>
          </w:tcPr>
          <w:p w:rsidR="00456A57" w:rsidRPr="00456A57" w:rsidRDefault="00456A57" w:rsidP="00456A57">
            <w:pPr>
              <w:jc w:val="both"/>
              <w:rPr>
                <w:sz w:val="20"/>
                <w:lang w:val="en-CA"/>
              </w:rPr>
            </w:pPr>
            <w:r w:rsidRPr="00456A57">
              <w:rPr>
                <w:sz w:val="20"/>
                <w:lang w:val="en-CA"/>
              </w:rPr>
              <w:t>Appeal allowed.</w:t>
            </w:r>
          </w:p>
          <w:p w:rsidR="00456A57" w:rsidRPr="00456A57" w:rsidRDefault="00456A57" w:rsidP="00456A57">
            <w:pPr>
              <w:jc w:val="both"/>
              <w:rPr>
                <w:sz w:val="20"/>
                <w:lang w:val="en-CA"/>
              </w:rPr>
            </w:pPr>
            <w:r w:rsidRPr="00456A57">
              <w:rPr>
                <w:sz w:val="20"/>
                <w:lang w:val="en-CA"/>
              </w:rPr>
              <w:t xml:space="preserve">Motion for judicial review dismissed. </w:t>
            </w:r>
          </w:p>
          <w:p w:rsidR="00456A57" w:rsidRPr="00456A57" w:rsidRDefault="00456A57" w:rsidP="00456A57">
            <w:pPr>
              <w:jc w:val="both"/>
              <w:rPr>
                <w:sz w:val="20"/>
                <w:lang w:val="en-CA"/>
              </w:rPr>
            </w:pPr>
          </w:p>
        </w:tc>
      </w:tr>
      <w:tr w:rsidR="00456A57" w:rsidRPr="00456A57" w:rsidTr="00E95A6A">
        <w:tc>
          <w:tcPr>
            <w:tcW w:w="2427" w:type="pct"/>
            <w:gridSpan w:val="2"/>
          </w:tcPr>
          <w:p w:rsidR="00456A57" w:rsidRPr="00456A57" w:rsidRDefault="00456A57" w:rsidP="00456A57">
            <w:pPr>
              <w:jc w:val="both"/>
              <w:rPr>
                <w:sz w:val="20"/>
                <w:lang w:val="en-CA"/>
              </w:rPr>
            </w:pPr>
            <w:r w:rsidRPr="00456A57">
              <w:rPr>
                <w:sz w:val="20"/>
                <w:lang w:val="en-CA"/>
              </w:rPr>
              <w:t>December 30, 2015</w:t>
            </w:r>
          </w:p>
          <w:p w:rsidR="00456A57" w:rsidRPr="00456A57" w:rsidRDefault="00456A57" w:rsidP="00456A57">
            <w:pPr>
              <w:jc w:val="both"/>
              <w:rPr>
                <w:sz w:val="20"/>
                <w:lang w:val="en-CA"/>
              </w:rPr>
            </w:pPr>
            <w:r w:rsidRPr="00456A57">
              <w:rPr>
                <w:sz w:val="20"/>
                <w:lang w:val="en-CA"/>
              </w:rPr>
              <w:t>Supreme Court of Canada</w:t>
            </w:r>
          </w:p>
        </w:tc>
        <w:tc>
          <w:tcPr>
            <w:tcW w:w="243" w:type="pct"/>
          </w:tcPr>
          <w:p w:rsidR="00456A57" w:rsidRPr="00456A57" w:rsidRDefault="00456A57" w:rsidP="00456A57">
            <w:pPr>
              <w:jc w:val="both"/>
              <w:rPr>
                <w:sz w:val="20"/>
                <w:lang w:val="en-CA"/>
              </w:rPr>
            </w:pPr>
          </w:p>
        </w:tc>
        <w:tc>
          <w:tcPr>
            <w:tcW w:w="2330" w:type="pct"/>
          </w:tcPr>
          <w:p w:rsidR="00456A57" w:rsidRPr="00456A57" w:rsidRDefault="00456A57" w:rsidP="00456A57">
            <w:pPr>
              <w:jc w:val="both"/>
              <w:rPr>
                <w:sz w:val="20"/>
                <w:lang w:val="en-CA"/>
              </w:rPr>
            </w:pPr>
            <w:r w:rsidRPr="00456A57">
              <w:rPr>
                <w:sz w:val="20"/>
                <w:lang w:val="en-CA"/>
              </w:rPr>
              <w:t>Application for leave to appeal filed.</w:t>
            </w:r>
          </w:p>
        </w:tc>
      </w:tr>
    </w:tbl>
    <w:p w:rsidR="00456A57" w:rsidRPr="00456A57" w:rsidRDefault="00456A57" w:rsidP="00456A57">
      <w:pPr>
        <w:jc w:val="both"/>
        <w:rPr>
          <w:sz w:val="20"/>
          <w:lang w:val="en-CA"/>
        </w:rPr>
      </w:pPr>
    </w:p>
    <w:p w:rsidR="00456A57" w:rsidRPr="00456A57" w:rsidRDefault="00456A57" w:rsidP="00456A5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6A57" w:rsidRPr="00456A57" w:rsidTr="00E95A6A">
        <w:tc>
          <w:tcPr>
            <w:tcW w:w="543" w:type="pct"/>
          </w:tcPr>
          <w:p w:rsidR="00456A57" w:rsidRPr="00456A57" w:rsidRDefault="00456A57" w:rsidP="00456A57">
            <w:pPr>
              <w:jc w:val="both"/>
              <w:rPr>
                <w:sz w:val="20"/>
              </w:rPr>
            </w:pPr>
            <w:r w:rsidRPr="00456A57">
              <w:rPr>
                <w:rStyle w:val="SCCFileNumberChar"/>
                <w:sz w:val="20"/>
                <w:szCs w:val="20"/>
              </w:rPr>
              <w:t>36787</w:t>
            </w:r>
          </w:p>
        </w:tc>
        <w:tc>
          <w:tcPr>
            <w:tcW w:w="4457" w:type="pct"/>
            <w:gridSpan w:val="3"/>
          </w:tcPr>
          <w:p w:rsidR="00456A57" w:rsidRPr="00456A57" w:rsidRDefault="00456A57" w:rsidP="00456A57">
            <w:pPr>
              <w:jc w:val="both"/>
              <w:rPr>
                <w:b/>
                <w:sz w:val="20"/>
              </w:rPr>
            </w:pPr>
            <w:proofErr w:type="spellStart"/>
            <w:r w:rsidRPr="00456A57">
              <w:rPr>
                <w:b/>
                <w:iCs/>
                <w:sz w:val="20"/>
              </w:rPr>
              <w:t>Syndicat</w:t>
            </w:r>
            <w:proofErr w:type="spellEnd"/>
            <w:r w:rsidRPr="00456A57">
              <w:rPr>
                <w:b/>
                <w:iCs/>
                <w:sz w:val="20"/>
              </w:rPr>
              <w:t xml:space="preserve"> des </w:t>
            </w:r>
            <w:proofErr w:type="spellStart"/>
            <w:proofErr w:type="gramStart"/>
            <w:r w:rsidRPr="00456A57">
              <w:rPr>
                <w:b/>
                <w:iCs/>
                <w:sz w:val="20"/>
              </w:rPr>
              <w:t>travailleurs</w:t>
            </w:r>
            <w:proofErr w:type="spellEnd"/>
            <w:r w:rsidRPr="00456A57">
              <w:rPr>
                <w:b/>
                <w:iCs/>
                <w:sz w:val="20"/>
              </w:rPr>
              <w:t>(</w:t>
            </w:r>
            <w:proofErr w:type="spellStart"/>
            <w:proofErr w:type="gramEnd"/>
            <w:r w:rsidRPr="00456A57">
              <w:rPr>
                <w:b/>
                <w:iCs/>
                <w:sz w:val="20"/>
              </w:rPr>
              <w:t>euses</w:t>
            </w:r>
            <w:proofErr w:type="spellEnd"/>
            <w:r w:rsidRPr="00456A57">
              <w:rPr>
                <w:b/>
                <w:iCs/>
                <w:sz w:val="20"/>
              </w:rPr>
              <w:t xml:space="preserve">) </w:t>
            </w:r>
            <w:proofErr w:type="spellStart"/>
            <w:r w:rsidRPr="00456A57">
              <w:rPr>
                <w:b/>
                <w:iCs/>
                <w:sz w:val="20"/>
              </w:rPr>
              <w:t>en</w:t>
            </w:r>
            <w:proofErr w:type="spellEnd"/>
            <w:r w:rsidRPr="00456A57">
              <w:rPr>
                <w:b/>
                <w:iCs/>
                <w:sz w:val="20"/>
              </w:rPr>
              <w:t xml:space="preserve"> </w:t>
            </w:r>
            <w:proofErr w:type="spellStart"/>
            <w:r w:rsidRPr="00456A57">
              <w:rPr>
                <w:b/>
                <w:iCs/>
                <w:sz w:val="20"/>
              </w:rPr>
              <w:t>télécommunications</w:t>
            </w:r>
            <w:proofErr w:type="spellEnd"/>
            <w:r w:rsidRPr="00456A57">
              <w:rPr>
                <w:b/>
                <w:iCs/>
                <w:sz w:val="20"/>
              </w:rPr>
              <w:t xml:space="preserve"> (S.T.T.), section locale 1944 du Syndicat des Métallos (anciennement connue sous le nom </w:t>
            </w:r>
            <w:r w:rsidR="004C559D">
              <w:rPr>
                <w:b/>
                <w:iCs/>
                <w:sz w:val="20"/>
              </w:rPr>
              <w:t xml:space="preserve">de </w:t>
            </w:r>
            <w:proofErr w:type="spellStart"/>
            <w:r w:rsidRPr="00456A57">
              <w:rPr>
                <w:b/>
                <w:iCs/>
                <w:sz w:val="20"/>
              </w:rPr>
              <w:t>Syndicat</w:t>
            </w:r>
            <w:proofErr w:type="spellEnd"/>
            <w:r w:rsidRPr="00456A57">
              <w:rPr>
                <w:b/>
                <w:iCs/>
                <w:sz w:val="20"/>
              </w:rPr>
              <w:t xml:space="preserve"> des </w:t>
            </w:r>
            <w:proofErr w:type="spellStart"/>
            <w:r w:rsidRPr="00456A57">
              <w:rPr>
                <w:b/>
                <w:iCs/>
                <w:sz w:val="20"/>
              </w:rPr>
              <w:t>travailleurs</w:t>
            </w:r>
            <w:proofErr w:type="spellEnd"/>
            <w:r w:rsidRPr="00456A57">
              <w:rPr>
                <w:b/>
                <w:iCs/>
                <w:sz w:val="20"/>
              </w:rPr>
              <w:t>(</w:t>
            </w:r>
            <w:proofErr w:type="spellStart"/>
            <w:r w:rsidRPr="00456A57">
              <w:rPr>
                <w:b/>
                <w:iCs/>
                <w:sz w:val="20"/>
              </w:rPr>
              <w:t>euses</w:t>
            </w:r>
            <w:proofErr w:type="spellEnd"/>
            <w:r w:rsidRPr="00456A57">
              <w:rPr>
                <w:b/>
                <w:iCs/>
                <w:sz w:val="20"/>
              </w:rPr>
              <w:t xml:space="preserve">) </w:t>
            </w:r>
            <w:proofErr w:type="spellStart"/>
            <w:r w:rsidRPr="00456A57">
              <w:rPr>
                <w:b/>
                <w:iCs/>
                <w:sz w:val="20"/>
              </w:rPr>
              <w:t>en</w:t>
            </w:r>
            <w:proofErr w:type="spellEnd"/>
            <w:r w:rsidRPr="00456A57">
              <w:rPr>
                <w:b/>
                <w:iCs/>
                <w:sz w:val="20"/>
              </w:rPr>
              <w:t xml:space="preserve"> </w:t>
            </w:r>
            <w:proofErr w:type="spellStart"/>
            <w:r w:rsidRPr="00456A57">
              <w:rPr>
                <w:b/>
                <w:iCs/>
                <w:sz w:val="20"/>
              </w:rPr>
              <w:t>télécommunications</w:t>
            </w:r>
            <w:proofErr w:type="spellEnd"/>
            <w:r w:rsidRPr="00456A57">
              <w:rPr>
                <w:b/>
                <w:iCs/>
                <w:sz w:val="20"/>
              </w:rPr>
              <w:t xml:space="preserve"> (S.T.T.)) </w:t>
            </w:r>
            <w:r w:rsidRPr="00456A57">
              <w:rPr>
                <w:b/>
                <w:sz w:val="20"/>
              </w:rPr>
              <w:t xml:space="preserve">c. </w:t>
            </w:r>
            <w:proofErr w:type="spellStart"/>
            <w:r w:rsidRPr="00456A57">
              <w:rPr>
                <w:b/>
                <w:sz w:val="20"/>
              </w:rPr>
              <w:t>Telus</w:t>
            </w:r>
            <w:proofErr w:type="spellEnd"/>
            <w:r w:rsidRPr="00456A57">
              <w:rPr>
                <w:b/>
                <w:sz w:val="20"/>
              </w:rPr>
              <w:t xml:space="preserve"> Communications </w:t>
            </w:r>
            <w:r w:rsidR="007B6C65">
              <w:rPr>
                <w:b/>
                <w:sz w:val="20"/>
              </w:rPr>
              <w:t>I</w:t>
            </w:r>
            <w:bookmarkStart w:id="4" w:name="_GoBack"/>
            <w:bookmarkEnd w:id="4"/>
            <w:r w:rsidRPr="00456A57">
              <w:rPr>
                <w:b/>
                <w:sz w:val="20"/>
              </w:rPr>
              <w:t>nc.</w:t>
            </w:r>
          </w:p>
          <w:p w:rsidR="00456A57" w:rsidRPr="00456A57" w:rsidRDefault="00456A57" w:rsidP="00456A57">
            <w:pPr>
              <w:jc w:val="both"/>
              <w:rPr>
                <w:sz w:val="20"/>
              </w:rPr>
            </w:pPr>
            <w:r w:rsidRPr="00456A57">
              <w:rPr>
                <w:sz w:val="20"/>
              </w:rPr>
              <w:t>(Qc) (</w:t>
            </w:r>
            <w:proofErr w:type="spellStart"/>
            <w:r w:rsidRPr="00456A57">
              <w:rPr>
                <w:sz w:val="20"/>
              </w:rPr>
              <w:t>Civile</w:t>
            </w:r>
            <w:proofErr w:type="spellEnd"/>
            <w:r w:rsidRPr="00456A57">
              <w:rPr>
                <w:sz w:val="20"/>
              </w:rPr>
              <w:t>) (</w:t>
            </w:r>
            <w:proofErr w:type="spellStart"/>
            <w:r w:rsidRPr="00456A57">
              <w:rPr>
                <w:sz w:val="20"/>
              </w:rPr>
              <w:t>Autorisation</w:t>
            </w:r>
            <w:proofErr w:type="spellEnd"/>
            <w:r w:rsidRPr="00456A57">
              <w:rPr>
                <w:sz w:val="20"/>
              </w:rPr>
              <w:t>)</w:t>
            </w:r>
          </w:p>
        </w:tc>
      </w:tr>
      <w:tr w:rsidR="00456A57" w:rsidRPr="00456A57" w:rsidTr="00E95A6A">
        <w:tc>
          <w:tcPr>
            <w:tcW w:w="5000" w:type="pct"/>
            <w:gridSpan w:val="4"/>
          </w:tcPr>
          <w:p w:rsidR="00456A57" w:rsidRPr="00456A57" w:rsidRDefault="00456A57" w:rsidP="00456A57">
            <w:pPr>
              <w:pStyle w:val="SCCBanSummary"/>
              <w:rPr>
                <w:sz w:val="20"/>
                <w:szCs w:val="20"/>
              </w:rPr>
            </w:pPr>
            <w:proofErr w:type="gramStart"/>
            <w:r w:rsidRPr="00456A57">
              <w:rPr>
                <w:smallCaps w:val="0"/>
                <w:sz w:val="20"/>
                <w:szCs w:val="20"/>
              </w:rPr>
              <w:t xml:space="preserve">Droit </w:t>
            </w:r>
            <w:proofErr w:type="spellStart"/>
            <w:r w:rsidRPr="00456A57">
              <w:rPr>
                <w:smallCaps w:val="0"/>
                <w:sz w:val="20"/>
                <w:szCs w:val="20"/>
              </w:rPr>
              <w:t>administratif</w:t>
            </w:r>
            <w:proofErr w:type="spellEnd"/>
            <w:r w:rsidRPr="00456A57">
              <w:rPr>
                <w:smallCaps w:val="0"/>
                <w:sz w:val="20"/>
                <w:szCs w:val="20"/>
              </w:rPr>
              <w:t xml:space="preserve"> — Sentence arbitrale en droit du travail — Congédiement — Contrôle judiciaire — Admissibilité de la preuve — Justice naturelle et équité procédurale — Est-ce que le certificat médical préparé le jour même de la décision de l’employeur de congédier la salariée, mais portant sur des faits antérieurs, peut être considéré comme une preuve postérieure et non pertinente pour statuer sur le grief contestant le congédiement?</w:t>
            </w:r>
            <w:proofErr w:type="gramEnd"/>
            <w:r w:rsidRPr="00456A57">
              <w:rPr>
                <w:smallCaps w:val="0"/>
                <w:sz w:val="20"/>
                <w:szCs w:val="20"/>
              </w:rPr>
              <w:t xml:space="preserve"> — Est-ce que le refus d’admettre en preuve le contenu dudit certificat médical sans restrictions viole la justice naturelle et affecte l’équité du processus? — La sentence arbitrale et les motifs invoqués pour maintenir le congédiement sont-ils </w:t>
            </w:r>
            <w:proofErr w:type="gramStart"/>
            <w:r w:rsidRPr="00456A57">
              <w:rPr>
                <w:smallCaps w:val="0"/>
                <w:sz w:val="20"/>
                <w:szCs w:val="20"/>
              </w:rPr>
              <w:t>déraisonnables?</w:t>
            </w:r>
            <w:proofErr w:type="gramEnd"/>
          </w:p>
        </w:tc>
      </w:tr>
      <w:tr w:rsidR="00456A57" w:rsidRPr="00456A57" w:rsidTr="00E95A6A">
        <w:tc>
          <w:tcPr>
            <w:tcW w:w="5000" w:type="pct"/>
            <w:gridSpan w:val="4"/>
          </w:tcPr>
          <w:p w:rsidR="00456A57" w:rsidRPr="00456A57" w:rsidRDefault="00456A57" w:rsidP="00456A57">
            <w:pPr>
              <w:jc w:val="both"/>
              <w:rPr>
                <w:sz w:val="20"/>
              </w:rPr>
            </w:pPr>
          </w:p>
        </w:tc>
      </w:tr>
      <w:tr w:rsidR="00456A57" w:rsidRPr="00456A57" w:rsidTr="00E95A6A">
        <w:tc>
          <w:tcPr>
            <w:tcW w:w="5000" w:type="pct"/>
            <w:gridSpan w:val="4"/>
          </w:tcPr>
          <w:p w:rsidR="00456A57" w:rsidRPr="00456A57" w:rsidRDefault="00456A57" w:rsidP="00456A57">
            <w:pPr>
              <w:jc w:val="both"/>
              <w:rPr>
                <w:sz w:val="20"/>
              </w:rPr>
            </w:pPr>
            <w:proofErr w:type="spellStart"/>
            <w:r w:rsidRPr="00456A57">
              <w:rPr>
                <w:sz w:val="20"/>
              </w:rPr>
              <w:t>Mme</w:t>
            </w:r>
            <w:proofErr w:type="spellEnd"/>
            <w:r w:rsidRPr="00456A57">
              <w:rPr>
                <w:sz w:val="20"/>
              </w:rPr>
              <w:t xml:space="preserve"> Cynthia </w:t>
            </w:r>
            <w:proofErr w:type="spellStart"/>
            <w:r w:rsidRPr="00456A57">
              <w:rPr>
                <w:sz w:val="20"/>
              </w:rPr>
              <w:t>Florestal</w:t>
            </w:r>
            <w:proofErr w:type="spellEnd"/>
            <w:r w:rsidRPr="00456A57">
              <w:rPr>
                <w:sz w:val="20"/>
              </w:rPr>
              <w:t xml:space="preserve"> </w:t>
            </w:r>
            <w:proofErr w:type="spellStart"/>
            <w:r w:rsidRPr="00456A57">
              <w:rPr>
                <w:sz w:val="20"/>
              </w:rPr>
              <w:t>est</w:t>
            </w:r>
            <w:proofErr w:type="spellEnd"/>
            <w:r w:rsidRPr="00456A57">
              <w:rPr>
                <w:sz w:val="20"/>
              </w:rPr>
              <w:t xml:space="preserve"> </w:t>
            </w:r>
            <w:proofErr w:type="spellStart"/>
            <w:r w:rsidRPr="00456A57">
              <w:rPr>
                <w:sz w:val="20"/>
              </w:rPr>
              <w:t>employée</w:t>
            </w:r>
            <w:proofErr w:type="spellEnd"/>
            <w:r w:rsidRPr="00456A57">
              <w:rPr>
                <w:sz w:val="20"/>
              </w:rPr>
              <w:t xml:space="preserve"> de </w:t>
            </w:r>
            <w:proofErr w:type="spellStart"/>
            <w:r w:rsidRPr="00456A57">
              <w:rPr>
                <w:sz w:val="20"/>
              </w:rPr>
              <w:t>l’intimée</w:t>
            </w:r>
            <w:proofErr w:type="spellEnd"/>
            <w:r w:rsidRPr="00456A57">
              <w:rPr>
                <w:sz w:val="20"/>
              </w:rPr>
              <w:t xml:space="preserve"> </w:t>
            </w:r>
            <w:proofErr w:type="spellStart"/>
            <w:r w:rsidRPr="00456A57">
              <w:rPr>
                <w:sz w:val="20"/>
              </w:rPr>
              <w:t>Telus</w:t>
            </w:r>
            <w:proofErr w:type="spellEnd"/>
            <w:r w:rsidRPr="00456A57">
              <w:rPr>
                <w:sz w:val="20"/>
              </w:rPr>
              <w:t xml:space="preserve"> Communications </w:t>
            </w:r>
            <w:proofErr w:type="spellStart"/>
            <w:r w:rsidRPr="00456A57">
              <w:rPr>
                <w:sz w:val="20"/>
              </w:rPr>
              <w:t>inc.</w:t>
            </w:r>
            <w:proofErr w:type="spellEnd"/>
            <w:r w:rsidRPr="00456A57">
              <w:rPr>
                <w:sz w:val="20"/>
              </w:rPr>
              <w:t xml:space="preserve"> depuis décembre 2008. Au cours de </w:t>
            </w:r>
            <w:proofErr w:type="spellStart"/>
            <w:r w:rsidRPr="00456A57">
              <w:rPr>
                <w:sz w:val="20"/>
              </w:rPr>
              <w:t>l’été</w:t>
            </w:r>
            <w:proofErr w:type="spellEnd"/>
            <w:r w:rsidRPr="00456A57">
              <w:rPr>
                <w:sz w:val="20"/>
              </w:rPr>
              <w:t xml:space="preserve"> 2011, </w:t>
            </w:r>
            <w:proofErr w:type="spellStart"/>
            <w:r w:rsidRPr="00456A57">
              <w:rPr>
                <w:sz w:val="20"/>
              </w:rPr>
              <w:t>Mme</w:t>
            </w:r>
            <w:proofErr w:type="spellEnd"/>
            <w:r w:rsidRPr="00456A57">
              <w:rPr>
                <w:sz w:val="20"/>
              </w:rPr>
              <w:t> </w:t>
            </w:r>
            <w:proofErr w:type="spellStart"/>
            <w:r w:rsidRPr="00456A57">
              <w:rPr>
                <w:sz w:val="20"/>
              </w:rPr>
              <w:t>Florestal</w:t>
            </w:r>
            <w:proofErr w:type="spellEnd"/>
            <w:r w:rsidRPr="00456A57">
              <w:rPr>
                <w:sz w:val="20"/>
              </w:rPr>
              <w:t xml:space="preserve"> </w:t>
            </w:r>
            <w:proofErr w:type="spellStart"/>
            <w:r w:rsidRPr="00456A57">
              <w:rPr>
                <w:sz w:val="20"/>
              </w:rPr>
              <w:t>s’est</w:t>
            </w:r>
            <w:proofErr w:type="spellEnd"/>
            <w:r w:rsidRPr="00456A57">
              <w:rPr>
                <w:sz w:val="20"/>
              </w:rPr>
              <w:t xml:space="preserve"> </w:t>
            </w:r>
            <w:proofErr w:type="spellStart"/>
            <w:r w:rsidRPr="00456A57">
              <w:rPr>
                <w:sz w:val="20"/>
              </w:rPr>
              <w:t>absentée</w:t>
            </w:r>
            <w:proofErr w:type="spellEnd"/>
            <w:r w:rsidRPr="00456A57">
              <w:rPr>
                <w:sz w:val="20"/>
              </w:rPr>
              <w:t xml:space="preserve"> de son travail à plusieurs reprises pour cause de maladie. Lors de ses deux premières </w:t>
            </w:r>
            <w:proofErr w:type="spellStart"/>
            <w:r w:rsidRPr="00456A57">
              <w:rPr>
                <w:sz w:val="20"/>
              </w:rPr>
              <w:t>périodes</w:t>
            </w:r>
            <w:proofErr w:type="spellEnd"/>
            <w:r w:rsidRPr="00456A57">
              <w:rPr>
                <w:sz w:val="20"/>
              </w:rPr>
              <w:t xml:space="preserve"> </w:t>
            </w:r>
            <w:proofErr w:type="spellStart"/>
            <w:r w:rsidRPr="00456A57">
              <w:rPr>
                <w:sz w:val="20"/>
              </w:rPr>
              <w:t>d’absence</w:t>
            </w:r>
            <w:proofErr w:type="spellEnd"/>
            <w:r w:rsidRPr="00456A57">
              <w:rPr>
                <w:sz w:val="20"/>
              </w:rPr>
              <w:t xml:space="preserve">, </w:t>
            </w:r>
            <w:proofErr w:type="spellStart"/>
            <w:r w:rsidRPr="00456A57">
              <w:rPr>
                <w:sz w:val="20"/>
              </w:rPr>
              <w:t>Mme</w:t>
            </w:r>
            <w:proofErr w:type="spellEnd"/>
            <w:r w:rsidRPr="00456A57">
              <w:rPr>
                <w:sz w:val="20"/>
              </w:rPr>
              <w:t> </w:t>
            </w:r>
            <w:proofErr w:type="spellStart"/>
            <w:r w:rsidRPr="00456A57">
              <w:rPr>
                <w:sz w:val="20"/>
              </w:rPr>
              <w:t>Florestal</w:t>
            </w:r>
            <w:proofErr w:type="spellEnd"/>
            <w:r w:rsidRPr="00456A57">
              <w:rPr>
                <w:sz w:val="20"/>
              </w:rPr>
              <w:t xml:space="preserve"> communique, à la demande de son employeur, des certificats médicaux comme justification. Toutefois, lors de la troisième période d’absence, elle omet de se conformer aux demandes répétées de son employeur et ne communique aucun certificat médical dans le délai requis, ce qui a pour conséquence </w:t>
            </w:r>
            <w:r w:rsidRPr="00456A57">
              <w:rPr>
                <w:sz w:val="20"/>
              </w:rPr>
              <w:lastRenderedPageBreak/>
              <w:t xml:space="preserve">d’entraîner son congédiement. Le syndicat dépose alors un grief pour congédiement injustifié et demande la </w:t>
            </w:r>
            <w:proofErr w:type="spellStart"/>
            <w:r w:rsidRPr="00456A57">
              <w:rPr>
                <w:sz w:val="20"/>
              </w:rPr>
              <w:t>réintégration</w:t>
            </w:r>
            <w:proofErr w:type="spellEnd"/>
            <w:r w:rsidRPr="00456A57">
              <w:rPr>
                <w:sz w:val="20"/>
              </w:rPr>
              <w:t xml:space="preserve"> de </w:t>
            </w:r>
            <w:proofErr w:type="spellStart"/>
            <w:r w:rsidRPr="00456A57">
              <w:rPr>
                <w:sz w:val="20"/>
              </w:rPr>
              <w:t>Mme</w:t>
            </w:r>
            <w:proofErr w:type="spellEnd"/>
            <w:r w:rsidRPr="00456A57">
              <w:rPr>
                <w:sz w:val="20"/>
              </w:rPr>
              <w:t> </w:t>
            </w:r>
            <w:proofErr w:type="spellStart"/>
            <w:r w:rsidRPr="00456A57">
              <w:rPr>
                <w:sz w:val="20"/>
              </w:rPr>
              <w:t>Florestal</w:t>
            </w:r>
            <w:proofErr w:type="spellEnd"/>
            <w:r w:rsidRPr="00456A57">
              <w:rPr>
                <w:sz w:val="20"/>
              </w:rPr>
              <w:t xml:space="preserve"> </w:t>
            </w:r>
            <w:proofErr w:type="spellStart"/>
            <w:r w:rsidRPr="00456A57">
              <w:rPr>
                <w:sz w:val="20"/>
              </w:rPr>
              <w:t>dans</w:t>
            </w:r>
            <w:proofErr w:type="spellEnd"/>
            <w:r w:rsidRPr="00456A57">
              <w:rPr>
                <w:sz w:val="20"/>
              </w:rPr>
              <w:t xml:space="preserve"> son </w:t>
            </w:r>
            <w:proofErr w:type="spellStart"/>
            <w:r w:rsidRPr="00456A57">
              <w:rPr>
                <w:sz w:val="20"/>
              </w:rPr>
              <w:t>emploi</w:t>
            </w:r>
            <w:proofErr w:type="spellEnd"/>
            <w:r w:rsidRPr="00456A57">
              <w:rPr>
                <w:sz w:val="20"/>
              </w:rPr>
              <w:t>. Après analyse de la preuve déposée, l’arbitre rejette le grief au motif que le congédiement n’est ni déraisonnable ni abusif ou discriminatoire.</w:t>
            </w:r>
          </w:p>
          <w:p w:rsidR="00456A57" w:rsidRPr="00456A57" w:rsidRDefault="00456A57" w:rsidP="00456A57">
            <w:pPr>
              <w:jc w:val="both"/>
              <w:rPr>
                <w:sz w:val="20"/>
              </w:rPr>
            </w:pPr>
          </w:p>
        </w:tc>
      </w:tr>
      <w:tr w:rsidR="00456A57" w:rsidRPr="00456A57" w:rsidTr="00E95A6A">
        <w:tc>
          <w:tcPr>
            <w:tcW w:w="2427" w:type="pct"/>
            <w:gridSpan w:val="2"/>
          </w:tcPr>
          <w:p w:rsidR="00456A57" w:rsidRPr="00456A57" w:rsidRDefault="00456A57" w:rsidP="00456A57">
            <w:pPr>
              <w:jc w:val="both"/>
              <w:rPr>
                <w:sz w:val="20"/>
              </w:rPr>
            </w:pPr>
            <w:r w:rsidRPr="00456A57">
              <w:rPr>
                <w:sz w:val="20"/>
              </w:rPr>
              <w:lastRenderedPageBreak/>
              <w:t>Le 13 mars 2015</w:t>
            </w:r>
          </w:p>
          <w:p w:rsidR="00456A57" w:rsidRPr="00456A57" w:rsidRDefault="00456A57" w:rsidP="00456A57">
            <w:pPr>
              <w:jc w:val="both"/>
              <w:rPr>
                <w:sz w:val="20"/>
              </w:rPr>
            </w:pPr>
            <w:r w:rsidRPr="00456A57">
              <w:rPr>
                <w:sz w:val="20"/>
              </w:rPr>
              <w:t>Cour supérieure du Québec</w:t>
            </w:r>
          </w:p>
          <w:p w:rsidR="00456A57" w:rsidRPr="00456A57" w:rsidRDefault="00456A57" w:rsidP="00456A57">
            <w:pPr>
              <w:jc w:val="both"/>
              <w:rPr>
                <w:sz w:val="20"/>
              </w:rPr>
            </w:pPr>
            <w:r w:rsidRPr="00456A57">
              <w:rPr>
                <w:sz w:val="20"/>
              </w:rPr>
              <w:t>(La juge Roy)</w:t>
            </w:r>
          </w:p>
          <w:p w:rsidR="00456A57" w:rsidRPr="00456A57" w:rsidRDefault="00456A57" w:rsidP="00456A57">
            <w:pPr>
              <w:jc w:val="both"/>
              <w:rPr>
                <w:sz w:val="20"/>
              </w:rPr>
            </w:pPr>
            <w:hyperlink r:id="rId22" w:history="1">
              <w:r w:rsidRPr="00456A57">
                <w:rPr>
                  <w:rStyle w:val="Hyperlink"/>
                  <w:sz w:val="20"/>
                </w:rPr>
                <w:t>2015 QCCS 985</w:t>
              </w:r>
            </w:hyperlink>
          </w:p>
          <w:p w:rsidR="00456A57" w:rsidRPr="00456A57" w:rsidRDefault="00456A57" w:rsidP="00456A57">
            <w:pPr>
              <w:jc w:val="both"/>
              <w:rPr>
                <w:sz w:val="20"/>
              </w:rPr>
            </w:pPr>
          </w:p>
        </w:tc>
        <w:tc>
          <w:tcPr>
            <w:tcW w:w="243" w:type="pct"/>
          </w:tcPr>
          <w:p w:rsidR="00456A57" w:rsidRPr="00456A57" w:rsidRDefault="00456A57" w:rsidP="00456A57">
            <w:pPr>
              <w:jc w:val="both"/>
              <w:rPr>
                <w:sz w:val="20"/>
              </w:rPr>
            </w:pPr>
          </w:p>
        </w:tc>
        <w:tc>
          <w:tcPr>
            <w:tcW w:w="2330" w:type="pct"/>
          </w:tcPr>
          <w:p w:rsidR="00456A57" w:rsidRPr="00456A57" w:rsidRDefault="00456A57" w:rsidP="00456A57">
            <w:pPr>
              <w:jc w:val="both"/>
              <w:rPr>
                <w:sz w:val="20"/>
              </w:rPr>
            </w:pPr>
            <w:r w:rsidRPr="00456A57">
              <w:rPr>
                <w:sz w:val="20"/>
              </w:rPr>
              <w:t>Requête en révision judiciaire accueillie.</w:t>
            </w:r>
          </w:p>
          <w:p w:rsidR="00456A57" w:rsidRPr="00456A57" w:rsidRDefault="00456A57" w:rsidP="00456A57">
            <w:pPr>
              <w:jc w:val="both"/>
              <w:rPr>
                <w:sz w:val="20"/>
              </w:rPr>
            </w:pPr>
          </w:p>
        </w:tc>
      </w:tr>
      <w:tr w:rsidR="00456A57" w:rsidRPr="00456A57" w:rsidTr="00E95A6A">
        <w:tc>
          <w:tcPr>
            <w:tcW w:w="2427" w:type="pct"/>
            <w:gridSpan w:val="2"/>
          </w:tcPr>
          <w:p w:rsidR="00456A57" w:rsidRPr="00456A57" w:rsidRDefault="00456A57" w:rsidP="00456A57">
            <w:pPr>
              <w:jc w:val="both"/>
              <w:rPr>
                <w:sz w:val="20"/>
              </w:rPr>
            </w:pPr>
            <w:r w:rsidRPr="00456A57">
              <w:rPr>
                <w:sz w:val="20"/>
              </w:rPr>
              <w:t>Le 6 novembre 2015</w:t>
            </w:r>
          </w:p>
          <w:p w:rsidR="00456A57" w:rsidRPr="00456A57" w:rsidRDefault="00456A57" w:rsidP="00456A57">
            <w:pPr>
              <w:jc w:val="both"/>
              <w:rPr>
                <w:sz w:val="20"/>
              </w:rPr>
            </w:pPr>
            <w:r w:rsidRPr="00456A57">
              <w:rPr>
                <w:sz w:val="20"/>
              </w:rPr>
              <w:t>Cour d’appel du Québec (Montréal)</w:t>
            </w:r>
          </w:p>
          <w:p w:rsidR="00456A57" w:rsidRPr="00456A57" w:rsidRDefault="00456A57" w:rsidP="00456A57">
            <w:pPr>
              <w:jc w:val="both"/>
              <w:rPr>
                <w:sz w:val="20"/>
              </w:rPr>
            </w:pPr>
            <w:r w:rsidRPr="00456A57">
              <w:rPr>
                <w:sz w:val="20"/>
              </w:rPr>
              <w:t xml:space="preserve">(Les </w:t>
            </w:r>
            <w:proofErr w:type="spellStart"/>
            <w:r w:rsidRPr="00456A57">
              <w:rPr>
                <w:sz w:val="20"/>
              </w:rPr>
              <w:t>juges</w:t>
            </w:r>
            <w:proofErr w:type="spellEnd"/>
            <w:r w:rsidRPr="00456A57">
              <w:rPr>
                <w:sz w:val="20"/>
              </w:rPr>
              <w:t xml:space="preserve"> </w:t>
            </w:r>
            <w:proofErr w:type="spellStart"/>
            <w:r w:rsidRPr="00456A57">
              <w:rPr>
                <w:sz w:val="20"/>
              </w:rPr>
              <w:t>Bich</w:t>
            </w:r>
            <w:proofErr w:type="spellEnd"/>
            <w:r w:rsidRPr="00456A57">
              <w:rPr>
                <w:sz w:val="20"/>
              </w:rPr>
              <w:t xml:space="preserve">, Dufresne et </w:t>
            </w:r>
            <w:proofErr w:type="spellStart"/>
            <w:r w:rsidRPr="00456A57">
              <w:rPr>
                <w:sz w:val="20"/>
              </w:rPr>
              <w:t>Marcotte</w:t>
            </w:r>
            <w:proofErr w:type="spellEnd"/>
            <w:r w:rsidRPr="00456A57">
              <w:rPr>
                <w:sz w:val="20"/>
              </w:rPr>
              <w:t>)</w:t>
            </w:r>
          </w:p>
          <w:p w:rsidR="00456A57" w:rsidRPr="00456A57" w:rsidRDefault="00456A57" w:rsidP="00456A57">
            <w:pPr>
              <w:jc w:val="both"/>
              <w:rPr>
                <w:sz w:val="20"/>
              </w:rPr>
            </w:pPr>
            <w:hyperlink r:id="rId23" w:history="1">
              <w:r w:rsidRPr="00456A57">
                <w:rPr>
                  <w:rStyle w:val="Hyperlink"/>
                  <w:sz w:val="20"/>
                </w:rPr>
                <w:t>2015 QCCA 1856</w:t>
              </w:r>
            </w:hyperlink>
          </w:p>
          <w:p w:rsidR="00456A57" w:rsidRPr="00456A57" w:rsidRDefault="00456A57" w:rsidP="00456A57">
            <w:pPr>
              <w:jc w:val="both"/>
              <w:rPr>
                <w:sz w:val="20"/>
              </w:rPr>
            </w:pPr>
          </w:p>
        </w:tc>
        <w:tc>
          <w:tcPr>
            <w:tcW w:w="243" w:type="pct"/>
          </w:tcPr>
          <w:p w:rsidR="00456A57" w:rsidRPr="00456A57" w:rsidRDefault="00456A57" w:rsidP="00456A57">
            <w:pPr>
              <w:jc w:val="both"/>
              <w:rPr>
                <w:sz w:val="20"/>
              </w:rPr>
            </w:pPr>
          </w:p>
        </w:tc>
        <w:tc>
          <w:tcPr>
            <w:tcW w:w="2330" w:type="pct"/>
          </w:tcPr>
          <w:p w:rsidR="00456A57" w:rsidRPr="00456A57" w:rsidRDefault="00456A57" w:rsidP="00456A57">
            <w:pPr>
              <w:jc w:val="both"/>
              <w:rPr>
                <w:sz w:val="20"/>
              </w:rPr>
            </w:pPr>
            <w:r w:rsidRPr="00456A57">
              <w:rPr>
                <w:sz w:val="20"/>
              </w:rPr>
              <w:t>Appel accueilli.</w:t>
            </w:r>
          </w:p>
          <w:p w:rsidR="00456A57" w:rsidRPr="00456A57" w:rsidRDefault="00456A57" w:rsidP="00456A57">
            <w:pPr>
              <w:jc w:val="both"/>
              <w:rPr>
                <w:sz w:val="20"/>
              </w:rPr>
            </w:pPr>
            <w:r w:rsidRPr="00456A57">
              <w:rPr>
                <w:sz w:val="20"/>
              </w:rPr>
              <w:t xml:space="preserve">Requête en révision judiciaire rejetée. </w:t>
            </w:r>
          </w:p>
          <w:p w:rsidR="00456A57" w:rsidRPr="00456A57" w:rsidRDefault="00456A57" w:rsidP="00456A57">
            <w:pPr>
              <w:jc w:val="both"/>
              <w:rPr>
                <w:sz w:val="20"/>
              </w:rPr>
            </w:pPr>
          </w:p>
        </w:tc>
      </w:tr>
      <w:tr w:rsidR="00456A57" w:rsidRPr="00456A57" w:rsidTr="00E95A6A">
        <w:tc>
          <w:tcPr>
            <w:tcW w:w="2427" w:type="pct"/>
            <w:gridSpan w:val="2"/>
          </w:tcPr>
          <w:p w:rsidR="00456A57" w:rsidRPr="00456A57" w:rsidRDefault="00456A57" w:rsidP="00456A57">
            <w:pPr>
              <w:jc w:val="both"/>
              <w:rPr>
                <w:sz w:val="20"/>
              </w:rPr>
            </w:pPr>
            <w:r w:rsidRPr="00456A57">
              <w:rPr>
                <w:sz w:val="20"/>
              </w:rPr>
              <w:t>Le 30 décembre 2015</w:t>
            </w:r>
          </w:p>
          <w:p w:rsidR="00456A57" w:rsidRPr="00456A57" w:rsidRDefault="00456A57" w:rsidP="00456A57">
            <w:pPr>
              <w:jc w:val="both"/>
              <w:rPr>
                <w:sz w:val="20"/>
              </w:rPr>
            </w:pPr>
            <w:proofErr w:type="spellStart"/>
            <w:r w:rsidRPr="00456A57">
              <w:rPr>
                <w:sz w:val="20"/>
              </w:rPr>
              <w:t>Cour</w:t>
            </w:r>
            <w:proofErr w:type="spellEnd"/>
            <w:r w:rsidRPr="00456A57">
              <w:rPr>
                <w:sz w:val="20"/>
              </w:rPr>
              <w:t xml:space="preserve"> </w:t>
            </w:r>
            <w:proofErr w:type="spellStart"/>
            <w:r w:rsidRPr="00456A57">
              <w:rPr>
                <w:sz w:val="20"/>
              </w:rPr>
              <w:t>suprême</w:t>
            </w:r>
            <w:proofErr w:type="spellEnd"/>
            <w:r w:rsidRPr="00456A57">
              <w:rPr>
                <w:sz w:val="20"/>
              </w:rPr>
              <w:t xml:space="preserve"> du Canada</w:t>
            </w:r>
          </w:p>
        </w:tc>
        <w:tc>
          <w:tcPr>
            <w:tcW w:w="243" w:type="pct"/>
          </w:tcPr>
          <w:p w:rsidR="00456A57" w:rsidRPr="00456A57" w:rsidRDefault="00456A57" w:rsidP="00456A57">
            <w:pPr>
              <w:jc w:val="both"/>
              <w:rPr>
                <w:sz w:val="20"/>
              </w:rPr>
            </w:pPr>
          </w:p>
        </w:tc>
        <w:tc>
          <w:tcPr>
            <w:tcW w:w="2330" w:type="pct"/>
          </w:tcPr>
          <w:p w:rsidR="00456A57" w:rsidRPr="00456A57" w:rsidRDefault="00456A57" w:rsidP="00456A57">
            <w:pPr>
              <w:jc w:val="both"/>
              <w:rPr>
                <w:sz w:val="20"/>
              </w:rPr>
            </w:pPr>
            <w:r w:rsidRPr="00456A57">
              <w:rPr>
                <w:sz w:val="20"/>
              </w:rPr>
              <w:t>Demande d’autorisation d’appel déposée</w:t>
            </w:r>
          </w:p>
          <w:p w:rsidR="00456A57" w:rsidRPr="00456A57" w:rsidRDefault="00456A57" w:rsidP="00456A57">
            <w:pPr>
              <w:jc w:val="both"/>
              <w:rPr>
                <w:sz w:val="20"/>
              </w:rPr>
            </w:pPr>
          </w:p>
        </w:tc>
      </w:tr>
    </w:tbl>
    <w:p w:rsidR="00456A57" w:rsidRPr="00456A57" w:rsidRDefault="00456A57" w:rsidP="00456A57">
      <w:pPr>
        <w:jc w:val="both"/>
        <w:rPr>
          <w:sz w:val="20"/>
        </w:rPr>
      </w:pPr>
    </w:p>
    <w:p w:rsidR="00353B14" w:rsidRPr="00D71DF2" w:rsidRDefault="00353B14" w:rsidP="00D71DF2">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1DF2" w:rsidRPr="00D71DF2" w:rsidTr="00E95A6A">
        <w:tc>
          <w:tcPr>
            <w:tcW w:w="543" w:type="pct"/>
          </w:tcPr>
          <w:p w:rsidR="00D71DF2" w:rsidRPr="00D71DF2" w:rsidRDefault="00D71DF2" w:rsidP="00D71DF2">
            <w:pPr>
              <w:jc w:val="both"/>
              <w:rPr>
                <w:sz w:val="20"/>
                <w:lang w:val="en-CA"/>
              </w:rPr>
            </w:pPr>
            <w:r w:rsidRPr="00D71DF2">
              <w:rPr>
                <w:rStyle w:val="SCCFileNumberChar"/>
                <w:sz w:val="20"/>
                <w:szCs w:val="20"/>
              </w:rPr>
              <w:t>36857</w:t>
            </w:r>
          </w:p>
        </w:tc>
        <w:tc>
          <w:tcPr>
            <w:tcW w:w="4457" w:type="pct"/>
            <w:gridSpan w:val="3"/>
          </w:tcPr>
          <w:p w:rsidR="00D71DF2" w:rsidRPr="00D71DF2" w:rsidRDefault="00D71DF2" w:rsidP="00D71DF2">
            <w:pPr>
              <w:pStyle w:val="SCCLsocParty"/>
              <w:jc w:val="both"/>
              <w:rPr>
                <w:b/>
                <w:sz w:val="20"/>
                <w:szCs w:val="20"/>
              </w:rPr>
            </w:pPr>
            <w:proofErr w:type="spellStart"/>
            <w:r w:rsidRPr="00D71DF2">
              <w:rPr>
                <w:b/>
                <w:sz w:val="20"/>
                <w:szCs w:val="20"/>
              </w:rPr>
              <w:t>Hachmi</w:t>
            </w:r>
            <w:proofErr w:type="spellEnd"/>
            <w:r w:rsidRPr="00D71DF2">
              <w:rPr>
                <w:b/>
                <w:sz w:val="20"/>
                <w:szCs w:val="20"/>
              </w:rPr>
              <w:t xml:space="preserve"> </w:t>
            </w:r>
            <w:proofErr w:type="spellStart"/>
            <w:r w:rsidRPr="00D71DF2">
              <w:rPr>
                <w:b/>
                <w:sz w:val="20"/>
                <w:szCs w:val="20"/>
              </w:rPr>
              <w:t>Hammami</w:t>
            </w:r>
            <w:proofErr w:type="spellEnd"/>
            <w:r w:rsidRPr="00D71DF2">
              <w:rPr>
                <w:b/>
                <w:sz w:val="20"/>
                <w:szCs w:val="20"/>
              </w:rPr>
              <w:t xml:space="preserve"> v. Karim Rachid </w:t>
            </w:r>
            <w:proofErr w:type="spellStart"/>
            <w:r w:rsidRPr="00D71DF2">
              <w:rPr>
                <w:b/>
                <w:sz w:val="20"/>
                <w:szCs w:val="20"/>
              </w:rPr>
              <w:t>Krey</w:t>
            </w:r>
            <w:proofErr w:type="spellEnd"/>
            <w:r w:rsidRPr="00D71DF2">
              <w:rPr>
                <w:b/>
                <w:sz w:val="20"/>
                <w:szCs w:val="20"/>
              </w:rPr>
              <w:t>, Philippe Daoust, Diane Daoust, René Leblanc</w:t>
            </w:r>
          </w:p>
          <w:p w:rsidR="00D71DF2" w:rsidRPr="00D71DF2" w:rsidRDefault="00D71DF2" w:rsidP="00D71DF2">
            <w:pPr>
              <w:jc w:val="both"/>
              <w:rPr>
                <w:sz w:val="20"/>
                <w:lang w:val="en-CA"/>
              </w:rPr>
            </w:pPr>
            <w:r w:rsidRPr="00D71DF2">
              <w:rPr>
                <w:sz w:val="20"/>
                <w:lang w:val="en-CA"/>
              </w:rPr>
              <w:t>(Que.) (Civil) (By Leave)</w:t>
            </w:r>
          </w:p>
        </w:tc>
      </w:tr>
      <w:tr w:rsidR="00D71DF2" w:rsidRPr="00D71DF2" w:rsidTr="00E95A6A">
        <w:tc>
          <w:tcPr>
            <w:tcW w:w="5000" w:type="pct"/>
            <w:gridSpan w:val="4"/>
          </w:tcPr>
          <w:p w:rsidR="00D71DF2" w:rsidRPr="00D71DF2" w:rsidRDefault="00D71DF2" w:rsidP="00D71DF2">
            <w:pPr>
              <w:jc w:val="both"/>
              <w:rPr>
                <w:sz w:val="20"/>
                <w:lang w:val="en-CA"/>
              </w:rPr>
            </w:pPr>
            <w:r w:rsidRPr="00D71DF2">
              <w:rPr>
                <w:sz w:val="20"/>
                <w:lang w:val="en-CA"/>
              </w:rPr>
              <w:t>Evidence — Secret contract — Motion to dismiss appeal — Whether applicant raising issue of law of public importance.</w:t>
            </w:r>
          </w:p>
        </w:tc>
      </w:tr>
      <w:tr w:rsidR="00D71DF2" w:rsidRPr="00D71DF2" w:rsidTr="00E95A6A">
        <w:tc>
          <w:tcPr>
            <w:tcW w:w="5000" w:type="pct"/>
            <w:gridSpan w:val="4"/>
          </w:tcPr>
          <w:p w:rsidR="00D71DF2" w:rsidRPr="00D71DF2" w:rsidRDefault="00D71DF2" w:rsidP="00D71DF2">
            <w:pPr>
              <w:jc w:val="both"/>
              <w:rPr>
                <w:sz w:val="20"/>
                <w:lang w:val="en-CA"/>
              </w:rPr>
            </w:pPr>
          </w:p>
        </w:tc>
      </w:tr>
      <w:tr w:rsidR="00D71DF2" w:rsidRPr="00D71DF2" w:rsidTr="00E95A6A">
        <w:tc>
          <w:tcPr>
            <w:tcW w:w="5000" w:type="pct"/>
            <w:gridSpan w:val="4"/>
          </w:tcPr>
          <w:p w:rsidR="00D71DF2" w:rsidRPr="00D71DF2" w:rsidRDefault="00D71DF2" w:rsidP="00D71DF2">
            <w:pPr>
              <w:jc w:val="both"/>
              <w:rPr>
                <w:sz w:val="20"/>
                <w:lang w:val="en-CA"/>
              </w:rPr>
            </w:pPr>
            <w:r w:rsidRPr="00D71DF2">
              <w:rPr>
                <w:sz w:val="20"/>
                <w:lang w:val="en-CA"/>
              </w:rPr>
              <w:t xml:space="preserve">The applicant challenged a real estate transaction even though the act of sale by which he had sold the immovable in question to his son, the respondent Karim </w:t>
            </w:r>
            <w:proofErr w:type="spellStart"/>
            <w:r w:rsidRPr="00D71DF2">
              <w:rPr>
                <w:sz w:val="20"/>
                <w:lang w:val="en-CA"/>
              </w:rPr>
              <w:t>Rachid</w:t>
            </w:r>
            <w:proofErr w:type="spellEnd"/>
            <w:r w:rsidRPr="00D71DF2">
              <w:rPr>
                <w:sz w:val="20"/>
                <w:lang w:val="en-CA"/>
              </w:rPr>
              <w:t xml:space="preserve"> </w:t>
            </w:r>
            <w:proofErr w:type="spellStart"/>
            <w:r w:rsidRPr="00D71DF2">
              <w:rPr>
                <w:sz w:val="20"/>
                <w:lang w:val="en-CA"/>
              </w:rPr>
              <w:t>Krey</w:t>
            </w:r>
            <w:proofErr w:type="spellEnd"/>
            <w:r w:rsidRPr="00D71DF2">
              <w:rPr>
                <w:sz w:val="20"/>
                <w:lang w:val="en-CA"/>
              </w:rPr>
              <w:t xml:space="preserve">, </w:t>
            </w:r>
            <w:proofErr w:type="gramStart"/>
            <w:r w:rsidRPr="00D71DF2">
              <w:rPr>
                <w:sz w:val="20"/>
                <w:lang w:val="en-CA"/>
              </w:rPr>
              <w:t>had been registered</w:t>
            </w:r>
            <w:proofErr w:type="gramEnd"/>
            <w:r w:rsidRPr="00D71DF2">
              <w:rPr>
                <w:sz w:val="20"/>
                <w:lang w:val="en-CA"/>
              </w:rPr>
              <w:t xml:space="preserve"> at the registry office. The applicant alleged that his son was his </w:t>
            </w:r>
            <w:r w:rsidRPr="00D71DF2">
              <w:rPr>
                <w:i/>
                <w:sz w:val="20"/>
                <w:lang w:val="en-CA"/>
              </w:rPr>
              <w:t>prête</w:t>
            </w:r>
            <w:r w:rsidRPr="00D71DF2">
              <w:rPr>
                <w:i/>
                <w:sz w:val="20"/>
                <w:lang w:val="en-CA"/>
              </w:rPr>
              <w:noBreakHyphen/>
              <w:t>nom</w:t>
            </w:r>
            <w:r w:rsidRPr="00D71DF2">
              <w:rPr>
                <w:sz w:val="20"/>
                <w:lang w:val="en-CA"/>
              </w:rPr>
              <w:t xml:space="preserve"> and therefore had neither the capacity nor the authority to sell the immovable in question to the respondents Philippe and Diane </w:t>
            </w:r>
            <w:proofErr w:type="spellStart"/>
            <w:r w:rsidRPr="00D71DF2">
              <w:rPr>
                <w:sz w:val="20"/>
                <w:lang w:val="en-CA"/>
              </w:rPr>
              <w:t>Daoust</w:t>
            </w:r>
            <w:proofErr w:type="spellEnd"/>
            <w:r w:rsidRPr="00D71DF2">
              <w:rPr>
                <w:sz w:val="20"/>
                <w:lang w:val="en-CA"/>
              </w:rPr>
              <w:t>. The respondents brought an action in eviction followed by a motion to dismiss the applicant’s defence.</w:t>
            </w:r>
          </w:p>
          <w:p w:rsidR="00D71DF2" w:rsidRPr="00D71DF2" w:rsidRDefault="00D71DF2" w:rsidP="00D71DF2">
            <w:pPr>
              <w:jc w:val="both"/>
              <w:rPr>
                <w:sz w:val="20"/>
                <w:lang w:val="en-CA"/>
              </w:rPr>
            </w:pPr>
          </w:p>
        </w:tc>
      </w:tr>
      <w:tr w:rsidR="00D71DF2" w:rsidRPr="00D71DF2" w:rsidTr="00E95A6A">
        <w:tc>
          <w:tcPr>
            <w:tcW w:w="2427" w:type="pct"/>
            <w:gridSpan w:val="2"/>
          </w:tcPr>
          <w:p w:rsidR="00D71DF2" w:rsidRPr="00D71DF2" w:rsidRDefault="00D71DF2" w:rsidP="00D71DF2">
            <w:pPr>
              <w:jc w:val="both"/>
              <w:rPr>
                <w:sz w:val="20"/>
                <w:lang w:val="en-CA"/>
              </w:rPr>
            </w:pPr>
            <w:r w:rsidRPr="00D71DF2">
              <w:rPr>
                <w:sz w:val="20"/>
                <w:lang w:val="en-CA"/>
              </w:rPr>
              <w:t>January 9, 2015</w:t>
            </w:r>
          </w:p>
          <w:p w:rsidR="00D71DF2" w:rsidRPr="00D71DF2" w:rsidRDefault="00D71DF2" w:rsidP="00D71DF2">
            <w:pPr>
              <w:jc w:val="both"/>
              <w:rPr>
                <w:sz w:val="20"/>
                <w:lang w:val="en-CA"/>
              </w:rPr>
            </w:pPr>
            <w:r w:rsidRPr="00D71DF2">
              <w:rPr>
                <w:sz w:val="20"/>
                <w:lang w:val="en-CA"/>
              </w:rPr>
              <w:t>Quebec Superior Court</w:t>
            </w:r>
          </w:p>
          <w:p w:rsidR="00D71DF2" w:rsidRPr="00D71DF2" w:rsidRDefault="00D71DF2" w:rsidP="00D71DF2">
            <w:pPr>
              <w:jc w:val="both"/>
              <w:rPr>
                <w:sz w:val="20"/>
                <w:lang w:val="en-CA"/>
              </w:rPr>
            </w:pPr>
            <w:r w:rsidRPr="00D71DF2">
              <w:rPr>
                <w:sz w:val="20"/>
                <w:lang w:val="en-CA"/>
              </w:rPr>
              <w:t>(Casgrain J.)</w:t>
            </w:r>
          </w:p>
          <w:p w:rsidR="00D71DF2" w:rsidRPr="00D71DF2" w:rsidRDefault="00D71DF2" w:rsidP="00D71DF2">
            <w:pPr>
              <w:jc w:val="both"/>
              <w:rPr>
                <w:sz w:val="20"/>
                <w:lang w:val="en-CA"/>
              </w:rPr>
            </w:pPr>
            <w:r w:rsidRPr="00D71DF2">
              <w:rPr>
                <w:sz w:val="20"/>
                <w:lang w:val="en-CA"/>
              </w:rPr>
              <w:t>No. 760-17-003603-142</w:t>
            </w:r>
          </w:p>
          <w:p w:rsidR="00D71DF2" w:rsidRPr="00D71DF2" w:rsidRDefault="00D71DF2" w:rsidP="00D71DF2">
            <w:pPr>
              <w:jc w:val="both"/>
              <w:rPr>
                <w:sz w:val="20"/>
                <w:lang w:val="en-CA"/>
              </w:rPr>
            </w:pPr>
          </w:p>
        </w:tc>
        <w:tc>
          <w:tcPr>
            <w:tcW w:w="243" w:type="pct"/>
          </w:tcPr>
          <w:p w:rsidR="00D71DF2" w:rsidRPr="00D71DF2" w:rsidRDefault="00D71DF2" w:rsidP="00D71DF2">
            <w:pPr>
              <w:jc w:val="both"/>
              <w:rPr>
                <w:sz w:val="20"/>
                <w:lang w:val="en-CA"/>
              </w:rPr>
            </w:pPr>
          </w:p>
        </w:tc>
        <w:tc>
          <w:tcPr>
            <w:tcW w:w="2330" w:type="pct"/>
          </w:tcPr>
          <w:p w:rsidR="00D71DF2" w:rsidRPr="00D71DF2" w:rsidRDefault="00D71DF2" w:rsidP="00D71DF2">
            <w:pPr>
              <w:jc w:val="both"/>
              <w:rPr>
                <w:sz w:val="20"/>
                <w:lang w:val="en-CA"/>
              </w:rPr>
            </w:pPr>
            <w:r w:rsidRPr="00D71DF2">
              <w:rPr>
                <w:sz w:val="20"/>
                <w:lang w:val="en-CA"/>
              </w:rPr>
              <w:t>Motion to dismiss defence against action in eviction from immovable property allowed</w:t>
            </w:r>
          </w:p>
          <w:p w:rsidR="00D71DF2" w:rsidRPr="00D71DF2" w:rsidRDefault="00D71DF2" w:rsidP="00D71DF2">
            <w:pPr>
              <w:jc w:val="both"/>
              <w:rPr>
                <w:sz w:val="20"/>
                <w:lang w:val="en-CA"/>
              </w:rPr>
            </w:pPr>
          </w:p>
        </w:tc>
      </w:tr>
      <w:tr w:rsidR="00D71DF2" w:rsidRPr="00D71DF2" w:rsidTr="00E95A6A">
        <w:tc>
          <w:tcPr>
            <w:tcW w:w="2427" w:type="pct"/>
            <w:gridSpan w:val="2"/>
          </w:tcPr>
          <w:p w:rsidR="00D71DF2" w:rsidRPr="00D71DF2" w:rsidRDefault="00D71DF2" w:rsidP="00D71DF2">
            <w:pPr>
              <w:jc w:val="both"/>
              <w:rPr>
                <w:sz w:val="20"/>
                <w:lang w:val="en-CA"/>
              </w:rPr>
            </w:pPr>
            <w:r w:rsidRPr="00D71DF2">
              <w:rPr>
                <w:sz w:val="20"/>
                <w:lang w:val="en-CA"/>
              </w:rPr>
              <w:t>October 29, 2015</w:t>
            </w:r>
          </w:p>
          <w:p w:rsidR="00D71DF2" w:rsidRPr="00D71DF2" w:rsidRDefault="00D71DF2" w:rsidP="00D71DF2">
            <w:pPr>
              <w:jc w:val="both"/>
              <w:rPr>
                <w:sz w:val="20"/>
                <w:lang w:val="en-CA"/>
              </w:rPr>
            </w:pPr>
            <w:r w:rsidRPr="00D71DF2">
              <w:rPr>
                <w:sz w:val="20"/>
                <w:lang w:val="en-CA"/>
              </w:rPr>
              <w:t>Quebec Court of Appeal (Montréal)</w:t>
            </w:r>
          </w:p>
          <w:p w:rsidR="00D71DF2" w:rsidRPr="00D71DF2" w:rsidRDefault="00D71DF2" w:rsidP="00D71DF2">
            <w:pPr>
              <w:jc w:val="both"/>
              <w:rPr>
                <w:sz w:val="20"/>
                <w:lang w:val="en-CA"/>
              </w:rPr>
            </w:pPr>
            <w:r w:rsidRPr="00D71DF2">
              <w:rPr>
                <w:sz w:val="20"/>
                <w:lang w:val="en-CA"/>
              </w:rPr>
              <w:t>(Hilton J.A.)</w:t>
            </w:r>
          </w:p>
          <w:p w:rsidR="00D71DF2" w:rsidRPr="00D71DF2" w:rsidRDefault="00D71DF2" w:rsidP="00D71DF2">
            <w:pPr>
              <w:jc w:val="both"/>
              <w:rPr>
                <w:sz w:val="20"/>
                <w:lang w:val="en-CA"/>
              </w:rPr>
            </w:pPr>
            <w:r w:rsidRPr="00D71DF2">
              <w:rPr>
                <w:sz w:val="20"/>
                <w:lang w:val="en-CA"/>
              </w:rPr>
              <w:t>No. 500-09-025044-157</w:t>
            </w:r>
          </w:p>
          <w:p w:rsidR="00D71DF2" w:rsidRPr="00D71DF2" w:rsidRDefault="00D71DF2" w:rsidP="00D71DF2">
            <w:pPr>
              <w:jc w:val="both"/>
              <w:rPr>
                <w:sz w:val="20"/>
                <w:lang w:val="en-CA"/>
              </w:rPr>
            </w:pPr>
            <w:hyperlink r:id="rId24" w:history="1">
              <w:r w:rsidRPr="00D71DF2">
                <w:rPr>
                  <w:rStyle w:val="Hyperlink"/>
                  <w:sz w:val="20"/>
                  <w:lang w:val="en-CA"/>
                </w:rPr>
                <w:t>2015 QCCA 1757</w:t>
              </w:r>
            </w:hyperlink>
          </w:p>
          <w:p w:rsidR="00D71DF2" w:rsidRPr="00D71DF2" w:rsidRDefault="00D71DF2" w:rsidP="00D71DF2">
            <w:pPr>
              <w:jc w:val="both"/>
              <w:rPr>
                <w:sz w:val="20"/>
                <w:lang w:val="en-CA"/>
              </w:rPr>
            </w:pPr>
          </w:p>
        </w:tc>
        <w:tc>
          <w:tcPr>
            <w:tcW w:w="243" w:type="pct"/>
          </w:tcPr>
          <w:p w:rsidR="00D71DF2" w:rsidRPr="00D71DF2" w:rsidRDefault="00D71DF2" w:rsidP="00D71DF2">
            <w:pPr>
              <w:jc w:val="both"/>
              <w:rPr>
                <w:sz w:val="20"/>
                <w:lang w:val="en-CA"/>
              </w:rPr>
            </w:pPr>
          </w:p>
        </w:tc>
        <w:tc>
          <w:tcPr>
            <w:tcW w:w="2330" w:type="pct"/>
          </w:tcPr>
          <w:p w:rsidR="00D71DF2" w:rsidRPr="00D71DF2" w:rsidRDefault="00D71DF2" w:rsidP="00D71DF2">
            <w:pPr>
              <w:jc w:val="both"/>
              <w:rPr>
                <w:sz w:val="20"/>
                <w:lang w:val="en-CA"/>
              </w:rPr>
            </w:pPr>
            <w:r w:rsidRPr="00D71DF2">
              <w:rPr>
                <w:sz w:val="20"/>
                <w:lang w:val="en-CA"/>
              </w:rPr>
              <w:t>Motion for leave to appeal dismissed</w:t>
            </w:r>
          </w:p>
          <w:p w:rsidR="00D71DF2" w:rsidRPr="00D71DF2" w:rsidRDefault="00D71DF2" w:rsidP="00D71DF2">
            <w:pPr>
              <w:jc w:val="both"/>
              <w:rPr>
                <w:sz w:val="20"/>
                <w:lang w:val="en-CA"/>
              </w:rPr>
            </w:pPr>
          </w:p>
          <w:p w:rsidR="00D71DF2" w:rsidRPr="00D71DF2" w:rsidRDefault="00D71DF2" w:rsidP="00D71DF2">
            <w:pPr>
              <w:jc w:val="both"/>
              <w:rPr>
                <w:sz w:val="20"/>
                <w:lang w:val="en-CA"/>
              </w:rPr>
            </w:pPr>
          </w:p>
        </w:tc>
      </w:tr>
      <w:tr w:rsidR="00D71DF2" w:rsidRPr="00D71DF2" w:rsidTr="00E95A6A">
        <w:tc>
          <w:tcPr>
            <w:tcW w:w="2427" w:type="pct"/>
            <w:gridSpan w:val="2"/>
          </w:tcPr>
          <w:p w:rsidR="00D71DF2" w:rsidRPr="00D71DF2" w:rsidRDefault="00D71DF2" w:rsidP="00D71DF2">
            <w:pPr>
              <w:jc w:val="both"/>
              <w:rPr>
                <w:sz w:val="20"/>
                <w:lang w:val="en-CA"/>
              </w:rPr>
            </w:pPr>
            <w:r w:rsidRPr="00D71DF2">
              <w:rPr>
                <w:sz w:val="20"/>
                <w:lang w:val="en-CA"/>
              </w:rPr>
              <w:t>November 27, 2015</w:t>
            </w:r>
          </w:p>
          <w:p w:rsidR="00D71DF2" w:rsidRPr="00D71DF2" w:rsidRDefault="00D71DF2" w:rsidP="00D71DF2">
            <w:pPr>
              <w:jc w:val="both"/>
              <w:rPr>
                <w:sz w:val="20"/>
                <w:lang w:val="en-CA"/>
              </w:rPr>
            </w:pPr>
            <w:r w:rsidRPr="00D71DF2">
              <w:rPr>
                <w:sz w:val="20"/>
                <w:lang w:val="en-CA"/>
              </w:rPr>
              <w:t>Supreme Court of Canada</w:t>
            </w:r>
          </w:p>
        </w:tc>
        <w:tc>
          <w:tcPr>
            <w:tcW w:w="243" w:type="pct"/>
          </w:tcPr>
          <w:p w:rsidR="00D71DF2" w:rsidRPr="00D71DF2" w:rsidRDefault="00D71DF2" w:rsidP="00D71DF2">
            <w:pPr>
              <w:jc w:val="both"/>
              <w:rPr>
                <w:sz w:val="20"/>
                <w:lang w:val="en-CA"/>
              </w:rPr>
            </w:pPr>
          </w:p>
        </w:tc>
        <w:tc>
          <w:tcPr>
            <w:tcW w:w="2330" w:type="pct"/>
          </w:tcPr>
          <w:p w:rsidR="00D71DF2" w:rsidRPr="00D71DF2" w:rsidRDefault="00D71DF2" w:rsidP="00D71DF2">
            <w:pPr>
              <w:jc w:val="both"/>
              <w:rPr>
                <w:sz w:val="20"/>
                <w:lang w:val="en-CA"/>
              </w:rPr>
            </w:pPr>
            <w:r w:rsidRPr="00D71DF2">
              <w:rPr>
                <w:sz w:val="20"/>
                <w:lang w:val="en-CA"/>
              </w:rPr>
              <w:t>Application for leave to appeal filed</w:t>
            </w:r>
          </w:p>
        </w:tc>
      </w:tr>
    </w:tbl>
    <w:p w:rsidR="00D71DF2" w:rsidRDefault="00D71DF2" w:rsidP="00D71DF2">
      <w:pPr>
        <w:jc w:val="both"/>
        <w:rPr>
          <w:sz w:val="20"/>
          <w:lang w:val="en-CA"/>
        </w:rPr>
      </w:pPr>
    </w:p>
    <w:p w:rsidR="00D71DF2" w:rsidRPr="00D71DF2" w:rsidRDefault="00D71DF2" w:rsidP="00D71DF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1DF2" w:rsidRPr="00D71DF2" w:rsidTr="00E95A6A">
        <w:tc>
          <w:tcPr>
            <w:tcW w:w="543" w:type="pct"/>
          </w:tcPr>
          <w:p w:rsidR="00D71DF2" w:rsidRPr="00D71DF2" w:rsidRDefault="00D71DF2" w:rsidP="00D71DF2">
            <w:pPr>
              <w:jc w:val="both"/>
              <w:rPr>
                <w:sz w:val="20"/>
              </w:rPr>
            </w:pPr>
            <w:r w:rsidRPr="00D71DF2">
              <w:rPr>
                <w:rStyle w:val="SCCFileNumberChar"/>
                <w:sz w:val="20"/>
                <w:szCs w:val="20"/>
              </w:rPr>
              <w:t>36857</w:t>
            </w:r>
          </w:p>
        </w:tc>
        <w:tc>
          <w:tcPr>
            <w:tcW w:w="4457" w:type="pct"/>
            <w:gridSpan w:val="3"/>
          </w:tcPr>
          <w:p w:rsidR="00D71DF2" w:rsidRPr="00D71DF2" w:rsidRDefault="00D71DF2" w:rsidP="00D71DF2">
            <w:pPr>
              <w:pStyle w:val="SCCLsocParty"/>
              <w:jc w:val="both"/>
              <w:rPr>
                <w:b/>
                <w:sz w:val="20"/>
                <w:szCs w:val="20"/>
              </w:rPr>
            </w:pPr>
            <w:proofErr w:type="spellStart"/>
            <w:r w:rsidRPr="00D71DF2">
              <w:rPr>
                <w:b/>
                <w:sz w:val="20"/>
                <w:szCs w:val="20"/>
              </w:rPr>
              <w:t>Hachmi</w:t>
            </w:r>
            <w:proofErr w:type="spellEnd"/>
            <w:r w:rsidRPr="00D71DF2">
              <w:rPr>
                <w:b/>
                <w:sz w:val="20"/>
                <w:szCs w:val="20"/>
              </w:rPr>
              <w:t xml:space="preserve"> </w:t>
            </w:r>
            <w:proofErr w:type="spellStart"/>
            <w:r w:rsidRPr="00D71DF2">
              <w:rPr>
                <w:b/>
                <w:sz w:val="20"/>
                <w:szCs w:val="20"/>
              </w:rPr>
              <w:t>Hammami</w:t>
            </w:r>
            <w:proofErr w:type="spellEnd"/>
            <w:r w:rsidRPr="00D71DF2">
              <w:rPr>
                <w:b/>
                <w:sz w:val="20"/>
                <w:szCs w:val="20"/>
              </w:rPr>
              <w:t xml:space="preserve"> c. Karim Rachid </w:t>
            </w:r>
            <w:proofErr w:type="spellStart"/>
            <w:r w:rsidRPr="00D71DF2">
              <w:rPr>
                <w:b/>
                <w:sz w:val="20"/>
                <w:szCs w:val="20"/>
              </w:rPr>
              <w:t>Krey</w:t>
            </w:r>
            <w:proofErr w:type="spellEnd"/>
            <w:r w:rsidRPr="00D71DF2">
              <w:rPr>
                <w:b/>
                <w:sz w:val="20"/>
                <w:szCs w:val="20"/>
              </w:rPr>
              <w:t>, Philippe Daoust, Diane Daoust, René Leblanc</w:t>
            </w:r>
          </w:p>
          <w:p w:rsidR="00D71DF2" w:rsidRPr="00D71DF2" w:rsidRDefault="00D71DF2" w:rsidP="00D71DF2">
            <w:pPr>
              <w:jc w:val="both"/>
              <w:rPr>
                <w:sz w:val="20"/>
              </w:rPr>
            </w:pPr>
            <w:r w:rsidRPr="00D71DF2">
              <w:rPr>
                <w:sz w:val="20"/>
              </w:rPr>
              <w:t>(Qc) (</w:t>
            </w:r>
            <w:proofErr w:type="spellStart"/>
            <w:r w:rsidRPr="00D71DF2">
              <w:rPr>
                <w:sz w:val="20"/>
              </w:rPr>
              <w:t>Civile</w:t>
            </w:r>
            <w:proofErr w:type="spellEnd"/>
            <w:r w:rsidRPr="00D71DF2">
              <w:rPr>
                <w:sz w:val="20"/>
              </w:rPr>
              <w:t>) (</w:t>
            </w:r>
            <w:proofErr w:type="spellStart"/>
            <w:r w:rsidRPr="00D71DF2">
              <w:rPr>
                <w:sz w:val="20"/>
              </w:rPr>
              <w:t>Autorisation</w:t>
            </w:r>
            <w:proofErr w:type="spellEnd"/>
            <w:r w:rsidRPr="00D71DF2">
              <w:rPr>
                <w:sz w:val="20"/>
              </w:rPr>
              <w:t>)</w:t>
            </w:r>
          </w:p>
        </w:tc>
      </w:tr>
      <w:tr w:rsidR="00D71DF2" w:rsidRPr="00D71DF2" w:rsidTr="00E95A6A">
        <w:tc>
          <w:tcPr>
            <w:tcW w:w="5000" w:type="pct"/>
            <w:gridSpan w:val="4"/>
          </w:tcPr>
          <w:p w:rsidR="00D71DF2" w:rsidRPr="00D71DF2" w:rsidRDefault="00D71DF2" w:rsidP="00D71DF2">
            <w:pPr>
              <w:jc w:val="both"/>
              <w:rPr>
                <w:sz w:val="20"/>
              </w:rPr>
            </w:pPr>
            <w:proofErr w:type="spellStart"/>
            <w:r w:rsidRPr="00D71DF2">
              <w:rPr>
                <w:sz w:val="20"/>
              </w:rPr>
              <w:t>Preuve</w:t>
            </w:r>
            <w:proofErr w:type="spellEnd"/>
            <w:r w:rsidRPr="00D71DF2">
              <w:rPr>
                <w:sz w:val="20"/>
              </w:rPr>
              <w:t xml:space="preserve"> — </w:t>
            </w:r>
            <w:proofErr w:type="spellStart"/>
            <w:r w:rsidRPr="00D71DF2">
              <w:rPr>
                <w:sz w:val="20"/>
              </w:rPr>
              <w:t>Contrat</w:t>
            </w:r>
            <w:proofErr w:type="spellEnd"/>
            <w:r w:rsidRPr="00D71DF2">
              <w:rPr>
                <w:sz w:val="20"/>
              </w:rPr>
              <w:t xml:space="preserve"> secret — Requête en rejet d’appel — Le demandeur soulève-t-il une question juridique d’importance pour le public?</w:t>
            </w:r>
          </w:p>
        </w:tc>
      </w:tr>
      <w:tr w:rsidR="00D71DF2" w:rsidRPr="00D71DF2" w:rsidTr="00E95A6A">
        <w:tc>
          <w:tcPr>
            <w:tcW w:w="5000" w:type="pct"/>
            <w:gridSpan w:val="4"/>
          </w:tcPr>
          <w:p w:rsidR="00D71DF2" w:rsidRPr="00D71DF2" w:rsidRDefault="00D71DF2" w:rsidP="00D71DF2">
            <w:pPr>
              <w:jc w:val="both"/>
              <w:rPr>
                <w:sz w:val="20"/>
              </w:rPr>
            </w:pPr>
          </w:p>
        </w:tc>
      </w:tr>
      <w:tr w:rsidR="00D71DF2" w:rsidRPr="00D71DF2" w:rsidTr="00E95A6A">
        <w:tc>
          <w:tcPr>
            <w:tcW w:w="5000" w:type="pct"/>
            <w:gridSpan w:val="4"/>
          </w:tcPr>
          <w:p w:rsidR="00D71DF2" w:rsidRPr="00D71DF2" w:rsidRDefault="00D71DF2" w:rsidP="00D71DF2">
            <w:pPr>
              <w:jc w:val="both"/>
              <w:rPr>
                <w:sz w:val="20"/>
              </w:rPr>
            </w:pPr>
            <w:r w:rsidRPr="00D71DF2">
              <w:rPr>
                <w:sz w:val="20"/>
              </w:rPr>
              <w:lastRenderedPageBreak/>
              <w:t xml:space="preserve">Le demandeur conteste une transaction immobilière nonobstant l’inscription au Bureau de publicité des droits d’un acte de vente par lequel il a vendu l’immeuble en cause à son fils, </w:t>
            </w:r>
            <w:proofErr w:type="spellStart"/>
            <w:r w:rsidRPr="00D71DF2">
              <w:rPr>
                <w:sz w:val="20"/>
              </w:rPr>
              <w:t>l’intimé</w:t>
            </w:r>
            <w:proofErr w:type="spellEnd"/>
            <w:r w:rsidRPr="00D71DF2">
              <w:rPr>
                <w:sz w:val="20"/>
              </w:rPr>
              <w:t xml:space="preserve"> Karim </w:t>
            </w:r>
            <w:proofErr w:type="spellStart"/>
            <w:r w:rsidRPr="00D71DF2">
              <w:rPr>
                <w:sz w:val="20"/>
              </w:rPr>
              <w:t>Rachid</w:t>
            </w:r>
            <w:proofErr w:type="spellEnd"/>
            <w:r w:rsidRPr="00D71DF2">
              <w:rPr>
                <w:sz w:val="20"/>
              </w:rPr>
              <w:t xml:space="preserve"> </w:t>
            </w:r>
            <w:proofErr w:type="spellStart"/>
            <w:r w:rsidRPr="00D71DF2">
              <w:rPr>
                <w:sz w:val="20"/>
              </w:rPr>
              <w:t>Krey</w:t>
            </w:r>
            <w:proofErr w:type="spellEnd"/>
            <w:r w:rsidRPr="00D71DF2">
              <w:rPr>
                <w:sz w:val="20"/>
              </w:rPr>
              <w:t>. Le demandeur allègue que son fils était son prête-nom, et que par conséquent, ce dernier n’avait ni la capacité ni l’autorité de vendre l’immeuble en cause aux intimés Philippe et Diane Daoust. Les intimés ont intenté un recours en expulsion, suivi d’une requête en rejet de la défense du demandeur.</w:t>
            </w:r>
          </w:p>
          <w:p w:rsidR="00D71DF2" w:rsidRPr="00D71DF2" w:rsidRDefault="00D71DF2" w:rsidP="00D71DF2">
            <w:pPr>
              <w:jc w:val="both"/>
              <w:rPr>
                <w:sz w:val="20"/>
              </w:rPr>
            </w:pPr>
          </w:p>
        </w:tc>
      </w:tr>
      <w:tr w:rsidR="00D71DF2" w:rsidRPr="00D71DF2" w:rsidTr="00E95A6A">
        <w:tc>
          <w:tcPr>
            <w:tcW w:w="2427" w:type="pct"/>
            <w:gridSpan w:val="2"/>
          </w:tcPr>
          <w:p w:rsidR="00D71DF2" w:rsidRPr="00D71DF2" w:rsidRDefault="00D71DF2" w:rsidP="00D71DF2">
            <w:pPr>
              <w:jc w:val="both"/>
              <w:rPr>
                <w:sz w:val="20"/>
              </w:rPr>
            </w:pPr>
            <w:r w:rsidRPr="00D71DF2">
              <w:rPr>
                <w:sz w:val="20"/>
              </w:rPr>
              <w:t>Le 9 janvier 2015</w:t>
            </w:r>
          </w:p>
          <w:p w:rsidR="00D71DF2" w:rsidRPr="00D71DF2" w:rsidRDefault="00D71DF2" w:rsidP="00D71DF2">
            <w:pPr>
              <w:jc w:val="both"/>
              <w:rPr>
                <w:sz w:val="20"/>
              </w:rPr>
            </w:pPr>
            <w:r w:rsidRPr="00D71DF2">
              <w:rPr>
                <w:sz w:val="20"/>
              </w:rPr>
              <w:t>Cour supérieure du Québec</w:t>
            </w:r>
          </w:p>
          <w:p w:rsidR="00D71DF2" w:rsidRPr="00D71DF2" w:rsidRDefault="00D71DF2" w:rsidP="00D71DF2">
            <w:pPr>
              <w:jc w:val="both"/>
              <w:rPr>
                <w:sz w:val="20"/>
              </w:rPr>
            </w:pPr>
            <w:r w:rsidRPr="00D71DF2">
              <w:rPr>
                <w:sz w:val="20"/>
              </w:rPr>
              <w:t>(Le juge Casgrain)</w:t>
            </w:r>
          </w:p>
          <w:p w:rsidR="00D71DF2" w:rsidRPr="00D71DF2" w:rsidRDefault="00D71DF2" w:rsidP="00D71DF2">
            <w:pPr>
              <w:jc w:val="both"/>
              <w:rPr>
                <w:sz w:val="20"/>
              </w:rPr>
            </w:pPr>
            <w:r w:rsidRPr="00D71DF2">
              <w:rPr>
                <w:sz w:val="20"/>
              </w:rPr>
              <w:t>No. 760-17-003603-142</w:t>
            </w:r>
          </w:p>
          <w:p w:rsidR="00D71DF2" w:rsidRPr="00D71DF2" w:rsidRDefault="00D71DF2" w:rsidP="00D71DF2">
            <w:pPr>
              <w:jc w:val="both"/>
              <w:rPr>
                <w:sz w:val="20"/>
              </w:rPr>
            </w:pPr>
          </w:p>
        </w:tc>
        <w:tc>
          <w:tcPr>
            <w:tcW w:w="243" w:type="pct"/>
          </w:tcPr>
          <w:p w:rsidR="00D71DF2" w:rsidRPr="00D71DF2" w:rsidRDefault="00D71DF2" w:rsidP="00D71DF2">
            <w:pPr>
              <w:jc w:val="both"/>
              <w:rPr>
                <w:sz w:val="20"/>
              </w:rPr>
            </w:pPr>
          </w:p>
        </w:tc>
        <w:tc>
          <w:tcPr>
            <w:tcW w:w="2330" w:type="pct"/>
          </w:tcPr>
          <w:p w:rsidR="00D71DF2" w:rsidRPr="00D71DF2" w:rsidRDefault="00D71DF2" w:rsidP="00D71DF2">
            <w:pPr>
              <w:jc w:val="both"/>
              <w:rPr>
                <w:sz w:val="20"/>
              </w:rPr>
            </w:pPr>
            <w:r w:rsidRPr="00D71DF2">
              <w:rPr>
                <w:sz w:val="20"/>
              </w:rPr>
              <w:t>Requête en rejet de défense à l’encontre d’un recours en expulsion d’une propriété immobilière accueillie.</w:t>
            </w:r>
          </w:p>
          <w:p w:rsidR="00D71DF2" w:rsidRPr="00D71DF2" w:rsidRDefault="00D71DF2" w:rsidP="00D71DF2">
            <w:pPr>
              <w:jc w:val="both"/>
              <w:rPr>
                <w:sz w:val="20"/>
              </w:rPr>
            </w:pPr>
          </w:p>
        </w:tc>
      </w:tr>
      <w:tr w:rsidR="00D71DF2" w:rsidRPr="00D71DF2" w:rsidTr="00E95A6A">
        <w:tc>
          <w:tcPr>
            <w:tcW w:w="2427" w:type="pct"/>
            <w:gridSpan w:val="2"/>
          </w:tcPr>
          <w:p w:rsidR="00D71DF2" w:rsidRPr="00D71DF2" w:rsidRDefault="00D71DF2" w:rsidP="00D71DF2">
            <w:pPr>
              <w:jc w:val="both"/>
              <w:rPr>
                <w:sz w:val="20"/>
              </w:rPr>
            </w:pPr>
            <w:r w:rsidRPr="00D71DF2">
              <w:rPr>
                <w:sz w:val="20"/>
              </w:rPr>
              <w:t>Le 29 octobre 2015</w:t>
            </w:r>
          </w:p>
          <w:p w:rsidR="00D71DF2" w:rsidRPr="00D71DF2" w:rsidRDefault="00D71DF2" w:rsidP="00D71DF2">
            <w:pPr>
              <w:jc w:val="both"/>
              <w:rPr>
                <w:sz w:val="20"/>
              </w:rPr>
            </w:pPr>
            <w:r w:rsidRPr="00D71DF2">
              <w:rPr>
                <w:sz w:val="20"/>
              </w:rPr>
              <w:t>Cour d’appel du Québec (Montréal)</w:t>
            </w:r>
          </w:p>
          <w:p w:rsidR="00D71DF2" w:rsidRPr="00D71DF2" w:rsidRDefault="00D71DF2" w:rsidP="00D71DF2">
            <w:pPr>
              <w:jc w:val="both"/>
              <w:rPr>
                <w:sz w:val="20"/>
              </w:rPr>
            </w:pPr>
            <w:r w:rsidRPr="00D71DF2">
              <w:rPr>
                <w:sz w:val="20"/>
              </w:rPr>
              <w:t>(Le juge Hilton)</w:t>
            </w:r>
          </w:p>
          <w:p w:rsidR="00D71DF2" w:rsidRPr="00D71DF2" w:rsidRDefault="00D71DF2" w:rsidP="00D71DF2">
            <w:pPr>
              <w:jc w:val="both"/>
              <w:rPr>
                <w:sz w:val="20"/>
              </w:rPr>
            </w:pPr>
            <w:r w:rsidRPr="00D71DF2">
              <w:rPr>
                <w:sz w:val="20"/>
              </w:rPr>
              <w:t>No. 500-09-025044-157</w:t>
            </w:r>
          </w:p>
          <w:p w:rsidR="00D71DF2" w:rsidRPr="00D71DF2" w:rsidRDefault="00D71DF2" w:rsidP="00D71DF2">
            <w:pPr>
              <w:jc w:val="both"/>
              <w:rPr>
                <w:sz w:val="20"/>
              </w:rPr>
            </w:pPr>
            <w:hyperlink r:id="rId25" w:history="1">
              <w:r w:rsidRPr="00D71DF2">
                <w:rPr>
                  <w:rStyle w:val="Hyperlink"/>
                  <w:sz w:val="20"/>
                </w:rPr>
                <w:t>2015 QCCA 1757</w:t>
              </w:r>
            </w:hyperlink>
          </w:p>
          <w:p w:rsidR="00D71DF2" w:rsidRPr="00D71DF2" w:rsidRDefault="00D71DF2" w:rsidP="00D71DF2">
            <w:pPr>
              <w:jc w:val="both"/>
              <w:rPr>
                <w:sz w:val="20"/>
              </w:rPr>
            </w:pPr>
          </w:p>
        </w:tc>
        <w:tc>
          <w:tcPr>
            <w:tcW w:w="243" w:type="pct"/>
          </w:tcPr>
          <w:p w:rsidR="00D71DF2" w:rsidRPr="00D71DF2" w:rsidRDefault="00D71DF2" w:rsidP="00D71DF2">
            <w:pPr>
              <w:jc w:val="both"/>
              <w:rPr>
                <w:sz w:val="20"/>
              </w:rPr>
            </w:pPr>
          </w:p>
        </w:tc>
        <w:tc>
          <w:tcPr>
            <w:tcW w:w="2330" w:type="pct"/>
          </w:tcPr>
          <w:p w:rsidR="00D71DF2" w:rsidRPr="00D71DF2" w:rsidRDefault="00D71DF2" w:rsidP="00D71DF2">
            <w:pPr>
              <w:jc w:val="both"/>
              <w:rPr>
                <w:sz w:val="20"/>
              </w:rPr>
            </w:pPr>
            <w:r w:rsidRPr="00D71DF2">
              <w:rPr>
                <w:sz w:val="20"/>
              </w:rPr>
              <w:t>Requête pour permission d’appeler rejetée.</w:t>
            </w:r>
          </w:p>
          <w:p w:rsidR="00D71DF2" w:rsidRPr="00D71DF2" w:rsidRDefault="00D71DF2" w:rsidP="00D71DF2">
            <w:pPr>
              <w:jc w:val="both"/>
              <w:rPr>
                <w:sz w:val="20"/>
              </w:rPr>
            </w:pPr>
          </w:p>
          <w:p w:rsidR="00D71DF2" w:rsidRPr="00D71DF2" w:rsidRDefault="00D71DF2" w:rsidP="00D71DF2">
            <w:pPr>
              <w:jc w:val="both"/>
              <w:rPr>
                <w:sz w:val="20"/>
              </w:rPr>
            </w:pPr>
          </w:p>
        </w:tc>
      </w:tr>
      <w:tr w:rsidR="00D71DF2" w:rsidRPr="00D71DF2" w:rsidTr="00E95A6A">
        <w:tc>
          <w:tcPr>
            <w:tcW w:w="2427" w:type="pct"/>
            <w:gridSpan w:val="2"/>
          </w:tcPr>
          <w:p w:rsidR="00D71DF2" w:rsidRPr="00D71DF2" w:rsidRDefault="00D71DF2" w:rsidP="00D71DF2">
            <w:pPr>
              <w:jc w:val="both"/>
              <w:rPr>
                <w:sz w:val="20"/>
              </w:rPr>
            </w:pPr>
            <w:r w:rsidRPr="00D71DF2">
              <w:rPr>
                <w:sz w:val="20"/>
              </w:rPr>
              <w:t>Le 27 novembre 2015</w:t>
            </w:r>
          </w:p>
          <w:p w:rsidR="00D71DF2" w:rsidRPr="00D71DF2" w:rsidRDefault="00D71DF2" w:rsidP="00D71DF2">
            <w:pPr>
              <w:jc w:val="both"/>
              <w:rPr>
                <w:sz w:val="20"/>
                <w:lang w:val="fr-FR"/>
              </w:rPr>
            </w:pPr>
            <w:proofErr w:type="spellStart"/>
            <w:r w:rsidRPr="00D71DF2">
              <w:rPr>
                <w:sz w:val="20"/>
              </w:rPr>
              <w:t>Cour</w:t>
            </w:r>
            <w:proofErr w:type="spellEnd"/>
            <w:r w:rsidRPr="00D71DF2">
              <w:rPr>
                <w:sz w:val="20"/>
              </w:rPr>
              <w:t xml:space="preserve"> </w:t>
            </w:r>
            <w:proofErr w:type="spellStart"/>
            <w:r w:rsidRPr="00D71DF2">
              <w:rPr>
                <w:sz w:val="20"/>
              </w:rPr>
              <w:t>suprême</w:t>
            </w:r>
            <w:proofErr w:type="spellEnd"/>
            <w:r w:rsidRPr="00D71DF2">
              <w:rPr>
                <w:sz w:val="20"/>
              </w:rPr>
              <w:t xml:space="preserve"> du Canada</w:t>
            </w:r>
          </w:p>
        </w:tc>
        <w:tc>
          <w:tcPr>
            <w:tcW w:w="243" w:type="pct"/>
          </w:tcPr>
          <w:p w:rsidR="00D71DF2" w:rsidRPr="00D71DF2" w:rsidRDefault="00D71DF2" w:rsidP="00D71DF2">
            <w:pPr>
              <w:jc w:val="both"/>
              <w:rPr>
                <w:sz w:val="20"/>
                <w:lang w:val="fr-FR"/>
              </w:rPr>
            </w:pPr>
          </w:p>
        </w:tc>
        <w:tc>
          <w:tcPr>
            <w:tcW w:w="2330" w:type="pct"/>
          </w:tcPr>
          <w:p w:rsidR="00D71DF2" w:rsidRPr="00D71DF2" w:rsidRDefault="00D71DF2" w:rsidP="00D71DF2">
            <w:pPr>
              <w:jc w:val="both"/>
              <w:rPr>
                <w:sz w:val="20"/>
              </w:rPr>
            </w:pPr>
            <w:r w:rsidRPr="00D71DF2">
              <w:rPr>
                <w:sz w:val="20"/>
              </w:rPr>
              <w:t>Demande d'autorisation d'appel déposée.</w:t>
            </w:r>
          </w:p>
          <w:p w:rsidR="00D71DF2" w:rsidRPr="00D71DF2" w:rsidRDefault="00D71DF2" w:rsidP="00D71DF2">
            <w:pPr>
              <w:jc w:val="both"/>
              <w:rPr>
                <w:sz w:val="20"/>
              </w:rPr>
            </w:pPr>
          </w:p>
        </w:tc>
      </w:tr>
    </w:tbl>
    <w:p w:rsidR="0080140E" w:rsidRDefault="0080140E" w:rsidP="00A14921">
      <w:pPr>
        <w:widowControl w:val="0"/>
        <w:ind w:left="360" w:hanging="360"/>
        <w:rPr>
          <w:sz w:val="20"/>
          <w:lang w:val="fr-FR" w:eastAsia="en-CA"/>
        </w:rPr>
      </w:pPr>
    </w:p>
    <w:p w:rsidR="0080140E" w:rsidRPr="003D19A0" w:rsidRDefault="0080140E" w:rsidP="00A14921">
      <w:pPr>
        <w:widowControl w:val="0"/>
        <w:ind w:left="360" w:hanging="360"/>
        <w:rPr>
          <w:sz w:val="20"/>
          <w:lang w:val="fr-FR" w:eastAsia="en-CA"/>
        </w:rPr>
      </w:pPr>
    </w:p>
    <w:p w:rsidR="00FB00F7" w:rsidRPr="003D19A0" w:rsidRDefault="00FB00F7" w:rsidP="00F32457">
      <w:pPr>
        <w:widowControl w:val="0"/>
        <w:jc w:val="both"/>
        <w:rPr>
          <w:sz w:val="20"/>
          <w:lang w:val="fr-CA" w:eastAsia="en-CA"/>
        </w:rPr>
      </w:pPr>
    </w:p>
    <w:p w:rsidR="00D3344A" w:rsidRPr="003D19A0" w:rsidRDefault="00D3344A" w:rsidP="00D3344A">
      <w:pPr>
        <w:widowControl w:val="0"/>
        <w:outlineLvl w:val="0"/>
      </w:pPr>
      <w:r w:rsidRPr="003D19A0">
        <w:t xml:space="preserve">Supreme Court of Canada / </w:t>
      </w:r>
      <w:proofErr w:type="spellStart"/>
      <w:r w:rsidRPr="003D19A0">
        <w:t>Cour</w:t>
      </w:r>
      <w:proofErr w:type="spellEnd"/>
      <w:r w:rsidRPr="003D19A0">
        <w:t xml:space="preserve"> </w:t>
      </w:r>
      <w:proofErr w:type="spellStart"/>
      <w:r w:rsidRPr="003D19A0">
        <w:t>suprême</w:t>
      </w:r>
      <w:proofErr w:type="spellEnd"/>
      <w:r w:rsidRPr="003D19A0">
        <w:t xml:space="preserve"> du </w:t>
      </w:r>
      <w:proofErr w:type="gramStart"/>
      <w:r w:rsidRPr="003D19A0">
        <w:t>Canada :</w:t>
      </w:r>
      <w:proofErr w:type="gramEnd"/>
      <w:r w:rsidRPr="003D19A0">
        <w:t xml:space="preserve"> </w:t>
      </w:r>
    </w:p>
    <w:p w:rsidR="00D3344A" w:rsidRPr="003D19A0" w:rsidRDefault="006000D2" w:rsidP="00D3344A">
      <w:pPr>
        <w:widowControl w:val="0"/>
        <w:outlineLvl w:val="0"/>
        <w:rPr>
          <w:u w:val="single"/>
        </w:rPr>
      </w:pPr>
      <w:hyperlink r:id="rId26" w:history="1">
        <w:r w:rsidR="00D3344A" w:rsidRPr="003D19A0">
          <w:rPr>
            <w:rStyle w:val="Hyperlink"/>
          </w:rPr>
          <w:t>comments-commentaires@scc-csc.ca</w:t>
        </w:r>
      </w:hyperlink>
    </w:p>
    <w:p w:rsidR="00D3344A" w:rsidRPr="003D19A0" w:rsidRDefault="0065588C" w:rsidP="00D3344A">
      <w:pPr>
        <w:widowControl w:val="0"/>
        <w:outlineLvl w:val="0"/>
      </w:pPr>
      <w:r w:rsidRPr="003D19A0">
        <w:t>613-</w:t>
      </w:r>
      <w:r w:rsidR="00D3344A" w:rsidRPr="003D19A0">
        <w:t>995-4330</w:t>
      </w:r>
    </w:p>
    <w:p w:rsidR="00497B5E" w:rsidRPr="003D19A0" w:rsidRDefault="00497B5E" w:rsidP="00497B5E">
      <w:pPr>
        <w:widowControl w:val="0"/>
        <w:rPr>
          <w:sz w:val="20"/>
        </w:rPr>
      </w:pPr>
    </w:p>
    <w:p w:rsidR="00F6251B" w:rsidRPr="003D19A0" w:rsidRDefault="003F43E6" w:rsidP="00F6251B">
      <w:pPr>
        <w:pStyle w:val="Footer"/>
        <w:jc w:val="center"/>
      </w:pPr>
      <w:r w:rsidRPr="003D19A0">
        <w:t>- 30 -</w:t>
      </w:r>
    </w:p>
    <w:p w:rsidR="00F6251B" w:rsidRPr="003D19A0" w:rsidRDefault="00F6251B" w:rsidP="00F6251B">
      <w:pPr>
        <w:pStyle w:val="Footer"/>
        <w:jc w:val="center"/>
      </w:pPr>
    </w:p>
    <w:p w:rsidR="00F6251B" w:rsidRPr="003D19A0" w:rsidRDefault="00F6251B" w:rsidP="00F6251B">
      <w:pPr>
        <w:pStyle w:val="Footer"/>
        <w:jc w:val="center"/>
      </w:pPr>
    </w:p>
    <w:sectPr w:rsidR="00F6251B" w:rsidRPr="003D19A0" w:rsidSect="00524822">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7"/>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19"/>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
  </w:num>
  <w:num w:numId="19">
    <w:abstractNumId w:val="16"/>
  </w:num>
  <w:num w:numId="20">
    <w:abstractNumId w:val="13"/>
  </w:num>
  <w:num w:numId="21">
    <w:abstractNumId w:val="18"/>
  </w:num>
  <w:num w:numId="22">
    <w:abstractNumId w:val="0"/>
  </w:num>
  <w:num w:numId="23">
    <w:abstractNumId w:val="22"/>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50B7"/>
    <w:rsid w:val="000276EE"/>
    <w:rsid w:val="00032E02"/>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417A"/>
    <w:rsid w:val="00065F8F"/>
    <w:rsid w:val="00066B80"/>
    <w:rsid w:val="00067F50"/>
    <w:rsid w:val="00070830"/>
    <w:rsid w:val="00077E16"/>
    <w:rsid w:val="000809B3"/>
    <w:rsid w:val="00080EAB"/>
    <w:rsid w:val="00082444"/>
    <w:rsid w:val="000825A5"/>
    <w:rsid w:val="00082D8D"/>
    <w:rsid w:val="00083162"/>
    <w:rsid w:val="0008327A"/>
    <w:rsid w:val="000841F9"/>
    <w:rsid w:val="000843DB"/>
    <w:rsid w:val="00085D13"/>
    <w:rsid w:val="00086629"/>
    <w:rsid w:val="00087808"/>
    <w:rsid w:val="00093693"/>
    <w:rsid w:val="00095627"/>
    <w:rsid w:val="000975EC"/>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1591"/>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9649C"/>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06A1"/>
    <w:rsid w:val="003012A2"/>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C1E"/>
    <w:rsid w:val="003441F0"/>
    <w:rsid w:val="00346B36"/>
    <w:rsid w:val="0034796D"/>
    <w:rsid w:val="003509E6"/>
    <w:rsid w:val="00351946"/>
    <w:rsid w:val="0035210E"/>
    <w:rsid w:val="003521FD"/>
    <w:rsid w:val="00352802"/>
    <w:rsid w:val="00353085"/>
    <w:rsid w:val="003535EF"/>
    <w:rsid w:val="00353B14"/>
    <w:rsid w:val="0035515E"/>
    <w:rsid w:val="00357828"/>
    <w:rsid w:val="00357895"/>
    <w:rsid w:val="00357B15"/>
    <w:rsid w:val="00360FCE"/>
    <w:rsid w:val="00362E82"/>
    <w:rsid w:val="00364001"/>
    <w:rsid w:val="00365DC3"/>
    <w:rsid w:val="0036633C"/>
    <w:rsid w:val="0036763E"/>
    <w:rsid w:val="00367E02"/>
    <w:rsid w:val="0037013D"/>
    <w:rsid w:val="00370DA4"/>
    <w:rsid w:val="003710CD"/>
    <w:rsid w:val="00372E91"/>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C0C25"/>
    <w:rsid w:val="003C2D62"/>
    <w:rsid w:val="003C4234"/>
    <w:rsid w:val="003C5F5E"/>
    <w:rsid w:val="003C5FC2"/>
    <w:rsid w:val="003C6BB7"/>
    <w:rsid w:val="003D0A88"/>
    <w:rsid w:val="003D19A0"/>
    <w:rsid w:val="003D27BD"/>
    <w:rsid w:val="003D353C"/>
    <w:rsid w:val="003E19E7"/>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388F"/>
    <w:rsid w:val="00406755"/>
    <w:rsid w:val="0040709C"/>
    <w:rsid w:val="00407F30"/>
    <w:rsid w:val="004116DA"/>
    <w:rsid w:val="004117D6"/>
    <w:rsid w:val="00411834"/>
    <w:rsid w:val="00411963"/>
    <w:rsid w:val="00412A23"/>
    <w:rsid w:val="004149DA"/>
    <w:rsid w:val="00415755"/>
    <w:rsid w:val="00416211"/>
    <w:rsid w:val="0042035D"/>
    <w:rsid w:val="00420841"/>
    <w:rsid w:val="00423732"/>
    <w:rsid w:val="00425B31"/>
    <w:rsid w:val="0042648D"/>
    <w:rsid w:val="00426957"/>
    <w:rsid w:val="00426976"/>
    <w:rsid w:val="00427722"/>
    <w:rsid w:val="00427F4F"/>
    <w:rsid w:val="00431731"/>
    <w:rsid w:val="00431779"/>
    <w:rsid w:val="00431A2A"/>
    <w:rsid w:val="00431CE6"/>
    <w:rsid w:val="00433C3E"/>
    <w:rsid w:val="00434AC5"/>
    <w:rsid w:val="00440246"/>
    <w:rsid w:val="00441588"/>
    <w:rsid w:val="00441CF2"/>
    <w:rsid w:val="00444072"/>
    <w:rsid w:val="00446BAE"/>
    <w:rsid w:val="0045044A"/>
    <w:rsid w:val="004511AB"/>
    <w:rsid w:val="0045235F"/>
    <w:rsid w:val="004533F1"/>
    <w:rsid w:val="00453797"/>
    <w:rsid w:val="00453ABE"/>
    <w:rsid w:val="004542A8"/>
    <w:rsid w:val="00456A57"/>
    <w:rsid w:val="004576E8"/>
    <w:rsid w:val="00460794"/>
    <w:rsid w:val="00463731"/>
    <w:rsid w:val="00463A9F"/>
    <w:rsid w:val="00463CEF"/>
    <w:rsid w:val="00463DEF"/>
    <w:rsid w:val="00464FEE"/>
    <w:rsid w:val="004672B7"/>
    <w:rsid w:val="00467391"/>
    <w:rsid w:val="004706A0"/>
    <w:rsid w:val="00472190"/>
    <w:rsid w:val="004724BF"/>
    <w:rsid w:val="00472695"/>
    <w:rsid w:val="00474AAA"/>
    <w:rsid w:val="00474D9B"/>
    <w:rsid w:val="00475E1A"/>
    <w:rsid w:val="004774B6"/>
    <w:rsid w:val="004775E8"/>
    <w:rsid w:val="00481888"/>
    <w:rsid w:val="0048370B"/>
    <w:rsid w:val="00486750"/>
    <w:rsid w:val="00487EBC"/>
    <w:rsid w:val="00490DDC"/>
    <w:rsid w:val="00491D56"/>
    <w:rsid w:val="00491D60"/>
    <w:rsid w:val="00494CD1"/>
    <w:rsid w:val="004957BA"/>
    <w:rsid w:val="00495CE9"/>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4E10"/>
    <w:rsid w:val="004B7E3E"/>
    <w:rsid w:val="004C0544"/>
    <w:rsid w:val="004C07ED"/>
    <w:rsid w:val="004C2585"/>
    <w:rsid w:val="004C281D"/>
    <w:rsid w:val="004C2E9D"/>
    <w:rsid w:val="004C4513"/>
    <w:rsid w:val="004C559D"/>
    <w:rsid w:val="004C5A9B"/>
    <w:rsid w:val="004C7FC6"/>
    <w:rsid w:val="004D25B5"/>
    <w:rsid w:val="004D49C8"/>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0D90"/>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4651"/>
    <w:rsid w:val="005C725E"/>
    <w:rsid w:val="005C7BBF"/>
    <w:rsid w:val="005D019B"/>
    <w:rsid w:val="005D3069"/>
    <w:rsid w:val="005D370F"/>
    <w:rsid w:val="005D3730"/>
    <w:rsid w:val="005D3BD1"/>
    <w:rsid w:val="005D5D26"/>
    <w:rsid w:val="005E0B86"/>
    <w:rsid w:val="005E2F89"/>
    <w:rsid w:val="005E4545"/>
    <w:rsid w:val="005E4E13"/>
    <w:rsid w:val="005E5730"/>
    <w:rsid w:val="005E73A1"/>
    <w:rsid w:val="005E76FD"/>
    <w:rsid w:val="005F4197"/>
    <w:rsid w:val="005F4531"/>
    <w:rsid w:val="005F4C67"/>
    <w:rsid w:val="005F5163"/>
    <w:rsid w:val="005F52C6"/>
    <w:rsid w:val="006000D2"/>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7BC"/>
    <w:rsid w:val="00641C9C"/>
    <w:rsid w:val="00642EB3"/>
    <w:rsid w:val="006441AD"/>
    <w:rsid w:val="006442C8"/>
    <w:rsid w:val="00646E32"/>
    <w:rsid w:val="0065353F"/>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3FB0"/>
    <w:rsid w:val="006D443D"/>
    <w:rsid w:val="006D614A"/>
    <w:rsid w:val="006D6B5E"/>
    <w:rsid w:val="006D6CA1"/>
    <w:rsid w:val="006D7DA7"/>
    <w:rsid w:val="006E27D1"/>
    <w:rsid w:val="006E2CD8"/>
    <w:rsid w:val="006E43D2"/>
    <w:rsid w:val="006E4462"/>
    <w:rsid w:val="006E465C"/>
    <w:rsid w:val="006E4B08"/>
    <w:rsid w:val="006E4EB7"/>
    <w:rsid w:val="006E7F81"/>
    <w:rsid w:val="006F1443"/>
    <w:rsid w:val="006F1C69"/>
    <w:rsid w:val="006F2579"/>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263B7"/>
    <w:rsid w:val="00727632"/>
    <w:rsid w:val="007301CB"/>
    <w:rsid w:val="00731957"/>
    <w:rsid w:val="0073369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43A8"/>
    <w:rsid w:val="00795FC0"/>
    <w:rsid w:val="007963D7"/>
    <w:rsid w:val="00796527"/>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0CA"/>
    <w:rsid w:val="007B3A11"/>
    <w:rsid w:val="007B567F"/>
    <w:rsid w:val="007B57E8"/>
    <w:rsid w:val="007B65D4"/>
    <w:rsid w:val="007B67FE"/>
    <w:rsid w:val="007B6C65"/>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F2E"/>
    <w:rsid w:val="007E6196"/>
    <w:rsid w:val="007E6656"/>
    <w:rsid w:val="007E70BF"/>
    <w:rsid w:val="007E735A"/>
    <w:rsid w:val="007F0085"/>
    <w:rsid w:val="007F080F"/>
    <w:rsid w:val="007F0F01"/>
    <w:rsid w:val="007F155F"/>
    <w:rsid w:val="007F1A99"/>
    <w:rsid w:val="007F22ED"/>
    <w:rsid w:val="007F24DA"/>
    <w:rsid w:val="007F3253"/>
    <w:rsid w:val="007F4F42"/>
    <w:rsid w:val="007F536B"/>
    <w:rsid w:val="007F7F32"/>
    <w:rsid w:val="00800DF8"/>
    <w:rsid w:val="0080140E"/>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456D"/>
    <w:rsid w:val="008465CB"/>
    <w:rsid w:val="0085127E"/>
    <w:rsid w:val="008517C6"/>
    <w:rsid w:val="00852898"/>
    <w:rsid w:val="008534CC"/>
    <w:rsid w:val="00853C98"/>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5A2"/>
    <w:rsid w:val="009056CA"/>
    <w:rsid w:val="0090688C"/>
    <w:rsid w:val="0090766E"/>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918"/>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F88"/>
    <w:rsid w:val="00A01AAA"/>
    <w:rsid w:val="00A02007"/>
    <w:rsid w:val="00A024F6"/>
    <w:rsid w:val="00A02A8B"/>
    <w:rsid w:val="00A041C7"/>
    <w:rsid w:val="00A06B3C"/>
    <w:rsid w:val="00A12CC9"/>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0585"/>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541B"/>
    <w:rsid w:val="00AE697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27DB4"/>
    <w:rsid w:val="00B30861"/>
    <w:rsid w:val="00B33FC9"/>
    <w:rsid w:val="00B34D05"/>
    <w:rsid w:val="00B34E1F"/>
    <w:rsid w:val="00B35194"/>
    <w:rsid w:val="00B36C97"/>
    <w:rsid w:val="00B37AAA"/>
    <w:rsid w:val="00B37C41"/>
    <w:rsid w:val="00B4078C"/>
    <w:rsid w:val="00B4191E"/>
    <w:rsid w:val="00B4257A"/>
    <w:rsid w:val="00B42C6D"/>
    <w:rsid w:val="00B43418"/>
    <w:rsid w:val="00B437D7"/>
    <w:rsid w:val="00B441EF"/>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3752"/>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4A45"/>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7EB"/>
    <w:rsid w:val="00BE1D6C"/>
    <w:rsid w:val="00BE27CF"/>
    <w:rsid w:val="00BE2D7E"/>
    <w:rsid w:val="00BE3EAD"/>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5234"/>
    <w:rsid w:val="00C9788C"/>
    <w:rsid w:val="00C97C59"/>
    <w:rsid w:val="00CA0C2B"/>
    <w:rsid w:val="00CA418B"/>
    <w:rsid w:val="00CB1766"/>
    <w:rsid w:val="00CB1E90"/>
    <w:rsid w:val="00CB1EB4"/>
    <w:rsid w:val="00CB328F"/>
    <w:rsid w:val="00CB3A38"/>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D7204"/>
    <w:rsid w:val="00CE0A6E"/>
    <w:rsid w:val="00CE113C"/>
    <w:rsid w:val="00CE42F4"/>
    <w:rsid w:val="00CE6C1C"/>
    <w:rsid w:val="00CE7B3F"/>
    <w:rsid w:val="00CE7C81"/>
    <w:rsid w:val="00CF0EF2"/>
    <w:rsid w:val="00CF47E5"/>
    <w:rsid w:val="00CF732A"/>
    <w:rsid w:val="00D00533"/>
    <w:rsid w:val="00D01406"/>
    <w:rsid w:val="00D015A7"/>
    <w:rsid w:val="00D0250E"/>
    <w:rsid w:val="00D04A90"/>
    <w:rsid w:val="00D06EF2"/>
    <w:rsid w:val="00D07131"/>
    <w:rsid w:val="00D07526"/>
    <w:rsid w:val="00D07E3B"/>
    <w:rsid w:val="00D1308F"/>
    <w:rsid w:val="00D14B1E"/>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37579"/>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66EFA"/>
    <w:rsid w:val="00D7143F"/>
    <w:rsid w:val="00D71DF2"/>
    <w:rsid w:val="00D72409"/>
    <w:rsid w:val="00D73621"/>
    <w:rsid w:val="00D7507B"/>
    <w:rsid w:val="00D7557F"/>
    <w:rsid w:val="00D75794"/>
    <w:rsid w:val="00D75BC9"/>
    <w:rsid w:val="00D77016"/>
    <w:rsid w:val="00D77153"/>
    <w:rsid w:val="00D81BB1"/>
    <w:rsid w:val="00D84F6A"/>
    <w:rsid w:val="00D8506B"/>
    <w:rsid w:val="00D86ADC"/>
    <w:rsid w:val="00D90791"/>
    <w:rsid w:val="00D90F27"/>
    <w:rsid w:val="00D90F8B"/>
    <w:rsid w:val="00D91524"/>
    <w:rsid w:val="00D928A3"/>
    <w:rsid w:val="00D95433"/>
    <w:rsid w:val="00D95F43"/>
    <w:rsid w:val="00D9772E"/>
    <w:rsid w:val="00DA0DC8"/>
    <w:rsid w:val="00DA17B0"/>
    <w:rsid w:val="00DA2C00"/>
    <w:rsid w:val="00DA33EC"/>
    <w:rsid w:val="00DA3F09"/>
    <w:rsid w:val="00DA5E1F"/>
    <w:rsid w:val="00DA6D82"/>
    <w:rsid w:val="00DB06D2"/>
    <w:rsid w:val="00DB169C"/>
    <w:rsid w:val="00DB180E"/>
    <w:rsid w:val="00DB21E9"/>
    <w:rsid w:val="00DB27AF"/>
    <w:rsid w:val="00DB292F"/>
    <w:rsid w:val="00DB3608"/>
    <w:rsid w:val="00DB3966"/>
    <w:rsid w:val="00DB3F0F"/>
    <w:rsid w:val="00DB5A3F"/>
    <w:rsid w:val="00DB78EC"/>
    <w:rsid w:val="00DC124A"/>
    <w:rsid w:val="00DC2AD7"/>
    <w:rsid w:val="00DC2CDA"/>
    <w:rsid w:val="00DC6EBF"/>
    <w:rsid w:val="00DD4D17"/>
    <w:rsid w:val="00DD5846"/>
    <w:rsid w:val="00DD620A"/>
    <w:rsid w:val="00DD7392"/>
    <w:rsid w:val="00DE11D6"/>
    <w:rsid w:val="00DE1AEE"/>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BA9"/>
    <w:rsid w:val="00E31E1C"/>
    <w:rsid w:val="00E337E8"/>
    <w:rsid w:val="00E33A8F"/>
    <w:rsid w:val="00E34AA2"/>
    <w:rsid w:val="00E37FAF"/>
    <w:rsid w:val="00E4090B"/>
    <w:rsid w:val="00E41F06"/>
    <w:rsid w:val="00E42B30"/>
    <w:rsid w:val="00E42DA2"/>
    <w:rsid w:val="00E45E6B"/>
    <w:rsid w:val="00E50167"/>
    <w:rsid w:val="00E5097C"/>
    <w:rsid w:val="00E51DDA"/>
    <w:rsid w:val="00E52A08"/>
    <w:rsid w:val="00E5361B"/>
    <w:rsid w:val="00E54925"/>
    <w:rsid w:val="00E604A4"/>
    <w:rsid w:val="00E61C4E"/>
    <w:rsid w:val="00E63C6C"/>
    <w:rsid w:val="00E63F87"/>
    <w:rsid w:val="00E6527E"/>
    <w:rsid w:val="00E65A41"/>
    <w:rsid w:val="00E675B0"/>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18CA"/>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31A"/>
    <w:rsid w:val="00EE24D6"/>
    <w:rsid w:val="00EE59C6"/>
    <w:rsid w:val="00EE75E5"/>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3D28"/>
    <w:rsid w:val="00F152B2"/>
    <w:rsid w:val="00F16949"/>
    <w:rsid w:val="00F17D2D"/>
    <w:rsid w:val="00F20894"/>
    <w:rsid w:val="00F22AFE"/>
    <w:rsid w:val="00F23754"/>
    <w:rsid w:val="00F237A4"/>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0F7"/>
    <w:rsid w:val="00FB08CC"/>
    <w:rsid w:val="00FB1304"/>
    <w:rsid w:val="00FB3686"/>
    <w:rsid w:val="00FB4545"/>
    <w:rsid w:val="00FB478F"/>
    <w:rsid w:val="00FB56BD"/>
    <w:rsid w:val="00FB578C"/>
    <w:rsid w:val="00FB58BB"/>
    <w:rsid w:val="00FB597D"/>
    <w:rsid w:val="00FB634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818" TargetMode="External"/><Relationship Id="rId13" Type="http://schemas.openxmlformats.org/officeDocument/2006/relationships/hyperlink" Target="http://canlii.ca/t/gm91s" TargetMode="External"/><Relationship Id="rId18" Type="http://schemas.openxmlformats.org/officeDocument/2006/relationships/hyperlink" Target="http://www.canlii.org/en/ca/fct/doc/2014/2014fc463/2014fc463.html?autocompleteStr=2014%20FC%20463&amp;autocompletePos=1" TargetMode="External"/><Relationship Id="rId26"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www.canlii.org/fr/qc/qcca/doc/2015/2015qcca1856/2015qcca1856.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nlii.ca/t/g6cfk" TargetMode="External"/><Relationship Id="rId17" Type="http://schemas.openxmlformats.org/officeDocument/2006/relationships/hyperlink" Target="http://www.canlii.org/en/ca/fca/doc/2015/2015fca186/2015fca186.html?autocompleteStr=2015%20FCA%20186&amp;autocompletePos=1" TargetMode="External"/><Relationship Id="rId25" Type="http://schemas.openxmlformats.org/officeDocument/2006/relationships/hyperlink" Target="http://www.canlii.org/fr/qc/qcca/doc/2015/2015qcca1757/2015qcca1757.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nlii.org/en/ca/fct/doc/2014/2014fc463/2014fc463.html?autocompleteStr=2014%20FC%20463&amp;autocompletePos=1" TargetMode="External"/><Relationship Id="rId20" Type="http://schemas.openxmlformats.org/officeDocument/2006/relationships/hyperlink" Target="http://www.canlii.org/fr/qc/qccs/doc/2015/2015qccs985/2015qccs985.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6857" TargetMode="External"/><Relationship Id="rId24" Type="http://schemas.openxmlformats.org/officeDocument/2006/relationships/hyperlink" Target="http://www.canlii.org/fr/qc/qcca/doc/2015/2015qcca1757/2015qcca1757.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nlii.ca/t/gm91s" TargetMode="External"/><Relationship Id="rId23" Type="http://schemas.openxmlformats.org/officeDocument/2006/relationships/hyperlink" Target="http://www.canlii.org/fr/qc/qcca/doc/2015/2015qcca1856/2015qcca1856.html" TargetMode="External"/><Relationship Id="rId28" Type="http://schemas.openxmlformats.org/officeDocument/2006/relationships/header" Target="header2.xml"/><Relationship Id="rId10" Type="http://schemas.openxmlformats.org/officeDocument/2006/relationships/hyperlink" Target="http://www.scc-csc.ca/case-dossier/info/sum-som-fra.aspx?cas=36787" TargetMode="External"/><Relationship Id="rId19" Type="http://schemas.openxmlformats.org/officeDocument/2006/relationships/hyperlink" Target="http://www.canlii.org/en/ca/fca/doc/2015/2015fca186/2015fca186.html?autocompleteStr=2015%20FCA%20186&amp;autocompletePos=1"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c-csc.ca/case-dossier/info/sum-som-eng.aspx?cas=36711" TargetMode="External"/><Relationship Id="rId14" Type="http://schemas.openxmlformats.org/officeDocument/2006/relationships/hyperlink" Target="http://canlii.ca/t/g6cfk" TargetMode="External"/><Relationship Id="rId22" Type="http://schemas.openxmlformats.org/officeDocument/2006/relationships/hyperlink" Target="http://www.canlii.org/fr/qc/qccs/doc/2015/2015qccs985/2015qccs985.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09985-5051-42BF-99F5-B42F1901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23189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2016-04-22T18:25:00Z</dcterms:created>
  <dcterms:modified xsi:type="dcterms:W3CDTF">2016-04-22T18:45:00Z</dcterms:modified>
</cp:coreProperties>
</file>