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E586A" w:rsidRDefault="003F43E6" w:rsidP="00122CE1">
      <w:pPr>
        <w:pStyle w:val="Header"/>
        <w:tabs>
          <w:tab w:val="left" w:pos="1620"/>
          <w:tab w:val="left" w:pos="1710"/>
        </w:tabs>
        <w:jc w:val="center"/>
        <w:rPr>
          <w:b/>
          <w:sz w:val="32"/>
        </w:rPr>
      </w:pPr>
      <w:r w:rsidRPr="00BE586A">
        <w:rPr>
          <w:b/>
          <w:sz w:val="32"/>
        </w:rPr>
        <w:t>Supreme Court of Canada / Cour suprême du Canada</w:t>
      </w:r>
    </w:p>
    <w:p w:rsidR="003F43E6" w:rsidRPr="00BE586A" w:rsidRDefault="003F43E6" w:rsidP="006F2579">
      <w:pPr>
        <w:widowControl w:val="0"/>
        <w:rPr>
          <w:i/>
        </w:rPr>
      </w:pPr>
    </w:p>
    <w:p w:rsidR="006F2579" w:rsidRPr="00BE586A" w:rsidRDefault="006F2579" w:rsidP="006F2579">
      <w:pPr>
        <w:widowControl w:val="0"/>
        <w:rPr>
          <w:i/>
        </w:rPr>
      </w:pPr>
      <w:r w:rsidRPr="00BE586A">
        <w:rPr>
          <w:i/>
        </w:rPr>
        <w:t>(le français suit)</w:t>
      </w:r>
    </w:p>
    <w:p w:rsidR="006F2579" w:rsidRPr="00BE586A" w:rsidRDefault="006F2579" w:rsidP="006F2579">
      <w:pPr>
        <w:widowControl w:val="0"/>
      </w:pPr>
    </w:p>
    <w:p w:rsidR="006F2579" w:rsidRPr="00BE586A" w:rsidRDefault="00B07908" w:rsidP="006F2579">
      <w:pPr>
        <w:widowControl w:val="0"/>
        <w:jc w:val="center"/>
        <w:rPr>
          <w:b/>
        </w:rPr>
      </w:pPr>
      <w:r w:rsidRPr="00BE586A">
        <w:fldChar w:fldCharType="begin"/>
      </w:r>
      <w:r w:rsidR="006F2579" w:rsidRPr="00BE586A">
        <w:instrText xml:space="preserve"> SEQ CHAPTER \h \r 1</w:instrText>
      </w:r>
      <w:r w:rsidRPr="00BE586A">
        <w:fldChar w:fldCharType="end"/>
      </w:r>
      <w:r w:rsidR="006F2579" w:rsidRPr="00BE586A">
        <w:rPr>
          <w:b/>
        </w:rPr>
        <w:t>JUDGMENT</w:t>
      </w:r>
      <w:r w:rsidR="00B17AAC" w:rsidRPr="00BE586A">
        <w:rPr>
          <w:b/>
        </w:rPr>
        <w:t>S</w:t>
      </w:r>
      <w:r w:rsidR="006F2579" w:rsidRPr="00BE586A">
        <w:rPr>
          <w:b/>
        </w:rPr>
        <w:t xml:space="preserve"> TO B</w:t>
      </w:r>
      <w:r w:rsidR="00001846" w:rsidRPr="00BE586A">
        <w:rPr>
          <w:b/>
        </w:rPr>
        <w:t>E RENDERED IN LEAVE APPLICATION</w:t>
      </w:r>
      <w:r w:rsidR="00AE4C09" w:rsidRPr="00BE586A">
        <w:rPr>
          <w:b/>
        </w:rPr>
        <w:t>S</w:t>
      </w:r>
    </w:p>
    <w:p w:rsidR="006F2579" w:rsidRPr="00BE586A" w:rsidRDefault="006F2579" w:rsidP="006F2579">
      <w:pPr>
        <w:widowControl w:val="0"/>
        <w:rPr>
          <w:b/>
        </w:rPr>
      </w:pPr>
    </w:p>
    <w:p w:rsidR="006F2579" w:rsidRPr="00BE586A" w:rsidRDefault="00FD37D0" w:rsidP="006F2579">
      <w:pPr>
        <w:widowControl w:val="0"/>
        <w:rPr>
          <w:b/>
        </w:rPr>
      </w:pPr>
      <w:r w:rsidRPr="00BE586A">
        <w:rPr>
          <w:b/>
        </w:rPr>
        <w:t xml:space="preserve">August </w:t>
      </w:r>
      <w:r w:rsidR="009C5C5F" w:rsidRPr="00BE586A">
        <w:rPr>
          <w:b/>
        </w:rPr>
        <w:t>22</w:t>
      </w:r>
      <w:r w:rsidR="00AB5538" w:rsidRPr="00BE586A">
        <w:rPr>
          <w:b/>
        </w:rPr>
        <w:t>,</w:t>
      </w:r>
      <w:r w:rsidR="006F2579" w:rsidRPr="00BE586A">
        <w:rPr>
          <w:b/>
        </w:rPr>
        <w:t xml:space="preserve"> </w:t>
      </w:r>
      <w:r w:rsidR="0054689F" w:rsidRPr="00BE586A">
        <w:rPr>
          <w:b/>
        </w:rPr>
        <w:t>201</w:t>
      </w:r>
      <w:r w:rsidR="00674329" w:rsidRPr="00BE586A">
        <w:rPr>
          <w:b/>
        </w:rPr>
        <w:t>6</w:t>
      </w:r>
    </w:p>
    <w:p w:rsidR="006F2579" w:rsidRPr="00BE586A" w:rsidRDefault="006F2579" w:rsidP="006F2579">
      <w:pPr>
        <w:widowControl w:val="0"/>
        <w:rPr>
          <w:b/>
        </w:rPr>
      </w:pPr>
      <w:r w:rsidRPr="00BE586A">
        <w:rPr>
          <w:b/>
        </w:rPr>
        <w:t>For immediate release</w:t>
      </w:r>
    </w:p>
    <w:p w:rsidR="006F2579" w:rsidRPr="00BE586A" w:rsidRDefault="006F2579" w:rsidP="006F2579">
      <w:pPr>
        <w:widowControl w:val="0"/>
      </w:pPr>
    </w:p>
    <w:p w:rsidR="006F2579" w:rsidRPr="00BE586A" w:rsidRDefault="006F2579" w:rsidP="006F2579">
      <w:pPr>
        <w:widowControl w:val="0"/>
      </w:pPr>
      <w:r w:rsidRPr="00BE586A">
        <w:rPr>
          <w:b/>
        </w:rPr>
        <w:t>OTTAWA</w:t>
      </w:r>
      <w:r w:rsidRPr="00BE586A">
        <w:t xml:space="preserve"> – The Supreme Court of Canada announced today that judgment in the following application</w:t>
      </w:r>
      <w:r w:rsidR="008600ED" w:rsidRPr="00BE586A">
        <w:t>s</w:t>
      </w:r>
      <w:r w:rsidRPr="00BE586A">
        <w:t xml:space="preserve"> for leave to appeal will be delivered at 9:45 a.m. E</w:t>
      </w:r>
      <w:r w:rsidR="003817A9" w:rsidRPr="00BE586A">
        <w:t>D</w:t>
      </w:r>
      <w:r w:rsidRPr="00BE586A">
        <w:t xml:space="preserve">T on Thursday, </w:t>
      </w:r>
      <w:r w:rsidR="00FD37D0" w:rsidRPr="00BE586A">
        <w:t xml:space="preserve">August </w:t>
      </w:r>
      <w:r w:rsidR="009C5C5F" w:rsidRPr="00BE586A">
        <w:t>25</w:t>
      </w:r>
      <w:r w:rsidR="007E112F" w:rsidRPr="00BE586A">
        <w:t>,</w:t>
      </w:r>
      <w:r w:rsidR="002F38D7" w:rsidRPr="00BE586A">
        <w:t xml:space="preserve"> </w:t>
      </w:r>
      <w:r w:rsidR="006648D1" w:rsidRPr="00BE586A">
        <w:t>201</w:t>
      </w:r>
      <w:r w:rsidR="00674329" w:rsidRPr="00BE586A">
        <w:t>6</w:t>
      </w:r>
      <w:r w:rsidRPr="00BE586A">
        <w:t>.  This list is subject to change.</w:t>
      </w:r>
    </w:p>
    <w:p w:rsidR="00FF5AA4" w:rsidRPr="00BE586A" w:rsidRDefault="00FF5AA4" w:rsidP="006F2579">
      <w:pPr>
        <w:widowControl w:val="0"/>
      </w:pPr>
    </w:p>
    <w:p w:rsidR="00B43418" w:rsidRPr="00BE586A" w:rsidRDefault="00B43418" w:rsidP="006F2579">
      <w:pPr>
        <w:widowControl w:val="0"/>
      </w:pPr>
    </w:p>
    <w:p w:rsidR="006F2579" w:rsidRPr="00BE586A" w:rsidRDefault="006F2579" w:rsidP="006F2579">
      <w:pPr>
        <w:widowControl w:val="0"/>
        <w:jc w:val="center"/>
        <w:rPr>
          <w:lang w:val="fr-CA"/>
        </w:rPr>
      </w:pPr>
      <w:r w:rsidRPr="00BE586A">
        <w:rPr>
          <w:b/>
          <w:lang w:val="fr-CA"/>
        </w:rPr>
        <w:t>PROCHAIN</w:t>
      </w:r>
      <w:r w:rsidR="00B17AAC" w:rsidRPr="00BE586A">
        <w:rPr>
          <w:b/>
          <w:lang w:val="fr-CA"/>
        </w:rPr>
        <w:t>S</w:t>
      </w:r>
      <w:r w:rsidRPr="00BE586A">
        <w:rPr>
          <w:b/>
          <w:lang w:val="fr-CA"/>
        </w:rPr>
        <w:t xml:space="preserve"> JUGEMENT</w:t>
      </w:r>
      <w:r w:rsidR="00B17AAC" w:rsidRPr="00BE586A">
        <w:rPr>
          <w:b/>
          <w:lang w:val="fr-CA"/>
        </w:rPr>
        <w:t>S</w:t>
      </w:r>
      <w:r w:rsidR="00001846" w:rsidRPr="00BE586A">
        <w:rPr>
          <w:b/>
          <w:lang w:val="fr-CA"/>
        </w:rPr>
        <w:t xml:space="preserve"> SUR DEMANDE</w:t>
      </w:r>
      <w:r w:rsidR="00B17AAC" w:rsidRPr="00BE586A">
        <w:rPr>
          <w:b/>
          <w:lang w:val="fr-CA"/>
        </w:rPr>
        <w:t>S</w:t>
      </w:r>
      <w:r w:rsidRPr="00BE586A">
        <w:rPr>
          <w:b/>
          <w:lang w:val="fr-CA"/>
        </w:rPr>
        <w:t xml:space="preserve"> D’AUTORISATION</w:t>
      </w:r>
    </w:p>
    <w:p w:rsidR="006F2579" w:rsidRPr="00BE586A" w:rsidRDefault="006F2579" w:rsidP="006F2579">
      <w:pPr>
        <w:widowControl w:val="0"/>
        <w:rPr>
          <w:lang w:val="fr-CA"/>
        </w:rPr>
      </w:pPr>
    </w:p>
    <w:p w:rsidR="006F2579" w:rsidRPr="00BE586A" w:rsidRDefault="006F2579" w:rsidP="006F2579">
      <w:pPr>
        <w:widowControl w:val="0"/>
        <w:rPr>
          <w:b/>
          <w:lang w:val="fr-CA"/>
        </w:rPr>
      </w:pPr>
      <w:r w:rsidRPr="00BE586A">
        <w:rPr>
          <w:b/>
          <w:lang w:val="fr-CA"/>
        </w:rPr>
        <w:t>Le</w:t>
      </w:r>
      <w:r w:rsidR="00957A76" w:rsidRPr="00BE586A">
        <w:rPr>
          <w:b/>
          <w:lang w:val="fr-CA"/>
        </w:rPr>
        <w:t xml:space="preserve"> </w:t>
      </w:r>
      <w:r w:rsidR="009C5C5F" w:rsidRPr="00BE586A">
        <w:rPr>
          <w:b/>
          <w:lang w:val="fr-CA"/>
        </w:rPr>
        <w:t>22</w:t>
      </w:r>
      <w:r w:rsidR="00FD37D0" w:rsidRPr="00BE586A">
        <w:rPr>
          <w:b/>
          <w:lang w:val="fr-CA"/>
        </w:rPr>
        <w:t xml:space="preserve"> août</w:t>
      </w:r>
      <w:r w:rsidR="00674329" w:rsidRPr="00BE586A">
        <w:rPr>
          <w:b/>
          <w:lang w:val="fr-CA"/>
        </w:rPr>
        <w:t xml:space="preserve"> 2016</w:t>
      </w:r>
    </w:p>
    <w:p w:rsidR="006F2579" w:rsidRPr="00BE586A" w:rsidRDefault="006F2579" w:rsidP="006F2579">
      <w:pPr>
        <w:widowControl w:val="0"/>
        <w:rPr>
          <w:b/>
          <w:lang w:val="fr-CA"/>
        </w:rPr>
      </w:pPr>
      <w:r w:rsidRPr="00BE586A">
        <w:rPr>
          <w:b/>
          <w:lang w:val="fr-CA"/>
        </w:rPr>
        <w:t>Pour diffusion immédiate</w:t>
      </w:r>
    </w:p>
    <w:p w:rsidR="006F2579" w:rsidRPr="00BE586A" w:rsidRDefault="006F2579" w:rsidP="006F2579">
      <w:pPr>
        <w:widowControl w:val="0"/>
        <w:rPr>
          <w:b/>
          <w:lang w:val="fr-CA"/>
        </w:rPr>
      </w:pPr>
    </w:p>
    <w:p w:rsidR="006F2579" w:rsidRPr="00BE586A" w:rsidRDefault="006F2579" w:rsidP="006F2579">
      <w:pPr>
        <w:widowControl w:val="0"/>
        <w:rPr>
          <w:lang w:val="fr-CA"/>
        </w:rPr>
      </w:pPr>
      <w:r w:rsidRPr="00BE586A">
        <w:rPr>
          <w:b/>
          <w:lang w:val="fr-CA"/>
        </w:rPr>
        <w:t>OTTAWA</w:t>
      </w:r>
      <w:r w:rsidRPr="00BE586A">
        <w:rPr>
          <w:lang w:val="fr-CA"/>
        </w:rPr>
        <w:t xml:space="preserve"> – La Cour suprême du Canada annonce que jugement ser</w:t>
      </w:r>
      <w:r w:rsidR="004259F9" w:rsidRPr="00BE586A">
        <w:rPr>
          <w:lang w:val="fr-CA"/>
        </w:rPr>
        <w:t>a</w:t>
      </w:r>
      <w:r w:rsidRPr="00BE586A">
        <w:rPr>
          <w:lang w:val="fr-CA"/>
        </w:rPr>
        <w:t xml:space="preserve"> rendu dans l</w:t>
      </w:r>
      <w:r w:rsidR="008600ED" w:rsidRPr="00BE586A">
        <w:rPr>
          <w:lang w:val="fr-CA"/>
        </w:rPr>
        <w:t>es</w:t>
      </w:r>
      <w:r w:rsidRPr="00BE586A">
        <w:rPr>
          <w:lang w:val="fr-CA"/>
        </w:rPr>
        <w:t xml:space="preserve"> demande</w:t>
      </w:r>
      <w:r w:rsidR="008600ED" w:rsidRPr="00BE586A">
        <w:rPr>
          <w:lang w:val="fr-CA"/>
        </w:rPr>
        <w:t>s</w:t>
      </w:r>
      <w:r w:rsidRPr="00BE586A">
        <w:rPr>
          <w:lang w:val="fr-CA"/>
        </w:rPr>
        <w:t xml:space="preserve"> d</w:t>
      </w:r>
      <w:r w:rsidR="00001846" w:rsidRPr="00BE586A">
        <w:rPr>
          <w:lang w:val="fr-CA"/>
        </w:rPr>
        <w:t>’autorisation d’appel suivante</w:t>
      </w:r>
      <w:r w:rsidR="008600ED" w:rsidRPr="00BE586A">
        <w:rPr>
          <w:lang w:val="fr-CA"/>
        </w:rPr>
        <w:t>s</w:t>
      </w:r>
      <w:r w:rsidRPr="00BE586A">
        <w:rPr>
          <w:lang w:val="fr-CA"/>
        </w:rPr>
        <w:t xml:space="preserve"> le jeudi </w:t>
      </w:r>
      <w:r w:rsidR="009C5C5F" w:rsidRPr="00BE586A">
        <w:rPr>
          <w:lang w:val="fr-CA"/>
        </w:rPr>
        <w:t>25</w:t>
      </w:r>
      <w:r w:rsidR="00FD37D0" w:rsidRPr="00BE586A">
        <w:rPr>
          <w:lang w:val="fr-CA"/>
        </w:rPr>
        <w:t xml:space="preserve"> août</w:t>
      </w:r>
      <w:r w:rsidR="00674329" w:rsidRPr="00BE586A">
        <w:rPr>
          <w:lang w:val="fr-CA"/>
        </w:rPr>
        <w:t xml:space="preserve"> </w:t>
      </w:r>
      <w:r w:rsidR="006648D1" w:rsidRPr="00BE586A">
        <w:rPr>
          <w:lang w:val="fr-CA"/>
        </w:rPr>
        <w:t>201</w:t>
      </w:r>
      <w:r w:rsidR="00674329" w:rsidRPr="00BE586A">
        <w:rPr>
          <w:lang w:val="fr-CA"/>
        </w:rPr>
        <w:t>6</w:t>
      </w:r>
      <w:r w:rsidRPr="00BE586A">
        <w:rPr>
          <w:lang w:val="fr-CA"/>
        </w:rPr>
        <w:t xml:space="preserve">, à 9 h 45 </w:t>
      </w:r>
      <w:r w:rsidR="000627A2" w:rsidRPr="00BE586A">
        <w:rPr>
          <w:lang w:val="fr-CA"/>
        </w:rPr>
        <w:t>H</w:t>
      </w:r>
      <w:r w:rsidR="003817A9" w:rsidRPr="00BE586A">
        <w:rPr>
          <w:lang w:val="fr-CA"/>
        </w:rPr>
        <w:t>A</w:t>
      </w:r>
      <w:r w:rsidRPr="00BE586A">
        <w:rPr>
          <w:lang w:val="fr-CA"/>
        </w:rPr>
        <w:t>E.  Cette liste est sujette à modifications.</w:t>
      </w:r>
    </w:p>
    <w:p w:rsidR="0080556B" w:rsidRPr="00BE586A" w:rsidRDefault="0080556B" w:rsidP="009B14F4">
      <w:pPr>
        <w:widowControl w:val="0"/>
        <w:jc w:val="both"/>
        <w:rPr>
          <w:sz w:val="20"/>
          <w:lang w:val="fr-CA"/>
        </w:rPr>
      </w:pPr>
    </w:p>
    <w:p w:rsidR="001838E0" w:rsidRPr="00BE586A" w:rsidRDefault="003D353C" w:rsidP="009B14F4">
      <w:pPr>
        <w:widowControl w:val="0"/>
        <w:jc w:val="both"/>
        <w:rPr>
          <w:sz w:val="20"/>
          <w:lang w:val="fr-CA"/>
        </w:rPr>
      </w:pPr>
      <w:r w:rsidRPr="00BE586A">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42396F" w:rsidRPr="00BE586A" w:rsidRDefault="0042396F" w:rsidP="0042396F">
      <w:pPr>
        <w:rPr>
          <w:rFonts w:eastAsiaTheme="minorEastAsia"/>
          <w:sz w:val="20"/>
          <w:lang w:val="fr-CA" w:eastAsia="en-CA"/>
        </w:rPr>
      </w:pPr>
    </w:p>
    <w:p w:rsidR="000C6C97" w:rsidRPr="00BE586A" w:rsidRDefault="000C6C97" w:rsidP="000C6C97">
      <w:pPr>
        <w:pStyle w:val="SCCAppellantInfoAppellantInfo"/>
        <w:numPr>
          <w:ilvl w:val="0"/>
          <w:numId w:val="50"/>
        </w:numPr>
        <w:ind w:left="360"/>
        <w:rPr>
          <w:sz w:val="20"/>
          <w:szCs w:val="20"/>
        </w:rPr>
      </w:pPr>
      <w:r w:rsidRPr="00BE586A">
        <w:rPr>
          <w:i/>
          <w:sz w:val="20"/>
          <w:szCs w:val="20"/>
        </w:rPr>
        <w:t xml:space="preserve">Darin Andrew Randle v. Her Majesty the Queen </w:t>
      </w:r>
      <w:r w:rsidRPr="00BE586A">
        <w:rPr>
          <w:sz w:val="20"/>
          <w:szCs w:val="20"/>
        </w:rPr>
        <w:t>(B.C.) (Criminal) (By Leave)</w:t>
      </w:r>
      <w:r w:rsidR="000A0472" w:rsidRPr="00BE586A">
        <w:rPr>
          <w:sz w:val="20"/>
          <w:szCs w:val="20"/>
        </w:rPr>
        <w:t xml:space="preserve"> </w:t>
      </w:r>
      <w:r w:rsidR="000A0472" w:rsidRPr="00BE586A">
        <w:rPr>
          <w:sz w:val="20"/>
        </w:rPr>
        <w:t>(</w:t>
      </w:r>
      <w:hyperlink r:id="rId8" w:history="1">
        <w:r w:rsidR="000A0472" w:rsidRPr="00BE586A">
          <w:rPr>
            <w:rStyle w:val="Hyperlink"/>
            <w:sz w:val="20"/>
          </w:rPr>
          <w:t>36979</w:t>
        </w:r>
      </w:hyperlink>
      <w:r w:rsidR="000A0472" w:rsidRPr="00BE586A">
        <w:rPr>
          <w:sz w:val="20"/>
        </w:rPr>
        <w:t>)</w:t>
      </w:r>
    </w:p>
    <w:p w:rsidR="000C6C97" w:rsidRPr="00BE586A" w:rsidRDefault="000C6C97" w:rsidP="000C6C97">
      <w:pPr>
        <w:ind w:left="360" w:hanging="360"/>
        <w:rPr>
          <w:sz w:val="20"/>
          <w:lang w:val="en-CA"/>
        </w:rPr>
      </w:pPr>
    </w:p>
    <w:p w:rsidR="000C6C97" w:rsidRPr="00BE586A" w:rsidRDefault="000C6C97" w:rsidP="000C6C97">
      <w:pPr>
        <w:pStyle w:val="SCCAppellantInfoAppellantInfo"/>
        <w:numPr>
          <w:ilvl w:val="0"/>
          <w:numId w:val="50"/>
        </w:numPr>
        <w:ind w:left="360"/>
        <w:rPr>
          <w:sz w:val="20"/>
          <w:szCs w:val="20"/>
        </w:rPr>
      </w:pPr>
      <w:r w:rsidRPr="00BE586A">
        <w:rPr>
          <w:i/>
          <w:sz w:val="20"/>
          <w:szCs w:val="20"/>
        </w:rPr>
        <w:t>Dheeraj Kumar Mittal v. Minister of Health</w:t>
      </w:r>
      <w:r w:rsidRPr="00BE586A">
        <w:rPr>
          <w:sz w:val="20"/>
          <w:szCs w:val="20"/>
        </w:rPr>
        <w:t xml:space="preserve"> (F</w:t>
      </w:r>
      <w:r w:rsidR="004E458C" w:rsidRPr="00BE586A">
        <w:rPr>
          <w:sz w:val="20"/>
          <w:szCs w:val="20"/>
        </w:rPr>
        <w:t>.</w:t>
      </w:r>
      <w:r w:rsidRPr="00BE586A">
        <w:rPr>
          <w:sz w:val="20"/>
          <w:szCs w:val="20"/>
        </w:rPr>
        <w:t>C</w:t>
      </w:r>
      <w:r w:rsidR="004E458C" w:rsidRPr="00BE586A">
        <w:rPr>
          <w:sz w:val="20"/>
          <w:szCs w:val="20"/>
        </w:rPr>
        <w:t>.</w:t>
      </w:r>
      <w:r w:rsidRPr="00BE586A">
        <w:rPr>
          <w:sz w:val="20"/>
          <w:szCs w:val="20"/>
        </w:rPr>
        <w:t>) (Civil) (By Leave)</w:t>
      </w:r>
      <w:r w:rsidR="004E458C" w:rsidRPr="00BE586A">
        <w:rPr>
          <w:sz w:val="20"/>
          <w:szCs w:val="20"/>
        </w:rPr>
        <w:t xml:space="preserve"> </w:t>
      </w:r>
      <w:r w:rsidR="004E458C" w:rsidRPr="00BE586A">
        <w:rPr>
          <w:sz w:val="20"/>
        </w:rPr>
        <w:t>(</w:t>
      </w:r>
      <w:hyperlink r:id="rId9" w:history="1">
        <w:r w:rsidR="004E458C" w:rsidRPr="00BE586A">
          <w:rPr>
            <w:rStyle w:val="Hyperlink"/>
            <w:sz w:val="20"/>
          </w:rPr>
          <w:t>36965</w:t>
        </w:r>
      </w:hyperlink>
      <w:r w:rsidR="004E458C" w:rsidRPr="00BE586A">
        <w:rPr>
          <w:sz w:val="20"/>
        </w:rPr>
        <w:t>)</w:t>
      </w:r>
    </w:p>
    <w:p w:rsidR="000C6C97" w:rsidRPr="006905A3" w:rsidRDefault="000C6C97" w:rsidP="000C6C97">
      <w:pPr>
        <w:ind w:left="360" w:hanging="360"/>
        <w:jc w:val="both"/>
        <w:rPr>
          <w:sz w:val="20"/>
          <w:lang w:val="en-CA"/>
        </w:rPr>
      </w:pPr>
    </w:p>
    <w:p w:rsidR="000C6C97" w:rsidRPr="00BE586A" w:rsidRDefault="000C6C97" w:rsidP="000C6C97">
      <w:pPr>
        <w:pStyle w:val="SCCAppellantInfoAppellantInfo"/>
        <w:numPr>
          <w:ilvl w:val="0"/>
          <w:numId w:val="50"/>
        </w:numPr>
        <w:ind w:left="360"/>
        <w:rPr>
          <w:sz w:val="20"/>
          <w:szCs w:val="20"/>
          <w:lang w:val="fr-CA"/>
        </w:rPr>
      </w:pPr>
      <w:r w:rsidRPr="00BE586A">
        <w:rPr>
          <w:i/>
          <w:sz w:val="20"/>
          <w:szCs w:val="20"/>
          <w:lang w:val="fr-CA"/>
        </w:rPr>
        <w:t>Serge Takri c. Sa Majesté la Reine</w:t>
      </w:r>
      <w:r w:rsidRPr="00BE586A">
        <w:rPr>
          <w:sz w:val="20"/>
          <w:szCs w:val="20"/>
          <w:lang w:val="fr-CA"/>
        </w:rPr>
        <w:t xml:space="preserve"> (Qc) (Criminelle) (Autorisation)</w:t>
      </w:r>
      <w:r w:rsidR="00766029" w:rsidRPr="00BE586A">
        <w:rPr>
          <w:sz w:val="20"/>
          <w:szCs w:val="20"/>
          <w:lang w:val="fr-CA"/>
        </w:rPr>
        <w:t xml:space="preserve"> (</w:t>
      </w:r>
      <w:hyperlink r:id="rId10" w:history="1">
        <w:r w:rsidR="00766029" w:rsidRPr="00BE586A">
          <w:rPr>
            <w:rStyle w:val="Hyperlink"/>
            <w:sz w:val="20"/>
            <w:szCs w:val="20"/>
            <w:lang w:val="fr-CA"/>
          </w:rPr>
          <w:t>36992</w:t>
        </w:r>
      </w:hyperlink>
      <w:r w:rsidR="00766029" w:rsidRPr="00BE586A">
        <w:rPr>
          <w:sz w:val="20"/>
          <w:szCs w:val="20"/>
          <w:lang w:val="fr-CA"/>
        </w:rPr>
        <w:t>)</w:t>
      </w:r>
    </w:p>
    <w:p w:rsidR="000C6C97" w:rsidRPr="00BE586A" w:rsidRDefault="000C6C97" w:rsidP="000C6C97">
      <w:pPr>
        <w:ind w:left="360" w:hanging="360"/>
        <w:rPr>
          <w:sz w:val="20"/>
          <w:lang w:val="fr-CA"/>
        </w:rPr>
      </w:pPr>
      <w:bookmarkStart w:id="0" w:name="_GoBack"/>
      <w:bookmarkEnd w:id="0"/>
    </w:p>
    <w:p w:rsidR="000C6C97" w:rsidRPr="00BE586A" w:rsidRDefault="000C6C97" w:rsidP="000C6C97">
      <w:pPr>
        <w:pStyle w:val="SCCAppellantInfoAppellantInfo"/>
        <w:numPr>
          <w:ilvl w:val="0"/>
          <w:numId w:val="50"/>
        </w:numPr>
        <w:ind w:left="360"/>
        <w:rPr>
          <w:sz w:val="20"/>
          <w:szCs w:val="20"/>
        </w:rPr>
      </w:pPr>
      <w:r w:rsidRPr="00BE586A">
        <w:rPr>
          <w:i/>
          <w:sz w:val="20"/>
          <w:szCs w:val="20"/>
        </w:rPr>
        <w:t>Robert Beaulieu v. Attorney General of Canada</w:t>
      </w:r>
      <w:r w:rsidRPr="00BE586A">
        <w:rPr>
          <w:sz w:val="20"/>
          <w:szCs w:val="20"/>
        </w:rPr>
        <w:t xml:space="preserve"> (F</w:t>
      </w:r>
      <w:r w:rsidR="001F3AE7" w:rsidRPr="00BE586A">
        <w:rPr>
          <w:sz w:val="20"/>
          <w:szCs w:val="20"/>
        </w:rPr>
        <w:t>.</w:t>
      </w:r>
      <w:r w:rsidRPr="00BE586A">
        <w:rPr>
          <w:sz w:val="20"/>
          <w:szCs w:val="20"/>
        </w:rPr>
        <w:t>C</w:t>
      </w:r>
      <w:r w:rsidR="001F3AE7" w:rsidRPr="00BE586A">
        <w:rPr>
          <w:sz w:val="20"/>
          <w:szCs w:val="20"/>
        </w:rPr>
        <w:t>.</w:t>
      </w:r>
      <w:r w:rsidRPr="00BE586A">
        <w:rPr>
          <w:sz w:val="20"/>
          <w:szCs w:val="20"/>
        </w:rPr>
        <w:t>) (Civil) (By Leave)</w:t>
      </w:r>
      <w:r w:rsidR="001F3AE7" w:rsidRPr="00BE586A">
        <w:rPr>
          <w:sz w:val="20"/>
          <w:szCs w:val="20"/>
        </w:rPr>
        <w:t xml:space="preserve"> </w:t>
      </w:r>
      <w:r w:rsidR="001F3AE7" w:rsidRPr="00BE586A">
        <w:rPr>
          <w:sz w:val="20"/>
        </w:rPr>
        <w:t>(</w:t>
      </w:r>
      <w:hyperlink r:id="rId11" w:history="1">
        <w:r w:rsidR="001F3AE7" w:rsidRPr="00BE586A">
          <w:rPr>
            <w:rStyle w:val="Hyperlink"/>
            <w:sz w:val="20"/>
          </w:rPr>
          <w:t>36971</w:t>
        </w:r>
      </w:hyperlink>
      <w:r w:rsidR="001F3AE7" w:rsidRPr="00BE586A">
        <w:rPr>
          <w:sz w:val="20"/>
        </w:rPr>
        <w:t>)</w:t>
      </w:r>
    </w:p>
    <w:p w:rsidR="000C6C97" w:rsidRPr="00BE586A" w:rsidRDefault="000C6C97" w:rsidP="000C6C97">
      <w:pPr>
        <w:ind w:left="360" w:hanging="360"/>
        <w:rPr>
          <w:sz w:val="20"/>
          <w:lang w:val="fr-FR"/>
        </w:rPr>
      </w:pPr>
    </w:p>
    <w:p w:rsidR="000C6C97" w:rsidRPr="00BE586A" w:rsidRDefault="000C6C97" w:rsidP="000C6C97">
      <w:pPr>
        <w:pStyle w:val="SCCAppellantInfoAppellantInfo"/>
        <w:numPr>
          <w:ilvl w:val="0"/>
          <w:numId w:val="50"/>
        </w:numPr>
        <w:ind w:left="360"/>
        <w:rPr>
          <w:sz w:val="20"/>
          <w:szCs w:val="20"/>
        </w:rPr>
      </w:pPr>
      <w:r w:rsidRPr="00BE586A">
        <w:rPr>
          <w:i/>
          <w:sz w:val="20"/>
          <w:szCs w:val="20"/>
          <w:lang w:val="fr-CA"/>
        </w:rPr>
        <w:t xml:space="preserve">Michele Torre c. Ministre de la Citoyenneté et de l'Immigration </w:t>
      </w:r>
      <w:r w:rsidRPr="00BE586A">
        <w:rPr>
          <w:sz w:val="20"/>
          <w:szCs w:val="20"/>
        </w:rPr>
        <w:t>(C</w:t>
      </w:r>
      <w:r w:rsidR="00C83899" w:rsidRPr="00BE586A">
        <w:rPr>
          <w:sz w:val="20"/>
          <w:szCs w:val="20"/>
        </w:rPr>
        <w:t>.</w:t>
      </w:r>
      <w:r w:rsidRPr="00BE586A">
        <w:rPr>
          <w:sz w:val="20"/>
          <w:szCs w:val="20"/>
        </w:rPr>
        <w:t>F</w:t>
      </w:r>
      <w:r w:rsidR="00C83899" w:rsidRPr="00BE586A">
        <w:rPr>
          <w:sz w:val="20"/>
          <w:szCs w:val="20"/>
        </w:rPr>
        <w:t>.</w:t>
      </w:r>
      <w:r w:rsidRPr="00BE586A">
        <w:rPr>
          <w:sz w:val="20"/>
          <w:szCs w:val="20"/>
        </w:rPr>
        <w:t>) (Civile) (Autorisation)</w:t>
      </w:r>
      <w:r w:rsidR="00C83899" w:rsidRPr="00BE586A">
        <w:rPr>
          <w:sz w:val="20"/>
          <w:szCs w:val="20"/>
        </w:rPr>
        <w:t xml:space="preserve"> </w:t>
      </w:r>
      <w:r w:rsidR="00C83899" w:rsidRPr="00BE586A">
        <w:rPr>
          <w:sz w:val="20"/>
          <w:szCs w:val="20"/>
          <w:lang w:val="fr-CA"/>
        </w:rPr>
        <w:t>(</w:t>
      </w:r>
      <w:hyperlink r:id="rId12" w:history="1">
        <w:r w:rsidR="00C83899" w:rsidRPr="00BE586A">
          <w:rPr>
            <w:rStyle w:val="Hyperlink"/>
            <w:sz w:val="20"/>
            <w:szCs w:val="20"/>
            <w:lang w:val="fr-CA"/>
          </w:rPr>
          <w:t>36936</w:t>
        </w:r>
      </w:hyperlink>
      <w:r w:rsidR="00C83899" w:rsidRPr="00BE586A">
        <w:rPr>
          <w:sz w:val="20"/>
          <w:szCs w:val="20"/>
          <w:lang w:val="fr-CA"/>
        </w:rPr>
        <w:t>)</w:t>
      </w:r>
    </w:p>
    <w:p w:rsidR="000C6C97" w:rsidRPr="00BE586A" w:rsidRDefault="000C6C97" w:rsidP="000C6C97">
      <w:pPr>
        <w:ind w:left="360" w:hanging="360"/>
        <w:rPr>
          <w:sz w:val="20"/>
          <w:lang w:val="fr-FR"/>
        </w:rPr>
      </w:pPr>
    </w:p>
    <w:p w:rsidR="000C6C97" w:rsidRPr="00BE586A" w:rsidRDefault="000C6C97" w:rsidP="000C6C97">
      <w:pPr>
        <w:pStyle w:val="SCCAppellantInfoAppellantInfo"/>
        <w:numPr>
          <w:ilvl w:val="0"/>
          <w:numId w:val="50"/>
        </w:numPr>
        <w:ind w:left="360"/>
        <w:rPr>
          <w:sz w:val="20"/>
          <w:szCs w:val="20"/>
          <w:lang w:val="fr-CA"/>
        </w:rPr>
      </w:pPr>
      <w:r w:rsidRPr="00BE586A">
        <w:rPr>
          <w:i/>
          <w:sz w:val="20"/>
          <w:szCs w:val="20"/>
          <w:lang w:val="fr-CA"/>
        </w:rPr>
        <w:t>Jean-Marc Poulin de Courval, ès qualités de syndic à la faillite de Ergün Bouloud c. Ministre de la sécurité publique et de la protection civile</w:t>
      </w:r>
      <w:r w:rsidRPr="00BE586A">
        <w:rPr>
          <w:sz w:val="20"/>
          <w:szCs w:val="20"/>
          <w:lang w:val="fr-CA"/>
        </w:rPr>
        <w:t xml:space="preserve"> (C</w:t>
      </w:r>
      <w:r w:rsidR="00AA219A" w:rsidRPr="00BE586A">
        <w:rPr>
          <w:sz w:val="20"/>
          <w:szCs w:val="20"/>
          <w:lang w:val="fr-CA"/>
        </w:rPr>
        <w:t>.</w:t>
      </w:r>
      <w:r w:rsidRPr="00BE586A">
        <w:rPr>
          <w:sz w:val="20"/>
          <w:szCs w:val="20"/>
          <w:lang w:val="fr-CA"/>
        </w:rPr>
        <w:t>F</w:t>
      </w:r>
      <w:r w:rsidR="00AA219A" w:rsidRPr="00BE586A">
        <w:rPr>
          <w:sz w:val="20"/>
          <w:szCs w:val="20"/>
          <w:lang w:val="fr-CA"/>
        </w:rPr>
        <w:t>.</w:t>
      </w:r>
      <w:r w:rsidRPr="00BE586A">
        <w:rPr>
          <w:sz w:val="20"/>
          <w:szCs w:val="20"/>
          <w:lang w:val="fr-CA"/>
        </w:rPr>
        <w:t>) (Civile) (Autorisation)</w:t>
      </w:r>
      <w:r w:rsidR="00AA219A" w:rsidRPr="00BE586A">
        <w:rPr>
          <w:sz w:val="20"/>
          <w:szCs w:val="20"/>
          <w:lang w:val="fr-CA"/>
        </w:rPr>
        <w:t xml:space="preserve"> (</w:t>
      </w:r>
      <w:hyperlink r:id="rId13" w:history="1">
        <w:r w:rsidR="00AA219A" w:rsidRPr="00BE586A">
          <w:rPr>
            <w:rStyle w:val="Hyperlink"/>
            <w:sz w:val="20"/>
            <w:szCs w:val="20"/>
            <w:lang w:val="fr-CA"/>
          </w:rPr>
          <w:t>36934</w:t>
        </w:r>
      </w:hyperlink>
      <w:r w:rsidR="00AA219A" w:rsidRPr="00BE586A">
        <w:rPr>
          <w:sz w:val="20"/>
          <w:szCs w:val="20"/>
          <w:lang w:val="fr-CA"/>
        </w:rPr>
        <w:t>)</w:t>
      </w:r>
    </w:p>
    <w:p w:rsidR="000C6C97" w:rsidRPr="00BE586A" w:rsidRDefault="000C6C97" w:rsidP="000C6C97">
      <w:pPr>
        <w:ind w:left="360" w:hanging="360"/>
        <w:rPr>
          <w:sz w:val="20"/>
          <w:lang w:val="fr-CA"/>
        </w:rPr>
      </w:pPr>
    </w:p>
    <w:p w:rsidR="000C6C97" w:rsidRPr="00BE586A" w:rsidRDefault="000C6C97" w:rsidP="000C6C97">
      <w:pPr>
        <w:pStyle w:val="SCCAppellantInfoAppellantInfo"/>
        <w:numPr>
          <w:ilvl w:val="0"/>
          <w:numId w:val="50"/>
        </w:numPr>
        <w:ind w:left="360"/>
        <w:rPr>
          <w:sz w:val="20"/>
          <w:szCs w:val="20"/>
          <w:lang w:val="fr-FR"/>
        </w:rPr>
      </w:pPr>
      <w:r w:rsidRPr="00BE586A">
        <w:rPr>
          <w:i/>
          <w:sz w:val="20"/>
          <w:szCs w:val="20"/>
          <w:lang w:val="fr-CA"/>
        </w:rPr>
        <w:t>Association des réalisateurs et a</w:t>
      </w:r>
      <w:r w:rsidR="008C7911" w:rsidRPr="00BE586A">
        <w:rPr>
          <w:i/>
          <w:sz w:val="20"/>
          <w:szCs w:val="20"/>
          <w:lang w:val="fr-CA"/>
        </w:rPr>
        <w:t>utres</w:t>
      </w:r>
      <w:r w:rsidRPr="00BE586A">
        <w:rPr>
          <w:i/>
          <w:sz w:val="20"/>
          <w:szCs w:val="20"/>
          <w:lang w:val="fr-CA"/>
        </w:rPr>
        <w:t xml:space="preserve"> c. Procureur général du Canada et a</w:t>
      </w:r>
      <w:r w:rsidR="008C7911" w:rsidRPr="00BE586A">
        <w:rPr>
          <w:i/>
          <w:sz w:val="20"/>
          <w:szCs w:val="20"/>
          <w:lang w:val="fr-CA"/>
        </w:rPr>
        <w:t>utre</w:t>
      </w:r>
      <w:r w:rsidRPr="00BE586A">
        <w:rPr>
          <w:sz w:val="20"/>
          <w:szCs w:val="20"/>
          <w:lang w:val="fr-CA"/>
        </w:rPr>
        <w:t xml:space="preserve"> </w:t>
      </w:r>
      <w:r w:rsidRPr="00BE586A">
        <w:rPr>
          <w:sz w:val="20"/>
          <w:szCs w:val="20"/>
          <w:lang w:val="fr-FR"/>
        </w:rPr>
        <w:t>(Qc) (Civile) (Autorisation)</w:t>
      </w:r>
      <w:r w:rsidR="00A23EF0" w:rsidRPr="00BE586A">
        <w:rPr>
          <w:sz w:val="20"/>
          <w:szCs w:val="20"/>
          <w:lang w:val="fr-FR"/>
        </w:rPr>
        <w:t xml:space="preserve"> </w:t>
      </w:r>
      <w:r w:rsidR="00A23EF0" w:rsidRPr="00BE586A">
        <w:rPr>
          <w:sz w:val="20"/>
          <w:szCs w:val="20"/>
          <w:lang w:val="fr-CA"/>
        </w:rPr>
        <w:t>(</w:t>
      </w:r>
      <w:hyperlink r:id="rId14" w:history="1">
        <w:r w:rsidR="00A23EF0" w:rsidRPr="00BE586A">
          <w:rPr>
            <w:rStyle w:val="Hyperlink"/>
            <w:sz w:val="20"/>
            <w:szCs w:val="20"/>
            <w:lang w:val="fr-CA"/>
          </w:rPr>
          <w:t>36914</w:t>
        </w:r>
      </w:hyperlink>
      <w:r w:rsidR="00A23EF0" w:rsidRPr="00BE586A">
        <w:rPr>
          <w:sz w:val="20"/>
          <w:szCs w:val="20"/>
          <w:lang w:val="fr-CA"/>
        </w:rPr>
        <w:t>)</w:t>
      </w:r>
    </w:p>
    <w:p w:rsidR="000C6C97" w:rsidRPr="00BE586A" w:rsidRDefault="000C6C97" w:rsidP="006258DB">
      <w:pPr>
        <w:jc w:val="both"/>
        <w:rPr>
          <w:rFonts w:eastAsiaTheme="minorEastAsia"/>
          <w:sz w:val="20"/>
          <w:lang w:val="fr-CA" w:eastAsia="en-CA"/>
        </w:rPr>
      </w:pPr>
    </w:p>
    <w:p w:rsidR="00854103" w:rsidRPr="00BE586A" w:rsidRDefault="00854103" w:rsidP="006258DB">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258DB" w:rsidRPr="00BE586A" w:rsidTr="00E95A6A">
        <w:tc>
          <w:tcPr>
            <w:tcW w:w="543" w:type="pct"/>
          </w:tcPr>
          <w:p w:rsidR="006258DB" w:rsidRPr="00BE586A" w:rsidRDefault="006258DB" w:rsidP="006258DB">
            <w:pPr>
              <w:jc w:val="both"/>
              <w:rPr>
                <w:sz w:val="20"/>
              </w:rPr>
            </w:pPr>
            <w:r w:rsidRPr="00BE586A">
              <w:rPr>
                <w:rStyle w:val="SCCFileNumberChar"/>
                <w:sz w:val="20"/>
                <w:szCs w:val="20"/>
              </w:rPr>
              <w:t>36979</w:t>
            </w:r>
          </w:p>
        </w:tc>
        <w:tc>
          <w:tcPr>
            <w:tcW w:w="4457" w:type="pct"/>
            <w:gridSpan w:val="3"/>
          </w:tcPr>
          <w:p w:rsidR="006258DB" w:rsidRPr="00BE586A" w:rsidRDefault="006258DB" w:rsidP="006258DB">
            <w:pPr>
              <w:pStyle w:val="SCCLsocParty"/>
              <w:jc w:val="both"/>
              <w:rPr>
                <w:b/>
                <w:sz w:val="20"/>
                <w:szCs w:val="20"/>
              </w:rPr>
            </w:pPr>
            <w:r w:rsidRPr="00BE586A">
              <w:rPr>
                <w:b/>
                <w:sz w:val="20"/>
                <w:szCs w:val="20"/>
              </w:rPr>
              <w:t>Darin Andrew Randle v. Her Majesty the Queen</w:t>
            </w:r>
          </w:p>
          <w:p w:rsidR="006258DB" w:rsidRPr="00BE586A" w:rsidRDefault="006258DB" w:rsidP="006258DB">
            <w:pPr>
              <w:jc w:val="both"/>
              <w:rPr>
                <w:sz w:val="20"/>
              </w:rPr>
            </w:pPr>
            <w:r w:rsidRPr="00BE586A">
              <w:rPr>
                <w:sz w:val="20"/>
              </w:rPr>
              <w:t>(B.C.) (Criminal) (By Leave)</w:t>
            </w:r>
          </w:p>
        </w:tc>
      </w:tr>
      <w:tr w:rsidR="006258DB" w:rsidRPr="00BE586A" w:rsidTr="00E95A6A">
        <w:tc>
          <w:tcPr>
            <w:tcW w:w="5000" w:type="pct"/>
            <w:gridSpan w:val="4"/>
          </w:tcPr>
          <w:p w:rsidR="006258DB" w:rsidRPr="00BE586A" w:rsidRDefault="006258DB" w:rsidP="006258DB">
            <w:pPr>
              <w:pStyle w:val="SCCBanSummary"/>
              <w:rPr>
                <w:sz w:val="20"/>
                <w:szCs w:val="20"/>
              </w:rPr>
            </w:pPr>
            <w:r w:rsidRPr="00BE586A">
              <w:rPr>
                <w:sz w:val="20"/>
                <w:szCs w:val="20"/>
              </w:rPr>
              <w:t>(Publication ban in case)</w:t>
            </w:r>
          </w:p>
          <w:p w:rsidR="006258DB" w:rsidRPr="00BE586A" w:rsidRDefault="006258DB" w:rsidP="006258DB">
            <w:pPr>
              <w:jc w:val="both"/>
              <w:rPr>
                <w:sz w:val="20"/>
              </w:rPr>
            </w:pPr>
          </w:p>
        </w:tc>
      </w:tr>
      <w:tr w:rsidR="006258DB" w:rsidRPr="00BE586A" w:rsidTr="00E95A6A">
        <w:tc>
          <w:tcPr>
            <w:tcW w:w="5000" w:type="pct"/>
            <w:gridSpan w:val="4"/>
          </w:tcPr>
          <w:p w:rsidR="006258DB" w:rsidRPr="00BE586A" w:rsidRDefault="006258DB" w:rsidP="006258DB">
            <w:pPr>
              <w:jc w:val="both"/>
              <w:rPr>
                <w:sz w:val="20"/>
              </w:rPr>
            </w:pPr>
            <w:r w:rsidRPr="00BE586A">
              <w:rPr>
                <w:sz w:val="20"/>
              </w:rPr>
              <w:t>Criminal law – Evidence – Assessment – Admissibility – Confessions – “Mr. Big” confessions – If a trial judge fails to consider material evidence on the ultimate issue, what is the proper approach of an appellate court – Whether the lower courts erred – Principles to apply on a Mr. Big abuse of police process application – Principles to apply in assessing the reliability of a Mr. Big confession when no traces of a crime exist.</w:t>
            </w:r>
          </w:p>
          <w:p w:rsidR="006258DB" w:rsidRPr="00BE586A" w:rsidRDefault="006258DB" w:rsidP="006258DB">
            <w:pPr>
              <w:jc w:val="both"/>
              <w:rPr>
                <w:sz w:val="20"/>
              </w:rPr>
            </w:pPr>
          </w:p>
        </w:tc>
      </w:tr>
      <w:tr w:rsidR="006258DB" w:rsidRPr="00BE586A" w:rsidTr="00E95A6A">
        <w:tc>
          <w:tcPr>
            <w:tcW w:w="5000" w:type="pct"/>
            <w:gridSpan w:val="4"/>
          </w:tcPr>
          <w:p w:rsidR="006258DB" w:rsidRPr="00BE586A" w:rsidRDefault="006258DB" w:rsidP="006258DB">
            <w:pPr>
              <w:jc w:val="both"/>
              <w:rPr>
                <w:sz w:val="20"/>
              </w:rPr>
            </w:pPr>
            <w:r w:rsidRPr="00BE586A">
              <w:rPr>
                <w:iCs/>
                <w:sz w:val="20"/>
              </w:rPr>
              <w:lastRenderedPageBreak/>
              <w:t xml:space="preserve">In the course of the police investigation into Mr. Cornish’s disappearance, the police conducted an undercover operation, often described as a “Mr. Big”. The applicant was the target of this operation. The applicant and Mr. Cornish were friends and business partners in the drug trade. The operation culminated in the applicant’s admission to Mr. Big that he disposed of Mr. Cornish’s remains after Mr. Cornish’s accidental death during the course of a struggle. The applicant was convicted of one count of interfering with human remains. </w:t>
            </w:r>
            <w:r w:rsidRPr="00BE586A">
              <w:rPr>
                <w:sz w:val="20"/>
              </w:rPr>
              <w:t>The Court of Appeal dismissed the conviction appeal.</w:t>
            </w:r>
          </w:p>
          <w:p w:rsidR="006258DB" w:rsidRPr="00BE586A" w:rsidRDefault="006258DB" w:rsidP="006258DB">
            <w:pPr>
              <w:jc w:val="both"/>
              <w:rPr>
                <w:sz w:val="20"/>
              </w:rPr>
            </w:pPr>
          </w:p>
        </w:tc>
      </w:tr>
      <w:tr w:rsidR="006258DB" w:rsidRPr="00BE586A" w:rsidTr="00E95A6A">
        <w:tc>
          <w:tcPr>
            <w:tcW w:w="2427" w:type="pct"/>
            <w:gridSpan w:val="2"/>
          </w:tcPr>
          <w:p w:rsidR="006258DB" w:rsidRPr="00BE586A" w:rsidRDefault="006258DB" w:rsidP="006258DB">
            <w:pPr>
              <w:jc w:val="both"/>
              <w:rPr>
                <w:sz w:val="20"/>
              </w:rPr>
            </w:pPr>
            <w:r w:rsidRPr="00BE586A">
              <w:rPr>
                <w:sz w:val="20"/>
              </w:rPr>
              <w:t>April 3, 2014</w:t>
            </w:r>
          </w:p>
          <w:p w:rsidR="006258DB" w:rsidRPr="00BE586A" w:rsidRDefault="006258DB" w:rsidP="006258DB">
            <w:pPr>
              <w:jc w:val="both"/>
              <w:rPr>
                <w:sz w:val="20"/>
              </w:rPr>
            </w:pPr>
            <w:r w:rsidRPr="00BE586A">
              <w:rPr>
                <w:sz w:val="20"/>
              </w:rPr>
              <w:t>Supreme Court of British Columbia</w:t>
            </w:r>
          </w:p>
          <w:p w:rsidR="006258DB" w:rsidRPr="00BE586A" w:rsidRDefault="006258DB" w:rsidP="006258DB">
            <w:pPr>
              <w:jc w:val="both"/>
              <w:rPr>
                <w:sz w:val="20"/>
              </w:rPr>
            </w:pPr>
            <w:r w:rsidRPr="00BE586A">
              <w:rPr>
                <w:sz w:val="20"/>
              </w:rPr>
              <w:t>(Bernard J.)</w:t>
            </w:r>
          </w:p>
          <w:p w:rsidR="006258DB" w:rsidRPr="00BE586A" w:rsidRDefault="006258DB" w:rsidP="006258DB">
            <w:pPr>
              <w:jc w:val="both"/>
              <w:rPr>
                <w:sz w:val="20"/>
              </w:rPr>
            </w:pPr>
            <w:r w:rsidRPr="00BE586A">
              <w:rPr>
                <w:sz w:val="20"/>
              </w:rPr>
              <w:t>2014 BCSC 1990</w:t>
            </w:r>
          </w:p>
          <w:p w:rsidR="006258DB" w:rsidRPr="00BE586A" w:rsidRDefault="006258DB" w:rsidP="006258DB">
            <w:pPr>
              <w:jc w:val="both"/>
              <w:rPr>
                <w:sz w:val="20"/>
              </w:rPr>
            </w:pPr>
          </w:p>
        </w:tc>
        <w:tc>
          <w:tcPr>
            <w:tcW w:w="243" w:type="pct"/>
          </w:tcPr>
          <w:p w:rsidR="006258DB" w:rsidRPr="00BE586A" w:rsidRDefault="006258DB" w:rsidP="006258DB">
            <w:pPr>
              <w:jc w:val="both"/>
              <w:rPr>
                <w:sz w:val="20"/>
              </w:rPr>
            </w:pPr>
          </w:p>
        </w:tc>
        <w:tc>
          <w:tcPr>
            <w:tcW w:w="2330" w:type="pct"/>
          </w:tcPr>
          <w:p w:rsidR="006258DB" w:rsidRPr="00BE586A" w:rsidRDefault="006258DB" w:rsidP="006258DB">
            <w:pPr>
              <w:jc w:val="both"/>
              <w:rPr>
                <w:sz w:val="20"/>
              </w:rPr>
            </w:pPr>
            <w:r w:rsidRPr="00BE586A">
              <w:rPr>
                <w:sz w:val="20"/>
              </w:rPr>
              <w:t>Conviction for one count of interfering with human remains</w:t>
            </w:r>
          </w:p>
          <w:p w:rsidR="006258DB" w:rsidRPr="00BE586A" w:rsidRDefault="006258DB" w:rsidP="006258DB">
            <w:pPr>
              <w:jc w:val="both"/>
              <w:rPr>
                <w:sz w:val="20"/>
              </w:rPr>
            </w:pPr>
          </w:p>
          <w:p w:rsidR="006258DB" w:rsidRPr="00BE586A" w:rsidRDefault="006258DB" w:rsidP="006258DB">
            <w:pPr>
              <w:jc w:val="both"/>
              <w:rPr>
                <w:sz w:val="20"/>
              </w:rPr>
            </w:pPr>
          </w:p>
        </w:tc>
      </w:tr>
      <w:tr w:rsidR="006258DB" w:rsidRPr="00BE586A" w:rsidTr="00E95A6A">
        <w:tc>
          <w:tcPr>
            <w:tcW w:w="2427" w:type="pct"/>
            <w:gridSpan w:val="2"/>
          </w:tcPr>
          <w:p w:rsidR="006258DB" w:rsidRPr="00BE586A" w:rsidRDefault="006258DB" w:rsidP="006258DB">
            <w:pPr>
              <w:jc w:val="both"/>
              <w:rPr>
                <w:sz w:val="20"/>
              </w:rPr>
            </w:pPr>
            <w:r w:rsidRPr="00BE586A">
              <w:rPr>
                <w:sz w:val="20"/>
              </w:rPr>
              <w:t>March 16, 2016</w:t>
            </w:r>
          </w:p>
          <w:p w:rsidR="006258DB" w:rsidRPr="00BE586A" w:rsidRDefault="006258DB" w:rsidP="006258DB">
            <w:pPr>
              <w:jc w:val="both"/>
              <w:rPr>
                <w:sz w:val="20"/>
              </w:rPr>
            </w:pPr>
            <w:r w:rsidRPr="00BE586A">
              <w:rPr>
                <w:sz w:val="20"/>
              </w:rPr>
              <w:t xml:space="preserve">Court of Appeal for British Columbia </w:t>
            </w:r>
          </w:p>
          <w:p w:rsidR="006258DB" w:rsidRPr="00BE586A" w:rsidRDefault="006258DB" w:rsidP="006258DB">
            <w:pPr>
              <w:jc w:val="both"/>
              <w:rPr>
                <w:sz w:val="20"/>
              </w:rPr>
            </w:pPr>
            <w:r w:rsidRPr="00BE586A">
              <w:rPr>
                <w:sz w:val="20"/>
              </w:rPr>
              <w:t>(Vancouver)</w:t>
            </w:r>
          </w:p>
          <w:p w:rsidR="006258DB" w:rsidRPr="00BE586A" w:rsidRDefault="006258DB" w:rsidP="006258DB">
            <w:pPr>
              <w:jc w:val="both"/>
              <w:rPr>
                <w:sz w:val="20"/>
              </w:rPr>
            </w:pPr>
            <w:r w:rsidRPr="00BE586A">
              <w:rPr>
                <w:sz w:val="20"/>
              </w:rPr>
              <w:t xml:space="preserve">(Bauman C.J., Saunders and </w:t>
            </w:r>
            <w:proofErr w:type="spellStart"/>
            <w:r w:rsidRPr="00BE586A">
              <w:rPr>
                <w:sz w:val="20"/>
              </w:rPr>
              <w:t>Willcock</w:t>
            </w:r>
            <w:proofErr w:type="spellEnd"/>
            <w:r w:rsidRPr="00BE586A">
              <w:rPr>
                <w:sz w:val="20"/>
              </w:rPr>
              <w:t xml:space="preserve"> JJ.A.)</w:t>
            </w:r>
          </w:p>
          <w:p w:rsidR="006258DB" w:rsidRPr="00BE586A" w:rsidRDefault="006258DB" w:rsidP="006258DB">
            <w:pPr>
              <w:jc w:val="both"/>
              <w:rPr>
                <w:sz w:val="20"/>
              </w:rPr>
            </w:pPr>
            <w:r w:rsidRPr="00BE586A">
              <w:rPr>
                <w:sz w:val="20"/>
              </w:rPr>
              <w:t>2016 BCCA 125; CA42479</w:t>
            </w:r>
          </w:p>
          <w:p w:rsidR="006258DB" w:rsidRPr="00BE586A" w:rsidRDefault="00004558" w:rsidP="006258DB">
            <w:pPr>
              <w:jc w:val="both"/>
              <w:rPr>
                <w:sz w:val="20"/>
              </w:rPr>
            </w:pPr>
            <w:hyperlink r:id="rId15" w:history="1">
              <w:r w:rsidR="006258DB" w:rsidRPr="00BE586A">
                <w:rPr>
                  <w:rStyle w:val="Hyperlink"/>
                  <w:rFonts w:eastAsiaTheme="majorEastAsia"/>
                  <w:sz w:val="20"/>
                </w:rPr>
                <w:t>http://canlii.ca/t/gnqqk</w:t>
              </w:r>
            </w:hyperlink>
          </w:p>
          <w:p w:rsidR="006258DB" w:rsidRPr="00BE586A" w:rsidRDefault="006258DB" w:rsidP="006258DB">
            <w:pPr>
              <w:jc w:val="both"/>
              <w:rPr>
                <w:sz w:val="20"/>
              </w:rPr>
            </w:pPr>
          </w:p>
        </w:tc>
        <w:tc>
          <w:tcPr>
            <w:tcW w:w="243" w:type="pct"/>
          </w:tcPr>
          <w:p w:rsidR="006258DB" w:rsidRPr="00BE586A" w:rsidRDefault="006258DB" w:rsidP="006258DB">
            <w:pPr>
              <w:jc w:val="both"/>
              <w:rPr>
                <w:sz w:val="20"/>
              </w:rPr>
            </w:pPr>
          </w:p>
        </w:tc>
        <w:tc>
          <w:tcPr>
            <w:tcW w:w="2330" w:type="pct"/>
          </w:tcPr>
          <w:p w:rsidR="006258DB" w:rsidRPr="00BE586A" w:rsidRDefault="006258DB" w:rsidP="006258DB">
            <w:pPr>
              <w:jc w:val="both"/>
              <w:rPr>
                <w:sz w:val="20"/>
              </w:rPr>
            </w:pPr>
            <w:r w:rsidRPr="00BE586A">
              <w:rPr>
                <w:sz w:val="20"/>
              </w:rPr>
              <w:t>Conviction appeal dismissed</w:t>
            </w:r>
          </w:p>
          <w:p w:rsidR="006258DB" w:rsidRPr="00BE586A" w:rsidRDefault="006258DB" w:rsidP="006258DB">
            <w:pPr>
              <w:jc w:val="both"/>
              <w:rPr>
                <w:sz w:val="20"/>
              </w:rPr>
            </w:pPr>
          </w:p>
          <w:p w:rsidR="006258DB" w:rsidRPr="00BE586A" w:rsidRDefault="006258DB" w:rsidP="006258DB">
            <w:pPr>
              <w:jc w:val="both"/>
              <w:rPr>
                <w:sz w:val="20"/>
              </w:rPr>
            </w:pPr>
          </w:p>
        </w:tc>
      </w:tr>
      <w:tr w:rsidR="006258DB" w:rsidRPr="00BE586A" w:rsidTr="00E95A6A">
        <w:tc>
          <w:tcPr>
            <w:tcW w:w="2427" w:type="pct"/>
            <w:gridSpan w:val="2"/>
          </w:tcPr>
          <w:p w:rsidR="006258DB" w:rsidRPr="00BE586A" w:rsidRDefault="006258DB" w:rsidP="006258DB">
            <w:pPr>
              <w:jc w:val="both"/>
              <w:rPr>
                <w:sz w:val="20"/>
              </w:rPr>
            </w:pPr>
            <w:r w:rsidRPr="00BE586A">
              <w:rPr>
                <w:sz w:val="20"/>
              </w:rPr>
              <w:t>April 27, 2016</w:t>
            </w:r>
          </w:p>
          <w:p w:rsidR="006258DB" w:rsidRPr="00BE586A" w:rsidRDefault="006258DB" w:rsidP="006258DB">
            <w:pPr>
              <w:jc w:val="both"/>
              <w:rPr>
                <w:sz w:val="20"/>
              </w:rPr>
            </w:pPr>
            <w:r w:rsidRPr="00BE586A">
              <w:rPr>
                <w:sz w:val="20"/>
              </w:rPr>
              <w:t>Supreme Court of Canada</w:t>
            </w:r>
          </w:p>
        </w:tc>
        <w:tc>
          <w:tcPr>
            <w:tcW w:w="243" w:type="pct"/>
          </w:tcPr>
          <w:p w:rsidR="006258DB" w:rsidRPr="00BE586A" w:rsidRDefault="006258DB" w:rsidP="006258DB">
            <w:pPr>
              <w:jc w:val="both"/>
              <w:rPr>
                <w:sz w:val="20"/>
              </w:rPr>
            </w:pPr>
          </w:p>
        </w:tc>
        <w:tc>
          <w:tcPr>
            <w:tcW w:w="2330" w:type="pct"/>
          </w:tcPr>
          <w:p w:rsidR="006258DB" w:rsidRPr="00BE586A" w:rsidRDefault="006258DB" w:rsidP="006258DB">
            <w:pPr>
              <w:jc w:val="both"/>
              <w:rPr>
                <w:sz w:val="20"/>
              </w:rPr>
            </w:pPr>
            <w:r w:rsidRPr="00BE586A">
              <w:rPr>
                <w:sz w:val="20"/>
              </w:rPr>
              <w:t>Application for leave to appeal filed</w:t>
            </w:r>
          </w:p>
          <w:p w:rsidR="006258DB" w:rsidRPr="00BE586A" w:rsidRDefault="006258DB" w:rsidP="006258DB">
            <w:pPr>
              <w:jc w:val="both"/>
              <w:rPr>
                <w:sz w:val="20"/>
              </w:rPr>
            </w:pPr>
          </w:p>
        </w:tc>
      </w:tr>
    </w:tbl>
    <w:p w:rsidR="006258DB" w:rsidRPr="00BE586A" w:rsidRDefault="006258DB" w:rsidP="006258DB">
      <w:pPr>
        <w:jc w:val="both"/>
        <w:rPr>
          <w:sz w:val="20"/>
        </w:rPr>
      </w:pPr>
    </w:p>
    <w:p w:rsidR="006258DB" w:rsidRPr="00BE586A" w:rsidRDefault="006258DB" w:rsidP="006258D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258DB" w:rsidRPr="00BE586A" w:rsidTr="00E95A6A">
        <w:tc>
          <w:tcPr>
            <w:tcW w:w="543" w:type="pct"/>
          </w:tcPr>
          <w:p w:rsidR="006258DB" w:rsidRPr="00BE586A" w:rsidRDefault="006258DB" w:rsidP="006258DB">
            <w:pPr>
              <w:jc w:val="both"/>
              <w:rPr>
                <w:sz w:val="20"/>
                <w:lang w:val="fr-CA"/>
              </w:rPr>
            </w:pPr>
            <w:r w:rsidRPr="00BE586A">
              <w:rPr>
                <w:rStyle w:val="SCCFileNumberChar"/>
                <w:sz w:val="20"/>
                <w:szCs w:val="20"/>
                <w:lang w:val="fr-CA"/>
              </w:rPr>
              <w:t>36979</w:t>
            </w:r>
          </w:p>
        </w:tc>
        <w:tc>
          <w:tcPr>
            <w:tcW w:w="4457" w:type="pct"/>
            <w:gridSpan w:val="3"/>
          </w:tcPr>
          <w:p w:rsidR="006258DB" w:rsidRPr="00BE586A" w:rsidRDefault="006258DB" w:rsidP="006258DB">
            <w:pPr>
              <w:pStyle w:val="SCCLsocParty"/>
              <w:jc w:val="both"/>
              <w:rPr>
                <w:b/>
                <w:sz w:val="20"/>
                <w:szCs w:val="20"/>
              </w:rPr>
            </w:pPr>
            <w:r w:rsidRPr="00BE586A">
              <w:rPr>
                <w:b/>
                <w:sz w:val="20"/>
                <w:szCs w:val="20"/>
              </w:rPr>
              <w:t>Darin Andrew Randle c. Sa Majesté la Reine</w:t>
            </w:r>
          </w:p>
          <w:p w:rsidR="006258DB" w:rsidRPr="00BE586A" w:rsidRDefault="006258DB" w:rsidP="006258DB">
            <w:pPr>
              <w:jc w:val="both"/>
              <w:rPr>
                <w:sz w:val="20"/>
                <w:lang w:val="fr-CA"/>
              </w:rPr>
            </w:pPr>
            <w:r w:rsidRPr="00BE586A">
              <w:rPr>
                <w:sz w:val="20"/>
                <w:lang w:val="fr-CA"/>
              </w:rPr>
              <w:t>(C.-B.) (Criminelle) (Sur autorisation)</w:t>
            </w:r>
          </w:p>
        </w:tc>
      </w:tr>
      <w:tr w:rsidR="006258DB" w:rsidRPr="00BE586A" w:rsidTr="00E95A6A">
        <w:tc>
          <w:tcPr>
            <w:tcW w:w="5000" w:type="pct"/>
            <w:gridSpan w:val="4"/>
          </w:tcPr>
          <w:p w:rsidR="006258DB" w:rsidRPr="00BE586A" w:rsidRDefault="006258DB" w:rsidP="006258DB">
            <w:pPr>
              <w:pStyle w:val="SCCBanSummary"/>
              <w:rPr>
                <w:sz w:val="20"/>
                <w:szCs w:val="20"/>
                <w:lang w:val="fr-CA"/>
              </w:rPr>
            </w:pPr>
            <w:r w:rsidRPr="00BE586A">
              <w:rPr>
                <w:sz w:val="20"/>
                <w:szCs w:val="20"/>
                <w:lang w:val="fr-CA"/>
              </w:rPr>
              <w:t>(Ordonnance de non-publication dans le dossier)</w:t>
            </w:r>
          </w:p>
          <w:p w:rsidR="006258DB" w:rsidRPr="00BE586A" w:rsidRDefault="006258DB" w:rsidP="006258DB">
            <w:pPr>
              <w:jc w:val="both"/>
              <w:rPr>
                <w:sz w:val="20"/>
                <w:lang w:val="fr-CA"/>
              </w:rPr>
            </w:pPr>
          </w:p>
        </w:tc>
      </w:tr>
      <w:tr w:rsidR="006258DB" w:rsidRPr="00BE586A" w:rsidTr="00E95A6A">
        <w:tc>
          <w:tcPr>
            <w:tcW w:w="5000" w:type="pct"/>
            <w:gridSpan w:val="4"/>
          </w:tcPr>
          <w:p w:rsidR="006258DB" w:rsidRPr="00BE586A" w:rsidRDefault="006258DB" w:rsidP="006258DB">
            <w:pPr>
              <w:jc w:val="both"/>
              <w:rPr>
                <w:sz w:val="20"/>
                <w:lang w:val="fr-CA"/>
              </w:rPr>
            </w:pPr>
            <w:r w:rsidRPr="00BE586A">
              <w:rPr>
                <w:sz w:val="20"/>
                <w:lang w:val="fr-CA"/>
              </w:rPr>
              <w:t>Droit criminel – Preuve – Appréciation – Admissibilité - Aveux – Aveux issus d’une opération « Monsieur Big » – Si le juge du procès omet de prendre en considération un élément de preuve substantielle portant sur la question déterminante, quelle approche doit prendre le tribunal d’appel? – Les juridictions inférieures ont-elles commis des erreurs? – Principes applicables à une demande fondée sur un abus des policiers au cours d’une opération Monsieur Big – Principes applicables à l’appréciation de la fiabilité d’un aveu issu d’une opération Monsieur Big lorsqu’il n’existe aucune trace de crime.</w:t>
            </w:r>
          </w:p>
          <w:p w:rsidR="006258DB" w:rsidRPr="00BE586A" w:rsidRDefault="006258DB" w:rsidP="006258DB">
            <w:pPr>
              <w:jc w:val="both"/>
              <w:rPr>
                <w:sz w:val="20"/>
                <w:lang w:val="fr-CA"/>
              </w:rPr>
            </w:pPr>
          </w:p>
        </w:tc>
      </w:tr>
      <w:tr w:rsidR="006258DB" w:rsidRPr="00BE586A" w:rsidTr="00E95A6A">
        <w:tc>
          <w:tcPr>
            <w:tcW w:w="5000" w:type="pct"/>
            <w:gridSpan w:val="4"/>
          </w:tcPr>
          <w:p w:rsidR="006258DB" w:rsidRPr="00BE586A" w:rsidRDefault="006258DB" w:rsidP="006258DB">
            <w:pPr>
              <w:jc w:val="both"/>
              <w:rPr>
                <w:sz w:val="20"/>
                <w:lang w:val="fr-CA"/>
              </w:rPr>
            </w:pPr>
            <w:r w:rsidRPr="00BE586A">
              <w:rPr>
                <w:iCs/>
                <w:sz w:val="20"/>
                <w:lang w:val="fr-CA"/>
              </w:rPr>
              <w:t>Dans le cadre d’une enquête policière portant sur la disparition de M. </w:t>
            </w:r>
            <w:proofErr w:type="spellStart"/>
            <w:r w:rsidRPr="00BE586A">
              <w:rPr>
                <w:iCs/>
                <w:sz w:val="20"/>
                <w:lang w:val="fr-CA"/>
              </w:rPr>
              <w:t>Cornish</w:t>
            </w:r>
            <w:proofErr w:type="spellEnd"/>
            <w:r w:rsidRPr="00BE586A">
              <w:rPr>
                <w:iCs/>
                <w:sz w:val="20"/>
                <w:lang w:val="fr-CA"/>
              </w:rPr>
              <w:t>, les policiers ont effectué une opération d’infiltration, couramment appelée « opération Monsieur Big ». Le demandeur était la cible de cette opération. Le demandeur et M. Cornish étaient amis et partenaires d’affaires dans le trafic de la drogue. Au terme de l’opération, le demandeur a avoué avoir éliminé les restes de M. </w:t>
            </w:r>
            <w:proofErr w:type="spellStart"/>
            <w:r w:rsidRPr="00BE586A">
              <w:rPr>
                <w:iCs/>
                <w:sz w:val="20"/>
                <w:lang w:val="fr-CA"/>
              </w:rPr>
              <w:t>Cornish</w:t>
            </w:r>
            <w:proofErr w:type="spellEnd"/>
            <w:r w:rsidRPr="00BE586A">
              <w:rPr>
                <w:iCs/>
                <w:sz w:val="20"/>
                <w:lang w:val="fr-CA"/>
              </w:rPr>
              <w:t xml:space="preserve"> après le décès accidentel de ce dernier au cours d’une bagarre. Le demandeur a été déclaré coupable d’un chef d’accusation d’outrage envers des restes humains. La Cour d’appel a rejeté l’appel de la déclaration de culpabilité.</w:t>
            </w:r>
          </w:p>
          <w:p w:rsidR="006258DB" w:rsidRPr="00BE586A" w:rsidRDefault="006258DB" w:rsidP="006258DB">
            <w:pPr>
              <w:jc w:val="both"/>
              <w:rPr>
                <w:sz w:val="20"/>
                <w:lang w:val="fr-CA"/>
              </w:rPr>
            </w:pPr>
          </w:p>
        </w:tc>
      </w:tr>
      <w:tr w:rsidR="006258DB" w:rsidRPr="00BE586A" w:rsidTr="00E95A6A">
        <w:tc>
          <w:tcPr>
            <w:tcW w:w="2427" w:type="pct"/>
            <w:gridSpan w:val="2"/>
          </w:tcPr>
          <w:p w:rsidR="006258DB" w:rsidRPr="00BE586A" w:rsidRDefault="006258DB" w:rsidP="006258DB">
            <w:pPr>
              <w:jc w:val="both"/>
              <w:rPr>
                <w:sz w:val="20"/>
                <w:lang w:val="fr-CA"/>
              </w:rPr>
            </w:pPr>
            <w:r w:rsidRPr="00BE586A">
              <w:rPr>
                <w:sz w:val="20"/>
                <w:lang w:val="fr-CA"/>
              </w:rPr>
              <w:t>3 avril 2014</w:t>
            </w:r>
          </w:p>
          <w:p w:rsidR="006258DB" w:rsidRPr="00BE586A" w:rsidRDefault="006258DB" w:rsidP="006258DB">
            <w:pPr>
              <w:jc w:val="both"/>
              <w:rPr>
                <w:sz w:val="20"/>
                <w:lang w:val="fr-CA"/>
              </w:rPr>
            </w:pPr>
            <w:r w:rsidRPr="00BE586A">
              <w:rPr>
                <w:sz w:val="20"/>
                <w:lang w:val="fr-CA"/>
              </w:rPr>
              <w:t>Cour suprême de la Colombie-Britannique</w:t>
            </w:r>
          </w:p>
          <w:p w:rsidR="006258DB" w:rsidRPr="00BE586A" w:rsidRDefault="006258DB" w:rsidP="006258DB">
            <w:pPr>
              <w:jc w:val="both"/>
              <w:rPr>
                <w:sz w:val="20"/>
                <w:lang w:val="fr-CA"/>
              </w:rPr>
            </w:pPr>
            <w:r w:rsidRPr="00BE586A">
              <w:rPr>
                <w:sz w:val="20"/>
                <w:lang w:val="fr-CA"/>
              </w:rPr>
              <w:t>(Juge Bernard)</w:t>
            </w:r>
          </w:p>
          <w:p w:rsidR="006258DB" w:rsidRPr="00BE586A" w:rsidRDefault="006258DB" w:rsidP="006258DB">
            <w:pPr>
              <w:jc w:val="both"/>
              <w:rPr>
                <w:sz w:val="20"/>
                <w:lang w:val="fr-CA"/>
              </w:rPr>
            </w:pPr>
            <w:r w:rsidRPr="00BE586A">
              <w:rPr>
                <w:sz w:val="20"/>
                <w:lang w:val="fr-CA"/>
              </w:rPr>
              <w:t>2014 BCSC 1990</w:t>
            </w:r>
          </w:p>
          <w:p w:rsidR="006258DB" w:rsidRPr="00BE586A" w:rsidRDefault="006258DB" w:rsidP="006258DB">
            <w:pPr>
              <w:jc w:val="both"/>
              <w:rPr>
                <w:sz w:val="20"/>
                <w:lang w:val="fr-CA"/>
              </w:rPr>
            </w:pPr>
          </w:p>
        </w:tc>
        <w:tc>
          <w:tcPr>
            <w:tcW w:w="243" w:type="pct"/>
          </w:tcPr>
          <w:p w:rsidR="006258DB" w:rsidRPr="00BE586A" w:rsidRDefault="006258DB" w:rsidP="006258DB">
            <w:pPr>
              <w:jc w:val="both"/>
              <w:rPr>
                <w:sz w:val="20"/>
                <w:lang w:val="fr-CA"/>
              </w:rPr>
            </w:pPr>
          </w:p>
        </w:tc>
        <w:tc>
          <w:tcPr>
            <w:tcW w:w="2330" w:type="pct"/>
          </w:tcPr>
          <w:p w:rsidR="006258DB" w:rsidRPr="00BE586A" w:rsidRDefault="006258DB" w:rsidP="006258DB">
            <w:pPr>
              <w:jc w:val="both"/>
              <w:rPr>
                <w:sz w:val="20"/>
                <w:lang w:val="fr-CA"/>
              </w:rPr>
            </w:pPr>
            <w:r w:rsidRPr="00BE586A">
              <w:rPr>
                <w:sz w:val="20"/>
                <w:lang w:val="fr-CA"/>
              </w:rPr>
              <w:t>Déclaration de culpabilité d’un chef d’accusation d’outrage envers des restes humains</w:t>
            </w:r>
          </w:p>
          <w:p w:rsidR="006258DB" w:rsidRPr="00BE586A" w:rsidRDefault="006258DB" w:rsidP="006258DB">
            <w:pPr>
              <w:jc w:val="both"/>
              <w:rPr>
                <w:sz w:val="20"/>
                <w:lang w:val="fr-CA"/>
              </w:rPr>
            </w:pPr>
          </w:p>
        </w:tc>
      </w:tr>
      <w:tr w:rsidR="006258DB" w:rsidRPr="00BE586A" w:rsidTr="00E95A6A">
        <w:tc>
          <w:tcPr>
            <w:tcW w:w="2427" w:type="pct"/>
            <w:gridSpan w:val="2"/>
          </w:tcPr>
          <w:p w:rsidR="006258DB" w:rsidRPr="00BE586A" w:rsidRDefault="006258DB" w:rsidP="006258DB">
            <w:pPr>
              <w:jc w:val="both"/>
              <w:rPr>
                <w:sz w:val="20"/>
                <w:lang w:val="fr-CA"/>
              </w:rPr>
            </w:pPr>
            <w:r w:rsidRPr="00BE586A">
              <w:rPr>
                <w:sz w:val="20"/>
                <w:lang w:val="fr-CA"/>
              </w:rPr>
              <w:t>16 mars 2016</w:t>
            </w:r>
          </w:p>
          <w:p w:rsidR="006258DB" w:rsidRPr="00BE586A" w:rsidRDefault="006258DB" w:rsidP="006258DB">
            <w:pPr>
              <w:jc w:val="both"/>
              <w:rPr>
                <w:sz w:val="20"/>
                <w:lang w:val="fr-CA"/>
              </w:rPr>
            </w:pPr>
            <w:r w:rsidRPr="00BE586A">
              <w:rPr>
                <w:sz w:val="20"/>
                <w:lang w:val="fr-CA"/>
              </w:rPr>
              <w:t xml:space="preserve">Cour d’appel de la Colombie-Britannique </w:t>
            </w:r>
          </w:p>
          <w:p w:rsidR="006258DB" w:rsidRPr="00BE586A" w:rsidRDefault="006258DB" w:rsidP="006258DB">
            <w:pPr>
              <w:jc w:val="both"/>
              <w:rPr>
                <w:sz w:val="20"/>
                <w:lang w:val="fr-CA"/>
              </w:rPr>
            </w:pPr>
            <w:r w:rsidRPr="00BE586A">
              <w:rPr>
                <w:sz w:val="20"/>
                <w:lang w:val="fr-CA"/>
              </w:rPr>
              <w:t>(Vancouver)</w:t>
            </w:r>
          </w:p>
          <w:p w:rsidR="006258DB" w:rsidRPr="00BE586A" w:rsidRDefault="006258DB" w:rsidP="006258DB">
            <w:pPr>
              <w:jc w:val="both"/>
              <w:rPr>
                <w:sz w:val="20"/>
                <w:lang w:val="fr-CA"/>
              </w:rPr>
            </w:pPr>
            <w:r w:rsidRPr="00BE586A">
              <w:rPr>
                <w:sz w:val="20"/>
                <w:lang w:val="fr-CA"/>
              </w:rPr>
              <w:t>(Juge en chef Bauman, juges Saunders et Willcock)</w:t>
            </w:r>
          </w:p>
          <w:p w:rsidR="006258DB" w:rsidRPr="00BE586A" w:rsidRDefault="006258DB" w:rsidP="006258DB">
            <w:pPr>
              <w:jc w:val="both"/>
              <w:rPr>
                <w:sz w:val="20"/>
              </w:rPr>
            </w:pPr>
            <w:r w:rsidRPr="00BE586A">
              <w:rPr>
                <w:sz w:val="20"/>
              </w:rPr>
              <w:lastRenderedPageBreak/>
              <w:t>2016 BCCA 125; CA42479</w:t>
            </w:r>
          </w:p>
          <w:p w:rsidR="006258DB" w:rsidRPr="00BE586A" w:rsidRDefault="00004558" w:rsidP="006258DB">
            <w:pPr>
              <w:jc w:val="both"/>
              <w:rPr>
                <w:sz w:val="20"/>
              </w:rPr>
            </w:pPr>
            <w:hyperlink r:id="rId16" w:history="1">
              <w:r w:rsidR="006258DB" w:rsidRPr="00BE586A">
                <w:rPr>
                  <w:rStyle w:val="Hyperlink"/>
                  <w:rFonts w:eastAsiaTheme="majorEastAsia"/>
                  <w:sz w:val="20"/>
                </w:rPr>
                <w:t>http://canlii.ca/t/gnqqk</w:t>
              </w:r>
            </w:hyperlink>
          </w:p>
          <w:p w:rsidR="006258DB" w:rsidRPr="00BE586A" w:rsidRDefault="006258DB" w:rsidP="006258DB">
            <w:pPr>
              <w:jc w:val="both"/>
              <w:rPr>
                <w:sz w:val="20"/>
              </w:rPr>
            </w:pPr>
          </w:p>
        </w:tc>
        <w:tc>
          <w:tcPr>
            <w:tcW w:w="243" w:type="pct"/>
          </w:tcPr>
          <w:p w:rsidR="006258DB" w:rsidRPr="00BE586A" w:rsidRDefault="006258DB" w:rsidP="006258DB">
            <w:pPr>
              <w:jc w:val="both"/>
              <w:rPr>
                <w:sz w:val="20"/>
              </w:rPr>
            </w:pPr>
          </w:p>
        </w:tc>
        <w:tc>
          <w:tcPr>
            <w:tcW w:w="2330" w:type="pct"/>
          </w:tcPr>
          <w:p w:rsidR="006258DB" w:rsidRPr="00BE586A" w:rsidRDefault="006258DB" w:rsidP="006258DB">
            <w:pPr>
              <w:jc w:val="both"/>
              <w:rPr>
                <w:sz w:val="20"/>
                <w:lang w:val="fr-CA"/>
              </w:rPr>
            </w:pPr>
            <w:r w:rsidRPr="00BE586A">
              <w:rPr>
                <w:sz w:val="20"/>
                <w:lang w:val="fr-CA"/>
              </w:rPr>
              <w:t>Rejet de l’appel de la déclaration de culpabilité</w:t>
            </w:r>
          </w:p>
          <w:p w:rsidR="006258DB" w:rsidRPr="00BE586A" w:rsidRDefault="006258DB" w:rsidP="006258DB">
            <w:pPr>
              <w:jc w:val="both"/>
              <w:rPr>
                <w:sz w:val="20"/>
                <w:lang w:val="fr-CA"/>
              </w:rPr>
            </w:pPr>
          </w:p>
        </w:tc>
      </w:tr>
      <w:tr w:rsidR="006258DB" w:rsidRPr="00BE586A" w:rsidTr="00E95A6A">
        <w:tc>
          <w:tcPr>
            <w:tcW w:w="2427" w:type="pct"/>
            <w:gridSpan w:val="2"/>
          </w:tcPr>
          <w:p w:rsidR="006258DB" w:rsidRPr="00BE586A" w:rsidRDefault="006258DB" w:rsidP="006258DB">
            <w:pPr>
              <w:jc w:val="both"/>
              <w:rPr>
                <w:sz w:val="20"/>
                <w:lang w:val="fr-CA"/>
              </w:rPr>
            </w:pPr>
            <w:r w:rsidRPr="00BE586A">
              <w:rPr>
                <w:sz w:val="20"/>
                <w:lang w:val="fr-CA"/>
              </w:rPr>
              <w:t>27 avril 2016</w:t>
            </w:r>
          </w:p>
          <w:p w:rsidR="006258DB" w:rsidRPr="00BE586A" w:rsidRDefault="006258DB" w:rsidP="006258DB">
            <w:pPr>
              <w:jc w:val="both"/>
              <w:rPr>
                <w:sz w:val="20"/>
                <w:lang w:val="fr-CA"/>
              </w:rPr>
            </w:pPr>
            <w:r w:rsidRPr="00BE586A">
              <w:rPr>
                <w:sz w:val="20"/>
                <w:lang w:val="fr-CA"/>
              </w:rPr>
              <w:t>Cour suprême du Canada</w:t>
            </w:r>
          </w:p>
        </w:tc>
        <w:tc>
          <w:tcPr>
            <w:tcW w:w="243" w:type="pct"/>
          </w:tcPr>
          <w:p w:rsidR="006258DB" w:rsidRPr="00BE586A" w:rsidRDefault="006258DB" w:rsidP="006258DB">
            <w:pPr>
              <w:jc w:val="both"/>
              <w:rPr>
                <w:sz w:val="20"/>
                <w:lang w:val="fr-CA"/>
              </w:rPr>
            </w:pPr>
          </w:p>
        </w:tc>
        <w:tc>
          <w:tcPr>
            <w:tcW w:w="2330" w:type="pct"/>
          </w:tcPr>
          <w:p w:rsidR="006258DB" w:rsidRPr="00BE586A" w:rsidRDefault="006258DB" w:rsidP="006258DB">
            <w:pPr>
              <w:jc w:val="both"/>
              <w:rPr>
                <w:sz w:val="20"/>
                <w:lang w:val="fr-CA"/>
              </w:rPr>
            </w:pPr>
            <w:r w:rsidRPr="00BE586A">
              <w:rPr>
                <w:sz w:val="20"/>
                <w:lang w:val="fr-CA"/>
              </w:rPr>
              <w:t>Dépôt de la demande d’autorisation d’appel</w:t>
            </w:r>
          </w:p>
          <w:p w:rsidR="006258DB" w:rsidRPr="00BE586A" w:rsidRDefault="006258DB" w:rsidP="006258DB">
            <w:pPr>
              <w:jc w:val="both"/>
              <w:rPr>
                <w:sz w:val="20"/>
                <w:lang w:val="fr-CA"/>
              </w:rPr>
            </w:pPr>
          </w:p>
        </w:tc>
      </w:tr>
    </w:tbl>
    <w:p w:rsidR="006258DB" w:rsidRPr="00BE586A" w:rsidRDefault="006258DB" w:rsidP="006258DB">
      <w:pPr>
        <w:jc w:val="both"/>
        <w:rPr>
          <w:sz w:val="20"/>
          <w:lang w:val="fr-CA"/>
        </w:rPr>
      </w:pPr>
    </w:p>
    <w:p w:rsidR="00E61777" w:rsidRPr="00BE586A" w:rsidRDefault="00E61777" w:rsidP="005D3C37">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3C37" w:rsidRPr="00BE586A" w:rsidTr="00E95A6A">
        <w:tc>
          <w:tcPr>
            <w:tcW w:w="543" w:type="pct"/>
          </w:tcPr>
          <w:p w:rsidR="005D3C37" w:rsidRPr="00BE586A" w:rsidRDefault="005D3C37" w:rsidP="005D3C37">
            <w:pPr>
              <w:jc w:val="both"/>
              <w:rPr>
                <w:sz w:val="20"/>
              </w:rPr>
            </w:pPr>
            <w:r w:rsidRPr="00BE586A">
              <w:rPr>
                <w:rStyle w:val="SCCFileNumberChar"/>
                <w:sz w:val="20"/>
                <w:szCs w:val="20"/>
              </w:rPr>
              <w:t>36965</w:t>
            </w:r>
          </w:p>
        </w:tc>
        <w:tc>
          <w:tcPr>
            <w:tcW w:w="4457" w:type="pct"/>
            <w:gridSpan w:val="3"/>
          </w:tcPr>
          <w:p w:rsidR="005D3C37" w:rsidRPr="00BE586A" w:rsidRDefault="005D3C37" w:rsidP="005D3C37">
            <w:pPr>
              <w:pStyle w:val="SCCLsocParty"/>
              <w:jc w:val="both"/>
              <w:rPr>
                <w:b/>
                <w:sz w:val="20"/>
                <w:szCs w:val="20"/>
              </w:rPr>
            </w:pPr>
            <w:proofErr w:type="spellStart"/>
            <w:r w:rsidRPr="00BE586A">
              <w:rPr>
                <w:b/>
                <w:sz w:val="20"/>
                <w:szCs w:val="20"/>
              </w:rPr>
              <w:t>Dheeraj</w:t>
            </w:r>
            <w:proofErr w:type="spellEnd"/>
            <w:r w:rsidRPr="00BE586A">
              <w:rPr>
                <w:b/>
                <w:sz w:val="20"/>
                <w:szCs w:val="20"/>
              </w:rPr>
              <w:t xml:space="preserve"> Kumar Mittal v. Minister of Health</w:t>
            </w:r>
          </w:p>
          <w:p w:rsidR="005D3C37" w:rsidRPr="00BE586A" w:rsidRDefault="005D3C37" w:rsidP="005D3C37">
            <w:pPr>
              <w:jc w:val="both"/>
              <w:rPr>
                <w:sz w:val="20"/>
              </w:rPr>
            </w:pPr>
            <w:r w:rsidRPr="00BE586A">
              <w:rPr>
                <w:sz w:val="20"/>
              </w:rPr>
              <w:t>(FC) (Civil) (By Leave)</w:t>
            </w:r>
          </w:p>
        </w:tc>
      </w:tr>
      <w:tr w:rsidR="005D3C37" w:rsidRPr="00BE586A" w:rsidTr="00E95A6A">
        <w:tc>
          <w:tcPr>
            <w:tcW w:w="5000" w:type="pct"/>
            <w:gridSpan w:val="4"/>
          </w:tcPr>
          <w:p w:rsidR="005D3C37" w:rsidRPr="00BE586A" w:rsidRDefault="005D3C37" w:rsidP="005D3C37">
            <w:pPr>
              <w:jc w:val="both"/>
              <w:rPr>
                <w:sz w:val="20"/>
              </w:rPr>
            </w:pPr>
            <w:r w:rsidRPr="00BE586A">
              <w:rPr>
                <w:sz w:val="20"/>
              </w:rPr>
              <w:t>Administrative law – Judicial review – Bias – Procedural fairness – What is the proper test for bias on judicial review, how is that test to be applied, and, to what extent must a biased decision-maker be involved in the decision-making process before the decision can be considered tainted – Whether decision tainted by procedural unfairness?</w:t>
            </w:r>
          </w:p>
        </w:tc>
      </w:tr>
      <w:tr w:rsidR="005D3C37" w:rsidRPr="00BE586A" w:rsidTr="00E95A6A">
        <w:tc>
          <w:tcPr>
            <w:tcW w:w="5000" w:type="pct"/>
            <w:gridSpan w:val="4"/>
          </w:tcPr>
          <w:p w:rsidR="005D3C37" w:rsidRPr="00BE586A" w:rsidRDefault="005D3C37" w:rsidP="005D3C37">
            <w:pPr>
              <w:jc w:val="both"/>
              <w:rPr>
                <w:sz w:val="20"/>
              </w:rPr>
            </w:pPr>
          </w:p>
        </w:tc>
      </w:tr>
      <w:tr w:rsidR="005D3C37" w:rsidRPr="00BE586A" w:rsidTr="00E95A6A">
        <w:tc>
          <w:tcPr>
            <w:tcW w:w="5000" w:type="pct"/>
            <w:gridSpan w:val="4"/>
          </w:tcPr>
          <w:p w:rsidR="005D3C37" w:rsidRPr="00BE586A" w:rsidRDefault="005D3C37" w:rsidP="005D3C37">
            <w:pPr>
              <w:jc w:val="both"/>
              <w:rPr>
                <w:sz w:val="20"/>
              </w:rPr>
            </w:pPr>
            <w:r w:rsidRPr="00BE586A">
              <w:rPr>
                <w:sz w:val="20"/>
              </w:rPr>
              <w:t>Mr. Mittal is a dentist licensed in Manitoba. He was registered with the Non-Insured Health Benefits Program as a dental services provider to registered First Nations and recognized Inuit and Innu persons.  His status was terminated and his name was placed on a “Do Not Register” list on December 2, 2008, after an audit found that he made unsupported claims under the Program.  Mr. Mittal has applied several times to be re-enrolled as a dental provider under the Program.  On October 10, 2013, Health Canada’s First Nations and Inuit Health Branch in Manitoba confirmed the dismissal of his request for re-enrolment. Mr. Mittal applied for judicial review. His application was dismissed. The Federal Court of Appeal dismissed an appeal.</w:t>
            </w:r>
          </w:p>
          <w:p w:rsidR="005D3C37" w:rsidRPr="00BE586A" w:rsidRDefault="005D3C37" w:rsidP="005D3C37">
            <w:pPr>
              <w:jc w:val="both"/>
              <w:rPr>
                <w:sz w:val="20"/>
              </w:rPr>
            </w:pPr>
          </w:p>
        </w:tc>
      </w:tr>
      <w:tr w:rsidR="005D3C37" w:rsidRPr="00BE586A" w:rsidTr="00E95A6A">
        <w:tc>
          <w:tcPr>
            <w:tcW w:w="2427" w:type="pct"/>
            <w:gridSpan w:val="2"/>
          </w:tcPr>
          <w:p w:rsidR="005D3C37" w:rsidRPr="00BE586A" w:rsidRDefault="005D3C37" w:rsidP="005D3C37">
            <w:pPr>
              <w:jc w:val="both"/>
              <w:rPr>
                <w:sz w:val="20"/>
              </w:rPr>
            </w:pPr>
            <w:r w:rsidRPr="00BE586A">
              <w:rPr>
                <w:sz w:val="20"/>
              </w:rPr>
              <w:t>May 1, 2015</w:t>
            </w:r>
          </w:p>
          <w:p w:rsidR="005D3C37" w:rsidRPr="00BE586A" w:rsidRDefault="005D3C37" w:rsidP="005D3C37">
            <w:pPr>
              <w:jc w:val="both"/>
              <w:rPr>
                <w:sz w:val="20"/>
              </w:rPr>
            </w:pPr>
            <w:r w:rsidRPr="00BE586A">
              <w:rPr>
                <w:sz w:val="20"/>
              </w:rPr>
              <w:t>Federal Court</w:t>
            </w:r>
          </w:p>
          <w:p w:rsidR="005D3C37" w:rsidRPr="00BE586A" w:rsidRDefault="005D3C37" w:rsidP="005D3C37">
            <w:pPr>
              <w:jc w:val="both"/>
              <w:rPr>
                <w:sz w:val="20"/>
              </w:rPr>
            </w:pPr>
            <w:r w:rsidRPr="00BE586A">
              <w:rPr>
                <w:sz w:val="20"/>
              </w:rPr>
              <w:t>(LeBlanc J.)</w:t>
            </w:r>
          </w:p>
          <w:p w:rsidR="005D3C37" w:rsidRPr="00BE586A" w:rsidRDefault="00004558" w:rsidP="005D3C37">
            <w:pPr>
              <w:jc w:val="both"/>
              <w:rPr>
                <w:sz w:val="20"/>
              </w:rPr>
            </w:pPr>
            <w:hyperlink r:id="rId17" w:history="1">
              <w:r w:rsidR="005D3C37" w:rsidRPr="00BE586A">
                <w:rPr>
                  <w:rStyle w:val="Hyperlink"/>
                  <w:sz w:val="20"/>
                </w:rPr>
                <w:t>2015 FC 571</w:t>
              </w:r>
            </w:hyperlink>
          </w:p>
          <w:p w:rsidR="005D3C37" w:rsidRPr="00BE586A" w:rsidRDefault="005D3C37" w:rsidP="005D3C37">
            <w:pPr>
              <w:jc w:val="both"/>
              <w:rPr>
                <w:sz w:val="20"/>
              </w:rPr>
            </w:pPr>
          </w:p>
        </w:tc>
        <w:tc>
          <w:tcPr>
            <w:tcW w:w="243" w:type="pct"/>
          </w:tcPr>
          <w:p w:rsidR="005D3C37" w:rsidRPr="00BE586A" w:rsidRDefault="005D3C37" w:rsidP="005D3C37">
            <w:pPr>
              <w:jc w:val="both"/>
              <w:rPr>
                <w:sz w:val="20"/>
              </w:rPr>
            </w:pPr>
          </w:p>
        </w:tc>
        <w:tc>
          <w:tcPr>
            <w:tcW w:w="2330" w:type="pct"/>
          </w:tcPr>
          <w:p w:rsidR="005D3C37" w:rsidRPr="00BE586A" w:rsidRDefault="005D3C37" w:rsidP="005D3C37">
            <w:pPr>
              <w:jc w:val="both"/>
              <w:rPr>
                <w:sz w:val="20"/>
              </w:rPr>
            </w:pPr>
            <w:r w:rsidRPr="00BE586A">
              <w:rPr>
                <w:sz w:val="20"/>
              </w:rPr>
              <w:t>Application for judicial review dismissed</w:t>
            </w:r>
          </w:p>
          <w:p w:rsidR="005D3C37" w:rsidRPr="00BE586A" w:rsidRDefault="005D3C37" w:rsidP="005D3C37">
            <w:pPr>
              <w:jc w:val="both"/>
              <w:rPr>
                <w:sz w:val="20"/>
              </w:rPr>
            </w:pPr>
          </w:p>
        </w:tc>
      </w:tr>
      <w:tr w:rsidR="005D3C37" w:rsidRPr="00BE586A" w:rsidTr="00E95A6A">
        <w:tc>
          <w:tcPr>
            <w:tcW w:w="2427" w:type="pct"/>
            <w:gridSpan w:val="2"/>
          </w:tcPr>
          <w:p w:rsidR="005D3C37" w:rsidRPr="00BE586A" w:rsidRDefault="005D3C37" w:rsidP="005D3C37">
            <w:pPr>
              <w:jc w:val="both"/>
              <w:rPr>
                <w:sz w:val="20"/>
              </w:rPr>
            </w:pPr>
            <w:r w:rsidRPr="00BE586A">
              <w:rPr>
                <w:sz w:val="20"/>
              </w:rPr>
              <w:t>March 2, 2016</w:t>
            </w:r>
          </w:p>
          <w:p w:rsidR="005D3C37" w:rsidRPr="00BE586A" w:rsidRDefault="005D3C37" w:rsidP="005D3C37">
            <w:pPr>
              <w:jc w:val="both"/>
              <w:rPr>
                <w:sz w:val="20"/>
              </w:rPr>
            </w:pPr>
            <w:r w:rsidRPr="00BE586A">
              <w:rPr>
                <w:sz w:val="20"/>
              </w:rPr>
              <w:t>Federal Court of Appeal</w:t>
            </w:r>
          </w:p>
          <w:p w:rsidR="005D3C37" w:rsidRPr="00BE586A" w:rsidRDefault="005D3C37" w:rsidP="005D3C37">
            <w:pPr>
              <w:jc w:val="both"/>
              <w:rPr>
                <w:sz w:val="20"/>
              </w:rPr>
            </w:pPr>
            <w:r w:rsidRPr="00BE586A">
              <w:rPr>
                <w:sz w:val="20"/>
              </w:rPr>
              <w:t xml:space="preserve">(Dawson, Michael, De </w:t>
            </w:r>
            <w:proofErr w:type="spellStart"/>
            <w:r w:rsidRPr="00BE586A">
              <w:rPr>
                <w:sz w:val="20"/>
              </w:rPr>
              <w:t>Montigny</w:t>
            </w:r>
            <w:proofErr w:type="spellEnd"/>
            <w:r w:rsidRPr="00BE586A">
              <w:rPr>
                <w:sz w:val="20"/>
              </w:rPr>
              <w:t xml:space="preserve"> JJ.A.)</w:t>
            </w:r>
          </w:p>
          <w:p w:rsidR="005D3C37" w:rsidRPr="00BE586A" w:rsidRDefault="005D3C37" w:rsidP="005D3C37">
            <w:pPr>
              <w:jc w:val="both"/>
              <w:rPr>
                <w:sz w:val="20"/>
              </w:rPr>
            </w:pPr>
            <w:r w:rsidRPr="00BE586A">
              <w:rPr>
                <w:sz w:val="20"/>
              </w:rPr>
              <w:t xml:space="preserve">A-255-15; </w:t>
            </w:r>
            <w:hyperlink r:id="rId18" w:history="1">
              <w:r w:rsidRPr="00BE586A">
                <w:rPr>
                  <w:rStyle w:val="Hyperlink"/>
                  <w:sz w:val="20"/>
                </w:rPr>
                <w:t>2016 FCA 70</w:t>
              </w:r>
            </w:hyperlink>
          </w:p>
          <w:p w:rsidR="005D3C37" w:rsidRPr="00BE586A" w:rsidRDefault="005D3C37" w:rsidP="005D3C37">
            <w:pPr>
              <w:jc w:val="both"/>
              <w:rPr>
                <w:sz w:val="20"/>
              </w:rPr>
            </w:pPr>
          </w:p>
        </w:tc>
        <w:tc>
          <w:tcPr>
            <w:tcW w:w="243" w:type="pct"/>
          </w:tcPr>
          <w:p w:rsidR="005D3C37" w:rsidRPr="00BE586A" w:rsidRDefault="005D3C37" w:rsidP="005D3C37">
            <w:pPr>
              <w:jc w:val="both"/>
              <w:rPr>
                <w:sz w:val="20"/>
              </w:rPr>
            </w:pPr>
          </w:p>
        </w:tc>
        <w:tc>
          <w:tcPr>
            <w:tcW w:w="2330" w:type="pct"/>
          </w:tcPr>
          <w:p w:rsidR="005D3C37" w:rsidRPr="00BE586A" w:rsidRDefault="005D3C37" w:rsidP="005D3C37">
            <w:pPr>
              <w:jc w:val="both"/>
              <w:rPr>
                <w:sz w:val="20"/>
              </w:rPr>
            </w:pPr>
            <w:r w:rsidRPr="00BE586A">
              <w:rPr>
                <w:sz w:val="20"/>
              </w:rPr>
              <w:t>Appeal dismissed</w:t>
            </w:r>
          </w:p>
          <w:p w:rsidR="005D3C37" w:rsidRPr="00BE586A" w:rsidRDefault="005D3C37" w:rsidP="005D3C37">
            <w:pPr>
              <w:jc w:val="both"/>
              <w:rPr>
                <w:sz w:val="20"/>
              </w:rPr>
            </w:pPr>
          </w:p>
        </w:tc>
      </w:tr>
      <w:tr w:rsidR="005D3C37" w:rsidRPr="00BE586A" w:rsidTr="00E95A6A">
        <w:tc>
          <w:tcPr>
            <w:tcW w:w="2427" w:type="pct"/>
            <w:gridSpan w:val="2"/>
          </w:tcPr>
          <w:p w:rsidR="005D3C37" w:rsidRPr="00BE586A" w:rsidRDefault="005D3C37" w:rsidP="005D3C37">
            <w:pPr>
              <w:jc w:val="both"/>
              <w:rPr>
                <w:sz w:val="20"/>
              </w:rPr>
            </w:pPr>
            <w:r w:rsidRPr="00BE586A">
              <w:rPr>
                <w:sz w:val="20"/>
              </w:rPr>
              <w:t>April 20, 2016</w:t>
            </w:r>
          </w:p>
          <w:p w:rsidR="005D3C37" w:rsidRPr="00BE586A" w:rsidRDefault="005D3C37" w:rsidP="005D3C37">
            <w:pPr>
              <w:jc w:val="both"/>
              <w:rPr>
                <w:sz w:val="20"/>
              </w:rPr>
            </w:pPr>
            <w:r w:rsidRPr="00BE586A">
              <w:rPr>
                <w:sz w:val="20"/>
              </w:rPr>
              <w:t>Supreme Court of Canada</w:t>
            </w:r>
          </w:p>
        </w:tc>
        <w:tc>
          <w:tcPr>
            <w:tcW w:w="243" w:type="pct"/>
          </w:tcPr>
          <w:p w:rsidR="005D3C37" w:rsidRPr="00BE586A" w:rsidRDefault="005D3C37" w:rsidP="005D3C37">
            <w:pPr>
              <w:jc w:val="both"/>
              <w:rPr>
                <w:sz w:val="20"/>
              </w:rPr>
            </w:pPr>
          </w:p>
        </w:tc>
        <w:tc>
          <w:tcPr>
            <w:tcW w:w="2330" w:type="pct"/>
          </w:tcPr>
          <w:p w:rsidR="005D3C37" w:rsidRPr="00BE586A" w:rsidRDefault="005D3C37" w:rsidP="005D3C37">
            <w:pPr>
              <w:jc w:val="both"/>
              <w:rPr>
                <w:sz w:val="20"/>
              </w:rPr>
            </w:pPr>
            <w:r w:rsidRPr="00BE586A">
              <w:rPr>
                <w:sz w:val="20"/>
              </w:rPr>
              <w:t>Application for leave to appeal filed</w:t>
            </w:r>
          </w:p>
          <w:p w:rsidR="005D3C37" w:rsidRPr="00BE586A" w:rsidRDefault="005D3C37" w:rsidP="005D3C37">
            <w:pPr>
              <w:jc w:val="both"/>
              <w:rPr>
                <w:sz w:val="20"/>
              </w:rPr>
            </w:pPr>
          </w:p>
        </w:tc>
      </w:tr>
    </w:tbl>
    <w:p w:rsidR="005D3C37" w:rsidRPr="00BE586A" w:rsidRDefault="005D3C37" w:rsidP="005D3C37">
      <w:pPr>
        <w:jc w:val="both"/>
        <w:rPr>
          <w:sz w:val="20"/>
        </w:rPr>
      </w:pPr>
    </w:p>
    <w:p w:rsidR="005D3C37" w:rsidRPr="00BE586A" w:rsidRDefault="005D3C37" w:rsidP="005D3C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3C37" w:rsidRPr="00BE586A" w:rsidTr="00E95A6A">
        <w:tc>
          <w:tcPr>
            <w:tcW w:w="543" w:type="pct"/>
          </w:tcPr>
          <w:p w:rsidR="005D3C37" w:rsidRPr="00BE586A" w:rsidRDefault="005D3C37" w:rsidP="005D3C37">
            <w:pPr>
              <w:jc w:val="both"/>
              <w:rPr>
                <w:sz w:val="20"/>
                <w:lang w:val="fr-CA"/>
              </w:rPr>
            </w:pPr>
            <w:r w:rsidRPr="00BE586A">
              <w:rPr>
                <w:rStyle w:val="SCCFileNumberChar"/>
                <w:sz w:val="20"/>
                <w:szCs w:val="20"/>
                <w:lang w:val="fr-CA"/>
              </w:rPr>
              <w:t>36965</w:t>
            </w:r>
          </w:p>
        </w:tc>
        <w:tc>
          <w:tcPr>
            <w:tcW w:w="4457" w:type="pct"/>
            <w:gridSpan w:val="3"/>
          </w:tcPr>
          <w:p w:rsidR="005D3C37" w:rsidRPr="00BE586A" w:rsidRDefault="005D3C37" w:rsidP="005D3C37">
            <w:pPr>
              <w:pStyle w:val="SCCLsocParty"/>
              <w:jc w:val="both"/>
              <w:rPr>
                <w:b/>
                <w:sz w:val="20"/>
                <w:szCs w:val="20"/>
              </w:rPr>
            </w:pPr>
            <w:r w:rsidRPr="00BE586A">
              <w:rPr>
                <w:b/>
                <w:sz w:val="20"/>
                <w:szCs w:val="20"/>
              </w:rPr>
              <w:t>Dheeraj Kumar Mittal c. Ministre de la Santé</w:t>
            </w:r>
          </w:p>
          <w:p w:rsidR="005D3C37" w:rsidRPr="00BE586A" w:rsidRDefault="005D3C37" w:rsidP="005D3C37">
            <w:pPr>
              <w:jc w:val="both"/>
              <w:rPr>
                <w:sz w:val="20"/>
                <w:lang w:val="fr-CA"/>
              </w:rPr>
            </w:pPr>
            <w:r w:rsidRPr="00BE586A">
              <w:rPr>
                <w:sz w:val="20"/>
                <w:lang w:val="fr-CA"/>
              </w:rPr>
              <w:t>(CF) (Civile) (Sur autorisation)</w:t>
            </w:r>
          </w:p>
        </w:tc>
      </w:tr>
      <w:tr w:rsidR="005D3C37" w:rsidRPr="00BE586A" w:rsidTr="00E95A6A">
        <w:tc>
          <w:tcPr>
            <w:tcW w:w="5000" w:type="pct"/>
            <w:gridSpan w:val="4"/>
          </w:tcPr>
          <w:p w:rsidR="005D3C37" w:rsidRPr="00BE586A" w:rsidRDefault="005D3C37" w:rsidP="005D3C37">
            <w:pPr>
              <w:jc w:val="both"/>
              <w:rPr>
                <w:sz w:val="20"/>
                <w:lang w:val="fr-CA"/>
              </w:rPr>
            </w:pPr>
            <w:r w:rsidRPr="00BE586A">
              <w:rPr>
                <w:sz w:val="20"/>
                <w:lang w:val="fr-CA"/>
              </w:rPr>
              <w:t>Droit administratif – Contrôle judiciaire – Partialité – Équité procédurale – Quel est le bon critère pour apprécier la partialité en contrôle judiciaire, comment doit-on appliquer ce critère et dans quelle mesure un décideur partial doit-il avoir pris part au processus décisionnel avant qu’une décision puisse être considérée comme entachée? – La décision en l’espèce est-elle entachée d’iniquité procédurale?</w:t>
            </w:r>
          </w:p>
        </w:tc>
      </w:tr>
      <w:tr w:rsidR="005D3C37" w:rsidRPr="00BE586A" w:rsidTr="00E95A6A">
        <w:tc>
          <w:tcPr>
            <w:tcW w:w="5000" w:type="pct"/>
            <w:gridSpan w:val="4"/>
          </w:tcPr>
          <w:p w:rsidR="005D3C37" w:rsidRPr="00BE586A" w:rsidRDefault="005D3C37" w:rsidP="005D3C37">
            <w:pPr>
              <w:jc w:val="both"/>
              <w:rPr>
                <w:sz w:val="20"/>
                <w:lang w:val="fr-CA"/>
              </w:rPr>
            </w:pPr>
          </w:p>
        </w:tc>
      </w:tr>
      <w:tr w:rsidR="005D3C37" w:rsidRPr="00BE586A" w:rsidTr="00E95A6A">
        <w:tc>
          <w:tcPr>
            <w:tcW w:w="5000" w:type="pct"/>
            <w:gridSpan w:val="4"/>
          </w:tcPr>
          <w:p w:rsidR="005D3C37" w:rsidRPr="00BE586A" w:rsidRDefault="005D3C37" w:rsidP="005D3C37">
            <w:pPr>
              <w:jc w:val="both"/>
              <w:rPr>
                <w:sz w:val="20"/>
                <w:lang w:val="fr-CA"/>
              </w:rPr>
            </w:pPr>
            <w:r w:rsidRPr="00BE586A">
              <w:rPr>
                <w:sz w:val="20"/>
                <w:lang w:val="fr-CA"/>
              </w:rPr>
              <w:t>Monsieur Mittal est un dentiste autorisé à exercer au Manitoba. Il était inscrit au Programme des services de santé non assurés en tant que fournisseur de soins dentaires à des Premières Nations inscrites et à des personnes inuites et innues reconnues. Le 2 décembre 2008, son inscription a été résiliée et son nom a été placé sur une liste de [</w:t>
            </w:r>
            <w:r w:rsidRPr="00BE586A">
              <w:rPr>
                <w:smallCaps/>
                <w:sz w:val="20"/>
                <w:lang w:val="fr-CA"/>
              </w:rPr>
              <w:t>traduction</w:t>
            </w:r>
            <w:r w:rsidRPr="00BE586A">
              <w:rPr>
                <w:sz w:val="20"/>
                <w:lang w:val="fr-CA"/>
              </w:rPr>
              <w:t xml:space="preserve">] « noms à ne pas inscrire » après qu’une vérification a révélé qu’il avait fait des demandes infondées dans le cadre du programme.  Monsieur Mittal a demandé à plusieurs reprises d’être inscrit de nouveau à titre de fournisseur de soins dentaires dans le cadre du Programme. Le 10 octobre 2013, la Direction générale de la santé des Premières nations et des Inuits de Santé Canada au Manitoba a confirmé le rejet de sa demande de réinscription. </w:t>
            </w:r>
            <w:r w:rsidRPr="00BE586A">
              <w:rPr>
                <w:sz w:val="20"/>
                <w:lang w:val="fr-CA"/>
              </w:rPr>
              <w:lastRenderedPageBreak/>
              <w:t>Monsieur Mittal a présenté une demande de contrôle judiciaire. Sa demande a été rejetée. La Cour d’appel fédérale a rejeté l’appel.</w:t>
            </w:r>
          </w:p>
          <w:p w:rsidR="005D3C37" w:rsidRPr="00BE586A" w:rsidRDefault="005D3C37" w:rsidP="005D3C37">
            <w:pPr>
              <w:jc w:val="both"/>
              <w:rPr>
                <w:sz w:val="20"/>
                <w:lang w:val="fr-CA"/>
              </w:rPr>
            </w:pPr>
          </w:p>
        </w:tc>
      </w:tr>
      <w:tr w:rsidR="005D3C37" w:rsidRPr="00BE586A" w:rsidTr="00E95A6A">
        <w:tc>
          <w:tcPr>
            <w:tcW w:w="2427" w:type="pct"/>
            <w:gridSpan w:val="2"/>
          </w:tcPr>
          <w:p w:rsidR="005D3C37" w:rsidRPr="00BE586A" w:rsidRDefault="005D3C37" w:rsidP="005D3C37">
            <w:pPr>
              <w:jc w:val="both"/>
              <w:rPr>
                <w:sz w:val="20"/>
                <w:lang w:val="fr-CA"/>
              </w:rPr>
            </w:pPr>
            <w:r w:rsidRPr="00BE586A">
              <w:rPr>
                <w:sz w:val="20"/>
                <w:lang w:val="fr-CA"/>
              </w:rPr>
              <w:lastRenderedPageBreak/>
              <w:t>1</w:t>
            </w:r>
            <w:r w:rsidRPr="00BE586A">
              <w:rPr>
                <w:sz w:val="20"/>
                <w:vertAlign w:val="superscript"/>
                <w:lang w:val="fr-CA"/>
              </w:rPr>
              <w:t>er</w:t>
            </w:r>
            <w:r w:rsidRPr="00BE586A">
              <w:rPr>
                <w:sz w:val="20"/>
                <w:lang w:val="fr-CA"/>
              </w:rPr>
              <w:t xml:space="preserve"> mai 2015</w:t>
            </w:r>
          </w:p>
          <w:p w:rsidR="005D3C37" w:rsidRPr="00BE586A" w:rsidRDefault="005D3C37" w:rsidP="005D3C37">
            <w:pPr>
              <w:jc w:val="both"/>
              <w:rPr>
                <w:sz w:val="20"/>
                <w:lang w:val="fr-CA"/>
              </w:rPr>
            </w:pPr>
            <w:r w:rsidRPr="00BE586A">
              <w:rPr>
                <w:sz w:val="20"/>
                <w:lang w:val="fr-CA"/>
              </w:rPr>
              <w:t xml:space="preserve">Cour fédérale </w:t>
            </w:r>
          </w:p>
          <w:p w:rsidR="005D3C37" w:rsidRPr="00BE586A" w:rsidRDefault="005D3C37" w:rsidP="005D3C37">
            <w:pPr>
              <w:jc w:val="both"/>
              <w:rPr>
                <w:sz w:val="20"/>
                <w:lang w:val="fr-CA"/>
              </w:rPr>
            </w:pPr>
            <w:r w:rsidRPr="00BE586A">
              <w:rPr>
                <w:sz w:val="20"/>
                <w:lang w:val="fr-CA"/>
              </w:rPr>
              <w:t>(Juge LeBlanc)</w:t>
            </w:r>
          </w:p>
          <w:p w:rsidR="005D3C37" w:rsidRPr="00BE586A" w:rsidRDefault="00004558" w:rsidP="005D3C37">
            <w:pPr>
              <w:jc w:val="both"/>
              <w:rPr>
                <w:sz w:val="20"/>
                <w:lang w:val="fr-CA"/>
              </w:rPr>
            </w:pPr>
            <w:hyperlink r:id="rId19" w:history="1">
              <w:r w:rsidR="005D3C37" w:rsidRPr="00BE586A">
                <w:rPr>
                  <w:rStyle w:val="Hyperlink"/>
                  <w:sz w:val="20"/>
                  <w:lang w:val="fr-CA"/>
                </w:rPr>
                <w:t>2015 FC 571</w:t>
              </w:r>
            </w:hyperlink>
          </w:p>
          <w:p w:rsidR="005D3C37" w:rsidRPr="00BE586A" w:rsidRDefault="005D3C37" w:rsidP="005D3C37">
            <w:pPr>
              <w:jc w:val="both"/>
              <w:rPr>
                <w:sz w:val="20"/>
                <w:lang w:val="fr-CA"/>
              </w:rPr>
            </w:pPr>
          </w:p>
        </w:tc>
        <w:tc>
          <w:tcPr>
            <w:tcW w:w="243" w:type="pct"/>
          </w:tcPr>
          <w:p w:rsidR="005D3C37" w:rsidRPr="00BE586A" w:rsidRDefault="005D3C37" w:rsidP="005D3C37">
            <w:pPr>
              <w:jc w:val="both"/>
              <w:rPr>
                <w:sz w:val="20"/>
                <w:lang w:val="fr-CA"/>
              </w:rPr>
            </w:pPr>
          </w:p>
        </w:tc>
        <w:tc>
          <w:tcPr>
            <w:tcW w:w="2330" w:type="pct"/>
          </w:tcPr>
          <w:p w:rsidR="005D3C37" w:rsidRPr="00BE586A" w:rsidRDefault="005D3C37" w:rsidP="005D3C37">
            <w:pPr>
              <w:jc w:val="both"/>
              <w:rPr>
                <w:sz w:val="20"/>
                <w:lang w:val="fr-CA"/>
              </w:rPr>
            </w:pPr>
            <w:r w:rsidRPr="00BE586A">
              <w:rPr>
                <w:sz w:val="20"/>
                <w:lang w:val="fr-CA"/>
              </w:rPr>
              <w:t>Rejet de la demande de contrôle judiciaire</w:t>
            </w:r>
          </w:p>
          <w:p w:rsidR="005D3C37" w:rsidRPr="00BE586A" w:rsidRDefault="005D3C37" w:rsidP="005D3C37">
            <w:pPr>
              <w:jc w:val="both"/>
              <w:rPr>
                <w:sz w:val="20"/>
                <w:lang w:val="fr-CA"/>
              </w:rPr>
            </w:pPr>
          </w:p>
        </w:tc>
      </w:tr>
      <w:tr w:rsidR="005D3C37" w:rsidRPr="00BE586A" w:rsidTr="00E95A6A">
        <w:tc>
          <w:tcPr>
            <w:tcW w:w="2427" w:type="pct"/>
            <w:gridSpan w:val="2"/>
          </w:tcPr>
          <w:p w:rsidR="005D3C37" w:rsidRPr="00BE586A" w:rsidRDefault="005D3C37" w:rsidP="005D3C37">
            <w:pPr>
              <w:jc w:val="both"/>
              <w:rPr>
                <w:sz w:val="20"/>
                <w:lang w:val="fr-CA"/>
              </w:rPr>
            </w:pPr>
            <w:r w:rsidRPr="00BE586A">
              <w:rPr>
                <w:sz w:val="20"/>
                <w:lang w:val="fr-CA"/>
              </w:rPr>
              <w:t>2 mars 2016</w:t>
            </w:r>
          </w:p>
          <w:p w:rsidR="005D3C37" w:rsidRPr="00BE586A" w:rsidRDefault="005D3C37" w:rsidP="005D3C37">
            <w:pPr>
              <w:jc w:val="both"/>
              <w:rPr>
                <w:sz w:val="20"/>
                <w:lang w:val="fr-CA"/>
              </w:rPr>
            </w:pPr>
            <w:r w:rsidRPr="00BE586A">
              <w:rPr>
                <w:sz w:val="20"/>
                <w:lang w:val="fr-CA"/>
              </w:rPr>
              <w:t xml:space="preserve">Cour d’appel fédérale </w:t>
            </w:r>
          </w:p>
          <w:p w:rsidR="005D3C37" w:rsidRPr="00BE586A" w:rsidRDefault="005D3C37" w:rsidP="005D3C37">
            <w:pPr>
              <w:jc w:val="both"/>
              <w:rPr>
                <w:sz w:val="20"/>
                <w:lang w:val="fr-CA"/>
              </w:rPr>
            </w:pPr>
            <w:r w:rsidRPr="00BE586A">
              <w:rPr>
                <w:sz w:val="20"/>
                <w:lang w:val="fr-CA"/>
              </w:rPr>
              <w:t>(Juges Dawson, Michael et De Montigny)</w:t>
            </w:r>
          </w:p>
          <w:p w:rsidR="005D3C37" w:rsidRPr="00BE586A" w:rsidRDefault="005D3C37" w:rsidP="005D3C37">
            <w:pPr>
              <w:jc w:val="both"/>
              <w:rPr>
                <w:sz w:val="20"/>
                <w:lang w:val="fr-CA"/>
              </w:rPr>
            </w:pPr>
            <w:r w:rsidRPr="00BE586A">
              <w:rPr>
                <w:sz w:val="20"/>
                <w:lang w:val="fr-CA"/>
              </w:rPr>
              <w:t xml:space="preserve">A-255-15; </w:t>
            </w:r>
            <w:hyperlink r:id="rId20" w:history="1">
              <w:r w:rsidRPr="00BE586A">
                <w:rPr>
                  <w:rStyle w:val="Hyperlink"/>
                  <w:sz w:val="20"/>
                  <w:lang w:val="fr-CA"/>
                </w:rPr>
                <w:t>2016 FCA 70</w:t>
              </w:r>
            </w:hyperlink>
          </w:p>
          <w:p w:rsidR="005D3C37" w:rsidRPr="00BE586A" w:rsidRDefault="005D3C37" w:rsidP="005D3C37">
            <w:pPr>
              <w:jc w:val="both"/>
              <w:rPr>
                <w:sz w:val="20"/>
                <w:lang w:val="fr-CA"/>
              </w:rPr>
            </w:pPr>
          </w:p>
        </w:tc>
        <w:tc>
          <w:tcPr>
            <w:tcW w:w="243" w:type="pct"/>
          </w:tcPr>
          <w:p w:rsidR="005D3C37" w:rsidRPr="00BE586A" w:rsidRDefault="005D3C37" w:rsidP="005D3C37">
            <w:pPr>
              <w:jc w:val="both"/>
              <w:rPr>
                <w:sz w:val="20"/>
                <w:lang w:val="fr-CA"/>
              </w:rPr>
            </w:pPr>
          </w:p>
        </w:tc>
        <w:tc>
          <w:tcPr>
            <w:tcW w:w="2330" w:type="pct"/>
          </w:tcPr>
          <w:p w:rsidR="005D3C37" w:rsidRPr="00BE586A" w:rsidRDefault="005D3C37" w:rsidP="005D3C37">
            <w:pPr>
              <w:jc w:val="both"/>
              <w:rPr>
                <w:sz w:val="20"/>
                <w:lang w:val="fr-CA"/>
              </w:rPr>
            </w:pPr>
            <w:r w:rsidRPr="00BE586A">
              <w:rPr>
                <w:sz w:val="20"/>
                <w:lang w:val="fr-CA"/>
              </w:rPr>
              <w:t>Rejet de l’appel</w:t>
            </w:r>
          </w:p>
          <w:p w:rsidR="005D3C37" w:rsidRPr="00BE586A" w:rsidRDefault="005D3C37" w:rsidP="005D3C37">
            <w:pPr>
              <w:jc w:val="both"/>
              <w:rPr>
                <w:sz w:val="20"/>
                <w:lang w:val="fr-CA"/>
              </w:rPr>
            </w:pPr>
          </w:p>
        </w:tc>
      </w:tr>
      <w:tr w:rsidR="005D3C37" w:rsidRPr="00BE586A" w:rsidTr="00E95A6A">
        <w:tc>
          <w:tcPr>
            <w:tcW w:w="2427" w:type="pct"/>
            <w:gridSpan w:val="2"/>
          </w:tcPr>
          <w:p w:rsidR="005D3C37" w:rsidRPr="00BE586A" w:rsidRDefault="005D3C37" w:rsidP="005D3C37">
            <w:pPr>
              <w:jc w:val="both"/>
              <w:rPr>
                <w:sz w:val="20"/>
                <w:lang w:val="fr-CA"/>
              </w:rPr>
            </w:pPr>
            <w:r w:rsidRPr="00BE586A">
              <w:rPr>
                <w:sz w:val="20"/>
                <w:lang w:val="fr-CA"/>
              </w:rPr>
              <w:t>20 avril 2016</w:t>
            </w:r>
          </w:p>
          <w:p w:rsidR="005D3C37" w:rsidRPr="00BE586A" w:rsidRDefault="005D3C37" w:rsidP="005D3C37">
            <w:pPr>
              <w:jc w:val="both"/>
              <w:rPr>
                <w:sz w:val="20"/>
                <w:lang w:val="fr-CA"/>
              </w:rPr>
            </w:pPr>
            <w:r w:rsidRPr="00BE586A">
              <w:rPr>
                <w:sz w:val="20"/>
                <w:lang w:val="fr-CA"/>
              </w:rPr>
              <w:t>Cour suprême du Canada</w:t>
            </w:r>
          </w:p>
        </w:tc>
        <w:tc>
          <w:tcPr>
            <w:tcW w:w="243" w:type="pct"/>
          </w:tcPr>
          <w:p w:rsidR="005D3C37" w:rsidRPr="00BE586A" w:rsidRDefault="005D3C37" w:rsidP="005D3C37">
            <w:pPr>
              <w:jc w:val="both"/>
              <w:rPr>
                <w:sz w:val="20"/>
                <w:lang w:val="fr-CA"/>
              </w:rPr>
            </w:pPr>
          </w:p>
        </w:tc>
        <w:tc>
          <w:tcPr>
            <w:tcW w:w="2330" w:type="pct"/>
          </w:tcPr>
          <w:p w:rsidR="005D3C37" w:rsidRPr="00BE586A" w:rsidRDefault="005D3C37" w:rsidP="005D3C37">
            <w:pPr>
              <w:jc w:val="both"/>
              <w:rPr>
                <w:sz w:val="20"/>
                <w:lang w:val="fr-CA"/>
              </w:rPr>
            </w:pPr>
            <w:r w:rsidRPr="00BE586A">
              <w:rPr>
                <w:sz w:val="20"/>
                <w:lang w:val="fr-CA"/>
              </w:rPr>
              <w:t>Dépôt de la demande d’autorisation d’appel</w:t>
            </w:r>
          </w:p>
          <w:p w:rsidR="005D3C37" w:rsidRPr="00BE586A" w:rsidRDefault="005D3C37" w:rsidP="005D3C37">
            <w:pPr>
              <w:jc w:val="both"/>
              <w:rPr>
                <w:sz w:val="20"/>
                <w:lang w:val="fr-CA"/>
              </w:rPr>
            </w:pPr>
          </w:p>
        </w:tc>
      </w:tr>
    </w:tbl>
    <w:p w:rsidR="005D3C37" w:rsidRPr="00BE586A" w:rsidRDefault="005D3C37" w:rsidP="005D3C37">
      <w:pPr>
        <w:jc w:val="both"/>
        <w:rPr>
          <w:sz w:val="20"/>
          <w:lang w:val="fr-CA"/>
        </w:rPr>
      </w:pPr>
    </w:p>
    <w:p w:rsidR="00E61777" w:rsidRPr="00BE586A" w:rsidRDefault="00E61777" w:rsidP="003C7650">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C7650" w:rsidRPr="00BE586A" w:rsidTr="00E95A6A">
        <w:tc>
          <w:tcPr>
            <w:tcW w:w="543" w:type="pct"/>
          </w:tcPr>
          <w:p w:rsidR="003C7650" w:rsidRPr="00BE586A" w:rsidRDefault="003C7650" w:rsidP="003C7650">
            <w:pPr>
              <w:jc w:val="both"/>
              <w:rPr>
                <w:sz w:val="20"/>
                <w:lang w:val="en-CA"/>
              </w:rPr>
            </w:pPr>
            <w:r w:rsidRPr="00BE586A">
              <w:rPr>
                <w:rStyle w:val="SCCFileNumberChar"/>
                <w:sz w:val="20"/>
                <w:szCs w:val="20"/>
              </w:rPr>
              <w:t>36992</w:t>
            </w:r>
          </w:p>
        </w:tc>
        <w:tc>
          <w:tcPr>
            <w:tcW w:w="4457" w:type="pct"/>
            <w:gridSpan w:val="3"/>
          </w:tcPr>
          <w:p w:rsidR="003C7650" w:rsidRPr="00BE586A" w:rsidRDefault="003C7650" w:rsidP="003C7650">
            <w:pPr>
              <w:pStyle w:val="SCCLsocParty"/>
              <w:jc w:val="both"/>
              <w:rPr>
                <w:b/>
                <w:sz w:val="20"/>
                <w:szCs w:val="20"/>
                <w:lang w:val="en-CA"/>
              </w:rPr>
            </w:pPr>
            <w:r w:rsidRPr="00BE586A">
              <w:rPr>
                <w:b/>
                <w:sz w:val="20"/>
                <w:szCs w:val="20"/>
                <w:lang w:val="en-CA"/>
              </w:rPr>
              <w:t>Serge Takri v. Her Majesty the Queen</w:t>
            </w:r>
          </w:p>
          <w:p w:rsidR="003C7650" w:rsidRPr="00BE586A" w:rsidRDefault="003C7650" w:rsidP="003C7650">
            <w:pPr>
              <w:jc w:val="both"/>
              <w:rPr>
                <w:sz w:val="20"/>
                <w:lang w:val="en-CA"/>
              </w:rPr>
            </w:pPr>
            <w:r w:rsidRPr="00BE586A">
              <w:rPr>
                <w:sz w:val="20"/>
                <w:lang w:val="en-CA"/>
              </w:rPr>
              <w:t>(Que.) (Criminal) (By Leave)</w:t>
            </w:r>
          </w:p>
        </w:tc>
      </w:tr>
      <w:tr w:rsidR="003C7650" w:rsidRPr="00BE586A" w:rsidTr="00E95A6A">
        <w:tc>
          <w:tcPr>
            <w:tcW w:w="5000" w:type="pct"/>
            <w:gridSpan w:val="4"/>
          </w:tcPr>
          <w:p w:rsidR="003C7650" w:rsidRPr="00BE586A" w:rsidRDefault="003C7650" w:rsidP="003C7650">
            <w:pPr>
              <w:pStyle w:val="SCCBanSummary"/>
              <w:rPr>
                <w:sz w:val="20"/>
                <w:szCs w:val="20"/>
              </w:rPr>
            </w:pPr>
            <w:r w:rsidRPr="00BE586A">
              <w:rPr>
                <w:sz w:val="20"/>
                <w:szCs w:val="20"/>
              </w:rPr>
              <w:t>(Publication Ban in Case)</w:t>
            </w:r>
          </w:p>
          <w:p w:rsidR="003C7650" w:rsidRPr="00BE586A" w:rsidRDefault="003C7650" w:rsidP="003C7650">
            <w:pPr>
              <w:jc w:val="both"/>
              <w:rPr>
                <w:sz w:val="20"/>
                <w:lang w:val="en-CA"/>
              </w:rPr>
            </w:pPr>
          </w:p>
        </w:tc>
      </w:tr>
      <w:tr w:rsidR="003C7650" w:rsidRPr="00BE586A" w:rsidTr="00E95A6A">
        <w:tc>
          <w:tcPr>
            <w:tcW w:w="5000" w:type="pct"/>
            <w:gridSpan w:val="4"/>
          </w:tcPr>
          <w:p w:rsidR="003C7650" w:rsidRPr="00BE586A" w:rsidRDefault="003C7650" w:rsidP="003C7650">
            <w:pPr>
              <w:jc w:val="both"/>
              <w:rPr>
                <w:iCs/>
                <w:sz w:val="20"/>
                <w:lang w:val="en-CA"/>
              </w:rPr>
            </w:pPr>
            <w:r w:rsidRPr="00BE586A">
              <w:rPr>
                <w:sz w:val="20"/>
                <w:lang w:val="en-CA"/>
              </w:rPr>
              <w:t>Criminal law – Sexual assault – Forcible confinement – Appeals – Unreasonable verdict – Defence of honest but mistaken belief in consent</w:t>
            </w:r>
            <w:r w:rsidRPr="00BE586A">
              <w:rPr>
                <w:iCs/>
                <w:sz w:val="20"/>
                <w:lang w:val="en-CA"/>
              </w:rPr>
              <w:t xml:space="preserve"> – Whether trial judge erred in not considering  defence of mistake of fact as to consent – Whether verdict unreasonable.</w:t>
            </w:r>
          </w:p>
          <w:p w:rsidR="003C7650" w:rsidRPr="00BE586A" w:rsidRDefault="003C7650" w:rsidP="003C7650">
            <w:pPr>
              <w:jc w:val="both"/>
              <w:rPr>
                <w:sz w:val="20"/>
                <w:lang w:val="en-CA"/>
              </w:rPr>
            </w:pPr>
          </w:p>
        </w:tc>
      </w:tr>
      <w:tr w:rsidR="003C7650" w:rsidRPr="00BE586A" w:rsidTr="00E95A6A">
        <w:tc>
          <w:tcPr>
            <w:tcW w:w="5000" w:type="pct"/>
            <w:gridSpan w:val="4"/>
          </w:tcPr>
          <w:p w:rsidR="003C7650" w:rsidRPr="00BE586A" w:rsidRDefault="003C7650" w:rsidP="003C7650">
            <w:pPr>
              <w:jc w:val="both"/>
              <w:rPr>
                <w:sz w:val="20"/>
                <w:lang w:val="en-CA"/>
              </w:rPr>
            </w:pPr>
            <w:r w:rsidRPr="00BE586A">
              <w:rPr>
                <w:sz w:val="20"/>
                <w:lang w:val="en-CA"/>
              </w:rPr>
              <w:t>Mr. </w:t>
            </w:r>
            <w:proofErr w:type="spellStart"/>
            <w:r w:rsidRPr="00BE586A">
              <w:rPr>
                <w:sz w:val="20"/>
                <w:lang w:val="en-CA"/>
              </w:rPr>
              <w:t>Takri</w:t>
            </w:r>
            <w:proofErr w:type="spellEnd"/>
            <w:r w:rsidRPr="00BE586A">
              <w:rPr>
                <w:sz w:val="20"/>
                <w:lang w:val="en-CA"/>
              </w:rPr>
              <w:t xml:space="preserve"> was convicted of two counts of sexual assault and one count of forcible confinement. The only issue at trial was consent. On appeal, Mr. Takri argued that the trial judge had not given sufficient reasons for her decision, had erred in refusing to use certain photographs, had not followed the principles laid down by the Court in </w:t>
            </w:r>
            <w:r w:rsidRPr="00BE586A">
              <w:rPr>
                <w:i/>
                <w:sz w:val="20"/>
                <w:lang w:val="en-CA"/>
              </w:rPr>
              <w:t>R. </w:t>
            </w:r>
            <w:r w:rsidRPr="00BE586A">
              <w:rPr>
                <w:i/>
                <w:iCs/>
                <w:sz w:val="20"/>
                <w:lang w:val="en-CA"/>
              </w:rPr>
              <w:t>v</w:t>
            </w:r>
            <w:r w:rsidRPr="00BE586A">
              <w:rPr>
                <w:i/>
                <w:sz w:val="20"/>
                <w:lang w:val="en-CA"/>
              </w:rPr>
              <w:t>. W.(D.)</w:t>
            </w:r>
            <w:r w:rsidRPr="00BE586A">
              <w:rPr>
                <w:sz w:val="20"/>
                <w:lang w:val="en-CA"/>
              </w:rPr>
              <w:t>, [1991] 1 S.C.R. 742, and had handed down an unreasonable verdict. The Court of Appeal unanimously dismissed the appeal.</w:t>
            </w:r>
          </w:p>
          <w:p w:rsidR="003C7650" w:rsidRPr="00BE586A" w:rsidRDefault="003C7650" w:rsidP="003C7650">
            <w:pPr>
              <w:jc w:val="both"/>
              <w:rPr>
                <w:sz w:val="20"/>
                <w:lang w:val="en-CA"/>
              </w:rPr>
            </w:pPr>
          </w:p>
        </w:tc>
      </w:tr>
      <w:tr w:rsidR="003C7650" w:rsidRPr="00BE586A" w:rsidTr="00E95A6A">
        <w:tc>
          <w:tcPr>
            <w:tcW w:w="2427" w:type="pct"/>
            <w:gridSpan w:val="2"/>
          </w:tcPr>
          <w:p w:rsidR="003C7650" w:rsidRPr="00BE586A" w:rsidRDefault="003C7650" w:rsidP="003C7650">
            <w:pPr>
              <w:jc w:val="both"/>
              <w:rPr>
                <w:sz w:val="20"/>
                <w:lang w:val="en-CA"/>
              </w:rPr>
            </w:pPr>
            <w:r w:rsidRPr="00BE586A">
              <w:rPr>
                <w:sz w:val="20"/>
                <w:lang w:val="en-CA"/>
              </w:rPr>
              <w:t>October 12, 2012</w:t>
            </w:r>
          </w:p>
          <w:p w:rsidR="003C7650" w:rsidRPr="00BE586A" w:rsidRDefault="003C7650" w:rsidP="003C7650">
            <w:pPr>
              <w:jc w:val="both"/>
              <w:rPr>
                <w:sz w:val="20"/>
                <w:lang w:val="en-CA"/>
              </w:rPr>
            </w:pPr>
            <w:r w:rsidRPr="00BE586A">
              <w:rPr>
                <w:sz w:val="20"/>
                <w:lang w:val="en-CA"/>
              </w:rPr>
              <w:t>Court of Québec</w:t>
            </w:r>
          </w:p>
          <w:p w:rsidR="003C7650" w:rsidRPr="00BE586A" w:rsidRDefault="003C7650" w:rsidP="003C7650">
            <w:pPr>
              <w:jc w:val="both"/>
              <w:rPr>
                <w:sz w:val="20"/>
                <w:lang w:val="en-CA"/>
              </w:rPr>
            </w:pPr>
            <w:r w:rsidRPr="00BE586A">
              <w:rPr>
                <w:sz w:val="20"/>
                <w:lang w:val="en-CA"/>
              </w:rPr>
              <w:t>(Judge Kovacevich)</w:t>
            </w:r>
          </w:p>
          <w:p w:rsidR="003C7650" w:rsidRPr="00BE586A" w:rsidRDefault="003C7650" w:rsidP="003C7650">
            <w:pPr>
              <w:jc w:val="both"/>
              <w:rPr>
                <w:sz w:val="20"/>
                <w:lang w:val="en-CA"/>
              </w:rPr>
            </w:pPr>
          </w:p>
        </w:tc>
        <w:tc>
          <w:tcPr>
            <w:tcW w:w="243" w:type="pct"/>
          </w:tcPr>
          <w:p w:rsidR="003C7650" w:rsidRPr="00BE586A" w:rsidRDefault="003C7650" w:rsidP="003C7650">
            <w:pPr>
              <w:jc w:val="both"/>
              <w:rPr>
                <w:sz w:val="20"/>
                <w:lang w:val="en-CA"/>
              </w:rPr>
            </w:pPr>
          </w:p>
        </w:tc>
        <w:tc>
          <w:tcPr>
            <w:tcW w:w="2330" w:type="pct"/>
          </w:tcPr>
          <w:p w:rsidR="003C7650" w:rsidRPr="00BE586A" w:rsidRDefault="003C7650" w:rsidP="003C7650">
            <w:pPr>
              <w:jc w:val="both"/>
              <w:rPr>
                <w:sz w:val="20"/>
                <w:lang w:val="en-CA"/>
              </w:rPr>
            </w:pPr>
            <w:r w:rsidRPr="00BE586A">
              <w:rPr>
                <w:sz w:val="20"/>
                <w:lang w:val="en-CA"/>
              </w:rPr>
              <w:t>Applicant convicted of two counts of sexual assault (s. 271(1)(</w:t>
            </w:r>
            <w:r w:rsidRPr="00BE586A">
              <w:rPr>
                <w:i/>
                <w:sz w:val="20"/>
                <w:lang w:val="en-CA"/>
              </w:rPr>
              <w:t>a</w:t>
            </w:r>
            <w:r w:rsidRPr="00BE586A">
              <w:rPr>
                <w:sz w:val="20"/>
                <w:lang w:val="en-CA"/>
              </w:rPr>
              <w:t xml:space="preserve">) </w:t>
            </w:r>
            <w:r w:rsidRPr="00BE586A">
              <w:rPr>
                <w:i/>
                <w:sz w:val="20"/>
                <w:lang w:val="en-CA"/>
              </w:rPr>
              <w:t>Criminal Code</w:t>
            </w:r>
            <w:r w:rsidRPr="00BE586A">
              <w:rPr>
                <w:sz w:val="20"/>
                <w:lang w:val="en-CA"/>
              </w:rPr>
              <w:t>) and one count of forcible confinement (s. 279(2)(</w:t>
            </w:r>
            <w:r w:rsidRPr="00BE586A">
              <w:rPr>
                <w:i/>
                <w:sz w:val="20"/>
                <w:lang w:val="en-CA"/>
              </w:rPr>
              <w:t>a</w:t>
            </w:r>
            <w:r w:rsidRPr="00BE586A">
              <w:rPr>
                <w:sz w:val="20"/>
                <w:lang w:val="en-CA"/>
              </w:rPr>
              <w:t xml:space="preserve">) </w:t>
            </w:r>
            <w:r w:rsidRPr="00BE586A">
              <w:rPr>
                <w:i/>
                <w:sz w:val="20"/>
                <w:lang w:val="en-CA"/>
              </w:rPr>
              <w:t>Criminal Code</w:t>
            </w:r>
            <w:r w:rsidRPr="00BE586A">
              <w:rPr>
                <w:sz w:val="20"/>
                <w:lang w:val="en-CA"/>
              </w:rPr>
              <w:t>)</w:t>
            </w:r>
          </w:p>
          <w:p w:rsidR="003C7650" w:rsidRPr="00BE586A" w:rsidRDefault="003C7650" w:rsidP="003C7650">
            <w:pPr>
              <w:jc w:val="both"/>
              <w:rPr>
                <w:sz w:val="20"/>
                <w:lang w:val="en-CA"/>
              </w:rPr>
            </w:pPr>
          </w:p>
        </w:tc>
      </w:tr>
      <w:tr w:rsidR="003C7650" w:rsidRPr="00BE586A" w:rsidTr="00E95A6A">
        <w:tc>
          <w:tcPr>
            <w:tcW w:w="2427" w:type="pct"/>
            <w:gridSpan w:val="2"/>
          </w:tcPr>
          <w:p w:rsidR="003C7650" w:rsidRPr="00BE586A" w:rsidRDefault="003C7650" w:rsidP="003C7650">
            <w:pPr>
              <w:jc w:val="both"/>
              <w:rPr>
                <w:sz w:val="20"/>
                <w:lang w:val="en-CA"/>
              </w:rPr>
            </w:pPr>
            <w:r w:rsidRPr="00BE586A">
              <w:rPr>
                <w:sz w:val="20"/>
                <w:lang w:val="en-CA"/>
              </w:rPr>
              <w:t>April 24, 2015</w:t>
            </w:r>
          </w:p>
          <w:p w:rsidR="003C7650" w:rsidRPr="00BE586A" w:rsidRDefault="003C7650" w:rsidP="003C7650">
            <w:pPr>
              <w:jc w:val="both"/>
              <w:rPr>
                <w:sz w:val="20"/>
                <w:lang w:val="en-CA"/>
              </w:rPr>
            </w:pPr>
            <w:r w:rsidRPr="00BE586A">
              <w:rPr>
                <w:sz w:val="20"/>
                <w:lang w:val="en-CA"/>
              </w:rPr>
              <w:t>Quebec Court of Appeal (Montréal)</w:t>
            </w:r>
          </w:p>
          <w:p w:rsidR="003C7650" w:rsidRPr="00BE586A" w:rsidRDefault="003C7650" w:rsidP="003C7650">
            <w:pPr>
              <w:jc w:val="both"/>
              <w:rPr>
                <w:sz w:val="20"/>
                <w:lang w:val="en-CA"/>
              </w:rPr>
            </w:pPr>
            <w:r w:rsidRPr="00BE586A">
              <w:rPr>
                <w:sz w:val="20"/>
                <w:lang w:val="en-CA"/>
              </w:rPr>
              <w:t>(Morissette, St</w:t>
            </w:r>
            <w:r w:rsidRPr="00BE586A">
              <w:rPr>
                <w:sz w:val="20"/>
                <w:lang w:val="en-CA"/>
              </w:rPr>
              <w:noBreakHyphen/>
              <w:t>Pierre and Bouchard JJ.A.)</w:t>
            </w:r>
          </w:p>
          <w:p w:rsidR="003C7650" w:rsidRPr="00BE586A" w:rsidRDefault="00004558" w:rsidP="003C7650">
            <w:pPr>
              <w:jc w:val="both"/>
              <w:rPr>
                <w:sz w:val="20"/>
                <w:lang w:val="en-CA"/>
              </w:rPr>
            </w:pPr>
            <w:hyperlink r:id="rId21" w:history="1">
              <w:r w:rsidR="003C7650" w:rsidRPr="00BE586A">
                <w:rPr>
                  <w:rStyle w:val="Hyperlink"/>
                  <w:sz w:val="20"/>
                  <w:lang w:val="en-CA"/>
                </w:rPr>
                <w:t>2015 QCCA 690</w:t>
              </w:r>
            </w:hyperlink>
          </w:p>
          <w:p w:rsidR="003C7650" w:rsidRPr="00BE586A" w:rsidRDefault="003C7650" w:rsidP="003C7650">
            <w:pPr>
              <w:jc w:val="both"/>
              <w:rPr>
                <w:sz w:val="20"/>
                <w:lang w:val="en-CA"/>
              </w:rPr>
            </w:pPr>
          </w:p>
        </w:tc>
        <w:tc>
          <w:tcPr>
            <w:tcW w:w="243" w:type="pct"/>
          </w:tcPr>
          <w:p w:rsidR="003C7650" w:rsidRPr="00BE586A" w:rsidRDefault="003C7650" w:rsidP="003C7650">
            <w:pPr>
              <w:jc w:val="both"/>
              <w:rPr>
                <w:sz w:val="20"/>
                <w:lang w:val="en-CA"/>
              </w:rPr>
            </w:pPr>
          </w:p>
        </w:tc>
        <w:tc>
          <w:tcPr>
            <w:tcW w:w="2330" w:type="pct"/>
          </w:tcPr>
          <w:p w:rsidR="003C7650" w:rsidRPr="00BE586A" w:rsidRDefault="003C7650" w:rsidP="003C7650">
            <w:pPr>
              <w:jc w:val="both"/>
              <w:rPr>
                <w:sz w:val="20"/>
                <w:lang w:val="en-CA"/>
              </w:rPr>
            </w:pPr>
            <w:r w:rsidRPr="00BE586A">
              <w:rPr>
                <w:sz w:val="20"/>
                <w:lang w:val="en-CA"/>
              </w:rPr>
              <w:t xml:space="preserve">Appeal dismissed </w:t>
            </w:r>
          </w:p>
        </w:tc>
      </w:tr>
      <w:tr w:rsidR="003C7650" w:rsidRPr="00BE586A" w:rsidTr="00E95A6A">
        <w:tc>
          <w:tcPr>
            <w:tcW w:w="2427" w:type="pct"/>
            <w:gridSpan w:val="2"/>
          </w:tcPr>
          <w:p w:rsidR="003C7650" w:rsidRPr="00BE586A" w:rsidRDefault="003C7650" w:rsidP="003C7650">
            <w:pPr>
              <w:jc w:val="both"/>
              <w:rPr>
                <w:sz w:val="20"/>
                <w:lang w:val="en-CA"/>
              </w:rPr>
            </w:pPr>
            <w:r w:rsidRPr="00BE586A">
              <w:rPr>
                <w:sz w:val="20"/>
                <w:lang w:val="en-CA"/>
              </w:rPr>
              <w:t>May 3, 2016</w:t>
            </w:r>
          </w:p>
          <w:p w:rsidR="003C7650" w:rsidRPr="00BE586A" w:rsidRDefault="003C7650" w:rsidP="003C7650">
            <w:pPr>
              <w:jc w:val="both"/>
              <w:rPr>
                <w:sz w:val="20"/>
                <w:lang w:val="en-CA"/>
              </w:rPr>
            </w:pPr>
            <w:r w:rsidRPr="00BE586A">
              <w:rPr>
                <w:sz w:val="20"/>
                <w:lang w:val="en-CA"/>
              </w:rPr>
              <w:t>Supreme Court of Canada</w:t>
            </w:r>
          </w:p>
        </w:tc>
        <w:tc>
          <w:tcPr>
            <w:tcW w:w="243" w:type="pct"/>
          </w:tcPr>
          <w:p w:rsidR="003C7650" w:rsidRPr="00BE586A" w:rsidRDefault="003C7650" w:rsidP="003C7650">
            <w:pPr>
              <w:jc w:val="both"/>
              <w:rPr>
                <w:sz w:val="20"/>
                <w:lang w:val="en-CA"/>
              </w:rPr>
            </w:pPr>
          </w:p>
        </w:tc>
        <w:tc>
          <w:tcPr>
            <w:tcW w:w="2330" w:type="pct"/>
          </w:tcPr>
          <w:p w:rsidR="003C7650" w:rsidRPr="00BE586A" w:rsidRDefault="003C7650" w:rsidP="003C7650">
            <w:pPr>
              <w:jc w:val="both"/>
              <w:rPr>
                <w:sz w:val="20"/>
                <w:lang w:val="en-CA"/>
              </w:rPr>
            </w:pPr>
            <w:r w:rsidRPr="00BE586A">
              <w:rPr>
                <w:sz w:val="20"/>
                <w:lang w:val="en-CA"/>
              </w:rPr>
              <w:t>Application for leave to appeal filed</w:t>
            </w:r>
          </w:p>
          <w:p w:rsidR="003C7650" w:rsidRPr="00BE586A" w:rsidRDefault="003C7650" w:rsidP="003C7650">
            <w:pPr>
              <w:jc w:val="both"/>
              <w:rPr>
                <w:sz w:val="20"/>
                <w:lang w:val="en-CA"/>
              </w:rPr>
            </w:pPr>
          </w:p>
        </w:tc>
      </w:tr>
    </w:tbl>
    <w:p w:rsidR="003C7650" w:rsidRPr="00BE586A" w:rsidRDefault="003C7650" w:rsidP="003C7650">
      <w:pPr>
        <w:jc w:val="both"/>
        <w:rPr>
          <w:sz w:val="20"/>
          <w:lang w:val="en-CA"/>
        </w:rPr>
      </w:pPr>
    </w:p>
    <w:p w:rsidR="003C7650" w:rsidRPr="00BE586A" w:rsidRDefault="003C7650" w:rsidP="003C765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C7650" w:rsidRPr="00BE586A" w:rsidTr="00E95A6A">
        <w:tc>
          <w:tcPr>
            <w:tcW w:w="543" w:type="pct"/>
          </w:tcPr>
          <w:p w:rsidR="003C7650" w:rsidRPr="00BE586A" w:rsidRDefault="003C7650" w:rsidP="003C7650">
            <w:pPr>
              <w:jc w:val="both"/>
              <w:rPr>
                <w:sz w:val="20"/>
              </w:rPr>
            </w:pPr>
            <w:r w:rsidRPr="00BE586A">
              <w:rPr>
                <w:rStyle w:val="SCCFileNumberChar"/>
                <w:sz w:val="20"/>
                <w:szCs w:val="20"/>
              </w:rPr>
              <w:t>36992</w:t>
            </w:r>
          </w:p>
        </w:tc>
        <w:tc>
          <w:tcPr>
            <w:tcW w:w="4457" w:type="pct"/>
            <w:gridSpan w:val="3"/>
          </w:tcPr>
          <w:p w:rsidR="003C7650" w:rsidRPr="00BE586A" w:rsidRDefault="003C7650" w:rsidP="003C7650">
            <w:pPr>
              <w:pStyle w:val="SCCLsocParty"/>
              <w:jc w:val="both"/>
              <w:rPr>
                <w:b/>
                <w:sz w:val="20"/>
                <w:szCs w:val="20"/>
              </w:rPr>
            </w:pPr>
            <w:r w:rsidRPr="00BE586A">
              <w:rPr>
                <w:b/>
                <w:sz w:val="20"/>
                <w:szCs w:val="20"/>
              </w:rPr>
              <w:t xml:space="preserve">Serge </w:t>
            </w:r>
            <w:proofErr w:type="spellStart"/>
            <w:r w:rsidRPr="00BE586A">
              <w:rPr>
                <w:b/>
                <w:sz w:val="20"/>
                <w:szCs w:val="20"/>
              </w:rPr>
              <w:t>Takri</w:t>
            </w:r>
            <w:proofErr w:type="spellEnd"/>
            <w:r w:rsidRPr="00BE586A">
              <w:rPr>
                <w:b/>
                <w:sz w:val="20"/>
                <w:szCs w:val="20"/>
              </w:rPr>
              <w:t xml:space="preserve"> c. Sa Majesté la Reine</w:t>
            </w:r>
          </w:p>
          <w:p w:rsidR="003C7650" w:rsidRPr="00BE586A" w:rsidRDefault="003C7650" w:rsidP="003C7650">
            <w:pPr>
              <w:jc w:val="both"/>
              <w:rPr>
                <w:sz w:val="20"/>
              </w:rPr>
            </w:pPr>
            <w:r w:rsidRPr="00BE586A">
              <w:rPr>
                <w:sz w:val="20"/>
              </w:rPr>
              <w:t>(Qc) (</w:t>
            </w:r>
            <w:proofErr w:type="spellStart"/>
            <w:r w:rsidRPr="00BE586A">
              <w:rPr>
                <w:sz w:val="20"/>
              </w:rPr>
              <w:t>Criminelle</w:t>
            </w:r>
            <w:proofErr w:type="spellEnd"/>
            <w:r w:rsidRPr="00BE586A">
              <w:rPr>
                <w:sz w:val="20"/>
              </w:rPr>
              <w:t>) (</w:t>
            </w:r>
            <w:proofErr w:type="spellStart"/>
            <w:r w:rsidRPr="00BE586A">
              <w:rPr>
                <w:sz w:val="20"/>
              </w:rPr>
              <w:t>Autorisation</w:t>
            </w:r>
            <w:proofErr w:type="spellEnd"/>
            <w:r w:rsidRPr="00BE586A">
              <w:rPr>
                <w:sz w:val="20"/>
              </w:rPr>
              <w:t>)</w:t>
            </w:r>
          </w:p>
        </w:tc>
      </w:tr>
      <w:tr w:rsidR="003C7650" w:rsidRPr="00BE586A" w:rsidTr="00E95A6A">
        <w:tc>
          <w:tcPr>
            <w:tcW w:w="5000" w:type="pct"/>
            <w:gridSpan w:val="4"/>
          </w:tcPr>
          <w:p w:rsidR="003C7650" w:rsidRPr="00BE586A" w:rsidRDefault="003C7650" w:rsidP="003C7650">
            <w:pPr>
              <w:pStyle w:val="SCCBanSummary"/>
              <w:rPr>
                <w:sz w:val="20"/>
                <w:szCs w:val="20"/>
              </w:rPr>
            </w:pPr>
            <w:r w:rsidRPr="00BE586A">
              <w:rPr>
                <w:sz w:val="20"/>
                <w:szCs w:val="20"/>
              </w:rPr>
              <w:t xml:space="preserve">(Ordonnance de non-publication </w:t>
            </w:r>
            <w:proofErr w:type="spellStart"/>
            <w:r w:rsidRPr="00BE586A">
              <w:rPr>
                <w:sz w:val="20"/>
                <w:szCs w:val="20"/>
              </w:rPr>
              <w:t>dans</w:t>
            </w:r>
            <w:proofErr w:type="spellEnd"/>
            <w:r w:rsidRPr="00BE586A">
              <w:rPr>
                <w:sz w:val="20"/>
                <w:szCs w:val="20"/>
              </w:rPr>
              <w:t xml:space="preserve"> le dossier)</w:t>
            </w:r>
          </w:p>
          <w:p w:rsidR="003C7650" w:rsidRPr="00BE586A" w:rsidRDefault="003C7650" w:rsidP="003C7650">
            <w:pPr>
              <w:jc w:val="both"/>
              <w:rPr>
                <w:sz w:val="20"/>
              </w:rPr>
            </w:pPr>
          </w:p>
        </w:tc>
      </w:tr>
      <w:tr w:rsidR="003C7650" w:rsidRPr="00BE586A" w:rsidTr="00E95A6A">
        <w:tc>
          <w:tcPr>
            <w:tcW w:w="5000" w:type="pct"/>
            <w:gridSpan w:val="4"/>
          </w:tcPr>
          <w:p w:rsidR="003C7650" w:rsidRPr="00BE586A" w:rsidRDefault="003C7650" w:rsidP="003C7650">
            <w:pPr>
              <w:jc w:val="both"/>
              <w:rPr>
                <w:sz w:val="20"/>
              </w:rPr>
            </w:pPr>
            <w:r w:rsidRPr="00BE586A">
              <w:rPr>
                <w:sz w:val="20"/>
              </w:rPr>
              <w:lastRenderedPageBreak/>
              <w:t xml:space="preserve">Droit criminel – Agression sexuelle – Séquestration – Appels – Verdict déraisonnable – </w:t>
            </w:r>
            <w:r w:rsidRPr="00BE586A">
              <w:rPr>
                <w:iCs/>
                <w:sz w:val="20"/>
              </w:rPr>
              <w:t>Défense de croyance sincère mais erronée au consentement – La juge de première instance a-t-elle fait erreur en ne considérant pas la défense d’erreur de fait quant au consentement? – Le verdict est-il déraisonnable?</w:t>
            </w:r>
          </w:p>
        </w:tc>
      </w:tr>
      <w:tr w:rsidR="003C7650" w:rsidRPr="00BE586A" w:rsidTr="00E95A6A">
        <w:tc>
          <w:tcPr>
            <w:tcW w:w="5000" w:type="pct"/>
            <w:gridSpan w:val="4"/>
          </w:tcPr>
          <w:p w:rsidR="003C7650" w:rsidRPr="00BE586A" w:rsidRDefault="003C7650" w:rsidP="003C7650">
            <w:pPr>
              <w:jc w:val="both"/>
              <w:rPr>
                <w:sz w:val="20"/>
              </w:rPr>
            </w:pPr>
          </w:p>
          <w:p w:rsidR="003C7650" w:rsidRPr="00BE586A" w:rsidRDefault="003C7650" w:rsidP="003C7650">
            <w:pPr>
              <w:jc w:val="both"/>
              <w:rPr>
                <w:sz w:val="20"/>
              </w:rPr>
            </w:pPr>
            <w:r w:rsidRPr="00BE586A">
              <w:rPr>
                <w:sz w:val="20"/>
              </w:rPr>
              <w:t xml:space="preserve">Monsieur Takri a été déclaré coupable de deux chefs d’agression sexuelle et d’un chef de séquestration. Au procès, la seule question en litige était celle du consentement. En appel, M. Takri a soutenu que la juge du procès n’avait pas suffisamment motivé sa décision, qu’elle avait fait erreur en refusant de faire usage de certaines photographies, qu’elle n’avait pas suivi les enseignements de la Cour dans l’arrêt </w:t>
            </w:r>
            <w:r w:rsidRPr="00BE586A">
              <w:rPr>
                <w:i/>
                <w:sz w:val="20"/>
              </w:rPr>
              <w:t xml:space="preserve">R. </w:t>
            </w:r>
            <w:r w:rsidRPr="00BE586A">
              <w:rPr>
                <w:i/>
                <w:iCs/>
                <w:sz w:val="20"/>
              </w:rPr>
              <w:t>c</w:t>
            </w:r>
            <w:r w:rsidRPr="00BE586A">
              <w:rPr>
                <w:i/>
                <w:sz w:val="20"/>
              </w:rPr>
              <w:t>. W.(D.)</w:t>
            </w:r>
            <w:r w:rsidRPr="00BE586A">
              <w:rPr>
                <w:sz w:val="20"/>
              </w:rPr>
              <w:t>, [1991] 1 R.C.S. 742, et qu’elle avait prononcé un verdict déraisonnable. À l’unanimité, la Cour d’appel a rejeté l’appel.</w:t>
            </w:r>
          </w:p>
          <w:p w:rsidR="003C7650" w:rsidRPr="00BE586A" w:rsidRDefault="003C7650" w:rsidP="003C7650">
            <w:pPr>
              <w:jc w:val="both"/>
              <w:rPr>
                <w:sz w:val="20"/>
              </w:rPr>
            </w:pPr>
          </w:p>
        </w:tc>
      </w:tr>
      <w:tr w:rsidR="003C7650" w:rsidRPr="00BE586A" w:rsidTr="00E95A6A">
        <w:tc>
          <w:tcPr>
            <w:tcW w:w="2427" w:type="pct"/>
            <w:gridSpan w:val="2"/>
          </w:tcPr>
          <w:p w:rsidR="003C7650" w:rsidRPr="00BE586A" w:rsidRDefault="003C7650" w:rsidP="003C7650">
            <w:pPr>
              <w:jc w:val="both"/>
              <w:rPr>
                <w:sz w:val="20"/>
              </w:rPr>
            </w:pPr>
            <w:r w:rsidRPr="00BE586A">
              <w:rPr>
                <w:sz w:val="20"/>
              </w:rPr>
              <w:t>Le 12 octobre 2012</w:t>
            </w:r>
          </w:p>
          <w:p w:rsidR="003C7650" w:rsidRPr="00BE586A" w:rsidRDefault="003C7650" w:rsidP="003C7650">
            <w:pPr>
              <w:jc w:val="both"/>
              <w:rPr>
                <w:sz w:val="20"/>
              </w:rPr>
            </w:pPr>
            <w:r w:rsidRPr="00BE586A">
              <w:rPr>
                <w:sz w:val="20"/>
              </w:rPr>
              <w:t>Cour du Québec</w:t>
            </w:r>
          </w:p>
          <w:p w:rsidR="003C7650" w:rsidRPr="00BE586A" w:rsidRDefault="003C7650" w:rsidP="003C7650">
            <w:pPr>
              <w:jc w:val="both"/>
              <w:rPr>
                <w:sz w:val="20"/>
              </w:rPr>
            </w:pPr>
            <w:r w:rsidRPr="00BE586A">
              <w:rPr>
                <w:sz w:val="20"/>
              </w:rPr>
              <w:t>(Le juge Kovacevich)</w:t>
            </w:r>
          </w:p>
          <w:p w:rsidR="003C7650" w:rsidRPr="00BE586A" w:rsidRDefault="003C7650" w:rsidP="003C7650">
            <w:pPr>
              <w:jc w:val="both"/>
              <w:rPr>
                <w:sz w:val="20"/>
              </w:rPr>
            </w:pPr>
          </w:p>
        </w:tc>
        <w:tc>
          <w:tcPr>
            <w:tcW w:w="243" w:type="pct"/>
          </w:tcPr>
          <w:p w:rsidR="003C7650" w:rsidRPr="00BE586A" w:rsidRDefault="003C7650" w:rsidP="003C7650">
            <w:pPr>
              <w:jc w:val="both"/>
              <w:rPr>
                <w:sz w:val="20"/>
              </w:rPr>
            </w:pPr>
          </w:p>
        </w:tc>
        <w:tc>
          <w:tcPr>
            <w:tcW w:w="2330" w:type="pct"/>
          </w:tcPr>
          <w:p w:rsidR="003C7650" w:rsidRPr="00BE586A" w:rsidRDefault="003C7650" w:rsidP="003C7650">
            <w:pPr>
              <w:jc w:val="both"/>
              <w:rPr>
                <w:sz w:val="20"/>
              </w:rPr>
            </w:pPr>
            <w:r w:rsidRPr="00BE586A">
              <w:rPr>
                <w:sz w:val="20"/>
              </w:rPr>
              <w:t>Demandeur déclaré coupable de deux chefs  d’agression sexuelle (art. 271(1)</w:t>
            </w:r>
            <w:r w:rsidRPr="00BE586A">
              <w:rPr>
                <w:i/>
                <w:sz w:val="20"/>
              </w:rPr>
              <w:t>a</w:t>
            </w:r>
            <w:r w:rsidRPr="00BE586A">
              <w:rPr>
                <w:sz w:val="20"/>
              </w:rPr>
              <w:t xml:space="preserve">) </w:t>
            </w:r>
            <w:r w:rsidRPr="00BE586A">
              <w:rPr>
                <w:i/>
                <w:sz w:val="20"/>
              </w:rPr>
              <w:t>Code criminel</w:t>
            </w:r>
            <w:r w:rsidRPr="00BE586A">
              <w:rPr>
                <w:sz w:val="20"/>
              </w:rPr>
              <w:t>) et d’un chef de séquestration (art. 279(2)</w:t>
            </w:r>
            <w:r w:rsidRPr="00BE586A">
              <w:rPr>
                <w:i/>
                <w:sz w:val="20"/>
              </w:rPr>
              <w:t>a</w:t>
            </w:r>
            <w:r w:rsidRPr="00BE586A">
              <w:rPr>
                <w:sz w:val="20"/>
              </w:rPr>
              <w:t xml:space="preserve">) </w:t>
            </w:r>
            <w:r w:rsidRPr="00BE586A">
              <w:rPr>
                <w:i/>
                <w:sz w:val="20"/>
              </w:rPr>
              <w:t>Code criminel</w:t>
            </w:r>
            <w:r w:rsidRPr="00BE586A">
              <w:rPr>
                <w:sz w:val="20"/>
              </w:rPr>
              <w:t>)</w:t>
            </w:r>
          </w:p>
          <w:p w:rsidR="003C7650" w:rsidRPr="00BE586A" w:rsidRDefault="003C7650" w:rsidP="003C7650">
            <w:pPr>
              <w:jc w:val="both"/>
              <w:rPr>
                <w:sz w:val="20"/>
              </w:rPr>
            </w:pPr>
          </w:p>
        </w:tc>
      </w:tr>
      <w:tr w:rsidR="003C7650" w:rsidRPr="00BE586A" w:rsidTr="00E95A6A">
        <w:tc>
          <w:tcPr>
            <w:tcW w:w="2427" w:type="pct"/>
            <w:gridSpan w:val="2"/>
          </w:tcPr>
          <w:p w:rsidR="003C7650" w:rsidRPr="00BE586A" w:rsidRDefault="003C7650" w:rsidP="003C7650">
            <w:pPr>
              <w:jc w:val="both"/>
              <w:rPr>
                <w:sz w:val="20"/>
              </w:rPr>
            </w:pPr>
            <w:r w:rsidRPr="00BE586A">
              <w:rPr>
                <w:sz w:val="20"/>
              </w:rPr>
              <w:t>Le 24 avril 2015</w:t>
            </w:r>
          </w:p>
          <w:p w:rsidR="003C7650" w:rsidRPr="00BE586A" w:rsidRDefault="003C7650" w:rsidP="003C7650">
            <w:pPr>
              <w:jc w:val="both"/>
              <w:rPr>
                <w:sz w:val="20"/>
              </w:rPr>
            </w:pPr>
            <w:r w:rsidRPr="00BE586A">
              <w:rPr>
                <w:sz w:val="20"/>
              </w:rPr>
              <w:t>Cour d’appel du Québec (Montréal)</w:t>
            </w:r>
          </w:p>
          <w:p w:rsidR="003C7650" w:rsidRPr="00BE586A" w:rsidRDefault="003C7650" w:rsidP="003C7650">
            <w:pPr>
              <w:jc w:val="both"/>
              <w:rPr>
                <w:sz w:val="20"/>
              </w:rPr>
            </w:pPr>
            <w:r w:rsidRPr="00BE586A">
              <w:rPr>
                <w:sz w:val="20"/>
              </w:rPr>
              <w:t>(Les juges Morissette, St-Pierre et Bouchard)</w:t>
            </w:r>
          </w:p>
          <w:p w:rsidR="003C7650" w:rsidRPr="00BE586A" w:rsidRDefault="00004558" w:rsidP="003C7650">
            <w:pPr>
              <w:jc w:val="both"/>
              <w:rPr>
                <w:sz w:val="20"/>
              </w:rPr>
            </w:pPr>
            <w:hyperlink r:id="rId22" w:history="1">
              <w:r w:rsidR="003C7650" w:rsidRPr="00BE586A">
                <w:rPr>
                  <w:rStyle w:val="Hyperlink"/>
                  <w:sz w:val="20"/>
                </w:rPr>
                <w:t>2015 QCCA 690</w:t>
              </w:r>
            </w:hyperlink>
          </w:p>
          <w:p w:rsidR="003C7650" w:rsidRPr="00BE586A" w:rsidRDefault="003C7650" w:rsidP="003C7650">
            <w:pPr>
              <w:jc w:val="both"/>
              <w:rPr>
                <w:sz w:val="20"/>
              </w:rPr>
            </w:pPr>
          </w:p>
        </w:tc>
        <w:tc>
          <w:tcPr>
            <w:tcW w:w="243" w:type="pct"/>
          </w:tcPr>
          <w:p w:rsidR="003C7650" w:rsidRPr="00BE586A" w:rsidRDefault="003C7650" w:rsidP="003C7650">
            <w:pPr>
              <w:jc w:val="both"/>
              <w:rPr>
                <w:sz w:val="20"/>
              </w:rPr>
            </w:pPr>
          </w:p>
        </w:tc>
        <w:tc>
          <w:tcPr>
            <w:tcW w:w="2330" w:type="pct"/>
          </w:tcPr>
          <w:p w:rsidR="003C7650" w:rsidRPr="00BE586A" w:rsidRDefault="003C7650" w:rsidP="003C7650">
            <w:pPr>
              <w:jc w:val="both"/>
              <w:rPr>
                <w:sz w:val="20"/>
              </w:rPr>
            </w:pPr>
            <w:r w:rsidRPr="00BE586A">
              <w:rPr>
                <w:sz w:val="20"/>
              </w:rPr>
              <w:t xml:space="preserve">Appel rejeté </w:t>
            </w:r>
          </w:p>
        </w:tc>
      </w:tr>
      <w:tr w:rsidR="003C7650" w:rsidRPr="00BE586A" w:rsidTr="00E95A6A">
        <w:tc>
          <w:tcPr>
            <w:tcW w:w="2427" w:type="pct"/>
            <w:gridSpan w:val="2"/>
          </w:tcPr>
          <w:p w:rsidR="003C7650" w:rsidRPr="00BE586A" w:rsidRDefault="003C7650" w:rsidP="003C7650">
            <w:pPr>
              <w:jc w:val="both"/>
              <w:rPr>
                <w:sz w:val="20"/>
              </w:rPr>
            </w:pPr>
            <w:r w:rsidRPr="00BE586A">
              <w:rPr>
                <w:sz w:val="20"/>
              </w:rPr>
              <w:t>Le 3 mai 2016</w:t>
            </w:r>
          </w:p>
          <w:p w:rsidR="003C7650" w:rsidRPr="00BE586A" w:rsidRDefault="003C7650" w:rsidP="003C7650">
            <w:pPr>
              <w:jc w:val="both"/>
              <w:rPr>
                <w:sz w:val="20"/>
              </w:rPr>
            </w:pPr>
            <w:r w:rsidRPr="00BE586A">
              <w:rPr>
                <w:sz w:val="20"/>
              </w:rPr>
              <w:t>Cour suprême du Canada</w:t>
            </w:r>
          </w:p>
        </w:tc>
        <w:tc>
          <w:tcPr>
            <w:tcW w:w="243" w:type="pct"/>
          </w:tcPr>
          <w:p w:rsidR="003C7650" w:rsidRPr="00BE586A" w:rsidRDefault="003C7650" w:rsidP="003C7650">
            <w:pPr>
              <w:jc w:val="both"/>
              <w:rPr>
                <w:sz w:val="20"/>
              </w:rPr>
            </w:pPr>
          </w:p>
        </w:tc>
        <w:tc>
          <w:tcPr>
            <w:tcW w:w="2330" w:type="pct"/>
          </w:tcPr>
          <w:p w:rsidR="003C7650" w:rsidRPr="00BE586A" w:rsidRDefault="003C7650" w:rsidP="003C7650">
            <w:pPr>
              <w:jc w:val="both"/>
              <w:rPr>
                <w:sz w:val="20"/>
              </w:rPr>
            </w:pPr>
            <w:r w:rsidRPr="00BE586A">
              <w:rPr>
                <w:sz w:val="20"/>
              </w:rPr>
              <w:t>Demande d'autorisation d'appel déposée</w:t>
            </w:r>
          </w:p>
          <w:p w:rsidR="003C7650" w:rsidRPr="00BE586A" w:rsidRDefault="003C7650" w:rsidP="003C7650">
            <w:pPr>
              <w:jc w:val="both"/>
              <w:rPr>
                <w:sz w:val="20"/>
              </w:rPr>
            </w:pPr>
          </w:p>
        </w:tc>
      </w:tr>
    </w:tbl>
    <w:p w:rsidR="003C7650" w:rsidRPr="00BE586A" w:rsidRDefault="003C7650" w:rsidP="003C7650">
      <w:pPr>
        <w:jc w:val="both"/>
        <w:rPr>
          <w:sz w:val="20"/>
        </w:rPr>
      </w:pPr>
    </w:p>
    <w:p w:rsidR="00E61777" w:rsidRPr="00BE586A" w:rsidRDefault="00E61777" w:rsidP="003C7650">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C7650" w:rsidRPr="00BE586A" w:rsidTr="00E95A6A">
        <w:tc>
          <w:tcPr>
            <w:tcW w:w="543" w:type="pct"/>
          </w:tcPr>
          <w:p w:rsidR="003C7650" w:rsidRPr="00BE586A" w:rsidRDefault="003C7650" w:rsidP="003C7650">
            <w:pPr>
              <w:jc w:val="both"/>
              <w:rPr>
                <w:sz w:val="20"/>
                <w:lang w:val="en-CA"/>
              </w:rPr>
            </w:pPr>
            <w:r w:rsidRPr="00BE586A">
              <w:rPr>
                <w:rStyle w:val="SCCFileNumberChar"/>
                <w:sz w:val="20"/>
                <w:szCs w:val="20"/>
              </w:rPr>
              <w:t>36971</w:t>
            </w:r>
          </w:p>
        </w:tc>
        <w:tc>
          <w:tcPr>
            <w:tcW w:w="4457" w:type="pct"/>
            <w:gridSpan w:val="3"/>
          </w:tcPr>
          <w:p w:rsidR="003C7650" w:rsidRPr="00BE586A" w:rsidRDefault="003C7650" w:rsidP="003C7650">
            <w:pPr>
              <w:pStyle w:val="SCCLsocParty"/>
              <w:jc w:val="both"/>
              <w:rPr>
                <w:b/>
                <w:sz w:val="20"/>
                <w:szCs w:val="20"/>
                <w:lang w:val="en-CA"/>
              </w:rPr>
            </w:pPr>
            <w:r w:rsidRPr="00BE586A">
              <w:rPr>
                <w:b/>
                <w:sz w:val="20"/>
                <w:szCs w:val="20"/>
                <w:lang w:val="en-CA"/>
              </w:rPr>
              <w:t>Robert Beaulieu v. Attorney General of Canada</w:t>
            </w:r>
          </w:p>
          <w:p w:rsidR="003C7650" w:rsidRPr="00BE586A" w:rsidRDefault="003C7650" w:rsidP="003C7650">
            <w:pPr>
              <w:jc w:val="both"/>
              <w:rPr>
                <w:sz w:val="20"/>
                <w:lang w:val="en-CA"/>
              </w:rPr>
            </w:pPr>
            <w:r w:rsidRPr="00BE586A">
              <w:rPr>
                <w:sz w:val="20"/>
                <w:lang w:val="en-CA"/>
              </w:rPr>
              <w:t>(FC) (Civil) (By Leave)</w:t>
            </w:r>
          </w:p>
        </w:tc>
      </w:tr>
      <w:tr w:rsidR="003C7650" w:rsidRPr="00BE586A" w:rsidTr="00E95A6A">
        <w:tc>
          <w:tcPr>
            <w:tcW w:w="5000" w:type="pct"/>
            <w:gridSpan w:val="4"/>
          </w:tcPr>
          <w:p w:rsidR="003C7650" w:rsidRPr="00BE586A" w:rsidRDefault="003C7650" w:rsidP="003C7650">
            <w:pPr>
              <w:jc w:val="both"/>
              <w:rPr>
                <w:sz w:val="20"/>
                <w:lang w:val="en-CA"/>
              </w:rPr>
            </w:pPr>
            <w:r w:rsidRPr="00BE586A">
              <w:rPr>
                <w:sz w:val="20"/>
                <w:lang w:val="en-CA"/>
              </w:rPr>
              <w:t>Administrative law – Royal Canadian Mounted Police – Command – Acting appointments of members – Seniority – Proper interpretation of term “direct” in s. 8 of</w:t>
            </w:r>
            <w:r w:rsidRPr="00BE586A">
              <w:rPr>
                <w:i/>
                <w:sz w:val="20"/>
                <w:lang w:val="en-CA"/>
              </w:rPr>
              <w:t xml:space="preserve"> Royal Canadian Mounted Police Regulations, 1988</w:t>
            </w:r>
            <w:r w:rsidRPr="00BE586A">
              <w:rPr>
                <w:sz w:val="20"/>
                <w:lang w:val="en-CA"/>
              </w:rPr>
              <w:t>, SOR/88</w:t>
            </w:r>
            <w:r w:rsidRPr="00BE586A">
              <w:rPr>
                <w:sz w:val="20"/>
                <w:lang w:val="en-CA"/>
              </w:rPr>
              <w:noBreakHyphen/>
              <w:t xml:space="preserve">361 – Whether acting appointment of RCMP members on basis of merit under Part 4.E.9 of </w:t>
            </w:r>
            <w:r w:rsidRPr="00BE586A">
              <w:rPr>
                <w:i/>
                <w:sz w:val="20"/>
                <w:lang w:val="en-CA"/>
              </w:rPr>
              <w:t xml:space="preserve">Career Management Manual </w:t>
            </w:r>
            <w:r w:rsidRPr="00BE586A">
              <w:rPr>
                <w:sz w:val="20"/>
                <w:lang w:val="en-CA"/>
              </w:rPr>
              <w:t>constitutes “direction” by Commissioner within meaning of s. 8.</w:t>
            </w:r>
          </w:p>
        </w:tc>
      </w:tr>
      <w:tr w:rsidR="003C7650" w:rsidRPr="00BE586A" w:rsidTr="00E95A6A">
        <w:tc>
          <w:tcPr>
            <w:tcW w:w="5000" w:type="pct"/>
            <w:gridSpan w:val="4"/>
          </w:tcPr>
          <w:p w:rsidR="003C7650" w:rsidRPr="00BE586A" w:rsidRDefault="003C7650" w:rsidP="003C7650">
            <w:pPr>
              <w:jc w:val="both"/>
              <w:rPr>
                <w:sz w:val="20"/>
                <w:lang w:val="en-CA"/>
              </w:rPr>
            </w:pPr>
          </w:p>
        </w:tc>
      </w:tr>
      <w:tr w:rsidR="003C7650" w:rsidRPr="00BE586A" w:rsidTr="00E95A6A">
        <w:tc>
          <w:tcPr>
            <w:tcW w:w="5000" w:type="pct"/>
            <w:gridSpan w:val="4"/>
          </w:tcPr>
          <w:p w:rsidR="003C7650" w:rsidRPr="00BE586A" w:rsidRDefault="003C7650" w:rsidP="003C7650">
            <w:pPr>
              <w:jc w:val="both"/>
              <w:rPr>
                <w:sz w:val="20"/>
                <w:lang w:val="en-CA"/>
              </w:rPr>
            </w:pPr>
            <w:r w:rsidRPr="00BE586A">
              <w:rPr>
                <w:sz w:val="20"/>
                <w:lang w:val="en-CA"/>
              </w:rPr>
              <w:t xml:space="preserve">Section 8 of the </w:t>
            </w:r>
            <w:r w:rsidRPr="00BE586A">
              <w:rPr>
                <w:i/>
                <w:sz w:val="20"/>
                <w:lang w:val="en-CA"/>
              </w:rPr>
              <w:t>Royal Canadian Mounted Police Regulations, 1988</w:t>
            </w:r>
            <w:r w:rsidRPr="00BE586A">
              <w:rPr>
                <w:sz w:val="20"/>
                <w:lang w:val="en-CA"/>
              </w:rPr>
              <w:t>, SOR/88</w:t>
            </w:r>
            <w:r w:rsidRPr="00BE586A">
              <w:rPr>
                <w:sz w:val="20"/>
                <w:lang w:val="en-CA"/>
              </w:rPr>
              <w:noBreakHyphen/>
              <w:t>361 (“</w:t>
            </w:r>
            <w:r w:rsidRPr="00BE586A">
              <w:rPr>
                <w:i/>
                <w:sz w:val="20"/>
                <w:lang w:val="en-CA"/>
              </w:rPr>
              <w:t>Regulations</w:t>
            </w:r>
            <w:r w:rsidRPr="00BE586A">
              <w:rPr>
                <w:sz w:val="20"/>
                <w:lang w:val="en-CA"/>
              </w:rPr>
              <w:t xml:space="preserve">”), provided that the rule of seniority applied in the case of acting appointments in the RCMP unless the RCMP Commissioner “directs otherwise”. The applicant Mr. Beaulieu, an RCMP member since 1982, held an investigator position with the rank of corporal. He filed three grievances against decisions appointing corporals who had less seniority than he had to acting positions. Mr. Beaulieu acknowledged the Commissioner’s right to deviate from the seniority principle, but he argued that if the Commissioner wanted to create a general rule in this regard, he had to adopt a rule or standing order within the meaning of s. 2(2) of the </w:t>
            </w:r>
            <w:r w:rsidRPr="00BE586A">
              <w:rPr>
                <w:i/>
                <w:sz w:val="20"/>
                <w:lang w:val="en-CA"/>
              </w:rPr>
              <w:t>Royal Canadian Mounted Police Act</w:t>
            </w:r>
            <w:r w:rsidRPr="00BE586A">
              <w:rPr>
                <w:sz w:val="20"/>
                <w:lang w:val="en-CA"/>
              </w:rPr>
              <w:t>, R.S.C. 1985, c. R</w:t>
            </w:r>
            <w:r w:rsidRPr="00BE586A">
              <w:rPr>
                <w:sz w:val="20"/>
                <w:lang w:val="en-CA"/>
              </w:rPr>
              <w:noBreakHyphen/>
              <w:t xml:space="preserve">10, which he had not done. In the alternative, he argued that the </w:t>
            </w:r>
            <w:r w:rsidRPr="00BE586A">
              <w:rPr>
                <w:i/>
                <w:sz w:val="20"/>
                <w:lang w:val="en-CA"/>
              </w:rPr>
              <w:t>Act</w:t>
            </w:r>
            <w:r w:rsidRPr="00BE586A">
              <w:rPr>
                <w:sz w:val="20"/>
                <w:lang w:val="en-CA"/>
              </w:rPr>
              <w:t xml:space="preserve"> did not authorize the Commissioner to delegate his power to adopt rules and that, by deviating from the general seniority principle through Part 4.E.9 of the </w:t>
            </w:r>
            <w:r w:rsidRPr="00BE586A">
              <w:rPr>
                <w:i/>
                <w:sz w:val="20"/>
                <w:lang w:val="en-CA"/>
              </w:rPr>
              <w:t>Career Management Manual</w:t>
            </w:r>
            <w:r w:rsidRPr="00BE586A">
              <w:rPr>
                <w:sz w:val="20"/>
                <w:lang w:val="en-CA"/>
              </w:rPr>
              <w:t>, which provided for the appointment of members on the basis of merit, the Commissioner had unlawfully subdelegated that power. The grievances, the application for judicial review and the appeal were all dismissed.</w:t>
            </w:r>
          </w:p>
          <w:p w:rsidR="003C7650" w:rsidRPr="00BE586A" w:rsidRDefault="003C7650" w:rsidP="003C7650">
            <w:pPr>
              <w:jc w:val="both"/>
              <w:rPr>
                <w:sz w:val="20"/>
                <w:lang w:val="en-CA"/>
              </w:rPr>
            </w:pPr>
          </w:p>
        </w:tc>
      </w:tr>
      <w:tr w:rsidR="003C7650" w:rsidRPr="00BE586A" w:rsidTr="00E95A6A">
        <w:tc>
          <w:tcPr>
            <w:tcW w:w="2427" w:type="pct"/>
            <w:gridSpan w:val="2"/>
          </w:tcPr>
          <w:p w:rsidR="003C7650" w:rsidRPr="00BE586A" w:rsidRDefault="003C7650" w:rsidP="003C7650">
            <w:pPr>
              <w:jc w:val="both"/>
              <w:rPr>
                <w:sz w:val="20"/>
                <w:lang w:val="en-CA"/>
              </w:rPr>
            </w:pPr>
            <w:r w:rsidRPr="00BE586A">
              <w:rPr>
                <w:sz w:val="20"/>
                <w:lang w:val="en-CA"/>
              </w:rPr>
              <w:t>January 15, 2015</w:t>
            </w:r>
          </w:p>
          <w:p w:rsidR="003C7650" w:rsidRPr="00BE586A" w:rsidRDefault="003C7650" w:rsidP="003C7650">
            <w:pPr>
              <w:jc w:val="both"/>
              <w:rPr>
                <w:sz w:val="20"/>
                <w:lang w:val="en-CA"/>
              </w:rPr>
            </w:pPr>
            <w:r w:rsidRPr="00BE586A">
              <w:rPr>
                <w:sz w:val="20"/>
                <w:lang w:val="en-CA"/>
              </w:rPr>
              <w:t>Federal Court</w:t>
            </w:r>
          </w:p>
          <w:p w:rsidR="003C7650" w:rsidRPr="00BE586A" w:rsidRDefault="003C7650" w:rsidP="003C7650">
            <w:pPr>
              <w:jc w:val="both"/>
              <w:rPr>
                <w:sz w:val="20"/>
                <w:lang w:val="en-CA"/>
              </w:rPr>
            </w:pPr>
            <w:r w:rsidRPr="00BE586A">
              <w:rPr>
                <w:sz w:val="20"/>
                <w:lang w:val="en-CA"/>
              </w:rPr>
              <w:t>(Locke J.)</w:t>
            </w:r>
          </w:p>
          <w:p w:rsidR="003C7650" w:rsidRPr="00BE586A" w:rsidRDefault="00004558" w:rsidP="003C7650">
            <w:pPr>
              <w:jc w:val="both"/>
              <w:rPr>
                <w:sz w:val="20"/>
                <w:lang w:val="en-CA"/>
              </w:rPr>
            </w:pPr>
            <w:hyperlink r:id="rId23" w:history="1">
              <w:r w:rsidR="003C7650" w:rsidRPr="00BE586A">
                <w:rPr>
                  <w:rStyle w:val="Hyperlink"/>
                  <w:sz w:val="20"/>
                  <w:lang w:val="en-CA"/>
                </w:rPr>
                <w:t>2015 FC 57</w:t>
              </w:r>
            </w:hyperlink>
          </w:p>
          <w:p w:rsidR="003C7650" w:rsidRPr="00BE586A" w:rsidRDefault="003C7650" w:rsidP="003C7650">
            <w:pPr>
              <w:jc w:val="both"/>
              <w:rPr>
                <w:sz w:val="20"/>
                <w:lang w:val="en-CA"/>
              </w:rPr>
            </w:pPr>
          </w:p>
        </w:tc>
        <w:tc>
          <w:tcPr>
            <w:tcW w:w="243" w:type="pct"/>
          </w:tcPr>
          <w:p w:rsidR="003C7650" w:rsidRPr="00BE586A" w:rsidRDefault="003C7650" w:rsidP="003C7650">
            <w:pPr>
              <w:jc w:val="both"/>
              <w:rPr>
                <w:sz w:val="20"/>
                <w:lang w:val="en-CA"/>
              </w:rPr>
            </w:pPr>
          </w:p>
        </w:tc>
        <w:tc>
          <w:tcPr>
            <w:tcW w:w="2330" w:type="pct"/>
          </w:tcPr>
          <w:p w:rsidR="003C7650" w:rsidRPr="00BE586A" w:rsidRDefault="003C7650" w:rsidP="003C7650">
            <w:pPr>
              <w:jc w:val="both"/>
              <w:rPr>
                <w:sz w:val="20"/>
                <w:lang w:val="en-CA"/>
              </w:rPr>
            </w:pPr>
            <w:r w:rsidRPr="00BE586A">
              <w:rPr>
                <w:sz w:val="20"/>
                <w:lang w:val="en-CA"/>
              </w:rPr>
              <w:t xml:space="preserve">Application for judicial review dismissed </w:t>
            </w:r>
          </w:p>
        </w:tc>
      </w:tr>
      <w:tr w:rsidR="003C7650" w:rsidRPr="00BE586A" w:rsidTr="00E95A6A">
        <w:tc>
          <w:tcPr>
            <w:tcW w:w="2427" w:type="pct"/>
            <w:gridSpan w:val="2"/>
          </w:tcPr>
          <w:p w:rsidR="003C7650" w:rsidRPr="00BE586A" w:rsidRDefault="003C7650" w:rsidP="003C7650">
            <w:pPr>
              <w:jc w:val="both"/>
              <w:rPr>
                <w:sz w:val="20"/>
                <w:lang w:val="en-CA"/>
              </w:rPr>
            </w:pPr>
            <w:r w:rsidRPr="00BE586A">
              <w:rPr>
                <w:sz w:val="20"/>
                <w:lang w:val="en-CA"/>
              </w:rPr>
              <w:t>February 23, 2016</w:t>
            </w:r>
          </w:p>
          <w:p w:rsidR="003C7650" w:rsidRPr="00BE586A" w:rsidRDefault="003C7650" w:rsidP="003C7650">
            <w:pPr>
              <w:jc w:val="both"/>
              <w:rPr>
                <w:sz w:val="20"/>
                <w:lang w:val="en-CA"/>
              </w:rPr>
            </w:pPr>
            <w:r w:rsidRPr="00BE586A">
              <w:rPr>
                <w:sz w:val="20"/>
                <w:lang w:val="en-CA"/>
              </w:rPr>
              <w:t>Federal Court of Appeal</w:t>
            </w:r>
          </w:p>
          <w:p w:rsidR="003C7650" w:rsidRPr="00BE586A" w:rsidRDefault="003C7650" w:rsidP="003C7650">
            <w:pPr>
              <w:jc w:val="both"/>
              <w:rPr>
                <w:sz w:val="20"/>
                <w:lang w:val="en-CA"/>
              </w:rPr>
            </w:pPr>
            <w:r w:rsidRPr="00BE586A">
              <w:rPr>
                <w:sz w:val="20"/>
                <w:lang w:val="en-CA"/>
              </w:rPr>
              <w:t>(Trudel, Boivin and De Montigny JJ.A.)</w:t>
            </w:r>
          </w:p>
          <w:p w:rsidR="003C7650" w:rsidRPr="00BE586A" w:rsidRDefault="00004558" w:rsidP="003C7650">
            <w:pPr>
              <w:jc w:val="both"/>
              <w:rPr>
                <w:sz w:val="20"/>
                <w:lang w:val="en-CA"/>
              </w:rPr>
            </w:pPr>
            <w:hyperlink r:id="rId24" w:history="1">
              <w:r w:rsidR="003C7650" w:rsidRPr="00BE586A">
                <w:rPr>
                  <w:rStyle w:val="Hyperlink"/>
                  <w:sz w:val="20"/>
                  <w:lang w:val="en-CA"/>
                </w:rPr>
                <w:t>2016 FCA 59</w:t>
              </w:r>
            </w:hyperlink>
          </w:p>
          <w:p w:rsidR="003C7650" w:rsidRPr="00BE586A" w:rsidRDefault="003C7650" w:rsidP="003C7650">
            <w:pPr>
              <w:jc w:val="both"/>
              <w:rPr>
                <w:sz w:val="20"/>
                <w:lang w:val="en-CA"/>
              </w:rPr>
            </w:pPr>
          </w:p>
        </w:tc>
        <w:tc>
          <w:tcPr>
            <w:tcW w:w="243" w:type="pct"/>
          </w:tcPr>
          <w:p w:rsidR="003C7650" w:rsidRPr="00BE586A" w:rsidRDefault="003C7650" w:rsidP="003C7650">
            <w:pPr>
              <w:jc w:val="both"/>
              <w:rPr>
                <w:sz w:val="20"/>
                <w:lang w:val="en-CA"/>
              </w:rPr>
            </w:pPr>
          </w:p>
        </w:tc>
        <w:tc>
          <w:tcPr>
            <w:tcW w:w="2330" w:type="pct"/>
          </w:tcPr>
          <w:p w:rsidR="003C7650" w:rsidRPr="00BE586A" w:rsidRDefault="003C7650" w:rsidP="003C7650">
            <w:pPr>
              <w:jc w:val="both"/>
              <w:rPr>
                <w:sz w:val="20"/>
                <w:lang w:val="en-CA"/>
              </w:rPr>
            </w:pPr>
            <w:r w:rsidRPr="00BE586A">
              <w:rPr>
                <w:sz w:val="20"/>
                <w:lang w:val="en-CA"/>
              </w:rPr>
              <w:t>Appeal dismissed</w:t>
            </w:r>
          </w:p>
        </w:tc>
      </w:tr>
      <w:tr w:rsidR="003C7650" w:rsidRPr="00BE586A" w:rsidTr="00E95A6A">
        <w:tc>
          <w:tcPr>
            <w:tcW w:w="2427" w:type="pct"/>
            <w:gridSpan w:val="2"/>
          </w:tcPr>
          <w:p w:rsidR="003C7650" w:rsidRPr="00BE586A" w:rsidRDefault="003C7650" w:rsidP="003C7650">
            <w:pPr>
              <w:jc w:val="both"/>
              <w:rPr>
                <w:sz w:val="20"/>
                <w:lang w:val="en-CA"/>
              </w:rPr>
            </w:pPr>
            <w:r w:rsidRPr="00BE586A">
              <w:rPr>
                <w:sz w:val="20"/>
                <w:lang w:val="en-CA"/>
              </w:rPr>
              <w:t>April 22, 2016</w:t>
            </w:r>
          </w:p>
          <w:p w:rsidR="003C7650" w:rsidRPr="00BE586A" w:rsidRDefault="003C7650" w:rsidP="003C7650">
            <w:pPr>
              <w:jc w:val="both"/>
              <w:rPr>
                <w:sz w:val="20"/>
                <w:lang w:val="en-CA"/>
              </w:rPr>
            </w:pPr>
            <w:r w:rsidRPr="00BE586A">
              <w:rPr>
                <w:sz w:val="20"/>
                <w:lang w:val="en-CA"/>
              </w:rPr>
              <w:t>Supreme Court of Canada</w:t>
            </w:r>
          </w:p>
        </w:tc>
        <w:tc>
          <w:tcPr>
            <w:tcW w:w="243" w:type="pct"/>
          </w:tcPr>
          <w:p w:rsidR="003C7650" w:rsidRPr="00BE586A" w:rsidRDefault="003C7650" w:rsidP="003C7650">
            <w:pPr>
              <w:jc w:val="both"/>
              <w:rPr>
                <w:sz w:val="20"/>
                <w:lang w:val="en-CA"/>
              </w:rPr>
            </w:pPr>
          </w:p>
        </w:tc>
        <w:tc>
          <w:tcPr>
            <w:tcW w:w="2330" w:type="pct"/>
          </w:tcPr>
          <w:p w:rsidR="003C7650" w:rsidRPr="00BE586A" w:rsidRDefault="003C7650" w:rsidP="003C7650">
            <w:pPr>
              <w:jc w:val="both"/>
              <w:rPr>
                <w:sz w:val="20"/>
                <w:lang w:val="en-CA"/>
              </w:rPr>
            </w:pPr>
            <w:r w:rsidRPr="00BE586A">
              <w:rPr>
                <w:sz w:val="20"/>
                <w:lang w:val="en-CA"/>
              </w:rPr>
              <w:t>Application for leave to appeal filed</w:t>
            </w:r>
          </w:p>
          <w:p w:rsidR="003C7650" w:rsidRPr="00BE586A" w:rsidRDefault="003C7650" w:rsidP="003C7650">
            <w:pPr>
              <w:jc w:val="both"/>
              <w:rPr>
                <w:sz w:val="20"/>
                <w:lang w:val="en-CA"/>
              </w:rPr>
            </w:pPr>
          </w:p>
        </w:tc>
      </w:tr>
    </w:tbl>
    <w:p w:rsidR="003C7650" w:rsidRPr="00BE586A" w:rsidRDefault="003C7650" w:rsidP="003C7650">
      <w:pPr>
        <w:jc w:val="both"/>
        <w:rPr>
          <w:sz w:val="20"/>
          <w:lang w:val="en-CA"/>
        </w:rPr>
      </w:pPr>
    </w:p>
    <w:p w:rsidR="003C7650" w:rsidRPr="00BE586A" w:rsidRDefault="003C7650" w:rsidP="003C765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C7650" w:rsidRPr="00BE586A" w:rsidTr="00E95A6A">
        <w:tc>
          <w:tcPr>
            <w:tcW w:w="543" w:type="pct"/>
          </w:tcPr>
          <w:p w:rsidR="003C7650" w:rsidRPr="00BE586A" w:rsidRDefault="003C7650" w:rsidP="003C7650">
            <w:pPr>
              <w:jc w:val="both"/>
              <w:rPr>
                <w:sz w:val="20"/>
              </w:rPr>
            </w:pPr>
            <w:r w:rsidRPr="00BE586A">
              <w:rPr>
                <w:rStyle w:val="SCCFileNumberChar"/>
                <w:sz w:val="20"/>
                <w:szCs w:val="20"/>
              </w:rPr>
              <w:t>36971</w:t>
            </w:r>
          </w:p>
        </w:tc>
        <w:tc>
          <w:tcPr>
            <w:tcW w:w="4457" w:type="pct"/>
            <w:gridSpan w:val="3"/>
          </w:tcPr>
          <w:p w:rsidR="003C7650" w:rsidRPr="00BE586A" w:rsidRDefault="003C7650" w:rsidP="003C7650">
            <w:pPr>
              <w:pStyle w:val="SCCLsocParty"/>
              <w:jc w:val="both"/>
              <w:rPr>
                <w:b/>
                <w:sz w:val="20"/>
                <w:szCs w:val="20"/>
              </w:rPr>
            </w:pPr>
            <w:r w:rsidRPr="00BE586A">
              <w:rPr>
                <w:b/>
                <w:sz w:val="20"/>
                <w:szCs w:val="20"/>
              </w:rPr>
              <w:t>Robert Beaulieu c. Procureur général du Canada</w:t>
            </w:r>
          </w:p>
          <w:p w:rsidR="003C7650" w:rsidRPr="00BE586A" w:rsidRDefault="003C7650" w:rsidP="003C7650">
            <w:pPr>
              <w:jc w:val="both"/>
              <w:rPr>
                <w:sz w:val="20"/>
              </w:rPr>
            </w:pPr>
            <w:r w:rsidRPr="00BE586A">
              <w:rPr>
                <w:sz w:val="20"/>
              </w:rPr>
              <w:t>(CF) (Civile) (Autorisation)</w:t>
            </w:r>
          </w:p>
        </w:tc>
      </w:tr>
      <w:tr w:rsidR="003C7650" w:rsidRPr="00BE586A" w:rsidTr="00E95A6A">
        <w:tc>
          <w:tcPr>
            <w:tcW w:w="5000" w:type="pct"/>
            <w:gridSpan w:val="4"/>
          </w:tcPr>
          <w:p w:rsidR="003C7650" w:rsidRPr="00BE586A" w:rsidRDefault="003C7650" w:rsidP="003C7650">
            <w:pPr>
              <w:jc w:val="both"/>
              <w:rPr>
                <w:sz w:val="20"/>
              </w:rPr>
            </w:pPr>
            <w:r w:rsidRPr="00BE586A">
              <w:rPr>
                <w:sz w:val="20"/>
              </w:rPr>
              <w:t xml:space="preserve">Droit administratif – Gendarmerie royale du Canada – Commandement – Nominations intérimaires des membres – Ancienneté – Interprétation à donner au terme « ordonner » prévu à l’art. 8 du </w:t>
            </w:r>
            <w:r w:rsidRPr="00BE586A">
              <w:rPr>
                <w:i/>
                <w:sz w:val="20"/>
              </w:rPr>
              <w:t>Règlement de la Gendarmerie royale du Canada (1988)</w:t>
            </w:r>
            <w:r w:rsidRPr="00BE586A">
              <w:rPr>
                <w:sz w:val="20"/>
              </w:rPr>
              <w:t xml:space="preserve">, DORS/88-361 – La nomination intérimaire de membres de la GRC sur la base du mérite en vertu de la partie 4.E.9 du </w:t>
            </w:r>
            <w:r w:rsidRPr="00BE586A">
              <w:rPr>
                <w:i/>
                <w:sz w:val="20"/>
              </w:rPr>
              <w:t>Manuel de gestion des carrières</w:t>
            </w:r>
            <w:r w:rsidRPr="00BE586A">
              <w:rPr>
                <w:sz w:val="20"/>
              </w:rPr>
              <w:t xml:space="preserve"> constitue-t-elle un « ordre » du commissaire au sens de l’art. 8?</w:t>
            </w:r>
          </w:p>
        </w:tc>
      </w:tr>
      <w:tr w:rsidR="003C7650" w:rsidRPr="00BE586A" w:rsidTr="00E95A6A">
        <w:tc>
          <w:tcPr>
            <w:tcW w:w="5000" w:type="pct"/>
            <w:gridSpan w:val="4"/>
          </w:tcPr>
          <w:p w:rsidR="003C7650" w:rsidRPr="00BE586A" w:rsidRDefault="003C7650" w:rsidP="003C7650">
            <w:pPr>
              <w:jc w:val="both"/>
              <w:rPr>
                <w:sz w:val="20"/>
              </w:rPr>
            </w:pPr>
          </w:p>
        </w:tc>
      </w:tr>
      <w:tr w:rsidR="003C7650" w:rsidRPr="00BE586A" w:rsidTr="00E95A6A">
        <w:tc>
          <w:tcPr>
            <w:tcW w:w="5000" w:type="pct"/>
            <w:gridSpan w:val="4"/>
          </w:tcPr>
          <w:p w:rsidR="003C7650" w:rsidRPr="00BE586A" w:rsidRDefault="003C7650" w:rsidP="003C7650">
            <w:pPr>
              <w:jc w:val="both"/>
              <w:rPr>
                <w:sz w:val="20"/>
              </w:rPr>
            </w:pPr>
            <w:r w:rsidRPr="00BE586A">
              <w:rPr>
                <w:sz w:val="20"/>
              </w:rPr>
              <w:t xml:space="preserve">L’article 8 du </w:t>
            </w:r>
            <w:r w:rsidRPr="00BE586A">
              <w:rPr>
                <w:i/>
                <w:sz w:val="20"/>
              </w:rPr>
              <w:t>Règlement de la Gendarmerie royale du Canada (1988)</w:t>
            </w:r>
            <w:r w:rsidRPr="00BE586A">
              <w:rPr>
                <w:sz w:val="20"/>
              </w:rPr>
              <w:t>, DORS/88-361 (le « </w:t>
            </w:r>
            <w:r w:rsidRPr="00BE586A">
              <w:rPr>
                <w:i/>
                <w:sz w:val="20"/>
              </w:rPr>
              <w:t>Règlement</w:t>
            </w:r>
            <w:r w:rsidRPr="00BE586A">
              <w:rPr>
                <w:sz w:val="20"/>
              </w:rPr>
              <w:t xml:space="preserve"> »), prévoit que la règle de l’ancienneté prévaut en cas de nomination intérimaire au sein de la GRC à moins que le commissaire de la GRC « n’en ordonne autrement ». Monsieur Beaulieu, demandeur, est membre de la GRC depuis 1982 et il occupe le poste d’enquêteur au grade de caporal. Il a déposé trois griefs à l’encontre de décisions nommant des caporaux ayant moins d’ancienneté que lui à des postes intérimaires. Monsieur Beaulieu a reconnu le droit du commissaire de déroger au principe de l’ancienneté, mais il a soutenu que si ce dernier voulait créer une règle générale à cet égard, il devait adopter une règle ou une consigne au sens de l’art. 2(2) de la </w:t>
            </w:r>
            <w:r w:rsidRPr="00BE586A">
              <w:rPr>
                <w:i/>
                <w:sz w:val="20"/>
              </w:rPr>
              <w:t>Loi sur la Gendarmerie du Canada</w:t>
            </w:r>
            <w:r w:rsidRPr="00BE586A">
              <w:rPr>
                <w:sz w:val="20"/>
              </w:rPr>
              <w:t xml:space="preserve">, L.R.C. 1985, ch. R-10, ce qu’il n’avait pas fait. Subsidiairement, il a soutenu que la </w:t>
            </w:r>
            <w:r w:rsidRPr="00BE586A">
              <w:rPr>
                <w:i/>
                <w:sz w:val="20"/>
              </w:rPr>
              <w:t>Loi</w:t>
            </w:r>
            <w:r w:rsidRPr="00BE586A">
              <w:rPr>
                <w:sz w:val="20"/>
              </w:rPr>
              <w:t xml:space="preserve"> ne permet pas au commissaire de déléguer son pouvoir d’adopter des règles, et qu’en dérogeant au principe général de l’ancienneté par le biais de la partie 4.E.9 du </w:t>
            </w:r>
            <w:r w:rsidRPr="00BE586A">
              <w:rPr>
                <w:i/>
                <w:sz w:val="20"/>
              </w:rPr>
              <w:t>Manuel de gestion des carrières</w:t>
            </w:r>
            <w:r w:rsidRPr="00BE586A">
              <w:rPr>
                <w:sz w:val="20"/>
              </w:rPr>
              <w:t xml:space="preserve"> qui prévoit la nomination de membres sur la base du mérite, le commissaire a procédé à une sous-délégation illégale. Les griefs, la demande de contrôle judiciaire et l’appel ont tous été rejetés.</w:t>
            </w:r>
          </w:p>
          <w:p w:rsidR="003C7650" w:rsidRPr="00BE586A" w:rsidRDefault="003C7650" w:rsidP="003C7650">
            <w:pPr>
              <w:jc w:val="both"/>
              <w:rPr>
                <w:sz w:val="20"/>
              </w:rPr>
            </w:pPr>
          </w:p>
        </w:tc>
      </w:tr>
      <w:tr w:rsidR="003C7650" w:rsidRPr="00BE586A" w:rsidTr="00E95A6A">
        <w:tc>
          <w:tcPr>
            <w:tcW w:w="2427" w:type="pct"/>
            <w:gridSpan w:val="2"/>
          </w:tcPr>
          <w:p w:rsidR="003C7650" w:rsidRPr="00BE586A" w:rsidRDefault="003C7650" w:rsidP="003C7650">
            <w:pPr>
              <w:jc w:val="both"/>
              <w:rPr>
                <w:sz w:val="20"/>
              </w:rPr>
            </w:pPr>
            <w:r w:rsidRPr="00BE586A">
              <w:rPr>
                <w:sz w:val="20"/>
              </w:rPr>
              <w:t>Le 15 janvier 2015</w:t>
            </w:r>
          </w:p>
          <w:p w:rsidR="003C7650" w:rsidRPr="00BE586A" w:rsidRDefault="003C7650" w:rsidP="003C7650">
            <w:pPr>
              <w:jc w:val="both"/>
              <w:rPr>
                <w:sz w:val="20"/>
              </w:rPr>
            </w:pPr>
            <w:r w:rsidRPr="00BE586A">
              <w:rPr>
                <w:sz w:val="20"/>
              </w:rPr>
              <w:t>Cour fédérale</w:t>
            </w:r>
          </w:p>
          <w:p w:rsidR="003C7650" w:rsidRPr="00BE586A" w:rsidRDefault="003C7650" w:rsidP="003C7650">
            <w:pPr>
              <w:jc w:val="both"/>
              <w:rPr>
                <w:sz w:val="20"/>
              </w:rPr>
            </w:pPr>
            <w:r w:rsidRPr="00BE586A">
              <w:rPr>
                <w:sz w:val="20"/>
              </w:rPr>
              <w:t>(Le juge Locke)</w:t>
            </w:r>
          </w:p>
          <w:p w:rsidR="003C7650" w:rsidRPr="00BE586A" w:rsidRDefault="00004558" w:rsidP="003C7650">
            <w:pPr>
              <w:jc w:val="both"/>
              <w:rPr>
                <w:sz w:val="20"/>
              </w:rPr>
            </w:pPr>
            <w:hyperlink r:id="rId25" w:history="1">
              <w:r w:rsidR="003C7650" w:rsidRPr="00BE586A">
                <w:rPr>
                  <w:rStyle w:val="Hyperlink"/>
                  <w:sz w:val="20"/>
                </w:rPr>
                <w:t>2015 CF 57</w:t>
              </w:r>
            </w:hyperlink>
          </w:p>
          <w:p w:rsidR="003C7650" w:rsidRPr="00BE586A" w:rsidRDefault="003C7650" w:rsidP="003C7650">
            <w:pPr>
              <w:jc w:val="both"/>
              <w:rPr>
                <w:sz w:val="20"/>
                <w:lang w:val="fr-FR"/>
              </w:rPr>
            </w:pPr>
          </w:p>
        </w:tc>
        <w:tc>
          <w:tcPr>
            <w:tcW w:w="243" w:type="pct"/>
          </w:tcPr>
          <w:p w:rsidR="003C7650" w:rsidRPr="00BE586A" w:rsidRDefault="003C7650" w:rsidP="003C7650">
            <w:pPr>
              <w:jc w:val="both"/>
              <w:rPr>
                <w:sz w:val="20"/>
                <w:lang w:val="fr-FR"/>
              </w:rPr>
            </w:pPr>
          </w:p>
        </w:tc>
        <w:tc>
          <w:tcPr>
            <w:tcW w:w="2330" w:type="pct"/>
          </w:tcPr>
          <w:p w:rsidR="003C7650" w:rsidRPr="00BE586A" w:rsidRDefault="003C7650" w:rsidP="003C7650">
            <w:pPr>
              <w:jc w:val="both"/>
              <w:rPr>
                <w:sz w:val="20"/>
              </w:rPr>
            </w:pPr>
            <w:r w:rsidRPr="00BE586A">
              <w:rPr>
                <w:sz w:val="20"/>
              </w:rPr>
              <w:t xml:space="preserve">Demande de contrôle judiciaire rejetée </w:t>
            </w:r>
          </w:p>
        </w:tc>
      </w:tr>
      <w:tr w:rsidR="003C7650" w:rsidRPr="00BE586A" w:rsidTr="00E95A6A">
        <w:tc>
          <w:tcPr>
            <w:tcW w:w="2427" w:type="pct"/>
            <w:gridSpan w:val="2"/>
          </w:tcPr>
          <w:p w:rsidR="003C7650" w:rsidRPr="00BE586A" w:rsidRDefault="003C7650" w:rsidP="003C7650">
            <w:pPr>
              <w:jc w:val="both"/>
              <w:rPr>
                <w:sz w:val="20"/>
              </w:rPr>
            </w:pPr>
            <w:r w:rsidRPr="00BE586A">
              <w:rPr>
                <w:sz w:val="20"/>
              </w:rPr>
              <w:t>Le 23 février 2016</w:t>
            </w:r>
          </w:p>
          <w:p w:rsidR="003C7650" w:rsidRPr="00BE586A" w:rsidRDefault="003C7650" w:rsidP="003C7650">
            <w:pPr>
              <w:jc w:val="both"/>
              <w:rPr>
                <w:sz w:val="20"/>
              </w:rPr>
            </w:pPr>
            <w:r w:rsidRPr="00BE586A">
              <w:rPr>
                <w:sz w:val="20"/>
              </w:rPr>
              <w:t>Cour d’appel fédérale</w:t>
            </w:r>
          </w:p>
          <w:p w:rsidR="003C7650" w:rsidRPr="00BE586A" w:rsidRDefault="003C7650" w:rsidP="003C7650">
            <w:pPr>
              <w:jc w:val="both"/>
              <w:rPr>
                <w:sz w:val="20"/>
              </w:rPr>
            </w:pPr>
            <w:r w:rsidRPr="00BE586A">
              <w:rPr>
                <w:sz w:val="20"/>
              </w:rPr>
              <w:t>(Les juges Trudel, Boivin et De Montigny)</w:t>
            </w:r>
          </w:p>
          <w:p w:rsidR="003C7650" w:rsidRPr="00BE586A" w:rsidRDefault="00004558" w:rsidP="003C7650">
            <w:pPr>
              <w:jc w:val="both"/>
              <w:rPr>
                <w:sz w:val="20"/>
              </w:rPr>
            </w:pPr>
            <w:hyperlink r:id="rId26" w:history="1">
              <w:r w:rsidR="003C7650" w:rsidRPr="00BE586A">
                <w:rPr>
                  <w:rStyle w:val="Hyperlink"/>
                  <w:sz w:val="20"/>
                </w:rPr>
                <w:t>2016 CAF 59</w:t>
              </w:r>
            </w:hyperlink>
          </w:p>
          <w:p w:rsidR="003C7650" w:rsidRPr="00BE586A" w:rsidRDefault="003C7650" w:rsidP="003C7650">
            <w:pPr>
              <w:jc w:val="both"/>
              <w:rPr>
                <w:sz w:val="20"/>
                <w:lang w:val="fr-FR"/>
              </w:rPr>
            </w:pPr>
          </w:p>
        </w:tc>
        <w:tc>
          <w:tcPr>
            <w:tcW w:w="243" w:type="pct"/>
          </w:tcPr>
          <w:p w:rsidR="003C7650" w:rsidRPr="00BE586A" w:rsidRDefault="003C7650" w:rsidP="003C7650">
            <w:pPr>
              <w:jc w:val="both"/>
              <w:rPr>
                <w:sz w:val="20"/>
                <w:lang w:val="fr-FR"/>
              </w:rPr>
            </w:pPr>
          </w:p>
        </w:tc>
        <w:tc>
          <w:tcPr>
            <w:tcW w:w="2330" w:type="pct"/>
          </w:tcPr>
          <w:p w:rsidR="003C7650" w:rsidRPr="00BE586A" w:rsidRDefault="003C7650" w:rsidP="003C7650">
            <w:pPr>
              <w:jc w:val="both"/>
              <w:rPr>
                <w:sz w:val="20"/>
              </w:rPr>
            </w:pPr>
            <w:r w:rsidRPr="00BE586A">
              <w:rPr>
                <w:sz w:val="20"/>
              </w:rPr>
              <w:t>Appel rejeté</w:t>
            </w:r>
          </w:p>
        </w:tc>
      </w:tr>
      <w:tr w:rsidR="003C7650" w:rsidRPr="00BE586A" w:rsidTr="00E95A6A">
        <w:tc>
          <w:tcPr>
            <w:tcW w:w="2427" w:type="pct"/>
            <w:gridSpan w:val="2"/>
          </w:tcPr>
          <w:p w:rsidR="003C7650" w:rsidRPr="00BE586A" w:rsidRDefault="003C7650" w:rsidP="003C7650">
            <w:pPr>
              <w:jc w:val="both"/>
              <w:rPr>
                <w:sz w:val="20"/>
              </w:rPr>
            </w:pPr>
            <w:r w:rsidRPr="00BE586A">
              <w:rPr>
                <w:sz w:val="20"/>
              </w:rPr>
              <w:t>Le 22 avril 2016</w:t>
            </w:r>
          </w:p>
          <w:p w:rsidR="003C7650" w:rsidRPr="00BE586A" w:rsidRDefault="003C7650" w:rsidP="003C7650">
            <w:pPr>
              <w:jc w:val="both"/>
              <w:rPr>
                <w:sz w:val="20"/>
              </w:rPr>
            </w:pPr>
            <w:r w:rsidRPr="00BE586A">
              <w:rPr>
                <w:sz w:val="20"/>
              </w:rPr>
              <w:t>Cour suprême du Canada</w:t>
            </w:r>
          </w:p>
        </w:tc>
        <w:tc>
          <w:tcPr>
            <w:tcW w:w="243" w:type="pct"/>
          </w:tcPr>
          <w:p w:rsidR="003C7650" w:rsidRPr="00BE586A" w:rsidRDefault="003C7650" w:rsidP="003C7650">
            <w:pPr>
              <w:jc w:val="both"/>
              <w:rPr>
                <w:sz w:val="20"/>
                <w:lang w:val="fr-FR"/>
              </w:rPr>
            </w:pPr>
          </w:p>
        </w:tc>
        <w:tc>
          <w:tcPr>
            <w:tcW w:w="2330" w:type="pct"/>
          </w:tcPr>
          <w:p w:rsidR="003C7650" w:rsidRPr="00BE586A" w:rsidRDefault="003C7650" w:rsidP="003C7650">
            <w:pPr>
              <w:jc w:val="both"/>
              <w:rPr>
                <w:sz w:val="20"/>
              </w:rPr>
            </w:pPr>
            <w:r w:rsidRPr="00BE586A">
              <w:rPr>
                <w:sz w:val="20"/>
              </w:rPr>
              <w:t>Demande d'autorisation d'appel déposée</w:t>
            </w:r>
          </w:p>
          <w:p w:rsidR="003C7650" w:rsidRPr="00BE586A" w:rsidRDefault="003C7650" w:rsidP="003C7650">
            <w:pPr>
              <w:jc w:val="both"/>
              <w:rPr>
                <w:sz w:val="20"/>
              </w:rPr>
            </w:pPr>
          </w:p>
        </w:tc>
      </w:tr>
    </w:tbl>
    <w:p w:rsidR="003C7650" w:rsidRPr="00BE586A" w:rsidRDefault="003C7650" w:rsidP="007003F6">
      <w:pPr>
        <w:jc w:val="both"/>
        <w:rPr>
          <w:sz w:val="20"/>
        </w:rPr>
      </w:pPr>
    </w:p>
    <w:p w:rsidR="005D3C37" w:rsidRPr="00BE586A" w:rsidRDefault="005D3C37" w:rsidP="007003F6">
      <w:pPr>
        <w:widowControl w:val="0"/>
        <w:autoSpaceDE w:val="0"/>
        <w:autoSpaceDN w:val="0"/>
        <w:adjustRightInd w:val="0"/>
        <w:ind w:left="360" w:hanging="360"/>
        <w:jc w:val="both"/>
        <w:rPr>
          <w:rFonts w:eastAsiaTheme="minorEastAsia"/>
          <w:sz w:val="20"/>
          <w:lang w:val="en-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003F6" w:rsidRPr="00BE586A" w:rsidTr="00014563">
        <w:trPr>
          <w:gridAfter w:val="1"/>
          <w:wAfter w:w="48" w:type="pct"/>
        </w:trPr>
        <w:tc>
          <w:tcPr>
            <w:tcW w:w="538" w:type="pct"/>
          </w:tcPr>
          <w:p w:rsidR="007003F6" w:rsidRPr="00BE586A" w:rsidRDefault="007003F6" w:rsidP="007003F6">
            <w:pPr>
              <w:jc w:val="both"/>
              <w:rPr>
                <w:sz w:val="20"/>
                <w:lang w:val="en-CA"/>
              </w:rPr>
            </w:pPr>
            <w:r w:rsidRPr="00BE586A">
              <w:rPr>
                <w:rStyle w:val="SCCFileNumberChar"/>
                <w:sz w:val="20"/>
                <w:szCs w:val="20"/>
              </w:rPr>
              <w:t>36936</w:t>
            </w:r>
          </w:p>
        </w:tc>
        <w:tc>
          <w:tcPr>
            <w:tcW w:w="4414" w:type="pct"/>
            <w:gridSpan w:val="3"/>
          </w:tcPr>
          <w:p w:rsidR="007003F6" w:rsidRPr="00BE586A" w:rsidRDefault="007003F6" w:rsidP="007003F6">
            <w:pPr>
              <w:pStyle w:val="SCCLsocParty"/>
              <w:jc w:val="both"/>
              <w:rPr>
                <w:b/>
                <w:sz w:val="20"/>
                <w:szCs w:val="20"/>
                <w:lang w:val="en-CA"/>
              </w:rPr>
            </w:pPr>
            <w:r w:rsidRPr="00BE586A">
              <w:rPr>
                <w:b/>
                <w:sz w:val="20"/>
                <w:szCs w:val="20"/>
                <w:lang w:val="en-CA"/>
              </w:rPr>
              <w:t>Michele Torre v. Minister of Citizenship and Immigration</w:t>
            </w:r>
          </w:p>
          <w:p w:rsidR="007003F6" w:rsidRPr="00BE586A" w:rsidRDefault="007003F6" w:rsidP="007003F6">
            <w:pPr>
              <w:jc w:val="both"/>
              <w:rPr>
                <w:sz w:val="20"/>
                <w:lang w:val="en-CA"/>
              </w:rPr>
            </w:pPr>
            <w:r w:rsidRPr="00BE586A">
              <w:rPr>
                <w:sz w:val="20"/>
                <w:lang w:val="en-CA"/>
              </w:rPr>
              <w:t>(FC) (Civil) (By Leave)</w:t>
            </w:r>
          </w:p>
        </w:tc>
      </w:tr>
      <w:tr w:rsidR="007003F6" w:rsidRPr="00BE586A" w:rsidTr="00014563">
        <w:trPr>
          <w:gridAfter w:val="1"/>
          <w:wAfter w:w="48" w:type="pct"/>
        </w:trPr>
        <w:tc>
          <w:tcPr>
            <w:tcW w:w="4952" w:type="pct"/>
            <w:gridSpan w:val="4"/>
          </w:tcPr>
          <w:p w:rsidR="007003F6" w:rsidRPr="00BE586A" w:rsidRDefault="007003F6" w:rsidP="007003F6">
            <w:pPr>
              <w:jc w:val="both"/>
              <w:rPr>
                <w:sz w:val="20"/>
                <w:lang w:val="en-CA"/>
              </w:rPr>
            </w:pPr>
            <w:r w:rsidRPr="00BE586A">
              <w:rPr>
                <w:i/>
                <w:sz w:val="20"/>
                <w:lang w:val="en-CA"/>
              </w:rPr>
              <w:t xml:space="preserve">Canadian Charter of Rights and Freedoms </w:t>
            </w:r>
            <w:r w:rsidRPr="00BE586A">
              <w:rPr>
                <w:sz w:val="20"/>
                <w:lang w:val="en-CA"/>
              </w:rPr>
              <w:t xml:space="preserve">– Immigration – Inadmissibility and removal – Permanent residents – Appeals – Applicant found inadmissible on grounds of serious criminality and organized criminality – Whether Federal Court of Appeal erred in law in not answering following question in affirmative: “Does the Immigration Division of the Immigration and Refugee Board have the jurisdiction to grant a stay of proceedings under subsection 24(1) of the </w:t>
            </w:r>
            <w:r w:rsidRPr="00BE586A">
              <w:rPr>
                <w:i/>
                <w:sz w:val="20"/>
                <w:lang w:val="en-CA"/>
              </w:rPr>
              <w:t>Canadian Charter of Rights and Freedoms</w:t>
            </w:r>
            <w:r w:rsidRPr="00BE586A">
              <w:rPr>
                <w:sz w:val="20"/>
                <w:lang w:val="en-CA"/>
              </w:rPr>
              <w:t xml:space="preserve"> in the context of an admissibility hearing following the referral of a report prepared under subsection 44(1) of the </w:t>
            </w:r>
            <w:r w:rsidRPr="00BE586A">
              <w:rPr>
                <w:i/>
                <w:sz w:val="20"/>
                <w:lang w:val="en-CA"/>
              </w:rPr>
              <w:t>Immigration and Refugee Protection Act</w:t>
            </w:r>
            <w:r w:rsidRPr="00BE586A">
              <w:rPr>
                <w:sz w:val="20"/>
                <w:lang w:val="en-CA"/>
              </w:rPr>
              <w:t xml:space="preserve">?” – Whether Federal Court of Appeal erred in law and in fact in finding that applicant had not proved any prejudice suffered due to passage of time – </w:t>
            </w:r>
            <w:r w:rsidRPr="00BE586A">
              <w:rPr>
                <w:i/>
                <w:sz w:val="20"/>
                <w:lang w:val="en-CA"/>
              </w:rPr>
              <w:t>Immigration and Refugee Protection Act</w:t>
            </w:r>
            <w:r w:rsidRPr="00BE586A">
              <w:rPr>
                <w:sz w:val="20"/>
                <w:lang w:val="en-CA"/>
              </w:rPr>
              <w:t>, S.C. 2001, c. 27, s. 44(1).</w:t>
            </w:r>
          </w:p>
          <w:p w:rsidR="007003F6" w:rsidRPr="00BE586A" w:rsidRDefault="007003F6" w:rsidP="007003F6">
            <w:pPr>
              <w:jc w:val="both"/>
              <w:rPr>
                <w:sz w:val="20"/>
                <w:lang w:val="en-CA"/>
              </w:rPr>
            </w:pPr>
          </w:p>
          <w:p w:rsidR="007003F6" w:rsidRPr="00BE586A" w:rsidRDefault="007003F6" w:rsidP="007003F6">
            <w:pPr>
              <w:jc w:val="both"/>
              <w:rPr>
                <w:sz w:val="20"/>
                <w:lang w:val="en-CA"/>
              </w:rPr>
            </w:pPr>
            <w:r w:rsidRPr="00BE586A">
              <w:rPr>
                <w:sz w:val="20"/>
                <w:lang w:val="en-CA"/>
              </w:rPr>
              <w:lastRenderedPageBreak/>
              <w:t>The applicant Mr. Torre is an Italian citizen who has been a permanent resident of Canada since 1967. In 1996, he pleaded guilty to a charge of conspiracy to traffic in cocaine and was sentenced to eight years and nine months in prison. Three other persons, Mr. Torre’s employers at the time, were convicted in the same matter. In 2006, Mr. Torre was arrested as part of Operation Colisée, which targeted the Italian mafia in Montréal. He was not convicted of an offence as a result of that operation, but he was in pre</w:t>
            </w:r>
            <w:r w:rsidRPr="00BE586A">
              <w:rPr>
                <w:sz w:val="20"/>
                <w:lang w:val="en-CA"/>
              </w:rPr>
              <w:noBreakHyphen/>
              <w:t>trial custody for two years and nine months.</w:t>
            </w:r>
          </w:p>
          <w:p w:rsidR="007003F6" w:rsidRPr="00BE586A" w:rsidRDefault="007003F6" w:rsidP="007003F6">
            <w:pPr>
              <w:jc w:val="both"/>
              <w:rPr>
                <w:sz w:val="20"/>
                <w:lang w:val="en-CA"/>
              </w:rPr>
            </w:pPr>
          </w:p>
          <w:p w:rsidR="007003F6" w:rsidRPr="00BE586A" w:rsidRDefault="007003F6" w:rsidP="007003F6">
            <w:pPr>
              <w:jc w:val="both"/>
              <w:rPr>
                <w:sz w:val="20"/>
                <w:lang w:val="en-CA"/>
              </w:rPr>
            </w:pPr>
            <w:r w:rsidRPr="00BE586A">
              <w:rPr>
                <w:sz w:val="20"/>
                <w:lang w:val="en-CA"/>
              </w:rPr>
              <w:t xml:space="preserve">In 2013, the Minister prepared two reports on Mr. Torre under s. 44(1) of the </w:t>
            </w:r>
            <w:r w:rsidRPr="00BE586A">
              <w:rPr>
                <w:i/>
                <w:sz w:val="20"/>
                <w:lang w:val="en-CA"/>
              </w:rPr>
              <w:t>Immigration and Refugee Protection Act</w:t>
            </w:r>
            <w:r w:rsidRPr="00BE586A">
              <w:rPr>
                <w:sz w:val="20"/>
                <w:lang w:val="en-CA"/>
              </w:rPr>
              <w:t>, S.C. 2001, c. 27 (“IRPA”), and referred them to the Immigration Division for an admissibility hearing. The Minister was of the opinion that Mr. Torre was inadmissible on grounds of serious criminality and organized criminality. Mr. Torre then moved for a stay of proceedings for unreasonable delay because of the time that had passed between his conviction and the admissibility hearings.</w:t>
            </w:r>
          </w:p>
        </w:tc>
      </w:tr>
      <w:tr w:rsidR="007003F6" w:rsidRPr="00BE586A" w:rsidTr="00014563">
        <w:trPr>
          <w:gridAfter w:val="1"/>
          <w:wAfter w:w="48" w:type="pct"/>
        </w:trPr>
        <w:tc>
          <w:tcPr>
            <w:tcW w:w="4952" w:type="pct"/>
            <w:gridSpan w:val="4"/>
          </w:tcPr>
          <w:p w:rsidR="007003F6" w:rsidRPr="00BE586A" w:rsidRDefault="007003F6" w:rsidP="007003F6">
            <w:pPr>
              <w:jc w:val="both"/>
              <w:rPr>
                <w:sz w:val="20"/>
                <w:lang w:val="en-CA"/>
              </w:rPr>
            </w:pPr>
          </w:p>
        </w:tc>
      </w:tr>
      <w:tr w:rsidR="007003F6" w:rsidRPr="00BE586A" w:rsidTr="00014563">
        <w:tblPrEx>
          <w:tblCellMar>
            <w:bottom w:w="0" w:type="dxa"/>
          </w:tblCellMar>
        </w:tblPrEx>
        <w:tc>
          <w:tcPr>
            <w:tcW w:w="2367" w:type="pct"/>
            <w:gridSpan w:val="2"/>
          </w:tcPr>
          <w:p w:rsidR="007003F6" w:rsidRPr="00BE586A" w:rsidRDefault="007003F6" w:rsidP="007003F6">
            <w:pPr>
              <w:jc w:val="both"/>
              <w:rPr>
                <w:sz w:val="20"/>
                <w:lang w:val="en-CA"/>
              </w:rPr>
            </w:pPr>
            <w:r w:rsidRPr="00BE586A">
              <w:rPr>
                <w:sz w:val="20"/>
                <w:lang w:val="en-CA"/>
              </w:rPr>
              <w:t>June 26, 2014</w:t>
            </w:r>
          </w:p>
          <w:p w:rsidR="007003F6" w:rsidRPr="00BE586A" w:rsidRDefault="007003F6" w:rsidP="007003F6">
            <w:pPr>
              <w:jc w:val="both"/>
              <w:rPr>
                <w:sz w:val="20"/>
                <w:lang w:val="en-CA"/>
              </w:rPr>
            </w:pPr>
            <w:r w:rsidRPr="00BE586A">
              <w:rPr>
                <w:sz w:val="20"/>
                <w:lang w:val="en-CA"/>
              </w:rPr>
              <w:t>Immigration and Refugee Board</w:t>
            </w:r>
          </w:p>
          <w:p w:rsidR="007003F6" w:rsidRPr="00BE586A" w:rsidRDefault="007003F6" w:rsidP="007003F6">
            <w:pPr>
              <w:jc w:val="both"/>
              <w:rPr>
                <w:sz w:val="20"/>
                <w:lang w:val="en-CA"/>
              </w:rPr>
            </w:pPr>
            <w:r w:rsidRPr="00BE586A">
              <w:rPr>
                <w:sz w:val="20"/>
                <w:lang w:val="en-CA"/>
              </w:rPr>
              <w:t>(Member Dubé)</w:t>
            </w:r>
          </w:p>
          <w:p w:rsidR="007003F6" w:rsidRPr="00BE586A" w:rsidRDefault="007003F6" w:rsidP="007003F6">
            <w:pPr>
              <w:jc w:val="both"/>
              <w:rPr>
                <w:sz w:val="20"/>
                <w:lang w:val="en-CA"/>
              </w:rPr>
            </w:pPr>
            <w:r w:rsidRPr="00BE586A">
              <w:rPr>
                <w:sz w:val="20"/>
                <w:lang w:val="en-CA"/>
              </w:rPr>
              <w:t>ID File No.: 0018-B3-00627</w:t>
            </w:r>
          </w:p>
          <w:p w:rsidR="007003F6" w:rsidRPr="00BE586A" w:rsidRDefault="007003F6" w:rsidP="007003F6">
            <w:pPr>
              <w:jc w:val="both"/>
              <w:rPr>
                <w:sz w:val="20"/>
                <w:lang w:val="en-CA"/>
              </w:rPr>
            </w:pPr>
          </w:p>
        </w:tc>
        <w:tc>
          <w:tcPr>
            <w:tcW w:w="267" w:type="pct"/>
          </w:tcPr>
          <w:p w:rsidR="007003F6" w:rsidRPr="00BE586A" w:rsidRDefault="007003F6" w:rsidP="007003F6">
            <w:pPr>
              <w:jc w:val="both"/>
              <w:rPr>
                <w:sz w:val="20"/>
                <w:lang w:val="en-CA"/>
              </w:rPr>
            </w:pPr>
          </w:p>
        </w:tc>
        <w:tc>
          <w:tcPr>
            <w:tcW w:w="2366" w:type="pct"/>
            <w:gridSpan w:val="2"/>
          </w:tcPr>
          <w:p w:rsidR="007003F6" w:rsidRPr="00BE586A" w:rsidRDefault="007003F6" w:rsidP="007003F6">
            <w:pPr>
              <w:jc w:val="both"/>
              <w:rPr>
                <w:sz w:val="20"/>
                <w:lang w:val="en-CA"/>
              </w:rPr>
            </w:pPr>
            <w:r w:rsidRPr="00BE586A">
              <w:rPr>
                <w:sz w:val="20"/>
                <w:lang w:val="en-CA"/>
              </w:rPr>
              <w:t xml:space="preserve">Motion for stay of proceedings dismissed and applicant found inadmissible </w:t>
            </w:r>
          </w:p>
        </w:tc>
      </w:tr>
      <w:tr w:rsidR="007003F6" w:rsidRPr="00BE586A" w:rsidTr="00014563">
        <w:tblPrEx>
          <w:tblCellMar>
            <w:bottom w:w="0" w:type="dxa"/>
          </w:tblCellMar>
        </w:tblPrEx>
        <w:tc>
          <w:tcPr>
            <w:tcW w:w="2367" w:type="pct"/>
            <w:gridSpan w:val="2"/>
          </w:tcPr>
          <w:p w:rsidR="007003F6" w:rsidRPr="00BE586A" w:rsidRDefault="007003F6" w:rsidP="007003F6">
            <w:pPr>
              <w:jc w:val="both"/>
              <w:rPr>
                <w:sz w:val="20"/>
                <w:lang w:val="en-CA"/>
              </w:rPr>
            </w:pPr>
            <w:r w:rsidRPr="00BE586A">
              <w:rPr>
                <w:sz w:val="20"/>
                <w:lang w:val="en-CA"/>
              </w:rPr>
              <w:t>May 6, 2015</w:t>
            </w:r>
          </w:p>
          <w:p w:rsidR="007003F6" w:rsidRPr="00BE586A" w:rsidRDefault="007003F6" w:rsidP="007003F6">
            <w:pPr>
              <w:jc w:val="both"/>
              <w:rPr>
                <w:sz w:val="20"/>
                <w:lang w:val="en-CA"/>
              </w:rPr>
            </w:pPr>
            <w:r w:rsidRPr="00BE586A">
              <w:rPr>
                <w:sz w:val="20"/>
                <w:lang w:val="en-CA"/>
              </w:rPr>
              <w:t>Federal Court</w:t>
            </w:r>
          </w:p>
          <w:p w:rsidR="007003F6" w:rsidRPr="00BE586A" w:rsidRDefault="007003F6" w:rsidP="007003F6">
            <w:pPr>
              <w:jc w:val="both"/>
              <w:rPr>
                <w:sz w:val="20"/>
                <w:lang w:val="en-CA"/>
              </w:rPr>
            </w:pPr>
            <w:r w:rsidRPr="00BE586A">
              <w:rPr>
                <w:sz w:val="20"/>
                <w:lang w:val="en-CA"/>
              </w:rPr>
              <w:t>(Tremblay-Lamer J.)</w:t>
            </w:r>
          </w:p>
          <w:p w:rsidR="007003F6" w:rsidRPr="00BE586A" w:rsidRDefault="00004558" w:rsidP="007003F6">
            <w:pPr>
              <w:jc w:val="both"/>
              <w:rPr>
                <w:sz w:val="20"/>
                <w:lang w:val="en-CA"/>
              </w:rPr>
            </w:pPr>
            <w:hyperlink r:id="rId27" w:history="1">
              <w:r w:rsidR="007003F6" w:rsidRPr="00BE586A">
                <w:rPr>
                  <w:rStyle w:val="Hyperlink"/>
                  <w:sz w:val="20"/>
                  <w:lang w:val="en-CA"/>
                </w:rPr>
                <w:t>2015 FC 591</w:t>
              </w:r>
            </w:hyperlink>
          </w:p>
          <w:p w:rsidR="007003F6" w:rsidRPr="00BE586A" w:rsidRDefault="007003F6" w:rsidP="007003F6">
            <w:pPr>
              <w:jc w:val="both"/>
              <w:rPr>
                <w:sz w:val="20"/>
                <w:lang w:val="en-CA"/>
              </w:rPr>
            </w:pPr>
          </w:p>
        </w:tc>
        <w:tc>
          <w:tcPr>
            <w:tcW w:w="267" w:type="pct"/>
          </w:tcPr>
          <w:p w:rsidR="007003F6" w:rsidRPr="00BE586A" w:rsidRDefault="007003F6" w:rsidP="007003F6">
            <w:pPr>
              <w:jc w:val="both"/>
              <w:rPr>
                <w:sz w:val="20"/>
                <w:lang w:val="en-CA"/>
              </w:rPr>
            </w:pPr>
          </w:p>
        </w:tc>
        <w:tc>
          <w:tcPr>
            <w:tcW w:w="2366" w:type="pct"/>
            <w:gridSpan w:val="2"/>
          </w:tcPr>
          <w:p w:rsidR="007003F6" w:rsidRPr="00BE586A" w:rsidRDefault="007003F6" w:rsidP="007003F6">
            <w:pPr>
              <w:jc w:val="both"/>
              <w:rPr>
                <w:sz w:val="20"/>
                <w:lang w:val="en-CA"/>
              </w:rPr>
            </w:pPr>
            <w:r w:rsidRPr="00BE586A">
              <w:rPr>
                <w:sz w:val="20"/>
                <w:lang w:val="en-CA"/>
              </w:rPr>
              <w:t>Application for judicial review dismissed</w:t>
            </w:r>
          </w:p>
          <w:p w:rsidR="007003F6" w:rsidRPr="00BE586A" w:rsidRDefault="007003F6" w:rsidP="007003F6">
            <w:pPr>
              <w:jc w:val="both"/>
              <w:rPr>
                <w:sz w:val="20"/>
                <w:lang w:val="en-CA"/>
              </w:rPr>
            </w:pPr>
          </w:p>
        </w:tc>
      </w:tr>
      <w:tr w:rsidR="007003F6" w:rsidRPr="00BE586A" w:rsidTr="00014563">
        <w:tblPrEx>
          <w:tblCellMar>
            <w:bottom w:w="0" w:type="dxa"/>
          </w:tblCellMar>
        </w:tblPrEx>
        <w:tc>
          <w:tcPr>
            <w:tcW w:w="2367" w:type="pct"/>
            <w:gridSpan w:val="2"/>
          </w:tcPr>
          <w:p w:rsidR="007003F6" w:rsidRPr="00BE586A" w:rsidRDefault="007003F6" w:rsidP="007003F6">
            <w:pPr>
              <w:jc w:val="both"/>
              <w:rPr>
                <w:sz w:val="20"/>
                <w:lang w:val="en-CA"/>
              </w:rPr>
            </w:pPr>
            <w:r w:rsidRPr="00BE586A">
              <w:rPr>
                <w:sz w:val="20"/>
                <w:lang w:val="en-CA"/>
              </w:rPr>
              <w:t>February 9, 2016</w:t>
            </w:r>
          </w:p>
          <w:p w:rsidR="007003F6" w:rsidRPr="00BE586A" w:rsidRDefault="007003F6" w:rsidP="007003F6">
            <w:pPr>
              <w:jc w:val="both"/>
              <w:rPr>
                <w:sz w:val="20"/>
                <w:lang w:val="en-CA"/>
              </w:rPr>
            </w:pPr>
            <w:r w:rsidRPr="00BE586A">
              <w:rPr>
                <w:sz w:val="20"/>
                <w:lang w:val="en-CA"/>
              </w:rPr>
              <w:t>Federal Court of Appeal</w:t>
            </w:r>
          </w:p>
          <w:p w:rsidR="007003F6" w:rsidRPr="00BE586A" w:rsidRDefault="007003F6" w:rsidP="007003F6">
            <w:pPr>
              <w:jc w:val="both"/>
              <w:rPr>
                <w:sz w:val="20"/>
                <w:lang w:val="en-CA"/>
              </w:rPr>
            </w:pPr>
            <w:r w:rsidRPr="00BE586A">
              <w:rPr>
                <w:sz w:val="20"/>
                <w:lang w:val="en-CA"/>
              </w:rPr>
              <w:t>(Noël C.J. and Scott and</w:t>
            </w:r>
          </w:p>
          <w:p w:rsidR="007003F6" w:rsidRPr="00BE586A" w:rsidRDefault="007003F6" w:rsidP="007003F6">
            <w:pPr>
              <w:jc w:val="both"/>
              <w:rPr>
                <w:sz w:val="20"/>
              </w:rPr>
            </w:pPr>
            <w:r w:rsidRPr="00BE586A">
              <w:rPr>
                <w:sz w:val="20"/>
              </w:rPr>
              <w:t>De Montigny JJ.A.)</w:t>
            </w:r>
          </w:p>
          <w:p w:rsidR="007003F6" w:rsidRPr="00BE586A" w:rsidRDefault="00004558" w:rsidP="007003F6">
            <w:pPr>
              <w:jc w:val="both"/>
              <w:rPr>
                <w:sz w:val="20"/>
              </w:rPr>
            </w:pPr>
            <w:hyperlink r:id="rId28" w:history="1">
              <w:r w:rsidR="007003F6" w:rsidRPr="00BE586A">
                <w:rPr>
                  <w:rStyle w:val="Hyperlink"/>
                  <w:sz w:val="20"/>
                </w:rPr>
                <w:t>2016 FCA 48</w:t>
              </w:r>
            </w:hyperlink>
            <w:r w:rsidR="007003F6" w:rsidRPr="00BE586A">
              <w:rPr>
                <w:sz w:val="20"/>
              </w:rPr>
              <w:t xml:space="preserve"> </w:t>
            </w:r>
          </w:p>
          <w:p w:rsidR="007003F6" w:rsidRPr="00BE586A" w:rsidRDefault="007003F6" w:rsidP="007003F6">
            <w:pPr>
              <w:jc w:val="both"/>
              <w:rPr>
                <w:sz w:val="20"/>
              </w:rPr>
            </w:pPr>
          </w:p>
        </w:tc>
        <w:tc>
          <w:tcPr>
            <w:tcW w:w="267" w:type="pct"/>
          </w:tcPr>
          <w:p w:rsidR="007003F6" w:rsidRPr="00BE586A" w:rsidRDefault="007003F6" w:rsidP="007003F6">
            <w:pPr>
              <w:jc w:val="both"/>
              <w:rPr>
                <w:sz w:val="20"/>
              </w:rPr>
            </w:pPr>
          </w:p>
        </w:tc>
        <w:tc>
          <w:tcPr>
            <w:tcW w:w="2366" w:type="pct"/>
            <w:gridSpan w:val="2"/>
          </w:tcPr>
          <w:p w:rsidR="007003F6" w:rsidRPr="00BE586A" w:rsidRDefault="007003F6" w:rsidP="007003F6">
            <w:pPr>
              <w:jc w:val="both"/>
              <w:rPr>
                <w:sz w:val="20"/>
                <w:lang w:val="en-CA"/>
              </w:rPr>
            </w:pPr>
            <w:r w:rsidRPr="00BE586A">
              <w:rPr>
                <w:sz w:val="20"/>
                <w:lang w:val="en-CA"/>
              </w:rPr>
              <w:t>Appeal dismissed</w:t>
            </w:r>
          </w:p>
          <w:p w:rsidR="007003F6" w:rsidRPr="00BE586A" w:rsidRDefault="007003F6" w:rsidP="007003F6">
            <w:pPr>
              <w:jc w:val="both"/>
              <w:rPr>
                <w:sz w:val="20"/>
                <w:lang w:val="en-CA"/>
              </w:rPr>
            </w:pPr>
          </w:p>
        </w:tc>
      </w:tr>
      <w:tr w:rsidR="007003F6" w:rsidRPr="00BE586A" w:rsidTr="00014563">
        <w:tblPrEx>
          <w:tblCellMar>
            <w:bottom w:w="0" w:type="dxa"/>
          </w:tblCellMar>
        </w:tblPrEx>
        <w:tc>
          <w:tcPr>
            <w:tcW w:w="2367" w:type="pct"/>
            <w:gridSpan w:val="2"/>
          </w:tcPr>
          <w:p w:rsidR="007003F6" w:rsidRPr="00BE586A" w:rsidRDefault="007003F6" w:rsidP="007003F6">
            <w:pPr>
              <w:jc w:val="both"/>
              <w:rPr>
                <w:sz w:val="20"/>
                <w:lang w:val="en-CA"/>
              </w:rPr>
            </w:pPr>
            <w:r w:rsidRPr="00BE586A">
              <w:rPr>
                <w:sz w:val="20"/>
                <w:lang w:val="en-CA"/>
              </w:rPr>
              <w:t>April 7, 2016</w:t>
            </w:r>
          </w:p>
          <w:p w:rsidR="007003F6" w:rsidRPr="00BE586A" w:rsidRDefault="007003F6" w:rsidP="007003F6">
            <w:pPr>
              <w:jc w:val="both"/>
              <w:rPr>
                <w:sz w:val="20"/>
                <w:lang w:val="en-CA"/>
              </w:rPr>
            </w:pPr>
            <w:r w:rsidRPr="00BE586A">
              <w:rPr>
                <w:sz w:val="20"/>
                <w:lang w:val="en-CA"/>
              </w:rPr>
              <w:t>Supreme Court of Canada</w:t>
            </w:r>
          </w:p>
        </w:tc>
        <w:tc>
          <w:tcPr>
            <w:tcW w:w="267" w:type="pct"/>
          </w:tcPr>
          <w:p w:rsidR="007003F6" w:rsidRPr="00BE586A" w:rsidRDefault="007003F6" w:rsidP="007003F6">
            <w:pPr>
              <w:jc w:val="both"/>
              <w:rPr>
                <w:sz w:val="20"/>
                <w:lang w:val="en-CA"/>
              </w:rPr>
            </w:pPr>
          </w:p>
        </w:tc>
        <w:tc>
          <w:tcPr>
            <w:tcW w:w="2366" w:type="pct"/>
            <w:gridSpan w:val="2"/>
          </w:tcPr>
          <w:p w:rsidR="007003F6" w:rsidRPr="00BE586A" w:rsidRDefault="007003F6" w:rsidP="007003F6">
            <w:pPr>
              <w:jc w:val="both"/>
              <w:rPr>
                <w:sz w:val="20"/>
                <w:lang w:val="en-CA"/>
              </w:rPr>
            </w:pPr>
            <w:r w:rsidRPr="00BE586A">
              <w:rPr>
                <w:sz w:val="20"/>
                <w:lang w:val="en-CA"/>
              </w:rPr>
              <w:t>Application for leave to appeal filed</w:t>
            </w:r>
          </w:p>
          <w:p w:rsidR="007003F6" w:rsidRPr="00BE586A" w:rsidRDefault="007003F6" w:rsidP="007003F6">
            <w:pPr>
              <w:jc w:val="both"/>
              <w:rPr>
                <w:sz w:val="20"/>
                <w:lang w:val="en-CA"/>
              </w:rPr>
            </w:pPr>
          </w:p>
        </w:tc>
      </w:tr>
    </w:tbl>
    <w:p w:rsidR="007003F6" w:rsidRPr="00BE586A" w:rsidRDefault="007003F6" w:rsidP="007003F6">
      <w:pPr>
        <w:jc w:val="both"/>
        <w:rPr>
          <w:sz w:val="20"/>
          <w:lang w:val="en-CA"/>
        </w:rPr>
      </w:pPr>
    </w:p>
    <w:p w:rsidR="007003F6" w:rsidRPr="00BE586A" w:rsidRDefault="007003F6" w:rsidP="007003F6">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003F6" w:rsidRPr="00BE586A" w:rsidTr="00014563">
        <w:trPr>
          <w:gridAfter w:val="1"/>
          <w:wAfter w:w="48" w:type="pct"/>
        </w:trPr>
        <w:tc>
          <w:tcPr>
            <w:tcW w:w="538" w:type="pct"/>
          </w:tcPr>
          <w:p w:rsidR="007003F6" w:rsidRPr="00BE586A" w:rsidRDefault="007003F6" w:rsidP="007003F6">
            <w:pPr>
              <w:jc w:val="both"/>
              <w:rPr>
                <w:sz w:val="20"/>
              </w:rPr>
            </w:pPr>
            <w:r w:rsidRPr="00BE586A">
              <w:rPr>
                <w:rStyle w:val="SCCFileNumberChar"/>
                <w:sz w:val="20"/>
                <w:szCs w:val="20"/>
              </w:rPr>
              <w:t>36936</w:t>
            </w:r>
          </w:p>
        </w:tc>
        <w:tc>
          <w:tcPr>
            <w:tcW w:w="4414" w:type="pct"/>
            <w:gridSpan w:val="3"/>
          </w:tcPr>
          <w:p w:rsidR="007003F6" w:rsidRPr="00BE586A" w:rsidRDefault="007003F6" w:rsidP="007003F6">
            <w:pPr>
              <w:pStyle w:val="SCCLsocParty"/>
              <w:jc w:val="both"/>
              <w:rPr>
                <w:b/>
                <w:sz w:val="20"/>
                <w:szCs w:val="20"/>
              </w:rPr>
            </w:pPr>
            <w:proofErr w:type="spellStart"/>
            <w:r w:rsidRPr="00BE586A">
              <w:rPr>
                <w:b/>
                <w:sz w:val="20"/>
                <w:szCs w:val="20"/>
              </w:rPr>
              <w:t>Michele</w:t>
            </w:r>
            <w:proofErr w:type="spellEnd"/>
            <w:r w:rsidRPr="00BE586A">
              <w:rPr>
                <w:b/>
                <w:sz w:val="20"/>
                <w:szCs w:val="20"/>
              </w:rPr>
              <w:t xml:space="preserve"> Torre c. Ministre de la Citoyenneté et de l'Immigration</w:t>
            </w:r>
          </w:p>
          <w:p w:rsidR="007003F6" w:rsidRPr="00BE586A" w:rsidRDefault="007003F6" w:rsidP="007003F6">
            <w:pPr>
              <w:jc w:val="both"/>
              <w:rPr>
                <w:sz w:val="20"/>
              </w:rPr>
            </w:pPr>
            <w:r w:rsidRPr="00BE586A">
              <w:rPr>
                <w:sz w:val="20"/>
              </w:rPr>
              <w:t>(CF) (Civile) (Autorisation)</w:t>
            </w:r>
          </w:p>
        </w:tc>
      </w:tr>
      <w:tr w:rsidR="007003F6" w:rsidRPr="00BE586A" w:rsidTr="00014563">
        <w:trPr>
          <w:gridAfter w:val="1"/>
          <w:wAfter w:w="48" w:type="pct"/>
        </w:trPr>
        <w:tc>
          <w:tcPr>
            <w:tcW w:w="4952" w:type="pct"/>
            <w:gridSpan w:val="4"/>
          </w:tcPr>
          <w:p w:rsidR="007003F6" w:rsidRPr="00BE586A" w:rsidRDefault="007003F6" w:rsidP="007003F6">
            <w:pPr>
              <w:jc w:val="both"/>
              <w:rPr>
                <w:sz w:val="20"/>
                <w:lang w:val="fr-FR"/>
              </w:rPr>
            </w:pPr>
            <w:r w:rsidRPr="00BE586A">
              <w:rPr>
                <w:i/>
                <w:sz w:val="20"/>
                <w:lang w:val="fr-FR"/>
              </w:rPr>
              <w:t xml:space="preserve">Charte canadienne des droits et libertés </w:t>
            </w:r>
            <w:r w:rsidRPr="00BE586A">
              <w:rPr>
                <w:sz w:val="20"/>
                <w:lang w:val="fr-FR"/>
              </w:rPr>
              <w:t xml:space="preserve">– </w:t>
            </w:r>
            <w:r w:rsidRPr="00BE586A">
              <w:rPr>
                <w:sz w:val="20"/>
              </w:rPr>
              <w:t xml:space="preserve">Immigration – Interdiction de territoire et renvoi – Résidents permanents – Appels – Demandeur déclaré interdit de territoire pour grande criminalité et criminalité organisée – </w:t>
            </w:r>
            <w:r w:rsidRPr="00BE586A">
              <w:rPr>
                <w:sz w:val="20"/>
                <w:lang w:val="fr-FR"/>
              </w:rPr>
              <w:t xml:space="preserve">La Cour d’appel fédérale a-t-elle erré en droit en ne répondant pas par l’affirmative à la question suivante : « La Section de l’immigration de la Commission de l’immigration et du statut de réfugié est-elle compétente pour accorder un arrêt des procédures aux termes du paragraphe 24(1) de la </w:t>
            </w:r>
            <w:r w:rsidRPr="00BE586A">
              <w:rPr>
                <w:i/>
                <w:sz w:val="20"/>
                <w:lang w:val="fr-FR"/>
              </w:rPr>
              <w:t>Charte canadienne des droits et libertés</w:t>
            </w:r>
            <w:r w:rsidRPr="00BE586A">
              <w:rPr>
                <w:sz w:val="20"/>
                <w:lang w:val="fr-FR"/>
              </w:rPr>
              <w:t xml:space="preserve"> dans le cadre d’une enquête suivant le déféré d’un rapport préparé conformément au paragraphe 44(1) de la </w:t>
            </w:r>
            <w:r w:rsidRPr="00BE586A">
              <w:rPr>
                <w:i/>
                <w:sz w:val="20"/>
                <w:lang w:val="fr-FR"/>
              </w:rPr>
              <w:t>Loi sur l’immigration et la protection des réfugiés</w:t>
            </w:r>
            <w:r w:rsidRPr="00BE586A">
              <w:rPr>
                <w:sz w:val="20"/>
                <w:lang w:val="fr-FR"/>
              </w:rPr>
              <w:t xml:space="preserve">? » </w:t>
            </w:r>
            <w:r w:rsidRPr="00BE586A">
              <w:rPr>
                <w:sz w:val="20"/>
              </w:rPr>
              <w:t xml:space="preserve">– </w:t>
            </w:r>
            <w:r w:rsidRPr="00BE586A">
              <w:rPr>
                <w:sz w:val="20"/>
                <w:lang w:val="fr-FR"/>
              </w:rPr>
              <w:t xml:space="preserve">La Cour d’appel fédérale a-t-elle erré en droit et en fait en concluant que le demandeur n’avait pas fait la preuve d’un quelconque préjudice subi par l’écoulement du temps? – </w:t>
            </w:r>
            <w:r w:rsidRPr="00BE586A">
              <w:rPr>
                <w:i/>
                <w:iCs/>
                <w:sz w:val="20"/>
              </w:rPr>
              <w:t>Loi sur l’immigration et la protection des réfugiés</w:t>
            </w:r>
            <w:r w:rsidRPr="00BE586A">
              <w:rPr>
                <w:sz w:val="20"/>
              </w:rPr>
              <w:t>, L.C. 2001, c. 27, art. 44(1).</w:t>
            </w:r>
          </w:p>
          <w:p w:rsidR="007003F6" w:rsidRPr="00BE586A" w:rsidRDefault="007003F6" w:rsidP="007003F6">
            <w:pPr>
              <w:jc w:val="both"/>
              <w:rPr>
                <w:sz w:val="20"/>
              </w:rPr>
            </w:pPr>
          </w:p>
          <w:p w:rsidR="007003F6" w:rsidRPr="00BE586A" w:rsidRDefault="007003F6" w:rsidP="007003F6">
            <w:pPr>
              <w:jc w:val="both"/>
              <w:rPr>
                <w:sz w:val="20"/>
              </w:rPr>
            </w:pPr>
            <w:r w:rsidRPr="00BE586A">
              <w:rPr>
                <w:sz w:val="20"/>
              </w:rPr>
              <w:t>Le demandeur M. Torre est citoyen italien et résident permanent au Canada depuis 1967.</w:t>
            </w:r>
            <w:r w:rsidRPr="00BE586A">
              <w:rPr>
                <w:b/>
                <w:sz w:val="20"/>
              </w:rPr>
              <w:t xml:space="preserve"> </w:t>
            </w:r>
            <w:r w:rsidRPr="00BE586A">
              <w:rPr>
                <w:sz w:val="20"/>
              </w:rPr>
              <w:t>En 1996, il plaide coupable à une infraction de complot en vue du trafic de la cocaïne et est condamné à huit ans et neuf mois en prison. Dans cette même affaire, trois autres personnes, les employeurs de M. Torre à l’époque, ont été reconnues coupables. En 2006, M. Torre est arrêté dans le cadre de l’opération Colisée qui visait la mafia italienne à Montréal. Il n’est pas reconnu coupable d’une infraction dans le cadre de cette opération, mais est mis en détention préventive pendant deux ans et neuf mois.</w:t>
            </w:r>
          </w:p>
          <w:p w:rsidR="007003F6" w:rsidRPr="00BE586A" w:rsidRDefault="007003F6" w:rsidP="007003F6">
            <w:pPr>
              <w:jc w:val="both"/>
              <w:rPr>
                <w:sz w:val="20"/>
              </w:rPr>
            </w:pPr>
          </w:p>
          <w:p w:rsidR="007003F6" w:rsidRPr="00BE586A" w:rsidRDefault="007003F6" w:rsidP="007003F6">
            <w:pPr>
              <w:jc w:val="both"/>
              <w:rPr>
                <w:sz w:val="20"/>
              </w:rPr>
            </w:pPr>
            <w:r w:rsidRPr="00BE586A">
              <w:rPr>
                <w:sz w:val="20"/>
              </w:rPr>
              <w:t xml:space="preserve">En 2013, le ministre établit deux rapports en vertu du paragraphe 44(1) de la </w:t>
            </w:r>
            <w:r w:rsidRPr="00BE586A">
              <w:rPr>
                <w:i/>
                <w:iCs/>
                <w:sz w:val="20"/>
              </w:rPr>
              <w:t>Loi sur l’immigration et la protection des réfugiés</w:t>
            </w:r>
            <w:r w:rsidRPr="00BE586A">
              <w:rPr>
                <w:sz w:val="20"/>
              </w:rPr>
              <w:t xml:space="preserve">, L.C. 2001, c. 27 (« LIPR »), au sujet de M. Torre et les défère pour enquête à la Section de l’immigration. Le ministre est d’avis que M. Torre serait interdit de territoire pour grande criminalité et criminalité </w:t>
            </w:r>
            <w:r w:rsidRPr="00BE586A">
              <w:rPr>
                <w:sz w:val="20"/>
              </w:rPr>
              <w:lastRenderedPageBreak/>
              <w:t>organisée. M. Torre présente alors une requête en arrêt des procédures pour délai déraisonnable compte tenu du temps qui s’est écoulé entre sa condamnation et les enquêtes.</w:t>
            </w:r>
          </w:p>
        </w:tc>
      </w:tr>
      <w:tr w:rsidR="007003F6" w:rsidRPr="00BE586A" w:rsidTr="00014563">
        <w:trPr>
          <w:gridAfter w:val="1"/>
          <w:wAfter w:w="48" w:type="pct"/>
        </w:trPr>
        <w:tc>
          <w:tcPr>
            <w:tcW w:w="4952" w:type="pct"/>
            <w:gridSpan w:val="4"/>
          </w:tcPr>
          <w:p w:rsidR="007003F6" w:rsidRPr="00BE586A" w:rsidRDefault="007003F6" w:rsidP="007003F6">
            <w:pPr>
              <w:jc w:val="both"/>
              <w:rPr>
                <w:sz w:val="20"/>
              </w:rPr>
            </w:pPr>
          </w:p>
        </w:tc>
      </w:tr>
      <w:tr w:rsidR="007003F6" w:rsidRPr="00BE586A" w:rsidTr="00014563">
        <w:tblPrEx>
          <w:tblCellMar>
            <w:bottom w:w="0" w:type="dxa"/>
          </w:tblCellMar>
        </w:tblPrEx>
        <w:tc>
          <w:tcPr>
            <w:tcW w:w="2367" w:type="pct"/>
            <w:gridSpan w:val="2"/>
          </w:tcPr>
          <w:p w:rsidR="007003F6" w:rsidRPr="00BE586A" w:rsidRDefault="007003F6" w:rsidP="007003F6">
            <w:pPr>
              <w:jc w:val="both"/>
              <w:rPr>
                <w:sz w:val="20"/>
              </w:rPr>
            </w:pPr>
            <w:r w:rsidRPr="00BE586A">
              <w:rPr>
                <w:sz w:val="20"/>
              </w:rPr>
              <w:t>Le 26 juin 2014</w:t>
            </w:r>
          </w:p>
          <w:p w:rsidR="007003F6" w:rsidRPr="00BE586A" w:rsidRDefault="007003F6" w:rsidP="007003F6">
            <w:pPr>
              <w:jc w:val="both"/>
              <w:rPr>
                <w:sz w:val="20"/>
              </w:rPr>
            </w:pPr>
            <w:r w:rsidRPr="00BE586A">
              <w:rPr>
                <w:sz w:val="20"/>
              </w:rPr>
              <w:t xml:space="preserve">Commission de l’immigration et du statut de </w:t>
            </w:r>
          </w:p>
          <w:p w:rsidR="007003F6" w:rsidRPr="00BE586A" w:rsidRDefault="007003F6" w:rsidP="007003F6">
            <w:pPr>
              <w:jc w:val="both"/>
              <w:rPr>
                <w:sz w:val="20"/>
              </w:rPr>
            </w:pPr>
            <w:r w:rsidRPr="00BE586A">
              <w:rPr>
                <w:sz w:val="20"/>
              </w:rPr>
              <w:t>réfugié</w:t>
            </w:r>
          </w:p>
          <w:p w:rsidR="007003F6" w:rsidRPr="00BE586A" w:rsidRDefault="007003F6" w:rsidP="007003F6">
            <w:pPr>
              <w:jc w:val="both"/>
              <w:rPr>
                <w:sz w:val="20"/>
              </w:rPr>
            </w:pPr>
            <w:r w:rsidRPr="00BE586A">
              <w:rPr>
                <w:sz w:val="20"/>
              </w:rPr>
              <w:t>(Le commissaire Dubé)</w:t>
            </w:r>
          </w:p>
          <w:p w:rsidR="007003F6" w:rsidRPr="00BE586A" w:rsidRDefault="007003F6" w:rsidP="007003F6">
            <w:pPr>
              <w:jc w:val="both"/>
              <w:rPr>
                <w:sz w:val="20"/>
              </w:rPr>
            </w:pPr>
            <w:r w:rsidRPr="00BE586A">
              <w:rPr>
                <w:sz w:val="20"/>
              </w:rPr>
              <w:t>N</w:t>
            </w:r>
            <w:r w:rsidRPr="00BE586A">
              <w:rPr>
                <w:sz w:val="20"/>
                <w:vertAlign w:val="superscript"/>
              </w:rPr>
              <w:t>o</w:t>
            </w:r>
            <w:r w:rsidRPr="00BE586A">
              <w:rPr>
                <w:sz w:val="20"/>
              </w:rPr>
              <w:t xml:space="preserve"> de dossier de la SI : 0018-B3-00627</w:t>
            </w:r>
          </w:p>
          <w:p w:rsidR="007003F6" w:rsidRPr="00BE586A" w:rsidRDefault="007003F6" w:rsidP="007003F6">
            <w:pPr>
              <w:jc w:val="both"/>
              <w:rPr>
                <w:sz w:val="20"/>
              </w:rPr>
            </w:pPr>
          </w:p>
        </w:tc>
        <w:tc>
          <w:tcPr>
            <w:tcW w:w="267" w:type="pct"/>
          </w:tcPr>
          <w:p w:rsidR="007003F6" w:rsidRPr="00BE586A" w:rsidRDefault="007003F6" w:rsidP="007003F6">
            <w:pPr>
              <w:jc w:val="both"/>
              <w:rPr>
                <w:sz w:val="20"/>
              </w:rPr>
            </w:pPr>
          </w:p>
        </w:tc>
        <w:tc>
          <w:tcPr>
            <w:tcW w:w="2366" w:type="pct"/>
            <w:gridSpan w:val="2"/>
          </w:tcPr>
          <w:p w:rsidR="007003F6" w:rsidRPr="00BE586A" w:rsidRDefault="007003F6" w:rsidP="007003F6">
            <w:pPr>
              <w:jc w:val="both"/>
              <w:rPr>
                <w:sz w:val="20"/>
              </w:rPr>
            </w:pPr>
            <w:r w:rsidRPr="00BE586A">
              <w:rPr>
                <w:sz w:val="20"/>
              </w:rPr>
              <w:t xml:space="preserve">Requête en arrêt des procédures rejetées, demandeur déclaré interdit de territoire </w:t>
            </w:r>
          </w:p>
        </w:tc>
      </w:tr>
      <w:tr w:rsidR="007003F6" w:rsidRPr="00BE586A" w:rsidTr="00014563">
        <w:tblPrEx>
          <w:tblCellMar>
            <w:bottom w:w="0" w:type="dxa"/>
          </w:tblCellMar>
        </w:tblPrEx>
        <w:tc>
          <w:tcPr>
            <w:tcW w:w="2367" w:type="pct"/>
            <w:gridSpan w:val="2"/>
          </w:tcPr>
          <w:p w:rsidR="007003F6" w:rsidRPr="00BE586A" w:rsidRDefault="007003F6" w:rsidP="007003F6">
            <w:pPr>
              <w:jc w:val="both"/>
              <w:rPr>
                <w:sz w:val="20"/>
              </w:rPr>
            </w:pPr>
            <w:r w:rsidRPr="00BE586A">
              <w:rPr>
                <w:sz w:val="20"/>
              </w:rPr>
              <w:t>Le 6 mai 2015</w:t>
            </w:r>
          </w:p>
          <w:p w:rsidR="007003F6" w:rsidRPr="00BE586A" w:rsidRDefault="007003F6" w:rsidP="007003F6">
            <w:pPr>
              <w:jc w:val="both"/>
              <w:rPr>
                <w:sz w:val="20"/>
              </w:rPr>
            </w:pPr>
            <w:r w:rsidRPr="00BE586A">
              <w:rPr>
                <w:sz w:val="20"/>
              </w:rPr>
              <w:t>Cour fédérale</w:t>
            </w:r>
          </w:p>
          <w:p w:rsidR="007003F6" w:rsidRPr="00BE586A" w:rsidRDefault="007003F6" w:rsidP="007003F6">
            <w:pPr>
              <w:jc w:val="both"/>
              <w:rPr>
                <w:sz w:val="20"/>
              </w:rPr>
            </w:pPr>
            <w:r w:rsidRPr="00BE586A">
              <w:rPr>
                <w:sz w:val="20"/>
              </w:rPr>
              <w:t>(La juge Tremblay-Lamer)</w:t>
            </w:r>
          </w:p>
          <w:p w:rsidR="007003F6" w:rsidRPr="00BE586A" w:rsidRDefault="00004558" w:rsidP="007003F6">
            <w:pPr>
              <w:jc w:val="both"/>
              <w:rPr>
                <w:sz w:val="20"/>
              </w:rPr>
            </w:pPr>
            <w:hyperlink r:id="rId29" w:history="1">
              <w:r w:rsidR="007003F6" w:rsidRPr="00BE586A">
                <w:rPr>
                  <w:rStyle w:val="Hyperlink"/>
                  <w:sz w:val="20"/>
                </w:rPr>
                <w:t>2015 CF 591</w:t>
              </w:r>
            </w:hyperlink>
          </w:p>
          <w:p w:rsidR="007003F6" w:rsidRPr="00BE586A" w:rsidRDefault="007003F6" w:rsidP="007003F6">
            <w:pPr>
              <w:jc w:val="both"/>
              <w:rPr>
                <w:sz w:val="20"/>
              </w:rPr>
            </w:pPr>
          </w:p>
        </w:tc>
        <w:tc>
          <w:tcPr>
            <w:tcW w:w="267" w:type="pct"/>
          </w:tcPr>
          <w:p w:rsidR="007003F6" w:rsidRPr="00BE586A" w:rsidRDefault="007003F6" w:rsidP="007003F6">
            <w:pPr>
              <w:jc w:val="both"/>
              <w:rPr>
                <w:sz w:val="20"/>
              </w:rPr>
            </w:pPr>
          </w:p>
        </w:tc>
        <w:tc>
          <w:tcPr>
            <w:tcW w:w="2366" w:type="pct"/>
            <w:gridSpan w:val="2"/>
          </w:tcPr>
          <w:p w:rsidR="007003F6" w:rsidRPr="00BE586A" w:rsidRDefault="007003F6" w:rsidP="007003F6">
            <w:pPr>
              <w:jc w:val="both"/>
              <w:rPr>
                <w:sz w:val="20"/>
              </w:rPr>
            </w:pPr>
            <w:r w:rsidRPr="00BE586A">
              <w:rPr>
                <w:sz w:val="20"/>
              </w:rPr>
              <w:t>Demande de contrôle judiciaire rejetée</w:t>
            </w:r>
          </w:p>
          <w:p w:rsidR="007003F6" w:rsidRPr="00BE586A" w:rsidRDefault="007003F6" w:rsidP="007003F6">
            <w:pPr>
              <w:jc w:val="both"/>
              <w:rPr>
                <w:sz w:val="20"/>
              </w:rPr>
            </w:pPr>
          </w:p>
        </w:tc>
      </w:tr>
      <w:tr w:rsidR="007003F6" w:rsidRPr="00BE586A" w:rsidTr="00014563">
        <w:tblPrEx>
          <w:tblCellMar>
            <w:bottom w:w="0" w:type="dxa"/>
          </w:tblCellMar>
        </w:tblPrEx>
        <w:tc>
          <w:tcPr>
            <w:tcW w:w="2367" w:type="pct"/>
            <w:gridSpan w:val="2"/>
          </w:tcPr>
          <w:p w:rsidR="007003F6" w:rsidRPr="00BE586A" w:rsidRDefault="007003F6" w:rsidP="007003F6">
            <w:pPr>
              <w:jc w:val="both"/>
              <w:rPr>
                <w:sz w:val="20"/>
              </w:rPr>
            </w:pPr>
            <w:r w:rsidRPr="00BE586A">
              <w:rPr>
                <w:sz w:val="20"/>
              </w:rPr>
              <w:t>Le 9 février 2016</w:t>
            </w:r>
          </w:p>
          <w:p w:rsidR="007003F6" w:rsidRPr="00BE586A" w:rsidRDefault="007003F6" w:rsidP="007003F6">
            <w:pPr>
              <w:jc w:val="both"/>
              <w:rPr>
                <w:sz w:val="20"/>
              </w:rPr>
            </w:pPr>
            <w:r w:rsidRPr="00BE586A">
              <w:rPr>
                <w:sz w:val="20"/>
              </w:rPr>
              <w:t>Cour d’appel fédérale</w:t>
            </w:r>
          </w:p>
          <w:p w:rsidR="007003F6" w:rsidRPr="00BE586A" w:rsidRDefault="007003F6" w:rsidP="007003F6">
            <w:pPr>
              <w:jc w:val="both"/>
              <w:rPr>
                <w:sz w:val="20"/>
              </w:rPr>
            </w:pPr>
            <w:r w:rsidRPr="00BE586A">
              <w:rPr>
                <w:sz w:val="20"/>
              </w:rPr>
              <w:t>(Le juge en chef Noël et les juges Scott et</w:t>
            </w:r>
          </w:p>
          <w:p w:rsidR="007003F6" w:rsidRPr="00BE586A" w:rsidRDefault="007003F6" w:rsidP="007003F6">
            <w:pPr>
              <w:jc w:val="both"/>
              <w:rPr>
                <w:sz w:val="20"/>
              </w:rPr>
            </w:pPr>
            <w:r w:rsidRPr="00BE586A">
              <w:rPr>
                <w:sz w:val="20"/>
              </w:rPr>
              <w:t>De Montigny)</w:t>
            </w:r>
          </w:p>
          <w:p w:rsidR="007003F6" w:rsidRPr="00BE586A" w:rsidRDefault="00004558" w:rsidP="007003F6">
            <w:pPr>
              <w:jc w:val="both"/>
              <w:rPr>
                <w:sz w:val="20"/>
              </w:rPr>
            </w:pPr>
            <w:hyperlink r:id="rId30" w:history="1">
              <w:r w:rsidR="007003F6" w:rsidRPr="00BE586A">
                <w:rPr>
                  <w:rStyle w:val="Hyperlink"/>
                  <w:sz w:val="20"/>
                </w:rPr>
                <w:t>2016 CAF 48</w:t>
              </w:r>
            </w:hyperlink>
            <w:r w:rsidR="007003F6" w:rsidRPr="00BE586A">
              <w:rPr>
                <w:sz w:val="20"/>
              </w:rPr>
              <w:t xml:space="preserve"> </w:t>
            </w:r>
          </w:p>
          <w:p w:rsidR="007003F6" w:rsidRPr="00BE586A" w:rsidRDefault="007003F6" w:rsidP="007003F6">
            <w:pPr>
              <w:jc w:val="both"/>
              <w:rPr>
                <w:sz w:val="20"/>
              </w:rPr>
            </w:pPr>
          </w:p>
        </w:tc>
        <w:tc>
          <w:tcPr>
            <w:tcW w:w="267" w:type="pct"/>
          </w:tcPr>
          <w:p w:rsidR="007003F6" w:rsidRPr="00BE586A" w:rsidRDefault="007003F6" w:rsidP="007003F6">
            <w:pPr>
              <w:jc w:val="both"/>
              <w:rPr>
                <w:sz w:val="20"/>
              </w:rPr>
            </w:pPr>
          </w:p>
        </w:tc>
        <w:tc>
          <w:tcPr>
            <w:tcW w:w="2366" w:type="pct"/>
            <w:gridSpan w:val="2"/>
          </w:tcPr>
          <w:p w:rsidR="007003F6" w:rsidRPr="00BE586A" w:rsidRDefault="007003F6" w:rsidP="007003F6">
            <w:pPr>
              <w:jc w:val="both"/>
              <w:rPr>
                <w:sz w:val="20"/>
              </w:rPr>
            </w:pPr>
            <w:r w:rsidRPr="00BE586A">
              <w:rPr>
                <w:sz w:val="20"/>
              </w:rPr>
              <w:t>Appel rejeté</w:t>
            </w:r>
          </w:p>
          <w:p w:rsidR="007003F6" w:rsidRPr="00BE586A" w:rsidRDefault="007003F6" w:rsidP="007003F6">
            <w:pPr>
              <w:jc w:val="both"/>
              <w:rPr>
                <w:sz w:val="20"/>
              </w:rPr>
            </w:pPr>
          </w:p>
        </w:tc>
      </w:tr>
      <w:tr w:rsidR="007003F6" w:rsidRPr="00BE586A" w:rsidTr="00014563">
        <w:tblPrEx>
          <w:tblCellMar>
            <w:bottom w:w="0" w:type="dxa"/>
          </w:tblCellMar>
        </w:tblPrEx>
        <w:tc>
          <w:tcPr>
            <w:tcW w:w="2367" w:type="pct"/>
            <w:gridSpan w:val="2"/>
          </w:tcPr>
          <w:p w:rsidR="007003F6" w:rsidRPr="00BE586A" w:rsidRDefault="007003F6" w:rsidP="007003F6">
            <w:pPr>
              <w:jc w:val="both"/>
              <w:rPr>
                <w:sz w:val="20"/>
              </w:rPr>
            </w:pPr>
            <w:r w:rsidRPr="00BE586A">
              <w:rPr>
                <w:sz w:val="20"/>
              </w:rPr>
              <w:t>Le 7 avril 2016</w:t>
            </w:r>
          </w:p>
          <w:p w:rsidR="007003F6" w:rsidRPr="00BE586A" w:rsidRDefault="007003F6" w:rsidP="007003F6">
            <w:pPr>
              <w:jc w:val="both"/>
              <w:rPr>
                <w:sz w:val="20"/>
              </w:rPr>
            </w:pPr>
            <w:r w:rsidRPr="00BE586A">
              <w:rPr>
                <w:sz w:val="20"/>
              </w:rPr>
              <w:t>Cour suprême du Canada</w:t>
            </w:r>
          </w:p>
        </w:tc>
        <w:tc>
          <w:tcPr>
            <w:tcW w:w="267" w:type="pct"/>
          </w:tcPr>
          <w:p w:rsidR="007003F6" w:rsidRPr="00BE586A" w:rsidRDefault="007003F6" w:rsidP="007003F6">
            <w:pPr>
              <w:jc w:val="both"/>
              <w:rPr>
                <w:sz w:val="20"/>
              </w:rPr>
            </w:pPr>
          </w:p>
        </w:tc>
        <w:tc>
          <w:tcPr>
            <w:tcW w:w="2366" w:type="pct"/>
            <w:gridSpan w:val="2"/>
          </w:tcPr>
          <w:p w:rsidR="007003F6" w:rsidRPr="00BE586A" w:rsidRDefault="007003F6" w:rsidP="007003F6">
            <w:pPr>
              <w:jc w:val="both"/>
              <w:rPr>
                <w:sz w:val="20"/>
              </w:rPr>
            </w:pPr>
            <w:r w:rsidRPr="00BE586A">
              <w:rPr>
                <w:sz w:val="20"/>
              </w:rPr>
              <w:t>Demande d’autorisation d’appel déposée</w:t>
            </w:r>
          </w:p>
          <w:p w:rsidR="007003F6" w:rsidRPr="00BE586A" w:rsidRDefault="007003F6" w:rsidP="007003F6">
            <w:pPr>
              <w:jc w:val="both"/>
              <w:rPr>
                <w:sz w:val="20"/>
              </w:rPr>
            </w:pPr>
          </w:p>
        </w:tc>
      </w:tr>
    </w:tbl>
    <w:p w:rsidR="007003F6" w:rsidRPr="00BE586A" w:rsidRDefault="007003F6" w:rsidP="00221618">
      <w:pPr>
        <w:rPr>
          <w:sz w:val="20"/>
        </w:rPr>
      </w:pPr>
    </w:p>
    <w:p w:rsidR="005D3C37" w:rsidRPr="00BE586A" w:rsidRDefault="005D3C37" w:rsidP="000D2CE6">
      <w:pPr>
        <w:widowControl w:val="0"/>
        <w:autoSpaceDE w:val="0"/>
        <w:autoSpaceDN w:val="0"/>
        <w:adjustRightInd w:val="0"/>
        <w:ind w:left="360" w:hanging="360"/>
        <w:jc w:val="both"/>
        <w:rPr>
          <w:rFonts w:eastAsiaTheme="minorEastAsia"/>
          <w:sz w:val="20"/>
          <w:lang w:val="en-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0D2CE6" w:rsidRPr="00BE586A" w:rsidTr="00DE5782">
        <w:trPr>
          <w:gridAfter w:val="1"/>
          <w:wAfter w:w="48" w:type="pct"/>
        </w:trPr>
        <w:tc>
          <w:tcPr>
            <w:tcW w:w="538" w:type="pct"/>
          </w:tcPr>
          <w:p w:rsidR="000D2CE6" w:rsidRPr="00BE586A" w:rsidRDefault="000D2CE6" w:rsidP="000D2CE6">
            <w:pPr>
              <w:jc w:val="both"/>
              <w:rPr>
                <w:sz w:val="20"/>
                <w:lang w:val="en-CA"/>
              </w:rPr>
            </w:pPr>
            <w:r w:rsidRPr="00BE586A">
              <w:rPr>
                <w:rStyle w:val="SCCFileNumberChar"/>
                <w:sz w:val="20"/>
                <w:szCs w:val="20"/>
              </w:rPr>
              <w:t>36934</w:t>
            </w:r>
          </w:p>
        </w:tc>
        <w:tc>
          <w:tcPr>
            <w:tcW w:w="4414" w:type="pct"/>
            <w:gridSpan w:val="3"/>
          </w:tcPr>
          <w:p w:rsidR="000D2CE6" w:rsidRPr="00BE586A" w:rsidRDefault="000D2CE6" w:rsidP="000D2CE6">
            <w:pPr>
              <w:pStyle w:val="SCCLsocParty"/>
              <w:jc w:val="both"/>
              <w:rPr>
                <w:b/>
                <w:sz w:val="20"/>
                <w:szCs w:val="20"/>
                <w:lang w:val="en-CA"/>
              </w:rPr>
            </w:pPr>
            <w:r w:rsidRPr="00BE586A">
              <w:rPr>
                <w:b/>
                <w:sz w:val="20"/>
                <w:szCs w:val="20"/>
                <w:lang w:val="en-CA"/>
              </w:rPr>
              <w:t>Jean-Marc Poulin de Courval, in his capacity as trustee in bankruptcy of Ergün Bouloud v. Minister of Public Safety and Emergency Preparedness</w:t>
            </w:r>
          </w:p>
          <w:p w:rsidR="000D2CE6" w:rsidRPr="00BE586A" w:rsidRDefault="000D2CE6" w:rsidP="000D2CE6">
            <w:pPr>
              <w:jc w:val="both"/>
              <w:rPr>
                <w:sz w:val="20"/>
                <w:lang w:val="en-CA"/>
              </w:rPr>
            </w:pPr>
            <w:r w:rsidRPr="00BE586A">
              <w:rPr>
                <w:sz w:val="20"/>
                <w:lang w:val="en-CA"/>
              </w:rPr>
              <w:t>(FC) (Civil) (By Leave)</w:t>
            </w:r>
          </w:p>
        </w:tc>
      </w:tr>
      <w:tr w:rsidR="000D2CE6" w:rsidRPr="00BE586A" w:rsidTr="00DE5782">
        <w:trPr>
          <w:gridAfter w:val="1"/>
          <w:wAfter w:w="48" w:type="pct"/>
        </w:trPr>
        <w:tc>
          <w:tcPr>
            <w:tcW w:w="4952" w:type="pct"/>
            <w:gridSpan w:val="4"/>
          </w:tcPr>
          <w:p w:rsidR="000D2CE6" w:rsidRPr="00BE586A" w:rsidRDefault="000D2CE6" w:rsidP="000D2CE6">
            <w:pPr>
              <w:jc w:val="both"/>
              <w:rPr>
                <w:sz w:val="20"/>
                <w:lang w:val="en-CA"/>
              </w:rPr>
            </w:pPr>
            <w:r w:rsidRPr="00BE586A">
              <w:rPr>
                <w:sz w:val="20"/>
                <w:lang w:val="en-CA"/>
              </w:rPr>
              <w:t xml:space="preserve">Administrative law – Judicial review – Bankruptcy – Seizure under </w:t>
            </w:r>
            <w:r w:rsidRPr="00BE586A">
              <w:rPr>
                <w:i/>
                <w:sz w:val="20"/>
                <w:lang w:val="en-CA"/>
              </w:rPr>
              <w:t>Proceeds of Crime (Money Laundering) and Terrorist Financing Act</w:t>
            </w:r>
            <w:r w:rsidRPr="00BE586A">
              <w:rPr>
                <w:sz w:val="20"/>
                <w:lang w:val="en-CA"/>
              </w:rPr>
              <w:t xml:space="preserve">, SC 2000, c 1 – Refusal to return seized currency to trustee of bankrupt – Scope of discretion conferred on Minister of Public Safety and Emergency Preparedness – Burden of proof imposed on applicant by s. 29 of </w:t>
            </w:r>
            <w:r w:rsidRPr="00BE586A">
              <w:rPr>
                <w:i/>
                <w:sz w:val="20"/>
                <w:lang w:val="en-CA"/>
              </w:rPr>
              <w:t>Proceeds of Crime (Money Laundering) and Terrorist Financing Act</w:t>
            </w:r>
            <w:r w:rsidRPr="00BE586A">
              <w:rPr>
                <w:sz w:val="20"/>
                <w:lang w:val="en-CA"/>
              </w:rPr>
              <w:t xml:space="preserve"> – Whether burden of proof must be adjusted because of application of </w:t>
            </w:r>
            <w:r w:rsidRPr="00BE586A">
              <w:rPr>
                <w:i/>
                <w:sz w:val="20"/>
                <w:lang w:val="en-CA"/>
              </w:rPr>
              <w:t>Bankruptcy and Insolvency Act</w:t>
            </w:r>
            <w:r w:rsidRPr="00BE586A">
              <w:rPr>
                <w:sz w:val="20"/>
                <w:lang w:val="en-CA"/>
              </w:rPr>
              <w:t>, RSC 1985, c B</w:t>
            </w:r>
            <w:r w:rsidRPr="00BE586A">
              <w:rPr>
                <w:sz w:val="20"/>
                <w:lang w:val="en-CA"/>
              </w:rPr>
              <w:noBreakHyphen/>
              <w:t xml:space="preserve">3, and special status of trustee in bankruptcy – </w:t>
            </w:r>
            <w:r w:rsidRPr="00BE586A">
              <w:rPr>
                <w:i/>
                <w:sz w:val="20"/>
                <w:lang w:val="en-CA"/>
              </w:rPr>
              <w:t>Proceeds of Crime (Money Laundering) and Terrorist Financing Act</w:t>
            </w:r>
            <w:r w:rsidRPr="00BE586A">
              <w:rPr>
                <w:sz w:val="20"/>
                <w:lang w:val="en-CA"/>
              </w:rPr>
              <w:t>, SC 2000, c 1, ss. 12, 18, 25, 29 and 32.</w:t>
            </w:r>
          </w:p>
        </w:tc>
      </w:tr>
      <w:tr w:rsidR="000D2CE6" w:rsidRPr="00BE586A" w:rsidTr="00DE5782">
        <w:trPr>
          <w:gridAfter w:val="1"/>
          <w:wAfter w:w="48" w:type="pct"/>
        </w:trPr>
        <w:tc>
          <w:tcPr>
            <w:tcW w:w="4952" w:type="pct"/>
            <w:gridSpan w:val="4"/>
          </w:tcPr>
          <w:p w:rsidR="000D2CE6" w:rsidRPr="00BE586A" w:rsidRDefault="000D2CE6" w:rsidP="000D2CE6">
            <w:pPr>
              <w:jc w:val="both"/>
              <w:rPr>
                <w:sz w:val="20"/>
                <w:lang w:val="en-CA"/>
              </w:rPr>
            </w:pPr>
          </w:p>
        </w:tc>
      </w:tr>
      <w:tr w:rsidR="000D2CE6" w:rsidRPr="00BE586A" w:rsidTr="00DE5782">
        <w:trPr>
          <w:gridAfter w:val="1"/>
          <w:wAfter w:w="48" w:type="pct"/>
        </w:trPr>
        <w:tc>
          <w:tcPr>
            <w:tcW w:w="4952" w:type="pct"/>
            <w:gridSpan w:val="4"/>
          </w:tcPr>
          <w:p w:rsidR="000D2CE6" w:rsidRPr="00BE586A" w:rsidRDefault="000D2CE6" w:rsidP="000D2CE6">
            <w:pPr>
              <w:jc w:val="both"/>
              <w:rPr>
                <w:sz w:val="20"/>
                <w:lang w:val="en-CA"/>
              </w:rPr>
            </w:pPr>
            <w:r w:rsidRPr="00BE586A">
              <w:rPr>
                <w:sz w:val="20"/>
                <w:lang w:val="en-CA"/>
              </w:rPr>
              <w:t xml:space="preserve">The applicant, the trustee in bankruptcy of Ergün Bouloud, tried to recover the currency seized by customs officers from the bankrupt and forfeited under the </w:t>
            </w:r>
            <w:r w:rsidRPr="00BE586A">
              <w:rPr>
                <w:i/>
                <w:sz w:val="20"/>
                <w:lang w:val="en-CA"/>
              </w:rPr>
              <w:t>Proceeds of Crime (Money Laundering) and Terrorist Financing Act</w:t>
            </w:r>
            <w:r w:rsidRPr="00BE586A">
              <w:rPr>
                <w:sz w:val="20"/>
                <w:lang w:val="en-CA"/>
              </w:rPr>
              <w:t>, SC 2000, c 1. A request for review was made to the Minister of Public Safety and Emergency Preparedness, but the return of the currency was denied because the amounts had allegedly been obtained unlawfully through the commission of an indictable offence.</w:t>
            </w:r>
          </w:p>
          <w:p w:rsidR="000D2CE6" w:rsidRPr="00BE586A" w:rsidRDefault="000D2CE6" w:rsidP="000D2CE6">
            <w:pPr>
              <w:jc w:val="both"/>
              <w:rPr>
                <w:sz w:val="20"/>
                <w:lang w:val="en-CA"/>
              </w:rPr>
            </w:pPr>
          </w:p>
        </w:tc>
      </w:tr>
      <w:tr w:rsidR="000D2CE6" w:rsidRPr="00BE586A" w:rsidTr="00DE5782">
        <w:tblPrEx>
          <w:tblCellMar>
            <w:bottom w:w="0" w:type="dxa"/>
          </w:tblCellMar>
        </w:tblPrEx>
        <w:tc>
          <w:tcPr>
            <w:tcW w:w="2367" w:type="pct"/>
            <w:gridSpan w:val="2"/>
          </w:tcPr>
          <w:p w:rsidR="000D2CE6" w:rsidRPr="00BE586A" w:rsidRDefault="000D2CE6" w:rsidP="000D2CE6">
            <w:pPr>
              <w:jc w:val="both"/>
              <w:rPr>
                <w:sz w:val="20"/>
                <w:lang w:val="en-CA"/>
              </w:rPr>
            </w:pPr>
            <w:r w:rsidRPr="00BE586A">
              <w:rPr>
                <w:sz w:val="20"/>
                <w:lang w:val="en-CA"/>
              </w:rPr>
              <w:t>February 16, 2015</w:t>
            </w:r>
          </w:p>
          <w:p w:rsidR="000D2CE6" w:rsidRPr="00BE586A" w:rsidRDefault="000D2CE6" w:rsidP="000D2CE6">
            <w:pPr>
              <w:jc w:val="both"/>
              <w:rPr>
                <w:sz w:val="20"/>
                <w:lang w:val="en-CA"/>
              </w:rPr>
            </w:pPr>
            <w:r w:rsidRPr="00BE586A">
              <w:rPr>
                <w:sz w:val="20"/>
                <w:lang w:val="en-CA"/>
              </w:rPr>
              <w:t>Federal Court</w:t>
            </w:r>
          </w:p>
          <w:p w:rsidR="000D2CE6" w:rsidRPr="00BE586A" w:rsidRDefault="000D2CE6" w:rsidP="000D2CE6">
            <w:pPr>
              <w:jc w:val="both"/>
              <w:rPr>
                <w:sz w:val="20"/>
                <w:lang w:val="en-CA"/>
              </w:rPr>
            </w:pPr>
            <w:r w:rsidRPr="00BE586A">
              <w:rPr>
                <w:sz w:val="20"/>
                <w:lang w:val="en-CA"/>
              </w:rPr>
              <w:t>(Bédard J.)</w:t>
            </w:r>
          </w:p>
          <w:p w:rsidR="000D2CE6" w:rsidRPr="00BE586A" w:rsidRDefault="00004558" w:rsidP="000D2CE6">
            <w:pPr>
              <w:jc w:val="both"/>
              <w:rPr>
                <w:sz w:val="20"/>
                <w:lang w:val="en-CA"/>
              </w:rPr>
            </w:pPr>
            <w:hyperlink r:id="rId31" w:history="1">
              <w:r w:rsidR="000D2CE6" w:rsidRPr="00BE586A">
                <w:rPr>
                  <w:rStyle w:val="Hyperlink"/>
                  <w:sz w:val="20"/>
                  <w:lang w:val="en-CA"/>
                </w:rPr>
                <w:t>2015 FC 186</w:t>
              </w:r>
            </w:hyperlink>
          </w:p>
          <w:p w:rsidR="000D2CE6" w:rsidRPr="00BE586A" w:rsidRDefault="000D2CE6" w:rsidP="000D2CE6">
            <w:pPr>
              <w:jc w:val="both"/>
              <w:rPr>
                <w:sz w:val="20"/>
                <w:lang w:val="en-CA"/>
              </w:rPr>
            </w:pPr>
          </w:p>
        </w:tc>
        <w:tc>
          <w:tcPr>
            <w:tcW w:w="267" w:type="pct"/>
          </w:tcPr>
          <w:p w:rsidR="000D2CE6" w:rsidRPr="00BE586A" w:rsidRDefault="000D2CE6" w:rsidP="000D2CE6">
            <w:pPr>
              <w:jc w:val="both"/>
              <w:rPr>
                <w:sz w:val="20"/>
                <w:lang w:val="en-CA"/>
              </w:rPr>
            </w:pPr>
          </w:p>
        </w:tc>
        <w:tc>
          <w:tcPr>
            <w:tcW w:w="2366" w:type="pct"/>
            <w:gridSpan w:val="2"/>
          </w:tcPr>
          <w:p w:rsidR="000D2CE6" w:rsidRPr="00BE586A" w:rsidRDefault="000D2CE6" w:rsidP="000D2CE6">
            <w:pPr>
              <w:jc w:val="both"/>
              <w:rPr>
                <w:sz w:val="20"/>
                <w:lang w:val="en-CA"/>
              </w:rPr>
            </w:pPr>
            <w:r w:rsidRPr="00BE586A">
              <w:rPr>
                <w:sz w:val="20"/>
                <w:lang w:val="en-CA"/>
              </w:rPr>
              <w:t>Application for judicial review dismissed</w:t>
            </w:r>
          </w:p>
          <w:p w:rsidR="000D2CE6" w:rsidRPr="00BE586A" w:rsidRDefault="000D2CE6" w:rsidP="000D2CE6">
            <w:pPr>
              <w:jc w:val="both"/>
              <w:rPr>
                <w:sz w:val="20"/>
                <w:lang w:val="en-CA"/>
              </w:rPr>
            </w:pPr>
          </w:p>
        </w:tc>
      </w:tr>
      <w:tr w:rsidR="000D2CE6" w:rsidRPr="00BE586A" w:rsidTr="00DE5782">
        <w:tblPrEx>
          <w:tblCellMar>
            <w:bottom w:w="0" w:type="dxa"/>
          </w:tblCellMar>
        </w:tblPrEx>
        <w:tc>
          <w:tcPr>
            <w:tcW w:w="2367" w:type="pct"/>
            <w:gridSpan w:val="2"/>
          </w:tcPr>
          <w:p w:rsidR="000D2CE6" w:rsidRPr="00BE586A" w:rsidRDefault="000D2CE6" w:rsidP="000D2CE6">
            <w:pPr>
              <w:jc w:val="both"/>
              <w:rPr>
                <w:sz w:val="20"/>
                <w:lang w:val="en-CA"/>
              </w:rPr>
            </w:pPr>
            <w:r w:rsidRPr="00BE586A">
              <w:rPr>
                <w:sz w:val="20"/>
                <w:lang w:val="en-CA"/>
              </w:rPr>
              <w:t>February 8, 2016</w:t>
            </w:r>
          </w:p>
          <w:p w:rsidR="000D2CE6" w:rsidRPr="00BE586A" w:rsidRDefault="000D2CE6" w:rsidP="000D2CE6">
            <w:pPr>
              <w:jc w:val="both"/>
              <w:rPr>
                <w:sz w:val="20"/>
                <w:lang w:val="en-CA"/>
              </w:rPr>
            </w:pPr>
            <w:r w:rsidRPr="00BE586A">
              <w:rPr>
                <w:sz w:val="20"/>
                <w:lang w:val="en-CA"/>
              </w:rPr>
              <w:t>Federal Court of Appeal</w:t>
            </w:r>
          </w:p>
          <w:p w:rsidR="000D2CE6" w:rsidRPr="00BE586A" w:rsidRDefault="000D2CE6" w:rsidP="000D2CE6">
            <w:pPr>
              <w:jc w:val="both"/>
              <w:rPr>
                <w:sz w:val="20"/>
                <w:lang w:val="en-CA"/>
              </w:rPr>
            </w:pPr>
            <w:r w:rsidRPr="00BE586A">
              <w:rPr>
                <w:sz w:val="20"/>
                <w:lang w:val="en-CA"/>
              </w:rPr>
              <w:t>(Noël, Scott and De Montigny JJ.A.)</w:t>
            </w:r>
          </w:p>
          <w:p w:rsidR="000D2CE6" w:rsidRPr="00BE586A" w:rsidRDefault="00004558" w:rsidP="000D2CE6">
            <w:pPr>
              <w:jc w:val="both"/>
              <w:rPr>
                <w:sz w:val="20"/>
                <w:lang w:val="en-CA"/>
              </w:rPr>
            </w:pPr>
            <w:hyperlink r:id="rId32" w:history="1">
              <w:r w:rsidR="000D2CE6" w:rsidRPr="00BE586A">
                <w:rPr>
                  <w:rStyle w:val="Hyperlink"/>
                  <w:sz w:val="20"/>
                  <w:lang w:val="en-CA"/>
                </w:rPr>
                <w:t>2016 FCA 41</w:t>
              </w:r>
            </w:hyperlink>
          </w:p>
          <w:p w:rsidR="000D2CE6" w:rsidRPr="00BE586A" w:rsidRDefault="000D2CE6" w:rsidP="000D2CE6">
            <w:pPr>
              <w:jc w:val="both"/>
              <w:rPr>
                <w:sz w:val="20"/>
                <w:lang w:val="en-CA"/>
              </w:rPr>
            </w:pPr>
          </w:p>
        </w:tc>
        <w:tc>
          <w:tcPr>
            <w:tcW w:w="267" w:type="pct"/>
          </w:tcPr>
          <w:p w:rsidR="000D2CE6" w:rsidRPr="00BE586A" w:rsidRDefault="000D2CE6" w:rsidP="000D2CE6">
            <w:pPr>
              <w:jc w:val="both"/>
              <w:rPr>
                <w:sz w:val="20"/>
                <w:lang w:val="en-CA"/>
              </w:rPr>
            </w:pPr>
          </w:p>
        </w:tc>
        <w:tc>
          <w:tcPr>
            <w:tcW w:w="2366" w:type="pct"/>
            <w:gridSpan w:val="2"/>
          </w:tcPr>
          <w:p w:rsidR="000D2CE6" w:rsidRPr="00BE586A" w:rsidRDefault="000D2CE6" w:rsidP="000D2CE6">
            <w:pPr>
              <w:jc w:val="both"/>
              <w:rPr>
                <w:sz w:val="20"/>
                <w:lang w:val="en-CA"/>
              </w:rPr>
            </w:pPr>
            <w:r w:rsidRPr="00BE586A">
              <w:rPr>
                <w:sz w:val="20"/>
                <w:lang w:val="en-CA"/>
              </w:rPr>
              <w:t>Appeal dismissed</w:t>
            </w:r>
          </w:p>
          <w:p w:rsidR="000D2CE6" w:rsidRPr="00BE586A" w:rsidRDefault="000D2CE6" w:rsidP="000D2CE6">
            <w:pPr>
              <w:jc w:val="both"/>
              <w:rPr>
                <w:sz w:val="20"/>
                <w:lang w:val="en-CA"/>
              </w:rPr>
            </w:pPr>
          </w:p>
        </w:tc>
      </w:tr>
      <w:tr w:rsidR="000D2CE6" w:rsidRPr="00BE586A" w:rsidTr="00DE5782">
        <w:tblPrEx>
          <w:tblCellMar>
            <w:bottom w:w="0" w:type="dxa"/>
          </w:tblCellMar>
        </w:tblPrEx>
        <w:tc>
          <w:tcPr>
            <w:tcW w:w="2367" w:type="pct"/>
            <w:gridSpan w:val="2"/>
          </w:tcPr>
          <w:p w:rsidR="000D2CE6" w:rsidRPr="00BE586A" w:rsidRDefault="000D2CE6" w:rsidP="000D2CE6">
            <w:pPr>
              <w:jc w:val="both"/>
              <w:rPr>
                <w:sz w:val="20"/>
                <w:lang w:val="en-CA"/>
              </w:rPr>
            </w:pPr>
            <w:r w:rsidRPr="00BE586A">
              <w:rPr>
                <w:sz w:val="20"/>
                <w:lang w:val="en-CA"/>
              </w:rPr>
              <w:t>April 8, 2016</w:t>
            </w:r>
          </w:p>
          <w:p w:rsidR="000D2CE6" w:rsidRPr="00BE586A" w:rsidRDefault="000D2CE6" w:rsidP="0059609E">
            <w:pPr>
              <w:jc w:val="both"/>
              <w:rPr>
                <w:sz w:val="20"/>
                <w:lang w:val="en-CA"/>
              </w:rPr>
            </w:pPr>
            <w:r w:rsidRPr="00BE586A">
              <w:rPr>
                <w:sz w:val="20"/>
                <w:lang w:val="en-CA"/>
              </w:rPr>
              <w:t>Supreme Court of Canada</w:t>
            </w:r>
          </w:p>
        </w:tc>
        <w:tc>
          <w:tcPr>
            <w:tcW w:w="267" w:type="pct"/>
          </w:tcPr>
          <w:p w:rsidR="000D2CE6" w:rsidRPr="00BE586A" w:rsidRDefault="000D2CE6" w:rsidP="000D2CE6">
            <w:pPr>
              <w:jc w:val="both"/>
              <w:rPr>
                <w:sz w:val="20"/>
                <w:lang w:val="en-CA"/>
              </w:rPr>
            </w:pPr>
          </w:p>
        </w:tc>
        <w:tc>
          <w:tcPr>
            <w:tcW w:w="2366" w:type="pct"/>
            <w:gridSpan w:val="2"/>
          </w:tcPr>
          <w:p w:rsidR="000D2CE6" w:rsidRPr="00BE586A" w:rsidRDefault="000D2CE6" w:rsidP="000D2CE6">
            <w:pPr>
              <w:jc w:val="both"/>
              <w:rPr>
                <w:sz w:val="20"/>
                <w:lang w:val="en-CA"/>
              </w:rPr>
            </w:pPr>
            <w:r w:rsidRPr="00BE586A">
              <w:rPr>
                <w:sz w:val="20"/>
                <w:lang w:val="en-CA"/>
              </w:rPr>
              <w:t>Application for leave to appeal filed</w:t>
            </w:r>
          </w:p>
          <w:p w:rsidR="000D2CE6" w:rsidRPr="00BE586A" w:rsidRDefault="000D2CE6" w:rsidP="000D2CE6">
            <w:pPr>
              <w:jc w:val="both"/>
              <w:rPr>
                <w:sz w:val="20"/>
                <w:lang w:val="en-CA"/>
              </w:rPr>
            </w:pPr>
          </w:p>
        </w:tc>
      </w:tr>
    </w:tbl>
    <w:p w:rsidR="000D2CE6" w:rsidRPr="00BE586A" w:rsidRDefault="000D2CE6" w:rsidP="000D2CE6">
      <w:pPr>
        <w:jc w:val="both"/>
        <w:rPr>
          <w:sz w:val="20"/>
          <w:lang w:val="en-CA"/>
        </w:rPr>
      </w:pPr>
    </w:p>
    <w:p w:rsidR="0059609E" w:rsidRPr="00BE586A" w:rsidRDefault="0059609E" w:rsidP="000D2CE6">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0D2CE6" w:rsidRPr="00BE586A" w:rsidTr="00DE5782">
        <w:trPr>
          <w:gridAfter w:val="1"/>
          <w:wAfter w:w="48" w:type="pct"/>
        </w:trPr>
        <w:tc>
          <w:tcPr>
            <w:tcW w:w="538" w:type="pct"/>
          </w:tcPr>
          <w:p w:rsidR="000D2CE6" w:rsidRPr="00BE586A" w:rsidRDefault="000D2CE6" w:rsidP="000D2CE6">
            <w:pPr>
              <w:jc w:val="both"/>
              <w:rPr>
                <w:sz w:val="20"/>
              </w:rPr>
            </w:pPr>
            <w:r w:rsidRPr="00BE586A">
              <w:rPr>
                <w:rStyle w:val="SCCFileNumberChar"/>
                <w:sz w:val="20"/>
                <w:szCs w:val="20"/>
              </w:rPr>
              <w:t>36934</w:t>
            </w:r>
          </w:p>
        </w:tc>
        <w:tc>
          <w:tcPr>
            <w:tcW w:w="4414" w:type="pct"/>
            <w:gridSpan w:val="3"/>
          </w:tcPr>
          <w:p w:rsidR="000D2CE6" w:rsidRPr="00BE586A" w:rsidRDefault="000D2CE6" w:rsidP="000D2CE6">
            <w:pPr>
              <w:pStyle w:val="SCCLsocParty"/>
              <w:jc w:val="both"/>
              <w:rPr>
                <w:b/>
                <w:sz w:val="20"/>
                <w:szCs w:val="20"/>
              </w:rPr>
            </w:pPr>
            <w:r w:rsidRPr="00BE586A">
              <w:rPr>
                <w:b/>
                <w:sz w:val="20"/>
                <w:szCs w:val="20"/>
              </w:rPr>
              <w:t>Jean-Marc Poulin de Courval, ès qualités de syndic à la faillite de Ergün Bouloud c. Ministre de la sécurité publique et de la protection civile</w:t>
            </w:r>
          </w:p>
          <w:p w:rsidR="000D2CE6" w:rsidRPr="00BE586A" w:rsidRDefault="000D2CE6" w:rsidP="000D2CE6">
            <w:pPr>
              <w:jc w:val="both"/>
              <w:rPr>
                <w:sz w:val="20"/>
              </w:rPr>
            </w:pPr>
            <w:r w:rsidRPr="00BE586A">
              <w:rPr>
                <w:sz w:val="20"/>
              </w:rPr>
              <w:t>(CF) (Civile) (Autorisation)</w:t>
            </w:r>
          </w:p>
        </w:tc>
      </w:tr>
      <w:tr w:rsidR="000D2CE6" w:rsidRPr="00BE586A" w:rsidTr="00DE5782">
        <w:trPr>
          <w:gridAfter w:val="1"/>
          <w:wAfter w:w="48" w:type="pct"/>
        </w:trPr>
        <w:tc>
          <w:tcPr>
            <w:tcW w:w="4952" w:type="pct"/>
            <w:gridSpan w:val="4"/>
          </w:tcPr>
          <w:p w:rsidR="000D2CE6" w:rsidRPr="00BE586A" w:rsidRDefault="000D2CE6" w:rsidP="000D2CE6">
            <w:pPr>
              <w:jc w:val="both"/>
              <w:rPr>
                <w:sz w:val="20"/>
              </w:rPr>
            </w:pPr>
            <w:r w:rsidRPr="00BE586A">
              <w:rPr>
                <w:sz w:val="20"/>
              </w:rPr>
              <w:t xml:space="preserve">Droit administratif – Contrôle judiciaire – Faillite – Saisie en vertu de la </w:t>
            </w:r>
            <w:r w:rsidRPr="00BE586A">
              <w:rPr>
                <w:i/>
                <w:sz w:val="20"/>
              </w:rPr>
              <w:t>Loi sur le recyclage des produits de la criminalité et le financement des activités terroristes</w:t>
            </w:r>
            <w:r w:rsidRPr="00BE586A">
              <w:rPr>
                <w:sz w:val="20"/>
              </w:rPr>
              <w:t>, LC 2000, c 1 – Refus de restituer les espèces saisies  au syndic du faillit – Quelle est la portée du pouvoir discrétionnaire accordé au ministre de la Sécurité publique et de la Protection civile? – Quel est le fardeau de preuve imposé au demandeur par l’article 29 de la</w:t>
            </w:r>
            <w:r w:rsidRPr="00BE586A">
              <w:rPr>
                <w:i/>
                <w:sz w:val="20"/>
              </w:rPr>
              <w:t xml:space="preserve"> Loi sur le recyclage des produits de la criminalité et le financement des activités terroristes</w:t>
            </w:r>
            <w:r w:rsidRPr="00BE586A">
              <w:rPr>
                <w:sz w:val="20"/>
              </w:rPr>
              <w:t xml:space="preserve"> ? – Le fardeau de preuve doit-il être modulé en raison de l’application de la </w:t>
            </w:r>
            <w:r w:rsidRPr="00BE586A">
              <w:rPr>
                <w:i/>
                <w:sz w:val="20"/>
              </w:rPr>
              <w:t>Loi sur la faillite et l’insolvabilité</w:t>
            </w:r>
            <w:r w:rsidRPr="00BE586A">
              <w:rPr>
                <w:sz w:val="20"/>
              </w:rPr>
              <w:t xml:space="preserve">, LRC 1985, c B-3 et du statut particulier du syndic de faillite? </w:t>
            </w:r>
            <w:r w:rsidRPr="00BE586A">
              <w:rPr>
                <w:i/>
                <w:sz w:val="20"/>
              </w:rPr>
              <w:t>Loi sur le recyclage des produits de la criminalité et le financement des activités terroristes</w:t>
            </w:r>
            <w:r w:rsidRPr="00BE586A">
              <w:rPr>
                <w:sz w:val="20"/>
              </w:rPr>
              <w:t>, LC 2000, c 1, art. 12, 18, 25, 29 et 32</w:t>
            </w:r>
          </w:p>
        </w:tc>
      </w:tr>
      <w:tr w:rsidR="000D2CE6" w:rsidRPr="00BE586A" w:rsidTr="00DE5782">
        <w:trPr>
          <w:gridAfter w:val="1"/>
          <w:wAfter w:w="48" w:type="pct"/>
        </w:trPr>
        <w:tc>
          <w:tcPr>
            <w:tcW w:w="4952" w:type="pct"/>
            <w:gridSpan w:val="4"/>
          </w:tcPr>
          <w:p w:rsidR="000D2CE6" w:rsidRPr="00BE586A" w:rsidRDefault="000D2CE6" w:rsidP="000D2CE6">
            <w:pPr>
              <w:jc w:val="both"/>
              <w:rPr>
                <w:sz w:val="20"/>
              </w:rPr>
            </w:pPr>
          </w:p>
        </w:tc>
      </w:tr>
      <w:tr w:rsidR="000D2CE6" w:rsidRPr="00BE586A" w:rsidTr="00DE5782">
        <w:trPr>
          <w:gridAfter w:val="1"/>
          <w:wAfter w:w="48" w:type="pct"/>
        </w:trPr>
        <w:tc>
          <w:tcPr>
            <w:tcW w:w="4952" w:type="pct"/>
            <w:gridSpan w:val="4"/>
          </w:tcPr>
          <w:p w:rsidR="000D2CE6" w:rsidRPr="00BE586A" w:rsidRDefault="000D2CE6" w:rsidP="000D2CE6">
            <w:pPr>
              <w:jc w:val="both"/>
              <w:rPr>
                <w:sz w:val="20"/>
              </w:rPr>
            </w:pPr>
            <w:r w:rsidRPr="00BE586A">
              <w:rPr>
                <w:sz w:val="20"/>
              </w:rPr>
              <w:t xml:space="preserve">Le demandeur, syndic de faillite de M. Ergün Bouloud, tente de récupérer les espèces saisies et confisquées par les agents de douanes en vertu de la </w:t>
            </w:r>
            <w:r w:rsidRPr="00BE586A">
              <w:rPr>
                <w:i/>
                <w:sz w:val="20"/>
              </w:rPr>
              <w:t>Loi sur le recyclage des produits de la criminalité et le financement des activités terroristes</w:t>
            </w:r>
            <w:r w:rsidRPr="00BE586A">
              <w:rPr>
                <w:sz w:val="20"/>
              </w:rPr>
              <w:t xml:space="preserve">, LC 2000, c 1 sur le faillit. Une demande de révision est entreprise auprès du ministre de la Sécurité publique et de la Protection civile, mais la restitution des espèces est refusée, puisque les sommes auraient été obtenues illégalement par la commission d’un acte criminel. </w:t>
            </w:r>
          </w:p>
          <w:p w:rsidR="000D2CE6" w:rsidRPr="00BE586A" w:rsidRDefault="000D2CE6" w:rsidP="000D2CE6">
            <w:pPr>
              <w:jc w:val="both"/>
              <w:rPr>
                <w:sz w:val="20"/>
              </w:rPr>
            </w:pPr>
          </w:p>
        </w:tc>
      </w:tr>
      <w:tr w:rsidR="000D2CE6" w:rsidRPr="00BE586A" w:rsidTr="00DE5782">
        <w:tblPrEx>
          <w:tblCellMar>
            <w:bottom w:w="0" w:type="dxa"/>
          </w:tblCellMar>
        </w:tblPrEx>
        <w:tc>
          <w:tcPr>
            <w:tcW w:w="2367" w:type="pct"/>
            <w:gridSpan w:val="2"/>
          </w:tcPr>
          <w:p w:rsidR="000D2CE6" w:rsidRPr="00BE586A" w:rsidRDefault="000D2CE6" w:rsidP="000D2CE6">
            <w:pPr>
              <w:jc w:val="both"/>
              <w:rPr>
                <w:sz w:val="20"/>
              </w:rPr>
            </w:pPr>
            <w:r w:rsidRPr="00BE586A">
              <w:rPr>
                <w:sz w:val="20"/>
              </w:rPr>
              <w:t>Le 16 février 2015</w:t>
            </w:r>
          </w:p>
          <w:p w:rsidR="000D2CE6" w:rsidRPr="00BE586A" w:rsidRDefault="000D2CE6" w:rsidP="000D2CE6">
            <w:pPr>
              <w:jc w:val="both"/>
              <w:rPr>
                <w:sz w:val="20"/>
              </w:rPr>
            </w:pPr>
            <w:r w:rsidRPr="00BE586A">
              <w:rPr>
                <w:sz w:val="20"/>
              </w:rPr>
              <w:t>Cour fédérale</w:t>
            </w:r>
          </w:p>
          <w:p w:rsidR="000D2CE6" w:rsidRPr="00BE586A" w:rsidRDefault="000D2CE6" w:rsidP="000D2CE6">
            <w:pPr>
              <w:jc w:val="both"/>
              <w:rPr>
                <w:sz w:val="20"/>
              </w:rPr>
            </w:pPr>
            <w:r w:rsidRPr="00BE586A">
              <w:rPr>
                <w:sz w:val="20"/>
              </w:rPr>
              <w:t>(La juge Bédard)</w:t>
            </w:r>
          </w:p>
          <w:p w:rsidR="000D2CE6" w:rsidRPr="00BE586A" w:rsidRDefault="00004558" w:rsidP="000D2CE6">
            <w:pPr>
              <w:jc w:val="both"/>
              <w:rPr>
                <w:sz w:val="20"/>
              </w:rPr>
            </w:pPr>
            <w:hyperlink r:id="rId33" w:history="1">
              <w:r w:rsidR="000D2CE6" w:rsidRPr="00BE586A">
                <w:rPr>
                  <w:rStyle w:val="Hyperlink"/>
                  <w:sz w:val="20"/>
                </w:rPr>
                <w:t>2015 CF 186</w:t>
              </w:r>
            </w:hyperlink>
          </w:p>
          <w:p w:rsidR="000D2CE6" w:rsidRPr="00BE586A" w:rsidRDefault="000D2CE6" w:rsidP="000D2CE6">
            <w:pPr>
              <w:jc w:val="both"/>
              <w:rPr>
                <w:sz w:val="20"/>
              </w:rPr>
            </w:pPr>
          </w:p>
        </w:tc>
        <w:tc>
          <w:tcPr>
            <w:tcW w:w="267" w:type="pct"/>
          </w:tcPr>
          <w:p w:rsidR="000D2CE6" w:rsidRPr="00BE586A" w:rsidRDefault="000D2CE6" w:rsidP="000D2CE6">
            <w:pPr>
              <w:jc w:val="both"/>
              <w:rPr>
                <w:sz w:val="20"/>
              </w:rPr>
            </w:pPr>
          </w:p>
        </w:tc>
        <w:tc>
          <w:tcPr>
            <w:tcW w:w="2366" w:type="pct"/>
            <w:gridSpan w:val="2"/>
          </w:tcPr>
          <w:p w:rsidR="000D2CE6" w:rsidRPr="00BE586A" w:rsidRDefault="000D2CE6" w:rsidP="000D2CE6">
            <w:pPr>
              <w:jc w:val="both"/>
              <w:rPr>
                <w:sz w:val="20"/>
              </w:rPr>
            </w:pPr>
            <w:r w:rsidRPr="00BE586A">
              <w:rPr>
                <w:sz w:val="20"/>
              </w:rPr>
              <w:t>Demande de contrôle judiciaire rejetée</w:t>
            </w:r>
          </w:p>
          <w:p w:rsidR="000D2CE6" w:rsidRPr="00BE586A" w:rsidRDefault="000D2CE6" w:rsidP="000D2CE6">
            <w:pPr>
              <w:jc w:val="both"/>
              <w:rPr>
                <w:sz w:val="20"/>
              </w:rPr>
            </w:pPr>
          </w:p>
        </w:tc>
      </w:tr>
      <w:tr w:rsidR="000D2CE6" w:rsidRPr="00BE586A" w:rsidTr="00DE5782">
        <w:tblPrEx>
          <w:tblCellMar>
            <w:bottom w:w="0" w:type="dxa"/>
          </w:tblCellMar>
        </w:tblPrEx>
        <w:tc>
          <w:tcPr>
            <w:tcW w:w="2367" w:type="pct"/>
            <w:gridSpan w:val="2"/>
          </w:tcPr>
          <w:p w:rsidR="000D2CE6" w:rsidRPr="00BE586A" w:rsidRDefault="000D2CE6" w:rsidP="000D2CE6">
            <w:pPr>
              <w:jc w:val="both"/>
              <w:rPr>
                <w:sz w:val="20"/>
              </w:rPr>
            </w:pPr>
            <w:r w:rsidRPr="00BE586A">
              <w:rPr>
                <w:sz w:val="20"/>
              </w:rPr>
              <w:t>Le 8 février 2016</w:t>
            </w:r>
          </w:p>
          <w:p w:rsidR="000D2CE6" w:rsidRPr="00BE586A" w:rsidRDefault="000D2CE6" w:rsidP="000D2CE6">
            <w:pPr>
              <w:jc w:val="both"/>
              <w:rPr>
                <w:sz w:val="20"/>
              </w:rPr>
            </w:pPr>
            <w:r w:rsidRPr="00BE586A">
              <w:rPr>
                <w:sz w:val="20"/>
              </w:rPr>
              <w:t>Cour d’appel fédérale</w:t>
            </w:r>
          </w:p>
          <w:p w:rsidR="000D2CE6" w:rsidRPr="00BE586A" w:rsidRDefault="000D2CE6" w:rsidP="000D2CE6">
            <w:pPr>
              <w:jc w:val="both"/>
              <w:rPr>
                <w:sz w:val="20"/>
              </w:rPr>
            </w:pPr>
            <w:r w:rsidRPr="00BE586A">
              <w:rPr>
                <w:sz w:val="20"/>
              </w:rPr>
              <w:t>(Les juges Noël, Scott et De Montigny)</w:t>
            </w:r>
          </w:p>
          <w:p w:rsidR="000D2CE6" w:rsidRPr="00BE586A" w:rsidRDefault="00004558" w:rsidP="000D2CE6">
            <w:pPr>
              <w:jc w:val="both"/>
              <w:rPr>
                <w:sz w:val="20"/>
              </w:rPr>
            </w:pPr>
            <w:hyperlink r:id="rId34" w:history="1">
              <w:r w:rsidR="000D2CE6" w:rsidRPr="00BE586A">
                <w:rPr>
                  <w:rStyle w:val="Hyperlink"/>
                  <w:sz w:val="20"/>
                </w:rPr>
                <w:t>2016 CAF 41</w:t>
              </w:r>
            </w:hyperlink>
          </w:p>
          <w:p w:rsidR="000D2CE6" w:rsidRPr="00BE586A" w:rsidRDefault="000D2CE6" w:rsidP="000D2CE6">
            <w:pPr>
              <w:jc w:val="both"/>
              <w:rPr>
                <w:sz w:val="20"/>
              </w:rPr>
            </w:pPr>
          </w:p>
        </w:tc>
        <w:tc>
          <w:tcPr>
            <w:tcW w:w="267" w:type="pct"/>
          </w:tcPr>
          <w:p w:rsidR="000D2CE6" w:rsidRPr="00BE586A" w:rsidRDefault="000D2CE6" w:rsidP="000D2CE6">
            <w:pPr>
              <w:jc w:val="both"/>
              <w:rPr>
                <w:sz w:val="20"/>
              </w:rPr>
            </w:pPr>
          </w:p>
        </w:tc>
        <w:tc>
          <w:tcPr>
            <w:tcW w:w="2366" w:type="pct"/>
            <w:gridSpan w:val="2"/>
          </w:tcPr>
          <w:p w:rsidR="000D2CE6" w:rsidRPr="00BE586A" w:rsidRDefault="000D2CE6" w:rsidP="000D2CE6">
            <w:pPr>
              <w:jc w:val="both"/>
              <w:rPr>
                <w:sz w:val="20"/>
              </w:rPr>
            </w:pPr>
            <w:r w:rsidRPr="00BE586A">
              <w:rPr>
                <w:sz w:val="20"/>
              </w:rPr>
              <w:t>Appel rejeté</w:t>
            </w:r>
          </w:p>
          <w:p w:rsidR="000D2CE6" w:rsidRPr="00BE586A" w:rsidRDefault="000D2CE6" w:rsidP="000D2CE6">
            <w:pPr>
              <w:jc w:val="both"/>
              <w:rPr>
                <w:sz w:val="20"/>
              </w:rPr>
            </w:pPr>
          </w:p>
        </w:tc>
      </w:tr>
      <w:tr w:rsidR="000D2CE6" w:rsidRPr="00BE586A" w:rsidTr="00DE5782">
        <w:tblPrEx>
          <w:tblCellMar>
            <w:bottom w:w="0" w:type="dxa"/>
          </w:tblCellMar>
        </w:tblPrEx>
        <w:tc>
          <w:tcPr>
            <w:tcW w:w="2367" w:type="pct"/>
            <w:gridSpan w:val="2"/>
          </w:tcPr>
          <w:p w:rsidR="000D2CE6" w:rsidRPr="00BE586A" w:rsidRDefault="000D2CE6" w:rsidP="000D2CE6">
            <w:pPr>
              <w:jc w:val="both"/>
              <w:rPr>
                <w:sz w:val="20"/>
              </w:rPr>
            </w:pPr>
            <w:r w:rsidRPr="00BE586A">
              <w:rPr>
                <w:sz w:val="20"/>
              </w:rPr>
              <w:t>Le 8 avril 2016</w:t>
            </w:r>
          </w:p>
          <w:p w:rsidR="000D2CE6" w:rsidRPr="00BE586A" w:rsidRDefault="000D2CE6" w:rsidP="0059609E">
            <w:pPr>
              <w:jc w:val="both"/>
              <w:rPr>
                <w:sz w:val="20"/>
              </w:rPr>
            </w:pPr>
            <w:r w:rsidRPr="00BE586A">
              <w:rPr>
                <w:sz w:val="20"/>
              </w:rPr>
              <w:t>Cour suprême du Canada</w:t>
            </w:r>
          </w:p>
        </w:tc>
        <w:tc>
          <w:tcPr>
            <w:tcW w:w="267" w:type="pct"/>
          </w:tcPr>
          <w:p w:rsidR="000D2CE6" w:rsidRPr="00BE586A" w:rsidRDefault="000D2CE6" w:rsidP="000D2CE6">
            <w:pPr>
              <w:jc w:val="both"/>
              <w:rPr>
                <w:sz w:val="20"/>
              </w:rPr>
            </w:pPr>
          </w:p>
        </w:tc>
        <w:tc>
          <w:tcPr>
            <w:tcW w:w="2366" w:type="pct"/>
            <w:gridSpan w:val="2"/>
          </w:tcPr>
          <w:p w:rsidR="000D2CE6" w:rsidRPr="00BE586A" w:rsidRDefault="000D2CE6" w:rsidP="000D2CE6">
            <w:pPr>
              <w:jc w:val="both"/>
              <w:rPr>
                <w:sz w:val="20"/>
              </w:rPr>
            </w:pPr>
            <w:r w:rsidRPr="00BE586A">
              <w:rPr>
                <w:sz w:val="20"/>
              </w:rPr>
              <w:t>Demande d'autorisation d'appel déposée</w:t>
            </w:r>
          </w:p>
          <w:p w:rsidR="000D2CE6" w:rsidRPr="00BE586A" w:rsidRDefault="000D2CE6" w:rsidP="000D2CE6">
            <w:pPr>
              <w:jc w:val="both"/>
              <w:rPr>
                <w:sz w:val="20"/>
              </w:rPr>
            </w:pPr>
          </w:p>
        </w:tc>
      </w:tr>
    </w:tbl>
    <w:p w:rsidR="000D2CE6" w:rsidRPr="00BE586A" w:rsidRDefault="000D2CE6" w:rsidP="000D2CE6">
      <w:pPr>
        <w:jc w:val="both"/>
        <w:rPr>
          <w:sz w:val="20"/>
        </w:rPr>
      </w:pPr>
    </w:p>
    <w:p w:rsidR="005D3C37" w:rsidRPr="00BE586A" w:rsidRDefault="005D3C37" w:rsidP="008106E3">
      <w:pPr>
        <w:widowControl w:val="0"/>
        <w:autoSpaceDE w:val="0"/>
        <w:autoSpaceDN w:val="0"/>
        <w:adjustRightInd w:val="0"/>
        <w:ind w:left="360" w:hanging="360"/>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B56DD4" w:rsidRPr="00BE586A" w:rsidTr="007510BE">
        <w:tc>
          <w:tcPr>
            <w:tcW w:w="543" w:type="pct"/>
          </w:tcPr>
          <w:p w:rsidR="00B56DD4" w:rsidRPr="00BE586A" w:rsidRDefault="00B56DD4" w:rsidP="00B56DD4">
            <w:pPr>
              <w:jc w:val="both"/>
              <w:rPr>
                <w:sz w:val="20"/>
                <w:lang w:val="en-CA"/>
              </w:rPr>
            </w:pPr>
            <w:r w:rsidRPr="00BE586A">
              <w:rPr>
                <w:rStyle w:val="SCCFileNumberChar"/>
                <w:sz w:val="20"/>
                <w:szCs w:val="20"/>
              </w:rPr>
              <w:t>36914</w:t>
            </w:r>
          </w:p>
        </w:tc>
        <w:tc>
          <w:tcPr>
            <w:tcW w:w="4457" w:type="pct"/>
            <w:gridSpan w:val="3"/>
          </w:tcPr>
          <w:p w:rsidR="00B56DD4" w:rsidRPr="00BE586A" w:rsidRDefault="00B56DD4" w:rsidP="00B56DD4">
            <w:pPr>
              <w:pStyle w:val="SCCLsocOtherPartySeparator"/>
              <w:rPr>
                <w:rFonts w:cs="Times New Roman"/>
                <w:sz w:val="20"/>
                <w:szCs w:val="20"/>
                <w:lang w:val="en-CA"/>
              </w:rPr>
            </w:pPr>
            <w:r w:rsidRPr="00BE586A">
              <w:rPr>
                <w:rFonts w:cs="Times New Roman"/>
                <w:sz w:val="20"/>
                <w:szCs w:val="20"/>
                <w:lang w:val="en-CA"/>
              </w:rPr>
              <w:t>Association des réalisateurs v. Attorney General of Canada, Canadian Broadcasting Corporation</w:t>
            </w:r>
          </w:p>
          <w:p w:rsidR="00B56DD4" w:rsidRPr="00BE586A" w:rsidRDefault="00B56DD4" w:rsidP="00B56DD4">
            <w:pPr>
              <w:pStyle w:val="SCCLsocOtherPartySeparator"/>
              <w:rPr>
                <w:rFonts w:cs="Times New Roman"/>
                <w:sz w:val="20"/>
                <w:szCs w:val="20"/>
                <w:lang w:val="en-CA"/>
              </w:rPr>
            </w:pPr>
            <w:r w:rsidRPr="00BE586A">
              <w:rPr>
                <w:rFonts w:cs="Times New Roman"/>
                <w:sz w:val="20"/>
                <w:szCs w:val="20"/>
                <w:lang w:val="en-CA"/>
              </w:rPr>
              <w:t>- and -</w:t>
            </w:r>
          </w:p>
          <w:p w:rsidR="00B56DD4" w:rsidRPr="00BE586A" w:rsidRDefault="00B56DD4" w:rsidP="00B56DD4">
            <w:pPr>
              <w:pStyle w:val="SCCLsocParty"/>
              <w:jc w:val="both"/>
              <w:rPr>
                <w:b/>
                <w:sz w:val="20"/>
                <w:szCs w:val="20"/>
                <w:lang w:val="en-CA"/>
              </w:rPr>
            </w:pPr>
            <w:r w:rsidRPr="00BE586A">
              <w:rPr>
                <w:b/>
                <w:sz w:val="20"/>
                <w:szCs w:val="20"/>
                <w:lang w:val="en-CA"/>
              </w:rPr>
              <w:t>Canadian Union of Public Employees, Local 675, Jacqueline Turgeon, Francine Durocher, Jacques Gobeil v. Attorney General of Canada, Canadian Broadcasting Corporation</w:t>
            </w:r>
          </w:p>
          <w:p w:rsidR="00B56DD4" w:rsidRPr="00BE586A" w:rsidRDefault="00B56DD4" w:rsidP="00B56DD4">
            <w:pPr>
              <w:jc w:val="both"/>
              <w:rPr>
                <w:sz w:val="20"/>
                <w:lang w:val="en-CA"/>
              </w:rPr>
            </w:pPr>
            <w:r w:rsidRPr="00BE586A">
              <w:rPr>
                <w:sz w:val="20"/>
                <w:lang w:val="en-CA"/>
              </w:rPr>
              <w:t>(Que.) (Civil) (By Leave)</w:t>
            </w:r>
          </w:p>
        </w:tc>
      </w:tr>
      <w:tr w:rsidR="00B56DD4" w:rsidRPr="00BE586A" w:rsidTr="007510BE">
        <w:tc>
          <w:tcPr>
            <w:tcW w:w="5000" w:type="pct"/>
            <w:gridSpan w:val="4"/>
          </w:tcPr>
          <w:p w:rsidR="00B56DD4" w:rsidRPr="00BE586A" w:rsidRDefault="00B56DD4" w:rsidP="00B56DD4">
            <w:pPr>
              <w:jc w:val="both"/>
              <w:rPr>
                <w:sz w:val="20"/>
                <w:lang w:val="en-CA"/>
              </w:rPr>
            </w:pPr>
            <w:r w:rsidRPr="00BE586A">
              <w:rPr>
                <w:i/>
                <w:sz w:val="20"/>
                <w:lang w:val="en-CA"/>
              </w:rPr>
              <w:t xml:space="preserve">Canadian Charter of Rights and Freedoms </w:t>
            </w:r>
            <w:r w:rsidRPr="00BE586A">
              <w:rPr>
                <w:sz w:val="20"/>
                <w:lang w:val="en-CA"/>
              </w:rPr>
              <w:t xml:space="preserve">— Freedom of association — Collective bargaining — </w:t>
            </w:r>
            <w:r w:rsidRPr="00BE586A">
              <w:rPr>
                <w:i/>
                <w:sz w:val="20"/>
                <w:lang w:val="en-CA"/>
              </w:rPr>
              <w:t>An Act to restrain the Government of Canada’s expenditures in relation to employment</w:t>
            </w:r>
            <w:r w:rsidRPr="00BE586A">
              <w:rPr>
                <w:sz w:val="20"/>
                <w:lang w:val="en-CA"/>
              </w:rPr>
              <w:t xml:space="preserve"> having effect of limiting pay increases for federal public sector employees from 2006 to 2011 — Limits set out in </w:t>
            </w:r>
            <w:r w:rsidRPr="00BE586A">
              <w:rPr>
                <w:i/>
                <w:sz w:val="20"/>
                <w:lang w:val="en-CA"/>
              </w:rPr>
              <w:t>Act</w:t>
            </w:r>
            <w:r w:rsidRPr="00BE586A">
              <w:rPr>
                <w:sz w:val="20"/>
                <w:lang w:val="en-CA"/>
              </w:rPr>
              <w:t xml:space="preserve"> applying retroactively to collective agreements entered into by applicants and Canadian Broadcasting Corporation in 2007 — </w:t>
            </w:r>
            <w:r w:rsidRPr="00BE586A">
              <w:rPr>
                <w:i/>
                <w:sz w:val="20"/>
                <w:lang w:val="en-CA"/>
              </w:rPr>
              <w:t>Act</w:t>
            </w:r>
            <w:r w:rsidRPr="00BE586A">
              <w:rPr>
                <w:sz w:val="20"/>
                <w:lang w:val="en-CA"/>
              </w:rPr>
              <w:t xml:space="preserve"> having effect of reducing annual income of affected employees by about 1% in comparison with negotiated amounts — Quebec Superior Court declaring that </w:t>
            </w:r>
            <w:r w:rsidRPr="00BE586A">
              <w:rPr>
                <w:i/>
                <w:sz w:val="20"/>
                <w:lang w:val="en-CA"/>
              </w:rPr>
              <w:t>Act</w:t>
            </w:r>
            <w:r w:rsidRPr="00BE586A">
              <w:rPr>
                <w:sz w:val="20"/>
                <w:lang w:val="en-CA"/>
              </w:rPr>
              <w:t xml:space="preserve"> contrary to s. 2(</w:t>
            </w:r>
            <w:r w:rsidRPr="00BE586A">
              <w:rPr>
                <w:i/>
                <w:sz w:val="20"/>
                <w:lang w:val="en-CA"/>
              </w:rPr>
              <w:t>d</w:t>
            </w:r>
            <w:r w:rsidRPr="00BE586A">
              <w:rPr>
                <w:sz w:val="20"/>
                <w:lang w:val="en-CA"/>
              </w:rPr>
              <w:t xml:space="preserve">) of </w:t>
            </w:r>
            <w:r w:rsidRPr="00BE586A">
              <w:rPr>
                <w:i/>
                <w:sz w:val="20"/>
                <w:lang w:val="en-CA"/>
              </w:rPr>
              <w:t>Charter</w:t>
            </w:r>
            <w:r w:rsidRPr="00BE586A">
              <w:rPr>
                <w:sz w:val="20"/>
                <w:lang w:val="en-CA"/>
              </w:rPr>
              <w:t xml:space="preserve"> and that impugned provisions of no effect in relation to applicants and members they represented — Appeal allowed by Court of Appeal — Whether Court of Appeal erred in law in finding that impugned provisions of </w:t>
            </w:r>
            <w:r w:rsidRPr="00BE586A">
              <w:rPr>
                <w:i/>
                <w:sz w:val="20"/>
                <w:lang w:val="en-CA"/>
              </w:rPr>
              <w:t>Act</w:t>
            </w:r>
            <w:r w:rsidRPr="00BE586A">
              <w:rPr>
                <w:sz w:val="20"/>
                <w:lang w:val="en-CA"/>
              </w:rPr>
              <w:t xml:space="preserve"> were not contrary to s. 2(</w:t>
            </w:r>
            <w:r w:rsidRPr="00BE586A">
              <w:rPr>
                <w:i/>
                <w:sz w:val="20"/>
                <w:lang w:val="en-CA"/>
              </w:rPr>
              <w:t>d</w:t>
            </w:r>
            <w:r w:rsidRPr="00BE586A">
              <w:rPr>
                <w:sz w:val="20"/>
                <w:lang w:val="en-CA"/>
              </w:rPr>
              <w:t xml:space="preserve">) of </w:t>
            </w:r>
            <w:r w:rsidRPr="00BE586A">
              <w:rPr>
                <w:i/>
                <w:sz w:val="20"/>
                <w:lang w:val="en-CA"/>
              </w:rPr>
              <w:t>Charter</w:t>
            </w:r>
            <w:r w:rsidRPr="00BE586A">
              <w:rPr>
                <w:sz w:val="20"/>
                <w:lang w:val="en-CA"/>
              </w:rPr>
              <w:t xml:space="preserve"> — Whether annulment and amendment by </w:t>
            </w:r>
            <w:r w:rsidRPr="00BE586A">
              <w:rPr>
                <w:i/>
                <w:sz w:val="20"/>
                <w:lang w:val="en-CA"/>
              </w:rPr>
              <w:t>Act</w:t>
            </w:r>
            <w:r w:rsidRPr="00BE586A">
              <w:rPr>
                <w:sz w:val="20"/>
                <w:lang w:val="en-CA"/>
              </w:rPr>
              <w:t xml:space="preserve"> of pay clauses in collective agreement of Association’s members impaired their freedom of association protected by s. 2(</w:t>
            </w:r>
            <w:r w:rsidRPr="00BE586A">
              <w:rPr>
                <w:i/>
                <w:sz w:val="20"/>
                <w:lang w:val="en-CA"/>
              </w:rPr>
              <w:t>d</w:t>
            </w:r>
            <w:r w:rsidRPr="00BE586A">
              <w:rPr>
                <w:sz w:val="20"/>
                <w:lang w:val="en-CA"/>
              </w:rPr>
              <w:t xml:space="preserve">) of </w:t>
            </w:r>
            <w:r w:rsidRPr="00BE586A">
              <w:rPr>
                <w:i/>
                <w:sz w:val="20"/>
                <w:lang w:val="en-CA"/>
              </w:rPr>
              <w:t>Charter</w:t>
            </w:r>
            <w:r w:rsidRPr="00BE586A">
              <w:rPr>
                <w:sz w:val="20"/>
                <w:lang w:val="en-CA"/>
              </w:rPr>
              <w:t xml:space="preserve"> only minimally — </w:t>
            </w:r>
            <w:r w:rsidRPr="00BE586A">
              <w:rPr>
                <w:i/>
                <w:sz w:val="20"/>
                <w:lang w:val="en-CA"/>
              </w:rPr>
              <w:t>An Act to restrain the Government of Canada’s expenditures in relation to employment</w:t>
            </w:r>
            <w:r w:rsidRPr="00BE586A">
              <w:rPr>
                <w:sz w:val="20"/>
                <w:lang w:val="en-CA"/>
              </w:rPr>
              <w:t>, S.C. 2009, c. 2, ss. 16, 19, 21, 23, 24, 26, 27, 29, 56 and 57.</w:t>
            </w:r>
          </w:p>
          <w:p w:rsidR="00B56DD4" w:rsidRPr="00BE586A" w:rsidRDefault="00B56DD4" w:rsidP="00B56DD4">
            <w:pPr>
              <w:jc w:val="both"/>
              <w:rPr>
                <w:sz w:val="20"/>
                <w:lang w:val="en-CA"/>
              </w:rPr>
            </w:pPr>
          </w:p>
        </w:tc>
      </w:tr>
      <w:tr w:rsidR="00B56DD4" w:rsidRPr="00BE586A" w:rsidTr="007510BE">
        <w:tc>
          <w:tcPr>
            <w:tcW w:w="5000" w:type="pct"/>
            <w:gridSpan w:val="4"/>
          </w:tcPr>
          <w:p w:rsidR="00B56DD4" w:rsidRPr="00BE586A" w:rsidRDefault="00B56DD4" w:rsidP="00B56DD4">
            <w:pPr>
              <w:jc w:val="both"/>
              <w:rPr>
                <w:sz w:val="20"/>
                <w:lang w:val="en-CA"/>
              </w:rPr>
            </w:pPr>
            <w:r w:rsidRPr="00BE586A">
              <w:rPr>
                <w:sz w:val="20"/>
                <w:lang w:val="en-CA"/>
              </w:rPr>
              <w:t>In October 2007, the Canadian Union of Public Employees entered into a collective agreement with the Canadian Broadcasting Corporation. That collective agreement, which provided for pay increases, took effect on October 1, 2007 and expired in September 2010.</w:t>
            </w:r>
          </w:p>
          <w:p w:rsidR="00B56DD4" w:rsidRPr="00BE586A" w:rsidRDefault="00B56DD4" w:rsidP="00B56DD4">
            <w:pPr>
              <w:jc w:val="both"/>
              <w:rPr>
                <w:sz w:val="20"/>
                <w:lang w:val="en-CA"/>
              </w:rPr>
            </w:pPr>
          </w:p>
          <w:p w:rsidR="00B56DD4" w:rsidRPr="00BE586A" w:rsidRDefault="00B56DD4" w:rsidP="00B56DD4">
            <w:pPr>
              <w:jc w:val="both"/>
              <w:rPr>
                <w:sz w:val="20"/>
                <w:lang w:val="en-CA"/>
              </w:rPr>
            </w:pPr>
            <w:r w:rsidRPr="00BE586A">
              <w:rPr>
                <w:sz w:val="20"/>
                <w:lang w:val="en-CA"/>
              </w:rPr>
              <w:t xml:space="preserve">On March 12, 2009, </w:t>
            </w:r>
            <w:r w:rsidRPr="00BE586A">
              <w:rPr>
                <w:i/>
                <w:sz w:val="20"/>
                <w:lang w:val="en-CA"/>
              </w:rPr>
              <w:t>An Act to restrain the Government of Canada’s expenditures in relation to employment</w:t>
            </w:r>
            <w:r w:rsidRPr="00BE586A">
              <w:rPr>
                <w:sz w:val="20"/>
                <w:lang w:val="en-CA"/>
              </w:rPr>
              <w:t>, S.C. 2009, c. 2 (“</w:t>
            </w:r>
            <w:r w:rsidRPr="00BE586A">
              <w:rPr>
                <w:i/>
                <w:sz w:val="20"/>
                <w:lang w:val="en-CA"/>
              </w:rPr>
              <w:t>Act</w:t>
            </w:r>
            <w:r w:rsidRPr="00BE586A">
              <w:rPr>
                <w:sz w:val="20"/>
                <w:lang w:val="en-CA"/>
              </w:rPr>
              <w:t xml:space="preserve">”), came into force. It imposed limits on the pay increases that could be granted to all federal public sector employees, including employees of Crown corporations like the Canadian Broadcasting Corporation. The rates of  increase specified in the </w:t>
            </w:r>
            <w:r w:rsidRPr="00BE586A">
              <w:rPr>
                <w:i/>
                <w:sz w:val="20"/>
                <w:lang w:val="en-CA"/>
              </w:rPr>
              <w:t>Act</w:t>
            </w:r>
            <w:r w:rsidRPr="00BE586A">
              <w:rPr>
                <w:sz w:val="20"/>
                <w:lang w:val="en-CA"/>
              </w:rPr>
              <w:t xml:space="preserve"> also applied to employees whose collective agreement had been entered into before December 2008, which was the case for the employees represented by the Union. The </w:t>
            </w:r>
            <w:r w:rsidRPr="00BE586A">
              <w:rPr>
                <w:i/>
                <w:sz w:val="20"/>
                <w:lang w:val="en-CA"/>
              </w:rPr>
              <w:t>Act</w:t>
            </w:r>
            <w:r w:rsidRPr="00BE586A">
              <w:rPr>
                <w:sz w:val="20"/>
                <w:lang w:val="en-CA"/>
              </w:rPr>
              <w:t xml:space="preserve"> also provided that any provision of a collective agreement that granted any form of increase to remuneration exceeding the rates set out in the </w:t>
            </w:r>
            <w:r w:rsidRPr="00BE586A">
              <w:rPr>
                <w:i/>
                <w:sz w:val="20"/>
                <w:lang w:val="en-CA"/>
              </w:rPr>
              <w:t>Act</w:t>
            </w:r>
            <w:r w:rsidRPr="00BE586A">
              <w:rPr>
                <w:sz w:val="20"/>
                <w:lang w:val="en-CA"/>
              </w:rPr>
              <w:t xml:space="preserve"> was of no effect. The Union was not consulted prior to the enactment of the </w:t>
            </w:r>
            <w:r w:rsidRPr="00BE586A">
              <w:rPr>
                <w:i/>
                <w:sz w:val="20"/>
                <w:lang w:val="en-CA"/>
              </w:rPr>
              <w:t>Act</w:t>
            </w:r>
            <w:r w:rsidRPr="00BE586A">
              <w:rPr>
                <w:sz w:val="20"/>
                <w:lang w:val="en-CA"/>
              </w:rPr>
              <w:t xml:space="preserve">. </w:t>
            </w:r>
          </w:p>
          <w:p w:rsidR="00B56DD4" w:rsidRPr="00BE586A" w:rsidRDefault="00B56DD4" w:rsidP="00B56DD4">
            <w:pPr>
              <w:jc w:val="both"/>
              <w:rPr>
                <w:sz w:val="20"/>
                <w:lang w:val="en-CA"/>
              </w:rPr>
            </w:pPr>
          </w:p>
          <w:p w:rsidR="00B56DD4" w:rsidRPr="00BE586A" w:rsidRDefault="00B56DD4" w:rsidP="00B56DD4">
            <w:pPr>
              <w:jc w:val="both"/>
              <w:rPr>
                <w:sz w:val="20"/>
                <w:lang w:val="en-CA"/>
              </w:rPr>
            </w:pPr>
            <w:r w:rsidRPr="00BE586A">
              <w:rPr>
                <w:sz w:val="20"/>
                <w:lang w:val="en-CA"/>
              </w:rPr>
              <w:t>Relying on s. 2(</w:t>
            </w:r>
            <w:r w:rsidRPr="00BE586A">
              <w:rPr>
                <w:i/>
                <w:sz w:val="20"/>
                <w:lang w:val="en-CA"/>
              </w:rPr>
              <w:t>d</w:t>
            </w:r>
            <w:r w:rsidRPr="00BE586A">
              <w:rPr>
                <w:sz w:val="20"/>
                <w:lang w:val="en-CA"/>
              </w:rPr>
              <w:t xml:space="preserve">) of the </w:t>
            </w:r>
            <w:r w:rsidRPr="00BE586A">
              <w:rPr>
                <w:i/>
                <w:sz w:val="20"/>
                <w:lang w:val="en-CA"/>
              </w:rPr>
              <w:t>Charter</w:t>
            </w:r>
            <w:r w:rsidRPr="00BE586A">
              <w:rPr>
                <w:sz w:val="20"/>
                <w:lang w:val="en-CA"/>
              </w:rPr>
              <w:t xml:space="preserve">, the Union brought a motion to institute proceedings for a declaratory judgment, seeking a declaration that certain provisions of the </w:t>
            </w:r>
            <w:r w:rsidRPr="00BE586A">
              <w:rPr>
                <w:i/>
                <w:sz w:val="20"/>
                <w:lang w:val="en-CA"/>
              </w:rPr>
              <w:t>Act</w:t>
            </w:r>
            <w:r w:rsidRPr="00BE586A">
              <w:rPr>
                <w:sz w:val="20"/>
                <w:lang w:val="en-CA"/>
              </w:rPr>
              <w:t xml:space="preserve"> did not apply to its members and a declaration that the Canadian Broadcasting Corporation had an obligation to comply with the collective agreement entered into in October 2007. On January 29, 2015, this Court remanded the case to the Court of Appeal pursuant to s. 43(1.1) of the </w:t>
            </w:r>
            <w:r w:rsidRPr="00BE586A">
              <w:rPr>
                <w:i/>
                <w:iCs/>
                <w:sz w:val="20"/>
                <w:lang w:val="en-CA"/>
              </w:rPr>
              <w:t>Supreme Court Act</w:t>
            </w:r>
            <w:r w:rsidRPr="00BE586A">
              <w:rPr>
                <w:sz w:val="20"/>
                <w:lang w:val="en-CA"/>
              </w:rPr>
              <w:t xml:space="preserve"> so the Court of Appeal could decide it in accordance with </w:t>
            </w:r>
            <w:r w:rsidRPr="00BE586A">
              <w:rPr>
                <w:i/>
                <w:sz w:val="20"/>
                <w:lang w:val="en-CA"/>
              </w:rPr>
              <w:t>Meredith v. Canada (Attorney General)</w:t>
            </w:r>
            <w:r w:rsidRPr="00BE586A">
              <w:rPr>
                <w:sz w:val="20"/>
                <w:lang w:val="en-CA"/>
              </w:rPr>
              <w:t xml:space="preserve">, 2015 SCC 2, and </w:t>
            </w:r>
            <w:r w:rsidRPr="00BE586A">
              <w:rPr>
                <w:i/>
                <w:sz w:val="20"/>
                <w:lang w:val="en-CA"/>
              </w:rPr>
              <w:t>Mounted Police Association of Ontario v. Canada (Attorney General)</w:t>
            </w:r>
            <w:r w:rsidRPr="00BE586A">
              <w:rPr>
                <w:sz w:val="20"/>
                <w:lang w:val="en-CA"/>
              </w:rPr>
              <w:t>, 2015 SCC 1.</w:t>
            </w:r>
          </w:p>
          <w:p w:rsidR="00B56DD4" w:rsidRPr="00BE586A" w:rsidRDefault="00B56DD4" w:rsidP="00B56DD4">
            <w:pPr>
              <w:jc w:val="both"/>
              <w:rPr>
                <w:sz w:val="20"/>
                <w:lang w:val="en-CA"/>
              </w:rPr>
            </w:pPr>
          </w:p>
        </w:tc>
      </w:tr>
      <w:tr w:rsidR="00B56DD4" w:rsidRPr="00BE586A" w:rsidTr="007510BE">
        <w:tblPrEx>
          <w:tblCellMar>
            <w:bottom w:w="0" w:type="dxa"/>
          </w:tblCellMar>
        </w:tblPrEx>
        <w:tc>
          <w:tcPr>
            <w:tcW w:w="2390" w:type="pct"/>
            <w:gridSpan w:val="2"/>
          </w:tcPr>
          <w:p w:rsidR="00B56DD4" w:rsidRPr="00BE586A" w:rsidRDefault="00B56DD4" w:rsidP="00B56DD4">
            <w:pPr>
              <w:jc w:val="both"/>
              <w:rPr>
                <w:sz w:val="20"/>
                <w:lang w:val="en-CA"/>
              </w:rPr>
            </w:pPr>
            <w:r w:rsidRPr="00BE586A">
              <w:rPr>
                <w:sz w:val="20"/>
                <w:lang w:val="en-CA"/>
              </w:rPr>
              <w:lastRenderedPageBreak/>
              <w:t xml:space="preserve">July 11, 2012 </w:t>
            </w:r>
          </w:p>
          <w:p w:rsidR="00B56DD4" w:rsidRPr="00BE586A" w:rsidRDefault="00B56DD4" w:rsidP="00B56DD4">
            <w:pPr>
              <w:jc w:val="both"/>
              <w:rPr>
                <w:sz w:val="20"/>
                <w:lang w:val="en-CA"/>
              </w:rPr>
            </w:pPr>
            <w:r w:rsidRPr="00BE586A">
              <w:rPr>
                <w:sz w:val="20"/>
                <w:lang w:val="en-CA"/>
              </w:rPr>
              <w:t>(corrected judgment issued on August 10, 2012)</w:t>
            </w:r>
          </w:p>
          <w:p w:rsidR="00B56DD4" w:rsidRPr="00BE586A" w:rsidRDefault="00B56DD4" w:rsidP="00B56DD4">
            <w:pPr>
              <w:jc w:val="both"/>
              <w:rPr>
                <w:sz w:val="20"/>
                <w:lang w:val="en-CA"/>
              </w:rPr>
            </w:pPr>
            <w:r w:rsidRPr="00BE586A">
              <w:rPr>
                <w:sz w:val="20"/>
                <w:lang w:val="en-CA"/>
              </w:rPr>
              <w:t>Quebec Superior Court</w:t>
            </w:r>
          </w:p>
          <w:p w:rsidR="00B56DD4" w:rsidRPr="00BE586A" w:rsidRDefault="00B56DD4" w:rsidP="00B56DD4">
            <w:pPr>
              <w:jc w:val="both"/>
              <w:rPr>
                <w:sz w:val="20"/>
                <w:lang w:val="en-CA"/>
              </w:rPr>
            </w:pPr>
            <w:r w:rsidRPr="00BE586A">
              <w:rPr>
                <w:sz w:val="20"/>
                <w:lang w:val="en-CA"/>
              </w:rPr>
              <w:t>(Matteau J.)</w:t>
            </w:r>
          </w:p>
          <w:p w:rsidR="00B56DD4" w:rsidRPr="00BE586A" w:rsidRDefault="00004558" w:rsidP="00B56DD4">
            <w:pPr>
              <w:jc w:val="both"/>
              <w:rPr>
                <w:sz w:val="20"/>
                <w:lang w:val="en-CA"/>
              </w:rPr>
            </w:pPr>
            <w:hyperlink r:id="rId35" w:history="1">
              <w:r w:rsidR="00B56DD4" w:rsidRPr="00BE586A">
                <w:rPr>
                  <w:rStyle w:val="Hyperlink"/>
                  <w:sz w:val="20"/>
                  <w:lang w:val="en-CA"/>
                </w:rPr>
                <w:t>2012 QCCS 3223</w:t>
              </w:r>
            </w:hyperlink>
          </w:p>
        </w:tc>
        <w:tc>
          <w:tcPr>
            <w:tcW w:w="270" w:type="pct"/>
          </w:tcPr>
          <w:p w:rsidR="00B56DD4" w:rsidRPr="00BE586A" w:rsidRDefault="00B56DD4" w:rsidP="00B56DD4">
            <w:pPr>
              <w:jc w:val="both"/>
              <w:rPr>
                <w:sz w:val="20"/>
                <w:lang w:val="en-CA"/>
              </w:rPr>
            </w:pPr>
          </w:p>
        </w:tc>
        <w:tc>
          <w:tcPr>
            <w:tcW w:w="2340" w:type="pct"/>
          </w:tcPr>
          <w:p w:rsidR="00B56DD4" w:rsidRPr="00BE586A" w:rsidRDefault="00B56DD4" w:rsidP="00B56DD4">
            <w:pPr>
              <w:jc w:val="both"/>
              <w:rPr>
                <w:sz w:val="20"/>
                <w:lang w:val="en-CA"/>
              </w:rPr>
            </w:pPr>
            <w:r w:rsidRPr="00BE586A">
              <w:rPr>
                <w:sz w:val="20"/>
                <w:lang w:val="en-CA"/>
              </w:rPr>
              <w:t xml:space="preserve">Motions to institute proceedings for declaratory judgment allowed; ss. 16, 19, 21, 23, 24, 26, 27, 29, 56 and 57 of </w:t>
            </w:r>
            <w:r w:rsidRPr="00BE586A">
              <w:rPr>
                <w:i/>
                <w:sz w:val="20"/>
                <w:lang w:val="en-CA"/>
              </w:rPr>
              <w:t>An Act to restrain the Government of Canada’s expenditures in relation to employment</w:t>
            </w:r>
            <w:r w:rsidRPr="00BE586A">
              <w:rPr>
                <w:sz w:val="20"/>
                <w:lang w:val="en-CA"/>
              </w:rPr>
              <w:t xml:space="preserve">, S.C. 2009, c. 2, declared invalid, constitutionally inapplicable or of no force or effect in relation to Union and members of bargaining units represented by Union; ss. 16, 19 and 26 of </w:t>
            </w:r>
            <w:r w:rsidRPr="00BE586A">
              <w:rPr>
                <w:i/>
                <w:sz w:val="20"/>
                <w:lang w:val="en-CA"/>
              </w:rPr>
              <w:t>Act</w:t>
            </w:r>
            <w:r w:rsidRPr="00BE586A">
              <w:rPr>
                <w:sz w:val="20"/>
                <w:lang w:val="en-CA"/>
              </w:rPr>
              <w:t xml:space="preserve"> declared invalid, constitutionally inapplicable or of no force or effect in relation to Association and members of bargaining units represented by Association </w:t>
            </w:r>
          </w:p>
          <w:p w:rsidR="00B56DD4" w:rsidRPr="00BE586A" w:rsidRDefault="00B56DD4" w:rsidP="00B56DD4">
            <w:pPr>
              <w:jc w:val="both"/>
              <w:rPr>
                <w:sz w:val="20"/>
                <w:lang w:val="en-CA"/>
              </w:rPr>
            </w:pPr>
          </w:p>
        </w:tc>
      </w:tr>
      <w:tr w:rsidR="00B56DD4" w:rsidRPr="00BE586A" w:rsidTr="007510BE">
        <w:tblPrEx>
          <w:tblCellMar>
            <w:bottom w:w="0" w:type="dxa"/>
          </w:tblCellMar>
        </w:tblPrEx>
        <w:tc>
          <w:tcPr>
            <w:tcW w:w="2390" w:type="pct"/>
            <w:gridSpan w:val="2"/>
          </w:tcPr>
          <w:p w:rsidR="00B56DD4" w:rsidRPr="00BE586A" w:rsidRDefault="00B56DD4" w:rsidP="00B56DD4">
            <w:pPr>
              <w:jc w:val="both"/>
              <w:rPr>
                <w:sz w:val="20"/>
                <w:lang w:val="en-CA"/>
              </w:rPr>
            </w:pPr>
            <w:r w:rsidRPr="00BE586A">
              <w:rPr>
                <w:sz w:val="20"/>
                <w:lang w:val="en-CA"/>
              </w:rPr>
              <w:t>May 27, 2014</w:t>
            </w:r>
          </w:p>
          <w:p w:rsidR="00B56DD4" w:rsidRPr="00BE586A" w:rsidRDefault="00B56DD4" w:rsidP="00B56DD4">
            <w:pPr>
              <w:jc w:val="both"/>
              <w:rPr>
                <w:sz w:val="20"/>
                <w:lang w:val="en-CA"/>
              </w:rPr>
            </w:pPr>
            <w:r w:rsidRPr="00BE586A">
              <w:rPr>
                <w:sz w:val="20"/>
                <w:lang w:val="en-CA"/>
              </w:rPr>
              <w:t>Quebec Court of Appeal (Montréal)</w:t>
            </w:r>
          </w:p>
          <w:p w:rsidR="00B56DD4" w:rsidRPr="00BE586A" w:rsidRDefault="00B56DD4" w:rsidP="00B56DD4">
            <w:pPr>
              <w:jc w:val="both"/>
              <w:rPr>
                <w:sz w:val="20"/>
                <w:lang w:val="en-CA"/>
              </w:rPr>
            </w:pPr>
            <w:r w:rsidRPr="00BE586A">
              <w:rPr>
                <w:sz w:val="20"/>
                <w:lang w:val="en-CA"/>
              </w:rPr>
              <w:t>(Dalphond, Lévesque and Savard JJ.A.)</w:t>
            </w:r>
          </w:p>
          <w:bookmarkStart w:id="1" w:name="reflex-caselaw-25102111"/>
          <w:bookmarkEnd w:id="1"/>
          <w:p w:rsidR="00B56DD4" w:rsidRPr="00BE586A" w:rsidRDefault="00B56DD4" w:rsidP="00B56DD4">
            <w:pPr>
              <w:jc w:val="both"/>
              <w:rPr>
                <w:sz w:val="20"/>
                <w:lang w:val="en-CA"/>
              </w:rPr>
            </w:pPr>
            <w:r w:rsidRPr="00BE586A">
              <w:rPr>
                <w:sz w:val="20"/>
                <w:lang w:val="en-CA"/>
              </w:rPr>
              <w:fldChar w:fldCharType="begin"/>
            </w:r>
            <w:r w:rsidRPr="00BE586A">
              <w:rPr>
                <w:sz w:val="20"/>
                <w:lang w:val="en-CA"/>
              </w:rPr>
              <w:instrText xml:space="preserve"> HYPERLINK "http://www.canlii.org/fr/qc/qcca/doc/2014/2014qcca1068/2014qcca1068.html" </w:instrText>
            </w:r>
            <w:r w:rsidRPr="00BE586A">
              <w:rPr>
                <w:sz w:val="20"/>
                <w:lang w:val="en-CA"/>
              </w:rPr>
              <w:fldChar w:fldCharType="separate"/>
            </w:r>
            <w:r w:rsidRPr="00BE586A">
              <w:rPr>
                <w:rStyle w:val="Hyperlink"/>
                <w:sz w:val="20"/>
                <w:lang w:val="en-CA"/>
              </w:rPr>
              <w:t>2014 QCCA 1068</w:t>
            </w:r>
            <w:r w:rsidRPr="00BE586A">
              <w:rPr>
                <w:sz w:val="20"/>
                <w:lang w:val="en-CA"/>
              </w:rPr>
              <w:fldChar w:fldCharType="end"/>
            </w:r>
          </w:p>
          <w:p w:rsidR="00B56DD4" w:rsidRPr="00BE586A" w:rsidRDefault="00B56DD4" w:rsidP="00B56DD4">
            <w:pPr>
              <w:jc w:val="both"/>
              <w:rPr>
                <w:sz w:val="20"/>
                <w:lang w:val="en-CA"/>
              </w:rPr>
            </w:pPr>
          </w:p>
        </w:tc>
        <w:tc>
          <w:tcPr>
            <w:tcW w:w="270" w:type="pct"/>
          </w:tcPr>
          <w:p w:rsidR="00B56DD4" w:rsidRPr="00BE586A" w:rsidRDefault="00B56DD4" w:rsidP="00B56DD4">
            <w:pPr>
              <w:jc w:val="both"/>
              <w:rPr>
                <w:sz w:val="20"/>
                <w:lang w:val="en-CA"/>
              </w:rPr>
            </w:pPr>
          </w:p>
        </w:tc>
        <w:tc>
          <w:tcPr>
            <w:tcW w:w="2340" w:type="pct"/>
          </w:tcPr>
          <w:p w:rsidR="00B56DD4" w:rsidRPr="00BE586A" w:rsidRDefault="00B56DD4" w:rsidP="00B56DD4">
            <w:pPr>
              <w:jc w:val="both"/>
              <w:rPr>
                <w:sz w:val="20"/>
                <w:lang w:val="en-CA"/>
              </w:rPr>
            </w:pPr>
            <w:r w:rsidRPr="00BE586A">
              <w:rPr>
                <w:sz w:val="20"/>
                <w:lang w:val="en-CA"/>
              </w:rPr>
              <w:t xml:space="preserve">Appeal allowed; motions for declaratory judgment dismissed </w:t>
            </w:r>
          </w:p>
          <w:p w:rsidR="00B56DD4" w:rsidRPr="00BE586A" w:rsidRDefault="00B56DD4" w:rsidP="00B56DD4">
            <w:pPr>
              <w:jc w:val="both"/>
              <w:rPr>
                <w:sz w:val="20"/>
                <w:lang w:val="en-CA"/>
              </w:rPr>
            </w:pPr>
          </w:p>
        </w:tc>
      </w:tr>
      <w:tr w:rsidR="00B56DD4" w:rsidRPr="00BE586A" w:rsidTr="007510BE">
        <w:tblPrEx>
          <w:tblCellMar>
            <w:bottom w:w="0" w:type="dxa"/>
          </w:tblCellMar>
        </w:tblPrEx>
        <w:tc>
          <w:tcPr>
            <w:tcW w:w="2390" w:type="pct"/>
            <w:gridSpan w:val="2"/>
          </w:tcPr>
          <w:p w:rsidR="00B56DD4" w:rsidRPr="00BE586A" w:rsidRDefault="00B56DD4" w:rsidP="00B56DD4">
            <w:pPr>
              <w:jc w:val="both"/>
              <w:rPr>
                <w:sz w:val="20"/>
                <w:lang w:val="en-CA"/>
              </w:rPr>
            </w:pPr>
            <w:r w:rsidRPr="00BE586A">
              <w:rPr>
                <w:sz w:val="20"/>
                <w:lang w:val="en-CA"/>
              </w:rPr>
              <w:t>January</w:t>
            </w:r>
            <w:r w:rsidRPr="00BE586A">
              <w:rPr>
                <w:sz w:val="20"/>
              </w:rPr>
              <w:t> </w:t>
            </w:r>
            <w:r w:rsidRPr="00BE586A">
              <w:rPr>
                <w:sz w:val="20"/>
                <w:lang w:val="en-CA"/>
              </w:rPr>
              <w:t>29, 2015</w:t>
            </w:r>
          </w:p>
          <w:p w:rsidR="00B56DD4" w:rsidRPr="00BE586A" w:rsidRDefault="00B56DD4" w:rsidP="00B56DD4">
            <w:pPr>
              <w:jc w:val="both"/>
              <w:rPr>
                <w:sz w:val="20"/>
                <w:lang w:val="en-CA"/>
              </w:rPr>
            </w:pPr>
            <w:r w:rsidRPr="00BE586A">
              <w:rPr>
                <w:sz w:val="20"/>
                <w:lang w:val="en-CA"/>
              </w:rPr>
              <w:t>Supreme Court of Canada</w:t>
            </w:r>
          </w:p>
          <w:p w:rsidR="00B56DD4" w:rsidRPr="00BE586A" w:rsidRDefault="00B56DD4" w:rsidP="00B56DD4">
            <w:pPr>
              <w:jc w:val="both"/>
              <w:rPr>
                <w:sz w:val="20"/>
                <w:lang w:val="en-CA"/>
              </w:rPr>
            </w:pPr>
          </w:p>
        </w:tc>
        <w:tc>
          <w:tcPr>
            <w:tcW w:w="270" w:type="pct"/>
          </w:tcPr>
          <w:p w:rsidR="00B56DD4" w:rsidRPr="00BE586A" w:rsidRDefault="00B56DD4" w:rsidP="00B56DD4">
            <w:pPr>
              <w:jc w:val="both"/>
              <w:rPr>
                <w:sz w:val="20"/>
                <w:lang w:val="en-CA"/>
              </w:rPr>
            </w:pPr>
          </w:p>
        </w:tc>
        <w:tc>
          <w:tcPr>
            <w:tcW w:w="2340" w:type="pct"/>
          </w:tcPr>
          <w:p w:rsidR="00B56DD4" w:rsidRPr="00BE586A" w:rsidRDefault="00B56DD4" w:rsidP="00B56DD4">
            <w:pPr>
              <w:jc w:val="both"/>
              <w:rPr>
                <w:sz w:val="20"/>
                <w:lang w:val="en-CA"/>
              </w:rPr>
            </w:pPr>
            <w:r w:rsidRPr="00BE586A">
              <w:rPr>
                <w:sz w:val="20"/>
                <w:lang w:val="en-CA"/>
              </w:rPr>
              <w:t xml:space="preserve">Case remanded to Quebec Court of Appeal pursuant to s. 43(1.1) of </w:t>
            </w:r>
            <w:r w:rsidRPr="00BE586A">
              <w:rPr>
                <w:i/>
                <w:sz w:val="20"/>
                <w:lang w:val="en-CA"/>
              </w:rPr>
              <w:t>Supreme Court Act</w:t>
            </w:r>
            <w:r w:rsidRPr="00BE586A">
              <w:rPr>
                <w:sz w:val="20"/>
                <w:lang w:val="en-CA"/>
              </w:rPr>
              <w:t xml:space="preserve"> </w:t>
            </w:r>
          </w:p>
          <w:p w:rsidR="00B56DD4" w:rsidRPr="00BE586A" w:rsidRDefault="00B56DD4" w:rsidP="00B56DD4">
            <w:pPr>
              <w:jc w:val="both"/>
              <w:rPr>
                <w:sz w:val="20"/>
                <w:lang w:val="en-CA"/>
              </w:rPr>
            </w:pPr>
          </w:p>
        </w:tc>
      </w:tr>
      <w:tr w:rsidR="00B56DD4" w:rsidRPr="00BE586A" w:rsidTr="007510BE">
        <w:tblPrEx>
          <w:tblCellMar>
            <w:bottom w:w="0" w:type="dxa"/>
          </w:tblCellMar>
        </w:tblPrEx>
        <w:tc>
          <w:tcPr>
            <w:tcW w:w="2390" w:type="pct"/>
            <w:gridSpan w:val="2"/>
          </w:tcPr>
          <w:p w:rsidR="00B56DD4" w:rsidRPr="00BE586A" w:rsidRDefault="00B56DD4" w:rsidP="00B56DD4">
            <w:pPr>
              <w:jc w:val="both"/>
              <w:rPr>
                <w:sz w:val="20"/>
                <w:lang w:val="en-CA"/>
              </w:rPr>
            </w:pPr>
            <w:r w:rsidRPr="00BE586A">
              <w:rPr>
                <w:sz w:val="20"/>
                <w:lang w:val="en-CA"/>
              </w:rPr>
              <w:t>February 2, 2016</w:t>
            </w:r>
          </w:p>
          <w:p w:rsidR="00B56DD4" w:rsidRPr="00BE586A" w:rsidRDefault="00B56DD4" w:rsidP="00B56DD4">
            <w:pPr>
              <w:jc w:val="both"/>
              <w:rPr>
                <w:sz w:val="20"/>
                <w:lang w:val="en-CA"/>
              </w:rPr>
            </w:pPr>
            <w:r w:rsidRPr="00BE586A">
              <w:rPr>
                <w:sz w:val="20"/>
                <w:lang w:val="en-CA"/>
              </w:rPr>
              <w:t>Quebec Court of Appeal (Montréal)</w:t>
            </w:r>
          </w:p>
          <w:p w:rsidR="00B56DD4" w:rsidRPr="00BE586A" w:rsidRDefault="00B56DD4" w:rsidP="00B56DD4">
            <w:pPr>
              <w:jc w:val="both"/>
              <w:rPr>
                <w:sz w:val="20"/>
                <w:lang w:val="en-CA"/>
              </w:rPr>
            </w:pPr>
            <w:r w:rsidRPr="00BE586A">
              <w:rPr>
                <w:sz w:val="20"/>
                <w:lang w:val="en-CA"/>
              </w:rPr>
              <w:t>(Hesler, Morissette and Bich JJ.A.)</w:t>
            </w:r>
          </w:p>
          <w:p w:rsidR="00B56DD4" w:rsidRPr="00BE586A" w:rsidRDefault="00004558" w:rsidP="00B56DD4">
            <w:pPr>
              <w:jc w:val="both"/>
              <w:rPr>
                <w:sz w:val="20"/>
                <w:lang w:val="en-CA"/>
              </w:rPr>
            </w:pPr>
            <w:hyperlink r:id="rId36" w:history="1">
              <w:r w:rsidR="00B56DD4" w:rsidRPr="00BE586A">
                <w:rPr>
                  <w:rStyle w:val="Hyperlink"/>
                  <w:sz w:val="20"/>
                  <w:lang w:val="en-CA"/>
                </w:rPr>
                <w:t>2016 QCCA 163</w:t>
              </w:r>
            </w:hyperlink>
          </w:p>
          <w:p w:rsidR="00B56DD4" w:rsidRPr="00BE586A" w:rsidRDefault="00B56DD4" w:rsidP="00B56DD4">
            <w:pPr>
              <w:jc w:val="both"/>
              <w:rPr>
                <w:sz w:val="20"/>
                <w:lang w:val="en-CA"/>
              </w:rPr>
            </w:pPr>
          </w:p>
        </w:tc>
        <w:tc>
          <w:tcPr>
            <w:tcW w:w="270" w:type="pct"/>
          </w:tcPr>
          <w:p w:rsidR="00B56DD4" w:rsidRPr="00BE586A" w:rsidRDefault="00B56DD4" w:rsidP="00B56DD4">
            <w:pPr>
              <w:jc w:val="both"/>
              <w:rPr>
                <w:sz w:val="20"/>
                <w:lang w:val="en-CA"/>
              </w:rPr>
            </w:pPr>
          </w:p>
        </w:tc>
        <w:tc>
          <w:tcPr>
            <w:tcW w:w="2340" w:type="pct"/>
          </w:tcPr>
          <w:p w:rsidR="00B56DD4" w:rsidRPr="00BE586A" w:rsidRDefault="00B56DD4" w:rsidP="00B56DD4">
            <w:pPr>
              <w:jc w:val="both"/>
              <w:rPr>
                <w:sz w:val="20"/>
                <w:lang w:val="en-CA"/>
              </w:rPr>
            </w:pPr>
            <w:r w:rsidRPr="00BE586A">
              <w:rPr>
                <w:sz w:val="20"/>
                <w:lang w:val="en-CA"/>
              </w:rPr>
              <w:t>Appeal allowed; motions to institute proceedings dismissed</w:t>
            </w:r>
          </w:p>
          <w:p w:rsidR="00B56DD4" w:rsidRPr="00BE586A" w:rsidRDefault="00B56DD4" w:rsidP="00B56DD4">
            <w:pPr>
              <w:jc w:val="both"/>
              <w:rPr>
                <w:sz w:val="20"/>
                <w:lang w:val="en-CA"/>
              </w:rPr>
            </w:pPr>
          </w:p>
        </w:tc>
      </w:tr>
      <w:tr w:rsidR="00B56DD4" w:rsidRPr="00BE586A" w:rsidTr="007510BE">
        <w:tblPrEx>
          <w:tblCellMar>
            <w:bottom w:w="0" w:type="dxa"/>
          </w:tblCellMar>
        </w:tblPrEx>
        <w:tc>
          <w:tcPr>
            <w:tcW w:w="2390" w:type="pct"/>
            <w:gridSpan w:val="2"/>
          </w:tcPr>
          <w:p w:rsidR="00B56DD4" w:rsidRPr="00BE586A" w:rsidRDefault="00B56DD4" w:rsidP="00B56DD4">
            <w:pPr>
              <w:jc w:val="both"/>
              <w:rPr>
                <w:sz w:val="20"/>
                <w:lang w:val="en-CA"/>
              </w:rPr>
            </w:pPr>
            <w:r w:rsidRPr="00BE586A">
              <w:rPr>
                <w:sz w:val="20"/>
                <w:lang w:val="en-CA"/>
              </w:rPr>
              <w:t>March 29, 2016</w:t>
            </w:r>
          </w:p>
          <w:p w:rsidR="00B56DD4" w:rsidRPr="00BE586A" w:rsidRDefault="00B56DD4" w:rsidP="00B56DD4">
            <w:pPr>
              <w:jc w:val="both"/>
              <w:rPr>
                <w:sz w:val="20"/>
                <w:lang w:val="en-CA"/>
              </w:rPr>
            </w:pPr>
            <w:r w:rsidRPr="00BE586A">
              <w:rPr>
                <w:sz w:val="20"/>
                <w:lang w:val="en-CA"/>
              </w:rPr>
              <w:t>Supreme Court of Canada</w:t>
            </w:r>
          </w:p>
        </w:tc>
        <w:tc>
          <w:tcPr>
            <w:tcW w:w="270" w:type="pct"/>
          </w:tcPr>
          <w:p w:rsidR="00B56DD4" w:rsidRPr="00BE586A" w:rsidRDefault="00B56DD4" w:rsidP="00B56DD4">
            <w:pPr>
              <w:jc w:val="both"/>
              <w:rPr>
                <w:sz w:val="20"/>
                <w:lang w:val="en-CA"/>
              </w:rPr>
            </w:pPr>
          </w:p>
        </w:tc>
        <w:tc>
          <w:tcPr>
            <w:tcW w:w="2340" w:type="pct"/>
          </w:tcPr>
          <w:p w:rsidR="00B56DD4" w:rsidRPr="00BE586A" w:rsidRDefault="00B56DD4" w:rsidP="00B56DD4">
            <w:pPr>
              <w:jc w:val="both"/>
              <w:rPr>
                <w:sz w:val="20"/>
                <w:lang w:val="en-CA"/>
              </w:rPr>
            </w:pPr>
            <w:r w:rsidRPr="00BE586A">
              <w:rPr>
                <w:sz w:val="20"/>
                <w:lang w:val="en-CA"/>
              </w:rPr>
              <w:t>Application for leave to appeal filed</w:t>
            </w:r>
          </w:p>
          <w:p w:rsidR="00B56DD4" w:rsidRPr="00BE586A" w:rsidRDefault="00B56DD4" w:rsidP="00B56DD4">
            <w:pPr>
              <w:jc w:val="both"/>
              <w:rPr>
                <w:sz w:val="20"/>
                <w:lang w:val="en-CA"/>
              </w:rPr>
            </w:pPr>
          </w:p>
        </w:tc>
      </w:tr>
    </w:tbl>
    <w:p w:rsidR="00B56DD4" w:rsidRPr="00BE586A" w:rsidRDefault="00B56DD4" w:rsidP="00B56DD4">
      <w:pPr>
        <w:jc w:val="both"/>
        <w:rPr>
          <w:sz w:val="20"/>
          <w:lang w:val="en-CA"/>
        </w:rPr>
      </w:pPr>
    </w:p>
    <w:p w:rsidR="00B56DD4" w:rsidRPr="00BE586A" w:rsidRDefault="00B56DD4" w:rsidP="00B56DD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B56DD4" w:rsidRPr="00BE586A" w:rsidTr="007510BE">
        <w:tc>
          <w:tcPr>
            <w:tcW w:w="543" w:type="pct"/>
          </w:tcPr>
          <w:p w:rsidR="00B56DD4" w:rsidRPr="00BE586A" w:rsidRDefault="00B56DD4" w:rsidP="00B56DD4">
            <w:pPr>
              <w:jc w:val="both"/>
              <w:rPr>
                <w:sz w:val="20"/>
              </w:rPr>
            </w:pPr>
            <w:r w:rsidRPr="00BE586A">
              <w:rPr>
                <w:rStyle w:val="SCCFileNumberChar"/>
                <w:sz w:val="20"/>
                <w:szCs w:val="20"/>
              </w:rPr>
              <w:t>36914</w:t>
            </w:r>
          </w:p>
        </w:tc>
        <w:tc>
          <w:tcPr>
            <w:tcW w:w="4457" w:type="pct"/>
            <w:gridSpan w:val="3"/>
          </w:tcPr>
          <w:p w:rsidR="00B56DD4" w:rsidRPr="00BE586A" w:rsidRDefault="00B56DD4" w:rsidP="00B56DD4">
            <w:pPr>
              <w:pStyle w:val="SCCLsocOtherPartySeparator"/>
              <w:rPr>
                <w:rFonts w:cs="Times New Roman"/>
                <w:sz w:val="20"/>
                <w:szCs w:val="20"/>
              </w:rPr>
            </w:pPr>
            <w:r w:rsidRPr="00BE586A">
              <w:rPr>
                <w:rFonts w:cs="Times New Roman"/>
                <w:sz w:val="20"/>
                <w:szCs w:val="20"/>
              </w:rPr>
              <w:t>Association des réalisateurs c. Procureur général du Canada, Société Radio-Canada</w:t>
            </w:r>
          </w:p>
          <w:p w:rsidR="00B56DD4" w:rsidRPr="00BE586A" w:rsidRDefault="00B56DD4" w:rsidP="00B56DD4">
            <w:pPr>
              <w:pStyle w:val="SCCLsocOtherPartySeparator"/>
              <w:rPr>
                <w:rFonts w:cs="Times New Roman"/>
                <w:sz w:val="20"/>
                <w:szCs w:val="20"/>
              </w:rPr>
            </w:pPr>
            <w:r w:rsidRPr="00BE586A">
              <w:rPr>
                <w:rFonts w:cs="Times New Roman"/>
                <w:sz w:val="20"/>
                <w:szCs w:val="20"/>
              </w:rPr>
              <w:t>- et -</w:t>
            </w:r>
          </w:p>
          <w:p w:rsidR="00B56DD4" w:rsidRPr="00BE586A" w:rsidRDefault="00B56DD4" w:rsidP="00B56DD4">
            <w:pPr>
              <w:pStyle w:val="SCCLsocParty"/>
              <w:jc w:val="both"/>
              <w:rPr>
                <w:b/>
                <w:sz w:val="20"/>
                <w:szCs w:val="20"/>
              </w:rPr>
            </w:pPr>
            <w:r w:rsidRPr="00BE586A">
              <w:rPr>
                <w:b/>
                <w:sz w:val="20"/>
                <w:szCs w:val="20"/>
              </w:rPr>
              <w:t>Syndicat canadien de la fonction publique, section locale 675, Jacqueline Turgeon, Francine Durocher, Jacques Gobeil c. Procureur général du Canada, Société Radio-Canada</w:t>
            </w:r>
          </w:p>
          <w:p w:rsidR="00B56DD4" w:rsidRPr="00BE586A" w:rsidRDefault="00B56DD4" w:rsidP="00B56DD4">
            <w:pPr>
              <w:jc w:val="both"/>
              <w:rPr>
                <w:sz w:val="20"/>
              </w:rPr>
            </w:pPr>
            <w:r w:rsidRPr="00BE586A">
              <w:rPr>
                <w:sz w:val="20"/>
              </w:rPr>
              <w:t>(Qc) (Civile) (Autorisation)</w:t>
            </w:r>
          </w:p>
        </w:tc>
      </w:tr>
      <w:tr w:rsidR="00B56DD4" w:rsidRPr="00BE586A" w:rsidTr="007510BE">
        <w:tc>
          <w:tcPr>
            <w:tcW w:w="5000" w:type="pct"/>
            <w:gridSpan w:val="4"/>
          </w:tcPr>
          <w:p w:rsidR="00B56DD4" w:rsidRPr="00BE586A" w:rsidRDefault="00B56DD4" w:rsidP="00B56DD4">
            <w:pPr>
              <w:jc w:val="both"/>
              <w:rPr>
                <w:sz w:val="20"/>
              </w:rPr>
            </w:pPr>
            <w:r w:rsidRPr="00BE586A">
              <w:rPr>
                <w:i/>
                <w:sz w:val="20"/>
              </w:rPr>
              <w:t xml:space="preserve">Charte canadienne des droits et libertés </w:t>
            </w:r>
            <w:r w:rsidRPr="00BE586A">
              <w:rPr>
                <w:sz w:val="20"/>
              </w:rPr>
              <w:t xml:space="preserve">— Liberté d’association — Négociation collective — </w:t>
            </w:r>
            <w:r w:rsidRPr="00BE586A">
              <w:rPr>
                <w:i/>
                <w:sz w:val="20"/>
              </w:rPr>
              <w:t>Loi visant à contrôler les dépenses du gouvernement du Canada à l’égard de l’emploi</w:t>
            </w:r>
            <w:r w:rsidRPr="00BE586A">
              <w:rPr>
                <w:sz w:val="20"/>
              </w:rPr>
              <w:t xml:space="preserve"> ayant pour effet de limiter les augmentations salariales des employés du secteur public fédéral de 2006 à 2011 — Limites prévues par la </w:t>
            </w:r>
            <w:r w:rsidRPr="00BE586A">
              <w:rPr>
                <w:i/>
                <w:sz w:val="20"/>
              </w:rPr>
              <w:t>Loi</w:t>
            </w:r>
            <w:r w:rsidRPr="00BE586A">
              <w:rPr>
                <w:sz w:val="20"/>
              </w:rPr>
              <w:t xml:space="preserve"> s’appliquant rétroactivement aux conventions collectives conclues entre les demandeurs et la Société Radio-Canada en 2007 — </w:t>
            </w:r>
            <w:r w:rsidRPr="00BE586A">
              <w:rPr>
                <w:i/>
                <w:sz w:val="20"/>
              </w:rPr>
              <w:t>Loi</w:t>
            </w:r>
            <w:r w:rsidRPr="00BE586A">
              <w:rPr>
                <w:sz w:val="20"/>
              </w:rPr>
              <w:t xml:space="preserve"> ayant pour effet de réduire revenus annuels des employés visés d’environ </w:t>
            </w:r>
            <w:r w:rsidRPr="00BE586A">
              <w:rPr>
                <w:sz w:val="20"/>
                <w:lang w:val="fr-FR"/>
              </w:rPr>
              <w:t xml:space="preserve">1 % par rapport aux montants négociés </w:t>
            </w:r>
            <w:r w:rsidRPr="00BE586A">
              <w:rPr>
                <w:sz w:val="20"/>
              </w:rPr>
              <w:lastRenderedPageBreak/>
              <w:t xml:space="preserve">— Cour supérieure du Québec déclarant que </w:t>
            </w:r>
            <w:r w:rsidRPr="00BE586A">
              <w:rPr>
                <w:i/>
                <w:sz w:val="20"/>
              </w:rPr>
              <w:t>Loi</w:t>
            </w:r>
            <w:r w:rsidRPr="00BE586A">
              <w:rPr>
                <w:sz w:val="20"/>
              </w:rPr>
              <w:t xml:space="preserve"> contrevient à l’art. 2(</w:t>
            </w:r>
            <w:r w:rsidRPr="00BE586A">
              <w:rPr>
                <w:i/>
                <w:sz w:val="20"/>
              </w:rPr>
              <w:t>d</w:t>
            </w:r>
            <w:r w:rsidRPr="00BE586A">
              <w:rPr>
                <w:sz w:val="20"/>
              </w:rPr>
              <w:t xml:space="preserve">) de la </w:t>
            </w:r>
            <w:r w:rsidRPr="00BE586A">
              <w:rPr>
                <w:i/>
                <w:sz w:val="20"/>
              </w:rPr>
              <w:t>Charte</w:t>
            </w:r>
            <w:r w:rsidRPr="00BE586A">
              <w:rPr>
                <w:sz w:val="20"/>
              </w:rPr>
              <w:t xml:space="preserve"> et que les dispositions contestées sont sans effet à l’égard des demandeurs et des membres qu’ils représentent — Appel accueilli par la Cour d’appel — La Cour d’appel a-t-elle commis une erreur de droit en concluant que les dispositions contestées de la </w:t>
            </w:r>
            <w:r w:rsidRPr="00BE586A">
              <w:rPr>
                <w:i/>
                <w:sz w:val="20"/>
              </w:rPr>
              <w:t>Loi</w:t>
            </w:r>
            <w:r w:rsidRPr="00BE586A">
              <w:rPr>
                <w:sz w:val="20"/>
              </w:rPr>
              <w:t xml:space="preserve"> ne contreviennent pas à l’al. 2</w:t>
            </w:r>
            <w:r w:rsidRPr="00BE586A">
              <w:rPr>
                <w:i/>
                <w:sz w:val="20"/>
              </w:rPr>
              <w:t>d</w:t>
            </w:r>
            <w:r w:rsidRPr="00BE586A">
              <w:rPr>
                <w:sz w:val="20"/>
              </w:rPr>
              <w:t xml:space="preserve">) de la </w:t>
            </w:r>
            <w:r w:rsidRPr="00BE586A">
              <w:rPr>
                <w:i/>
                <w:sz w:val="20"/>
              </w:rPr>
              <w:t>Charte</w:t>
            </w:r>
            <w:r w:rsidRPr="00BE586A">
              <w:rPr>
                <w:sz w:val="20"/>
              </w:rPr>
              <w:t xml:space="preserve">? — L’annulation et la modification par la </w:t>
            </w:r>
            <w:r w:rsidRPr="00BE586A">
              <w:rPr>
                <w:i/>
                <w:sz w:val="20"/>
              </w:rPr>
              <w:t>Loi</w:t>
            </w:r>
            <w:r w:rsidRPr="00BE586A">
              <w:rPr>
                <w:sz w:val="20"/>
              </w:rPr>
              <w:t xml:space="preserve"> des clauses salariales de la convention collective des membres de l’Association n’ont-elles porté atteinte que de façon minimale à leur liberté d’association protégée par l’alinéa 2d) de la </w:t>
            </w:r>
            <w:r w:rsidRPr="00BE586A">
              <w:rPr>
                <w:i/>
                <w:sz w:val="20"/>
              </w:rPr>
              <w:t>Charte</w:t>
            </w:r>
            <w:r w:rsidRPr="00BE586A">
              <w:rPr>
                <w:sz w:val="20"/>
              </w:rPr>
              <w:t xml:space="preserve">? — </w:t>
            </w:r>
            <w:r w:rsidRPr="00BE586A">
              <w:rPr>
                <w:i/>
                <w:sz w:val="20"/>
              </w:rPr>
              <w:t>Loi visant à contrôler les dépenses du gouvernement du Canada à l’égard de l’emploi</w:t>
            </w:r>
            <w:r w:rsidRPr="00BE586A">
              <w:rPr>
                <w:sz w:val="20"/>
              </w:rPr>
              <w:t>, L.C. 2009, ch. 2, art. </w:t>
            </w:r>
            <w:r w:rsidRPr="00BE586A">
              <w:rPr>
                <w:sz w:val="20"/>
                <w:lang w:val="fr-FR"/>
              </w:rPr>
              <w:t>16, 19, 21, 23, 24, 26, 27, 29, 56 et 57</w:t>
            </w:r>
            <w:r w:rsidRPr="00BE586A">
              <w:rPr>
                <w:sz w:val="20"/>
              </w:rPr>
              <w:t>.</w:t>
            </w:r>
          </w:p>
          <w:p w:rsidR="00B56DD4" w:rsidRPr="00BE586A" w:rsidRDefault="00B56DD4" w:rsidP="00B56DD4">
            <w:pPr>
              <w:jc w:val="both"/>
              <w:rPr>
                <w:sz w:val="20"/>
              </w:rPr>
            </w:pPr>
          </w:p>
        </w:tc>
      </w:tr>
      <w:tr w:rsidR="00B56DD4" w:rsidRPr="00BE586A" w:rsidTr="007510BE">
        <w:tc>
          <w:tcPr>
            <w:tcW w:w="5000" w:type="pct"/>
            <w:gridSpan w:val="4"/>
          </w:tcPr>
          <w:p w:rsidR="00B56DD4" w:rsidRPr="00BE586A" w:rsidRDefault="00B56DD4" w:rsidP="00B56DD4">
            <w:pPr>
              <w:jc w:val="both"/>
              <w:rPr>
                <w:sz w:val="20"/>
              </w:rPr>
            </w:pPr>
            <w:r w:rsidRPr="00BE586A">
              <w:rPr>
                <w:sz w:val="20"/>
              </w:rPr>
              <w:lastRenderedPageBreak/>
              <w:t>En octobre 2007, le Syndicat canadien de la fonction publique a conclu une convention collective avec la Société Radio-Canada. Cette convention collective, qui prévoyait des augmentations salariales, entrait en vigueur le 1e octobre 2007 et prenait fin en septembre 2010.</w:t>
            </w:r>
          </w:p>
          <w:p w:rsidR="00B56DD4" w:rsidRPr="00BE586A" w:rsidRDefault="00B56DD4" w:rsidP="00B56DD4">
            <w:pPr>
              <w:jc w:val="both"/>
              <w:rPr>
                <w:sz w:val="20"/>
              </w:rPr>
            </w:pPr>
          </w:p>
          <w:p w:rsidR="00B56DD4" w:rsidRPr="00BE586A" w:rsidRDefault="00B56DD4" w:rsidP="00B56DD4">
            <w:pPr>
              <w:jc w:val="both"/>
              <w:rPr>
                <w:sz w:val="20"/>
              </w:rPr>
            </w:pPr>
            <w:r w:rsidRPr="00BE586A">
              <w:rPr>
                <w:sz w:val="20"/>
              </w:rPr>
              <w:t xml:space="preserve">Le 12 mars 2009 entre en vigueur la </w:t>
            </w:r>
            <w:r w:rsidRPr="00BE586A">
              <w:rPr>
                <w:i/>
                <w:sz w:val="20"/>
              </w:rPr>
              <w:t>Loi visant à contrôler les dépenses du gouvernement du Canada à l’égard de l’emploi</w:t>
            </w:r>
            <w:r w:rsidRPr="00BE586A">
              <w:rPr>
                <w:sz w:val="20"/>
              </w:rPr>
              <w:t>, L.C. 2009, ch. 2 (« </w:t>
            </w:r>
            <w:r w:rsidRPr="00BE586A">
              <w:rPr>
                <w:i/>
                <w:sz w:val="20"/>
              </w:rPr>
              <w:t>Loi</w:t>
            </w:r>
            <w:r w:rsidRPr="00BE586A">
              <w:rPr>
                <w:sz w:val="20"/>
              </w:rPr>
              <w:t xml:space="preserve"> »). La </w:t>
            </w:r>
            <w:r w:rsidRPr="00BE586A">
              <w:rPr>
                <w:i/>
                <w:sz w:val="20"/>
              </w:rPr>
              <w:t>Loi</w:t>
            </w:r>
            <w:r w:rsidRPr="00BE586A">
              <w:rPr>
                <w:sz w:val="20"/>
              </w:rPr>
              <w:t xml:space="preserve"> impose des limites aux augmentations salariales pouvant être accordées à l’ensemble des employés du secteur public fédéral, y inclut les employés des sociétés d’État telles que la Société Radio-Canada. Les taux d’augmentation prévus à la </w:t>
            </w:r>
            <w:r w:rsidRPr="00BE586A">
              <w:rPr>
                <w:i/>
                <w:sz w:val="20"/>
              </w:rPr>
              <w:t>Loi</w:t>
            </w:r>
            <w:r w:rsidRPr="00BE586A">
              <w:rPr>
                <w:sz w:val="20"/>
              </w:rPr>
              <w:t xml:space="preserve"> s’appliquent également aux employés dont la convention collective a été conclue avant décembre 2008, ce qui est le cas des employés représentés par le Syndicat. La </w:t>
            </w:r>
            <w:r w:rsidRPr="00BE586A">
              <w:rPr>
                <w:i/>
                <w:sz w:val="20"/>
              </w:rPr>
              <w:t>Loi</w:t>
            </w:r>
            <w:r w:rsidRPr="00BE586A">
              <w:rPr>
                <w:sz w:val="20"/>
              </w:rPr>
              <w:t xml:space="preserve"> prévoit également que toute disposition d’une convention collective qui octroie toute forme d’augmentation à la rémunération qui excède les taux prescrits par la </w:t>
            </w:r>
            <w:r w:rsidRPr="00BE586A">
              <w:rPr>
                <w:i/>
                <w:sz w:val="20"/>
              </w:rPr>
              <w:t>Loi</w:t>
            </w:r>
            <w:r w:rsidRPr="00BE586A">
              <w:rPr>
                <w:sz w:val="20"/>
              </w:rPr>
              <w:t xml:space="preserve"> est inopérante. Le Syndicat n’a pas été consulté préalablement à l’adoption de la </w:t>
            </w:r>
            <w:r w:rsidRPr="00BE586A">
              <w:rPr>
                <w:i/>
                <w:sz w:val="20"/>
              </w:rPr>
              <w:t>Loi</w:t>
            </w:r>
            <w:r w:rsidRPr="00BE586A">
              <w:rPr>
                <w:sz w:val="20"/>
              </w:rPr>
              <w:t xml:space="preserve">. </w:t>
            </w:r>
          </w:p>
          <w:p w:rsidR="00B56DD4" w:rsidRPr="00BE586A" w:rsidRDefault="00B56DD4" w:rsidP="00B56DD4">
            <w:pPr>
              <w:jc w:val="both"/>
              <w:rPr>
                <w:sz w:val="20"/>
              </w:rPr>
            </w:pPr>
          </w:p>
          <w:p w:rsidR="00B56DD4" w:rsidRPr="00BE586A" w:rsidRDefault="00B56DD4" w:rsidP="00B56DD4">
            <w:pPr>
              <w:jc w:val="both"/>
              <w:rPr>
                <w:sz w:val="20"/>
              </w:rPr>
            </w:pPr>
            <w:r w:rsidRPr="00BE586A">
              <w:rPr>
                <w:sz w:val="20"/>
              </w:rPr>
              <w:t xml:space="preserve">En se fondant sur l’article 2d) de la </w:t>
            </w:r>
            <w:r w:rsidRPr="00BE586A">
              <w:rPr>
                <w:i/>
                <w:sz w:val="20"/>
              </w:rPr>
              <w:t>Charte</w:t>
            </w:r>
            <w:r w:rsidRPr="00BE586A">
              <w:rPr>
                <w:sz w:val="20"/>
              </w:rPr>
              <w:t xml:space="preserve">, le Syndicat </w:t>
            </w:r>
            <w:proofErr w:type="gramStart"/>
            <w:r w:rsidRPr="00BE586A">
              <w:rPr>
                <w:sz w:val="20"/>
              </w:rPr>
              <w:t>a</w:t>
            </w:r>
            <w:proofErr w:type="gramEnd"/>
            <w:r w:rsidRPr="00BE586A">
              <w:rPr>
                <w:sz w:val="20"/>
              </w:rPr>
              <w:t xml:space="preserve"> intenté une requête introductive d’instance pour jugement déclaratoire. Par le biais de ce recours, il réclamait une déclaration d’inapplicabilité de certaines dispositions de la Loi à l’égard de ses membres ainsi qu’une déclaration voulant que la Radio-Canada ait l’obligation de respecter la convention collective convenue en octobre 2007. Le 29 janvier 2015, cette Cour a renvoyé l’affaire devant la Cour d’appel conformément à au paragraphe 43(1.1) de la </w:t>
            </w:r>
            <w:r w:rsidRPr="00BE586A">
              <w:rPr>
                <w:i/>
                <w:iCs/>
                <w:sz w:val="20"/>
              </w:rPr>
              <w:t>Loi sur la Cour suprême</w:t>
            </w:r>
            <w:r w:rsidRPr="00BE586A">
              <w:rPr>
                <w:sz w:val="20"/>
              </w:rPr>
              <w:t xml:space="preserve">, pour que celle-ci statue en conformité avec les arrêts </w:t>
            </w:r>
            <w:r w:rsidRPr="00BE586A">
              <w:rPr>
                <w:i/>
                <w:sz w:val="20"/>
              </w:rPr>
              <w:t>Meredith c. Canada (Procureur général)</w:t>
            </w:r>
            <w:r w:rsidRPr="00BE586A">
              <w:rPr>
                <w:sz w:val="20"/>
              </w:rPr>
              <w:t xml:space="preserve">, 2015 CSC 2 et </w:t>
            </w:r>
            <w:r w:rsidRPr="00BE586A">
              <w:rPr>
                <w:i/>
                <w:sz w:val="20"/>
              </w:rPr>
              <w:t>Association de la police montée de l’Ontario c. Canada (Procureur général)</w:t>
            </w:r>
            <w:r w:rsidRPr="00BE586A">
              <w:rPr>
                <w:sz w:val="20"/>
              </w:rPr>
              <w:t>, 2015 CSC 1.</w:t>
            </w:r>
          </w:p>
          <w:p w:rsidR="00B56DD4" w:rsidRPr="00BE586A" w:rsidRDefault="00B56DD4" w:rsidP="00B56DD4">
            <w:pPr>
              <w:jc w:val="both"/>
              <w:rPr>
                <w:sz w:val="20"/>
              </w:rPr>
            </w:pPr>
          </w:p>
        </w:tc>
      </w:tr>
      <w:tr w:rsidR="00B56DD4" w:rsidRPr="00BE586A" w:rsidTr="007510BE">
        <w:tblPrEx>
          <w:tblCellMar>
            <w:bottom w:w="0" w:type="dxa"/>
          </w:tblCellMar>
        </w:tblPrEx>
        <w:tc>
          <w:tcPr>
            <w:tcW w:w="2390" w:type="pct"/>
            <w:gridSpan w:val="2"/>
          </w:tcPr>
          <w:p w:rsidR="00B56DD4" w:rsidRPr="00BE586A" w:rsidRDefault="00B56DD4" w:rsidP="00B56DD4">
            <w:pPr>
              <w:jc w:val="both"/>
              <w:rPr>
                <w:sz w:val="20"/>
              </w:rPr>
            </w:pPr>
            <w:r w:rsidRPr="00BE586A">
              <w:rPr>
                <w:sz w:val="20"/>
              </w:rPr>
              <w:t xml:space="preserve">Le 11 juillet 2012 </w:t>
            </w:r>
          </w:p>
          <w:p w:rsidR="00B56DD4" w:rsidRPr="00BE586A" w:rsidRDefault="00B56DD4" w:rsidP="00B56DD4">
            <w:pPr>
              <w:jc w:val="both"/>
              <w:rPr>
                <w:sz w:val="20"/>
              </w:rPr>
            </w:pPr>
            <w:r w:rsidRPr="00BE586A">
              <w:rPr>
                <w:sz w:val="20"/>
              </w:rPr>
              <w:t>(jugement rectifié émis le 10 août 2012)</w:t>
            </w:r>
          </w:p>
          <w:p w:rsidR="00B56DD4" w:rsidRPr="00BE586A" w:rsidRDefault="00B56DD4" w:rsidP="00B56DD4">
            <w:pPr>
              <w:jc w:val="both"/>
              <w:rPr>
                <w:sz w:val="20"/>
              </w:rPr>
            </w:pPr>
            <w:r w:rsidRPr="00BE586A">
              <w:rPr>
                <w:sz w:val="20"/>
              </w:rPr>
              <w:t>Cour supérieure du Québec</w:t>
            </w:r>
          </w:p>
          <w:p w:rsidR="00B56DD4" w:rsidRPr="00BE586A" w:rsidRDefault="00B56DD4" w:rsidP="00B56DD4">
            <w:pPr>
              <w:jc w:val="both"/>
              <w:rPr>
                <w:sz w:val="20"/>
              </w:rPr>
            </w:pPr>
            <w:r w:rsidRPr="00BE586A">
              <w:rPr>
                <w:sz w:val="20"/>
              </w:rPr>
              <w:t>(La juge Matteau)</w:t>
            </w:r>
          </w:p>
          <w:p w:rsidR="00B56DD4" w:rsidRPr="00BE586A" w:rsidRDefault="00004558" w:rsidP="00B56DD4">
            <w:pPr>
              <w:jc w:val="both"/>
              <w:rPr>
                <w:sz w:val="20"/>
              </w:rPr>
            </w:pPr>
            <w:hyperlink r:id="rId37" w:history="1">
              <w:r w:rsidR="00B56DD4" w:rsidRPr="00BE586A">
                <w:rPr>
                  <w:rStyle w:val="Hyperlink"/>
                  <w:sz w:val="20"/>
                </w:rPr>
                <w:t>2012 QCCS 3223</w:t>
              </w:r>
            </w:hyperlink>
          </w:p>
        </w:tc>
        <w:tc>
          <w:tcPr>
            <w:tcW w:w="270" w:type="pct"/>
          </w:tcPr>
          <w:p w:rsidR="00B56DD4" w:rsidRPr="00BE586A" w:rsidRDefault="00B56DD4" w:rsidP="00B56DD4">
            <w:pPr>
              <w:jc w:val="both"/>
              <w:rPr>
                <w:sz w:val="20"/>
              </w:rPr>
            </w:pPr>
          </w:p>
        </w:tc>
        <w:tc>
          <w:tcPr>
            <w:tcW w:w="2340" w:type="pct"/>
          </w:tcPr>
          <w:p w:rsidR="00B56DD4" w:rsidRPr="00BE586A" w:rsidRDefault="00B56DD4" w:rsidP="00B56DD4">
            <w:pPr>
              <w:jc w:val="both"/>
              <w:rPr>
                <w:sz w:val="20"/>
              </w:rPr>
            </w:pPr>
            <w:r w:rsidRPr="00BE586A">
              <w:rPr>
                <w:sz w:val="20"/>
              </w:rPr>
              <w:t xml:space="preserve">Requêtes introductive d’instance pour jugement déclaratoire, accueillies; Articles 16, 19, 21, 23, 24, 26, 27, 29, 56 et 57 de la </w:t>
            </w:r>
            <w:r w:rsidRPr="00BE586A">
              <w:rPr>
                <w:i/>
                <w:sz w:val="20"/>
              </w:rPr>
              <w:t>Loi visant à contrôler les dépenses du gouvernement du Canada à l’égard de l’emploi</w:t>
            </w:r>
            <w:r w:rsidRPr="00BE586A">
              <w:rPr>
                <w:sz w:val="20"/>
              </w:rPr>
              <w:t xml:space="preserve">, L.C. 2009, ch. 2, déclarés invalides, inapplicables constitutionnellement ou inopérants à l’égard du Syndicat et des membres des unités de négociation dont il représente; Articles 16, 19 et 26 de la Loi déclarés invalides, inapplicables constitutionnellement ou inopérants à l’égard de l’Association et des membres des unités de négociation dont elle représente </w:t>
            </w:r>
          </w:p>
          <w:p w:rsidR="00B56DD4" w:rsidRPr="00BE586A" w:rsidRDefault="00B56DD4" w:rsidP="00B56DD4">
            <w:pPr>
              <w:jc w:val="both"/>
              <w:rPr>
                <w:sz w:val="20"/>
              </w:rPr>
            </w:pPr>
          </w:p>
        </w:tc>
      </w:tr>
      <w:tr w:rsidR="00B56DD4" w:rsidRPr="00BE586A" w:rsidTr="007510BE">
        <w:tblPrEx>
          <w:tblCellMar>
            <w:bottom w:w="0" w:type="dxa"/>
          </w:tblCellMar>
        </w:tblPrEx>
        <w:tc>
          <w:tcPr>
            <w:tcW w:w="2390" w:type="pct"/>
            <w:gridSpan w:val="2"/>
          </w:tcPr>
          <w:p w:rsidR="00B56DD4" w:rsidRPr="00BE586A" w:rsidRDefault="00B56DD4" w:rsidP="00B56DD4">
            <w:pPr>
              <w:jc w:val="both"/>
              <w:rPr>
                <w:sz w:val="20"/>
              </w:rPr>
            </w:pPr>
            <w:r w:rsidRPr="00BE586A">
              <w:rPr>
                <w:sz w:val="20"/>
              </w:rPr>
              <w:t>Le 27 mai 2014</w:t>
            </w:r>
          </w:p>
          <w:p w:rsidR="00B56DD4" w:rsidRPr="00BE586A" w:rsidRDefault="00B56DD4" w:rsidP="00B56DD4">
            <w:pPr>
              <w:jc w:val="both"/>
              <w:rPr>
                <w:sz w:val="20"/>
              </w:rPr>
            </w:pPr>
            <w:r w:rsidRPr="00BE586A">
              <w:rPr>
                <w:sz w:val="20"/>
              </w:rPr>
              <w:t>Cour d’appel du Québec (Montréal)</w:t>
            </w:r>
          </w:p>
          <w:p w:rsidR="00B56DD4" w:rsidRPr="00BE586A" w:rsidRDefault="00B56DD4" w:rsidP="00B56DD4">
            <w:pPr>
              <w:jc w:val="both"/>
              <w:rPr>
                <w:sz w:val="20"/>
              </w:rPr>
            </w:pPr>
            <w:r w:rsidRPr="00BE586A">
              <w:rPr>
                <w:sz w:val="20"/>
              </w:rPr>
              <w:t xml:space="preserve">(Les </w:t>
            </w:r>
            <w:proofErr w:type="spellStart"/>
            <w:r w:rsidRPr="00BE586A">
              <w:rPr>
                <w:sz w:val="20"/>
              </w:rPr>
              <w:t>juges</w:t>
            </w:r>
            <w:proofErr w:type="spellEnd"/>
            <w:r w:rsidRPr="00BE586A">
              <w:rPr>
                <w:sz w:val="20"/>
              </w:rPr>
              <w:t xml:space="preserve"> </w:t>
            </w:r>
            <w:proofErr w:type="spellStart"/>
            <w:r w:rsidRPr="00BE586A">
              <w:rPr>
                <w:sz w:val="20"/>
              </w:rPr>
              <w:t>Dalphond</w:t>
            </w:r>
            <w:proofErr w:type="spellEnd"/>
            <w:r w:rsidRPr="00BE586A">
              <w:rPr>
                <w:sz w:val="20"/>
              </w:rPr>
              <w:t>, Lévesque et Savard)</w:t>
            </w:r>
          </w:p>
          <w:p w:rsidR="00B56DD4" w:rsidRPr="00BE586A" w:rsidRDefault="00004558" w:rsidP="00B56DD4">
            <w:pPr>
              <w:jc w:val="both"/>
              <w:rPr>
                <w:sz w:val="20"/>
              </w:rPr>
            </w:pPr>
            <w:hyperlink r:id="rId38" w:history="1">
              <w:r w:rsidR="00B56DD4" w:rsidRPr="00BE586A">
                <w:rPr>
                  <w:rStyle w:val="Hyperlink"/>
                  <w:sz w:val="20"/>
                </w:rPr>
                <w:t>2014 QCCA 1068</w:t>
              </w:r>
            </w:hyperlink>
          </w:p>
          <w:p w:rsidR="00B56DD4" w:rsidRPr="00BE586A" w:rsidRDefault="00B56DD4" w:rsidP="00B56DD4">
            <w:pPr>
              <w:jc w:val="both"/>
              <w:rPr>
                <w:sz w:val="20"/>
              </w:rPr>
            </w:pPr>
          </w:p>
        </w:tc>
        <w:tc>
          <w:tcPr>
            <w:tcW w:w="270" w:type="pct"/>
          </w:tcPr>
          <w:p w:rsidR="00B56DD4" w:rsidRPr="00BE586A" w:rsidRDefault="00B56DD4" w:rsidP="00B56DD4">
            <w:pPr>
              <w:jc w:val="both"/>
              <w:rPr>
                <w:sz w:val="20"/>
              </w:rPr>
            </w:pPr>
          </w:p>
        </w:tc>
        <w:tc>
          <w:tcPr>
            <w:tcW w:w="2340" w:type="pct"/>
          </w:tcPr>
          <w:p w:rsidR="00B56DD4" w:rsidRPr="00BE586A" w:rsidRDefault="00B56DD4" w:rsidP="00B56DD4">
            <w:pPr>
              <w:jc w:val="both"/>
              <w:rPr>
                <w:sz w:val="20"/>
              </w:rPr>
            </w:pPr>
            <w:r w:rsidRPr="00BE586A">
              <w:rPr>
                <w:sz w:val="20"/>
              </w:rPr>
              <w:t xml:space="preserve">Appel accueilli; requêtes en jugement déclaratoire, rejetées </w:t>
            </w:r>
          </w:p>
          <w:p w:rsidR="00B56DD4" w:rsidRPr="00BE586A" w:rsidRDefault="00B56DD4" w:rsidP="00B56DD4">
            <w:pPr>
              <w:jc w:val="both"/>
              <w:rPr>
                <w:sz w:val="20"/>
              </w:rPr>
            </w:pPr>
          </w:p>
        </w:tc>
      </w:tr>
      <w:tr w:rsidR="00B56DD4" w:rsidRPr="00BE586A" w:rsidTr="007510BE">
        <w:tblPrEx>
          <w:tblCellMar>
            <w:bottom w:w="0" w:type="dxa"/>
          </w:tblCellMar>
        </w:tblPrEx>
        <w:tc>
          <w:tcPr>
            <w:tcW w:w="2390" w:type="pct"/>
            <w:gridSpan w:val="2"/>
          </w:tcPr>
          <w:p w:rsidR="00B56DD4" w:rsidRPr="00BE586A" w:rsidRDefault="00B56DD4" w:rsidP="00B56DD4">
            <w:pPr>
              <w:jc w:val="both"/>
              <w:rPr>
                <w:sz w:val="20"/>
              </w:rPr>
            </w:pPr>
            <w:r w:rsidRPr="00BE586A">
              <w:rPr>
                <w:sz w:val="20"/>
              </w:rPr>
              <w:t>Le 29 janvier 2015</w:t>
            </w:r>
          </w:p>
          <w:p w:rsidR="00B56DD4" w:rsidRPr="00BE586A" w:rsidRDefault="00B56DD4" w:rsidP="00B56DD4">
            <w:pPr>
              <w:jc w:val="both"/>
              <w:rPr>
                <w:sz w:val="20"/>
              </w:rPr>
            </w:pPr>
            <w:r w:rsidRPr="00BE586A">
              <w:rPr>
                <w:sz w:val="20"/>
              </w:rPr>
              <w:t>Cour suprême du Canada</w:t>
            </w:r>
          </w:p>
          <w:p w:rsidR="00B56DD4" w:rsidRPr="00BE586A" w:rsidRDefault="00B56DD4" w:rsidP="00B56DD4">
            <w:pPr>
              <w:jc w:val="both"/>
              <w:rPr>
                <w:sz w:val="20"/>
              </w:rPr>
            </w:pPr>
          </w:p>
        </w:tc>
        <w:tc>
          <w:tcPr>
            <w:tcW w:w="270" w:type="pct"/>
          </w:tcPr>
          <w:p w:rsidR="00B56DD4" w:rsidRPr="00BE586A" w:rsidRDefault="00B56DD4" w:rsidP="00B56DD4">
            <w:pPr>
              <w:jc w:val="both"/>
              <w:rPr>
                <w:sz w:val="20"/>
              </w:rPr>
            </w:pPr>
          </w:p>
        </w:tc>
        <w:tc>
          <w:tcPr>
            <w:tcW w:w="2340" w:type="pct"/>
          </w:tcPr>
          <w:p w:rsidR="00B56DD4" w:rsidRPr="00BE586A" w:rsidRDefault="00B56DD4" w:rsidP="00B56DD4">
            <w:pPr>
              <w:jc w:val="both"/>
              <w:rPr>
                <w:sz w:val="20"/>
              </w:rPr>
            </w:pPr>
            <w:r w:rsidRPr="00BE586A">
              <w:rPr>
                <w:sz w:val="20"/>
              </w:rPr>
              <w:t xml:space="preserve">Affaire renvoyée devant la Cour d’appel du Québec en vertu du paragraphe 43(1.1) de la </w:t>
            </w:r>
            <w:r w:rsidRPr="00BE586A">
              <w:rPr>
                <w:i/>
                <w:sz w:val="20"/>
              </w:rPr>
              <w:t>Loi sur la Cour suprême</w:t>
            </w:r>
            <w:r w:rsidRPr="00BE586A">
              <w:rPr>
                <w:sz w:val="20"/>
              </w:rPr>
              <w:t xml:space="preserve"> </w:t>
            </w:r>
          </w:p>
          <w:p w:rsidR="00B56DD4" w:rsidRPr="00BE586A" w:rsidRDefault="00B56DD4" w:rsidP="00B56DD4">
            <w:pPr>
              <w:jc w:val="both"/>
              <w:rPr>
                <w:sz w:val="20"/>
              </w:rPr>
            </w:pPr>
          </w:p>
        </w:tc>
      </w:tr>
      <w:tr w:rsidR="00B56DD4" w:rsidRPr="00BE586A" w:rsidTr="007510BE">
        <w:tblPrEx>
          <w:tblCellMar>
            <w:bottom w:w="0" w:type="dxa"/>
          </w:tblCellMar>
        </w:tblPrEx>
        <w:tc>
          <w:tcPr>
            <w:tcW w:w="2390" w:type="pct"/>
            <w:gridSpan w:val="2"/>
          </w:tcPr>
          <w:p w:rsidR="00B56DD4" w:rsidRPr="00BE586A" w:rsidRDefault="00B56DD4" w:rsidP="00B56DD4">
            <w:pPr>
              <w:jc w:val="both"/>
              <w:rPr>
                <w:sz w:val="20"/>
              </w:rPr>
            </w:pPr>
            <w:r w:rsidRPr="00BE586A">
              <w:rPr>
                <w:sz w:val="20"/>
              </w:rPr>
              <w:t>Le 2 février 2016</w:t>
            </w:r>
          </w:p>
          <w:p w:rsidR="00B56DD4" w:rsidRPr="00BE586A" w:rsidRDefault="00B56DD4" w:rsidP="00B56DD4">
            <w:pPr>
              <w:jc w:val="both"/>
              <w:rPr>
                <w:sz w:val="20"/>
              </w:rPr>
            </w:pPr>
            <w:r w:rsidRPr="00BE586A">
              <w:rPr>
                <w:sz w:val="20"/>
              </w:rPr>
              <w:t>Cour d’appel du Québec (Montréal)</w:t>
            </w:r>
          </w:p>
          <w:p w:rsidR="00B56DD4" w:rsidRPr="00BE586A" w:rsidRDefault="00B56DD4" w:rsidP="00B56DD4">
            <w:pPr>
              <w:jc w:val="both"/>
              <w:rPr>
                <w:sz w:val="20"/>
              </w:rPr>
            </w:pPr>
            <w:r w:rsidRPr="00BE586A">
              <w:rPr>
                <w:sz w:val="20"/>
              </w:rPr>
              <w:t xml:space="preserve">(Les </w:t>
            </w:r>
            <w:proofErr w:type="spellStart"/>
            <w:r w:rsidRPr="00BE586A">
              <w:rPr>
                <w:sz w:val="20"/>
              </w:rPr>
              <w:t>juges</w:t>
            </w:r>
            <w:proofErr w:type="spellEnd"/>
            <w:r w:rsidRPr="00BE586A">
              <w:rPr>
                <w:sz w:val="20"/>
              </w:rPr>
              <w:t xml:space="preserve"> </w:t>
            </w:r>
            <w:proofErr w:type="spellStart"/>
            <w:r w:rsidRPr="00BE586A">
              <w:rPr>
                <w:sz w:val="20"/>
              </w:rPr>
              <w:t>Hesler</w:t>
            </w:r>
            <w:proofErr w:type="spellEnd"/>
            <w:r w:rsidRPr="00BE586A">
              <w:rPr>
                <w:sz w:val="20"/>
              </w:rPr>
              <w:t xml:space="preserve">, </w:t>
            </w:r>
            <w:proofErr w:type="spellStart"/>
            <w:r w:rsidRPr="00BE586A">
              <w:rPr>
                <w:sz w:val="20"/>
              </w:rPr>
              <w:t>Morissette</w:t>
            </w:r>
            <w:proofErr w:type="spellEnd"/>
            <w:r w:rsidRPr="00BE586A">
              <w:rPr>
                <w:sz w:val="20"/>
              </w:rPr>
              <w:t xml:space="preserve"> et </w:t>
            </w:r>
            <w:proofErr w:type="spellStart"/>
            <w:r w:rsidRPr="00BE586A">
              <w:rPr>
                <w:sz w:val="20"/>
              </w:rPr>
              <w:t>Bich</w:t>
            </w:r>
            <w:proofErr w:type="spellEnd"/>
            <w:r w:rsidRPr="00BE586A">
              <w:rPr>
                <w:sz w:val="20"/>
              </w:rPr>
              <w:t>)</w:t>
            </w:r>
          </w:p>
          <w:p w:rsidR="00B56DD4" w:rsidRPr="00BE586A" w:rsidRDefault="00004558" w:rsidP="00B56DD4">
            <w:pPr>
              <w:jc w:val="both"/>
              <w:rPr>
                <w:sz w:val="20"/>
              </w:rPr>
            </w:pPr>
            <w:hyperlink r:id="rId39" w:history="1">
              <w:r w:rsidR="00B56DD4" w:rsidRPr="00BE586A">
                <w:rPr>
                  <w:rStyle w:val="Hyperlink"/>
                  <w:sz w:val="20"/>
                </w:rPr>
                <w:t>2016 QCCA 163</w:t>
              </w:r>
            </w:hyperlink>
          </w:p>
          <w:p w:rsidR="00B56DD4" w:rsidRPr="00BE586A" w:rsidRDefault="00B56DD4" w:rsidP="00B56DD4">
            <w:pPr>
              <w:jc w:val="both"/>
              <w:rPr>
                <w:sz w:val="20"/>
              </w:rPr>
            </w:pPr>
          </w:p>
        </w:tc>
        <w:tc>
          <w:tcPr>
            <w:tcW w:w="270" w:type="pct"/>
          </w:tcPr>
          <w:p w:rsidR="00B56DD4" w:rsidRPr="00BE586A" w:rsidRDefault="00B56DD4" w:rsidP="00B56DD4">
            <w:pPr>
              <w:jc w:val="both"/>
              <w:rPr>
                <w:sz w:val="20"/>
              </w:rPr>
            </w:pPr>
          </w:p>
        </w:tc>
        <w:tc>
          <w:tcPr>
            <w:tcW w:w="2340" w:type="pct"/>
          </w:tcPr>
          <w:p w:rsidR="00B56DD4" w:rsidRPr="00BE586A" w:rsidRDefault="00B56DD4" w:rsidP="00B56DD4">
            <w:pPr>
              <w:jc w:val="both"/>
              <w:rPr>
                <w:sz w:val="20"/>
              </w:rPr>
            </w:pPr>
            <w:r w:rsidRPr="00BE586A">
              <w:rPr>
                <w:sz w:val="20"/>
              </w:rPr>
              <w:t>Appel accueilli; requêtes introductives d'instance rejetées</w:t>
            </w:r>
          </w:p>
          <w:p w:rsidR="00B56DD4" w:rsidRPr="00BE586A" w:rsidRDefault="00B56DD4" w:rsidP="00B56DD4">
            <w:pPr>
              <w:jc w:val="both"/>
              <w:rPr>
                <w:sz w:val="20"/>
              </w:rPr>
            </w:pPr>
          </w:p>
        </w:tc>
      </w:tr>
      <w:tr w:rsidR="00B56DD4" w:rsidRPr="00BE586A" w:rsidTr="007510BE">
        <w:tblPrEx>
          <w:tblCellMar>
            <w:bottom w:w="0" w:type="dxa"/>
          </w:tblCellMar>
        </w:tblPrEx>
        <w:tc>
          <w:tcPr>
            <w:tcW w:w="2390" w:type="pct"/>
            <w:gridSpan w:val="2"/>
          </w:tcPr>
          <w:p w:rsidR="00B56DD4" w:rsidRPr="00BE586A" w:rsidRDefault="00B56DD4" w:rsidP="00B56DD4">
            <w:pPr>
              <w:jc w:val="both"/>
              <w:rPr>
                <w:sz w:val="20"/>
              </w:rPr>
            </w:pPr>
            <w:r w:rsidRPr="00BE586A">
              <w:rPr>
                <w:sz w:val="20"/>
              </w:rPr>
              <w:t>Le 29 mars 2016</w:t>
            </w:r>
          </w:p>
          <w:p w:rsidR="00B56DD4" w:rsidRPr="00BE586A" w:rsidRDefault="00B56DD4" w:rsidP="00B56DD4">
            <w:pPr>
              <w:jc w:val="both"/>
              <w:rPr>
                <w:sz w:val="20"/>
              </w:rPr>
            </w:pPr>
            <w:r w:rsidRPr="00BE586A">
              <w:rPr>
                <w:sz w:val="20"/>
              </w:rPr>
              <w:t>Cour suprême du Canada</w:t>
            </w:r>
          </w:p>
        </w:tc>
        <w:tc>
          <w:tcPr>
            <w:tcW w:w="270" w:type="pct"/>
          </w:tcPr>
          <w:p w:rsidR="00B56DD4" w:rsidRPr="00BE586A" w:rsidRDefault="00B56DD4" w:rsidP="00B56DD4">
            <w:pPr>
              <w:jc w:val="both"/>
              <w:rPr>
                <w:sz w:val="20"/>
              </w:rPr>
            </w:pPr>
          </w:p>
        </w:tc>
        <w:tc>
          <w:tcPr>
            <w:tcW w:w="2340" w:type="pct"/>
          </w:tcPr>
          <w:p w:rsidR="00B56DD4" w:rsidRPr="00BE586A" w:rsidRDefault="00B56DD4" w:rsidP="00B56DD4">
            <w:pPr>
              <w:jc w:val="both"/>
              <w:rPr>
                <w:sz w:val="20"/>
              </w:rPr>
            </w:pPr>
            <w:r w:rsidRPr="00BE586A">
              <w:rPr>
                <w:sz w:val="20"/>
              </w:rPr>
              <w:t>Demande d'autorisation d'appel déposée</w:t>
            </w:r>
          </w:p>
          <w:p w:rsidR="00B56DD4" w:rsidRPr="00BE586A" w:rsidRDefault="00B56DD4" w:rsidP="00B56DD4">
            <w:pPr>
              <w:jc w:val="both"/>
              <w:rPr>
                <w:sz w:val="20"/>
              </w:rPr>
            </w:pPr>
          </w:p>
        </w:tc>
      </w:tr>
    </w:tbl>
    <w:p w:rsidR="00E61777" w:rsidRPr="00BE586A" w:rsidRDefault="00E61777" w:rsidP="008106E3">
      <w:pPr>
        <w:widowControl w:val="0"/>
        <w:autoSpaceDE w:val="0"/>
        <w:autoSpaceDN w:val="0"/>
        <w:adjustRightInd w:val="0"/>
        <w:ind w:left="360" w:hanging="360"/>
        <w:rPr>
          <w:rFonts w:eastAsiaTheme="minorEastAsia"/>
          <w:sz w:val="20"/>
          <w:lang w:val="en-CA" w:eastAsia="en-CA"/>
        </w:rPr>
      </w:pPr>
    </w:p>
    <w:p w:rsidR="00E61777" w:rsidRPr="00BE586A" w:rsidRDefault="00E61777" w:rsidP="008106E3">
      <w:pPr>
        <w:widowControl w:val="0"/>
        <w:autoSpaceDE w:val="0"/>
        <w:autoSpaceDN w:val="0"/>
        <w:adjustRightInd w:val="0"/>
        <w:ind w:left="360" w:hanging="360"/>
        <w:rPr>
          <w:rFonts w:eastAsiaTheme="minorEastAsia"/>
          <w:sz w:val="20"/>
          <w:lang w:val="en-CA" w:eastAsia="en-CA"/>
        </w:rPr>
      </w:pPr>
    </w:p>
    <w:p w:rsidR="006F2855" w:rsidRPr="00BE586A" w:rsidRDefault="006F2855" w:rsidP="009A5F3F">
      <w:pPr>
        <w:widowControl w:val="0"/>
        <w:autoSpaceDE w:val="0"/>
        <w:autoSpaceDN w:val="0"/>
        <w:adjustRightInd w:val="0"/>
        <w:ind w:left="360" w:hanging="360"/>
        <w:rPr>
          <w:rFonts w:eastAsiaTheme="minorEastAsia"/>
          <w:sz w:val="20"/>
          <w:lang w:val="fr-CA" w:eastAsia="en-CA"/>
        </w:rPr>
      </w:pPr>
    </w:p>
    <w:p w:rsidR="00D3344A" w:rsidRPr="00BE586A" w:rsidRDefault="00D3344A" w:rsidP="00D3344A">
      <w:pPr>
        <w:widowControl w:val="0"/>
        <w:outlineLvl w:val="0"/>
      </w:pPr>
      <w:r w:rsidRPr="00BE586A">
        <w:t>Supreme Court of Canada / Cour suprême du Canad</w:t>
      </w:r>
      <w:r w:rsidR="00EE289F" w:rsidRPr="00BE586A">
        <w:t>a</w:t>
      </w:r>
      <w:r w:rsidRPr="00BE586A">
        <w:t xml:space="preserve"> : </w:t>
      </w:r>
    </w:p>
    <w:p w:rsidR="00D3344A" w:rsidRPr="00BE586A" w:rsidRDefault="00004558" w:rsidP="00D3344A">
      <w:pPr>
        <w:widowControl w:val="0"/>
        <w:outlineLvl w:val="0"/>
        <w:rPr>
          <w:u w:val="single"/>
        </w:rPr>
      </w:pPr>
      <w:hyperlink r:id="rId40" w:history="1">
        <w:r w:rsidR="00D3344A" w:rsidRPr="00BE586A">
          <w:rPr>
            <w:rStyle w:val="Hyperlink"/>
          </w:rPr>
          <w:t>comments-commentaires@scc-csc.ca</w:t>
        </w:r>
      </w:hyperlink>
    </w:p>
    <w:p w:rsidR="00D3344A" w:rsidRPr="00BE586A" w:rsidRDefault="0065588C" w:rsidP="00D3344A">
      <w:pPr>
        <w:widowControl w:val="0"/>
        <w:outlineLvl w:val="0"/>
      </w:pPr>
      <w:r w:rsidRPr="00BE586A">
        <w:t>613-</w:t>
      </w:r>
      <w:r w:rsidR="00D3344A" w:rsidRPr="00BE586A">
        <w:t>995-4330</w:t>
      </w:r>
    </w:p>
    <w:p w:rsidR="00497B5E" w:rsidRPr="00BE586A" w:rsidRDefault="00497B5E" w:rsidP="00497B5E">
      <w:pPr>
        <w:widowControl w:val="0"/>
        <w:rPr>
          <w:sz w:val="20"/>
        </w:rPr>
      </w:pPr>
    </w:p>
    <w:p w:rsidR="00F6251B" w:rsidRPr="004C279B" w:rsidRDefault="003F43E6" w:rsidP="00F6251B">
      <w:pPr>
        <w:pStyle w:val="Footer"/>
        <w:jc w:val="center"/>
      </w:pPr>
      <w:r w:rsidRPr="00BE586A">
        <w:t>- 30 -</w:t>
      </w:r>
    </w:p>
    <w:p w:rsidR="00F6251B" w:rsidRPr="004C279B" w:rsidRDefault="00F6251B" w:rsidP="00F6251B">
      <w:pPr>
        <w:pStyle w:val="Footer"/>
        <w:jc w:val="center"/>
      </w:pPr>
    </w:p>
    <w:p w:rsidR="00F6251B" w:rsidRPr="004C279B" w:rsidRDefault="00F6251B" w:rsidP="00F6251B">
      <w:pPr>
        <w:pStyle w:val="Footer"/>
        <w:jc w:val="center"/>
      </w:pPr>
    </w:p>
    <w:sectPr w:rsidR="00F6251B" w:rsidRPr="004C279B" w:rsidSect="00524822">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B9"/>
    <w:multiLevelType w:val="hybridMultilevel"/>
    <w:tmpl w:val="FD566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F42C3"/>
    <w:multiLevelType w:val="hybridMultilevel"/>
    <w:tmpl w:val="24C27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B7018C"/>
    <w:multiLevelType w:val="hybridMultilevel"/>
    <w:tmpl w:val="547A5F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594515"/>
    <w:multiLevelType w:val="hybridMultilevel"/>
    <w:tmpl w:val="544ECE44"/>
    <w:lvl w:ilvl="0" w:tplc="F6C231E4">
      <w:start w:val="8"/>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597F70"/>
    <w:multiLevelType w:val="hybridMultilevel"/>
    <w:tmpl w:val="D4A2E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174208"/>
    <w:multiLevelType w:val="hybridMultilevel"/>
    <w:tmpl w:val="F0F2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701378"/>
    <w:multiLevelType w:val="hybridMultilevel"/>
    <w:tmpl w:val="737482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1A22947"/>
    <w:multiLevelType w:val="hybridMultilevel"/>
    <w:tmpl w:val="A526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36959A9"/>
    <w:multiLevelType w:val="hybridMultilevel"/>
    <w:tmpl w:val="17E0331E"/>
    <w:lvl w:ilvl="0" w:tplc="8458C2D0">
      <w:start w:val="1"/>
      <w:numFmt w:val="decimal"/>
      <w:lvlText w:val="%1."/>
      <w:lvlJc w:val="left"/>
      <w:pPr>
        <w:ind w:left="810" w:hanging="360"/>
      </w:pPr>
      <w:rPr>
        <w:rFonts w:hint="default"/>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1" w15:restartNumberingAfterBreak="0">
    <w:nsid w:val="139F00CE"/>
    <w:multiLevelType w:val="hybridMultilevel"/>
    <w:tmpl w:val="0D70BFA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19186A47"/>
    <w:multiLevelType w:val="hybridMultilevel"/>
    <w:tmpl w:val="FF306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910D47"/>
    <w:multiLevelType w:val="hybridMultilevel"/>
    <w:tmpl w:val="E91EC39C"/>
    <w:lvl w:ilvl="0" w:tplc="09EE625C">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5A6CDF"/>
    <w:multiLevelType w:val="hybridMultilevel"/>
    <w:tmpl w:val="DDC0BEAE"/>
    <w:lvl w:ilvl="0" w:tplc="0A4A138C">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2A4732EE"/>
    <w:multiLevelType w:val="hybridMultilevel"/>
    <w:tmpl w:val="10224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B80F73"/>
    <w:multiLevelType w:val="hybridMultilevel"/>
    <w:tmpl w:val="24645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367A37C6"/>
    <w:multiLevelType w:val="hybridMultilevel"/>
    <w:tmpl w:val="E8B02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3BA84D01"/>
    <w:multiLevelType w:val="hybridMultilevel"/>
    <w:tmpl w:val="592E8F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18D75DE"/>
    <w:multiLevelType w:val="hybridMultilevel"/>
    <w:tmpl w:val="0964C2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41EC40BE"/>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92F57B8"/>
    <w:multiLevelType w:val="hybridMultilevel"/>
    <w:tmpl w:val="D2DE1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A055700"/>
    <w:multiLevelType w:val="hybridMultilevel"/>
    <w:tmpl w:val="C472D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CF460C4"/>
    <w:multiLevelType w:val="hybridMultilevel"/>
    <w:tmpl w:val="B180FA5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08831F9"/>
    <w:multiLevelType w:val="hybridMultilevel"/>
    <w:tmpl w:val="4D08AF68"/>
    <w:lvl w:ilvl="0" w:tplc="67BE5CDE">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1766C72"/>
    <w:multiLevelType w:val="hybridMultilevel"/>
    <w:tmpl w:val="35FC97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4E92A52"/>
    <w:multiLevelType w:val="hybridMultilevel"/>
    <w:tmpl w:val="0A78F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75066CB"/>
    <w:multiLevelType w:val="hybridMultilevel"/>
    <w:tmpl w:val="1EFAB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85D2BB0"/>
    <w:multiLevelType w:val="hybridMultilevel"/>
    <w:tmpl w:val="5E2E83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5CB6CE5"/>
    <w:multiLevelType w:val="hybridMultilevel"/>
    <w:tmpl w:val="AA202E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67C7B5D"/>
    <w:multiLevelType w:val="hybridMultilevel"/>
    <w:tmpl w:val="015219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6A646A8"/>
    <w:multiLevelType w:val="hybridMultilevel"/>
    <w:tmpl w:val="3F76F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7347B97"/>
    <w:multiLevelType w:val="hybridMultilevel"/>
    <w:tmpl w:val="462C5F40"/>
    <w:lvl w:ilvl="0" w:tplc="928817F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8C81D97"/>
    <w:multiLevelType w:val="hybridMultilevel"/>
    <w:tmpl w:val="9872B39A"/>
    <w:lvl w:ilvl="0" w:tplc="D6FABEE2">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2" w15:restartNumberingAfterBreak="0">
    <w:nsid w:val="6B834807"/>
    <w:multiLevelType w:val="hybridMultilevel"/>
    <w:tmpl w:val="9AFA16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2A97EC7"/>
    <w:multiLevelType w:val="hybridMultilevel"/>
    <w:tmpl w:val="A40E1E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481419C"/>
    <w:multiLevelType w:val="hybridMultilevel"/>
    <w:tmpl w:val="77965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4F34E2B"/>
    <w:multiLevelType w:val="hybridMultilevel"/>
    <w:tmpl w:val="DEFE3E3A"/>
    <w:lvl w:ilvl="0" w:tplc="92928C0C">
      <w:start w:val="3"/>
      <w:numFmt w:val="decimal"/>
      <w:lvlText w:val="%1."/>
      <w:lvlJc w:val="left"/>
      <w:pPr>
        <w:ind w:left="810" w:hanging="360"/>
      </w:pPr>
      <w:rPr>
        <w:rFonts w:hint="default"/>
        <w:b w:val="0"/>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46" w15:restartNumberingAfterBreak="0">
    <w:nsid w:val="7E932A83"/>
    <w:multiLevelType w:val="hybridMultilevel"/>
    <w:tmpl w:val="58C4E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F813DD0"/>
    <w:multiLevelType w:val="hybridMultilevel"/>
    <w:tmpl w:val="AE686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9" w15:restartNumberingAfterBreak="0">
    <w:nsid w:val="7FD02557"/>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4"/>
  </w:num>
  <w:num w:numId="2">
    <w:abstractNumId w:val="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0"/>
  </w:num>
  <w:num w:numId="13">
    <w:abstractNumId w:val="39"/>
  </w:num>
  <w:num w:numId="14">
    <w:abstractNumId w:val="4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4"/>
  </w:num>
  <w:num w:numId="18">
    <w:abstractNumId w:val="3"/>
  </w:num>
  <w:num w:numId="19">
    <w:abstractNumId w:val="33"/>
  </w:num>
  <w:num w:numId="20">
    <w:abstractNumId w:val="27"/>
  </w:num>
  <w:num w:numId="21">
    <w:abstractNumId w:val="38"/>
  </w:num>
  <w:num w:numId="22">
    <w:abstractNumId w:val="0"/>
  </w:num>
  <w:num w:numId="23">
    <w:abstractNumId w:val="47"/>
  </w:num>
  <w:num w:numId="24">
    <w:abstractNumId w:val="19"/>
  </w:num>
  <w:num w:numId="25">
    <w:abstractNumId w:val="1"/>
  </w:num>
  <w:num w:numId="26">
    <w:abstractNumId w:val="23"/>
  </w:num>
  <w:num w:numId="27">
    <w:abstractNumId w:val="49"/>
  </w:num>
  <w:num w:numId="28">
    <w:abstractNumId w:val="32"/>
  </w:num>
  <w:num w:numId="29">
    <w:abstractNumId w:val="45"/>
  </w:num>
  <w:num w:numId="30">
    <w:abstractNumId w:val="35"/>
  </w:num>
  <w:num w:numId="31">
    <w:abstractNumId w:val="24"/>
  </w:num>
  <w:num w:numId="32">
    <w:abstractNumId w:val="8"/>
  </w:num>
  <w:num w:numId="33">
    <w:abstractNumId w:val="2"/>
  </w:num>
  <w:num w:numId="34">
    <w:abstractNumId w:val="46"/>
  </w:num>
  <w:num w:numId="35">
    <w:abstractNumId w:val="43"/>
  </w:num>
  <w:num w:numId="36">
    <w:abstractNumId w:val="10"/>
  </w:num>
  <w:num w:numId="37">
    <w:abstractNumId w:val="5"/>
  </w:num>
  <w:num w:numId="38">
    <w:abstractNumId w:val="13"/>
  </w:num>
  <w:num w:numId="39">
    <w:abstractNumId w:val="31"/>
  </w:num>
  <w:num w:numId="40">
    <w:abstractNumId w:val="28"/>
  </w:num>
  <w:num w:numId="41">
    <w:abstractNumId w:val="21"/>
  </w:num>
  <w:num w:numId="42">
    <w:abstractNumId w:val="18"/>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42"/>
  </w:num>
  <w:num w:numId="46">
    <w:abstractNumId w:val="44"/>
  </w:num>
  <w:num w:numId="47">
    <w:abstractNumId w:val="26"/>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4558"/>
    <w:rsid w:val="00006868"/>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32E02"/>
    <w:rsid w:val="00033257"/>
    <w:rsid w:val="00033935"/>
    <w:rsid w:val="00033D1E"/>
    <w:rsid w:val="00033D28"/>
    <w:rsid w:val="0003496D"/>
    <w:rsid w:val="00034A7F"/>
    <w:rsid w:val="00035790"/>
    <w:rsid w:val="000368C3"/>
    <w:rsid w:val="00041B58"/>
    <w:rsid w:val="00042069"/>
    <w:rsid w:val="00042390"/>
    <w:rsid w:val="0004298B"/>
    <w:rsid w:val="00043FDE"/>
    <w:rsid w:val="000467DE"/>
    <w:rsid w:val="00046CB2"/>
    <w:rsid w:val="00047188"/>
    <w:rsid w:val="00047CD6"/>
    <w:rsid w:val="00051DE6"/>
    <w:rsid w:val="00054F8E"/>
    <w:rsid w:val="000577D9"/>
    <w:rsid w:val="00060B62"/>
    <w:rsid w:val="00061283"/>
    <w:rsid w:val="000627A2"/>
    <w:rsid w:val="000629D7"/>
    <w:rsid w:val="0006417A"/>
    <w:rsid w:val="00065F8F"/>
    <w:rsid w:val="0006649C"/>
    <w:rsid w:val="00066B80"/>
    <w:rsid w:val="00067F50"/>
    <w:rsid w:val="00070830"/>
    <w:rsid w:val="00077E16"/>
    <w:rsid w:val="000809B3"/>
    <w:rsid w:val="00080EAB"/>
    <w:rsid w:val="00082444"/>
    <w:rsid w:val="000825A5"/>
    <w:rsid w:val="00082D8D"/>
    <w:rsid w:val="00083162"/>
    <w:rsid w:val="0008327A"/>
    <w:rsid w:val="000841F9"/>
    <w:rsid w:val="000843DB"/>
    <w:rsid w:val="000845AF"/>
    <w:rsid w:val="00085D13"/>
    <w:rsid w:val="00086629"/>
    <w:rsid w:val="00087808"/>
    <w:rsid w:val="000879BA"/>
    <w:rsid w:val="00093693"/>
    <w:rsid w:val="00095627"/>
    <w:rsid w:val="000975EC"/>
    <w:rsid w:val="000A0444"/>
    <w:rsid w:val="000A0472"/>
    <w:rsid w:val="000A152E"/>
    <w:rsid w:val="000A20B0"/>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3667"/>
    <w:rsid w:val="000C41A6"/>
    <w:rsid w:val="000C41C9"/>
    <w:rsid w:val="000C4781"/>
    <w:rsid w:val="000C572E"/>
    <w:rsid w:val="000C61C7"/>
    <w:rsid w:val="000C6AA2"/>
    <w:rsid w:val="000C6C97"/>
    <w:rsid w:val="000C7BD5"/>
    <w:rsid w:val="000D1DDF"/>
    <w:rsid w:val="000D262B"/>
    <w:rsid w:val="000D2CE6"/>
    <w:rsid w:val="000D2F5C"/>
    <w:rsid w:val="000D3129"/>
    <w:rsid w:val="000D4BBF"/>
    <w:rsid w:val="000D6FB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5CF1"/>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5A54"/>
    <w:rsid w:val="00136710"/>
    <w:rsid w:val="00140982"/>
    <w:rsid w:val="00141200"/>
    <w:rsid w:val="00141591"/>
    <w:rsid w:val="0014243F"/>
    <w:rsid w:val="0014294E"/>
    <w:rsid w:val="00142C72"/>
    <w:rsid w:val="001432DF"/>
    <w:rsid w:val="00143447"/>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4D90"/>
    <w:rsid w:val="0017656E"/>
    <w:rsid w:val="00176790"/>
    <w:rsid w:val="00176D8B"/>
    <w:rsid w:val="00181375"/>
    <w:rsid w:val="001813C3"/>
    <w:rsid w:val="001819DA"/>
    <w:rsid w:val="00182705"/>
    <w:rsid w:val="001838E0"/>
    <w:rsid w:val="00183A15"/>
    <w:rsid w:val="00185355"/>
    <w:rsid w:val="001866BF"/>
    <w:rsid w:val="00186884"/>
    <w:rsid w:val="001878EB"/>
    <w:rsid w:val="0019000C"/>
    <w:rsid w:val="0019030D"/>
    <w:rsid w:val="0019092C"/>
    <w:rsid w:val="00190C7A"/>
    <w:rsid w:val="00190F7F"/>
    <w:rsid w:val="00194559"/>
    <w:rsid w:val="001947C1"/>
    <w:rsid w:val="001948EC"/>
    <w:rsid w:val="00194F2A"/>
    <w:rsid w:val="0019508F"/>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E7B18"/>
    <w:rsid w:val="001F1F3F"/>
    <w:rsid w:val="001F27B1"/>
    <w:rsid w:val="001F2F00"/>
    <w:rsid w:val="001F3AE7"/>
    <w:rsid w:val="001F5B11"/>
    <w:rsid w:val="00200F31"/>
    <w:rsid w:val="0020221F"/>
    <w:rsid w:val="00203AEA"/>
    <w:rsid w:val="00203D33"/>
    <w:rsid w:val="00205051"/>
    <w:rsid w:val="0020794A"/>
    <w:rsid w:val="00207A23"/>
    <w:rsid w:val="00207C7F"/>
    <w:rsid w:val="00210B48"/>
    <w:rsid w:val="0021175A"/>
    <w:rsid w:val="002120BD"/>
    <w:rsid w:val="00212962"/>
    <w:rsid w:val="00215C9A"/>
    <w:rsid w:val="00217135"/>
    <w:rsid w:val="0022132D"/>
    <w:rsid w:val="00221D16"/>
    <w:rsid w:val="00222064"/>
    <w:rsid w:val="00222CAE"/>
    <w:rsid w:val="00223622"/>
    <w:rsid w:val="00223B83"/>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F72"/>
    <w:rsid w:val="002514CA"/>
    <w:rsid w:val="00252FDB"/>
    <w:rsid w:val="002567CD"/>
    <w:rsid w:val="00257322"/>
    <w:rsid w:val="00260543"/>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A0621"/>
    <w:rsid w:val="002A17E0"/>
    <w:rsid w:val="002A4823"/>
    <w:rsid w:val="002A5245"/>
    <w:rsid w:val="002A55D1"/>
    <w:rsid w:val="002A5C41"/>
    <w:rsid w:val="002A5CF5"/>
    <w:rsid w:val="002A6EA4"/>
    <w:rsid w:val="002A7B04"/>
    <w:rsid w:val="002A7E9D"/>
    <w:rsid w:val="002B15AC"/>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3911"/>
    <w:rsid w:val="002F06D0"/>
    <w:rsid w:val="002F2CF2"/>
    <w:rsid w:val="002F3830"/>
    <w:rsid w:val="002F38D7"/>
    <w:rsid w:val="002F4929"/>
    <w:rsid w:val="002F5989"/>
    <w:rsid w:val="002F5E59"/>
    <w:rsid w:val="002F73F4"/>
    <w:rsid w:val="002F7DDE"/>
    <w:rsid w:val="002F7E97"/>
    <w:rsid w:val="003006A1"/>
    <w:rsid w:val="003012A2"/>
    <w:rsid w:val="003018B7"/>
    <w:rsid w:val="003020C6"/>
    <w:rsid w:val="00304ACA"/>
    <w:rsid w:val="003127F4"/>
    <w:rsid w:val="00313652"/>
    <w:rsid w:val="0031376D"/>
    <w:rsid w:val="003151B5"/>
    <w:rsid w:val="00315AF8"/>
    <w:rsid w:val="0031625D"/>
    <w:rsid w:val="003175F3"/>
    <w:rsid w:val="00317835"/>
    <w:rsid w:val="00317C72"/>
    <w:rsid w:val="003235CC"/>
    <w:rsid w:val="00324EC4"/>
    <w:rsid w:val="00325668"/>
    <w:rsid w:val="00325823"/>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946"/>
    <w:rsid w:val="0035210E"/>
    <w:rsid w:val="003521FD"/>
    <w:rsid w:val="00352802"/>
    <w:rsid w:val="00353085"/>
    <w:rsid w:val="003535EF"/>
    <w:rsid w:val="003538EF"/>
    <w:rsid w:val="0035515E"/>
    <w:rsid w:val="00355E2C"/>
    <w:rsid w:val="00357828"/>
    <w:rsid w:val="00357895"/>
    <w:rsid w:val="00357916"/>
    <w:rsid w:val="00357B15"/>
    <w:rsid w:val="00360B19"/>
    <w:rsid w:val="00360FCE"/>
    <w:rsid w:val="00362E82"/>
    <w:rsid w:val="00364001"/>
    <w:rsid w:val="00365DC3"/>
    <w:rsid w:val="0036633C"/>
    <w:rsid w:val="0036763E"/>
    <w:rsid w:val="00367E02"/>
    <w:rsid w:val="0037013D"/>
    <w:rsid w:val="00370DA4"/>
    <w:rsid w:val="003710CD"/>
    <w:rsid w:val="00372E91"/>
    <w:rsid w:val="00372FAD"/>
    <w:rsid w:val="00372FD5"/>
    <w:rsid w:val="003739D8"/>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D62"/>
    <w:rsid w:val="003C4234"/>
    <w:rsid w:val="003C5F5E"/>
    <w:rsid w:val="003C5FC2"/>
    <w:rsid w:val="003C6BB7"/>
    <w:rsid w:val="003C7603"/>
    <w:rsid w:val="003C7650"/>
    <w:rsid w:val="003D0A88"/>
    <w:rsid w:val="003D19A0"/>
    <w:rsid w:val="003D27BD"/>
    <w:rsid w:val="003D353C"/>
    <w:rsid w:val="003E19E7"/>
    <w:rsid w:val="003E29B3"/>
    <w:rsid w:val="003E36C0"/>
    <w:rsid w:val="003E3724"/>
    <w:rsid w:val="003E3957"/>
    <w:rsid w:val="003E6A80"/>
    <w:rsid w:val="003E7F59"/>
    <w:rsid w:val="003F0D8B"/>
    <w:rsid w:val="003F1E6F"/>
    <w:rsid w:val="003F1F9E"/>
    <w:rsid w:val="003F3BC1"/>
    <w:rsid w:val="003F43E6"/>
    <w:rsid w:val="003F4894"/>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21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3C3E"/>
    <w:rsid w:val="00434AC5"/>
    <w:rsid w:val="00437108"/>
    <w:rsid w:val="00440246"/>
    <w:rsid w:val="00441588"/>
    <w:rsid w:val="00441CF2"/>
    <w:rsid w:val="00443B1B"/>
    <w:rsid w:val="00444072"/>
    <w:rsid w:val="00444204"/>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AAA"/>
    <w:rsid w:val="00474BF7"/>
    <w:rsid w:val="00474D9B"/>
    <w:rsid w:val="00475E1A"/>
    <w:rsid w:val="004762ED"/>
    <w:rsid w:val="004774B6"/>
    <w:rsid w:val="004775E8"/>
    <w:rsid w:val="00481888"/>
    <w:rsid w:val="0048370B"/>
    <w:rsid w:val="00486750"/>
    <w:rsid w:val="00487EBC"/>
    <w:rsid w:val="00490DDC"/>
    <w:rsid w:val="00491D56"/>
    <w:rsid w:val="00491D60"/>
    <w:rsid w:val="00494CD1"/>
    <w:rsid w:val="004957BA"/>
    <w:rsid w:val="0049590A"/>
    <w:rsid w:val="00495CE9"/>
    <w:rsid w:val="004963CC"/>
    <w:rsid w:val="004970C9"/>
    <w:rsid w:val="00497574"/>
    <w:rsid w:val="00497B5E"/>
    <w:rsid w:val="004A224A"/>
    <w:rsid w:val="004A28DD"/>
    <w:rsid w:val="004A3074"/>
    <w:rsid w:val="004A570E"/>
    <w:rsid w:val="004A59B2"/>
    <w:rsid w:val="004A7CEC"/>
    <w:rsid w:val="004B06E1"/>
    <w:rsid w:val="004B129A"/>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25B5"/>
    <w:rsid w:val="004D49C8"/>
    <w:rsid w:val="004D6E67"/>
    <w:rsid w:val="004E00B4"/>
    <w:rsid w:val="004E0963"/>
    <w:rsid w:val="004E0B2F"/>
    <w:rsid w:val="004E1B3F"/>
    <w:rsid w:val="004E2A8E"/>
    <w:rsid w:val="004E458C"/>
    <w:rsid w:val="004F000D"/>
    <w:rsid w:val="004F0EC9"/>
    <w:rsid w:val="004F27DD"/>
    <w:rsid w:val="004F40AB"/>
    <w:rsid w:val="004F47F7"/>
    <w:rsid w:val="004F7CCB"/>
    <w:rsid w:val="0050050B"/>
    <w:rsid w:val="0050132A"/>
    <w:rsid w:val="00502F3E"/>
    <w:rsid w:val="00503196"/>
    <w:rsid w:val="00503967"/>
    <w:rsid w:val="00503ADE"/>
    <w:rsid w:val="00504706"/>
    <w:rsid w:val="0050674F"/>
    <w:rsid w:val="00506A2E"/>
    <w:rsid w:val="00510BE0"/>
    <w:rsid w:val="00510C5C"/>
    <w:rsid w:val="00511E62"/>
    <w:rsid w:val="005208AC"/>
    <w:rsid w:val="00520B14"/>
    <w:rsid w:val="00521DC2"/>
    <w:rsid w:val="00521EFA"/>
    <w:rsid w:val="0052230A"/>
    <w:rsid w:val="00523237"/>
    <w:rsid w:val="00523A16"/>
    <w:rsid w:val="00523D2D"/>
    <w:rsid w:val="00524822"/>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D90"/>
    <w:rsid w:val="005538CF"/>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12EF"/>
    <w:rsid w:val="00582010"/>
    <w:rsid w:val="0058254B"/>
    <w:rsid w:val="0058351E"/>
    <w:rsid w:val="00587914"/>
    <w:rsid w:val="0059181C"/>
    <w:rsid w:val="005925EC"/>
    <w:rsid w:val="0059609E"/>
    <w:rsid w:val="0059611F"/>
    <w:rsid w:val="005964F5"/>
    <w:rsid w:val="00597224"/>
    <w:rsid w:val="005A1B7D"/>
    <w:rsid w:val="005A3592"/>
    <w:rsid w:val="005A4082"/>
    <w:rsid w:val="005A46DD"/>
    <w:rsid w:val="005B0AAB"/>
    <w:rsid w:val="005B3F91"/>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8B5"/>
    <w:rsid w:val="005D3069"/>
    <w:rsid w:val="005D370F"/>
    <w:rsid w:val="005D3730"/>
    <w:rsid w:val="005D3BD1"/>
    <w:rsid w:val="005D3C37"/>
    <w:rsid w:val="005D5D26"/>
    <w:rsid w:val="005E0B86"/>
    <w:rsid w:val="005E2F89"/>
    <w:rsid w:val="005E4545"/>
    <w:rsid w:val="005E4A75"/>
    <w:rsid w:val="005E4E13"/>
    <w:rsid w:val="005E5730"/>
    <w:rsid w:val="005E73A1"/>
    <w:rsid w:val="005E7458"/>
    <w:rsid w:val="005E76FD"/>
    <w:rsid w:val="005F19C6"/>
    <w:rsid w:val="005F4197"/>
    <w:rsid w:val="005F4C67"/>
    <w:rsid w:val="005F5163"/>
    <w:rsid w:val="005F52C6"/>
    <w:rsid w:val="005F541C"/>
    <w:rsid w:val="006055FE"/>
    <w:rsid w:val="006067DB"/>
    <w:rsid w:val="006073F9"/>
    <w:rsid w:val="00607F86"/>
    <w:rsid w:val="00610BC0"/>
    <w:rsid w:val="0061157C"/>
    <w:rsid w:val="0061282A"/>
    <w:rsid w:val="006131E5"/>
    <w:rsid w:val="006132AE"/>
    <w:rsid w:val="00615427"/>
    <w:rsid w:val="006167B8"/>
    <w:rsid w:val="00617C22"/>
    <w:rsid w:val="00621A6D"/>
    <w:rsid w:val="00621F03"/>
    <w:rsid w:val="0062265E"/>
    <w:rsid w:val="00622F11"/>
    <w:rsid w:val="00623213"/>
    <w:rsid w:val="006251DE"/>
    <w:rsid w:val="006254EE"/>
    <w:rsid w:val="006258DB"/>
    <w:rsid w:val="00625B63"/>
    <w:rsid w:val="00627517"/>
    <w:rsid w:val="00630B1A"/>
    <w:rsid w:val="006327BE"/>
    <w:rsid w:val="00632A4A"/>
    <w:rsid w:val="00634573"/>
    <w:rsid w:val="00635A24"/>
    <w:rsid w:val="00636ADD"/>
    <w:rsid w:val="00640221"/>
    <w:rsid w:val="006406E5"/>
    <w:rsid w:val="00640B24"/>
    <w:rsid w:val="006417BC"/>
    <w:rsid w:val="00641C9C"/>
    <w:rsid w:val="00642EB3"/>
    <w:rsid w:val="006441AD"/>
    <w:rsid w:val="006442C8"/>
    <w:rsid w:val="00646E32"/>
    <w:rsid w:val="00647687"/>
    <w:rsid w:val="0065353F"/>
    <w:rsid w:val="006546B9"/>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956"/>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5A3"/>
    <w:rsid w:val="00690963"/>
    <w:rsid w:val="00690B95"/>
    <w:rsid w:val="00691156"/>
    <w:rsid w:val="00691601"/>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5A6"/>
    <w:rsid w:val="006A6750"/>
    <w:rsid w:val="006A7D6E"/>
    <w:rsid w:val="006A7FA7"/>
    <w:rsid w:val="006B1C34"/>
    <w:rsid w:val="006B1FF1"/>
    <w:rsid w:val="006B293F"/>
    <w:rsid w:val="006B34DE"/>
    <w:rsid w:val="006B35F3"/>
    <w:rsid w:val="006B40C1"/>
    <w:rsid w:val="006B5F49"/>
    <w:rsid w:val="006B6A20"/>
    <w:rsid w:val="006C1EDD"/>
    <w:rsid w:val="006C2F5C"/>
    <w:rsid w:val="006C4010"/>
    <w:rsid w:val="006C477E"/>
    <w:rsid w:val="006C5AD3"/>
    <w:rsid w:val="006C6D7A"/>
    <w:rsid w:val="006D0350"/>
    <w:rsid w:val="006D0C02"/>
    <w:rsid w:val="006D0F19"/>
    <w:rsid w:val="006D2B2B"/>
    <w:rsid w:val="006D2DE9"/>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713E"/>
    <w:rsid w:val="006F750C"/>
    <w:rsid w:val="006F7EB1"/>
    <w:rsid w:val="007003F6"/>
    <w:rsid w:val="00700AD5"/>
    <w:rsid w:val="00702B93"/>
    <w:rsid w:val="00702D4F"/>
    <w:rsid w:val="00703D5F"/>
    <w:rsid w:val="007045FC"/>
    <w:rsid w:val="0070488F"/>
    <w:rsid w:val="00704CDE"/>
    <w:rsid w:val="00704CF9"/>
    <w:rsid w:val="0070582E"/>
    <w:rsid w:val="007073E2"/>
    <w:rsid w:val="00710713"/>
    <w:rsid w:val="007123C3"/>
    <w:rsid w:val="0071266E"/>
    <w:rsid w:val="007130F7"/>
    <w:rsid w:val="00714183"/>
    <w:rsid w:val="00715CA4"/>
    <w:rsid w:val="00715E75"/>
    <w:rsid w:val="0071691D"/>
    <w:rsid w:val="00721EC2"/>
    <w:rsid w:val="007226F3"/>
    <w:rsid w:val="0072344E"/>
    <w:rsid w:val="007237EE"/>
    <w:rsid w:val="007240C3"/>
    <w:rsid w:val="007243CC"/>
    <w:rsid w:val="007263B7"/>
    <w:rsid w:val="00727632"/>
    <w:rsid w:val="007301CB"/>
    <w:rsid w:val="00731957"/>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3705"/>
    <w:rsid w:val="0074467F"/>
    <w:rsid w:val="00744F24"/>
    <w:rsid w:val="0074501E"/>
    <w:rsid w:val="00745868"/>
    <w:rsid w:val="00746472"/>
    <w:rsid w:val="00746CD0"/>
    <w:rsid w:val="00747C5A"/>
    <w:rsid w:val="00751DE7"/>
    <w:rsid w:val="00752CE8"/>
    <w:rsid w:val="0075428A"/>
    <w:rsid w:val="0075561B"/>
    <w:rsid w:val="00760A78"/>
    <w:rsid w:val="00764725"/>
    <w:rsid w:val="00764B6B"/>
    <w:rsid w:val="00764F0C"/>
    <w:rsid w:val="00766029"/>
    <w:rsid w:val="00766432"/>
    <w:rsid w:val="00766983"/>
    <w:rsid w:val="00767A28"/>
    <w:rsid w:val="00770893"/>
    <w:rsid w:val="007712C3"/>
    <w:rsid w:val="00771D33"/>
    <w:rsid w:val="00771F1C"/>
    <w:rsid w:val="007725DF"/>
    <w:rsid w:val="00772E1A"/>
    <w:rsid w:val="007736D0"/>
    <w:rsid w:val="007758CF"/>
    <w:rsid w:val="00775FEC"/>
    <w:rsid w:val="00776317"/>
    <w:rsid w:val="00776D06"/>
    <w:rsid w:val="007810BC"/>
    <w:rsid w:val="00781EB4"/>
    <w:rsid w:val="007823D7"/>
    <w:rsid w:val="00782E96"/>
    <w:rsid w:val="007844DE"/>
    <w:rsid w:val="00785A39"/>
    <w:rsid w:val="007861AA"/>
    <w:rsid w:val="0078776F"/>
    <w:rsid w:val="007900EA"/>
    <w:rsid w:val="007918A1"/>
    <w:rsid w:val="007943A8"/>
    <w:rsid w:val="007947F4"/>
    <w:rsid w:val="00795FC0"/>
    <w:rsid w:val="007963D7"/>
    <w:rsid w:val="00796527"/>
    <w:rsid w:val="007975AC"/>
    <w:rsid w:val="007A0F7C"/>
    <w:rsid w:val="007A10D6"/>
    <w:rsid w:val="007A12A7"/>
    <w:rsid w:val="007A14FC"/>
    <w:rsid w:val="007A2BE6"/>
    <w:rsid w:val="007A340C"/>
    <w:rsid w:val="007A4A3D"/>
    <w:rsid w:val="007A5A11"/>
    <w:rsid w:val="007A6F16"/>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50C"/>
    <w:rsid w:val="007E4A09"/>
    <w:rsid w:val="007E4C9C"/>
    <w:rsid w:val="007E5486"/>
    <w:rsid w:val="007E5B1C"/>
    <w:rsid w:val="007E5F2E"/>
    <w:rsid w:val="007E5FB5"/>
    <w:rsid w:val="007E6196"/>
    <w:rsid w:val="007E6656"/>
    <w:rsid w:val="007E70BF"/>
    <w:rsid w:val="007E735A"/>
    <w:rsid w:val="007F0085"/>
    <w:rsid w:val="007F080F"/>
    <w:rsid w:val="007F0F01"/>
    <w:rsid w:val="007F155F"/>
    <w:rsid w:val="007F1A99"/>
    <w:rsid w:val="007F22ED"/>
    <w:rsid w:val="007F24DA"/>
    <w:rsid w:val="007F3253"/>
    <w:rsid w:val="007F4DE5"/>
    <w:rsid w:val="007F4F42"/>
    <w:rsid w:val="007F536B"/>
    <w:rsid w:val="007F7F32"/>
    <w:rsid w:val="00800DF8"/>
    <w:rsid w:val="00801E32"/>
    <w:rsid w:val="008021FD"/>
    <w:rsid w:val="008026FA"/>
    <w:rsid w:val="008036BE"/>
    <w:rsid w:val="00803B18"/>
    <w:rsid w:val="00804BA2"/>
    <w:rsid w:val="00804FE6"/>
    <w:rsid w:val="0080556B"/>
    <w:rsid w:val="00806ABD"/>
    <w:rsid w:val="00807D00"/>
    <w:rsid w:val="00807EA4"/>
    <w:rsid w:val="00807EB6"/>
    <w:rsid w:val="008106E3"/>
    <w:rsid w:val="00810F07"/>
    <w:rsid w:val="008115B8"/>
    <w:rsid w:val="008115CF"/>
    <w:rsid w:val="00812315"/>
    <w:rsid w:val="00813018"/>
    <w:rsid w:val="00814DCA"/>
    <w:rsid w:val="0081539C"/>
    <w:rsid w:val="00815D1B"/>
    <w:rsid w:val="00816C1F"/>
    <w:rsid w:val="00820876"/>
    <w:rsid w:val="0082143F"/>
    <w:rsid w:val="0082159A"/>
    <w:rsid w:val="00822064"/>
    <w:rsid w:val="008220AD"/>
    <w:rsid w:val="00823610"/>
    <w:rsid w:val="00824E32"/>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4CC"/>
    <w:rsid w:val="00853C98"/>
    <w:rsid w:val="00854103"/>
    <w:rsid w:val="008549B1"/>
    <w:rsid w:val="0085543E"/>
    <w:rsid w:val="008568B0"/>
    <w:rsid w:val="008578F2"/>
    <w:rsid w:val="008600ED"/>
    <w:rsid w:val="00860366"/>
    <w:rsid w:val="00861CAB"/>
    <w:rsid w:val="008627A8"/>
    <w:rsid w:val="00862B21"/>
    <w:rsid w:val="00863E02"/>
    <w:rsid w:val="00865274"/>
    <w:rsid w:val="00865940"/>
    <w:rsid w:val="00865EEC"/>
    <w:rsid w:val="00866A27"/>
    <w:rsid w:val="008701DC"/>
    <w:rsid w:val="0087081B"/>
    <w:rsid w:val="008739F1"/>
    <w:rsid w:val="00874308"/>
    <w:rsid w:val="00877B13"/>
    <w:rsid w:val="00880AB5"/>
    <w:rsid w:val="00880AD5"/>
    <w:rsid w:val="00880C01"/>
    <w:rsid w:val="00881457"/>
    <w:rsid w:val="00882802"/>
    <w:rsid w:val="00882B0F"/>
    <w:rsid w:val="008836A7"/>
    <w:rsid w:val="00884467"/>
    <w:rsid w:val="00887F03"/>
    <w:rsid w:val="00893B95"/>
    <w:rsid w:val="008941B2"/>
    <w:rsid w:val="008A1084"/>
    <w:rsid w:val="008A1DA7"/>
    <w:rsid w:val="008A3884"/>
    <w:rsid w:val="008A4ABF"/>
    <w:rsid w:val="008A739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C7911"/>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0B0"/>
    <w:rsid w:val="009035A2"/>
    <w:rsid w:val="0090477D"/>
    <w:rsid w:val="009056CA"/>
    <w:rsid w:val="0090688C"/>
    <w:rsid w:val="0090766E"/>
    <w:rsid w:val="009119D3"/>
    <w:rsid w:val="00913DCC"/>
    <w:rsid w:val="00917B21"/>
    <w:rsid w:val="00922101"/>
    <w:rsid w:val="009241BB"/>
    <w:rsid w:val="009244F7"/>
    <w:rsid w:val="00924C0D"/>
    <w:rsid w:val="0092587F"/>
    <w:rsid w:val="00925AA4"/>
    <w:rsid w:val="009313BE"/>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4614"/>
    <w:rsid w:val="009754BC"/>
    <w:rsid w:val="0097588C"/>
    <w:rsid w:val="00975C3B"/>
    <w:rsid w:val="00976FE8"/>
    <w:rsid w:val="0097799A"/>
    <w:rsid w:val="00977C25"/>
    <w:rsid w:val="009807C9"/>
    <w:rsid w:val="00980CAF"/>
    <w:rsid w:val="0098122A"/>
    <w:rsid w:val="009816C8"/>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1B38"/>
    <w:rsid w:val="009C205F"/>
    <w:rsid w:val="009C3B2A"/>
    <w:rsid w:val="009C44E4"/>
    <w:rsid w:val="009C4918"/>
    <w:rsid w:val="009C4C78"/>
    <w:rsid w:val="009C5124"/>
    <w:rsid w:val="009C5C5F"/>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6B3C"/>
    <w:rsid w:val="00A1084E"/>
    <w:rsid w:val="00A11A74"/>
    <w:rsid w:val="00A12CC9"/>
    <w:rsid w:val="00A1467F"/>
    <w:rsid w:val="00A14921"/>
    <w:rsid w:val="00A20173"/>
    <w:rsid w:val="00A2060D"/>
    <w:rsid w:val="00A20B21"/>
    <w:rsid w:val="00A216B7"/>
    <w:rsid w:val="00A21708"/>
    <w:rsid w:val="00A23EF0"/>
    <w:rsid w:val="00A242AE"/>
    <w:rsid w:val="00A242EA"/>
    <w:rsid w:val="00A2504D"/>
    <w:rsid w:val="00A271B3"/>
    <w:rsid w:val="00A272BE"/>
    <w:rsid w:val="00A2797C"/>
    <w:rsid w:val="00A309B7"/>
    <w:rsid w:val="00A30B94"/>
    <w:rsid w:val="00A322BE"/>
    <w:rsid w:val="00A33342"/>
    <w:rsid w:val="00A33719"/>
    <w:rsid w:val="00A33DF9"/>
    <w:rsid w:val="00A3529A"/>
    <w:rsid w:val="00A40262"/>
    <w:rsid w:val="00A40A77"/>
    <w:rsid w:val="00A41B5E"/>
    <w:rsid w:val="00A41E03"/>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1446"/>
    <w:rsid w:val="00A62285"/>
    <w:rsid w:val="00A65A66"/>
    <w:rsid w:val="00A66EE4"/>
    <w:rsid w:val="00A70197"/>
    <w:rsid w:val="00A70585"/>
    <w:rsid w:val="00A715EF"/>
    <w:rsid w:val="00A71BDB"/>
    <w:rsid w:val="00A720B7"/>
    <w:rsid w:val="00A73387"/>
    <w:rsid w:val="00A73405"/>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05F"/>
    <w:rsid w:val="00A92AC2"/>
    <w:rsid w:val="00A9456E"/>
    <w:rsid w:val="00A948B2"/>
    <w:rsid w:val="00A95355"/>
    <w:rsid w:val="00A960E9"/>
    <w:rsid w:val="00A97B41"/>
    <w:rsid w:val="00A97F0C"/>
    <w:rsid w:val="00A97F93"/>
    <w:rsid w:val="00AA0E4D"/>
    <w:rsid w:val="00AA219A"/>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4CC2"/>
    <w:rsid w:val="00AD52A6"/>
    <w:rsid w:val="00AD5AEC"/>
    <w:rsid w:val="00AD6AD0"/>
    <w:rsid w:val="00AD6D0B"/>
    <w:rsid w:val="00AE2C85"/>
    <w:rsid w:val="00AE328A"/>
    <w:rsid w:val="00AE42F5"/>
    <w:rsid w:val="00AE4721"/>
    <w:rsid w:val="00AE4C09"/>
    <w:rsid w:val="00AE541B"/>
    <w:rsid w:val="00AE747B"/>
    <w:rsid w:val="00AE7DE5"/>
    <w:rsid w:val="00AF1653"/>
    <w:rsid w:val="00AF3BF4"/>
    <w:rsid w:val="00AF3F93"/>
    <w:rsid w:val="00AF50BF"/>
    <w:rsid w:val="00B02DE3"/>
    <w:rsid w:val="00B037AA"/>
    <w:rsid w:val="00B054BA"/>
    <w:rsid w:val="00B06804"/>
    <w:rsid w:val="00B07908"/>
    <w:rsid w:val="00B1256E"/>
    <w:rsid w:val="00B13787"/>
    <w:rsid w:val="00B1445B"/>
    <w:rsid w:val="00B15801"/>
    <w:rsid w:val="00B1644E"/>
    <w:rsid w:val="00B17AAC"/>
    <w:rsid w:val="00B215D0"/>
    <w:rsid w:val="00B21F73"/>
    <w:rsid w:val="00B23A32"/>
    <w:rsid w:val="00B23A60"/>
    <w:rsid w:val="00B23D80"/>
    <w:rsid w:val="00B243A4"/>
    <w:rsid w:val="00B245B8"/>
    <w:rsid w:val="00B24ABA"/>
    <w:rsid w:val="00B255C5"/>
    <w:rsid w:val="00B25FB2"/>
    <w:rsid w:val="00B27DB4"/>
    <w:rsid w:val="00B30861"/>
    <w:rsid w:val="00B33676"/>
    <w:rsid w:val="00B33FC9"/>
    <w:rsid w:val="00B34D05"/>
    <w:rsid w:val="00B34E1F"/>
    <w:rsid w:val="00B35194"/>
    <w:rsid w:val="00B36C97"/>
    <w:rsid w:val="00B37AAA"/>
    <w:rsid w:val="00B37C41"/>
    <w:rsid w:val="00B4078C"/>
    <w:rsid w:val="00B4191E"/>
    <w:rsid w:val="00B42C6D"/>
    <w:rsid w:val="00B43418"/>
    <w:rsid w:val="00B4375B"/>
    <w:rsid w:val="00B437D7"/>
    <w:rsid w:val="00B4516E"/>
    <w:rsid w:val="00B455D4"/>
    <w:rsid w:val="00B45B27"/>
    <w:rsid w:val="00B467ED"/>
    <w:rsid w:val="00B46CB0"/>
    <w:rsid w:val="00B5139A"/>
    <w:rsid w:val="00B52315"/>
    <w:rsid w:val="00B52DAB"/>
    <w:rsid w:val="00B539BE"/>
    <w:rsid w:val="00B5549D"/>
    <w:rsid w:val="00B56011"/>
    <w:rsid w:val="00B56DD4"/>
    <w:rsid w:val="00B56EF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6898"/>
    <w:rsid w:val="00B974A4"/>
    <w:rsid w:val="00B9752D"/>
    <w:rsid w:val="00B979F7"/>
    <w:rsid w:val="00BA01C1"/>
    <w:rsid w:val="00BA06FA"/>
    <w:rsid w:val="00BA0A23"/>
    <w:rsid w:val="00BA3460"/>
    <w:rsid w:val="00BA39C2"/>
    <w:rsid w:val="00BA5F1E"/>
    <w:rsid w:val="00BA6D44"/>
    <w:rsid w:val="00BA7782"/>
    <w:rsid w:val="00BB0472"/>
    <w:rsid w:val="00BB134D"/>
    <w:rsid w:val="00BB2F5F"/>
    <w:rsid w:val="00BB3D35"/>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40B"/>
    <w:rsid w:val="00BE586A"/>
    <w:rsid w:val="00BE6364"/>
    <w:rsid w:val="00BE6576"/>
    <w:rsid w:val="00BF048F"/>
    <w:rsid w:val="00BF1EEF"/>
    <w:rsid w:val="00BF1FCA"/>
    <w:rsid w:val="00BF7494"/>
    <w:rsid w:val="00C00650"/>
    <w:rsid w:val="00C021BB"/>
    <w:rsid w:val="00C037A3"/>
    <w:rsid w:val="00C03932"/>
    <w:rsid w:val="00C06B98"/>
    <w:rsid w:val="00C06DE4"/>
    <w:rsid w:val="00C143CD"/>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A03"/>
    <w:rsid w:val="00C34D9A"/>
    <w:rsid w:val="00C36C08"/>
    <w:rsid w:val="00C36CF8"/>
    <w:rsid w:val="00C36FF2"/>
    <w:rsid w:val="00C37183"/>
    <w:rsid w:val="00C373FF"/>
    <w:rsid w:val="00C412AD"/>
    <w:rsid w:val="00C419F7"/>
    <w:rsid w:val="00C4313B"/>
    <w:rsid w:val="00C45F01"/>
    <w:rsid w:val="00C4698C"/>
    <w:rsid w:val="00C5207F"/>
    <w:rsid w:val="00C52D21"/>
    <w:rsid w:val="00C5543B"/>
    <w:rsid w:val="00C573B1"/>
    <w:rsid w:val="00C600EE"/>
    <w:rsid w:val="00C62E03"/>
    <w:rsid w:val="00C64192"/>
    <w:rsid w:val="00C67D33"/>
    <w:rsid w:val="00C72D39"/>
    <w:rsid w:val="00C7351D"/>
    <w:rsid w:val="00C747F2"/>
    <w:rsid w:val="00C752EB"/>
    <w:rsid w:val="00C75878"/>
    <w:rsid w:val="00C75BD1"/>
    <w:rsid w:val="00C76BBB"/>
    <w:rsid w:val="00C779D4"/>
    <w:rsid w:val="00C77C0E"/>
    <w:rsid w:val="00C80125"/>
    <w:rsid w:val="00C809C6"/>
    <w:rsid w:val="00C81430"/>
    <w:rsid w:val="00C83899"/>
    <w:rsid w:val="00C86829"/>
    <w:rsid w:val="00C86A4F"/>
    <w:rsid w:val="00C86DA3"/>
    <w:rsid w:val="00C935F6"/>
    <w:rsid w:val="00C95234"/>
    <w:rsid w:val="00C9788C"/>
    <w:rsid w:val="00C97C59"/>
    <w:rsid w:val="00CA0C2B"/>
    <w:rsid w:val="00CA418B"/>
    <w:rsid w:val="00CA42DE"/>
    <w:rsid w:val="00CB1766"/>
    <w:rsid w:val="00CB1E90"/>
    <w:rsid w:val="00CB1EB4"/>
    <w:rsid w:val="00CB328F"/>
    <w:rsid w:val="00CB3A38"/>
    <w:rsid w:val="00CB3B10"/>
    <w:rsid w:val="00CB4831"/>
    <w:rsid w:val="00CB5DBA"/>
    <w:rsid w:val="00CB5FBD"/>
    <w:rsid w:val="00CB7F2D"/>
    <w:rsid w:val="00CC21F6"/>
    <w:rsid w:val="00CC2600"/>
    <w:rsid w:val="00CC4B0F"/>
    <w:rsid w:val="00CC4B86"/>
    <w:rsid w:val="00CC5A1A"/>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42F4"/>
    <w:rsid w:val="00CE6C1C"/>
    <w:rsid w:val="00CE7B3F"/>
    <w:rsid w:val="00CE7C81"/>
    <w:rsid w:val="00CF0EF2"/>
    <w:rsid w:val="00CF47E5"/>
    <w:rsid w:val="00CF732A"/>
    <w:rsid w:val="00D00533"/>
    <w:rsid w:val="00D00AA4"/>
    <w:rsid w:val="00D01406"/>
    <w:rsid w:val="00D015A7"/>
    <w:rsid w:val="00D0250E"/>
    <w:rsid w:val="00D0423A"/>
    <w:rsid w:val="00D04A90"/>
    <w:rsid w:val="00D06EF2"/>
    <w:rsid w:val="00D07131"/>
    <w:rsid w:val="00D07526"/>
    <w:rsid w:val="00D07E3B"/>
    <w:rsid w:val="00D1308F"/>
    <w:rsid w:val="00D14B1E"/>
    <w:rsid w:val="00D17E05"/>
    <w:rsid w:val="00D17F23"/>
    <w:rsid w:val="00D207B2"/>
    <w:rsid w:val="00D220F4"/>
    <w:rsid w:val="00D22B49"/>
    <w:rsid w:val="00D23F60"/>
    <w:rsid w:val="00D240C0"/>
    <w:rsid w:val="00D24A6C"/>
    <w:rsid w:val="00D24AC2"/>
    <w:rsid w:val="00D25A76"/>
    <w:rsid w:val="00D2692A"/>
    <w:rsid w:val="00D27E31"/>
    <w:rsid w:val="00D308D8"/>
    <w:rsid w:val="00D311F7"/>
    <w:rsid w:val="00D318AF"/>
    <w:rsid w:val="00D32350"/>
    <w:rsid w:val="00D3344A"/>
    <w:rsid w:val="00D3355A"/>
    <w:rsid w:val="00D35AA2"/>
    <w:rsid w:val="00D362BE"/>
    <w:rsid w:val="00D36BE9"/>
    <w:rsid w:val="00D3722A"/>
    <w:rsid w:val="00D37579"/>
    <w:rsid w:val="00D40B0A"/>
    <w:rsid w:val="00D43F58"/>
    <w:rsid w:val="00D4457A"/>
    <w:rsid w:val="00D45734"/>
    <w:rsid w:val="00D46172"/>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5124"/>
    <w:rsid w:val="00D65507"/>
    <w:rsid w:val="00D6599A"/>
    <w:rsid w:val="00D669A4"/>
    <w:rsid w:val="00D66E91"/>
    <w:rsid w:val="00D66EFA"/>
    <w:rsid w:val="00D7143F"/>
    <w:rsid w:val="00D72409"/>
    <w:rsid w:val="00D73621"/>
    <w:rsid w:val="00D7507B"/>
    <w:rsid w:val="00D7557F"/>
    <w:rsid w:val="00D75794"/>
    <w:rsid w:val="00D75BC9"/>
    <w:rsid w:val="00D77016"/>
    <w:rsid w:val="00D77153"/>
    <w:rsid w:val="00D81BB1"/>
    <w:rsid w:val="00D84F6A"/>
    <w:rsid w:val="00D8506B"/>
    <w:rsid w:val="00D85A8B"/>
    <w:rsid w:val="00D86ADC"/>
    <w:rsid w:val="00D90791"/>
    <w:rsid w:val="00D90F27"/>
    <w:rsid w:val="00D90F8B"/>
    <w:rsid w:val="00D91524"/>
    <w:rsid w:val="00D928A3"/>
    <w:rsid w:val="00D93A74"/>
    <w:rsid w:val="00D9440E"/>
    <w:rsid w:val="00D95433"/>
    <w:rsid w:val="00D95F43"/>
    <w:rsid w:val="00D9772E"/>
    <w:rsid w:val="00DA0DC8"/>
    <w:rsid w:val="00DA17B0"/>
    <w:rsid w:val="00DA2C00"/>
    <w:rsid w:val="00DA33EC"/>
    <w:rsid w:val="00DA3F09"/>
    <w:rsid w:val="00DA48B0"/>
    <w:rsid w:val="00DA5E1F"/>
    <w:rsid w:val="00DA6D82"/>
    <w:rsid w:val="00DB06D2"/>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E1C"/>
    <w:rsid w:val="00E337E8"/>
    <w:rsid w:val="00E33A8F"/>
    <w:rsid w:val="00E34AA2"/>
    <w:rsid w:val="00E37FAF"/>
    <w:rsid w:val="00E4090B"/>
    <w:rsid w:val="00E41F06"/>
    <w:rsid w:val="00E422DC"/>
    <w:rsid w:val="00E42B30"/>
    <w:rsid w:val="00E42DA2"/>
    <w:rsid w:val="00E45E6B"/>
    <w:rsid w:val="00E47A35"/>
    <w:rsid w:val="00E50167"/>
    <w:rsid w:val="00E5097C"/>
    <w:rsid w:val="00E51DDA"/>
    <w:rsid w:val="00E52A08"/>
    <w:rsid w:val="00E5361B"/>
    <w:rsid w:val="00E540C7"/>
    <w:rsid w:val="00E54925"/>
    <w:rsid w:val="00E604A4"/>
    <w:rsid w:val="00E61777"/>
    <w:rsid w:val="00E61C4E"/>
    <w:rsid w:val="00E63C6C"/>
    <w:rsid w:val="00E63F87"/>
    <w:rsid w:val="00E6527E"/>
    <w:rsid w:val="00E65A41"/>
    <w:rsid w:val="00E710C9"/>
    <w:rsid w:val="00E71666"/>
    <w:rsid w:val="00E724E4"/>
    <w:rsid w:val="00E73312"/>
    <w:rsid w:val="00E735D4"/>
    <w:rsid w:val="00E73AFD"/>
    <w:rsid w:val="00E7411D"/>
    <w:rsid w:val="00E7483A"/>
    <w:rsid w:val="00E76439"/>
    <w:rsid w:val="00E77EE6"/>
    <w:rsid w:val="00E80317"/>
    <w:rsid w:val="00E80877"/>
    <w:rsid w:val="00E810DA"/>
    <w:rsid w:val="00E829FE"/>
    <w:rsid w:val="00E82B29"/>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159B"/>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E0ADC"/>
    <w:rsid w:val="00EE173D"/>
    <w:rsid w:val="00EE231A"/>
    <w:rsid w:val="00EE24D6"/>
    <w:rsid w:val="00EE289F"/>
    <w:rsid w:val="00EE59C6"/>
    <w:rsid w:val="00EE69B9"/>
    <w:rsid w:val="00EE75E5"/>
    <w:rsid w:val="00EF1864"/>
    <w:rsid w:val="00EF26B4"/>
    <w:rsid w:val="00EF33BF"/>
    <w:rsid w:val="00EF41F1"/>
    <w:rsid w:val="00EF6E6D"/>
    <w:rsid w:val="00EF775A"/>
    <w:rsid w:val="00F00020"/>
    <w:rsid w:val="00F02E36"/>
    <w:rsid w:val="00F04707"/>
    <w:rsid w:val="00F04ACD"/>
    <w:rsid w:val="00F0571B"/>
    <w:rsid w:val="00F07867"/>
    <w:rsid w:val="00F107A8"/>
    <w:rsid w:val="00F10F01"/>
    <w:rsid w:val="00F110F6"/>
    <w:rsid w:val="00F122E7"/>
    <w:rsid w:val="00F13D28"/>
    <w:rsid w:val="00F152B2"/>
    <w:rsid w:val="00F16949"/>
    <w:rsid w:val="00F17D2D"/>
    <w:rsid w:val="00F20894"/>
    <w:rsid w:val="00F22AFE"/>
    <w:rsid w:val="00F23754"/>
    <w:rsid w:val="00F237A4"/>
    <w:rsid w:val="00F23F6D"/>
    <w:rsid w:val="00F24087"/>
    <w:rsid w:val="00F24A5E"/>
    <w:rsid w:val="00F265F6"/>
    <w:rsid w:val="00F26653"/>
    <w:rsid w:val="00F27291"/>
    <w:rsid w:val="00F2770C"/>
    <w:rsid w:val="00F314C0"/>
    <w:rsid w:val="00F32457"/>
    <w:rsid w:val="00F32569"/>
    <w:rsid w:val="00F33889"/>
    <w:rsid w:val="00F35C22"/>
    <w:rsid w:val="00F37FE3"/>
    <w:rsid w:val="00F41337"/>
    <w:rsid w:val="00F41940"/>
    <w:rsid w:val="00F44405"/>
    <w:rsid w:val="00F44796"/>
    <w:rsid w:val="00F46255"/>
    <w:rsid w:val="00F47DC5"/>
    <w:rsid w:val="00F50A23"/>
    <w:rsid w:val="00F518F3"/>
    <w:rsid w:val="00F5367B"/>
    <w:rsid w:val="00F54B12"/>
    <w:rsid w:val="00F5608F"/>
    <w:rsid w:val="00F6027C"/>
    <w:rsid w:val="00F60DAD"/>
    <w:rsid w:val="00F60DE0"/>
    <w:rsid w:val="00F6194D"/>
    <w:rsid w:val="00F61F8E"/>
    <w:rsid w:val="00F62233"/>
    <w:rsid w:val="00F6251B"/>
    <w:rsid w:val="00F626C6"/>
    <w:rsid w:val="00F63405"/>
    <w:rsid w:val="00F64156"/>
    <w:rsid w:val="00F70C8A"/>
    <w:rsid w:val="00F71087"/>
    <w:rsid w:val="00F716A9"/>
    <w:rsid w:val="00F7246A"/>
    <w:rsid w:val="00F73A04"/>
    <w:rsid w:val="00F74DE7"/>
    <w:rsid w:val="00F76A83"/>
    <w:rsid w:val="00F802C8"/>
    <w:rsid w:val="00F81D96"/>
    <w:rsid w:val="00F826E7"/>
    <w:rsid w:val="00F82C6C"/>
    <w:rsid w:val="00F83978"/>
    <w:rsid w:val="00F83ED3"/>
    <w:rsid w:val="00F857B4"/>
    <w:rsid w:val="00F85C44"/>
    <w:rsid w:val="00F86002"/>
    <w:rsid w:val="00F86C88"/>
    <w:rsid w:val="00F86D13"/>
    <w:rsid w:val="00F87535"/>
    <w:rsid w:val="00F91915"/>
    <w:rsid w:val="00F921C0"/>
    <w:rsid w:val="00F92282"/>
    <w:rsid w:val="00F9337A"/>
    <w:rsid w:val="00F962B4"/>
    <w:rsid w:val="00F972B0"/>
    <w:rsid w:val="00FA0210"/>
    <w:rsid w:val="00FA2BF8"/>
    <w:rsid w:val="00FA3AA3"/>
    <w:rsid w:val="00FA4324"/>
    <w:rsid w:val="00FA498D"/>
    <w:rsid w:val="00FA538C"/>
    <w:rsid w:val="00FA5D62"/>
    <w:rsid w:val="00FA6040"/>
    <w:rsid w:val="00FA6293"/>
    <w:rsid w:val="00FA6373"/>
    <w:rsid w:val="00FA686A"/>
    <w:rsid w:val="00FB00F7"/>
    <w:rsid w:val="00FB08CC"/>
    <w:rsid w:val="00FB1304"/>
    <w:rsid w:val="00FB1514"/>
    <w:rsid w:val="00FB3686"/>
    <w:rsid w:val="00FB4545"/>
    <w:rsid w:val="00FB478F"/>
    <w:rsid w:val="00FB5045"/>
    <w:rsid w:val="00FB56BD"/>
    <w:rsid w:val="00FB578C"/>
    <w:rsid w:val="00FB58BB"/>
    <w:rsid w:val="00FB597D"/>
    <w:rsid w:val="00FB634D"/>
    <w:rsid w:val="00FC0D59"/>
    <w:rsid w:val="00FC1A5C"/>
    <w:rsid w:val="00FC2D4C"/>
    <w:rsid w:val="00FC39EA"/>
    <w:rsid w:val="00FC469C"/>
    <w:rsid w:val="00FC4943"/>
    <w:rsid w:val="00FC56B8"/>
    <w:rsid w:val="00FC60B8"/>
    <w:rsid w:val="00FC6DE6"/>
    <w:rsid w:val="00FD0A9E"/>
    <w:rsid w:val="00FD15AF"/>
    <w:rsid w:val="00FD2F1A"/>
    <w:rsid w:val="00FD37D0"/>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5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B56DD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B56DD4"/>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979" TargetMode="External"/><Relationship Id="rId13" Type="http://schemas.openxmlformats.org/officeDocument/2006/relationships/hyperlink" Target="http://www.scc-csc.ca/case-dossier/info/sum-som-fra.aspx?cas=36934" TargetMode="External"/><Relationship Id="rId18" Type="http://schemas.openxmlformats.org/officeDocument/2006/relationships/hyperlink" Target="http://www.canlii.org/en/ca/fca/doc/2016/2016fca70/2016fca70.html?resultIndex=1" TargetMode="External"/><Relationship Id="rId26" Type="http://schemas.openxmlformats.org/officeDocument/2006/relationships/hyperlink" Target="http://www.canlii.org/fr/ca/caf/doc/2016/2016caf59/2016caf59.html?autocompleteStr=2016%20CAF%2059&amp;autocompletePos=1" TargetMode="External"/><Relationship Id="rId39" Type="http://schemas.openxmlformats.org/officeDocument/2006/relationships/hyperlink" Target="http://www.canlii.org/fr/qc/qcca/doc/2016/2016qcca163/2016qcca163.html" TargetMode="External"/><Relationship Id="rId3" Type="http://schemas.openxmlformats.org/officeDocument/2006/relationships/styles" Target="styles.xml"/><Relationship Id="rId21" Type="http://schemas.openxmlformats.org/officeDocument/2006/relationships/hyperlink" Target="http://www.canlii.org/fr/qc/qcca/doc/2015/2015qcca690/2015qcca690.html?resultIndex=1" TargetMode="External"/><Relationship Id="rId34" Type="http://schemas.openxmlformats.org/officeDocument/2006/relationships/hyperlink" Target="http://www.canlii.org/fr/ca/caf/doc/2016/2016caf41/2016caf41.html"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c-csc.ca/case-dossier/info/sum-som-fra.aspx?cas=36936" TargetMode="External"/><Relationship Id="rId17" Type="http://schemas.openxmlformats.org/officeDocument/2006/relationships/hyperlink" Target="http://www.canlii.org/en/ca/fca/doc/2015/2015fc571/2015fc571.html?resultIndex=1" TargetMode="External"/><Relationship Id="rId25" Type="http://schemas.openxmlformats.org/officeDocument/2006/relationships/hyperlink" Target="http://www.canlii.org/fr/ca/cfpi/doc/2015/2015cf57/2015cf57.html?autocompleteStr=2015%20CF%2057&amp;autocompletePos=1" TargetMode="External"/><Relationship Id="rId33" Type="http://schemas.openxmlformats.org/officeDocument/2006/relationships/hyperlink" Target="http://www.canlii.org/fr/ca/cfpi/doc/2015/2015cf186/2015cf186.html?autocompleteStr=bouloud&amp;autocompletePos=3" TargetMode="External"/><Relationship Id="rId38" Type="http://schemas.openxmlformats.org/officeDocument/2006/relationships/hyperlink" Target="http://www.canlii.org/fr/qc/qcca/doc/2014/2014qcca1068/2014qcca1068.htm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canlii.ca/t/gnqqk" TargetMode="External"/><Relationship Id="rId20" Type="http://schemas.openxmlformats.org/officeDocument/2006/relationships/hyperlink" Target="http://www.canlii.org/en/ca/fca/doc/2016/2016fca70/2016fca70.html?resultIndex=1" TargetMode="External"/><Relationship Id="rId29" Type="http://schemas.openxmlformats.org/officeDocument/2006/relationships/hyperlink" Target="http://canlii.ca/t/gj1d5"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971" TargetMode="External"/><Relationship Id="rId24" Type="http://schemas.openxmlformats.org/officeDocument/2006/relationships/hyperlink" Target="http://www.canlii.org/fr/ca/caf/doc/2016/2016caf59/2016caf59.html?autocompleteStr=2016%20CAF%2059&amp;autocompletePos=1" TargetMode="External"/><Relationship Id="rId32" Type="http://schemas.openxmlformats.org/officeDocument/2006/relationships/hyperlink" Target="http://www.canlii.org/fr/ca/caf/doc/2016/2016caf41/2016caf41.html" TargetMode="External"/><Relationship Id="rId37" Type="http://schemas.openxmlformats.org/officeDocument/2006/relationships/hyperlink" Target="http://www.canlii.org/fr/qc/qccs/doc/2012/2012qccs3223/2012qccs3223.html" TargetMode="External"/><Relationship Id="rId40" Type="http://schemas.openxmlformats.org/officeDocument/2006/relationships/hyperlink" Target="mailto:comments-commentaires@scc-csc.ca"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anlii.ca/t/gnqqk" TargetMode="External"/><Relationship Id="rId23" Type="http://schemas.openxmlformats.org/officeDocument/2006/relationships/hyperlink" Target="http://www.canlii.org/en/ca/fct/doc/2015/2015fc57/2015fc57.html" TargetMode="External"/><Relationship Id="rId28" Type="http://schemas.openxmlformats.org/officeDocument/2006/relationships/hyperlink" Target="http://canlii.ca/t/gnf1m" TargetMode="External"/><Relationship Id="rId36" Type="http://schemas.openxmlformats.org/officeDocument/2006/relationships/hyperlink" Target="http://www.canlii.org/fr/qc/qcca/doc/2016/2016qcca163/2016qcca163.html" TargetMode="External"/><Relationship Id="rId10" Type="http://schemas.openxmlformats.org/officeDocument/2006/relationships/hyperlink" Target="http://www.scc-csc.ca/case-dossier/info/sum-som-fra.aspx?cas=36992" TargetMode="External"/><Relationship Id="rId19" Type="http://schemas.openxmlformats.org/officeDocument/2006/relationships/hyperlink" Target="http://www.canlii.org/en/ca/fca/doc/2015/2015fc571/2015fc571.html?resultIndex=1" TargetMode="External"/><Relationship Id="rId31" Type="http://schemas.openxmlformats.org/officeDocument/2006/relationships/hyperlink" Target="http://www.canlii.org/en/ca/fct/doc/2015/2015fc186/2015fc186.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c-csc.ca/case-dossier/info/sum-som-eng.aspx?cas=36965" TargetMode="External"/><Relationship Id="rId14" Type="http://schemas.openxmlformats.org/officeDocument/2006/relationships/hyperlink" Target="http://www.scc-csc.ca/case-dossier/info/sum-som-fra.aspx?cas=36914" TargetMode="External"/><Relationship Id="rId22" Type="http://schemas.openxmlformats.org/officeDocument/2006/relationships/hyperlink" Target="http://www.canlii.org/fr/qc/qcca/doc/2015/2015qcca690/2015qcca690.html?resultIndex=1" TargetMode="External"/><Relationship Id="rId27" Type="http://schemas.openxmlformats.org/officeDocument/2006/relationships/hyperlink" Target="http://www.canlii.org/en/ca/fct/doc/2015/2015fc591/2015fc591.html?resultIndex=1" TargetMode="External"/><Relationship Id="rId30" Type="http://schemas.openxmlformats.org/officeDocument/2006/relationships/hyperlink" Target="http://canlii.ca/t/gnf1m" TargetMode="External"/><Relationship Id="rId35" Type="http://schemas.openxmlformats.org/officeDocument/2006/relationships/hyperlink" Target="http://www.canlii.org/fr/qc/qccs/doc/2012/2012qccs3223/2012qccs3223.html"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7C9E9-6905-4E9C-B564-14DC400F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5330</Words>
  <Characters>30382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35641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2016-08-19T13:32:00Z</dcterms:created>
  <dcterms:modified xsi:type="dcterms:W3CDTF">2016-08-22T12:45:00Z</dcterms:modified>
</cp:coreProperties>
</file>