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020F12" w:rsidRDefault="00DF33A9" w:rsidP="00DF33A9">
      <w:pPr>
        <w:pStyle w:val="Header"/>
        <w:jc w:val="center"/>
        <w:rPr>
          <w:b/>
          <w:sz w:val="32"/>
        </w:rPr>
      </w:pPr>
      <w:r w:rsidRPr="00020F12">
        <w:rPr>
          <w:b/>
          <w:sz w:val="32"/>
        </w:rPr>
        <w:t>Supreme Court of Canada / Cour suprême du Canada</w:t>
      </w:r>
    </w:p>
    <w:p w:rsidR="00DF33A9" w:rsidRPr="00020F12" w:rsidRDefault="00DF33A9" w:rsidP="00DF33A9">
      <w:pPr>
        <w:widowControl w:val="0"/>
        <w:rPr>
          <w:i/>
        </w:rPr>
      </w:pPr>
    </w:p>
    <w:p w:rsidR="00DF33A9" w:rsidRPr="00020F12" w:rsidRDefault="00DF33A9" w:rsidP="00DF33A9">
      <w:pPr>
        <w:widowControl w:val="0"/>
        <w:rPr>
          <w:i/>
        </w:rPr>
      </w:pPr>
    </w:p>
    <w:p w:rsidR="00DF33A9" w:rsidRPr="00020F12" w:rsidRDefault="00DF33A9" w:rsidP="00DF33A9">
      <w:pPr>
        <w:widowControl w:val="0"/>
        <w:rPr>
          <w:i/>
          <w:lang w:val="fr-CA"/>
        </w:rPr>
      </w:pPr>
      <w:r w:rsidRPr="00020F12">
        <w:rPr>
          <w:i/>
          <w:lang w:val="fr-CA"/>
        </w:rPr>
        <w:t>(</w:t>
      </w:r>
      <w:proofErr w:type="gramStart"/>
      <w:r w:rsidRPr="00020F12">
        <w:rPr>
          <w:i/>
          <w:lang w:val="fr-CA"/>
        </w:rPr>
        <w:t>le</w:t>
      </w:r>
      <w:proofErr w:type="gramEnd"/>
      <w:r w:rsidRPr="00020F12">
        <w:rPr>
          <w:i/>
          <w:lang w:val="fr-CA"/>
        </w:rPr>
        <w:t xml:space="preserve"> français suit)</w:t>
      </w:r>
    </w:p>
    <w:p w:rsidR="00DF33A9" w:rsidRPr="00020F12" w:rsidRDefault="00DF33A9" w:rsidP="00DF33A9">
      <w:pPr>
        <w:widowControl w:val="0"/>
        <w:rPr>
          <w:lang w:val="fr-CA"/>
        </w:rPr>
      </w:pPr>
    </w:p>
    <w:p w:rsidR="00DF33A9" w:rsidRPr="00020F12" w:rsidRDefault="001E2235" w:rsidP="00DF33A9">
      <w:pPr>
        <w:widowControl w:val="0"/>
        <w:jc w:val="center"/>
        <w:rPr>
          <w:b/>
          <w:lang w:val="fr-CA"/>
        </w:rPr>
      </w:pPr>
      <w:r w:rsidRPr="00020F12">
        <w:fldChar w:fldCharType="begin"/>
      </w:r>
      <w:r w:rsidR="00DF33A9" w:rsidRPr="00020F12">
        <w:rPr>
          <w:lang w:val="fr-CA"/>
        </w:rPr>
        <w:instrText xml:space="preserve"> SEQ CHAPTER \h \r 1</w:instrText>
      </w:r>
      <w:r w:rsidRPr="00020F12">
        <w:fldChar w:fldCharType="end"/>
      </w:r>
      <w:r w:rsidR="00DF33A9" w:rsidRPr="00020F12">
        <w:rPr>
          <w:b/>
          <w:lang w:val="fr-CA"/>
        </w:rPr>
        <w:t>JUDGMENT IN APPEAL</w:t>
      </w:r>
    </w:p>
    <w:p w:rsidR="00DF33A9" w:rsidRPr="00020F12" w:rsidRDefault="00DF33A9" w:rsidP="00DF33A9">
      <w:pPr>
        <w:widowControl w:val="0"/>
        <w:rPr>
          <w:b/>
          <w:lang w:val="fr-CA"/>
        </w:rPr>
      </w:pPr>
    </w:p>
    <w:p w:rsidR="00DF33A9" w:rsidRPr="00020F12" w:rsidRDefault="00936C68" w:rsidP="00DF33A9">
      <w:pPr>
        <w:widowControl w:val="0"/>
        <w:rPr>
          <w:b/>
        </w:rPr>
      </w:pPr>
      <w:r>
        <w:rPr>
          <w:b/>
        </w:rPr>
        <w:t>October</w:t>
      </w:r>
      <w:r w:rsidR="006E047B" w:rsidRPr="00020F12">
        <w:rPr>
          <w:b/>
        </w:rPr>
        <w:t xml:space="preserve"> </w:t>
      </w:r>
      <w:r>
        <w:rPr>
          <w:b/>
        </w:rPr>
        <w:t>14</w:t>
      </w:r>
      <w:r w:rsidR="004972A6" w:rsidRPr="00020F12">
        <w:rPr>
          <w:b/>
        </w:rPr>
        <w:t>, 2016</w:t>
      </w:r>
    </w:p>
    <w:p w:rsidR="00DF33A9" w:rsidRPr="00020F12" w:rsidRDefault="00DF33A9" w:rsidP="00DF33A9">
      <w:pPr>
        <w:widowControl w:val="0"/>
        <w:rPr>
          <w:b/>
        </w:rPr>
      </w:pPr>
      <w:r w:rsidRPr="00020F12">
        <w:rPr>
          <w:b/>
        </w:rPr>
        <w:t>For immediate release</w:t>
      </w:r>
    </w:p>
    <w:p w:rsidR="00DF33A9" w:rsidRPr="00020F12" w:rsidRDefault="00DF33A9" w:rsidP="00DF33A9">
      <w:pPr>
        <w:widowControl w:val="0"/>
      </w:pPr>
    </w:p>
    <w:p w:rsidR="00DF33A9" w:rsidRPr="00020F12" w:rsidRDefault="00DF33A9" w:rsidP="00DF33A9">
      <w:pPr>
        <w:widowControl w:val="0"/>
      </w:pPr>
      <w:r w:rsidRPr="00020F12">
        <w:rPr>
          <w:b/>
        </w:rPr>
        <w:t>OTTAWA</w:t>
      </w:r>
      <w:r w:rsidRPr="00020F12">
        <w:t xml:space="preserve"> – The Supreme Court of Canada has today deposited with the Registrar </w:t>
      </w:r>
      <w:r w:rsidR="004972A6" w:rsidRPr="00020F12">
        <w:t>judgment in the following appeal</w:t>
      </w:r>
      <w:r w:rsidRPr="00020F12">
        <w:t>.</w:t>
      </w:r>
    </w:p>
    <w:p w:rsidR="00DF33A9" w:rsidRPr="00020F12" w:rsidRDefault="00DF33A9" w:rsidP="00DF33A9">
      <w:pPr>
        <w:widowControl w:val="0"/>
      </w:pPr>
    </w:p>
    <w:p w:rsidR="00DF33A9" w:rsidRPr="00020F12" w:rsidRDefault="00DF33A9" w:rsidP="002006F9">
      <w:pPr>
        <w:tabs>
          <w:tab w:val="left" w:pos="720"/>
          <w:tab w:val="left" w:pos="1296"/>
          <w:tab w:val="left" w:pos="2160"/>
          <w:tab w:val="left" w:pos="2880"/>
          <w:tab w:val="left" w:pos="4320"/>
          <w:tab w:val="left" w:pos="10224"/>
          <w:tab w:val="left" w:pos="11376"/>
        </w:tabs>
        <w:jc w:val="both"/>
      </w:pPr>
      <w:r w:rsidRPr="00020F12">
        <w:t xml:space="preserve">Reasons for judgment will be available shortly at: </w:t>
      </w:r>
      <w:r w:rsidR="002006F9" w:rsidRPr="00020F12">
        <w:rPr>
          <w:rStyle w:val="Hyperlink"/>
        </w:rPr>
        <w:t>http://scc-csc.lexum.com/scc-csc/en/nav.do</w:t>
      </w:r>
      <w:r w:rsidR="006E047B" w:rsidRPr="00020F12">
        <w:rPr>
          <w:rStyle w:val="Hyperlink"/>
          <w:color w:val="auto"/>
          <w:u w:val="none"/>
        </w:rPr>
        <w:t>.</w:t>
      </w:r>
    </w:p>
    <w:p w:rsidR="00DF33A9" w:rsidRPr="00020F12" w:rsidRDefault="00DF33A9" w:rsidP="00DF33A9">
      <w:pPr>
        <w:widowControl w:val="0"/>
      </w:pPr>
    </w:p>
    <w:p w:rsidR="00C11961" w:rsidRPr="00020F12" w:rsidRDefault="00C11961" w:rsidP="00DF33A9">
      <w:pPr>
        <w:widowControl w:val="0"/>
      </w:pPr>
    </w:p>
    <w:p w:rsidR="00DF33A9" w:rsidRPr="00020F12" w:rsidRDefault="00DF33A9" w:rsidP="00DF33A9">
      <w:pPr>
        <w:widowControl w:val="0"/>
        <w:jc w:val="center"/>
        <w:rPr>
          <w:lang w:val="fr-CA"/>
        </w:rPr>
      </w:pPr>
      <w:r w:rsidRPr="00020F12">
        <w:rPr>
          <w:b/>
          <w:lang w:val="fr-CA"/>
        </w:rPr>
        <w:t>JUGEMENT SUR APPEL</w:t>
      </w:r>
    </w:p>
    <w:p w:rsidR="00DF33A9" w:rsidRPr="00020F12" w:rsidRDefault="00DF33A9" w:rsidP="00DF33A9">
      <w:pPr>
        <w:widowControl w:val="0"/>
        <w:rPr>
          <w:lang w:val="fr-CA"/>
        </w:rPr>
      </w:pPr>
    </w:p>
    <w:p w:rsidR="00DF33A9" w:rsidRPr="00020F12" w:rsidRDefault="00DF33A9" w:rsidP="00DF33A9">
      <w:pPr>
        <w:widowControl w:val="0"/>
        <w:rPr>
          <w:b/>
          <w:lang w:val="fr-CA"/>
        </w:rPr>
      </w:pPr>
      <w:r w:rsidRPr="00020F12">
        <w:rPr>
          <w:b/>
          <w:lang w:val="fr-CA"/>
        </w:rPr>
        <w:t xml:space="preserve">Le </w:t>
      </w:r>
      <w:r w:rsidR="00936C68">
        <w:rPr>
          <w:b/>
          <w:lang w:val="fr-CA"/>
        </w:rPr>
        <w:t>14</w:t>
      </w:r>
      <w:r w:rsidR="004972A6" w:rsidRPr="00020F12">
        <w:rPr>
          <w:b/>
          <w:lang w:val="fr-CA"/>
        </w:rPr>
        <w:t xml:space="preserve"> </w:t>
      </w:r>
      <w:r w:rsidR="00936C68">
        <w:rPr>
          <w:b/>
          <w:lang w:val="fr-CA"/>
        </w:rPr>
        <w:t>octobre</w:t>
      </w:r>
      <w:r w:rsidR="00BB1936" w:rsidRPr="00020F12">
        <w:rPr>
          <w:b/>
          <w:lang w:val="fr-CA"/>
        </w:rPr>
        <w:t xml:space="preserve"> </w:t>
      </w:r>
      <w:r w:rsidR="004972A6" w:rsidRPr="00020F12">
        <w:rPr>
          <w:b/>
          <w:lang w:val="fr-CA"/>
        </w:rPr>
        <w:t>2016</w:t>
      </w:r>
    </w:p>
    <w:p w:rsidR="00DF33A9" w:rsidRPr="00020F12" w:rsidRDefault="00DF33A9" w:rsidP="00DF33A9">
      <w:pPr>
        <w:widowControl w:val="0"/>
        <w:rPr>
          <w:b/>
          <w:lang w:val="fr-CA"/>
        </w:rPr>
      </w:pPr>
      <w:r w:rsidRPr="00020F12">
        <w:rPr>
          <w:b/>
          <w:lang w:val="fr-CA"/>
        </w:rPr>
        <w:t>Pour diffusion immédiate</w:t>
      </w:r>
    </w:p>
    <w:p w:rsidR="00DF33A9" w:rsidRPr="00020F12" w:rsidRDefault="00DF33A9" w:rsidP="00DF33A9">
      <w:pPr>
        <w:widowControl w:val="0"/>
        <w:rPr>
          <w:b/>
          <w:lang w:val="fr-CA"/>
        </w:rPr>
      </w:pPr>
    </w:p>
    <w:p w:rsidR="00DF33A9" w:rsidRPr="00020F12" w:rsidRDefault="00DF33A9" w:rsidP="00DF33A9">
      <w:pPr>
        <w:widowControl w:val="0"/>
        <w:rPr>
          <w:lang w:val="fr-CA"/>
        </w:rPr>
      </w:pPr>
      <w:r w:rsidRPr="00020F12">
        <w:rPr>
          <w:b/>
          <w:lang w:val="fr-CA"/>
        </w:rPr>
        <w:t>OTTAWA</w:t>
      </w:r>
      <w:r w:rsidRPr="00020F12">
        <w:rPr>
          <w:lang w:val="fr-CA"/>
        </w:rPr>
        <w:t xml:space="preserve"> – La Cour suprême du Canada a déposé aujourd’hui auprès du registraire</w:t>
      </w:r>
      <w:r w:rsidR="005A20DF" w:rsidRPr="00020F12">
        <w:rPr>
          <w:lang w:val="fr-CA"/>
        </w:rPr>
        <w:t xml:space="preserve"> </w:t>
      </w:r>
      <w:r w:rsidR="004972A6" w:rsidRPr="00020F12">
        <w:rPr>
          <w:lang w:val="fr-CA"/>
        </w:rPr>
        <w:t xml:space="preserve"> le jugement dans l'appel suivant.</w:t>
      </w:r>
    </w:p>
    <w:p w:rsidR="00DF33A9" w:rsidRPr="00020F12" w:rsidRDefault="00DF33A9" w:rsidP="00DF33A9">
      <w:pPr>
        <w:widowControl w:val="0"/>
        <w:rPr>
          <w:lang w:val="fr-CA"/>
        </w:rPr>
      </w:pPr>
    </w:p>
    <w:p w:rsidR="00DF33A9" w:rsidRPr="00020F12" w:rsidRDefault="00DF33A9"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020F12">
        <w:rPr>
          <w:lang w:val="fr-CA"/>
        </w:rPr>
        <w:t xml:space="preserve">Motifs de jugement disponibles sous peu à: </w:t>
      </w:r>
      <w:hyperlink r:id="rId7" w:history="1">
        <w:r w:rsidR="002006F9" w:rsidRPr="00020F12">
          <w:rPr>
            <w:rStyle w:val="Hyperlink"/>
            <w:lang w:val="fr-CA"/>
          </w:rPr>
          <w:t>http://scc-csc.lexum.com/scc-csc/fr/nav.do</w:t>
        </w:r>
      </w:hyperlink>
      <w:r w:rsidR="006E047B" w:rsidRPr="00020F12">
        <w:rPr>
          <w:rStyle w:val="Hyperlink"/>
          <w:color w:val="auto"/>
          <w:u w:val="none"/>
          <w:lang w:val="fr-CA"/>
        </w:rPr>
        <w:t>.</w:t>
      </w:r>
    </w:p>
    <w:p w:rsidR="002006F9" w:rsidRPr="00691E2A" w:rsidRDefault="002006F9" w:rsidP="00DF33A9">
      <w:pPr>
        <w:tabs>
          <w:tab w:val="left" w:pos="720"/>
          <w:tab w:val="left" w:pos="1296"/>
          <w:tab w:val="left" w:pos="2160"/>
          <w:tab w:val="left" w:pos="2880"/>
          <w:tab w:val="left" w:pos="4320"/>
          <w:tab w:val="left" w:pos="10224"/>
          <w:tab w:val="left" w:pos="11376"/>
        </w:tabs>
        <w:jc w:val="both"/>
      </w:pPr>
      <w:bookmarkStart w:id="0" w:name="_GoBack"/>
      <w:bookmarkEnd w:id="0"/>
    </w:p>
    <w:p w:rsidR="00DF33A9" w:rsidRPr="00020F12" w:rsidRDefault="00FD76D1" w:rsidP="00DF33A9">
      <w:pPr>
        <w:widowControl w:val="0"/>
        <w:rPr>
          <w:sz w:val="20"/>
          <w:lang w:val="fr-CA"/>
        </w:rPr>
      </w:pPr>
      <w:r w:rsidRPr="00020F12">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020F12" w:rsidRDefault="00DF33A9" w:rsidP="00254A42">
      <w:pPr>
        <w:jc w:val="both"/>
        <w:outlineLvl w:val="0"/>
        <w:rPr>
          <w:sz w:val="20"/>
          <w:lang w:val="fr-CA"/>
        </w:rPr>
      </w:pPr>
    </w:p>
    <w:p w:rsidR="00530398" w:rsidRPr="00A513CA" w:rsidRDefault="00530398" w:rsidP="00530398">
      <w:pPr>
        <w:ind w:left="1440" w:hanging="1440"/>
        <w:jc w:val="both"/>
        <w:rPr>
          <w:sz w:val="20"/>
        </w:rPr>
      </w:pPr>
      <w:r w:rsidRPr="00020F12">
        <w:rPr>
          <w:b/>
          <w:sz w:val="20"/>
        </w:rPr>
        <w:fldChar w:fldCharType="begin"/>
      </w:r>
      <w:r w:rsidRPr="00020F12">
        <w:rPr>
          <w:b/>
          <w:sz w:val="20"/>
        </w:rPr>
        <w:instrText xml:space="preserve"> SEQ CHAPTER \h \r 1</w:instrText>
      </w:r>
      <w:r w:rsidRPr="00020F12">
        <w:rPr>
          <w:b/>
          <w:sz w:val="20"/>
        </w:rPr>
        <w:fldChar w:fldCharType="end"/>
      </w:r>
      <w:r w:rsidRPr="00020F12">
        <w:rPr>
          <w:b/>
          <w:sz w:val="20"/>
        </w:rPr>
        <w:t>3</w:t>
      </w:r>
      <w:r w:rsidR="00D93264" w:rsidRPr="00020F12">
        <w:rPr>
          <w:b/>
          <w:sz w:val="20"/>
        </w:rPr>
        <w:t>6</w:t>
      </w:r>
      <w:r w:rsidR="00936C68">
        <w:rPr>
          <w:b/>
          <w:sz w:val="20"/>
        </w:rPr>
        <w:t>165</w:t>
      </w:r>
      <w:r w:rsidRPr="00020F12">
        <w:rPr>
          <w:color w:val="FF0000"/>
          <w:sz w:val="20"/>
        </w:rPr>
        <w:tab/>
      </w:r>
      <w:r w:rsidR="00E80D2E" w:rsidRPr="00A513CA">
        <w:rPr>
          <w:b/>
          <w:iCs/>
          <w:sz w:val="20"/>
          <w:u w:val="single"/>
        </w:rPr>
        <w:t>Conférence des juges de paix magistrats du Québec, Christine Auger, Jacques Barbès, Réjean Bédard, Dominique Benoît, Georges Benoît, Michel Boissonneault, Suzanne Bousquet, Sylvie Desmeules, Julie Dionne, Marie-Chantal Doucet, Louis Duguay, Gaby Dumas, Nathalie Duperron Roy, Réna Émond, Pierre Fortin, Louise Gallant, Marie-Josée Hénault, François Kouri, Jean-Georges Laliberté, Robert Lanctôt, Luc Marchildon, Sylvie Marcotte, Nicole Martin, Danielle Michaud, Gilles Michaud, Lucie Morissette, Monique Perron, Jean-Gilles Racicot, Gaétan Ratté, Marc Renaud, Rosaire Vallières, Pierre Verrette, Johanne White, Gilles Pigeon, Léopold Goulet, Yannick Couture Marie-Claude Bélanger et Patricia Compagnone c. Procureure générale du Québec et Ministre de la justice du Québec – et – Procureur général du Canada, procureur général de l’Ontario, Conférence des juges de la Cour du Québec et Association des juges de paix de l’Ontario</w:t>
      </w:r>
      <w:r w:rsidR="00E80D2E" w:rsidRPr="00A513CA">
        <w:rPr>
          <w:iCs/>
          <w:sz w:val="20"/>
        </w:rPr>
        <w:t xml:space="preserve"> </w:t>
      </w:r>
      <w:r w:rsidR="00D93264" w:rsidRPr="00A513CA">
        <w:rPr>
          <w:iCs/>
          <w:sz w:val="20"/>
        </w:rPr>
        <w:t>(</w:t>
      </w:r>
      <w:r w:rsidR="00936C68" w:rsidRPr="00A513CA">
        <w:rPr>
          <w:iCs/>
          <w:sz w:val="20"/>
        </w:rPr>
        <w:t>Qc</w:t>
      </w:r>
      <w:r w:rsidR="00D93264" w:rsidRPr="00A513CA">
        <w:rPr>
          <w:iCs/>
          <w:sz w:val="20"/>
        </w:rPr>
        <w:t>)</w:t>
      </w:r>
    </w:p>
    <w:p w:rsidR="00530398" w:rsidRPr="00020F12"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A513CA">
        <w:rPr>
          <w:b/>
          <w:sz w:val="20"/>
        </w:rPr>
        <w:t xml:space="preserve">2016 SCC </w:t>
      </w:r>
      <w:r w:rsidR="0017316D" w:rsidRPr="00A513CA">
        <w:rPr>
          <w:b/>
          <w:sz w:val="20"/>
        </w:rPr>
        <w:t>3</w:t>
      </w:r>
      <w:r w:rsidR="00936C68" w:rsidRPr="00A513CA">
        <w:rPr>
          <w:b/>
          <w:sz w:val="20"/>
        </w:rPr>
        <w:t>9</w:t>
      </w:r>
      <w:r w:rsidRPr="00A513CA">
        <w:rPr>
          <w:b/>
          <w:sz w:val="20"/>
        </w:rPr>
        <w:t xml:space="preserve"> / 2016 CSC </w:t>
      </w:r>
      <w:r w:rsidR="0017316D" w:rsidRPr="00A513CA">
        <w:rPr>
          <w:b/>
          <w:sz w:val="20"/>
        </w:rPr>
        <w:t>3</w:t>
      </w:r>
      <w:r w:rsidR="00936C68" w:rsidRPr="00A513CA">
        <w:rPr>
          <w:b/>
          <w:sz w:val="20"/>
        </w:rPr>
        <w:t>9</w:t>
      </w:r>
    </w:p>
    <w:p w:rsidR="00530398" w:rsidRPr="00020F12"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530398" w:rsidRPr="00020F12" w:rsidRDefault="00530398" w:rsidP="002A194F">
      <w:pPr>
        <w:ind w:left="1440" w:hanging="1440"/>
        <w:rPr>
          <w:sz w:val="20"/>
        </w:rPr>
      </w:pPr>
      <w:r w:rsidRPr="00020F12">
        <w:rPr>
          <w:sz w:val="20"/>
        </w:rPr>
        <w:t>Coram:</w:t>
      </w:r>
      <w:r w:rsidRPr="00020F12">
        <w:rPr>
          <w:sz w:val="20"/>
        </w:rPr>
        <w:tab/>
      </w:r>
      <w:r w:rsidR="00936C68">
        <w:rPr>
          <w:sz w:val="20"/>
          <w:u w:val="single"/>
        </w:rPr>
        <w:t>La juge en chef M</w:t>
      </w:r>
      <w:r w:rsidR="002A194F" w:rsidRPr="00020F12">
        <w:rPr>
          <w:sz w:val="20"/>
          <w:u w:val="single"/>
        </w:rPr>
        <w:t>cLachlin</w:t>
      </w:r>
      <w:r w:rsidR="005E3E28" w:rsidRPr="00020F12">
        <w:rPr>
          <w:sz w:val="20"/>
          <w:u w:val="single"/>
        </w:rPr>
        <w:t xml:space="preserve"> </w:t>
      </w:r>
      <w:r w:rsidR="00936C68">
        <w:rPr>
          <w:sz w:val="20"/>
          <w:u w:val="single"/>
        </w:rPr>
        <w:t>et les juges</w:t>
      </w:r>
      <w:r w:rsidR="002A194F" w:rsidRPr="00020F12">
        <w:rPr>
          <w:sz w:val="20"/>
          <w:u w:val="single"/>
        </w:rPr>
        <w:t xml:space="preserve"> </w:t>
      </w:r>
      <w:r w:rsidR="00936C68">
        <w:rPr>
          <w:sz w:val="20"/>
          <w:u w:val="single"/>
        </w:rPr>
        <w:t xml:space="preserve">Abella, </w:t>
      </w:r>
      <w:r w:rsidR="002A194F" w:rsidRPr="00020F12">
        <w:rPr>
          <w:sz w:val="20"/>
          <w:u w:val="single"/>
        </w:rPr>
        <w:t xml:space="preserve">Cromwell, </w:t>
      </w:r>
      <w:r w:rsidR="005E3E28" w:rsidRPr="00020F12">
        <w:rPr>
          <w:sz w:val="20"/>
          <w:u w:val="single"/>
        </w:rPr>
        <w:t xml:space="preserve">Moldaver, </w:t>
      </w:r>
      <w:r w:rsidR="002A194F" w:rsidRPr="00020F12">
        <w:rPr>
          <w:sz w:val="20"/>
          <w:u w:val="single"/>
        </w:rPr>
        <w:t xml:space="preserve">Karakatsanis, Wagner, </w:t>
      </w:r>
      <w:r w:rsidR="00936C68">
        <w:rPr>
          <w:sz w:val="20"/>
          <w:u w:val="single"/>
        </w:rPr>
        <w:t xml:space="preserve">Gascon, </w:t>
      </w:r>
      <w:r w:rsidR="002A194F" w:rsidRPr="00020F12">
        <w:rPr>
          <w:sz w:val="20"/>
          <w:u w:val="single"/>
        </w:rPr>
        <w:t>Côté</w:t>
      </w:r>
      <w:r w:rsidR="005E3E28" w:rsidRPr="00020F12">
        <w:rPr>
          <w:sz w:val="20"/>
          <w:u w:val="single"/>
        </w:rPr>
        <w:t xml:space="preserve"> </w:t>
      </w:r>
      <w:r w:rsidR="00936C68">
        <w:rPr>
          <w:sz w:val="20"/>
          <w:u w:val="single"/>
        </w:rPr>
        <w:t>et Brown</w:t>
      </w:r>
    </w:p>
    <w:p w:rsidR="002A194F" w:rsidRPr="00643A6E" w:rsidRDefault="002A194F" w:rsidP="002A194F">
      <w:pPr>
        <w:ind w:left="1440" w:hanging="1440"/>
        <w:rPr>
          <w:sz w:val="20"/>
        </w:rPr>
      </w:pPr>
    </w:p>
    <w:p w:rsidR="00643A6E" w:rsidRPr="00643A6E" w:rsidRDefault="00643A6E" w:rsidP="00643A6E">
      <w:pPr>
        <w:jc w:val="both"/>
        <w:rPr>
          <w:rFonts w:eastAsiaTheme="minorEastAsia"/>
          <w:sz w:val="20"/>
          <w:lang w:eastAsia="en-CA"/>
        </w:rPr>
      </w:pPr>
      <w:r w:rsidRPr="00643A6E">
        <w:rPr>
          <w:sz w:val="20"/>
        </w:rPr>
        <w:t xml:space="preserve">L’appel interjeté contre l’arrêt de la Cour d’appel du Québec (Montréal), numéro 500-09-022600-126, 2014 QCCA 1654, daté du 11 septembre 2014, entendu le 18 janvier 2016, est </w:t>
      </w:r>
      <w:r w:rsidRPr="00643A6E">
        <w:rPr>
          <w:rFonts w:eastAsiaTheme="minorEastAsia"/>
          <w:sz w:val="20"/>
          <w:lang w:eastAsia="en-CA"/>
        </w:rPr>
        <w:t>accueilli en partie, avec dépens en faveur des  appelants. Les questions constitutionnelles reçoivent les réponses suivantes :</w:t>
      </w:r>
    </w:p>
    <w:p w:rsidR="00643A6E" w:rsidRPr="00643A6E" w:rsidRDefault="00643A6E" w:rsidP="00643A6E">
      <w:pPr>
        <w:jc w:val="both"/>
        <w:rPr>
          <w:sz w:val="20"/>
        </w:rPr>
      </w:pPr>
    </w:p>
    <w:p w:rsidR="00643A6E" w:rsidRPr="00643A6E" w:rsidRDefault="00643A6E" w:rsidP="00643A6E">
      <w:pPr>
        <w:pStyle w:val="ListParagraph"/>
        <w:widowControl/>
        <w:numPr>
          <w:ilvl w:val="0"/>
          <w:numId w:val="1"/>
        </w:numPr>
        <w:jc w:val="both"/>
        <w:rPr>
          <w:rFonts w:eastAsiaTheme="minorEastAsia"/>
          <w:sz w:val="20"/>
          <w:szCs w:val="20"/>
          <w:lang w:val="fr-CA" w:eastAsia="en-CA"/>
        </w:rPr>
      </w:pPr>
      <w:r w:rsidRPr="00643A6E">
        <w:rPr>
          <w:rFonts w:eastAsiaTheme="minorEastAsia"/>
          <w:sz w:val="20"/>
          <w:szCs w:val="20"/>
          <w:lang w:val="fr-CA" w:eastAsia="en-CA"/>
        </w:rPr>
        <w:t xml:space="preserve">Les articles 27, 30 et 32 de la </w:t>
      </w:r>
      <w:r w:rsidRPr="00643A6E">
        <w:rPr>
          <w:rFonts w:eastAsiaTheme="minorEastAsia"/>
          <w:i/>
          <w:iCs/>
          <w:sz w:val="20"/>
          <w:szCs w:val="20"/>
          <w:lang w:val="fr-CA" w:eastAsia="en-CA"/>
        </w:rPr>
        <w:t>Loi modifiant la Loi sur les tribunaux judiciaires et d’autres dispositions législatives eu égard au statut des juges de paix</w:t>
      </w:r>
      <w:r w:rsidRPr="00643A6E">
        <w:rPr>
          <w:rFonts w:eastAsiaTheme="minorEastAsia"/>
          <w:sz w:val="20"/>
          <w:szCs w:val="20"/>
          <w:lang w:val="fr-CA" w:eastAsia="en-CA"/>
        </w:rPr>
        <w:t>, L.Q. 2004, c. 12, contreviennent-ils au principe d’indépendance judiciaire garanti par :</w:t>
      </w:r>
    </w:p>
    <w:p w:rsidR="00643A6E" w:rsidRPr="00643A6E" w:rsidRDefault="00643A6E" w:rsidP="00643A6E">
      <w:pPr>
        <w:pStyle w:val="ListParagraph"/>
        <w:jc w:val="both"/>
        <w:rPr>
          <w:rFonts w:eastAsiaTheme="minorEastAsia"/>
          <w:sz w:val="20"/>
          <w:szCs w:val="20"/>
          <w:lang w:val="fr-CA" w:eastAsia="en-CA"/>
        </w:rPr>
      </w:pPr>
    </w:p>
    <w:p w:rsidR="00643A6E" w:rsidRPr="00643A6E" w:rsidRDefault="00643A6E" w:rsidP="00643A6E">
      <w:pPr>
        <w:pStyle w:val="ListParagraph"/>
        <w:widowControl/>
        <w:numPr>
          <w:ilvl w:val="0"/>
          <w:numId w:val="2"/>
        </w:numPr>
        <w:jc w:val="both"/>
        <w:rPr>
          <w:rFonts w:eastAsiaTheme="minorEastAsia"/>
          <w:sz w:val="20"/>
          <w:szCs w:val="20"/>
          <w:lang w:val="fr-CA" w:eastAsia="en-CA"/>
        </w:rPr>
      </w:pPr>
      <w:r w:rsidRPr="00643A6E">
        <w:rPr>
          <w:rFonts w:eastAsiaTheme="minorEastAsia"/>
          <w:sz w:val="20"/>
          <w:szCs w:val="20"/>
          <w:lang w:val="fr-CA" w:eastAsia="en-CA"/>
        </w:rPr>
        <w:t xml:space="preserve">la </w:t>
      </w:r>
      <w:r w:rsidRPr="00643A6E">
        <w:rPr>
          <w:rFonts w:eastAsiaTheme="minorEastAsia"/>
          <w:i/>
          <w:iCs/>
          <w:sz w:val="20"/>
          <w:szCs w:val="20"/>
          <w:lang w:val="fr-CA" w:eastAsia="en-CA"/>
        </w:rPr>
        <w:t xml:space="preserve">Loi constitutionnelle de 1867 </w:t>
      </w:r>
      <w:r w:rsidRPr="00643A6E">
        <w:rPr>
          <w:rFonts w:eastAsiaTheme="minorEastAsia"/>
          <w:sz w:val="20"/>
          <w:szCs w:val="20"/>
          <w:lang w:val="fr-CA" w:eastAsia="en-CA"/>
        </w:rPr>
        <w:t>ou</w:t>
      </w:r>
    </w:p>
    <w:p w:rsidR="00643A6E" w:rsidRPr="00643A6E" w:rsidRDefault="00643A6E" w:rsidP="00643A6E">
      <w:pPr>
        <w:autoSpaceDE w:val="0"/>
        <w:autoSpaceDN w:val="0"/>
        <w:adjustRightInd w:val="0"/>
        <w:jc w:val="both"/>
        <w:rPr>
          <w:rFonts w:eastAsiaTheme="minorEastAsia"/>
          <w:sz w:val="20"/>
          <w:lang w:eastAsia="en-CA"/>
        </w:rPr>
      </w:pPr>
    </w:p>
    <w:p w:rsidR="00643A6E" w:rsidRPr="00643A6E" w:rsidRDefault="00643A6E" w:rsidP="00643A6E">
      <w:pPr>
        <w:pStyle w:val="ListParagraph"/>
        <w:widowControl/>
        <w:numPr>
          <w:ilvl w:val="0"/>
          <w:numId w:val="2"/>
        </w:numPr>
        <w:jc w:val="both"/>
        <w:rPr>
          <w:rFonts w:eastAsiaTheme="minorEastAsia"/>
          <w:sz w:val="20"/>
          <w:szCs w:val="20"/>
          <w:lang w:val="fr-CA" w:eastAsia="en-CA"/>
        </w:rPr>
      </w:pPr>
      <w:r w:rsidRPr="00643A6E">
        <w:rPr>
          <w:rFonts w:eastAsiaTheme="minorEastAsia"/>
          <w:sz w:val="20"/>
          <w:szCs w:val="20"/>
          <w:lang w:val="fr-CA" w:eastAsia="en-CA"/>
        </w:rPr>
        <w:t>l’alinéa 11</w:t>
      </w:r>
      <w:r w:rsidRPr="00643A6E">
        <w:rPr>
          <w:rFonts w:eastAsiaTheme="minorEastAsia"/>
          <w:i/>
          <w:iCs/>
          <w:sz w:val="20"/>
          <w:szCs w:val="20"/>
          <w:lang w:val="fr-CA" w:eastAsia="en-CA"/>
        </w:rPr>
        <w:t>d</w:t>
      </w:r>
      <w:r w:rsidRPr="00643A6E">
        <w:rPr>
          <w:rFonts w:eastAsiaTheme="minorEastAsia"/>
          <w:sz w:val="20"/>
          <w:szCs w:val="20"/>
          <w:lang w:val="fr-CA" w:eastAsia="en-CA"/>
        </w:rPr>
        <w:t xml:space="preserve">) de la </w:t>
      </w:r>
      <w:r w:rsidRPr="00643A6E">
        <w:rPr>
          <w:rFonts w:eastAsiaTheme="minorEastAsia"/>
          <w:i/>
          <w:iCs/>
          <w:sz w:val="20"/>
          <w:szCs w:val="20"/>
          <w:lang w:val="fr-CA" w:eastAsia="en-CA"/>
        </w:rPr>
        <w:t>Charte canadienne des droits et libertés</w:t>
      </w:r>
      <w:r w:rsidRPr="00643A6E">
        <w:rPr>
          <w:rFonts w:eastAsiaTheme="minorEastAsia"/>
          <w:sz w:val="20"/>
          <w:szCs w:val="20"/>
          <w:lang w:val="fr-CA" w:eastAsia="en-CA"/>
        </w:rPr>
        <w:t>?</w:t>
      </w:r>
    </w:p>
    <w:p w:rsidR="00643A6E" w:rsidRPr="00291AE6" w:rsidRDefault="00643A6E" w:rsidP="00643A6E">
      <w:pPr>
        <w:pStyle w:val="ListParagraph"/>
        <w:ind w:left="662"/>
        <w:jc w:val="both"/>
        <w:rPr>
          <w:rFonts w:eastAsiaTheme="minorEastAsia"/>
          <w:sz w:val="20"/>
          <w:szCs w:val="20"/>
          <w:lang w:val="fr-CA" w:eastAsia="en-CA"/>
        </w:rPr>
      </w:pPr>
    </w:p>
    <w:p w:rsidR="00643A6E" w:rsidRPr="00643A6E" w:rsidRDefault="00643A6E" w:rsidP="00643A6E">
      <w:pPr>
        <w:pStyle w:val="ListParagraph"/>
        <w:ind w:left="752"/>
        <w:jc w:val="both"/>
        <w:rPr>
          <w:rFonts w:eastAsiaTheme="minorEastAsia"/>
          <w:sz w:val="20"/>
          <w:szCs w:val="20"/>
          <w:lang w:val="fr-CA" w:eastAsia="en-CA"/>
        </w:rPr>
      </w:pPr>
      <w:r w:rsidRPr="00643A6E">
        <w:rPr>
          <w:rFonts w:eastAsiaTheme="minorEastAsia"/>
          <w:sz w:val="20"/>
          <w:szCs w:val="20"/>
          <w:u w:val="single"/>
          <w:lang w:val="fr-CA" w:eastAsia="en-CA"/>
        </w:rPr>
        <w:t>Réponse</w:t>
      </w:r>
      <w:r w:rsidRPr="00643A6E">
        <w:rPr>
          <w:rFonts w:eastAsiaTheme="minorEastAsia"/>
          <w:sz w:val="20"/>
          <w:szCs w:val="20"/>
          <w:lang w:val="fr-CA" w:eastAsia="en-CA"/>
        </w:rPr>
        <w:t xml:space="preserve"> : Les articles 27, 30 et 32 de la </w:t>
      </w:r>
      <w:r w:rsidRPr="00643A6E">
        <w:rPr>
          <w:rFonts w:eastAsiaTheme="minorEastAsia"/>
          <w:iCs/>
          <w:sz w:val="20"/>
          <w:szCs w:val="20"/>
          <w:lang w:val="fr-CA" w:eastAsia="en-CA"/>
        </w:rPr>
        <w:t>Loi</w:t>
      </w:r>
      <w:r w:rsidRPr="00643A6E">
        <w:rPr>
          <w:rFonts w:eastAsiaTheme="minorEastAsia"/>
          <w:i/>
          <w:iCs/>
          <w:sz w:val="20"/>
          <w:szCs w:val="20"/>
          <w:lang w:val="fr-CA" w:eastAsia="en-CA"/>
        </w:rPr>
        <w:t xml:space="preserve"> </w:t>
      </w:r>
      <w:r w:rsidRPr="00643A6E">
        <w:rPr>
          <w:rFonts w:eastAsiaTheme="minorEastAsia"/>
          <w:sz w:val="20"/>
          <w:szCs w:val="20"/>
          <w:lang w:val="fr-CA" w:eastAsia="en-CA"/>
        </w:rPr>
        <w:t>contreviennent au principe de l’indépendance judiciaire.</w:t>
      </w:r>
    </w:p>
    <w:p w:rsidR="00643A6E" w:rsidRPr="00643A6E" w:rsidRDefault="00643A6E" w:rsidP="00643A6E">
      <w:pPr>
        <w:pStyle w:val="ListParagraph"/>
        <w:ind w:left="1022" w:hanging="1022"/>
        <w:jc w:val="both"/>
        <w:rPr>
          <w:rFonts w:eastAsiaTheme="minorEastAsia"/>
          <w:sz w:val="20"/>
          <w:szCs w:val="20"/>
          <w:lang w:val="fr-CA" w:eastAsia="en-CA"/>
        </w:rPr>
      </w:pPr>
    </w:p>
    <w:p w:rsidR="00643A6E" w:rsidRPr="00643A6E" w:rsidRDefault="00643A6E" w:rsidP="00643A6E">
      <w:pPr>
        <w:pStyle w:val="ListParagraph"/>
        <w:widowControl/>
        <w:numPr>
          <w:ilvl w:val="0"/>
          <w:numId w:val="1"/>
        </w:numPr>
        <w:jc w:val="both"/>
        <w:rPr>
          <w:rFonts w:eastAsiaTheme="minorEastAsia"/>
          <w:sz w:val="20"/>
          <w:szCs w:val="20"/>
          <w:lang w:val="fr-CA" w:eastAsia="en-CA"/>
        </w:rPr>
      </w:pPr>
      <w:r w:rsidRPr="00643A6E">
        <w:rPr>
          <w:rFonts w:eastAsiaTheme="minorEastAsia"/>
          <w:sz w:val="20"/>
          <w:szCs w:val="20"/>
          <w:lang w:val="fr-CA" w:eastAsia="en-CA"/>
        </w:rPr>
        <w:t>Dans l’affirmative, quant à l’al. 11</w:t>
      </w:r>
      <w:r w:rsidRPr="00643A6E">
        <w:rPr>
          <w:rFonts w:eastAsiaTheme="minorEastAsia"/>
          <w:i/>
          <w:iCs/>
          <w:sz w:val="20"/>
          <w:szCs w:val="20"/>
          <w:lang w:val="fr-CA" w:eastAsia="en-CA"/>
        </w:rPr>
        <w:t>d</w:t>
      </w:r>
      <w:r w:rsidRPr="00643A6E">
        <w:rPr>
          <w:rFonts w:eastAsiaTheme="minorEastAsia"/>
          <w:sz w:val="20"/>
          <w:szCs w:val="20"/>
          <w:lang w:val="fr-CA" w:eastAsia="en-CA"/>
        </w:rPr>
        <w:t xml:space="preserve">) de la </w:t>
      </w:r>
      <w:r w:rsidRPr="00643A6E">
        <w:rPr>
          <w:rFonts w:eastAsiaTheme="minorEastAsia"/>
          <w:i/>
          <w:iCs/>
          <w:sz w:val="20"/>
          <w:szCs w:val="20"/>
          <w:lang w:val="fr-CA" w:eastAsia="en-CA"/>
        </w:rPr>
        <w:t>Charte canadienne des droits et libertés</w:t>
      </w:r>
      <w:r w:rsidRPr="00643A6E">
        <w:rPr>
          <w:rFonts w:eastAsiaTheme="minorEastAsia"/>
          <w:sz w:val="20"/>
          <w:szCs w:val="20"/>
          <w:lang w:val="fr-CA" w:eastAsia="en-CA"/>
        </w:rPr>
        <w:t xml:space="preserve">, s’agit-il d’une atteinte portée par une règle de droit dans des limites qui sont raisonnables et dont la justification peut se démontrer dans le cadre d’une société libre et démocratique suivant l’article premier de la </w:t>
      </w:r>
      <w:r w:rsidRPr="00643A6E">
        <w:rPr>
          <w:rFonts w:eastAsiaTheme="minorEastAsia"/>
          <w:i/>
          <w:iCs/>
          <w:sz w:val="20"/>
          <w:szCs w:val="20"/>
          <w:lang w:val="fr-CA" w:eastAsia="en-CA"/>
        </w:rPr>
        <w:t>Charte</w:t>
      </w:r>
      <w:r w:rsidRPr="00643A6E">
        <w:rPr>
          <w:rFonts w:eastAsiaTheme="minorEastAsia"/>
          <w:sz w:val="20"/>
          <w:szCs w:val="20"/>
          <w:lang w:val="fr-CA" w:eastAsia="en-CA"/>
        </w:rPr>
        <w:t>?</w:t>
      </w:r>
    </w:p>
    <w:p w:rsidR="00643A6E" w:rsidRPr="00643A6E" w:rsidRDefault="00643A6E" w:rsidP="00643A6E">
      <w:pPr>
        <w:pStyle w:val="ListParagraph"/>
        <w:jc w:val="both"/>
        <w:rPr>
          <w:rFonts w:eastAsiaTheme="minorEastAsia"/>
          <w:sz w:val="20"/>
          <w:szCs w:val="20"/>
          <w:lang w:val="fr-CA" w:eastAsia="en-CA"/>
        </w:rPr>
      </w:pPr>
    </w:p>
    <w:p w:rsidR="00643A6E" w:rsidRPr="00643A6E" w:rsidRDefault="00643A6E" w:rsidP="00643A6E">
      <w:pPr>
        <w:pStyle w:val="ListParagraph"/>
        <w:jc w:val="both"/>
        <w:rPr>
          <w:rFonts w:eastAsiaTheme="minorEastAsia"/>
          <w:sz w:val="20"/>
          <w:szCs w:val="20"/>
          <w:lang w:val="fr-CA" w:eastAsia="en-CA"/>
        </w:rPr>
      </w:pPr>
      <w:r w:rsidRPr="00643A6E">
        <w:rPr>
          <w:rFonts w:eastAsiaTheme="minorEastAsia"/>
          <w:sz w:val="20"/>
          <w:szCs w:val="20"/>
          <w:u w:val="single"/>
          <w:lang w:eastAsia="en-CA"/>
        </w:rPr>
        <w:t>Réponse</w:t>
      </w:r>
      <w:r w:rsidRPr="00643A6E">
        <w:rPr>
          <w:rFonts w:eastAsiaTheme="minorEastAsia"/>
          <w:sz w:val="20"/>
          <w:szCs w:val="20"/>
          <w:lang w:eastAsia="en-CA"/>
        </w:rPr>
        <w:t> : Non.</w:t>
      </w:r>
    </w:p>
    <w:p w:rsidR="00643A6E" w:rsidRPr="00643A6E" w:rsidRDefault="00643A6E" w:rsidP="00643A6E">
      <w:pPr>
        <w:autoSpaceDE w:val="0"/>
        <w:autoSpaceDN w:val="0"/>
        <w:adjustRightInd w:val="0"/>
        <w:jc w:val="both"/>
        <w:rPr>
          <w:rFonts w:eastAsiaTheme="minorEastAsia"/>
          <w:sz w:val="20"/>
          <w:lang w:eastAsia="en-CA"/>
        </w:rPr>
      </w:pPr>
    </w:p>
    <w:p w:rsidR="00643A6E" w:rsidRPr="00643A6E" w:rsidRDefault="00643A6E" w:rsidP="00643A6E">
      <w:pPr>
        <w:pStyle w:val="ListParagraph"/>
        <w:widowControl/>
        <w:numPr>
          <w:ilvl w:val="0"/>
          <w:numId w:val="1"/>
        </w:numPr>
        <w:jc w:val="both"/>
        <w:rPr>
          <w:rFonts w:eastAsiaTheme="minorEastAsia"/>
          <w:sz w:val="20"/>
          <w:szCs w:val="20"/>
          <w:lang w:val="fr-CA" w:eastAsia="en-CA"/>
        </w:rPr>
      </w:pPr>
      <w:r w:rsidRPr="00643A6E">
        <w:rPr>
          <w:rFonts w:eastAsiaTheme="minorEastAsia"/>
          <w:sz w:val="20"/>
          <w:szCs w:val="20"/>
          <w:lang w:val="fr-CA" w:eastAsia="en-CA"/>
        </w:rPr>
        <w:t xml:space="preserve">L’article 178 de la </w:t>
      </w:r>
      <w:r w:rsidRPr="00643A6E">
        <w:rPr>
          <w:rFonts w:eastAsiaTheme="minorEastAsia"/>
          <w:i/>
          <w:iCs/>
          <w:sz w:val="20"/>
          <w:szCs w:val="20"/>
          <w:lang w:val="fr-CA" w:eastAsia="en-CA"/>
        </w:rPr>
        <w:t>Loi sur les tribunaux judiciaires</w:t>
      </w:r>
      <w:r w:rsidRPr="00643A6E">
        <w:rPr>
          <w:rFonts w:eastAsiaTheme="minorEastAsia"/>
          <w:sz w:val="20"/>
          <w:szCs w:val="20"/>
          <w:lang w:val="fr-CA" w:eastAsia="en-CA"/>
        </w:rPr>
        <w:t xml:space="preserve">, RLRQ, c. T-16, tel que modifié par la </w:t>
      </w:r>
      <w:r w:rsidRPr="00643A6E">
        <w:rPr>
          <w:rFonts w:eastAsiaTheme="minorEastAsia"/>
          <w:i/>
          <w:iCs/>
          <w:sz w:val="20"/>
          <w:szCs w:val="20"/>
          <w:lang w:val="fr-CA" w:eastAsia="en-CA"/>
        </w:rPr>
        <w:t>Loi modifiant la Loi sur les tribunaux judiciaires et d’autres dispositions législatives eu égard au statut des juges de paix</w:t>
      </w:r>
      <w:r w:rsidRPr="00643A6E">
        <w:rPr>
          <w:rFonts w:eastAsiaTheme="minorEastAsia"/>
          <w:sz w:val="20"/>
          <w:szCs w:val="20"/>
          <w:lang w:val="fr-CA" w:eastAsia="en-CA"/>
        </w:rPr>
        <w:t>, L.Q. 2004, c. 12, contrevient-il au principe d’indépendance judiciaire garanti par :</w:t>
      </w:r>
    </w:p>
    <w:p w:rsidR="00643A6E" w:rsidRPr="00643A6E" w:rsidRDefault="00643A6E" w:rsidP="00643A6E">
      <w:pPr>
        <w:pStyle w:val="ListParagraph"/>
        <w:jc w:val="both"/>
        <w:rPr>
          <w:rFonts w:eastAsiaTheme="minorEastAsia"/>
          <w:sz w:val="20"/>
          <w:szCs w:val="20"/>
          <w:lang w:val="fr-CA" w:eastAsia="en-CA"/>
        </w:rPr>
      </w:pPr>
    </w:p>
    <w:p w:rsidR="00643A6E" w:rsidRPr="00643A6E" w:rsidRDefault="00643A6E" w:rsidP="00643A6E">
      <w:pPr>
        <w:pStyle w:val="ListParagraph"/>
        <w:widowControl/>
        <w:numPr>
          <w:ilvl w:val="0"/>
          <w:numId w:val="3"/>
        </w:numPr>
        <w:jc w:val="both"/>
        <w:rPr>
          <w:rFonts w:eastAsiaTheme="minorEastAsia"/>
          <w:sz w:val="20"/>
          <w:szCs w:val="20"/>
          <w:lang w:val="fr-CA" w:eastAsia="en-CA"/>
        </w:rPr>
      </w:pPr>
      <w:r w:rsidRPr="00643A6E">
        <w:rPr>
          <w:rFonts w:eastAsiaTheme="minorEastAsia"/>
          <w:sz w:val="20"/>
          <w:szCs w:val="20"/>
          <w:lang w:val="fr-CA" w:eastAsia="en-CA"/>
        </w:rPr>
        <w:t xml:space="preserve">la </w:t>
      </w:r>
      <w:r w:rsidRPr="00643A6E">
        <w:rPr>
          <w:rFonts w:eastAsiaTheme="minorEastAsia"/>
          <w:i/>
          <w:iCs/>
          <w:sz w:val="20"/>
          <w:szCs w:val="20"/>
          <w:lang w:val="fr-CA" w:eastAsia="en-CA"/>
        </w:rPr>
        <w:t xml:space="preserve">Loi constitutionnelle de 1867 </w:t>
      </w:r>
      <w:r w:rsidRPr="00643A6E">
        <w:rPr>
          <w:rFonts w:eastAsiaTheme="minorEastAsia"/>
          <w:sz w:val="20"/>
          <w:szCs w:val="20"/>
          <w:lang w:val="fr-CA" w:eastAsia="en-CA"/>
        </w:rPr>
        <w:t>ou</w:t>
      </w:r>
    </w:p>
    <w:p w:rsidR="00643A6E" w:rsidRPr="00643A6E" w:rsidRDefault="00643A6E" w:rsidP="00643A6E">
      <w:pPr>
        <w:pStyle w:val="ListParagraph"/>
        <w:ind w:left="1440"/>
        <w:jc w:val="both"/>
        <w:rPr>
          <w:rFonts w:eastAsiaTheme="minorEastAsia"/>
          <w:sz w:val="20"/>
          <w:szCs w:val="20"/>
          <w:lang w:val="fr-CA" w:eastAsia="en-CA"/>
        </w:rPr>
      </w:pPr>
    </w:p>
    <w:p w:rsidR="00643A6E" w:rsidRPr="00643A6E" w:rsidRDefault="00643A6E" w:rsidP="00643A6E">
      <w:pPr>
        <w:pStyle w:val="ListParagraph"/>
        <w:widowControl/>
        <w:numPr>
          <w:ilvl w:val="0"/>
          <w:numId w:val="3"/>
        </w:numPr>
        <w:jc w:val="both"/>
        <w:rPr>
          <w:rFonts w:eastAsiaTheme="minorEastAsia"/>
          <w:sz w:val="20"/>
          <w:szCs w:val="20"/>
          <w:lang w:val="fr-CA" w:eastAsia="en-CA"/>
        </w:rPr>
      </w:pPr>
      <w:r w:rsidRPr="00643A6E">
        <w:rPr>
          <w:rFonts w:eastAsiaTheme="minorEastAsia"/>
          <w:sz w:val="20"/>
          <w:szCs w:val="20"/>
          <w:lang w:val="fr-CA" w:eastAsia="en-CA"/>
        </w:rPr>
        <w:t>l’alinéa 11</w:t>
      </w:r>
      <w:r w:rsidRPr="00643A6E">
        <w:rPr>
          <w:rFonts w:eastAsiaTheme="minorEastAsia"/>
          <w:i/>
          <w:iCs/>
          <w:sz w:val="20"/>
          <w:szCs w:val="20"/>
          <w:lang w:val="fr-CA" w:eastAsia="en-CA"/>
        </w:rPr>
        <w:t>d</w:t>
      </w:r>
      <w:r w:rsidRPr="00643A6E">
        <w:rPr>
          <w:rFonts w:eastAsiaTheme="minorEastAsia"/>
          <w:sz w:val="20"/>
          <w:szCs w:val="20"/>
          <w:lang w:val="fr-CA" w:eastAsia="en-CA"/>
        </w:rPr>
        <w:t xml:space="preserve">) de la </w:t>
      </w:r>
      <w:r w:rsidRPr="00643A6E">
        <w:rPr>
          <w:rFonts w:eastAsiaTheme="minorEastAsia"/>
          <w:i/>
          <w:iCs/>
          <w:sz w:val="20"/>
          <w:szCs w:val="20"/>
          <w:lang w:val="fr-CA" w:eastAsia="en-CA"/>
        </w:rPr>
        <w:t>Charte canadienne des droits et libertés</w:t>
      </w:r>
      <w:r w:rsidRPr="00643A6E">
        <w:rPr>
          <w:rFonts w:eastAsiaTheme="minorEastAsia"/>
          <w:sz w:val="20"/>
          <w:szCs w:val="20"/>
          <w:lang w:val="fr-CA" w:eastAsia="en-CA"/>
        </w:rPr>
        <w:t>?</w:t>
      </w:r>
    </w:p>
    <w:p w:rsidR="00643A6E" w:rsidRPr="00643A6E" w:rsidRDefault="00643A6E" w:rsidP="00643A6E">
      <w:pPr>
        <w:pStyle w:val="ListParagraph"/>
        <w:jc w:val="both"/>
        <w:rPr>
          <w:rFonts w:eastAsiaTheme="minorEastAsia"/>
          <w:sz w:val="20"/>
          <w:szCs w:val="20"/>
          <w:lang w:val="fr-CA" w:eastAsia="en-CA"/>
        </w:rPr>
      </w:pPr>
    </w:p>
    <w:p w:rsidR="00643A6E" w:rsidRPr="00643A6E" w:rsidRDefault="00643A6E" w:rsidP="00643A6E">
      <w:pPr>
        <w:pStyle w:val="ListParagraph"/>
        <w:ind w:hanging="58"/>
        <w:jc w:val="both"/>
        <w:rPr>
          <w:rFonts w:eastAsiaTheme="minorEastAsia"/>
          <w:sz w:val="20"/>
          <w:szCs w:val="20"/>
          <w:lang w:val="fr-CA" w:eastAsia="en-CA"/>
        </w:rPr>
      </w:pPr>
      <w:r w:rsidRPr="00643A6E">
        <w:rPr>
          <w:rFonts w:eastAsiaTheme="minorEastAsia"/>
          <w:sz w:val="20"/>
          <w:szCs w:val="20"/>
          <w:u w:val="single"/>
          <w:lang w:val="fr-CA" w:eastAsia="en-CA"/>
        </w:rPr>
        <w:t>Réponse</w:t>
      </w:r>
      <w:r w:rsidRPr="00643A6E">
        <w:rPr>
          <w:rFonts w:eastAsiaTheme="minorEastAsia"/>
          <w:sz w:val="20"/>
          <w:szCs w:val="20"/>
          <w:lang w:val="fr-CA" w:eastAsia="en-CA"/>
        </w:rPr>
        <w:t> : Non.</w:t>
      </w:r>
    </w:p>
    <w:p w:rsidR="00643A6E" w:rsidRPr="00643A6E" w:rsidRDefault="00643A6E" w:rsidP="00643A6E">
      <w:pPr>
        <w:pStyle w:val="ListParagraph"/>
        <w:ind w:hanging="720"/>
        <w:jc w:val="both"/>
        <w:rPr>
          <w:rFonts w:eastAsiaTheme="minorEastAsia"/>
          <w:sz w:val="20"/>
          <w:szCs w:val="20"/>
          <w:lang w:val="fr-CA" w:eastAsia="en-CA"/>
        </w:rPr>
      </w:pPr>
    </w:p>
    <w:p w:rsidR="00643A6E" w:rsidRPr="00643A6E" w:rsidRDefault="00643A6E" w:rsidP="00643A6E">
      <w:pPr>
        <w:pStyle w:val="ListParagraph"/>
        <w:widowControl/>
        <w:numPr>
          <w:ilvl w:val="0"/>
          <w:numId w:val="1"/>
        </w:numPr>
        <w:jc w:val="both"/>
        <w:rPr>
          <w:rFonts w:eastAsiaTheme="minorEastAsia"/>
          <w:sz w:val="20"/>
          <w:szCs w:val="20"/>
          <w:lang w:val="fr-CA" w:eastAsia="en-CA"/>
        </w:rPr>
      </w:pPr>
      <w:r w:rsidRPr="00643A6E">
        <w:rPr>
          <w:rFonts w:eastAsiaTheme="minorEastAsia"/>
          <w:sz w:val="20"/>
          <w:szCs w:val="20"/>
          <w:lang w:val="fr-CA" w:eastAsia="en-CA"/>
        </w:rPr>
        <w:t>Dans l’affirmative, quant à l’al. 11</w:t>
      </w:r>
      <w:r w:rsidRPr="00643A6E">
        <w:rPr>
          <w:rFonts w:eastAsiaTheme="minorEastAsia"/>
          <w:i/>
          <w:iCs/>
          <w:sz w:val="20"/>
          <w:szCs w:val="20"/>
          <w:lang w:val="fr-CA" w:eastAsia="en-CA"/>
        </w:rPr>
        <w:t>d</w:t>
      </w:r>
      <w:r w:rsidRPr="00643A6E">
        <w:rPr>
          <w:rFonts w:eastAsiaTheme="minorEastAsia"/>
          <w:sz w:val="20"/>
          <w:szCs w:val="20"/>
          <w:lang w:val="fr-CA" w:eastAsia="en-CA"/>
        </w:rPr>
        <w:t xml:space="preserve">) de la </w:t>
      </w:r>
      <w:r w:rsidRPr="00643A6E">
        <w:rPr>
          <w:rFonts w:eastAsiaTheme="minorEastAsia"/>
          <w:i/>
          <w:iCs/>
          <w:sz w:val="20"/>
          <w:szCs w:val="20"/>
          <w:lang w:val="fr-CA" w:eastAsia="en-CA"/>
        </w:rPr>
        <w:t>Charte canadienne des droits et libertés</w:t>
      </w:r>
      <w:r w:rsidRPr="00643A6E">
        <w:rPr>
          <w:rFonts w:eastAsiaTheme="minorEastAsia"/>
          <w:sz w:val="20"/>
          <w:szCs w:val="20"/>
          <w:lang w:val="fr-CA" w:eastAsia="en-CA"/>
        </w:rPr>
        <w:t xml:space="preserve">, s’agit-il d’une atteinte portée par une règle de droit dans des limites qui sont raisonnables et dont la justification peut se démontrer dans le cadre d’une société libre et démocratique suivant l’article premier de la </w:t>
      </w:r>
      <w:r w:rsidRPr="00643A6E">
        <w:rPr>
          <w:rFonts w:eastAsiaTheme="minorEastAsia"/>
          <w:i/>
          <w:iCs/>
          <w:sz w:val="20"/>
          <w:szCs w:val="20"/>
          <w:lang w:val="fr-CA" w:eastAsia="en-CA"/>
        </w:rPr>
        <w:t>Charte</w:t>
      </w:r>
      <w:r w:rsidRPr="00643A6E">
        <w:rPr>
          <w:rFonts w:eastAsiaTheme="minorEastAsia"/>
          <w:sz w:val="20"/>
          <w:szCs w:val="20"/>
          <w:lang w:val="fr-CA" w:eastAsia="en-CA"/>
        </w:rPr>
        <w:t>?</w:t>
      </w:r>
    </w:p>
    <w:p w:rsidR="00643A6E" w:rsidRPr="00643A6E" w:rsidRDefault="00643A6E" w:rsidP="00643A6E">
      <w:pPr>
        <w:pStyle w:val="ListParagraph"/>
        <w:jc w:val="both"/>
        <w:rPr>
          <w:rFonts w:eastAsiaTheme="minorEastAsia"/>
          <w:sz w:val="20"/>
          <w:szCs w:val="20"/>
          <w:lang w:val="fr-CA" w:eastAsia="en-CA"/>
        </w:rPr>
      </w:pPr>
    </w:p>
    <w:p w:rsidR="00643A6E" w:rsidRPr="00643A6E" w:rsidRDefault="00643A6E" w:rsidP="00643A6E">
      <w:pPr>
        <w:pStyle w:val="ListParagraph"/>
        <w:jc w:val="both"/>
        <w:rPr>
          <w:rFonts w:eastAsiaTheme="minorEastAsia"/>
          <w:sz w:val="20"/>
          <w:szCs w:val="20"/>
          <w:lang w:val="fr-CA" w:eastAsia="en-CA"/>
        </w:rPr>
      </w:pPr>
      <w:r w:rsidRPr="00643A6E">
        <w:rPr>
          <w:rFonts w:eastAsiaTheme="minorEastAsia"/>
          <w:sz w:val="20"/>
          <w:szCs w:val="20"/>
          <w:u w:val="single"/>
          <w:lang w:val="fr-CA" w:eastAsia="en-CA"/>
        </w:rPr>
        <w:t>Réponse</w:t>
      </w:r>
      <w:r w:rsidRPr="00643A6E">
        <w:rPr>
          <w:rFonts w:eastAsiaTheme="minorEastAsia"/>
          <w:sz w:val="20"/>
          <w:szCs w:val="20"/>
          <w:lang w:val="fr-CA" w:eastAsia="en-CA"/>
        </w:rPr>
        <w:t> : Il n’est pas nécessaire de répondre à cette question.</w:t>
      </w:r>
    </w:p>
    <w:p w:rsidR="00643A6E" w:rsidRPr="00643A6E" w:rsidRDefault="00643A6E" w:rsidP="00643A6E">
      <w:pPr>
        <w:autoSpaceDE w:val="0"/>
        <w:autoSpaceDN w:val="0"/>
        <w:adjustRightInd w:val="0"/>
        <w:jc w:val="both"/>
        <w:rPr>
          <w:rFonts w:eastAsiaTheme="minorEastAsia"/>
          <w:sz w:val="20"/>
          <w:lang w:eastAsia="en-CA"/>
        </w:rPr>
      </w:pPr>
    </w:p>
    <w:p w:rsidR="00643A6E" w:rsidRPr="00643A6E" w:rsidRDefault="00643A6E" w:rsidP="00643A6E">
      <w:pPr>
        <w:pStyle w:val="ListParagraph"/>
        <w:widowControl/>
        <w:numPr>
          <w:ilvl w:val="0"/>
          <w:numId w:val="1"/>
        </w:numPr>
        <w:jc w:val="both"/>
        <w:rPr>
          <w:rFonts w:eastAsiaTheme="minorEastAsia"/>
          <w:sz w:val="20"/>
          <w:szCs w:val="20"/>
          <w:lang w:val="fr-CA" w:eastAsia="en-CA"/>
        </w:rPr>
      </w:pPr>
      <w:r w:rsidRPr="00643A6E">
        <w:rPr>
          <w:rFonts w:eastAsiaTheme="minorEastAsia"/>
          <w:sz w:val="20"/>
          <w:szCs w:val="20"/>
          <w:lang w:val="fr-CA" w:eastAsia="en-CA"/>
        </w:rPr>
        <w:t>Le Décret 932-2008, (2008) 140 G.O. 2, 5681, concernant le traitement et les autres conditions de travail des juges de paix magistrats, contrevient-il au principe d’indépendance judiciaire garanti par :</w:t>
      </w:r>
    </w:p>
    <w:p w:rsidR="00643A6E" w:rsidRPr="00643A6E" w:rsidRDefault="00643A6E" w:rsidP="00643A6E">
      <w:pPr>
        <w:pStyle w:val="ListParagraph"/>
        <w:jc w:val="both"/>
        <w:rPr>
          <w:rFonts w:eastAsiaTheme="minorEastAsia"/>
          <w:sz w:val="20"/>
          <w:szCs w:val="20"/>
          <w:lang w:val="fr-CA" w:eastAsia="en-CA"/>
        </w:rPr>
      </w:pPr>
    </w:p>
    <w:p w:rsidR="00643A6E" w:rsidRPr="00643A6E" w:rsidRDefault="00643A6E" w:rsidP="00643A6E">
      <w:pPr>
        <w:pStyle w:val="ListParagraph"/>
        <w:widowControl/>
        <w:numPr>
          <w:ilvl w:val="0"/>
          <w:numId w:val="4"/>
        </w:numPr>
        <w:jc w:val="both"/>
        <w:rPr>
          <w:rFonts w:eastAsiaTheme="minorEastAsia"/>
          <w:sz w:val="20"/>
          <w:szCs w:val="20"/>
          <w:lang w:val="fr-CA" w:eastAsia="en-CA"/>
        </w:rPr>
      </w:pPr>
      <w:r w:rsidRPr="00643A6E">
        <w:rPr>
          <w:rFonts w:eastAsiaTheme="minorEastAsia"/>
          <w:sz w:val="20"/>
          <w:szCs w:val="20"/>
          <w:lang w:val="fr-CA" w:eastAsia="en-CA"/>
        </w:rPr>
        <w:t xml:space="preserve">la </w:t>
      </w:r>
      <w:r w:rsidRPr="00643A6E">
        <w:rPr>
          <w:rFonts w:eastAsiaTheme="minorEastAsia"/>
          <w:i/>
          <w:iCs/>
          <w:sz w:val="20"/>
          <w:szCs w:val="20"/>
          <w:lang w:val="fr-CA" w:eastAsia="en-CA"/>
        </w:rPr>
        <w:t xml:space="preserve">Loi constitutionnelle de 1867 </w:t>
      </w:r>
      <w:r w:rsidRPr="00643A6E">
        <w:rPr>
          <w:rFonts w:eastAsiaTheme="minorEastAsia"/>
          <w:sz w:val="20"/>
          <w:szCs w:val="20"/>
          <w:lang w:val="fr-CA" w:eastAsia="en-CA"/>
        </w:rPr>
        <w:t>ou</w:t>
      </w:r>
    </w:p>
    <w:p w:rsidR="00643A6E" w:rsidRPr="00643A6E" w:rsidRDefault="00643A6E" w:rsidP="00643A6E">
      <w:pPr>
        <w:pStyle w:val="ListParagraph"/>
        <w:ind w:left="1440"/>
        <w:jc w:val="both"/>
        <w:rPr>
          <w:rFonts w:eastAsiaTheme="minorEastAsia"/>
          <w:sz w:val="20"/>
          <w:szCs w:val="20"/>
          <w:lang w:val="fr-CA" w:eastAsia="en-CA"/>
        </w:rPr>
      </w:pPr>
    </w:p>
    <w:p w:rsidR="00643A6E" w:rsidRPr="00643A6E" w:rsidRDefault="00643A6E" w:rsidP="00643A6E">
      <w:pPr>
        <w:pStyle w:val="ListParagraph"/>
        <w:widowControl/>
        <w:numPr>
          <w:ilvl w:val="0"/>
          <w:numId w:val="4"/>
        </w:numPr>
        <w:jc w:val="both"/>
        <w:rPr>
          <w:rFonts w:eastAsiaTheme="minorEastAsia"/>
          <w:sz w:val="20"/>
          <w:szCs w:val="20"/>
          <w:lang w:val="fr-CA" w:eastAsia="en-CA"/>
        </w:rPr>
      </w:pPr>
      <w:r w:rsidRPr="00643A6E">
        <w:rPr>
          <w:rFonts w:eastAsiaTheme="minorEastAsia"/>
          <w:sz w:val="20"/>
          <w:szCs w:val="20"/>
          <w:lang w:val="fr-CA" w:eastAsia="en-CA"/>
        </w:rPr>
        <w:t>l’alinéa 11</w:t>
      </w:r>
      <w:r w:rsidRPr="00643A6E">
        <w:rPr>
          <w:rFonts w:eastAsiaTheme="minorEastAsia"/>
          <w:i/>
          <w:iCs/>
          <w:sz w:val="20"/>
          <w:szCs w:val="20"/>
          <w:lang w:val="fr-CA" w:eastAsia="en-CA"/>
        </w:rPr>
        <w:t>d</w:t>
      </w:r>
      <w:r w:rsidRPr="00643A6E">
        <w:rPr>
          <w:rFonts w:eastAsiaTheme="minorEastAsia"/>
          <w:sz w:val="20"/>
          <w:szCs w:val="20"/>
          <w:lang w:val="fr-CA" w:eastAsia="en-CA"/>
        </w:rPr>
        <w:t xml:space="preserve">) de la </w:t>
      </w:r>
      <w:r w:rsidRPr="00643A6E">
        <w:rPr>
          <w:rFonts w:eastAsiaTheme="minorEastAsia"/>
          <w:i/>
          <w:iCs/>
          <w:sz w:val="20"/>
          <w:szCs w:val="20"/>
          <w:lang w:val="fr-CA" w:eastAsia="en-CA"/>
        </w:rPr>
        <w:t>Charte canadienne des droits et libertés</w:t>
      </w:r>
      <w:r w:rsidRPr="00643A6E">
        <w:rPr>
          <w:rFonts w:eastAsiaTheme="minorEastAsia"/>
          <w:sz w:val="20"/>
          <w:szCs w:val="20"/>
          <w:lang w:val="fr-CA" w:eastAsia="en-CA"/>
        </w:rPr>
        <w:t>?</w:t>
      </w:r>
    </w:p>
    <w:p w:rsidR="00643A6E" w:rsidRPr="00643A6E" w:rsidRDefault="00643A6E" w:rsidP="00643A6E">
      <w:pPr>
        <w:pStyle w:val="ListParagraph"/>
        <w:ind w:left="1022"/>
        <w:jc w:val="both"/>
        <w:rPr>
          <w:rFonts w:eastAsiaTheme="minorEastAsia"/>
          <w:sz w:val="20"/>
          <w:szCs w:val="20"/>
          <w:lang w:val="fr-CA" w:eastAsia="en-CA"/>
        </w:rPr>
      </w:pPr>
    </w:p>
    <w:p w:rsidR="00643A6E" w:rsidRPr="00643A6E" w:rsidRDefault="00643A6E" w:rsidP="00643A6E">
      <w:pPr>
        <w:autoSpaceDE w:val="0"/>
        <w:autoSpaceDN w:val="0"/>
        <w:adjustRightInd w:val="0"/>
        <w:ind w:firstLine="752"/>
        <w:jc w:val="both"/>
        <w:rPr>
          <w:rFonts w:eastAsiaTheme="minorEastAsia"/>
          <w:sz w:val="20"/>
          <w:lang w:eastAsia="en-CA"/>
        </w:rPr>
      </w:pPr>
      <w:r w:rsidRPr="00643A6E">
        <w:rPr>
          <w:rFonts w:eastAsiaTheme="minorEastAsia"/>
          <w:sz w:val="20"/>
          <w:u w:val="single"/>
          <w:lang w:eastAsia="en-CA"/>
        </w:rPr>
        <w:t>Réponse</w:t>
      </w:r>
      <w:r w:rsidRPr="00643A6E">
        <w:rPr>
          <w:rFonts w:eastAsiaTheme="minorEastAsia"/>
          <w:sz w:val="20"/>
          <w:lang w:eastAsia="en-CA"/>
        </w:rPr>
        <w:t> : Non.</w:t>
      </w:r>
    </w:p>
    <w:p w:rsidR="00643A6E" w:rsidRPr="00643A6E" w:rsidRDefault="00643A6E" w:rsidP="00643A6E">
      <w:pPr>
        <w:pStyle w:val="ListParagraph"/>
        <w:ind w:left="1022" w:hanging="1022"/>
        <w:jc w:val="both"/>
        <w:rPr>
          <w:rFonts w:eastAsiaTheme="minorEastAsia"/>
          <w:sz w:val="20"/>
          <w:szCs w:val="20"/>
          <w:lang w:val="fr-CA" w:eastAsia="en-CA"/>
        </w:rPr>
      </w:pPr>
    </w:p>
    <w:p w:rsidR="00643A6E" w:rsidRPr="00643A6E" w:rsidRDefault="00643A6E" w:rsidP="00643A6E">
      <w:pPr>
        <w:pStyle w:val="ListParagraph"/>
        <w:widowControl/>
        <w:numPr>
          <w:ilvl w:val="0"/>
          <w:numId w:val="1"/>
        </w:numPr>
        <w:jc w:val="both"/>
        <w:rPr>
          <w:rFonts w:eastAsiaTheme="minorEastAsia"/>
          <w:sz w:val="20"/>
          <w:szCs w:val="20"/>
          <w:lang w:val="fr-CA" w:eastAsia="en-CA"/>
        </w:rPr>
      </w:pPr>
      <w:r w:rsidRPr="00643A6E">
        <w:rPr>
          <w:rFonts w:eastAsiaTheme="minorEastAsia"/>
          <w:sz w:val="20"/>
          <w:szCs w:val="20"/>
          <w:lang w:val="fr-CA" w:eastAsia="en-CA"/>
        </w:rPr>
        <w:t>Dans l’affirmative, quant à l’al. 11</w:t>
      </w:r>
      <w:r w:rsidRPr="00643A6E">
        <w:rPr>
          <w:rFonts w:eastAsiaTheme="minorEastAsia"/>
          <w:i/>
          <w:iCs/>
          <w:sz w:val="20"/>
          <w:szCs w:val="20"/>
          <w:lang w:val="fr-CA" w:eastAsia="en-CA"/>
        </w:rPr>
        <w:t>d</w:t>
      </w:r>
      <w:r w:rsidRPr="00643A6E">
        <w:rPr>
          <w:rFonts w:eastAsiaTheme="minorEastAsia"/>
          <w:sz w:val="20"/>
          <w:szCs w:val="20"/>
          <w:lang w:val="fr-CA" w:eastAsia="en-CA"/>
        </w:rPr>
        <w:t xml:space="preserve">) de la </w:t>
      </w:r>
      <w:r w:rsidRPr="00643A6E">
        <w:rPr>
          <w:rFonts w:eastAsiaTheme="minorEastAsia"/>
          <w:i/>
          <w:iCs/>
          <w:sz w:val="20"/>
          <w:szCs w:val="20"/>
          <w:lang w:val="fr-CA" w:eastAsia="en-CA"/>
        </w:rPr>
        <w:t>Charte canadienne des droits et libertés</w:t>
      </w:r>
      <w:r w:rsidRPr="00643A6E">
        <w:rPr>
          <w:rFonts w:eastAsiaTheme="minorEastAsia"/>
          <w:sz w:val="20"/>
          <w:szCs w:val="20"/>
          <w:lang w:val="fr-CA" w:eastAsia="en-CA"/>
        </w:rPr>
        <w:t xml:space="preserve">, s’agit-il d’une atteinte portée par une règle de droit dans des limites qui sont raisonnables et dont la justification peut se démontrer dans le cadre d’une société libre et démocratique suivant l’article premier de la </w:t>
      </w:r>
      <w:r w:rsidRPr="00643A6E">
        <w:rPr>
          <w:rFonts w:eastAsiaTheme="minorEastAsia"/>
          <w:i/>
          <w:iCs/>
          <w:sz w:val="20"/>
          <w:szCs w:val="20"/>
          <w:lang w:val="fr-CA" w:eastAsia="en-CA"/>
        </w:rPr>
        <w:t>Charte</w:t>
      </w:r>
      <w:r w:rsidRPr="00643A6E">
        <w:rPr>
          <w:rFonts w:eastAsiaTheme="minorEastAsia"/>
          <w:sz w:val="20"/>
          <w:szCs w:val="20"/>
          <w:lang w:val="fr-CA" w:eastAsia="en-CA"/>
        </w:rPr>
        <w:t>?</w:t>
      </w:r>
    </w:p>
    <w:p w:rsidR="00643A6E" w:rsidRPr="00643A6E" w:rsidRDefault="00643A6E" w:rsidP="00643A6E">
      <w:pPr>
        <w:autoSpaceDE w:val="0"/>
        <w:autoSpaceDN w:val="0"/>
        <w:adjustRightInd w:val="0"/>
        <w:jc w:val="both"/>
        <w:rPr>
          <w:rFonts w:eastAsiaTheme="minorEastAsia"/>
          <w:sz w:val="20"/>
          <w:lang w:eastAsia="en-CA"/>
        </w:rPr>
      </w:pPr>
    </w:p>
    <w:p w:rsidR="00643A6E" w:rsidRDefault="00643A6E" w:rsidP="00643A6E">
      <w:pPr>
        <w:ind w:left="752"/>
        <w:jc w:val="both"/>
        <w:rPr>
          <w:rFonts w:eastAsiaTheme="minorEastAsia"/>
          <w:sz w:val="20"/>
          <w:lang w:eastAsia="en-CA"/>
        </w:rPr>
      </w:pPr>
      <w:r w:rsidRPr="00643A6E">
        <w:rPr>
          <w:rFonts w:eastAsiaTheme="minorEastAsia"/>
          <w:sz w:val="20"/>
          <w:u w:val="single"/>
          <w:lang w:eastAsia="en-CA"/>
        </w:rPr>
        <w:t>Réponse</w:t>
      </w:r>
      <w:r w:rsidRPr="00643A6E">
        <w:rPr>
          <w:rFonts w:eastAsiaTheme="minorEastAsia"/>
          <w:sz w:val="20"/>
          <w:lang w:eastAsia="en-CA"/>
        </w:rPr>
        <w:t> : Il n’est pas nécessaire de répondre à cette question.</w:t>
      </w:r>
    </w:p>
    <w:p w:rsidR="00643A6E" w:rsidRDefault="00643A6E" w:rsidP="004F36D6">
      <w:pPr>
        <w:jc w:val="both"/>
        <w:rPr>
          <w:sz w:val="20"/>
        </w:rPr>
      </w:pPr>
    </w:p>
    <w:p w:rsidR="004F36D6" w:rsidRPr="004F36D6" w:rsidRDefault="004F36D6" w:rsidP="004F36D6">
      <w:pPr>
        <w:jc w:val="both"/>
        <w:rPr>
          <w:sz w:val="20"/>
        </w:rPr>
      </w:pPr>
    </w:p>
    <w:p w:rsidR="00514F2E" w:rsidRPr="004F36D6" w:rsidRDefault="00514F2E" w:rsidP="00514F2E">
      <w:pPr>
        <w:jc w:val="both"/>
        <w:rPr>
          <w:rFonts w:eastAsiaTheme="minorHAnsi" w:cstheme="minorBidi"/>
          <w:sz w:val="20"/>
        </w:rPr>
      </w:pPr>
    </w:p>
    <w:p w:rsidR="004F36D6" w:rsidRPr="004F36D6" w:rsidRDefault="004F36D6" w:rsidP="004F36D6">
      <w:pPr>
        <w:jc w:val="both"/>
        <w:rPr>
          <w:sz w:val="20"/>
          <w:lang w:val="en-CA"/>
        </w:rPr>
      </w:pPr>
      <w:r w:rsidRPr="004F36D6">
        <w:rPr>
          <w:sz w:val="20"/>
          <w:lang w:val="en-CA"/>
        </w:rPr>
        <w:t xml:space="preserve">The appeal from the judgment of the Court of Appeal of Quebec (Montréal), Number 500-09-022600-126, 2014 QCCA 1654, dated September 11, 2014, heard on January 18, 2016, is allowed in part, with costs in favour of the appellants. </w:t>
      </w:r>
      <w:r w:rsidRPr="004F36D6">
        <w:rPr>
          <w:sz w:val="20"/>
        </w:rPr>
        <w:t>The constitutional questions are answered as follows:</w:t>
      </w:r>
    </w:p>
    <w:p w:rsidR="004F36D6" w:rsidRPr="004F36D6" w:rsidRDefault="004F36D6" w:rsidP="004F36D6">
      <w:pPr>
        <w:pStyle w:val="Citation-AltC"/>
        <w:ind w:left="320" w:hanging="320"/>
        <w:rPr>
          <w:sz w:val="20"/>
        </w:rPr>
      </w:pPr>
    </w:p>
    <w:p w:rsidR="004F36D6" w:rsidRPr="004F36D6" w:rsidRDefault="004F36D6" w:rsidP="004F36D6">
      <w:pPr>
        <w:pStyle w:val="Citation-AltC"/>
        <w:numPr>
          <w:ilvl w:val="0"/>
          <w:numId w:val="6"/>
        </w:numPr>
        <w:rPr>
          <w:sz w:val="20"/>
        </w:rPr>
      </w:pPr>
      <w:r w:rsidRPr="004F36D6">
        <w:rPr>
          <w:sz w:val="20"/>
        </w:rPr>
        <w:t xml:space="preserve">Do ss. 27, 30 and 32 of the </w:t>
      </w:r>
      <w:r w:rsidRPr="004F36D6">
        <w:rPr>
          <w:i/>
          <w:sz w:val="20"/>
        </w:rPr>
        <w:t>Act to amend the Courts of Justice Act and other legislative provisions as regards the status of justices of the peace</w:t>
      </w:r>
      <w:r w:rsidRPr="004F36D6">
        <w:rPr>
          <w:sz w:val="20"/>
        </w:rPr>
        <w:t>, S.Q. 2004, c. 12, violate the principle of judicial independence guaranteed by:</w:t>
      </w:r>
    </w:p>
    <w:p w:rsidR="004F36D6" w:rsidRPr="004F36D6" w:rsidRDefault="004F36D6" w:rsidP="004F36D6">
      <w:pPr>
        <w:pStyle w:val="Citation-AltC"/>
        <w:ind w:left="720"/>
        <w:rPr>
          <w:sz w:val="20"/>
        </w:rPr>
      </w:pPr>
    </w:p>
    <w:p w:rsidR="004F36D6" w:rsidRPr="004F36D6" w:rsidRDefault="004F36D6" w:rsidP="004F36D6">
      <w:pPr>
        <w:pStyle w:val="Citation-AltC"/>
        <w:numPr>
          <w:ilvl w:val="0"/>
          <w:numId w:val="7"/>
        </w:numPr>
        <w:rPr>
          <w:sz w:val="20"/>
        </w:rPr>
      </w:pPr>
      <w:r w:rsidRPr="004F36D6">
        <w:rPr>
          <w:sz w:val="20"/>
        </w:rPr>
        <w:t xml:space="preserve">the </w:t>
      </w:r>
      <w:r w:rsidRPr="004F36D6">
        <w:rPr>
          <w:i/>
          <w:sz w:val="20"/>
        </w:rPr>
        <w:t>Constitution Act, 1867</w:t>
      </w:r>
      <w:r w:rsidRPr="004F36D6">
        <w:rPr>
          <w:sz w:val="20"/>
        </w:rPr>
        <w:t xml:space="preserve"> or </w:t>
      </w:r>
    </w:p>
    <w:p w:rsidR="004F36D6" w:rsidRPr="004F36D6" w:rsidRDefault="004F36D6" w:rsidP="004F36D6">
      <w:pPr>
        <w:pStyle w:val="Citation-AltC"/>
        <w:ind w:left="1440"/>
        <w:rPr>
          <w:sz w:val="20"/>
        </w:rPr>
      </w:pPr>
    </w:p>
    <w:p w:rsidR="004F36D6" w:rsidRPr="004F36D6" w:rsidRDefault="004F36D6" w:rsidP="004F36D6">
      <w:pPr>
        <w:pStyle w:val="Citation-AltC"/>
        <w:numPr>
          <w:ilvl w:val="0"/>
          <w:numId w:val="7"/>
        </w:numPr>
        <w:rPr>
          <w:sz w:val="20"/>
        </w:rPr>
      </w:pPr>
      <w:r w:rsidRPr="004F36D6">
        <w:rPr>
          <w:sz w:val="20"/>
        </w:rPr>
        <w:t>section 11(</w:t>
      </w:r>
      <w:r w:rsidRPr="004F36D6">
        <w:rPr>
          <w:i/>
          <w:sz w:val="20"/>
        </w:rPr>
        <w:t>d</w:t>
      </w:r>
      <w:r w:rsidRPr="004F36D6">
        <w:rPr>
          <w:sz w:val="20"/>
        </w:rPr>
        <w:t xml:space="preserve">) of the </w:t>
      </w:r>
      <w:r w:rsidRPr="004F36D6">
        <w:rPr>
          <w:i/>
          <w:sz w:val="20"/>
        </w:rPr>
        <w:t>Canadian Charter of Rights and Freedoms</w:t>
      </w:r>
      <w:r w:rsidRPr="004F36D6">
        <w:rPr>
          <w:sz w:val="20"/>
        </w:rPr>
        <w:t>?</w:t>
      </w:r>
    </w:p>
    <w:p w:rsidR="004F36D6" w:rsidRPr="001F2791" w:rsidRDefault="004F36D6" w:rsidP="004F36D6">
      <w:pPr>
        <w:pStyle w:val="Citation-AltC"/>
        <w:ind w:left="770"/>
        <w:rPr>
          <w:sz w:val="20"/>
        </w:rPr>
      </w:pPr>
    </w:p>
    <w:p w:rsidR="004F36D6" w:rsidRPr="004F36D6" w:rsidRDefault="004F36D6" w:rsidP="004F36D6">
      <w:pPr>
        <w:pStyle w:val="Citation-AltC"/>
        <w:ind w:left="770"/>
        <w:rPr>
          <w:sz w:val="20"/>
        </w:rPr>
      </w:pPr>
      <w:r w:rsidRPr="004F36D6">
        <w:rPr>
          <w:sz w:val="20"/>
          <w:u w:val="single"/>
        </w:rPr>
        <w:t>Answer</w:t>
      </w:r>
      <w:r w:rsidRPr="004F36D6">
        <w:rPr>
          <w:sz w:val="20"/>
        </w:rPr>
        <w:t xml:space="preserve">: </w:t>
      </w:r>
      <w:r w:rsidRPr="004F36D6">
        <w:rPr>
          <w:sz w:val="20"/>
          <w:lang w:val="en-US"/>
        </w:rPr>
        <w:t>Sections 27, 30 and 32 of the Act violate the principle of judicial independence.</w:t>
      </w:r>
    </w:p>
    <w:p w:rsidR="004F36D6" w:rsidRPr="004F36D6" w:rsidRDefault="004F36D6" w:rsidP="004F36D6">
      <w:pPr>
        <w:pStyle w:val="Citation-AltC"/>
        <w:ind w:left="950" w:hanging="900"/>
        <w:rPr>
          <w:sz w:val="20"/>
        </w:rPr>
      </w:pPr>
    </w:p>
    <w:p w:rsidR="004F36D6" w:rsidRPr="004F36D6" w:rsidRDefault="004F36D6" w:rsidP="004F36D6">
      <w:pPr>
        <w:pStyle w:val="Citation-AltC"/>
        <w:numPr>
          <w:ilvl w:val="0"/>
          <w:numId w:val="6"/>
        </w:numPr>
        <w:rPr>
          <w:sz w:val="20"/>
        </w:rPr>
      </w:pPr>
      <w:r w:rsidRPr="004F36D6">
        <w:rPr>
          <w:sz w:val="20"/>
        </w:rPr>
        <w:lastRenderedPageBreak/>
        <w:t>If so, in respect of s. 11(</w:t>
      </w:r>
      <w:r w:rsidRPr="004F36D6">
        <w:rPr>
          <w:i/>
          <w:sz w:val="20"/>
        </w:rPr>
        <w:t>d</w:t>
      </w:r>
      <w:r w:rsidRPr="004F36D6">
        <w:rPr>
          <w:sz w:val="20"/>
        </w:rPr>
        <w:t xml:space="preserve">) of the </w:t>
      </w:r>
      <w:r w:rsidRPr="004F36D6">
        <w:rPr>
          <w:i/>
          <w:sz w:val="20"/>
        </w:rPr>
        <w:t>Canadian Charter of Rights and Freedoms</w:t>
      </w:r>
      <w:r w:rsidRPr="004F36D6">
        <w:rPr>
          <w:sz w:val="20"/>
        </w:rPr>
        <w:t xml:space="preserve">, is the infringement a reasonable limit prescribed by law as can be demonstrably justified in a free and democratic society under s. 1 of the </w:t>
      </w:r>
      <w:r w:rsidRPr="004F36D6">
        <w:rPr>
          <w:i/>
          <w:sz w:val="20"/>
        </w:rPr>
        <w:t>Charter</w:t>
      </w:r>
      <w:r w:rsidRPr="004F36D6">
        <w:rPr>
          <w:sz w:val="20"/>
        </w:rPr>
        <w:t>?</w:t>
      </w:r>
    </w:p>
    <w:p w:rsidR="004F36D6" w:rsidRPr="004F36D6" w:rsidRDefault="004F36D6" w:rsidP="004F36D6">
      <w:pPr>
        <w:pStyle w:val="Citation-AltC"/>
        <w:ind w:left="720"/>
        <w:rPr>
          <w:sz w:val="20"/>
        </w:rPr>
      </w:pPr>
    </w:p>
    <w:p w:rsidR="004F36D6" w:rsidRPr="004F36D6" w:rsidRDefault="004F36D6" w:rsidP="004F36D6">
      <w:pPr>
        <w:pStyle w:val="Citation-AltC"/>
        <w:ind w:left="720"/>
        <w:rPr>
          <w:sz w:val="20"/>
        </w:rPr>
      </w:pPr>
      <w:r w:rsidRPr="004F36D6">
        <w:rPr>
          <w:sz w:val="20"/>
          <w:u w:val="single"/>
        </w:rPr>
        <w:t>Answer</w:t>
      </w:r>
      <w:r w:rsidRPr="004F36D6">
        <w:rPr>
          <w:sz w:val="20"/>
        </w:rPr>
        <w:t xml:space="preserve">: </w:t>
      </w:r>
      <w:r w:rsidRPr="004F36D6">
        <w:rPr>
          <w:sz w:val="20"/>
          <w:lang w:val="en-US"/>
        </w:rPr>
        <w:t>No.</w:t>
      </w:r>
    </w:p>
    <w:p w:rsidR="004F36D6" w:rsidRPr="004F36D6" w:rsidRDefault="004F36D6" w:rsidP="004F36D6">
      <w:pPr>
        <w:pStyle w:val="Citation-AltC"/>
        <w:ind w:left="1440" w:hanging="270"/>
        <w:rPr>
          <w:sz w:val="20"/>
        </w:rPr>
      </w:pPr>
    </w:p>
    <w:p w:rsidR="004F36D6" w:rsidRPr="004F36D6" w:rsidRDefault="004F36D6" w:rsidP="004F36D6">
      <w:pPr>
        <w:pStyle w:val="Citation-AltC"/>
        <w:numPr>
          <w:ilvl w:val="0"/>
          <w:numId w:val="6"/>
        </w:numPr>
        <w:rPr>
          <w:sz w:val="20"/>
        </w:rPr>
      </w:pPr>
      <w:r w:rsidRPr="004F36D6">
        <w:rPr>
          <w:sz w:val="20"/>
        </w:rPr>
        <w:t xml:space="preserve">Does s. 178 of the </w:t>
      </w:r>
      <w:r w:rsidRPr="004F36D6">
        <w:rPr>
          <w:i/>
          <w:sz w:val="20"/>
        </w:rPr>
        <w:t>Courts of Justice Act</w:t>
      </w:r>
      <w:r w:rsidRPr="004F36D6">
        <w:rPr>
          <w:sz w:val="20"/>
        </w:rPr>
        <w:t xml:space="preserve">, CQLR, c. T-16, as amended by the </w:t>
      </w:r>
      <w:r w:rsidRPr="004F36D6">
        <w:rPr>
          <w:i/>
          <w:sz w:val="20"/>
        </w:rPr>
        <w:t>Act to amend the Courts of Justice Act and other legislative provisions as regards the status of justices of the peace</w:t>
      </w:r>
      <w:r w:rsidRPr="004F36D6">
        <w:rPr>
          <w:sz w:val="20"/>
        </w:rPr>
        <w:t>, S.Q. 2004, c. 12, violate the principle of judicial independence guaranteed by:</w:t>
      </w:r>
    </w:p>
    <w:p w:rsidR="004F36D6" w:rsidRPr="004F36D6" w:rsidRDefault="004F36D6" w:rsidP="004F36D6">
      <w:pPr>
        <w:pStyle w:val="Citation-AltC"/>
        <w:ind w:left="720"/>
        <w:rPr>
          <w:sz w:val="20"/>
        </w:rPr>
      </w:pPr>
    </w:p>
    <w:p w:rsidR="004F36D6" w:rsidRPr="004F36D6" w:rsidRDefault="004F36D6" w:rsidP="004F36D6">
      <w:pPr>
        <w:pStyle w:val="Citation-AltC"/>
        <w:numPr>
          <w:ilvl w:val="0"/>
          <w:numId w:val="8"/>
        </w:numPr>
        <w:rPr>
          <w:sz w:val="20"/>
        </w:rPr>
      </w:pPr>
      <w:r w:rsidRPr="004F36D6">
        <w:rPr>
          <w:sz w:val="20"/>
        </w:rPr>
        <w:t xml:space="preserve">the </w:t>
      </w:r>
      <w:r w:rsidRPr="004F36D6">
        <w:rPr>
          <w:i/>
          <w:sz w:val="20"/>
        </w:rPr>
        <w:t>Constitution Act, 1867</w:t>
      </w:r>
      <w:r w:rsidRPr="004F36D6">
        <w:rPr>
          <w:sz w:val="20"/>
        </w:rPr>
        <w:t xml:space="preserve"> or </w:t>
      </w:r>
    </w:p>
    <w:p w:rsidR="004F36D6" w:rsidRPr="004F36D6" w:rsidRDefault="004F36D6" w:rsidP="004F36D6">
      <w:pPr>
        <w:pStyle w:val="Citation-AltC"/>
        <w:ind w:left="1440"/>
        <w:rPr>
          <w:sz w:val="20"/>
        </w:rPr>
      </w:pPr>
    </w:p>
    <w:p w:rsidR="004F36D6" w:rsidRPr="004F36D6" w:rsidRDefault="004F36D6" w:rsidP="004F36D6">
      <w:pPr>
        <w:pStyle w:val="Citation-AltC"/>
        <w:numPr>
          <w:ilvl w:val="0"/>
          <w:numId w:val="8"/>
        </w:numPr>
        <w:rPr>
          <w:sz w:val="20"/>
        </w:rPr>
      </w:pPr>
      <w:r w:rsidRPr="004F36D6">
        <w:rPr>
          <w:sz w:val="20"/>
        </w:rPr>
        <w:t>section 11(</w:t>
      </w:r>
      <w:r w:rsidRPr="004F36D6">
        <w:rPr>
          <w:i/>
          <w:sz w:val="20"/>
        </w:rPr>
        <w:t>d</w:t>
      </w:r>
      <w:r w:rsidRPr="004F36D6">
        <w:rPr>
          <w:sz w:val="20"/>
        </w:rPr>
        <w:t xml:space="preserve">) of the </w:t>
      </w:r>
      <w:r w:rsidRPr="004F36D6">
        <w:rPr>
          <w:i/>
          <w:sz w:val="20"/>
        </w:rPr>
        <w:t>Canadian Charter of Rights and Freedoms</w:t>
      </w:r>
      <w:r w:rsidRPr="004F36D6">
        <w:rPr>
          <w:sz w:val="20"/>
        </w:rPr>
        <w:t>?</w:t>
      </w:r>
    </w:p>
    <w:p w:rsidR="004F36D6" w:rsidRPr="004F36D6" w:rsidRDefault="004F36D6" w:rsidP="004F36D6">
      <w:pPr>
        <w:pStyle w:val="Citation-AltC"/>
        <w:rPr>
          <w:sz w:val="20"/>
        </w:rPr>
      </w:pPr>
    </w:p>
    <w:p w:rsidR="004F36D6" w:rsidRPr="004F36D6" w:rsidRDefault="004F36D6" w:rsidP="004F36D6">
      <w:pPr>
        <w:pStyle w:val="Citation-AltC"/>
        <w:ind w:left="1440" w:hanging="670"/>
        <w:rPr>
          <w:sz w:val="20"/>
          <w:lang w:val="en-US"/>
        </w:rPr>
      </w:pPr>
      <w:r w:rsidRPr="004F36D6">
        <w:rPr>
          <w:sz w:val="20"/>
          <w:u w:val="single"/>
        </w:rPr>
        <w:t>Answer</w:t>
      </w:r>
      <w:r w:rsidRPr="004F36D6">
        <w:rPr>
          <w:sz w:val="20"/>
        </w:rPr>
        <w:t xml:space="preserve">: </w:t>
      </w:r>
      <w:r w:rsidRPr="004F36D6">
        <w:rPr>
          <w:sz w:val="20"/>
          <w:lang w:val="en-US"/>
        </w:rPr>
        <w:t>No.</w:t>
      </w:r>
    </w:p>
    <w:p w:rsidR="004F36D6" w:rsidRPr="004F36D6" w:rsidRDefault="004F36D6" w:rsidP="004F36D6">
      <w:pPr>
        <w:pStyle w:val="Citation-AltC"/>
        <w:rPr>
          <w:sz w:val="20"/>
        </w:rPr>
      </w:pPr>
    </w:p>
    <w:p w:rsidR="004F36D6" w:rsidRPr="004F36D6" w:rsidRDefault="004F36D6" w:rsidP="004F36D6">
      <w:pPr>
        <w:pStyle w:val="Citation-AltC"/>
        <w:numPr>
          <w:ilvl w:val="0"/>
          <w:numId w:val="6"/>
        </w:numPr>
        <w:rPr>
          <w:sz w:val="20"/>
        </w:rPr>
      </w:pPr>
      <w:r w:rsidRPr="004F36D6">
        <w:rPr>
          <w:sz w:val="20"/>
        </w:rPr>
        <w:t>If so, in respect of s. 11(</w:t>
      </w:r>
      <w:r w:rsidRPr="004F36D6">
        <w:rPr>
          <w:i/>
          <w:sz w:val="20"/>
        </w:rPr>
        <w:t>d</w:t>
      </w:r>
      <w:r w:rsidRPr="004F36D6">
        <w:rPr>
          <w:sz w:val="20"/>
        </w:rPr>
        <w:t xml:space="preserve">) of the </w:t>
      </w:r>
      <w:r w:rsidRPr="004F36D6">
        <w:rPr>
          <w:i/>
          <w:sz w:val="20"/>
        </w:rPr>
        <w:t>Canadian Charter of Rights and Freedoms</w:t>
      </w:r>
      <w:r w:rsidRPr="004F36D6">
        <w:rPr>
          <w:sz w:val="20"/>
        </w:rPr>
        <w:t xml:space="preserve">, is the infringement a reasonable limit prescribed by law as can be demonstrably justified in a free and democratic society under s. 1 of the </w:t>
      </w:r>
      <w:r w:rsidRPr="004F36D6">
        <w:rPr>
          <w:i/>
          <w:sz w:val="20"/>
        </w:rPr>
        <w:t>Charter</w:t>
      </w:r>
      <w:r w:rsidRPr="004F36D6">
        <w:rPr>
          <w:sz w:val="20"/>
        </w:rPr>
        <w:t>?</w:t>
      </w:r>
    </w:p>
    <w:p w:rsidR="004F36D6" w:rsidRPr="004F36D6" w:rsidRDefault="004F36D6" w:rsidP="004F36D6">
      <w:pPr>
        <w:pStyle w:val="Citation-AltC"/>
        <w:ind w:left="720"/>
        <w:rPr>
          <w:sz w:val="20"/>
        </w:rPr>
      </w:pPr>
    </w:p>
    <w:p w:rsidR="004F36D6" w:rsidRPr="004F36D6" w:rsidRDefault="004F36D6" w:rsidP="004F36D6">
      <w:pPr>
        <w:pStyle w:val="Citation-AltC"/>
        <w:ind w:left="720"/>
        <w:rPr>
          <w:sz w:val="20"/>
        </w:rPr>
      </w:pPr>
      <w:r w:rsidRPr="004F36D6">
        <w:rPr>
          <w:sz w:val="20"/>
          <w:u w:val="single"/>
        </w:rPr>
        <w:t>Answer</w:t>
      </w:r>
      <w:r w:rsidRPr="004F36D6">
        <w:rPr>
          <w:sz w:val="20"/>
        </w:rPr>
        <w:t xml:space="preserve">: </w:t>
      </w:r>
      <w:r w:rsidRPr="004F36D6">
        <w:rPr>
          <w:sz w:val="20"/>
          <w:lang w:val="en-US"/>
        </w:rPr>
        <w:t>It is unnecessary to answer this question.</w:t>
      </w:r>
    </w:p>
    <w:p w:rsidR="004F36D6" w:rsidRPr="004F36D6" w:rsidRDefault="004F36D6" w:rsidP="004F36D6">
      <w:pPr>
        <w:pStyle w:val="Citation-AltC"/>
        <w:ind w:left="50"/>
        <w:rPr>
          <w:sz w:val="20"/>
          <w:lang w:val="en-US"/>
        </w:rPr>
      </w:pPr>
    </w:p>
    <w:p w:rsidR="004F36D6" w:rsidRPr="004F36D6" w:rsidRDefault="004F36D6" w:rsidP="004F36D6">
      <w:pPr>
        <w:pStyle w:val="Citation-AltC"/>
        <w:numPr>
          <w:ilvl w:val="0"/>
          <w:numId w:val="6"/>
        </w:numPr>
        <w:rPr>
          <w:sz w:val="20"/>
        </w:rPr>
      </w:pPr>
      <w:r w:rsidRPr="004F36D6">
        <w:rPr>
          <w:sz w:val="20"/>
        </w:rPr>
        <w:t xml:space="preserve">Does the </w:t>
      </w:r>
      <w:r w:rsidRPr="004F36D6">
        <w:rPr>
          <w:rFonts w:eastAsiaTheme="minorEastAsia"/>
          <w:sz w:val="20"/>
          <w:lang w:val="fr-CA"/>
        </w:rPr>
        <w:t>Décret</w:t>
      </w:r>
      <w:r w:rsidRPr="004F36D6">
        <w:rPr>
          <w:sz w:val="20"/>
        </w:rPr>
        <w:t xml:space="preserve"> 932-2008, (2008) 140 G.O. 2, 5681, concerning the pay and other working conditions of presiding justices of the peace, violate the principle of judicial independence guaranteed by:</w:t>
      </w:r>
    </w:p>
    <w:p w:rsidR="004F36D6" w:rsidRPr="004F36D6" w:rsidRDefault="004F36D6" w:rsidP="004F36D6">
      <w:pPr>
        <w:pStyle w:val="Citation-AltC"/>
        <w:ind w:left="720"/>
        <w:rPr>
          <w:sz w:val="20"/>
        </w:rPr>
      </w:pPr>
    </w:p>
    <w:p w:rsidR="004F36D6" w:rsidRPr="004F36D6" w:rsidRDefault="004F36D6" w:rsidP="004F36D6">
      <w:pPr>
        <w:pStyle w:val="Citation-AltC"/>
        <w:numPr>
          <w:ilvl w:val="0"/>
          <w:numId w:val="9"/>
        </w:numPr>
        <w:rPr>
          <w:sz w:val="20"/>
        </w:rPr>
      </w:pPr>
      <w:r w:rsidRPr="004F36D6">
        <w:rPr>
          <w:sz w:val="20"/>
        </w:rPr>
        <w:t xml:space="preserve">the </w:t>
      </w:r>
      <w:r w:rsidRPr="004F36D6">
        <w:rPr>
          <w:i/>
          <w:sz w:val="20"/>
        </w:rPr>
        <w:t>Constitution Act, 1867</w:t>
      </w:r>
      <w:r w:rsidRPr="004F36D6">
        <w:rPr>
          <w:sz w:val="20"/>
        </w:rPr>
        <w:t xml:space="preserve"> or </w:t>
      </w:r>
    </w:p>
    <w:p w:rsidR="004F36D6" w:rsidRPr="004F36D6" w:rsidRDefault="004F36D6" w:rsidP="004F36D6">
      <w:pPr>
        <w:pStyle w:val="Citation-AltC"/>
        <w:ind w:left="1440"/>
        <w:rPr>
          <w:sz w:val="20"/>
        </w:rPr>
      </w:pPr>
    </w:p>
    <w:p w:rsidR="004F36D6" w:rsidRPr="004F36D6" w:rsidRDefault="004F36D6" w:rsidP="004F36D6">
      <w:pPr>
        <w:pStyle w:val="Citation-AltC"/>
        <w:numPr>
          <w:ilvl w:val="0"/>
          <w:numId w:val="9"/>
        </w:numPr>
        <w:rPr>
          <w:sz w:val="20"/>
        </w:rPr>
      </w:pPr>
      <w:r w:rsidRPr="004F36D6">
        <w:rPr>
          <w:sz w:val="20"/>
        </w:rPr>
        <w:t>section 11(</w:t>
      </w:r>
      <w:r w:rsidRPr="004F36D6">
        <w:rPr>
          <w:i/>
          <w:sz w:val="20"/>
        </w:rPr>
        <w:t>d</w:t>
      </w:r>
      <w:r w:rsidRPr="004F36D6">
        <w:rPr>
          <w:sz w:val="20"/>
        </w:rPr>
        <w:t xml:space="preserve">) of the </w:t>
      </w:r>
      <w:r w:rsidRPr="004F36D6">
        <w:rPr>
          <w:i/>
          <w:sz w:val="20"/>
        </w:rPr>
        <w:t>Canadian Charter of Rights and Freedoms</w:t>
      </w:r>
      <w:r w:rsidRPr="004F36D6">
        <w:rPr>
          <w:sz w:val="20"/>
        </w:rPr>
        <w:t>?</w:t>
      </w:r>
    </w:p>
    <w:p w:rsidR="004F36D6" w:rsidRPr="004F36D6" w:rsidRDefault="004F36D6" w:rsidP="004F36D6">
      <w:pPr>
        <w:pStyle w:val="Citation-AltC"/>
        <w:ind w:left="1130"/>
        <w:rPr>
          <w:sz w:val="20"/>
        </w:rPr>
      </w:pPr>
    </w:p>
    <w:p w:rsidR="004F36D6" w:rsidRPr="004F36D6" w:rsidRDefault="004F36D6" w:rsidP="004F36D6">
      <w:pPr>
        <w:pStyle w:val="Citation-AltC"/>
        <w:ind w:hanging="396"/>
        <w:rPr>
          <w:sz w:val="20"/>
        </w:rPr>
      </w:pPr>
      <w:r w:rsidRPr="004F36D6">
        <w:rPr>
          <w:sz w:val="20"/>
          <w:u w:val="single"/>
        </w:rPr>
        <w:t>Answer</w:t>
      </w:r>
      <w:r w:rsidRPr="004F36D6">
        <w:rPr>
          <w:sz w:val="20"/>
        </w:rPr>
        <w:t>: No.</w:t>
      </w:r>
    </w:p>
    <w:p w:rsidR="004F36D6" w:rsidRPr="004F36D6" w:rsidRDefault="004F36D6" w:rsidP="004F36D6">
      <w:pPr>
        <w:pStyle w:val="Citation-AltC"/>
        <w:ind w:hanging="1166"/>
        <w:rPr>
          <w:sz w:val="20"/>
        </w:rPr>
      </w:pPr>
    </w:p>
    <w:p w:rsidR="004F36D6" w:rsidRPr="004F36D6" w:rsidRDefault="004F36D6" w:rsidP="004F36D6">
      <w:pPr>
        <w:pStyle w:val="Citation-AltC"/>
        <w:numPr>
          <w:ilvl w:val="0"/>
          <w:numId w:val="6"/>
        </w:numPr>
        <w:spacing w:after="0"/>
        <w:rPr>
          <w:sz w:val="20"/>
        </w:rPr>
      </w:pPr>
      <w:r w:rsidRPr="004F36D6">
        <w:rPr>
          <w:sz w:val="20"/>
        </w:rPr>
        <w:t>If so, in respect of s. 11(</w:t>
      </w:r>
      <w:r w:rsidRPr="004F36D6">
        <w:rPr>
          <w:i/>
          <w:sz w:val="20"/>
        </w:rPr>
        <w:t>d</w:t>
      </w:r>
      <w:r w:rsidRPr="004F36D6">
        <w:rPr>
          <w:sz w:val="20"/>
        </w:rPr>
        <w:t xml:space="preserve">) of the </w:t>
      </w:r>
      <w:r w:rsidRPr="004F36D6">
        <w:rPr>
          <w:i/>
          <w:sz w:val="20"/>
        </w:rPr>
        <w:t>Canadian Charter of Rights and Freedoms</w:t>
      </w:r>
      <w:r w:rsidRPr="004F36D6">
        <w:rPr>
          <w:sz w:val="20"/>
        </w:rPr>
        <w:t xml:space="preserve">, is the infringement a reasonable limit prescribed by law as can be demonstrably justified in a free and democratic society under s. 1 of the </w:t>
      </w:r>
      <w:r w:rsidRPr="004F36D6">
        <w:rPr>
          <w:i/>
          <w:sz w:val="20"/>
        </w:rPr>
        <w:t>Charter</w:t>
      </w:r>
      <w:r w:rsidRPr="004F36D6">
        <w:rPr>
          <w:sz w:val="20"/>
        </w:rPr>
        <w:t>?</w:t>
      </w:r>
    </w:p>
    <w:p w:rsidR="004F36D6" w:rsidRPr="004F36D6" w:rsidRDefault="004F36D6" w:rsidP="004F36D6">
      <w:pPr>
        <w:pStyle w:val="Citation-AltC"/>
        <w:spacing w:after="0"/>
        <w:ind w:left="0"/>
        <w:rPr>
          <w:sz w:val="20"/>
        </w:rPr>
      </w:pPr>
    </w:p>
    <w:p w:rsidR="004F36D6" w:rsidRPr="004F36D6" w:rsidRDefault="004F36D6" w:rsidP="004F36D6">
      <w:pPr>
        <w:ind w:left="770"/>
        <w:jc w:val="both"/>
        <w:rPr>
          <w:sz w:val="20"/>
          <w:lang w:val="en-CA"/>
        </w:rPr>
      </w:pPr>
      <w:r w:rsidRPr="004F36D6">
        <w:rPr>
          <w:sz w:val="20"/>
          <w:u w:val="single"/>
          <w:lang w:val="en-CA"/>
        </w:rPr>
        <w:t>Answer</w:t>
      </w:r>
      <w:r w:rsidRPr="004F36D6">
        <w:rPr>
          <w:sz w:val="20"/>
          <w:lang w:val="en-CA"/>
        </w:rPr>
        <w:t xml:space="preserve">: </w:t>
      </w:r>
      <w:r w:rsidRPr="004F36D6">
        <w:rPr>
          <w:sz w:val="20"/>
        </w:rPr>
        <w:t>It is unnecessary to answer this question.</w:t>
      </w:r>
    </w:p>
    <w:p w:rsidR="00670A91" w:rsidRPr="004F36D6" w:rsidRDefault="00670A91" w:rsidP="00F71561">
      <w:pPr>
        <w:widowControl w:val="0"/>
        <w:jc w:val="both"/>
        <w:outlineLvl w:val="0"/>
        <w:rPr>
          <w:sz w:val="20"/>
          <w:lang w:val="fr-CA"/>
        </w:rPr>
      </w:pPr>
    </w:p>
    <w:p w:rsidR="00D5764B" w:rsidRDefault="00D5764B" w:rsidP="00F71561">
      <w:pPr>
        <w:widowControl w:val="0"/>
        <w:jc w:val="both"/>
        <w:outlineLvl w:val="0"/>
        <w:rPr>
          <w:sz w:val="20"/>
          <w:lang w:val="fr-CA"/>
        </w:rPr>
      </w:pPr>
    </w:p>
    <w:p w:rsidR="0052512E" w:rsidRDefault="0052512E" w:rsidP="00F71561">
      <w:pPr>
        <w:widowControl w:val="0"/>
        <w:jc w:val="both"/>
        <w:outlineLvl w:val="0"/>
        <w:rPr>
          <w:sz w:val="20"/>
          <w:lang w:val="fr-CA"/>
        </w:rPr>
      </w:pPr>
    </w:p>
    <w:p w:rsidR="00DF33A9" w:rsidRPr="00020F12" w:rsidRDefault="00DF33A9" w:rsidP="00DF33A9">
      <w:pPr>
        <w:widowControl w:val="0"/>
        <w:outlineLvl w:val="0"/>
      </w:pPr>
      <w:r w:rsidRPr="00020F12">
        <w:t xml:space="preserve">Supreme Court of Canada / Cour suprême du </w:t>
      </w:r>
      <w:proofErr w:type="gramStart"/>
      <w:r w:rsidRPr="00020F12">
        <w:t>Canada :</w:t>
      </w:r>
      <w:proofErr w:type="gramEnd"/>
      <w:r w:rsidRPr="00020F12">
        <w:t xml:space="preserve"> </w:t>
      </w:r>
    </w:p>
    <w:p w:rsidR="00DF33A9" w:rsidRPr="00020F12" w:rsidRDefault="00691E2A" w:rsidP="00DF33A9">
      <w:pPr>
        <w:widowControl w:val="0"/>
        <w:outlineLvl w:val="0"/>
      </w:pPr>
      <w:hyperlink r:id="rId8" w:history="1">
        <w:r w:rsidR="00DF33A9" w:rsidRPr="00020F12">
          <w:rPr>
            <w:rStyle w:val="Hyperlink"/>
          </w:rPr>
          <w:t>comments-commentaires@scc-csc.ca</w:t>
        </w:r>
      </w:hyperlink>
    </w:p>
    <w:p w:rsidR="00DF33A9" w:rsidRPr="00020F12" w:rsidRDefault="00DF33A9" w:rsidP="00DF33A9">
      <w:pPr>
        <w:widowControl w:val="0"/>
        <w:outlineLvl w:val="0"/>
      </w:pPr>
      <w:r w:rsidRPr="00020F12">
        <w:t>(613) 995-4330</w:t>
      </w:r>
    </w:p>
    <w:p w:rsidR="00DF33A9" w:rsidRPr="00020F12" w:rsidRDefault="00DF33A9" w:rsidP="00DF33A9">
      <w:pPr>
        <w:widowControl w:val="0"/>
        <w:rPr>
          <w:sz w:val="20"/>
        </w:rPr>
      </w:pPr>
    </w:p>
    <w:p w:rsidR="00DF33A9" w:rsidRPr="00020F12" w:rsidRDefault="00DF33A9" w:rsidP="00DF33A9">
      <w:pPr>
        <w:widowControl w:val="0"/>
        <w:rPr>
          <w:sz w:val="20"/>
        </w:rPr>
      </w:pPr>
    </w:p>
    <w:p w:rsidR="00C12722" w:rsidRPr="00020F12" w:rsidRDefault="00DF33A9" w:rsidP="00C12722">
      <w:pPr>
        <w:pStyle w:val="Footer"/>
        <w:jc w:val="center"/>
      </w:pPr>
      <w:r w:rsidRPr="00020F12">
        <w:t>- 30 -</w:t>
      </w:r>
    </w:p>
    <w:p w:rsidR="00C12722" w:rsidRPr="00020F12" w:rsidRDefault="00C12722" w:rsidP="00C12722">
      <w:pPr>
        <w:pStyle w:val="Footer"/>
        <w:jc w:val="center"/>
      </w:pPr>
    </w:p>
    <w:p w:rsidR="00C12722" w:rsidRPr="00020F12" w:rsidRDefault="00C12722" w:rsidP="00C12722">
      <w:pPr>
        <w:pStyle w:val="Footer"/>
        <w:jc w:val="center"/>
      </w:pPr>
    </w:p>
    <w:sectPr w:rsidR="00C12722" w:rsidRPr="00020F12" w:rsidSect="004E33C5">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3"/>
  </w:num>
  <w:num w:numId="5">
    <w:abstractNumId w:val="6"/>
  </w:num>
  <w:num w:numId="6">
    <w:abstractNumId w:val="1"/>
  </w:num>
  <w:num w:numId="7">
    <w:abstractNumId w:val="5"/>
  </w:num>
  <w:num w:numId="8">
    <w:abstractNumId w:val="0"/>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4C19"/>
    <w:rsid w:val="000164DB"/>
    <w:rsid w:val="00016D65"/>
    <w:rsid w:val="00020797"/>
    <w:rsid w:val="00020816"/>
    <w:rsid w:val="00020F12"/>
    <w:rsid w:val="0002267C"/>
    <w:rsid w:val="00024962"/>
    <w:rsid w:val="000276EE"/>
    <w:rsid w:val="00033257"/>
    <w:rsid w:val="00033D1E"/>
    <w:rsid w:val="00033D28"/>
    <w:rsid w:val="00034671"/>
    <w:rsid w:val="00034A7F"/>
    <w:rsid w:val="00034CF8"/>
    <w:rsid w:val="00035790"/>
    <w:rsid w:val="00041B58"/>
    <w:rsid w:val="00042069"/>
    <w:rsid w:val="00043FDE"/>
    <w:rsid w:val="0004605D"/>
    <w:rsid w:val="00047CD6"/>
    <w:rsid w:val="00051DE6"/>
    <w:rsid w:val="000574D3"/>
    <w:rsid w:val="000577D9"/>
    <w:rsid w:val="000627A2"/>
    <w:rsid w:val="00065F8F"/>
    <w:rsid w:val="00066B80"/>
    <w:rsid w:val="00067F50"/>
    <w:rsid w:val="00070830"/>
    <w:rsid w:val="00073252"/>
    <w:rsid w:val="00077E16"/>
    <w:rsid w:val="00082444"/>
    <w:rsid w:val="000825A5"/>
    <w:rsid w:val="000843DB"/>
    <w:rsid w:val="00085D13"/>
    <w:rsid w:val="00086629"/>
    <w:rsid w:val="000866F8"/>
    <w:rsid w:val="000872A4"/>
    <w:rsid w:val="00087808"/>
    <w:rsid w:val="00095627"/>
    <w:rsid w:val="000A0444"/>
    <w:rsid w:val="000A245A"/>
    <w:rsid w:val="000A4311"/>
    <w:rsid w:val="000A50F9"/>
    <w:rsid w:val="000B163F"/>
    <w:rsid w:val="000B209D"/>
    <w:rsid w:val="000B7258"/>
    <w:rsid w:val="000C0E20"/>
    <w:rsid w:val="000C182C"/>
    <w:rsid w:val="000C18EC"/>
    <w:rsid w:val="000C3667"/>
    <w:rsid w:val="000C5A95"/>
    <w:rsid w:val="000D0506"/>
    <w:rsid w:val="000D3129"/>
    <w:rsid w:val="000E35CD"/>
    <w:rsid w:val="000E3872"/>
    <w:rsid w:val="000E50F2"/>
    <w:rsid w:val="000E5407"/>
    <w:rsid w:val="000E6114"/>
    <w:rsid w:val="000E6C87"/>
    <w:rsid w:val="000E7DD1"/>
    <w:rsid w:val="000F525E"/>
    <w:rsid w:val="00100CEE"/>
    <w:rsid w:val="00101E4B"/>
    <w:rsid w:val="00102F8F"/>
    <w:rsid w:val="001068F5"/>
    <w:rsid w:val="00107219"/>
    <w:rsid w:val="0011164C"/>
    <w:rsid w:val="00112091"/>
    <w:rsid w:val="001148D2"/>
    <w:rsid w:val="00117AF3"/>
    <w:rsid w:val="0012101A"/>
    <w:rsid w:val="00123976"/>
    <w:rsid w:val="00124DEC"/>
    <w:rsid w:val="00132635"/>
    <w:rsid w:val="001354E7"/>
    <w:rsid w:val="00137BF7"/>
    <w:rsid w:val="00141200"/>
    <w:rsid w:val="00141DDE"/>
    <w:rsid w:val="0014243F"/>
    <w:rsid w:val="00142C72"/>
    <w:rsid w:val="00144111"/>
    <w:rsid w:val="00147BE4"/>
    <w:rsid w:val="00147DE3"/>
    <w:rsid w:val="00150453"/>
    <w:rsid w:val="00151336"/>
    <w:rsid w:val="00152EC2"/>
    <w:rsid w:val="001543B5"/>
    <w:rsid w:val="0015605D"/>
    <w:rsid w:val="001560EC"/>
    <w:rsid w:val="001603D8"/>
    <w:rsid w:val="00162CA2"/>
    <w:rsid w:val="001716F7"/>
    <w:rsid w:val="0017316D"/>
    <w:rsid w:val="00173B3A"/>
    <w:rsid w:val="00174655"/>
    <w:rsid w:val="00176790"/>
    <w:rsid w:val="001813C3"/>
    <w:rsid w:val="00181D1E"/>
    <w:rsid w:val="00185355"/>
    <w:rsid w:val="001866BF"/>
    <w:rsid w:val="00186884"/>
    <w:rsid w:val="0019030D"/>
    <w:rsid w:val="00190C7A"/>
    <w:rsid w:val="00190F7F"/>
    <w:rsid w:val="00193BAE"/>
    <w:rsid w:val="001947C1"/>
    <w:rsid w:val="00194F2A"/>
    <w:rsid w:val="00195873"/>
    <w:rsid w:val="001A06DE"/>
    <w:rsid w:val="001A1AE7"/>
    <w:rsid w:val="001A22F7"/>
    <w:rsid w:val="001A2314"/>
    <w:rsid w:val="001A44BE"/>
    <w:rsid w:val="001A4547"/>
    <w:rsid w:val="001A48FB"/>
    <w:rsid w:val="001A562F"/>
    <w:rsid w:val="001B16EB"/>
    <w:rsid w:val="001B3EDD"/>
    <w:rsid w:val="001B4569"/>
    <w:rsid w:val="001B68D3"/>
    <w:rsid w:val="001C0C39"/>
    <w:rsid w:val="001C0E0C"/>
    <w:rsid w:val="001C2F21"/>
    <w:rsid w:val="001C5E6C"/>
    <w:rsid w:val="001D0423"/>
    <w:rsid w:val="001D05E5"/>
    <w:rsid w:val="001D235D"/>
    <w:rsid w:val="001D2555"/>
    <w:rsid w:val="001D57BE"/>
    <w:rsid w:val="001D612A"/>
    <w:rsid w:val="001E2235"/>
    <w:rsid w:val="001E3BCD"/>
    <w:rsid w:val="001F2791"/>
    <w:rsid w:val="001F27B1"/>
    <w:rsid w:val="001F3C41"/>
    <w:rsid w:val="001F5B11"/>
    <w:rsid w:val="002006F9"/>
    <w:rsid w:val="00200F31"/>
    <w:rsid w:val="0020221F"/>
    <w:rsid w:val="00203AEA"/>
    <w:rsid w:val="00205051"/>
    <w:rsid w:val="0020794A"/>
    <w:rsid w:val="00207C7F"/>
    <w:rsid w:val="00212962"/>
    <w:rsid w:val="00217135"/>
    <w:rsid w:val="0022132D"/>
    <w:rsid w:val="00222CAE"/>
    <w:rsid w:val="00223B83"/>
    <w:rsid w:val="0022525B"/>
    <w:rsid w:val="00225A53"/>
    <w:rsid w:val="002264F4"/>
    <w:rsid w:val="00231427"/>
    <w:rsid w:val="00233057"/>
    <w:rsid w:val="00234A3D"/>
    <w:rsid w:val="00235DB1"/>
    <w:rsid w:val="002407C6"/>
    <w:rsid w:val="0024227A"/>
    <w:rsid w:val="00244CDD"/>
    <w:rsid w:val="00245D73"/>
    <w:rsid w:val="00246C0E"/>
    <w:rsid w:val="002514CA"/>
    <w:rsid w:val="002517D5"/>
    <w:rsid w:val="00252FDB"/>
    <w:rsid w:val="00253790"/>
    <w:rsid w:val="00254A42"/>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1AE6"/>
    <w:rsid w:val="00292574"/>
    <w:rsid w:val="002A194F"/>
    <w:rsid w:val="002A345E"/>
    <w:rsid w:val="002A5245"/>
    <w:rsid w:val="002A55D1"/>
    <w:rsid w:val="002A5C41"/>
    <w:rsid w:val="002A7D81"/>
    <w:rsid w:val="002B2A78"/>
    <w:rsid w:val="002B2FCA"/>
    <w:rsid w:val="002B5525"/>
    <w:rsid w:val="002C10D1"/>
    <w:rsid w:val="002C2701"/>
    <w:rsid w:val="002D0C49"/>
    <w:rsid w:val="002D2553"/>
    <w:rsid w:val="002D2F15"/>
    <w:rsid w:val="002D43A1"/>
    <w:rsid w:val="002D6680"/>
    <w:rsid w:val="002D7A54"/>
    <w:rsid w:val="002E30C3"/>
    <w:rsid w:val="002E3911"/>
    <w:rsid w:val="002E519A"/>
    <w:rsid w:val="002F06D0"/>
    <w:rsid w:val="002F2850"/>
    <w:rsid w:val="002F3830"/>
    <w:rsid w:val="002F3FF9"/>
    <w:rsid w:val="002F402B"/>
    <w:rsid w:val="002F4929"/>
    <w:rsid w:val="002F7DDE"/>
    <w:rsid w:val="002F7E97"/>
    <w:rsid w:val="003012A2"/>
    <w:rsid w:val="00306369"/>
    <w:rsid w:val="00306DE6"/>
    <w:rsid w:val="0031127B"/>
    <w:rsid w:val="00313652"/>
    <w:rsid w:val="003151B5"/>
    <w:rsid w:val="003171DB"/>
    <w:rsid w:val="003235CC"/>
    <w:rsid w:val="00325668"/>
    <w:rsid w:val="003306F3"/>
    <w:rsid w:val="0033241A"/>
    <w:rsid w:val="0033535C"/>
    <w:rsid w:val="00340D7B"/>
    <w:rsid w:val="0034178A"/>
    <w:rsid w:val="003509E6"/>
    <w:rsid w:val="00350D4E"/>
    <w:rsid w:val="00351946"/>
    <w:rsid w:val="00352802"/>
    <w:rsid w:val="003535EF"/>
    <w:rsid w:val="00360FCE"/>
    <w:rsid w:val="00362E82"/>
    <w:rsid w:val="00364001"/>
    <w:rsid w:val="0037013D"/>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58AE"/>
    <w:rsid w:val="0039709D"/>
    <w:rsid w:val="00397213"/>
    <w:rsid w:val="003A00C9"/>
    <w:rsid w:val="003A0258"/>
    <w:rsid w:val="003A11C4"/>
    <w:rsid w:val="003A1F69"/>
    <w:rsid w:val="003A58BA"/>
    <w:rsid w:val="003A6B5E"/>
    <w:rsid w:val="003B0718"/>
    <w:rsid w:val="003B1455"/>
    <w:rsid w:val="003B2AC6"/>
    <w:rsid w:val="003B39D7"/>
    <w:rsid w:val="003B61F0"/>
    <w:rsid w:val="003B64B3"/>
    <w:rsid w:val="003B6E18"/>
    <w:rsid w:val="003B7A4C"/>
    <w:rsid w:val="003C5F5E"/>
    <w:rsid w:val="003C6BB7"/>
    <w:rsid w:val="003D0120"/>
    <w:rsid w:val="003D0A88"/>
    <w:rsid w:val="003D27BD"/>
    <w:rsid w:val="003E3957"/>
    <w:rsid w:val="003F1E6F"/>
    <w:rsid w:val="003F3BC1"/>
    <w:rsid w:val="003F43E6"/>
    <w:rsid w:val="004000BE"/>
    <w:rsid w:val="004026BA"/>
    <w:rsid w:val="00403038"/>
    <w:rsid w:val="00406D79"/>
    <w:rsid w:val="0040709C"/>
    <w:rsid w:val="004116DA"/>
    <w:rsid w:val="004117D6"/>
    <w:rsid w:val="00411834"/>
    <w:rsid w:val="004149DA"/>
    <w:rsid w:val="00421369"/>
    <w:rsid w:val="004246BF"/>
    <w:rsid w:val="004247D9"/>
    <w:rsid w:val="00426976"/>
    <w:rsid w:val="00427F4F"/>
    <w:rsid w:val="00433C3E"/>
    <w:rsid w:val="00436FF3"/>
    <w:rsid w:val="00440D9C"/>
    <w:rsid w:val="00444072"/>
    <w:rsid w:val="00450B66"/>
    <w:rsid w:val="004511AB"/>
    <w:rsid w:val="0045235F"/>
    <w:rsid w:val="004533F1"/>
    <w:rsid w:val="00453ABE"/>
    <w:rsid w:val="00453E76"/>
    <w:rsid w:val="0045411A"/>
    <w:rsid w:val="004542A8"/>
    <w:rsid w:val="00454F47"/>
    <w:rsid w:val="00455E3B"/>
    <w:rsid w:val="00460794"/>
    <w:rsid w:val="00461926"/>
    <w:rsid w:val="00463EE9"/>
    <w:rsid w:val="00464FEE"/>
    <w:rsid w:val="004672B7"/>
    <w:rsid w:val="00467391"/>
    <w:rsid w:val="00467D46"/>
    <w:rsid w:val="00472190"/>
    <w:rsid w:val="00474D9B"/>
    <w:rsid w:val="00475A01"/>
    <w:rsid w:val="00475E8C"/>
    <w:rsid w:val="00481888"/>
    <w:rsid w:val="00487662"/>
    <w:rsid w:val="00490DDC"/>
    <w:rsid w:val="00491D60"/>
    <w:rsid w:val="00492A9B"/>
    <w:rsid w:val="00494CD1"/>
    <w:rsid w:val="004957BA"/>
    <w:rsid w:val="004970C9"/>
    <w:rsid w:val="004972A6"/>
    <w:rsid w:val="00497B5E"/>
    <w:rsid w:val="004A054B"/>
    <w:rsid w:val="004A0FCB"/>
    <w:rsid w:val="004A224A"/>
    <w:rsid w:val="004A3074"/>
    <w:rsid w:val="004A7CEC"/>
    <w:rsid w:val="004B06E1"/>
    <w:rsid w:val="004B34A9"/>
    <w:rsid w:val="004C0544"/>
    <w:rsid w:val="004C2585"/>
    <w:rsid w:val="004C281D"/>
    <w:rsid w:val="004C2E9D"/>
    <w:rsid w:val="004C4513"/>
    <w:rsid w:val="004C6BED"/>
    <w:rsid w:val="004C7FC6"/>
    <w:rsid w:val="004E0B2F"/>
    <w:rsid w:val="004E1486"/>
    <w:rsid w:val="004E1883"/>
    <w:rsid w:val="004E1B3F"/>
    <w:rsid w:val="004E33C5"/>
    <w:rsid w:val="004F0EC9"/>
    <w:rsid w:val="004F27DD"/>
    <w:rsid w:val="004F36D6"/>
    <w:rsid w:val="004F40AB"/>
    <w:rsid w:val="00502F3E"/>
    <w:rsid w:val="00503196"/>
    <w:rsid w:val="00503B5E"/>
    <w:rsid w:val="00504706"/>
    <w:rsid w:val="00510E2F"/>
    <w:rsid w:val="00511E62"/>
    <w:rsid w:val="00514F2E"/>
    <w:rsid w:val="005208AC"/>
    <w:rsid w:val="00521EFA"/>
    <w:rsid w:val="0052512E"/>
    <w:rsid w:val="00525193"/>
    <w:rsid w:val="00525B79"/>
    <w:rsid w:val="00530398"/>
    <w:rsid w:val="00530F99"/>
    <w:rsid w:val="00532EB0"/>
    <w:rsid w:val="00535069"/>
    <w:rsid w:val="00535A60"/>
    <w:rsid w:val="00535D04"/>
    <w:rsid w:val="00535F7C"/>
    <w:rsid w:val="00536C2E"/>
    <w:rsid w:val="00543047"/>
    <w:rsid w:val="00544481"/>
    <w:rsid w:val="00546DAD"/>
    <w:rsid w:val="005542A1"/>
    <w:rsid w:val="00557DCC"/>
    <w:rsid w:val="005617DA"/>
    <w:rsid w:val="00561B18"/>
    <w:rsid w:val="00566C79"/>
    <w:rsid w:val="00570169"/>
    <w:rsid w:val="00571FA0"/>
    <w:rsid w:val="00575470"/>
    <w:rsid w:val="005812EF"/>
    <w:rsid w:val="005824C7"/>
    <w:rsid w:val="00586EED"/>
    <w:rsid w:val="00587914"/>
    <w:rsid w:val="005925EC"/>
    <w:rsid w:val="0059611F"/>
    <w:rsid w:val="00597224"/>
    <w:rsid w:val="005A1B7D"/>
    <w:rsid w:val="005A20DF"/>
    <w:rsid w:val="005A3323"/>
    <w:rsid w:val="005A3592"/>
    <w:rsid w:val="005A4082"/>
    <w:rsid w:val="005B0AAB"/>
    <w:rsid w:val="005B4EB8"/>
    <w:rsid w:val="005C196C"/>
    <w:rsid w:val="005C2CA2"/>
    <w:rsid w:val="005C3064"/>
    <w:rsid w:val="005C7BBF"/>
    <w:rsid w:val="005D019B"/>
    <w:rsid w:val="005D0DE0"/>
    <w:rsid w:val="005D3069"/>
    <w:rsid w:val="005D3730"/>
    <w:rsid w:val="005E2F89"/>
    <w:rsid w:val="005E3E28"/>
    <w:rsid w:val="005E73A1"/>
    <w:rsid w:val="005F4197"/>
    <w:rsid w:val="005F5163"/>
    <w:rsid w:val="005F5CD8"/>
    <w:rsid w:val="006067DB"/>
    <w:rsid w:val="00610BC0"/>
    <w:rsid w:val="0061282A"/>
    <w:rsid w:val="006132AE"/>
    <w:rsid w:val="006167B8"/>
    <w:rsid w:val="00620FBA"/>
    <w:rsid w:val="00621F03"/>
    <w:rsid w:val="00624E01"/>
    <w:rsid w:val="00625B63"/>
    <w:rsid w:val="0063076D"/>
    <w:rsid w:val="00632A4A"/>
    <w:rsid w:val="00634573"/>
    <w:rsid w:val="00635A24"/>
    <w:rsid w:val="00636ADD"/>
    <w:rsid w:val="006372BF"/>
    <w:rsid w:val="006406E5"/>
    <w:rsid w:val="00640B24"/>
    <w:rsid w:val="00641D90"/>
    <w:rsid w:val="0064248D"/>
    <w:rsid w:val="00643A6E"/>
    <w:rsid w:val="006442C8"/>
    <w:rsid w:val="0065238E"/>
    <w:rsid w:val="00655090"/>
    <w:rsid w:val="00662B7E"/>
    <w:rsid w:val="00664E1D"/>
    <w:rsid w:val="00666BA1"/>
    <w:rsid w:val="00670A91"/>
    <w:rsid w:val="006721DF"/>
    <w:rsid w:val="00672A20"/>
    <w:rsid w:val="00674808"/>
    <w:rsid w:val="00674CE6"/>
    <w:rsid w:val="00677979"/>
    <w:rsid w:val="0068314C"/>
    <w:rsid w:val="00683770"/>
    <w:rsid w:val="006849D2"/>
    <w:rsid w:val="00686A7E"/>
    <w:rsid w:val="00690509"/>
    <w:rsid w:val="00690ABC"/>
    <w:rsid w:val="00690B95"/>
    <w:rsid w:val="00691648"/>
    <w:rsid w:val="00691E2A"/>
    <w:rsid w:val="00693751"/>
    <w:rsid w:val="00693795"/>
    <w:rsid w:val="00693CE6"/>
    <w:rsid w:val="00693EFD"/>
    <w:rsid w:val="006965DF"/>
    <w:rsid w:val="006972A1"/>
    <w:rsid w:val="006A09A4"/>
    <w:rsid w:val="006A21CC"/>
    <w:rsid w:val="006A3856"/>
    <w:rsid w:val="006A503A"/>
    <w:rsid w:val="006A7FB8"/>
    <w:rsid w:val="006B1C34"/>
    <w:rsid w:val="006B293F"/>
    <w:rsid w:val="006B29A6"/>
    <w:rsid w:val="006B40C1"/>
    <w:rsid w:val="006B6A20"/>
    <w:rsid w:val="006C4010"/>
    <w:rsid w:val="006C477E"/>
    <w:rsid w:val="006D07F8"/>
    <w:rsid w:val="006D0F19"/>
    <w:rsid w:val="006D36D6"/>
    <w:rsid w:val="006D3FB0"/>
    <w:rsid w:val="006D443D"/>
    <w:rsid w:val="006D614A"/>
    <w:rsid w:val="006D6B5E"/>
    <w:rsid w:val="006D7DA7"/>
    <w:rsid w:val="006E047B"/>
    <w:rsid w:val="006E27D1"/>
    <w:rsid w:val="006E3984"/>
    <w:rsid w:val="006E4B08"/>
    <w:rsid w:val="006E4EB7"/>
    <w:rsid w:val="006E7F81"/>
    <w:rsid w:val="006F0042"/>
    <w:rsid w:val="006F2579"/>
    <w:rsid w:val="006F5667"/>
    <w:rsid w:val="00704CDE"/>
    <w:rsid w:val="0070582E"/>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F24"/>
    <w:rsid w:val="00747A5F"/>
    <w:rsid w:val="00747C5A"/>
    <w:rsid w:val="0075078D"/>
    <w:rsid w:val="00751DE7"/>
    <w:rsid w:val="00753B99"/>
    <w:rsid w:val="0075484B"/>
    <w:rsid w:val="0075771E"/>
    <w:rsid w:val="00761C3F"/>
    <w:rsid w:val="00766432"/>
    <w:rsid w:val="00766983"/>
    <w:rsid w:val="00770667"/>
    <w:rsid w:val="007712C3"/>
    <w:rsid w:val="007736D0"/>
    <w:rsid w:val="00774327"/>
    <w:rsid w:val="00775FEC"/>
    <w:rsid w:val="007771AF"/>
    <w:rsid w:val="007823D7"/>
    <w:rsid w:val="00782E96"/>
    <w:rsid w:val="00783F6A"/>
    <w:rsid w:val="0078776F"/>
    <w:rsid w:val="0079566D"/>
    <w:rsid w:val="00795FC0"/>
    <w:rsid w:val="007975AC"/>
    <w:rsid w:val="007A09AA"/>
    <w:rsid w:val="007A10D6"/>
    <w:rsid w:val="007A14FC"/>
    <w:rsid w:val="007A31E0"/>
    <w:rsid w:val="007A5A11"/>
    <w:rsid w:val="007A6F16"/>
    <w:rsid w:val="007A7F7F"/>
    <w:rsid w:val="007A7FD6"/>
    <w:rsid w:val="007B09DF"/>
    <w:rsid w:val="007B300E"/>
    <w:rsid w:val="007B567F"/>
    <w:rsid w:val="007B57E8"/>
    <w:rsid w:val="007B65D4"/>
    <w:rsid w:val="007C5323"/>
    <w:rsid w:val="007C6187"/>
    <w:rsid w:val="007C67EE"/>
    <w:rsid w:val="007C7A8C"/>
    <w:rsid w:val="007D1C16"/>
    <w:rsid w:val="007D24AB"/>
    <w:rsid w:val="007D409B"/>
    <w:rsid w:val="007D42D5"/>
    <w:rsid w:val="007D4BFC"/>
    <w:rsid w:val="007D5BCA"/>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21FD"/>
    <w:rsid w:val="008036BE"/>
    <w:rsid w:val="00804FE6"/>
    <w:rsid w:val="00807EB6"/>
    <w:rsid w:val="008115B8"/>
    <w:rsid w:val="00812315"/>
    <w:rsid w:val="00815D1B"/>
    <w:rsid w:val="00816C1F"/>
    <w:rsid w:val="00816FD3"/>
    <w:rsid w:val="0082143F"/>
    <w:rsid w:val="00823610"/>
    <w:rsid w:val="00824D6B"/>
    <w:rsid w:val="00825196"/>
    <w:rsid w:val="00826842"/>
    <w:rsid w:val="00827314"/>
    <w:rsid w:val="00832D70"/>
    <w:rsid w:val="0083380F"/>
    <w:rsid w:val="00835FCE"/>
    <w:rsid w:val="008368DE"/>
    <w:rsid w:val="0084161A"/>
    <w:rsid w:val="00841962"/>
    <w:rsid w:val="0085127E"/>
    <w:rsid w:val="0085156B"/>
    <w:rsid w:val="00853C98"/>
    <w:rsid w:val="0085543E"/>
    <w:rsid w:val="00861CAB"/>
    <w:rsid w:val="00865274"/>
    <w:rsid w:val="00866A27"/>
    <w:rsid w:val="00867D70"/>
    <w:rsid w:val="0087081B"/>
    <w:rsid w:val="00874308"/>
    <w:rsid w:val="008762F7"/>
    <w:rsid w:val="00877B13"/>
    <w:rsid w:val="008836A7"/>
    <w:rsid w:val="00883CB5"/>
    <w:rsid w:val="00887DB0"/>
    <w:rsid w:val="00892AE2"/>
    <w:rsid w:val="00894683"/>
    <w:rsid w:val="008A1084"/>
    <w:rsid w:val="008A3884"/>
    <w:rsid w:val="008A4ABF"/>
    <w:rsid w:val="008B0108"/>
    <w:rsid w:val="008B3670"/>
    <w:rsid w:val="008B4157"/>
    <w:rsid w:val="008B4A24"/>
    <w:rsid w:val="008B5AFF"/>
    <w:rsid w:val="008B5E0B"/>
    <w:rsid w:val="008B7CD2"/>
    <w:rsid w:val="008C12F3"/>
    <w:rsid w:val="008C57E3"/>
    <w:rsid w:val="008D31B1"/>
    <w:rsid w:val="008E7C23"/>
    <w:rsid w:val="008E7F8D"/>
    <w:rsid w:val="008F2850"/>
    <w:rsid w:val="008F302C"/>
    <w:rsid w:val="008F3455"/>
    <w:rsid w:val="0090233E"/>
    <w:rsid w:val="009023D9"/>
    <w:rsid w:val="009035A2"/>
    <w:rsid w:val="009255DE"/>
    <w:rsid w:val="009340AB"/>
    <w:rsid w:val="00936192"/>
    <w:rsid w:val="00936C68"/>
    <w:rsid w:val="00940A51"/>
    <w:rsid w:val="00942A08"/>
    <w:rsid w:val="00942CAD"/>
    <w:rsid w:val="00943363"/>
    <w:rsid w:val="00956067"/>
    <w:rsid w:val="00957921"/>
    <w:rsid w:val="00957C00"/>
    <w:rsid w:val="009619CF"/>
    <w:rsid w:val="009639A2"/>
    <w:rsid w:val="00963C43"/>
    <w:rsid w:val="0097114B"/>
    <w:rsid w:val="00971F36"/>
    <w:rsid w:val="0097588C"/>
    <w:rsid w:val="00977C25"/>
    <w:rsid w:val="009807C9"/>
    <w:rsid w:val="0098122A"/>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6F9E"/>
    <w:rsid w:val="009B0602"/>
    <w:rsid w:val="009B0987"/>
    <w:rsid w:val="009B38BC"/>
    <w:rsid w:val="009B4313"/>
    <w:rsid w:val="009B4EC5"/>
    <w:rsid w:val="009B50CC"/>
    <w:rsid w:val="009B67B3"/>
    <w:rsid w:val="009B739B"/>
    <w:rsid w:val="009C205F"/>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41C7"/>
    <w:rsid w:val="00A06B3C"/>
    <w:rsid w:val="00A122DE"/>
    <w:rsid w:val="00A12CC9"/>
    <w:rsid w:val="00A155A4"/>
    <w:rsid w:val="00A20368"/>
    <w:rsid w:val="00A2060D"/>
    <w:rsid w:val="00A216B7"/>
    <w:rsid w:val="00A23A8D"/>
    <w:rsid w:val="00A242EA"/>
    <w:rsid w:val="00A2504D"/>
    <w:rsid w:val="00A265DD"/>
    <w:rsid w:val="00A26E72"/>
    <w:rsid w:val="00A36736"/>
    <w:rsid w:val="00A41B5E"/>
    <w:rsid w:val="00A42042"/>
    <w:rsid w:val="00A4281A"/>
    <w:rsid w:val="00A466AC"/>
    <w:rsid w:val="00A50604"/>
    <w:rsid w:val="00A50E26"/>
    <w:rsid w:val="00A513CA"/>
    <w:rsid w:val="00A54818"/>
    <w:rsid w:val="00A60CA4"/>
    <w:rsid w:val="00A60CE6"/>
    <w:rsid w:val="00A62285"/>
    <w:rsid w:val="00A64404"/>
    <w:rsid w:val="00A70197"/>
    <w:rsid w:val="00A73387"/>
    <w:rsid w:val="00A750CB"/>
    <w:rsid w:val="00A8029C"/>
    <w:rsid w:val="00A8033D"/>
    <w:rsid w:val="00A8395A"/>
    <w:rsid w:val="00A83C7E"/>
    <w:rsid w:val="00A8418C"/>
    <w:rsid w:val="00A84DA1"/>
    <w:rsid w:val="00A95CC6"/>
    <w:rsid w:val="00A960E9"/>
    <w:rsid w:val="00A97F93"/>
    <w:rsid w:val="00AA0E4D"/>
    <w:rsid w:val="00AB05C9"/>
    <w:rsid w:val="00AB2AAE"/>
    <w:rsid w:val="00AB2C0F"/>
    <w:rsid w:val="00AB5151"/>
    <w:rsid w:val="00AB53F0"/>
    <w:rsid w:val="00AC21C6"/>
    <w:rsid w:val="00AC3779"/>
    <w:rsid w:val="00AD0097"/>
    <w:rsid w:val="00AD020B"/>
    <w:rsid w:val="00AD1E40"/>
    <w:rsid w:val="00AD22B4"/>
    <w:rsid w:val="00AD52A6"/>
    <w:rsid w:val="00AD6AD0"/>
    <w:rsid w:val="00AE2B88"/>
    <w:rsid w:val="00AE42F5"/>
    <w:rsid w:val="00AE4721"/>
    <w:rsid w:val="00AE747B"/>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3EBF"/>
    <w:rsid w:val="00B84F90"/>
    <w:rsid w:val="00B86A9B"/>
    <w:rsid w:val="00B86E92"/>
    <w:rsid w:val="00B90F3B"/>
    <w:rsid w:val="00B9309E"/>
    <w:rsid w:val="00B9707A"/>
    <w:rsid w:val="00B9752D"/>
    <w:rsid w:val="00BA01C1"/>
    <w:rsid w:val="00BA06FA"/>
    <w:rsid w:val="00BA0A23"/>
    <w:rsid w:val="00BA3460"/>
    <w:rsid w:val="00BA5C88"/>
    <w:rsid w:val="00BA5F1E"/>
    <w:rsid w:val="00BA7782"/>
    <w:rsid w:val="00BB134D"/>
    <w:rsid w:val="00BB1936"/>
    <w:rsid w:val="00BB73DD"/>
    <w:rsid w:val="00BB7A21"/>
    <w:rsid w:val="00BC0A42"/>
    <w:rsid w:val="00BC1BC7"/>
    <w:rsid w:val="00BC45E1"/>
    <w:rsid w:val="00BC471A"/>
    <w:rsid w:val="00BC52D2"/>
    <w:rsid w:val="00BC6F58"/>
    <w:rsid w:val="00BC7496"/>
    <w:rsid w:val="00BD07C7"/>
    <w:rsid w:val="00BD14CE"/>
    <w:rsid w:val="00BD4652"/>
    <w:rsid w:val="00BD62A2"/>
    <w:rsid w:val="00BE037A"/>
    <w:rsid w:val="00BE17E6"/>
    <w:rsid w:val="00BE540B"/>
    <w:rsid w:val="00BE6576"/>
    <w:rsid w:val="00BF048F"/>
    <w:rsid w:val="00BF1FCA"/>
    <w:rsid w:val="00BF701E"/>
    <w:rsid w:val="00C00650"/>
    <w:rsid w:val="00C021BB"/>
    <w:rsid w:val="00C03932"/>
    <w:rsid w:val="00C11961"/>
    <w:rsid w:val="00C12722"/>
    <w:rsid w:val="00C13D72"/>
    <w:rsid w:val="00C147D7"/>
    <w:rsid w:val="00C23824"/>
    <w:rsid w:val="00C23A42"/>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5207F"/>
    <w:rsid w:val="00C52D21"/>
    <w:rsid w:val="00C573B1"/>
    <w:rsid w:val="00C64192"/>
    <w:rsid w:val="00C65FD6"/>
    <w:rsid w:val="00C717C9"/>
    <w:rsid w:val="00C7351D"/>
    <w:rsid w:val="00C75878"/>
    <w:rsid w:val="00C76BBB"/>
    <w:rsid w:val="00C779D4"/>
    <w:rsid w:val="00C77C0E"/>
    <w:rsid w:val="00C8170D"/>
    <w:rsid w:val="00C920F3"/>
    <w:rsid w:val="00C935F6"/>
    <w:rsid w:val="00C9788C"/>
    <w:rsid w:val="00C97C59"/>
    <w:rsid w:val="00CA2E94"/>
    <w:rsid w:val="00CA5D40"/>
    <w:rsid w:val="00CB00A6"/>
    <w:rsid w:val="00CB1766"/>
    <w:rsid w:val="00CB1E90"/>
    <w:rsid w:val="00CB3B10"/>
    <w:rsid w:val="00CB4831"/>
    <w:rsid w:val="00CB5DBA"/>
    <w:rsid w:val="00CB5FBD"/>
    <w:rsid w:val="00CB7F2D"/>
    <w:rsid w:val="00CC759C"/>
    <w:rsid w:val="00CD0159"/>
    <w:rsid w:val="00CD0363"/>
    <w:rsid w:val="00CD171A"/>
    <w:rsid w:val="00CD4F9A"/>
    <w:rsid w:val="00CE113C"/>
    <w:rsid w:val="00CE6C1C"/>
    <w:rsid w:val="00CE7B3F"/>
    <w:rsid w:val="00CF0EF2"/>
    <w:rsid w:val="00CF732A"/>
    <w:rsid w:val="00D0250E"/>
    <w:rsid w:val="00D07526"/>
    <w:rsid w:val="00D1308F"/>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3D04"/>
    <w:rsid w:val="00D542A9"/>
    <w:rsid w:val="00D5501F"/>
    <w:rsid w:val="00D55807"/>
    <w:rsid w:val="00D5764B"/>
    <w:rsid w:val="00D645E0"/>
    <w:rsid w:val="00D6525C"/>
    <w:rsid w:val="00D6599A"/>
    <w:rsid w:val="00D669A4"/>
    <w:rsid w:val="00D7143F"/>
    <w:rsid w:val="00D7507B"/>
    <w:rsid w:val="00D7557F"/>
    <w:rsid w:val="00D75BC9"/>
    <w:rsid w:val="00D777BD"/>
    <w:rsid w:val="00D81BB1"/>
    <w:rsid w:val="00D84F6A"/>
    <w:rsid w:val="00D86B65"/>
    <w:rsid w:val="00D90F27"/>
    <w:rsid w:val="00D90F8B"/>
    <w:rsid w:val="00D93264"/>
    <w:rsid w:val="00D95F43"/>
    <w:rsid w:val="00D97A20"/>
    <w:rsid w:val="00DA12CA"/>
    <w:rsid w:val="00DA17B0"/>
    <w:rsid w:val="00DA2C00"/>
    <w:rsid w:val="00DA5B80"/>
    <w:rsid w:val="00DA5E1F"/>
    <w:rsid w:val="00DA6D82"/>
    <w:rsid w:val="00DB1591"/>
    <w:rsid w:val="00DB169C"/>
    <w:rsid w:val="00DB180E"/>
    <w:rsid w:val="00DB2195"/>
    <w:rsid w:val="00DB27AF"/>
    <w:rsid w:val="00DB292F"/>
    <w:rsid w:val="00DB3966"/>
    <w:rsid w:val="00DB3F0F"/>
    <w:rsid w:val="00DB5A3F"/>
    <w:rsid w:val="00DC2AD7"/>
    <w:rsid w:val="00DC2B2E"/>
    <w:rsid w:val="00DC5EAD"/>
    <w:rsid w:val="00DD620A"/>
    <w:rsid w:val="00DE11D6"/>
    <w:rsid w:val="00DE56C2"/>
    <w:rsid w:val="00DE6B8C"/>
    <w:rsid w:val="00DF2C09"/>
    <w:rsid w:val="00DF33A9"/>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852"/>
    <w:rsid w:val="00E27D8C"/>
    <w:rsid w:val="00E31BA9"/>
    <w:rsid w:val="00E337E8"/>
    <w:rsid w:val="00E34AA2"/>
    <w:rsid w:val="00E37FAF"/>
    <w:rsid w:val="00E42B30"/>
    <w:rsid w:val="00E42DA2"/>
    <w:rsid w:val="00E4337B"/>
    <w:rsid w:val="00E45906"/>
    <w:rsid w:val="00E45B17"/>
    <w:rsid w:val="00E45E6B"/>
    <w:rsid w:val="00E5097C"/>
    <w:rsid w:val="00E5361B"/>
    <w:rsid w:val="00E54925"/>
    <w:rsid w:val="00E61029"/>
    <w:rsid w:val="00E6173D"/>
    <w:rsid w:val="00E61C4E"/>
    <w:rsid w:val="00E64CEE"/>
    <w:rsid w:val="00E65A41"/>
    <w:rsid w:val="00E710C9"/>
    <w:rsid w:val="00E724E4"/>
    <w:rsid w:val="00E73312"/>
    <w:rsid w:val="00E735D4"/>
    <w:rsid w:val="00E76439"/>
    <w:rsid w:val="00E80317"/>
    <w:rsid w:val="00E80D2E"/>
    <w:rsid w:val="00E858D9"/>
    <w:rsid w:val="00E862F4"/>
    <w:rsid w:val="00E87479"/>
    <w:rsid w:val="00E9032B"/>
    <w:rsid w:val="00E92DE1"/>
    <w:rsid w:val="00E943A6"/>
    <w:rsid w:val="00E975F3"/>
    <w:rsid w:val="00EA3DD8"/>
    <w:rsid w:val="00EC0E72"/>
    <w:rsid w:val="00EC2317"/>
    <w:rsid w:val="00EC2990"/>
    <w:rsid w:val="00EC2A4D"/>
    <w:rsid w:val="00EC4FBB"/>
    <w:rsid w:val="00EC7E7E"/>
    <w:rsid w:val="00ED200B"/>
    <w:rsid w:val="00ED2E12"/>
    <w:rsid w:val="00ED4F03"/>
    <w:rsid w:val="00ED77AE"/>
    <w:rsid w:val="00EE0B68"/>
    <w:rsid w:val="00EE173D"/>
    <w:rsid w:val="00EE24D6"/>
    <w:rsid w:val="00EE59C6"/>
    <w:rsid w:val="00EF1864"/>
    <w:rsid w:val="00EF26B4"/>
    <w:rsid w:val="00EF7C0F"/>
    <w:rsid w:val="00F02E36"/>
    <w:rsid w:val="00F04707"/>
    <w:rsid w:val="00F04ACD"/>
    <w:rsid w:val="00F110F6"/>
    <w:rsid w:val="00F11FC7"/>
    <w:rsid w:val="00F122E7"/>
    <w:rsid w:val="00F152B2"/>
    <w:rsid w:val="00F22AFE"/>
    <w:rsid w:val="00F265C2"/>
    <w:rsid w:val="00F265F6"/>
    <w:rsid w:val="00F26D91"/>
    <w:rsid w:val="00F27291"/>
    <w:rsid w:val="00F32560"/>
    <w:rsid w:val="00F32569"/>
    <w:rsid w:val="00F3366B"/>
    <w:rsid w:val="00F35C22"/>
    <w:rsid w:val="00F41337"/>
    <w:rsid w:val="00F41940"/>
    <w:rsid w:val="00F44405"/>
    <w:rsid w:val="00F46255"/>
    <w:rsid w:val="00F5608F"/>
    <w:rsid w:val="00F60DAD"/>
    <w:rsid w:val="00F61F8E"/>
    <w:rsid w:val="00F63405"/>
    <w:rsid w:val="00F64156"/>
    <w:rsid w:val="00F673B7"/>
    <w:rsid w:val="00F70A37"/>
    <w:rsid w:val="00F71561"/>
    <w:rsid w:val="00F76A83"/>
    <w:rsid w:val="00F83B9C"/>
    <w:rsid w:val="00F83ED3"/>
    <w:rsid w:val="00F857B4"/>
    <w:rsid w:val="00F86C88"/>
    <w:rsid w:val="00F87086"/>
    <w:rsid w:val="00F87535"/>
    <w:rsid w:val="00F939B9"/>
    <w:rsid w:val="00F962B4"/>
    <w:rsid w:val="00F9799C"/>
    <w:rsid w:val="00FA0210"/>
    <w:rsid w:val="00FA3AA3"/>
    <w:rsid w:val="00FA5D62"/>
    <w:rsid w:val="00FB0676"/>
    <w:rsid w:val="00FB08CC"/>
    <w:rsid w:val="00FB35FF"/>
    <w:rsid w:val="00FB3686"/>
    <w:rsid w:val="00FB4545"/>
    <w:rsid w:val="00FB578C"/>
    <w:rsid w:val="00FC1A5C"/>
    <w:rsid w:val="00FC20C2"/>
    <w:rsid w:val="00FC39EA"/>
    <w:rsid w:val="00FD15AF"/>
    <w:rsid w:val="00FD2F1A"/>
    <w:rsid w:val="00FD76D1"/>
    <w:rsid w:val="00FD7F01"/>
    <w:rsid w:val="00FE44CF"/>
    <w:rsid w:val="00FE471B"/>
    <w:rsid w:val="00FE4721"/>
    <w:rsid w:val="00FE4D2A"/>
    <w:rsid w:val="00FE4FD0"/>
    <w:rsid w:val="00FF0DAF"/>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c-csc.lexum.com/scc-csc/fr/nav.d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6737</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2016-10-13T13:25:00Z</dcterms:created>
  <dcterms:modified xsi:type="dcterms:W3CDTF">2016-10-14T11:15:00Z</dcterms:modified>
</cp:coreProperties>
</file>