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0317D" w:rsidRDefault="003F43E6" w:rsidP="00122CE1">
      <w:pPr>
        <w:pStyle w:val="Header"/>
        <w:tabs>
          <w:tab w:val="left" w:pos="1620"/>
          <w:tab w:val="left" w:pos="1710"/>
        </w:tabs>
        <w:jc w:val="center"/>
        <w:rPr>
          <w:b/>
          <w:sz w:val="32"/>
        </w:rPr>
      </w:pPr>
      <w:r w:rsidRPr="00D0317D">
        <w:rPr>
          <w:b/>
          <w:sz w:val="32"/>
        </w:rPr>
        <w:t>Supreme Court of Canada / Cour suprême du Canada</w:t>
      </w:r>
    </w:p>
    <w:p w:rsidR="003F43E6" w:rsidRPr="00D0317D" w:rsidRDefault="003F43E6" w:rsidP="006F2579">
      <w:pPr>
        <w:widowControl w:val="0"/>
        <w:rPr>
          <w:i/>
        </w:rPr>
      </w:pPr>
    </w:p>
    <w:p w:rsidR="006F2579" w:rsidRPr="00D0317D" w:rsidRDefault="006F2579" w:rsidP="006F2579">
      <w:pPr>
        <w:widowControl w:val="0"/>
        <w:rPr>
          <w:i/>
        </w:rPr>
      </w:pPr>
      <w:r w:rsidRPr="00D0317D">
        <w:rPr>
          <w:i/>
        </w:rPr>
        <w:t>(le français suit)</w:t>
      </w:r>
    </w:p>
    <w:p w:rsidR="006F2579" w:rsidRPr="00D0317D" w:rsidRDefault="006F2579" w:rsidP="006F2579">
      <w:pPr>
        <w:widowControl w:val="0"/>
      </w:pPr>
    </w:p>
    <w:p w:rsidR="006F2579" w:rsidRPr="00D0317D" w:rsidRDefault="00B07908" w:rsidP="006F2579">
      <w:pPr>
        <w:widowControl w:val="0"/>
        <w:jc w:val="center"/>
        <w:rPr>
          <w:b/>
        </w:rPr>
      </w:pPr>
      <w:r w:rsidRPr="00D0317D">
        <w:fldChar w:fldCharType="begin"/>
      </w:r>
      <w:r w:rsidR="006F2579" w:rsidRPr="00D0317D">
        <w:instrText xml:space="preserve"> SEQ CHAPTER \h \r 1</w:instrText>
      </w:r>
      <w:r w:rsidRPr="00D0317D">
        <w:fldChar w:fldCharType="end"/>
      </w:r>
      <w:r w:rsidR="006F2579" w:rsidRPr="00D0317D">
        <w:rPr>
          <w:b/>
        </w:rPr>
        <w:t>JUDGMENT</w:t>
      </w:r>
      <w:r w:rsidR="00B17AAC" w:rsidRPr="00D0317D">
        <w:rPr>
          <w:b/>
        </w:rPr>
        <w:t>S</w:t>
      </w:r>
      <w:r w:rsidR="006F2579" w:rsidRPr="00D0317D">
        <w:rPr>
          <w:b/>
        </w:rPr>
        <w:t xml:space="preserve"> TO B</w:t>
      </w:r>
      <w:r w:rsidR="00001846" w:rsidRPr="00D0317D">
        <w:rPr>
          <w:b/>
        </w:rPr>
        <w:t>E RENDERED IN LEAVE APPLICATION</w:t>
      </w:r>
      <w:r w:rsidR="00AE4C09" w:rsidRPr="00D0317D">
        <w:rPr>
          <w:b/>
        </w:rPr>
        <w:t>S</w:t>
      </w:r>
    </w:p>
    <w:p w:rsidR="006F2579" w:rsidRPr="00D0317D" w:rsidRDefault="006F2579" w:rsidP="006F2579">
      <w:pPr>
        <w:widowControl w:val="0"/>
        <w:rPr>
          <w:b/>
        </w:rPr>
      </w:pPr>
    </w:p>
    <w:p w:rsidR="006F2579" w:rsidRPr="00D0317D" w:rsidRDefault="00E31DD1" w:rsidP="006F2579">
      <w:pPr>
        <w:widowControl w:val="0"/>
        <w:rPr>
          <w:b/>
        </w:rPr>
      </w:pPr>
      <w:r w:rsidRPr="00D0317D">
        <w:rPr>
          <w:b/>
        </w:rPr>
        <w:t>October</w:t>
      </w:r>
      <w:r w:rsidR="00FD37D0" w:rsidRPr="00D0317D">
        <w:rPr>
          <w:b/>
        </w:rPr>
        <w:t xml:space="preserve"> </w:t>
      </w:r>
      <w:r w:rsidR="009C0D27" w:rsidRPr="00D0317D">
        <w:rPr>
          <w:b/>
        </w:rPr>
        <w:t>1</w:t>
      </w:r>
      <w:r w:rsidR="0027764C" w:rsidRPr="00D0317D">
        <w:rPr>
          <w:b/>
        </w:rPr>
        <w:t>7</w:t>
      </w:r>
      <w:r w:rsidR="00AB5538" w:rsidRPr="00D0317D">
        <w:rPr>
          <w:b/>
        </w:rPr>
        <w:t>,</w:t>
      </w:r>
      <w:r w:rsidR="006F2579" w:rsidRPr="00D0317D">
        <w:rPr>
          <w:b/>
        </w:rPr>
        <w:t xml:space="preserve"> </w:t>
      </w:r>
      <w:r w:rsidR="0054689F" w:rsidRPr="00D0317D">
        <w:rPr>
          <w:b/>
        </w:rPr>
        <w:t>201</w:t>
      </w:r>
      <w:r w:rsidR="00674329" w:rsidRPr="00D0317D">
        <w:rPr>
          <w:b/>
        </w:rPr>
        <w:t>6</w:t>
      </w:r>
    </w:p>
    <w:p w:rsidR="006F2579" w:rsidRPr="00D0317D" w:rsidRDefault="006F2579" w:rsidP="006F2579">
      <w:pPr>
        <w:widowControl w:val="0"/>
        <w:rPr>
          <w:b/>
        </w:rPr>
      </w:pPr>
      <w:r w:rsidRPr="00D0317D">
        <w:rPr>
          <w:b/>
        </w:rPr>
        <w:t>For immediate release</w:t>
      </w:r>
    </w:p>
    <w:p w:rsidR="006F2579" w:rsidRPr="00D0317D" w:rsidRDefault="006F2579" w:rsidP="006F2579">
      <w:pPr>
        <w:widowControl w:val="0"/>
      </w:pPr>
    </w:p>
    <w:p w:rsidR="006F2579" w:rsidRPr="000870AB" w:rsidRDefault="006F2579" w:rsidP="006F2579">
      <w:pPr>
        <w:widowControl w:val="0"/>
        <w:rPr>
          <w:lang w:val="fr-CA"/>
        </w:rPr>
      </w:pPr>
      <w:r w:rsidRPr="00D0317D">
        <w:rPr>
          <w:b/>
        </w:rPr>
        <w:t>OTTAWA</w:t>
      </w:r>
      <w:r w:rsidRPr="00D0317D">
        <w:t xml:space="preserve"> – The Supreme Court of Canada announced today that judgment in the following application</w:t>
      </w:r>
      <w:r w:rsidR="008600ED" w:rsidRPr="00D0317D">
        <w:t>s</w:t>
      </w:r>
      <w:r w:rsidRPr="00D0317D">
        <w:t xml:space="preserve"> for leave to appeal will be delivered at 9:45 a.m. E</w:t>
      </w:r>
      <w:r w:rsidR="003817A9" w:rsidRPr="00D0317D">
        <w:t>D</w:t>
      </w:r>
      <w:r w:rsidRPr="00D0317D">
        <w:t xml:space="preserve">T on Thursday, </w:t>
      </w:r>
      <w:r w:rsidR="00E31DD1" w:rsidRPr="00D0317D">
        <w:t>October</w:t>
      </w:r>
      <w:r w:rsidR="00FD37D0" w:rsidRPr="00D0317D">
        <w:t xml:space="preserve"> </w:t>
      </w:r>
      <w:r w:rsidR="0027764C" w:rsidRPr="00D0317D">
        <w:t>20</w:t>
      </w:r>
      <w:r w:rsidR="007E112F" w:rsidRPr="00D0317D">
        <w:t>,</w:t>
      </w:r>
      <w:r w:rsidR="002F38D7" w:rsidRPr="00D0317D">
        <w:t xml:space="preserve"> </w:t>
      </w:r>
      <w:r w:rsidR="006648D1" w:rsidRPr="00D0317D">
        <w:t>201</w:t>
      </w:r>
      <w:r w:rsidR="00674329" w:rsidRPr="00D0317D">
        <w:t>6</w:t>
      </w:r>
      <w:r w:rsidRPr="00D0317D">
        <w:t xml:space="preserve">. </w:t>
      </w:r>
      <w:r w:rsidRPr="000870AB">
        <w:rPr>
          <w:lang w:val="fr-CA"/>
        </w:rPr>
        <w:t>This list is subject to change.</w:t>
      </w:r>
    </w:p>
    <w:p w:rsidR="00FF5AA4" w:rsidRPr="000870AB" w:rsidRDefault="00FF5AA4" w:rsidP="006F2579">
      <w:pPr>
        <w:widowControl w:val="0"/>
        <w:rPr>
          <w:lang w:val="fr-CA"/>
        </w:rPr>
      </w:pPr>
    </w:p>
    <w:p w:rsidR="00B43418" w:rsidRPr="000870AB" w:rsidRDefault="00B43418" w:rsidP="006F2579">
      <w:pPr>
        <w:widowControl w:val="0"/>
        <w:rPr>
          <w:lang w:val="fr-CA"/>
        </w:rPr>
      </w:pPr>
    </w:p>
    <w:p w:rsidR="006F2579" w:rsidRPr="00D0317D" w:rsidRDefault="006F2579" w:rsidP="006F2579">
      <w:pPr>
        <w:widowControl w:val="0"/>
        <w:jc w:val="center"/>
        <w:rPr>
          <w:lang w:val="fr-CA"/>
        </w:rPr>
      </w:pPr>
      <w:r w:rsidRPr="00D0317D">
        <w:rPr>
          <w:b/>
          <w:lang w:val="fr-CA"/>
        </w:rPr>
        <w:t>PROCHAIN</w:t>
      </w:r>
      <w:r w:rsidR="00B17AAC" w:rsidRPr="00D0317D">
        <w:rPr>
          <w:b/>
          <w:lang w:val="fr-CA"/>
        </w:rPr>
        <w:t>S</w:t>
      </w:r>
      <w:r w:rsidRPr="00D0317D">
        <w:rPr>
          <w:b/>
          <w:lang w:val="fr-CA"/>
        </w:rPr>
        <w:t xml:space="preserve"> JUGEMENT</w:t>
      </w:r>
      <w:r w:rsidR="00B17AAC" w:rsidRPr="00D0317D">
        <w:rPr>
          <w:b/>
          <w:lang w:val="fr-CA"/>
        </w:rPr>
        <w:t>S</w:t>
      </w:r>
      <w:r w:rsidR="00001846" w:rsidRPr="00D0317D">
        <w:rPr>
          <w:b/>
          <w:lang w:val="fr-CA"/>
        </w:rPr>
        <w:t xml:space="preserve"> SUR DEMANDE</w:t>
      </w:r>
      <w:r w:rsidR="00B17AAC" w:rsidRPr="00D0317D">
        <w:rPr>
          <w:b/>
          <w:lang w:val="fr-CA"/>
        </w:rPr>
        <w:t>S</w:t>
      </w:r>
      <w:r w:rsidRPr="00D0317D">
        <w:rPr>
          <w:b/>
          <w:lang w:val="fr-CA"/>
        </w:rPr>
        <w:t xml:space="preserve"> D’AUTORISATION</w:t>
      </w:r>
    </w:p>
    <w:p w:rsidR="006F2579" w:rsidRPr="00D0317D" w:rsidRDefault="006F2579" w:rsidP="006F2579">
      <w:pPr>
        <w:widowControl w:val="0"/>
        <w:rPr>
          <w:lang w:val="fr-CA"/>
        </w:rPr>
      </w:pPr>
    </w:p>
    <w:p w:rsidR="006F2579" w:rsidRPr="00D0317D" w:rsidRDefault="006F2579" w:rsidP="006F2579">
      <w:pPr>
        <w:widowControl w:val="0"/>
        <w:rPr>
          <w:b/>
          <w:lang w:val="fr-CA"/>
        </w:rPr>
      </w:pPr>
      <w:r w:rsidRPr="00D0317D">
        <w:rPr>
          <w:b/>
          <w:lang w:val="fr-CA"/>
        </w:rPr>
        <w:t>Le</w:t>
      </w:r>
      <w:r w:rsidR="00957A76" w:rsidRPr="00D0317D">
        <w:rPr>
          <w:b/>
          <w:lang w:val="fr-CA"/>
        </w:rPr>
        <w:t xml:space="preserve"> </w:t>
      </w:r>
      <w:r w:rsidR="009C0D27" w:rsidRPr="00D0317D">
        <w:rPr>
          <w:b/>
          <w:lang w:val="fr-CA"/>
        </w:rPr>
        <w:t>1</w:t>
      </w:r>
      <w:r w:rsidR="0027764C" w:rsidRPr="00D0317D">
        <w:rPr>
          <w:b/>
          <w:lang w:val="fr-CA"/>
        </w:rPr>
        <w:t>7</w:t>
      </w:r>
      <w:r w:rsidR="00FD37D0" w:rsidRPr="00D0317D">
        <w:rPr>
          <w:b/>
          <w:lang w:val="fr-CA"/>
        </w:rPr>
        <w:t xml:space="preserve"> </w:t>
      </w:r>
      <w:r w:rsidR="00E31DD1" w:rsidRPr="00D0317D">
        <w:rPr>
          <w:b/>
          <w:lang w:val="fr-CA"/>
        </w:rPr>
        <w:t>octobre</w:t>
      </w:r>
      <w:r w:rsidR="00674329" w:rsidRPr="00D0317D">
        <w:rPr>
          <w:b/>
          <w:lang w:val="fr-CA"/>
        </w:rPr>
        <w:t xml:space="preserve"> 2016</w:t>
      </w:r>
    </w:p>
    <w:p w:rsidR="006F2579" w:rsidRPr="00D0317D" w:rsidRDefault="006F2579" w:rsidP="006F2579">
      <w:pPr>
        <w:widowControl w:val="0"/>
        <w:rPr>
          <w:b/>
          <w:lang w:val="fr-CA"/>
        </w:rPr>
      </w:pPr>
      <w:r w:rsidRPr="00D0317D">
        <w:rPr>
          <w:b/>
          <w:lang w:val="fr-CA"/>
        </w:rPr>
        <w:t>Pour diffusion immédiate</w:t>
      </w:r>
    </w:p>
    <w:p w:rsidR="006F2579" w:rsidRPr="00D0317D" w:rsidRDefault="006F2579" w:rsidP="006F2579">
      <w:pPr>
        <w:widowControl w:val="0"/>
        <w:rPr>
          <w:b/>
          <w:lang w:val="fr-CA"/>
        </w:rPr>
      </w:pPr>
    </w:p>
    <w:p w:rsidR="006F2579" w:rsidRPr="00D0317D" w:rsidRDefault="006F2579" w:rsidP="006F2579">
      <w:pPr>
        <w:widowControl w:val="0"/>
        <w:rPr>
          <w:lang w:val="fr-CA"/>
        </w:rPr>
      </w:pPr>
      <w:r w:rsidRPr="00D0317D">
        <w:rPr>
          <w:b/>
          <w:lang w:val="fr-CA"/>
        </w:rPr>
        <w:t>OTTAWA</w:t>
      </w:r>
      <w:r w:rsidRPr="00D0317D">
        <w:rPr>
          <w:lang w:val="fr-CA"/>
        </w:rPr>
        <w:t xml:space="preserve"> – La Cour suprême du Canada annonce que jugement ser</w:t>
      </w:r>
      <w:r w:rsidR="004259F9" w:rsidRPr="00D0317D">
        <w:rPr>
          <w:lang w:val="fr-CA"/>
        </w:rPr>
        <w:t>a</w:t>
      </w:r>
      <w:r w:rsidRPr="00D0317D">
        <w:rPr>
          <w:lang w:val="fr-CA"/>
        </w:rPr>
        <w:t xml:space="preserve"> rendu dans l</w:t>
      </w:r>
      <w:r w:rsidR="008600ED" w:rsidRPr="00D0317D">
        <w:rPr>
          <w:lang w:val="fr-CA"/>
        </w:rPr>
        <w:t>es</w:t>
      </w:r>
      <w:r w:rsidRPr="00D0317D">
        <w:rPr>
          <w:lang w:val="fr-CA"/>
        </w:rPr>
        <w:t xml:space="preserve"> demande</w:t>
      </w:r>
      <w:r w:rsidR="008600ED" w:rsidRPr="00D0317D">
        <w:rPr>
          <w:lang w:val="fr-CA"/>
        </w:rPr>
        <w:t>s</w:t>
      </w:r>
      <w:r w:rsidRPr="00D0317D">
        <w:rPr>
          <w:lang w:val="fr-CA"/>
        </w:rPr>
        <w:t xml:space="preserve"> d</w:t>
      </w:r>
      <w:r w:rsidR="00001846" w:rsidRPr="00D0317D">
        <w:rPr>
          <w:lang w:val="fr-CA"/>
        </w:rPr>
        <w:t>’autorisation d’appel suivante</w:t>
      </w:r>
      <w:r w:rsidR="008600ED" w:rsidRPr="00D0317D">
        <w:rPr>
          <w:lang w:val="fr-CA"/>
        </w:rPr>
        <w:t>s</w:t>
      </w:r>
      <w:r w:rsidRPr="00D0317D">
        <w:rPr>
          <w:lang w:val="fr-CA"/>
        </w:rPr>
        <w:t xml:space="preserve"> le jeudi </w:t>
      </w:r>
      <w:r w:rsidR="0027764C" w:rsidRPr="00D0317D">
        <w:rPr>
          <w:lang w:val="fr-CA"/>
        </w:rPr>
        <w:t>20</w:t>
      </w:r>
      <w:r w:rsidR="0025030E" w:rsidRPr="00D0317D">
        <w:rPr>
          <w:lang w:val="fr-CA"/>
        </w:rPr>
        <w:t xml:space="preserve"> </w:t>
      </w:r>
      <w:r w:rsidR="00E31DD1" w:rsidRPr="00D0317D">
        <w:rPr>
          <w:lang w:val="fr-CA"/>
        </w:rPr>
        <w:t>octobre</w:t>
      </w:r>
      <w:r w:rsidR="00674329" w:rsidRPr="00D0317D">
        <w:rPr>
          <w:lang w:val="fr-CA"/>
        </w:rPr>
        <w:t xml:space="preserve"> </w:t>
      </w:r>
      <w:r w:rsidR="006648D1" w:rsidRPr="00D0317D">
        <w:rPr>
          <w:lang w:val="fr-CA"/>
        </w:rPr>
        <w:t>201</w:t>
      </w:r>
      <w:r w:rsidR="00674329" w:rsidRPr="00D0317D">
        <w:rPr>
          <w:lang w:val="fr-CA"/>
        </w:rPr>
        <w:t>6</w:t>
      </w:r>
      <w:r w:rsidRPr="00D0317D">
        <w:rPr>
          <w:lang w:val="fr-CA"/>
        </w:rPr>
        <w:t xml:space="preserve">, à 9 h 45 </w:t>
      </w:r>
      <w:r w:rsidR="000627A2" w:rsidRPr="00D0317D">
        <w:rPr>
          <w:lang w:val="fr-CA"/>
        </w:rPr>
        <w:t>H</w:t>
      </w:r>
      <w:r w:rsidR="003817A9" w:rsidRPr="00D0317D">
        <w:rPr>
          <w:lang w:val="fr-CA"/>
        </w:rPr>
        <w:t>A</w:t>
      </w:r>
      <w:r w:rsidRPr="00D0317D">
        <w:rPr>
          <w:lang w:val="fr-CA"/>
        </w:rPr>
        <w:t>E. Cette liste est sujette à modifications.</w:t>
      </w:r>
    </w:p>
    <w:p w:rsidR="0080556B" w:rsidRPr="00D0317D" w:rsidRDefault="0080556B" w:rsidP="009B14F4">
      <w:pPr>
        <w:widowControl w:val="0"/>
        <w:jc w:val="both"/>
        <w:rPr>
          <w:sz w:val="20"/>
          <w:lang w:val="fr-CA"/>
        </w:rPr>
      </w:pPr>
    </w:p>
    <w:p w:rsidR="001838E0" w:rsidRPr="00D0317D" w:rsidRDefault="003D353C" w:rsidP="009B14F4">
      <w:pPr>
        <w:widowControl w:val="0"/>
        <w:jc w:val="both"/>
        <w:rPr>
          <w:sz w:val="20"/>
          <w:lang w:val="fr-CA"/>
        </w:rPr>
      </w:pPr>
      <w:r w:rsidRPr="00D0317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D0317D" w:rsidRDefault="0042396F" w:rsidP="00F01A7F">
      <w:pPr>
        <w:ind w:left="360" w:hanging="360"/>
        <w:jc w:val="both"/>
        <w:rPr>
          <w:rFonts w:eastAsiaTheme="minorEastAsia"/>
          <w:sz w:val="20"/>
          <w:lang w:val="fr-CA" w:eastAsia="en-CA"/>
        </w:rPr>
      </w:pPr>
    </w:p>
    <w:p w:rsidR="00F01A7F" w:rsidRPr="00D0317D" w:rsidRDefault="00F01A7F" w:rsidP="00B95B48">
      <w:pPr>
        <w:pStyle w:val="ListParagraph"/>
        <w:numPr>
          <w:ilvl w:val="0"/>
          <w:numId w:val="21"/>
        </w:numPr>
        <w:ind w:left="360"/>
        <w:rPr>
          <w:sz w:val="20"/>
          <w:szCs w:val="20"/>
          <w:lang w:val="en-CA"/>
        </w:rPr>
      </w:pPr>
      <w:r w:rsidRPr="00D0317D">
        <w:rPr>
          <w:i/>
          <w:sz w:val="20"/>
          <w:szCs w:val="20"/>
          <w:lang w:val="fr-FR"/>
        </w:rPr>
        <w:t>Allianz Global Risks US Insurance Company/Compagnie d’assurance Allianz risques mondiaux E.-U. et al. v. Acciona Infrastructure Canada Inc. et al.</w:t>
      </w:r>
      <w:r w:rsidRPr="00D0317D">
        <w:rPr>
          <w:sz w:val="20"/>
          <w:szCs w:val="20"/>
          <w:lang w:val="fr-FR"/>
        </w:rPr>
        <w:t xml:space="preserve"> (B.C.) (Civil) </w:t>
      </w:r>
      <w:r w:rsidRPr="00D0317D">
        <w:rPr>
          <w:sz w:val="20"/>
          <w:szCs w:val="20"/>
          <w:lang w:val="en-CA"/>
        </w:rPr>
        <w:t>(By Leave)</w:t>
      </w:r>
      <w:r w:rsidR="00C6294C" w:rsidRPr="00D0317D">
        <w:rPr>
          <w:sz w:val="20"/>
        </w:rPr>
        <w:t xml:space="preserve"> (</w:t>
      </w:r>
      <w:hyperlink r:id="rId8" w:history="1">
        <w:r w:rsidR="00C6294C" w:rsidRPr="00D0317D">
          <w:rPr>
            <w:rStyle w:val="Hyperlink"/>
            <w:sz w:val="20"/>
          </w:rPr>
          <w:t>36660</w:t>
        </w:r>
      </w:hyperlink>
      <w:r w:rsidR="00C6294C" w:rsidRPr="00D0317D">
        <w:rPr>
          <w:sz w:val="20"/>
        </w:rPr>
        <w:t>)</w:t>
      </w:r>
    </w:p>
    <w:p w:rsidR="00F01A7F" w:rsidRPr="00D0317D" w:rsidRDefault="00F01A7F" w:rsidP="00F01A7F">
      <w:pPr>
        <w:ind w:left="360" w:hanging="360"/>
        <w:rPr>
          <w:sz w:val="20"/>
          <w:lang w:val="en-CA"/>
        </w:rPr>
      </w:pPr>
    </w:p>
    <w:p w:rsidR="00F01A7F" w:rsidRPr="00D0317D" w:rsidRDefault="00F01A7F" w:rsidP="00F01A7F">
      <w:pPr>
        <w:pStyle w:val="ListParagraph"/>
        <w:numPr>
          <w:ilvl w:val="0"/>
          <w:numId w:val="21"/>
        </w:numPr>
        <w:ind w:left="360"/>
        <w:jc w:val="both"/>
        <w:rPr>
          <w:sz w:val="20"/>
          <w:szCs w:val="20"/>
          <w:lang w:val="en-CA" w:eastAsia="en-CA"/>
        </w:rPr>
      </w:pPr>
      <w:r w:rsidRPr="00D0317D">
        <w:rPr>
          <w:i/>
          <w:sz w:val="20"/>
          <w:szCs w:val="20"/>
          <w:lang w:val="en-CA" w:eastAsia="en-CA"/>
        </w:rPr>
        <w:t>Jessica Leblanc v. Her Majesty the Queen</w:t>
      </w:r>
      <w:r w:rsidRPr="00D0317D">
        <w:rPr>
          <w:sz w:val="20"/>
          <w:szCs w:val="20"/>
          <w:lang w:val="en-CA" w:eastAsia="en-CA"/>
        </w:rPr>
        <w:t xml:space="preserve"> (F</w:t>
      </w:r>
      <w:r w:rsidR="00FA5C2C" w:rsidRPr="00D0317D">
        <w:rPr>
          <w:sz w:val="20"/>
          <w:szCs w:val="20"/>
          <w:lang w:val="en-CA" w:eastAsia="en-CA"/>
        </w:rPr>
        <w:t>.</w:t>
      </w:r>
      <w:r w:rsidRPr="00D0317D">
        <w:rPr>
          <w:sz w:val="20"/>
          <w:szCs w:val="20"/>
          <w:lang w:val="en-CA" w:eastAsia="en-CA"/>
        </w:rPr>
        <w:t>C</w:t>
      </w:r>
      <w:r w:rsidR="00FA5C2C" w:rsidRPr="00D0317D">
        <w:rPr>
          <w:sz w:val="20"/>
          <w:szCs w:val="20"/>
          <w:lang w:val="en-CA" w:eastAsia="en-CA"/>
        </w:rPr>
        <w:t>.</w:t>
      </w:r>
      <w:r w:rsidRPr="00D0317D">
        <w:rPr>
          <w:sz w:val="20"/>
          <w:szCs w:val="20"/>
          <w:lang w:val="en-CA" w:eastAsia="en-CA"/>
        </w:rPr>
        <w:t>) (Civil) (By Leave)</w:t>
      </w:r>
      <w:r w:rsidR="00FA5C2C" w:rsidRPr="00D0317D">
        <w:rPr>
          <w:sz w:val="20"/>
          <w:szCs w:val="20"/>
          <w:lang w:val="en-CA" w:eastAsia="en-CA"/>
        </w:rPr>
        <w:t xml:space="preserve"> </w:t>
      </w:r>
      <w:r w:rsidR="00FA5C2C" w:rsidRPr="00D0317D">
        <w:rPr>
          <w:sz w:val="20"/>
        </w:rPr>
        <w:t>(</w:t>
      </w:r>
      <w:hyperlink r:id="rId9" w:history="1">
        <w:r w:rsidR="00FA5C2C" w:rsidRPr="00D0317D">
          <w:rPr>
            <w:rStyle w:val="Hyperlink"/>
            <w:sz w:val="20"/>
          </w:rPr>
          <w:t>370</w:t>
        </w:r>
      </w:hyperlink>
      <w:r w:rsidR="00FA5C2C" w:rsidRPr="00D0317D">
        <w:rPr>
          <w:rStyle w:val="Hyperlink"/>
          <w:sz w:val="20"/>
        </w:rPr>
        <w:t>56</w:t>
      </w:r>
      <w:r w:rsidR="00FA5C2C" w:rsidRPr="00D0317D">
        <w:rPr>
          <w:sz w:val="20"/>
        </w:rPr>
        <w:t>)</w:t>
      </w:r>
    </w:p>
    <w:p w:rsidR="00F01A7F" w:rsidRPr="00D0317D" w:rsidRDefault="00F01A7F" w:rsidP="00F01A7F">
      <w:pPr>
        <w:ind w:left="360" w:hanging="360"/>
        <w:contextualSpacing/>
        <w:jc w:val="both"/>
        <w:rPr>
          <w:sz w:val="20"/>
          <w:lang w:val="en-CA" w:eastAsia="en-CA"/>
        </w:rPr>
      </w:pPr>
    </w:p>
    <w:p w:rsidR="00F01A7F" w:rsidRPr="00D0317D" w:rsidRDefault="00F01A7F" w:rsidP="00F01A7F">
      <w:pPr>
        <w:pStyle w:val="ListParagraph"/>
        <w:numPr>
          <w:ilvl w:val="0"/>
          <w:numId w:val="21"/>
        </w:numPr>
        <w:ind w:left="360"/>
        <w:jc w:val="both"/>
        <w:rPr>
          <w:sz w:val="20"/>
          <w:szCs w:val="20"/>
          <w:lang w:val="en-CA" w:eastAsia="en-CA"/>
        </w:rPr>
      </w:pPr>
      <w:r w:rsidRPr="00D0317D">
        <w:rPr>
          <w:i/>
          <w:sz w:val="20"/>
          <w:szCs w:val="20"/>
          <w:lang w:val="en-CA" w:eastAsia="en-CA"/>
        </w:rPr>
        <w:t>Luc Leblanc v. Her Majesty the Queen</w:t>
      </w:r>
      <w:r w:rsidRPr="00D0317D">
        <w:rPr>
          <w:sz w:val="20"/>
          <w:szCs w:val="20"/>
          <w:lang w:val="en-CA" w:eastAsia="en-CA"/>
        </w:rPr>
        <w:t xml:space="preserve"> (F</w:t>
      </w:r>
      <w:r w:rsidR="00FA5C2C" w:rsidRPr="00D0317D">
        <w:rPr>
          <w:sz w:val="20"/>
          <w:szCs w:val="20"/>
          <w:lang w:val="en-CA" w:eastAsia="en-CA"/>
        </w:rPr>
        <w:t>.</w:t>
      </w:r>
      <w:r w:rsidRPr="00D0317D">
        <w:rPr>
          <w:sz w:val="20"/>
          <w:szCs w:val="20"/>
          <w:lang w:val="en-CA" w:eastAsia="en-CA"/>
        </w:rPr>
        <w:t>C</w:t>
      </w:r>
      <w:r w:rsidR="00FA5C2C" w:rsidRPr="00D0317D">
        <w:rPr>
          <w:sz w:val="20"/>
          <w:szCs w:val="20"/>
          <w:lang w:val="en-CA" w:eastAsia="en-CA"/>
        </w:rPr>
        <w:t>.</w:t>
      </w:r>
      <w:r w:rsidRPr="00D0317D">
        <w:rPr>
          <w:sz w:val="20"/>
          <w:szCs w:val="20"/>
          <w:lang w:val="en-CA" w:eastAsia="en-CA"/>
        </w:rPr>
        <w:t>) (Civil) (By Leave)</w:t>
      </w:r>
      <w:r w:rsidR="0012068C" w:rsidRPr="00D0317D">
        <w:rPr>
          <w:sz w:val="20"/>
          <w:szCs w:val="20"/>
          <w:lang w:val="en-CA" w:eastAsia="en-CA"/>
        </w:rPr>
        <w:t xml:space="preserve"> </w:t>
      </w:r>
      <w:r w:rsidR="0012068C" w:rsidRPr="00D0317D">
        <w:rPr>
          <w:sz w:val="20"/>
        </w:rPr>
        <w:t>(</w:t>
      </w:r>
      <w:hyperlink r:id="rId10" w:history="1">
        <w:r w:rsidR="0012068C" w:rsidRPr="00D0317D">
          <w:rPr>
            <w:rStyle w:val="Hyperlink"/>
            <w:sz w:val="20"/>
          </w:rPr>
          <w:t>37057</w:t>
        </w:r>
      </w:hyperlink>
      <w:r w:rsidR="0012068C" w:rsidRPr="00D0317D">
        <w:rPr>
          <w:sz w:val="20"/>
        </w:rPr>
        <w:t>)</w:t>
      </w:r>
    </w:p>
    <w:p w:rsidR="00F01A7F" w:rsidRPr="00D0317D" w:rsidRDefault="00F01A7F" w:rsidP="00F01A7F">
      <w:pPr>
        <w:ind w:left="360" w:hanging="360"/>
        <w:jc w:val="both"/>
        <w:rPr>
          <w:sz w:val="20"/>
          <w:lang w:val="en-CA" w:eastAsia="en-CA"/>
        </w:rPr>
      </w:pPr>
    </w:p>
    <w:p w:rsidR="00F01A7F" w:rsidRPr="00D0317D" w:rsidRDefault="00F01A7F" w:rsidP="00F01A7F">
      <w:pPr>
        <w:pStyle w:val="ListParagraph"/>
        <w:numPr>
          <w:ilvl w:val="0"/>
          <w:numId w:val="21"/>
        </w:numPr>
        <w:ind w:left="360"/>
        <w:jc w:val="both"/>
        <w:rPr>
          <w:sz w:val="20"/>
          <w:szCs w:val="20"/>
          <w:lang w:val="en-CA" w:eastAsia="en-CA"/>
        </w:rPr>
      </w:pPr>
      <w:r w:rsidRPr="00D0317D">
        <w:rPr>
          <w:i/>
          <w:sz w:val="20"/>
          <w:szCs w:val="20"/>
          <w:lang w:val="en-CA" w:eastAsia="en-CA"/>
        </w:rPr>
        <w:t>Celia Sankar v. Bell Mobility Inc.</w:t>
      </w:r>
      <w:r w:rsidRPr="00D0317D">
        <w:rPr>
          <w:sz w:val="20"/>
          <w:szCs w:val="20"/>
          <w:lang w:val="en-CA" w:eastAsia="en-CA"/>
        </w:rPr>
        <w:t xml:space="preserve"> (Ont.) (Civil) (By Leave)</w:t>
      </w:r>
      <w:r w:rsidR="00904BC9" w:rsidRPr="00D0317D">
        <w:rPr>
          <w:sz w:val="20"/>
          <w:szCs w:val="20"/>
          <w:lang w:val="en-CA" w:eastAsia="en-CA"/>
        </w:rPr>
        <w:t xml:space="preserve"> </w:t>
      </w:r>
      <w:r w:rsidR="00904BC9" w:rsidRPr="00D0317D">
        <w:rPr>
          <w:sz w:val="20"/>
        </w:rPr>
        <w:t>(</w:t>
      </w:r>
      <w:hyperlink r:id="rId11" w:history="1">
        <w:r w:rsidR="00904BC9" w:rsidRPr="00D0317D">
          <w:rPr>
            <w:rStyle w:val="Hyperlink"/>
            <w:sz w:val="20"/>
          </w:rPr>
          <w:t>37045</w:t>
        </w:r>
      </w:hyperlink>
      <w:r w:rsidR="00904BC9" w:rsidRPr="00D0317D">
        <w:rPr>
          <w:sz w:val="20"/>
        </w:rPr>
        <w:t>)</w:t>
      </w:r>
    </w:p>
    <w:p w:rsidR="00F01A7F" w:rsidRPr="00D0317D" w:rsidRDefault="00F01A7F" w:rsidP="00F01A7F">
      <w:pPr>
        <w:ind w:left="360" w:hanging="360"/>
        <w:rPr>
          <w:sz w:val="20"/>
          <w:lang w:val="fr-FR"/>
        </w:rPr>
      </w:pPr>
    </w:p>
    <w:p w:rsidR="00F01A7F" w:rsidRPr="00D0317D" w:rsidRDefault="00F01A7F" w:rsidP="00F01A7F">
      <w:pPr>
        <w:pStyle w:val="ListParagraph"/>
        <w:numPr>
          <w:ilvl w:val="0"/>
          <w:numId w:val="21"/>
        </w:numPr>
        <w:ind w:left="360"/>
        <w:rPr>
          <w:rFonts w:eastAsia="Calibri"/>
          <w:sz w:val="20"/>
          <w:szCs w:val="20"/>
          <w:lang w:val="en-CA"/>
        </w:rPr>
      </w:pPr>
      <w:r w:rsidRPr="00D0317D">
        <w:rPr>
          <w:rFonts w:eastAsia="Calibri"/>
          <w:i/>
          <w:sz w:val="20"/>
          <w:szCs w:val="20"/>
          <w:lang w:val="en-CA"/>
        </w:rPr>
        <w:t xml:space="preserve">Durham Regional Crime Stoppers Inc. v. Her Majesty the Queen et al. </w:t>
      </w:r>
      <w:r w:rsidRPr="00D0317D">
        <w:rPr>
          <w:rFonts w:eastAsia="Calibri"/>
          <w:sz w:val="20"/>
          <w:szCs w:val="20"/>
          <w:lang w:val="en-CA"/>
        </w:rPr>
        <w:t>(Ont</w:t>
      </w:r>
      <w:r w:rsidR="00182693" w:rsidRPr="00D0317D">
        <w:rPr>
          <w:rFonts w:eastAsia="Calibri"/>
          <w:sz w:val="20"/>
          <w:szCs w:val="20"/>
          <w:lang w:val="en-CA"/>
        </w:rPr>
        <w:t>.</w:t>
      </w:r>
      <w:r w:rsidRPr="00D0317D">
        <w:rPr>
          <w:rFonts w:eastAsia="Calibri"/>
          <w:sz w:val="20"/>
          <w:szCs w:val="20"/>
          <w:lang w:val="en-CA"/>
        </w:rPr>
        <w:t>) (Criminal) (By leave)</w:t>
      </w:r>
      <w:r w:rsidR="00182693" w:rsidRPr="00D0317D">
        <w:rPr>
          <w:rFonts w:eastAsia="Calibri"/>
          <w:sz w:val="20"/>
          <w:szCs w:val="20"/>
          <w:lang w:val="en-CA"/>
        </w:rPr>
        <w:t xml:space="preserve"> </w:t>
      </w:r>
      <w:r w:rsidR="00182693" w:rsidRPr="00D0317D">
        <w:rPr>
          <w:sz w:val="20"/>
        </w:rPr>
        <w:t>(</w:t>
      </w:r>
      <w:hyperlink r:id="rId12" w:history="1">
        <w:r w:rsidR="00182693" w:rsidRPr="00D0317D">
          <w:rPr>
            <w:rStyle w:val="Hyperlink"/>
            <w:sz w:val="20"/>
          </w:rPr>
          <w:t>37052</w:t>
        </w:r>
      </w:hyperlink>
      <w:r w:rsidR="00182693" w:rsidRPr="00D0317D">
        <w:rPr>
          <w:sz w:val="20"/>
        </w:rPr>
        <w:t>)</w:t>
      </w:r>
    </w:p>
    <w:p w:rsidR="00F01A7F" w:rsidRPr="00D0317D" w:rsidRDefault="00F01A7F" w:rsidP="00F01A7F">
      <w:pPr>
        <w:widowControl w:val="0"/>
        <w:autoSpaceDE w:val="0"/>
        <w:autoSpaceDN w:val="0"/>
        <w:adjustRightInd w:val="0"/>
        <w:ind w:left="360" w:hanging="360"/>
        <w:rPr>
          <w:sz w:val="20"/>
          <w:lang w:val="en-CA"/>
        </w:rPr>
      </w:pPr>
    </w:p>
    <w:p w:rsidR="00F01A7F" w:rsidRPr="000870AB" w:rsidRDefault="00F01A7F" w:rsidP="00F01A7F">
      <w:pPr>
        <w:pStyle w:val="ListParagraph"/>
        <w:numPr>
          <w:ilvl w:val="0"/>
          <w:numId w:val="21"/>
        </w:numPr>
        <w:ind w:left="360"/>
        <w:rPr>
          <w:rFonts w:eastAsia="Calibri"/>
          <w:sz w:val="20"/>
          <w:szCs w:val="20"/>
          <w:lang w:val="fr-CA"/>
        </w:rPr>
      </w:pPr>
      <w:r w:rsidRPr="000870AB">
        <w:rPr>
          <w:rFonts w:eastAsia="Calibri"/>
          <w:i/>
          <w:sz w:val="20"/>
          <w:szCs w:val="20"/>
          <w:lang w:val="fr-CA"/>
        </w:rPr>
        <w:t xml:space="preserve">A.G.F. c. S.C. </w:t>
      </w:r>
      <w:r w:rsidRPr="000870AB">
        <w:rPr>
          <w:rFonts w:eastAsia="Calibri"/>
          <w:sz w:val="20"/>
          <w:szCs w:val="20"/>
          <w:lang w:val="fr-CA"/>
        </w:rPr>
        <w:t>(Q</w:t>
      </w:r>
      <w:r w:rsidR="001E1EE3" w:rsidRPr="000870AB">
        <w:rPr>
          <w:rFonts w:eastAsia="Calibri"/>
          <w:sz w:val="20"/>
          <w:szCs w:val="20"/>
          <w:lang w:val="fr-CA"/>
        </w:rPr>
        <w:t>c</w:t>
      </w:r>
      <w:r w:rsidRPr="000870AB">
        <w:rPr>
          <w:rFonts w:eastAsia="Calibri"/>
          <w:sz w:val="20"/>
          <w:szCs w:val="20"/>
          <w:lang w:val="fr-CA"/>
        </w:rPr>
        <w:t>) (Civile) (Autorisation)</w:t>
      </w:r>
      <w:r w:rsidR="00D77D62" w:rsidRPr="000870AB">
        <w:rPr>
          <w:rFonts w:eastAsia="Calibri"/>
          <w:sz w:val="20"/>
          <w:szCs w:val="20"/>
          <w:lang w:val="fr-CA"/>
        </w:rPr>
        <w:t xml:space="preserve"> </w:t>
      </w:r>
      <w:r w:rsidR="00D77D62" w:rsidRPr="00D0317D">
        <w:rPr>
          <w:sz w:val="20"/>
          <w:lang w:val="fr-CA"/>
        </w:rPr>
        <w:t>(</w:t>
      </w:r>
      <w:hyperlink r:id="rId13" w:history="1">
        <w:r w:rsidR="00D77D62" w:rsidRPr="00D0317D">
          <w:rPr>
            <w:rStyle w:val="Hyperlink"/>
            <w:sz w:val="20"/>
            <w:lang w:val="fr-CA"/>
          </w:rPr>
          <w:t>37029</w:t>
        </w:r>
      </w:hyperlink>
      <w:r w:rsidR="00D77D62" w:rsidRPr="00D0317D">
        <w:rPr>
          <w:sz w:val="20"/>
          <w:lang w:val="fr-CA"/>
        </w:rPr>
        <w:t>)</w:t>
      </w:r>
    </w:p>
    <w:p w:rsidR="00F01A7F" w:rsidRPr="000870AB" w:rsidRDefault="00F01A7F" w:rsidP="00F01A7F">
      <w:pPr>
        <w:widowControl w:val="0"/>
        <w:autoSpaceDE w:val="0"/>
        <w:autoSpaceDN w:val="0"/>
        <w:adjustRightInd w:val="0"/>
        <w:ind w:left="360" w:hanging="360"/>
        <w:rPr>
          <w:sz w:val="20"/>
          <w:lang w:val="fr-CA"/>
        </w:rPr>
      </w:pPr>
    </w:p>
    <w:p w:rsidR="00F01A7F" w:rsidRPr="00D0317D" w:rsidRDefault="00F01A7F" w:rsidP="00F01A7F">
      <w:pPr>
        <w:pStyle w:val="ListParagraph"/>
        <w:numPr>
          <w:ilvl w:val="0"/>
          <w:numId w:val="21"/>
        </w:numPr>
        <w:ind w:left="360"/>
        <w:rPr>
          <w:rFonts w:eastAsia="Calibri"/>
          <w:sz w:val="20"/>
          <w:szCs w:val="20"/>
          <w:lang w:val="en-CA"/>
        </w:rPr>
      </w:pPr>
      <w:r w:rsidRPr="00D0317D">
        <w:rPr>
          <w:rFonts w:eastAsia="Calibri"/>
          <w:i/>
          <w:sz w:val="20"/>
          <w:szCs w:val="20"/>
          <w:lang w:val="en-CA"/>
        </w:rPr>
        <w:t>National Hockey League v. Dean Warren et al.</w:t>
      </w:r>
      <w:r w:rsidRPr="00D0317D">
        <w:rPr>
          <w:rFonts w:eastAsia="Calibri"/>
          <w:sz w:val="20"/>
          <w:szCs w:val="20"/>
          <w:lang w:val="en-CA"/>
        </w:rPr>
        <w:t xml:space="preserve"> (Ont.) (Civil) (By Leave)</w:t>
      </w:r>
      <w:r w:rsidR="00DF74F4" w:rsidRPr="00D0317D">
        <w:rPr>
          <w:rFonts w:eastAsia="Calibri"/>
          <w:sz w:val="20"/>
          <w:szCs w:val="20"/>
          <w:lang w:val="en-CA"/>
        </w:rPr>
        <w:t xml:space="preserve"> </w:t>
      </w:r>
      <w:r w:rsidR="00DF74F4" w:rsidRPr="00D0317D">
        <w:rPr>
          <w:sz w:val="20"/>
        </w:rPr>
        <w:t>(</w:t>
      </w:r>
      <w:hyperlink r:id="rId14" w:history="1">
        <w:r w:rsidR="00DF74F4" w:rsidRPr="00D0317D">
          <w:rPr>
            <w:rStyle w:val="Hyperlink"/>
            <w:sz w:val="20"/>
          </w:rPr>
          <w:t>37019</w:t>
        </w:r>
      </w:hyperlink>
      <w:r w:rsidR="00DF74F4" w:rsidRPr="00D0317D">
        <w:rPr>
          <w:sz w:val="20"/>
        </w:rPr>
        <w:t>)</w:t>
      </w:r>
    </w:p>
    <w:p w:rsidR="00F01A7F" w:rsidRPr="00D0317D" w:rsidRDefault="00F01A7F" w:rsidP="00F01A7F">
      <w:pPr>
        <w:widowControl w:val="0"/>
        <w:autoSpaceDE w:val="0"/>
        <w:autoSpaceDN w:val="0"/>
        <w:adjustRightInd w:val="0"/>
        <w:ind w:left="360" w:hanging="360"/>
        <w:rPr>
          <w:sz w:val="20"/>
          <w:lang w:val="en-CA"/>
        </w:rPr>
      </w:pPr>
    </w:p>
    <w:p w:rsidR="00F01A7F" w:rsidRPr="00D0317D" w:rsidRDefault="00F01A7F" w:rsidP="00F01A7F">
      <w:pPr>
        <w:pStyle w:val="ListParagraph"/>
        <w:numPr>
          <w:ilvl w:val="0"/>
          <w:numId w:val="21"/>
        </w:numPr>
        <w:ind w:left="360"/>
        <w:rPr>
          <w:sz w:val="20"/>
          <w:szCs w:val="20"/>
        </w:rPr>
      </w:pPr>
      <w:r w:rsidRPr="00D0317D">
        <w:rPr>
          <w:i/>
          <w:sz w:val="20"/>
          <w:szCs w:val="20"/>
          <w:lang w:val="en-CA"/>
        </w:rPr>
        <w:t xml:space="preserve">Lucyna Blicharz v. Settlement Lenders Inc. et al. </w:t>
      </w:r>
      <w:r w:rsidRPr="00D0317D">
        <w:rPr>
          <w:sz w:val="20"/>
          <w:szCs w:val="20"/>
          <w:lang w:val="en-CA"/>
        </w:rPr>
        <w:t xml:space="preserve">(Alta.) </w:t>
      </w:r>
      <w:r w:rsidRPr="00D0317D">
        <w:rPr>
          <w:sz w:val="20"/>
          <w:szCs w:val="20"/>
        </w:rPr>
        <w:t>(Civil) (By Leave)</w:t>
      </w:r>
      <w:r w:rsidR="00D77D62" w:rsidRPr="00D0317D">
        <w:rPr>
          <w:sz w:val="20"/>
          <w:szCs w:val="20"/>
        </w:rPr>
        <w:t xml:space="preserve"> </w:t>
      </w:r>
      <w:r w:rsidR="00D77D62" w:rsidRPr="00D0317D">
        <w:rPr>
          <w:sz w:val="20"/>
        </w:rPr>
        <w:t>(</w:t>
      </w:r>
      <w:hyperlink r:id="rId15" w:history="1">
        <w:r w:rsidR="00D77D62" w:rsidRPr="00D0317D">
          <w:rPr>
            <w:rStyle w:val="Hyperlink"/>
            <w:sz w:val="20"/>
          </w:rPr>
          <w:t>37065</w:t>
        </w:r>
      </w:hyperlink>
      <w:r w:rsidR="00D77D62" w:rsidRPr="00D0317D">
        <w:rPr>
          <w:sz w:val="20"/>
        </w:rPr>
        <w:t>)</w:t>
      </w:r>
    </w:p>
    <w:p w:rsidR="00A856DD" w:rsidRPr="000870AB" w:rsidRDefault="00A856DD" w:rsidP="00D64A8A">
      <w:pPr>
        <w:ind w:left="360" w:hanging="360"/>
        <w:jc w:val="both"/>
        <w:rPr>
          <w:rFonts w:eastAsiaTheme="minorEastAsia"/>
          <w:sz w:val="20"/>
          <w:lang w:eastAsia="en-CA"/>
        </w:rPr>
      </w:pPr>
    </w:p>
    <w:p w:rsidR="00D64A8A" w:rsidRPr="00D0317D" w:rsidRDefault="00D64A8A" w:rsidP="00D64A8A">
      <w:pPr>
        <w:pStyle w:val="ListParagraph"/>
        <w:numPr>
          <w:ilvl w:val="0"/>
          <w:numId w:val="21"/>
        </w:numPr>
        <w:ind w:left="360"/>
        <w:jc w:val="both"/>
        <w:rPr>
          <w:sz w:val="20"/>
          <w:lang w:val="fr-CA"/>
        </w:rPr>
      </w:pPr>
      <w:r w:rsidRPr="00D0317D">
        <w:rPr>
          <w:i/>
          <w:sz w:val="20"/>
        </w:rPr>
        <w:t>Chicago Title Insurance Company of Canada v. Paul MacDonald et al.</w:t>
      </w:r>
      <w:r w:rsidRPr="00D0317D">
        <w:rPr>
          <w:sz w:val="20"/>
        </w:rPr>
        <w:t xml:space="preserve"> </w:t>
      </w:r>
      <w:r w:rsidRPr="00D0317D">
        <w:rPr>
          <w:sz w:val="20"/>
          <w:lang w:val="fr-CA"/>
        </w:rPr>
        <w:t xml:space="preserve">(Ont.) (Civil) (By Leave) </w:t>
      </w:r>
      <w:r w:rsidRPr="00D0317D">
        <w:rPr>
          <w:sz w:val="20"/>
        </w:rPr>
        <w:t>(</w:t>
      </w:r>
      <w:hyperlink r:id="rId16" w:history="1">
        <w:r w:rsidRPr="00D0317D">
          <w:rPr>
            <w:rStyle w:val="Hyperlink"/>
            <w:sz w:val="20"/>
          </w:rPr>
          <w:t>36830</w:t>
        </w:r>
      </w:hyperlink>
      <w:r w:rsidRPr="00D0317D">
        <w:rPr>
          <w:sz w:val="20"/>
        </w:rPr>
        <w:t>)</w:t>
      </w:r>
    </w:p>
    <w:p w:rsidR="00D64A8A" w:rsidRPr="00C51868" w:rsidRDefault="00D64A8A" w:rsidP="00D64A8A">
      <w:pPr>
        <w:widowControl w:val="0"/>
        <w:ind w:left="360" w:hanging="360"/>
        <w:rPr>
          <w:sz w:val="20"/>
          <w:lang w:val="en-CA"/>
        </w:rPr>
      </w:pPr>
    </w:p>
    <w:p w:rsidR="00D64A8A" w:rsidRPr="00D0317D" w:rsidRDefault="00D64A8A" w:rsidP="00D64A8A">
      <w:pPr>
        <w:pStyle w:val="ListParagraph"/>
        <w:numPr>
          <w:ilvl w:val="0"/>
          <w:numId w:val="21"/>
        </w:numPr>
        <w:ind w:left="360"/>
        <w:rPr>
          <w:sz w:val="20"/>
          <w:lang w:val="fr-CA"/>
        </w:rPr>
      </w:pPr>
      <w:r w:rsidRPr="00D0317D">
        <w:rPr>
          <w:i/>
          <w:sz w:val="20"/>
          <w:lang w:val="fr-CA"/>
        </w:rPr>
        <w:t xml:space="preserve">9256-0929 Québec inc. c. Brigitte Turcot et autre </w:t>
      </w:r>
      <w:r w:rsidRPr="00D0317D">
        <w:rPr>
          <w:sz w:val="20"/>
          <w:lang w:val="fr-CA"/>
        </w:rPr>
        <w:t>(Qc) (Civile) (Autorisation) (</w:t>
      </w:r>
      <w:hyperlink r:id="rId17" w:history="1">
        <w:r w:rsidRPr="00D0317D">
          <w:rPr>
            <w:rStyle w:val="Hyperlink"/>
            <w:sz w:val="20"/>
            <w:lang w:val="fr-CA"/>
          </w:rPr>
          <w:t>36959</w:t>
        </w:r>
      </w:hyperlink>
      <w:r w:rsidRPr="00D0317D">
        <w:rPr>
          <w:sz w:val="20"/>
          <w:lang w:val="fr-CA"/>
        </w:rPr>
        <w:t>)</w:t>
      </w:r>
    </w:p>
    <w:p w:rsidR="00D64A8A" w:rsidRPr="000870AB" w:rsidRDefault="00D64A8A" w:rsidP="00D64A8A">
      <w:pPr>
        <w:widowControl w:val="0"/>
        <w:ind w:left="360" w:hanging="360"/>
        <w:jc w:val="both"/>
        <w:rPr>
          <w:sz w:val="20"/>
          <w:lang w:val="fr-CA"/>
        </w:rPr>
      </w:pPr>
    </w:p>
    <w:p w:rsidR="00D64A8A" w:rsidRPr="00D0317D" w:rsidRDefault="00D64A8A" w:rsidP="00D64A8A">
      <w:pPr>
        <w:pStyle w:val="NoSpacing"/>
        <w:numPr>
          <w:ilvl w:val="0"/>
          <w:numId w:val="21"/>
        </w:numPr>
        <w:ind w:left="360"/>
        <w:jc w:val="both"/>
        <w:rPr>
          <w:sz w:val="20"/>
          <w:szCs w:val="20"/>
        </w:rPr>
      </w:pPr>
      <w:r w:rsidRPr="00D0317D">
        <w:rPr>
          <w:i/>
          <w:sz w:val="20"/>
          <w:szCs w:val="20"/>
        </w:rPr>
        <w:t>Deslaurier Custom Cabinets Inc. v. 1728106 Ontario Inc.</w:t>
      </w:r>
      <w:r w:rsidRPr="00D0317D">
        <w:rPr>
          <w:sz w:val="20"/>
          <w:szCs w:val="20"/>
        </w:rPr>
        <w:t xml:space="preserve"> (Ont.) (Civil) (By Leave) </w:t>
      </w:r>
      <w:r w:rsidRPr="00D0317D">
        <w:rPr>
          <w:sz w:val="20"/>
        </w:rPr>
        <w:t>(</w:t>
      </w:r>
      <w:hyperlink r:id="rId18" w:history="1">
        <w:r w:rsidRPr="00D0317D">
          <w:rPr>
            <w:rStyle w:val="Hyperlink"/>
            <w:sz w:val="20"/>
          </w:rPr>
          <w:t>37039</w:t>
        </w:r>
      </w:hyperlink>
      <w:r w:rsidRPr="00D0317D">
        <w:rPr>
          <w:sz w:val="20"/>
        </w:rPr>
        <w:t>)</w:t>
      </w:r>
    </w:p>
    <w:p w:rsidR="00D64A8A" w:rsidRPr="00D0317D" w:rsidRDefault="00D64A8A" w:rsidP="00D64A8A">
      <w:pPr>
        <w:ind w:left="360" w:hanging="360"/>
        <w:jc w:val="both"/>
        <w:rPr>
          <w:rFonts w:eastAsiaTheme="minorEastAsia"/>
          <w:sz w:val="20"/>
          <w:lang w:val="fr-CA" w:eastAsia="en-CA"/>
        </w:rPr>
      </w:pPr>
    </w:p>
    <w:p w:rsidR="00A856DD" w:rsidRPr="00D0317D" w:rsidRDefault="00A856DD" w:rsidP="003978D8">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3978D8" w:rsidRPr="00D0317D" w:rsidTr="003978D8">
        <w:tc>
          <w:tcPr>
            <w:tcW w:w="543" w:type="pct"/>
          </w:tcPr>
          <w:p w:rsidR="003978D8" w:rsidRPr="00D0317D" w:rsidRDefault="003978D8" w:rsidP="003978D8">
            <w:pPr>
              <w:jc w:val="both"/>
              <w:rPr>
                <w:sz w:val="20"/>
              </w:rPr>
            </w:pPr>
            <w:r w:rsidRPr="00D0317D">
              <w:rPr>
                <w:rStyle w:val="SCCFileNumberChar"/>
                <w:sz w:val="20"/>
                <w:szCs w:val="20"/>
              </w:rPr>
              <w:t>36660</w:t>
            </w:r>
          </w:p>
        </w:tc>
        <w:tc>
          <w:tcPr>
            <w:tcW w:w="4457" w:type="pct"/>
            <w:gridSpan w:val="3"/>
          </w:tcPr>
          <w:p w:rsidR="003978D8" w:rsidRPr="000870AB" w:rsidRDefault="003978D8" w:rsidP="003978D8">
            <w:pPr>
              <w:pStyle w:val="SCCLsocParty"/>
              <w:jc w:val="both"/>
              <w:rPr>
                <w:b/>
                <w:sz w:val="20"/>
                <w:szCs w:val="20"/>
                <w:lang w:val="en-US"/>
              </w:rPr>
            </w:pPr>
            <w:r w:rsidRPr="000870AB">
              <w:rPr>
                <w:b/>
                <w:sz w:val="20"/>
                <w:szCs w:val="20"/>
                <w:lang w:val="en-US"/>
              </w:rPr>
              <w:t>Allianz Global Risks US Insurance Company/</w:t>
            </w:r>
            <w:proofErr w:type="spellStart"/>
            <w:r w:rsidRPr="000870AB">
              <w:rPr>
                <w:b/>
                <w:sz w:val="20"/>
                <w:szCs w:val="20"/>
                <w:lang w:val="en-US"/>
              </w:rPr>
              <w:t>Compagnie</w:t>
            </w:r>
            <w:proofErr w:type="spellEnd"/>
            <w:r w:rsidRPr="000870AB">
              <w:rPr>
                <w:b/>
                <w:sz w:val="20"/>
                <w:szCs w:val="20"/>
                <w:lang w:val="en-US"/>
              </w:rPr>
              <w:t xml:space="preserve"> </w:t>
            </w:r>
            <w:proofErr w:type="spellStart"/>
            <w:r w:rsidRPr="000870AB">
              <w:rPr>
                <w:b/>
                <w:sz w:val="20"/>
                <w:szCs w:val="20"/>
                <w:lang w:val="en-US"/>
              </w:rPr>
              <w:t>d'assurance</w:t>
            </w:r>
            <w:proofErr w:type="spellEnd"/>
            <w:r w:rsidRPr="000870AB">
              <w:rPr>
                <w:b/>
                <w:sz w:val="20"/>
                <w:szCs w:val="20"/>
                <w:lang w:val="en-US"/>
              </w:rPr>
              <w:t xml:space="preserve"> Allianz </w:t>
            </w:r>
            <w:proofErr w:type="spellStart"/>
            <w:r w:rsidRPr="000870AB">
              <w:rPr>
                <w:b/>
                <w:sz w:val="20"/>
                <w:szCs w:val="20"/>
                <w:lang w:val="en-US"/>
              </w:rPr>
              <w:t>risques</w:t>
            </w:r>
            <w:proofErr w:type="spellEnd"/>
            <w:r w:rsidRPr="000870AB">
              <w:rPr>
                <w:b/>
                <w:sz w:val="20"/>
                <w:szCs w:val="20"/>
                <w:lang w:val="en-US"/>
              </w:rPr>
              <w:t xml:space="preserve"> </w:t>
            </w:r>
            <w:proofErr w:type="spellStart"/>
            <w:r w:rsidRPr="000870AB">
              <w:rPr>
                <w:b/>
                <w:sz w:val="20"/>
                <w:szCs w:val="20"/>
                <w:lang w:val="en-US"/>
              </w:rPr>
              <w:t>mondiaux</w:t>
            </w:r>
            <w:proofErr w:type="spellEnd"/>
            <w:r w:rsidRPr="000870AB">
              <w:rPr>
                <w:b/>
                <w:sz w:val="20"/>
                <w:szCs w:val="20"/>
                <w:lang w:val="en-US"/>
              </w:rPr>
              <w:t xml:space="preserve"> E.-U., Zurich Insurance Company Ltd./Zurich </w:t>
            </w:r>
            <w:proofErr w:type="spellStart"/>
            <w:r w:rsidRPr="000870AB">
              <w:rPr>
                <w:b/>
                <w:sz w:val="20"/>
                <w:szCs w:val="20"/>
                <w:lang w:val="en-US"/>
              </w:rPr>
              <w:t>compagnie</w:t>
            </w:r>
            <w:proofErr w:type="spellEnd"/>
            <w:r w:rsidRPr="000870AB">
              <w:rPr>
                <w:b/>
                <w:sz w:val="20"/>
                <w:szCs w:val="20"/>
                <w:lang w:val="en-US"/>
              </w:rPr>
              <w:t xml:space="preserve"> </w:t>
            </w:r>
            <w:proofErr w:type="spellStart"/>
            <w:r w:rsidRPr="000870AB">
              <w:rPr>
                <w:b/>
                <w:sz w:val="20"/>
                <w:szCs w:val="20"/>
                <w:lang w:val="en-US"/>
              </w:rPr>
              <w:t>d'assurances</w:t>
            </w:r>
            <w:proofErr w:type="spellEnd"/>
            <w:r w:rsidRPr="000870AB">
              <w:rPr>
                <w:b/>
                <w:sz w:val="20"/>
                <w:szCs w:val="20"/>
                <w:lang w:val="en-US"/>
              </w:rPr>
              <w:t xml:space="preserve"> SA, Temple Insurance </w:t>
            </w:r>
            <w:r w:rsidRPr="000870AB">
              <w:rPr>
                <w:b/>
                <w:sz w:val="20"/>
                <w:szCs w:val="20"/>
                <w:lang w:val="en-US"/>
              </w:rPr>
              <w:lastRenderedPageBreak/>
              <w:t xml:space="preserve">Company/La </w:t>
            </w:r>
            <w:proofErr w:type="spellStart"/>
            <w:r w:rsidRPr="000870AB">
              <w:rPr>
                <w:b/>
                <w:sz w:val="20"/>
                <w:szCs w:val="20"/>
                <w:lang w:val="en-US"/>
              </w:rPr>
              <w:t>compagnie</w:t>
            </w:r>
            <w:proofErr w:type="spellEnd"/>
            <w:r w:rsidRPr="000870AB">
              <w:rPr>
                <w:b/>
                <w:sz w:val="20"/>
                <w:szCs w:val="20"/>
                <w:lang w:val="en-US"/>
              </w:rPr>
              <w:t xml:space="preserve"> </w:t>
            </w:r>
            <w:proofErr w:type="spellStart"/>
            <w:r w:rsidRPr="000870AB">
              <w:rPr>
                <w:b/>
                <w:sz w:val="20"/>
                <w:szCs w:val="20"/>
                <w:lang w:val="en-US"/>
              </w:rPr>
              <w:t>d’assurance</w:t>
            </w:r>
            <w:proofErr w:type="spellEnd"/>
            <w:r w:rsidRPr="000870AB">
              <w:rPr>
                <w:b/>
                <w:sz w:val="20"/>
                <w:szCs w:val="20"/>
                <w:lang w:val="en-US"/>
              </w:rPr>
              <w:t xml:space="preserve"> Temple, GCAN Insurance Company v. </w:t>
            </w:r>
            <w:proofErr w:type="spellStart"/>
            <w:r w:rsidRPr="000870AB">
              <w:rPr>
                <w:b/>
                <w:sz w:val="20"/>
                <w:szCs w:val="20"/>
                <w:lang w:val="en-US"/>
              </w:rPr>
              <w:t>Acciona</w:t>
            </w:r>
            <w:proofErr w:type="spellEnd"/>
            <w:r w:rsidRPr="000870AB">
              <w:rPr>
                <w:b/>
                <w:sz w:val="20"/>
                <w:szCs w:val="20"/>
                <w:lang w:val="en-US"/>
              </w:rPr>
              <w:t xml:space="preserve"> Infrastructure Canada Inc., Lark Projects (2004) Ltd., collectively doing business as </w:t>
            </w:r>
            <w:proofErr w:type="spellStart"/>
            <w:r w:rsidRPr="000870AB">
              <w:rPr>
                <w:b/>
                <w:sz w:val="20"/>
                <w:szCs w:val="20"/>
                <w:lang w:val="en-US"/>
              </w:rPr>
              <w:t>Acciona</w:t>
            </w:r>
            <w:proofErr w:type="spellEnd"/>
            <w:r w:rsidRPr="000870AB">
              <w:rPr>
                <w:b/>
                <w:sz w:val="20"/>
                <w:szCs w:val="20"/>
                <w:lang w:val="en-US"/>
              </w:rPr>
              <w:t xml:space="preserve"> Lark Joint Venture</w:t>
            </w:r>
          </w:p>
          <w:p w:rsidR="003978D8" w:rsidRPr="00D0317D" w:rsidRDefault="003978D8" w:rsidP="003978D8">
            <w:pPr>
              <w:jc w:val="both"/>
              <w:rPr>
                <w:sz w:val="20"/>
              </w:rPr>
            </w:pPr>
            <w:r w:rsidRPr="00D0317D">
              <w:rPr>
                <w:sz w:val="20"/>
              </w:rPr>
              <w:t>(B.C.) (Civil) (By Leave)</w:t>
            </w:r>
          </w:p>
        </w:tc>
      </w:tr>
      <w:tr w:rsidR="003978D8" w:rsidRPr="00D0317D" w:rsidTr="003978D8">
        <w:tc>
          <w:tcPr>
            <w:tcW w:w="5000" w:type="pct"/>
            <w:gridSpan w:val="4"/>
          </w:tcPr>
          <w:p w:rsidR="003978D8" w:rsidRPr="00D0317D" w:rsidRDefault="003978D8" w:rsidP="003978D8">
            <w:pPr>
              <w:jc w:val="both"/>
              <w:rPr>
                <w:sz w:val="20"/>
              </w:rPr>
            </w:pPr>
            <w:r w:rsidRPr="00D0317D">
              <w:rPr>
                <w:sz w:val="20"/>
              </w:rPr>
              <w:lastRenderedPageBreak/>
              <w:t xml:space="preserve">Insurance – Property insurance – Liability insurance – Contracts – Commercial contracts – Interpretation – Exclusion clauses – Appeal – Standard of review – Which appellate court – the ABCA in </w:t>
            </w:r>
            <w:proofErr w:type="spellStart"/>
            <w:r w:rsidRPr="00D0317D">
              <w:rPr>
                <w:i/>
                <w:sz w:val="20"/>
              </w:rPr>
              <w:t>Ledcor</w:t>
            </w:r>
            <w:proofErr w:type="spellEnd"/>
            <w:r w:rsidRPr="00D0317D">
              <w:rPr>
                <w:i/>
                <w:sz w:val="20"/>
              </w:rPr>
              <w:t xml:space="preserve"> Construction Limited v. Northbridge Indemnity Insurance Company et al.</w:t>
            </w:r>
            <w:r w:rsidRPr="00D0317D">
              <w:rPr>
                <w:sz w:val="20"/>
              </w:rPr>
              <w:t>, 2015 ABCA 121 (</w:t>
            </w:r>
            <w:proofErr w:type="spellStart"/>
            <w:r w:rsidRPr="00D0317D">
              <w:rPr>
                <w:sz w:val="20"/>
              </w:rPr>
              <w:t>CanLII</w:t>
            </w:r>
            <w:proofErr w:type="spellEnd"/>
            <w:r w:rsidRPr="00D0317D">
              <w:rPr>
                <w:sz w:val="20"/>
              </w:rPr>
              <w:t>) (“</w:t>
            </w:r>
            <w:proofErr w:type="spellStart"/>
            <w:r w:rsidRPr="00D0317D">
              <w:rPr>
                <w:i/>
                <w:sz w:val="20"/>
              </w:rPr>
              <w:t>Ledcor</w:t>
            </w:r>
            <w:proofErr w:type="spellEnd"/>
            <w:r w:rsidRPr="00D0317D">
              <w:rPr>
                <w:sz w:val="20"/>
              </w:rPr>
              <w:t xml:space="preserve">”), the BCCA in </w:t>
            </w:r>
            <w:r w:rsidRPr="00D0317D">
              <w:rPr>
                <w:rFonts w:ascii="Arial (W1)" w:hAnsi="Arial (W1)"/>
                <w:i/>
                <w:iCs/>
                <w:sz w:val="20"/>
              </w:rPr>
              <w:t xml:space="preserve">Precision Plating Ltd. v. </w:t>
            </w:r>
            <w:proofErr w:type="spellStart"/>
            <w:r w:rsidRPr="00D0317D">
              <w:rPr>
                <w:rFonts w:ascii="Arial (W1)" w:hAnsi="Arial (W1)"/>
                <w:i/>
                <w:iCs/>
                <w:sz w:val="20"/>
              </w:rPr>
              <w:t>Axa</w:t>
            </w:r>
            <w:proofErr w:type="spellEnd"/>
            <w:r w:rsidRPr="00D0317D">
              <w:rPr>
                <w:rFonts w:ascii="Arial (W1)" w:hAnsi="Arial (W1)"/>
                <w:i/>
                <w:iCs/>
                <w:sz w:val="20"/>
              </w:rPr>
              <w:t xml:space="preserve"> Pacific Insurance Company, </w:t>
            </w:r>
            <w:r w:rsidRPr="00D0317D">
              <w:rPr>
                <w:rFonts w:ascii="Arial (W1)" w:hAnsi="Arial (W1)"/>
                <w:sz w:val="20"/>
              </w:rPr>
              <w:t>2015 BCCA 277 (</w:t>
            </w:r>
            <w:proofErr w:type="spellStart"/>
            <w:r w:rsidRPr="00D0317D">
              <w:rPr>
                <w:rFonts w:ascii="Arial (W1)" w:hAnsi="Arial (W1)"/>
                <w:sz w:val="20"/>
              </w:rPr>
              <w:t>CanLII</w:t>
            </w:r>
            <w:proofErr w:type="spellEnd"/>
            <w:r w:rsidRPr="00D0317D">
              <w:rPr>
                <w:rFonts w:ascii="Arial (W1)" w:hAnsi="Arial (W1)"/>
                <w:sz w:val="20"/>
              </w:rPr>
              <w:t>) (“</w:t>
            </w:r>
            <w:r w:rsidRPr="00D0317D">
              <w:rPr>
                <w:rFonts w:ascii="Arial (W1)" w:hAnsi="Arial (W1)"/>
                <w:i/>
                <w:sz w:val="20"/>
              </w:rPr>
              <w:t>Precision Plating</w:t>
            </w:r>
            <w:r w:rsidRPr="00D0317D">
              <w:rPr>
                <w:rFonts w:ascii="Arial (W1)" w:hAnsi="Arial (W1)"/>
                <w:sz w:val="20"/>
              </w:rPr>
              <w:t>”)</w:t>
            </w:r>
            <w:r w:rsidRPr="00D0317D">
              <w:rPr>
                <w:sz w:val="20"/>
              </w:rPr>
              <w:t xml:space="preserve">, or the BCCA in this case – interpreted the defects clause appropriately – Whether the intent of the exclusion provision is to exclude from coverage the cost of rectifying the defective area – Whether, properly interpreted, the contractor is only indemnified for damage to other parts of the building as a result of the defect – Whether the exclusion provision is not actually an exclusion, but rather a deeming provision – Whether the ABCA in </w:t>
            </w:r>
            <w:proofErr w:type="spellStart"/>
            <w:r w:rsidRPr="00D0317D">
              <w:rPr>
                <w:i/>
                <w:sz w:val="20"/>
              </w:rPr>
              <w:t>Ledcor</w:t>
            </w:r>
            <w:proofErr w:type="spellEnd"/>
            <w:r w:rsidRPr="00D0317D">
              <w:rPr>
                <w:i/>
                <w:sz w:val="20"/>
              </w:rPr>
              <w:t xml:space="preserve"> </w:t>
            </w:r>
            <w:r w:rsidRPr="00D0317D">
              <w:rPr>
                <w:sz w:val="20"/>
              </w:rPr>
              <w:t xml:space="preserve">struck the proper balance in holding that the degree of physical or systemic connectedness is the key to determining the boundary between “costs rendered necessary by defects of material workmanship” and remote damage – Whether language in exclusion clauses, adapted from LEG2, and utilized ubiquitously in Canada and elsewhere, the U.K., Australia, etc. should be considered as an extricable question of law to be reviewed on a standard of correctness rather than reasonableness standard – Whether the decisions of the BCCA in this case, in </w:t>
            </w:r>
            <w:r w:rsidRPr="00D0317D">
              <w:rPr>
                <w:i/>
                <w:sz w:val="20"/>
              </w:rPr>
              <w:t>Precision Plating</w:t>
            </w:r>
            <w:r w:rsidRPr="00D0317D">
              <w:rPr>
                <w:sz w:val="20"/>
              </w:rPr>
              <w:t xml:space="preserve"> and of the ABCA in </w:t>
            </w:r>
            <w:proofErr w:type="spellStart"/>
            <w:r w:rsidRPr="00D0317D">
              <w:rPr>
                <w:i/>
                <w:sz w:val="20"/>
              </w:rPr>
              <w:t>Ledcor</w:t>
            </w:r>
            <w:proofErr w:type="spellEnd"/>
            <w:r w:rsidRPr="00D0317D">
              <w:rPr>
                <w:sz w:val="20"/>
              </w:rPr>
              <w:t xml:space="preserve"> can be reconciled or do they cause uncertainty and confusion for insureds and insurers – The meaning of the scope of the indemnity for “direct loss so caused” in a Course of Construction. All Risk Policy of Insurance – The assistance of American authorities in insurance cases in the absence of Canadian decisions on point. </w:t>
            </w:r>
          </w:p>
          <w:p w:rsidR="003978D8" w:rsidRPr="00D0317D" w:rsidRDefault="003978D8" w:rsidP="003978D8">
            <w:pPr>
              <w:pStyle w:val="SCCBanSummary"/>
              <w:rPr>
                <w:sz w:val="20"/>
                <w:szCs w:val="20"/>
              </w:rPr>
            </w:pPr>
          </w:p>
          <w:p w:rsidR="003978D8" w:rsidRPr="00D0317D" w:rsidRDefault="003978D8" w:rsidP="003978D8">
            <w:pPr>
              <w:jc w:val="both"/>
              <w:rPr>
                <w:sz w:val="20"/>
              </w:rPr>
            </w:pPr>
            <w:r w:rsidRPr="00D0317D">
              <w:rPr>
                <w:iCs/>
                <w:sz w:val="20"/>
              </w:rPr>
              <w:t xml:space="preserve">The </w:t>
            </w:r>
            <w:r w:rsidRPr="00D0317D">
              <w:rPr>
                <w:sz w:val="20"/>
              </w:rPr>
              <w:t>respondents</w:t>
            </w:r>
            <w:r w:rsidRPr="00D0317D">
              <w:rPr>
                <w:iCs/>
                <w:sz w:val="20"/>
              </w:rPr>
              <w:t xml:space="preserve"> contracted to design and build the new Patient Care Centre of the Royal Jubilee Hospital in Victoria B.C. During the construction process, some of the concrete slab floors began over-deflecting, resulting in concave recessions in the centre of the slabs. The respondents corrected the problem and made a claim of approximately $15 million under their </w:t>
            </w:r>
            <w:r w:rsidRPr="00D0317D">
              <w:rPr>
                <w:sz w:val="20"/>
              </w:rPr>
              <w:t>Course of Construction Insurance Policy</w:t>
            </w:r>
            <w:r w:rsidRPr="00D0317D">
              <w:rPr>
                <w:iCs/>
                <w:sz w:val="20"/>
              </w:rPr>
              <w:t xml:space="preserve"> with the applicant insurers. The policy provided coverage for “</w:t>
            </w:r>
            <w:r w:rsidRPr="00D0317D">
              <w:rPr>
                <w:sz w:val="20"/>
              </w:rPr>
              <w:t>ALL RISKS of direct physical loss of or damage to the property insured…. except …all costs rendered necessary by defects of material workmanship, design, plan, or specification….” The policy specified that if damage occurred to a portion of the property containing the defect, “the cost of replacement or rectification which is hereby excluded is that cost which would have been incurred if replacement or rectification of the Insured Property had been put in hand immediately prior to the said damage”.</w:t>
            </w:r>
          </w:p>
        </w:tc>
      </w:tr>
      <w:tr w:rsidR="003978D8" w:rsidRPr="00D0317D" w:rsidTr="003978D8">
        <w:tc>
          <w:tcPr>
            <w:tcW w:w="5000" w:type="pct"/>
            <w:gridSpan w:val="4"/>
          </w:tcPr>
          <w:p w:rsidR="003978D8" w:rsidRPr="00D0317D" w:rsidRDefault="003978D8" w:rsidP="003978D8">
            <w:pPr>
              <w:jc w:val="both"/>
              <w:rPr>
                <w:sz w:val="20"/>
              </w:rPr>
            </w:pPr>
          </w:p>
        </w:tc>
      </w:tr>
      <w:tr w:rsidR="003978D8" w:rsidRPr="00D0317D" w:rsidTr="003978D8">
        <w:tc>
          <w:tcPr>
            <w:tcW w:w="5000" w:type="pct"/>
            <w:gridSpan w:val="4"/>
          </w:tcPr>
          <w:p w:rsidR="003978D8" w:rsidRPr="00D0317D" w:rsidRDefault="003978D8" w:rsidP="003978D8">
            <w:pPr>
              <w:jc w:val="both"/>
              <w:rPr>
                <w:sz w:val="20"/>
              </w:rPr>
            </w:pPr>
            <w:r w:rsidRPr="00D0317D">
              <w:rPr>
                <w:sz w:val="20"/>
              </w:rPr>
              <w:t xml:space="preserve">The Supreme Court of British Columbia determined that the concrete slabs were damaged by a subcontractor’s defective workmanship in building the concrete formworks and placing and finishing the slabs. The Court allowed the respondents’ action in part, ordering the applicants to indemnify them in the amount of </w:t>
            </w:r>
            <w:r w:rsidRPr="00D0317D">
              <w:rPr>
                <w:iCs/>
                <w:sz w:val="20"/>
              </w:rPr>
              <w:t>approximately $8.5 million</w:t>
            </w:r>
            <w:r w:rsidRPr="00D0317D">
              <w:rPr>
                <w:sz w:val="20"/>
              </w:rPr>
              <w:t xml:space="preserve">. </w:t>
            </w:r>
            <w:r w:rsidRPr="00D0317D">
              <w:rPr>
                <w:iCs/>
                <w:sz w:val="20"/>
              </w:rPr>
              <w:t xml:space="preserve">The applicants appealed on the basis that none of the claim was covered and the respondents cross-appealed for recovery of the entire claim. </w:t>
            </w:r>
            <w:r w:rsidRPr="00D0317D">
              <w:rPr>
                <w:sz w:val="20"/>
              </w:rPr>
              <w:t>The appellate court dismissed both the appeal and cross-appeal. The applicants apply for leave to appeal that decision and the respondents conditionally apply for leave to cross-appeal.</w:t>
            </w:r>
          </w:p>
          <w:p w:rsidR="003978D8" w:rsidRPr="00D0317D" w:rsidRDefault="003978D8" w:rsidP="003978D8">
            <w:pPr>
              <w:jc w:val="both"/>
              <w:rPr>
                <w:sz w:val="20"/>
              </w:rPr>
            </w:pPr>
          </w:p>
        </w:tc>
      </w:tr>
      <w:tr w:rsidR="003978D8" w:rsidRPr="00D0317D" w:rsidTr="003978D8">
        <w:tc>
          <w:tcPr>
            <w:tcW w:w="2427" w:type="pct"/>
            <w:gridSpan w:val="2"/>
          </w:tcPr>
          <w:p w:rsidR="003978D8" w:rsidRPr="00D0317D" w:rsidRDefault="003978D8" w:rsidP="003978D8">
            <w:pPr>
              <w:jc w:val="both"/>
              <w:rPr>
                <w:sz w:val="20"/>
              </w:rPr>
            </w:pPr>
            <w:r w:rsidRPr="00D0317D">
              <w:rPr>
                <w:sz w:val="20"/>
              </w:rPr>
              <w:t>August 19, 2014</w:t>
            </w:r>
          </w:p>
          <w:p w:rsidR="003978D8" w:rsidRPr="00D0317D" w:rsidRDefault="003978D8" w:rsidP="003978D8">
            <w:pPr>
              <w:jc w:val="both"/>
              <w:rPr>
                <w:sz w:val="20"/>
              </w:rPr>
            </w:pPr>
            <w:r w:rsidRPr="00D0317D">
              <w:rPr>
                <w:sz w:val="20"/>
              </w:rPr>
              <w:t>Supreme Court of British Columbia</w:t>
            </w:r>
          </w:p>
          <w:p w:rsidR="003978D8" w:rsidRPr="00D0317D" w:rsidRDefault="003978D8" w:rsidP="003978D8">
            <w:pPr>
              <w:jc w:val="both"/>
              <w:rPr>
                <w:sz w:val="20"/>
              </w:rPr>
            </w:pPr>
            <w:r w:rsidRPr="00D0317D">
              <w:rPr>
                <w:sz w:val="20"/>
              </w:rPr>
              <w:t>(</w:t>
            </w:r>
            <w:proofErr w:type="spellStart"/>
            <w:r w:rsidRPr="00D0317D">
              <w:rPr>
                <w:sz w:val="20"/>
              </w:rPr>
              <w:t>Skolrood</w:t>
            </w:r>
            <w:proofErr w:type="spellEnd"/>
            <w:r w:rsidRPr="00D0317D">
              <w:rPr>
                <w:sz w:val="20"/>
              </w:rPr>
              <w:t xml:space="preserve"> J.)</w:t>
            </w:r>
          </w:p>
          <w:p w:rsidR="003978D8" w:rsidRPr="00D0317D" w:rsidRDefault="00985225" w:rsidP="003978D8">
            <w:pPr>
              <w:jc w:val="both"/>
              <w:rPr>
                <w:rStyle w:val="Hyperlink"/>
                <w:sz w:val="20"/>
              </w:rPr>
            </w:pPr>
            <w:hyperlink r:id="rId19" w:history="1">
              <w:r w:rsidR="003978D8" w:rsidRPr="00D0317D">
                <w:rPr>
                  <w:rStyle w:val="Hyperlink"/>
                  <w:sz w:val="20"/>
                </w:rPr>
                <w:t>2014 BCSC 1568</w:t>
              </w:r>
            </w:hyperlink>
          </w:p>
          <w:p w:rsidR="003978D8" w:rsidRPr="00D0317D" w:rsidRDefault="003978D8" w:rsidP="003978D8">
            <w:pPr>
              <w:jc w:val="both"/>
              <w:rPr>
                <w:sz w:val="20"/>
              </w:rPr>
            </w:pPr>
          </w:p>
        </w:tc>
        <w:tc>
          <w:tcPr>
            <w:tcW w:w="195" w:type="pct"/>
          </w:tcPr>
          <w:p w:rsidR="003978D8" w:rsidRPr="00D0317D" w:rsidRDefault="003978D8" w:rsidP="003978D8">
            <w:pPr>
              <w:jc w:val="both"/>
              <w:rPr>
                <w:sz w:val="20"/>
              </w:rPr>
            </w:pPr>
          </w:p>
        </w:tc>
        <w:tc>
          <w:tcPr>
            <w:tcW w:w="2379" w:type="pct"/>
          </w:tcPr>
          <w:p w:rsidR="003978D8" w:rsidRPr="00D0317D" w:rsidRDefault="003978D8" w:rsidP="003978D8">
            <w:pPr>
              <w:jc w:val="both"/>
              <w:rPr>
                <w:sz w:val="20"/>
              </w:rPr>
            </w:pPr>
            <w:r w:rsidRPr="00D0317D">
              <w:rPr>
                <w:sz w:val="20"/>
              </w:rPr>
              <w:t xml:space="preserve">Respondents’ action allowed in part, applicants ordered to indemnify them in the amount of approximately </w:t>
            </w:r>
            <w:r w:rsidRPr="00D0317D">
              <w:rPr>
                <w:iCs/>
                <w:sz w:val="20"/>
              </w:rPr>
              <w:t>$8.5 million</w:t>
            </w:r>
          </w:p>
        </w:tc>
      </w:tr>
      <w:tr w:rsidR="003978D8" w:rsidRPr="00D0317D" w:rsidTr="003978D8">
        <w:tc>
          <w:tcPr>
            <w:tcW w:w="2427" w:type="pct"/>
            <w:gridSpan w:val="2"/>
          </w:tcPr>
          <w:p w:rsidR="003978D8" w:rsidRPr="00D0317D" w:rsidRDefault="003978D8" w:rsidP="003978D8">
            <w:pPr>
              <w:jc w:val="both"/>
              <w:rPr>
                <w:sz w:val="20"/>
              </w:rPr>
            </w:pPr>
            <w:r w:rsidRPr="00D0317D">
              <w:rPr>
                <w:sz w:val="20"/>
              </w:rPr>
              <w:t>August 5, 2015</w:t>
            </w:r>
          </w:p>
          <w:p w:rsidR="003978D8" w:rsidRPr="00D0317D" w:rsidRDefault="003978D8" w:rsidP="003978D8">
            <w:pPr>
              <w:jc w:val="both"/>
              <w:rPr>
                <w:sz w:val="20"/>
              </w:rPr>
            </w:pPr>
            <w:r w:rsidRPr="00D0317D">
              <w:rPr>
                <w:sz w:val="20"/>
              </w:rPr>
              <w:t>Court of Appeal for British Columbia (Vancouver)</w:t>
            </w:r>
          </w:p>
          <w:p w:rsidR="003978D8" w:rsidRPr="00D0317D" w:rsidRDefault="003978D8" w:rsidP="003978D8">
            <w:pPr>
              <w:jc w:val="both"/>
              <w:rPr>
                <w:sz w:val="20"/>
              </w:rPr>
            </w:pPr>
            <w:r w:rsidRPr="00D0317D">
              <w:rPr>
                <w:sz w:val="20"/>
              </w:rPr>
              <w:t xml:space="preserve">(Neilson, Garson and </w:t>
            </w:r>
            <w:proofErr w:type="spellStart"/>
            <w:r w:rsidRPr="00D0317D">
              <w:rPr>
                <w:sz w:val="20"/>
              </w:rPr>
              <w:t>Willcock</w:t>
            </w:r>
            <w:proofErr w:type="spellEnd"/>
            <w:r w:rsidRPr="00D0317D">
              <w:rPr>
                <w:sz w:val="20"/>
              </w:rPr>
              <w:t xml:space="preserve"> JJ.A.)</w:t>
            </w:r>
          </w:p>
          <w:p w:rsidR="003978D8" w:rsidRPr="00D0317D" w:rsidRDefault="00985225" w:rsidP="003978D8">
            <w:pPr>
              <w:jc w:val="both"/>
              <w:rPr>
                <w:sz w:val="20"/>
              </w:rPr>
            </w:pPr>
            <w:hyperlink r:id="rId20" w:history="1">
              <w:r w:rsidR="003978D8" w:rsidRPr="00D0317D">
                <w:rPr>
                  <w:rStyle w:val="Hyperlink"/>
                  <w:sz w:val="20"/>
                </w:rPr>
                <w:t>2015 BCCA 347</w:t>
              </w:r>
            </w:hyperlink>
            <w:r w:rsidR="003978D8" w:rsidRPr="00D0317D">
              <w:rPr>
                <w:sz w:val="20"/>
              </w:rPr>
              <w:t>; CA42166</w:t>
            </w:r>
          </w:p>
          <w:p w:rsidR="003978D8" w:rsidRPr="00D0317D" w:rsidRDefault="003978D8" w:rsidP="003978D8">
            <w:pPr>
              <w:jc w:val="both"/>
              <w:rPr>
                <w:sz w:val="20"/>
              </w:rPr>
            </w:pPr>
          </w:p>
        </w:tc>
        <w:tc>
          <w:tcPr>
            <w:tcW w:w="195" w:type="pct"/>
          </w:tcPr>
          <w:p w:rsidR="003978D8" w:rsidRPr="00D0317D" w:rsidRDefault="003978D8" w:rsidP="003978D8">
            <w:pPr>
              <w:jc w:val="both"/>
              <w:rPr>
                <w:sz w:val="20"/>
              </w:rPr>
            </w:pPr>
          </w:p>
        </w:tc>
        <w:tc>
          <w:tcPr>
            <w:tcW w:w="2379" w:type="pct"/>
          </w:tcPr>
          <w:p w:rsidR="003978D8" w:rsidRPr="00D0317D" w:rsidRDefault="003978D8" w:rsidP="003978D8">
            <w:pPr>
              <w:jc w:val="both"/>
              <w:rPr>
                <w:sz w:val="20"/>
              </w:rPr>
            </w:pPr>
            <w:r w:rsidRPr="00D0317D">
              <w:rPr>
                <w:sz w:val="20"/>
              </w:rPr>
              <w:t>Appeal and cross-appeal dismissed</w:t>
            </w:r>
          </w:p>
          <w:p w:rsidR="003978D8" w:rsidRPr="00D0317D" w:rsidRDefault="003978D8" w:rsidP="003978D8">
            <w:pPr>
              <w:jc w:val="both"/>
              <w:rPr>
                <w:sz w:val="20"/>
              </w:rPr>
            </w:pPr>
          </w:p>
        </w:tc>
      </w:tr>
      <w:tr w:rsidR="003978D8" w:rsidRPr="00D0317D" w:rsidTr="003978D8">
        <w:tc>
          <w:tcPr>
            <w:tcW w:w="2427" w:type="pct"/>
            <w:gridSpan w:val="2"/>
          </w:tcPr>
          <w:p w:rsidR="003978D8" w:rsidRPr="00D0317D" w:rsidRDefault="003978D8" w:rsidP="003978D8">
            <w:pPr>
              <w:jc w:val="both"/>
              <w:rPr>
                <w:sz w:val="20"/>
              </w:rPr>
            </w:pPr>
            <w:r w:rsidRPr="00D0317D">
              <w:rPr>
                <w:sz w:val="20"/>
              </w:rPr>
              <w:t>October 1, 2015</w:t>
            </w:r>
          </w:p>
          <w:p w:rsidR="003978D8" w:rsidRPr="00D0317D" w:rsidRDefault="003978D8" w:rsidP="003978D8">
            <w:pPr>
              <w:jc w:val="both"/>
              <w:rPr>
                <w:sz w:val="20"/>
              </w:rPr>
            </w:pPr>
            <w:r w:rsidRPr="00D0317D">
              <w:rPr>
                <w:sz w:val="20"/>
              </w:rPr>
              <w:t>Supreme Court of Canada</w:t>
            </w:r>
          </w:p>
        </w:tc>
        <w:tc>
          <w:tcPr>
            <w:tcW w:w="195" w:type="pct"/>
          </w:tcPr>
          <w:p w:rsidR="003978D8" w:rsidRPr="00D0317D" w:rsidRDefault="003978D8" w:rsidP="003978D8">
            <w:pPr>
              <w:jc w:val="both"/>
              <w:rPr>
                <w:sz w:val="20"/>
              </w:rPr>
            </w:pPr>
          </w:p>
        </w:tc>
        <w:tc>
          <w:tcPr>
            <w:tcW w:w="2379" w:type="pct"/>
          </w:tcPr>
          <w:p w:rsidR="003978D8" w:rsidRPr="00D0317D" w:rsidRDefault="003978D8" w:rsidP="003978D8">
            <w:pPr>
              <w:jc w:val="both"/>
              <w:rPr>
                <w:sz w:val="20"/>
              </w:rPr>
            </w:pPr>
            <w:r w:rsidRPr="00D0317D">
              <w:rPr>
                <w:sz w:val="20"/>
              </w:rPr>
              <w:t>Application for leave to appeal filed</w:t>
            </w:r>
          </w:p>
          <w:p w:rsidR="003978D8" w:rsidRPr="00D0317D" w:rsidRDefault="003978D8" w:rsidP="003978D8">
            <w:pPr>
              <w:jc w:val="both"/>
              <w:rPr>
                <w:sz w:val="20"/>
              </w:rPr>
            </w:pPr>
          </w:p>
        </w:tc>
      </w:tr>
    </w:tbl>
    <w:p w:rsidR="003978D8" w:rsidRPr="00D0317D" w:rsidRDefault="003978D8" w:rsidP="003978D8">
      <w:pPr>
        <w:jc w:val="both"/>
        <w:rPr>
          <w:sz w:val="20"/>
        </w:rPr>
      </w:pPr>
    </w:p>
    <w:p w:rsidR="003978D8" w:rsidRPr="00D0317D" w:rsidRDefault="003978D8" w:rsidP="003978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3978D8" w:rsidRPr="005165BD" w:rsidTr="003978D8">
        <w:tc>
          <w:tcPr>
            <w:tcW w:w="543" w:type="pct"/>
          </w:tcPr>
          <w:p w:rsidR="003978D8" w:rsidRPr="00D0317D" w:rsidRDefault="003978D8" w:rsidP="003978D8">
            <w:pPr>
              <w:jc w:val="both"/>
              <w:rPr>
                <w:sz w:val="20"/>
              </w:rPr>
            </w:pPr>
            <w:r w:rsidRPr="00D0317D">
              <w:rPr>
                <w:rStyle w:val="SCCFileNumberChar"/>
                <w:sz w:val="20"/>
                <w:szCs w:val="20"/>
              </w:rPr>
              <w:lastRenderedPageBreak/>
              <w:t>36660</w:t>
            </w:r>
          </w:p>
        </w:tc>
        <w:tc>
          <w:tcPr>
            <w:tcW w:w="4457" w:type="pct"/>
            <w:gridSpan w:val="3"/>
          </w:tcPr>
          <w:p w:rsidR="003978D8" w:rsidRPr="00D0317D" w:rsidRDefault="003978D8" w:rsidP="003978D8">
            <w:pPr>
              <w:pStyle w:val="SCCLsocParty"/>
              <w:jc w:val="both"/>
              <w:rPr>
                <w:b/>
                <w:sz w:val="20"/>
                <w:szCs w:val="20"/>
              </w:rPr>
            </w:pPr>
            <w:r w:rsidRPr="00D0317D">
              <w:rPr>
                <w:b/>
                <w:sz w:val="20"/>
                <w:szCs w:val="20"/>
              </w:rPr>
              <w:t xml:space="preserve">Allianz Global </w:t>
            </w:r>
            <w:proofErr w:type="spellStart"/>
            <w:r w:rsidRPr="00D0317D">
              <w:rPr>
                <w:b/>
                <w:sz w:val="20"/>
                <w:szCs w:val="20"/>
              </w:rPr>
              <w:t>Risks</w:t>
            </w:r>
            <w:proofErr w:type="spellEnd"/>
            <w:r w:rsidRPr="00D0317D">
              <w:rPr>
                <w:b/>
                <w:sz w:val="20"/>
                <w:szCs w:val="20"/>
              </w:rPr>
              <w:t xml:space="preserve"> US </w:t>
            </w:r>
            <w:proofErr w:type="spellStart"/>
            <w:r w:rsidRPr="00D0317D">
              <w:rPr>
                <w:b/>
                <w:sz w:val="20"/>
                <w:szCs w:val="20"/>
              </w:rPr>
              <w:t>Insurance</w:t>
            </w:r>
            <w:proofErr w:type="spellEnd"/>
            <w:r w:rsidRPr="00D0317D">
              <w:rPr>
                <w:b/>
                <w:sz w:val="20"/>
                <w:szCs w:val="20"/>
              </w:rPr>
              <w:t xml:space="preserve"> </w:t>
            </w:r>
            <w:proofErr w:type="spellStart"/>
            <w:r w:rsidRPr="00D0317D">
              <w:rPr>
                <w:b/>
                <w:sz w:val="20"/>
                <w:szCs w:val="20"/>
              </w:rPr>
              <w:t>Company</w:t>
            </w:r>
            <w:proofErr w:type="spellEnd"/>
            <w:r w:rsidRPr="00D0317D">
              <w:rPr>
                <w:b/>
                <w:sz w:val="20"/>
                <w:szCs w:val="20"/>
              </w:rPr>
              <w:t>/Compagnie d'assurance Allianz risques mondiaux E.-U., Zurich Insurance Company Ltd</w:t>
            </w:r>
            <w:proofErr w:type="gramStart"/>
            <w:r w:rsidRPr="00D0317D">
              <w:rPr>
                <w:b/>
                <w:sz w:val="20"/>
                <w:szCs w:val="20"/>
              </w:rPr>
              <w:t>./</w:t>
            </w:r>
            <w:proofErr w:type="gramEnd"/>
            <w:r w:rsidRPr="00D0317D">
              <w:rPr>
                <w:b/>
                <w:sz w:val="20"/>
                <w:szCs w:val="20"/>
              </w:rPr>
              <w:t xml:space="preserve">Zurich compagnie d'assurances SA, Temple Insurance Company/La compagnie d'assurance Temple, GCAN Insurance Company c. </w:t>
            </w:r>
            <w:proofErr w:type="spellStart"/>
            <w:r w:rsidRPr="00D0317D">
              <w:rPr>
                <w:b/>
                <w:sz w:val="20"/>
                <w:szCs w:val="20"/>
              </w:rPr>
              <w:t>Acciona</w:t>
            </w:r>
            <w:proofErr w:type="spellEnd"/>
            <w:r w:rsidRPr="00D0317D">
              <w:rPr>
                <w:b/>
                <w:sz w:val="20"/>
                <w:szCs w:val="20"/>
              </w:rPr>
              <w:t xml:space="preserve"> Infrastructure Canada Inc., </w:t>
            </w:r>
            <w:proofErr w:type="spellStart"/>
            <w:r w:rsidRPr="00D0317D">
              <w:rPr>
                <w:b/>
                <w:sz w:val="20"/>
                <w:szCs w:val="20"/>
              </w:rPr>
              <w:t>Lark</w:t>
            </w:r>
            <w:proofErr w:type="spellEnd"/>
            <w:r w:rsidRPr="00D0317D">
              <w:rPr>
                <w:b/>
                <w:sz w:val="20"/>
                <w:szCs w:val="20"/>
              </w:rPr>
              <w:t xml:space="preserve"> </w:t>
            </w:r>
            <w:proofErr w:type="spellStart"/>
            <w:r w:rsidRPr="00D0317D">
              <w:rPr>
                <w:b/>
                <w:sz w:val="20"/>
                <w:szCs w:val="20"/>
              </w:rPr>
              <w:t>Projects</w:t>
            </w:r>
            <w:proofErr w:type="spellEnd"/>
            <w:r w:rsidRPr="00D0317D">
              <w:rPr>
                <w:b/>
                <w:sz w:val="20"/>
                <w:szCs w:val="20"/>
              </w:rPr>
              <w:t xml:space="preserve"> (2004) Ltd., faisant collectivement affaire sous la dénomination d’</w:t>
            </w:r>
            <w:proofErr w:type="spellStart"/>
            <w:r w:rsidRPr="00D0317D">
              <w:rPr>
                <w:b/>
                <w:sz w:val="20"/>
                <w:szCs w:val="20"/>
              </w:rPr>
              <w:t>Acciona</w:t>
            </w:r>
            <w:proofErr w:type="spellEnd"/>
            <w:r w:rsidRPr="00D0317D">
              <w:rPr>
                <w:b/>
                <w:sz w:val="20"/>
                <w:szCs w:val="20"/>
              </w:rPr>
              <w:t xml:space="preserve"> </w:t>
            </w:r>
            <w:proofErr w:type="spellStart"/>
            <w:r w:rsidRPr="00D0317D">
              <w:rPr>
                <w:b/>
                <w:sz w:val="20"/>
                <w:szCs w:val="20"/>
              </w:rPr>
              <w:t>Lark</w:t>
            </w:r>
            <w:proofErr w:type="spellEnd"/>
            <w:r w:rsidRPr="00D0317D">
              <w:rPr>
                <w:b/>
                <w:sz w:val="20"/>
                <w:szCs w:val="20"/>
              </w:rPr>
              <w:t xml:space="preserve"> </w:t>
            </w:r>
            <w:proofErr w:type="spellStart"/>
            <w:r w:rsidRPr="00D0317D">
              <w:rPr>
                <w:b/>
                <w:sz w:val="20"/>
                <w:szCs w:val="20"/>
              </w:rPr>
              <w:t>Joint Venture</w:t>
            </w:r>
            <w:proofErr w:type="spellEnd"/>
          </w:p>
          <w:p w:rsidR="003978D8" w:rsidRPr="00D0317D" w:rsidRDefault="003978D8" w:rsidP="003978D8">
            <w:pPr>
              <w:jc w:val="both"/>
              <w:rPr>
                <w:sz w:val="20"/>
                <w:lang w:val="fr-CA"/>
              </w:rPr>
            </w:pPr>
            <w:r w:rsidRPr="00D0317D">
              <w:rPr>
                <w:sz w:val="20"/>
                <w:lang w:val="fr-CA"/>
              </w:rPr>
              <w:t>(C.-B.) (Civile) (Sur autorisation)</w:t>
            </w:r>
          </w:p>
        </w:tc>
      </w:tr>
      <w:tr w:rsidR="003978D8" w:rsidRPr="005165BD" w:rsidTr="003978D8">
        <w:tc>
          <w:tcPr>
            <w:tcW w:w="5000" w:type="pct"/>
            <w:gridSpan w:val="4"/>
          </w:tcPr>
          <w:p w:rsidR="003978D8" w:rsidRPr="00D0317D" w:rsidRDefault="003978D8" w:rsidP="003978D8">
            <w:pPr>
              <w:jc w:val="both"/>
              <w:rPr>
                <w:sz w:val="20"/>
                <w:lang w:val="fr-CA"/>
              </w:rPr>
            </w:pPr>
            <w:r w:rsidRPr="00D0317D">
              <w:rPr>
                <w:sz w:val="20"/>
                <w:lang w:val="fr-CA"/>
              </w:rPr>
              <w:t xml:space="preserve">Assurances – Assurances de biens – Assurance de responsabilité – Contrats – Contrats commerciaux – Interprétation – Clauses d’exclusion – Appel – Norme de contrôle – Quel tribunal d’appel, la CA de l’Alb. dans </w:t>
            </w:r>
            <w:r w:rsidRPr="00D0317D">
              <w:rPr>
                <w:i/>
                <w:sz w:val="20"/>
                <w:lang w:val="fr-CA"/>
              </w:rPr>
              <w:t xml:space="preserve">Ledcor Construction Limited c. Northbridge Indemnity Insurance Company et </w:t>
            </w:r>
            <w:proofErr w:type="gramStart"/>
            <w:r w:rsidRPr="00D0317D">
              <w:rPr>
                <w:i/>
                <w:sz w:val="20"/>
                <w:lang w:val="fr-CA"/>
              </w:rPr>
              <w:t>al.</w:t>
            </w:r>
            <w:r w:rsidRPr="00D0317D">
              <w:rPr>
                <w:sz w:val="20"/>
                <w:lang w:val="fr-CA"/>
              </w:rPr>
              <w:t>,</w:t>
            </w:r>
            <w:proofErr w:type="gramEnd"/>
            <w:r w:rsidRPr="00D0317D">
              <w:rPr>
                <w:sz w:val="20"/>
                <w:lang w:val="fr-CA"/>
              </w:rPr>
              <w:t xml:space="preserve"> 2015 ABCA 121 (CanLII) (« </w:t>
            </w:r>
            <w:r w:rsidRPr="00D0317D">
              <w:rPr>
                <w:i/>
                <w:sz w:val="20"/>
                <w:lang w:val="fr-CA"/>
              </w:rPr>
              <w:t xml:space="preserve">Ledcor </w:t>
            </w:r>
            <w:r w:rsidRPr="00D0317D">
              <w:rPr>
                <w:sz w:val="20"/>
                <w:lang w:val="fr-CA"/>
              </w:rPr>
              <w:t xml:space="preserve">»), la CA de la C.-B. dans </w:t>
            </w:r>
            <w:r w:rsidRPr="00D0317D">
              <w:rPr>
                <w:rFonts w:ascii="Arial (W1)" w:hAnsi="Arial (W1)"/>
                <w:i/>
                <w:iCs/>
                <w:sz w:val="20"/>
                <w:lang w:val="fr-CA"/>
              </w:rPr>
              <w:t xml:space="preserve">Precision Plating Ltd. c. Axa Pacific Insurance Company, </w:t>
            </w:r>
            <w:r w:rsidRPr="00D0317D">
              <w:rPr>
                <w:rFonts w:ascii="Arial (W1)" w:hAnsi="Arial (W1)"/>
                <w:sz w:val="20"/>
                <w:lang w:val="fr-CA"/>
              </w:rPr>
              <w:t>2015 BCCA 277 (</w:t>
            </w:r>
            <w:proofErr w:type="spellStart"/>
            <w:r w:rsidRPr="00D0317D">
              <w:rPr>
                <w:rFonts w:ascii="Arial (W1)" w:hAnsi="Arial (W1)"/>
                <w:sz w:val="20"/>
                <w:lang w:val="fr-CA"/>
              </w:rPr>
              <w:t>CanLII</w:t>
            </w:r>
            <w:proofErr w:type="spellEnd"/>
            <w:r w:rsidRPr="00D0317D">
              <w:rPr>
                <w:rFonts w:ascii="Arial (W1)" w:hAnsi="Arial (W1)"/>
                <w:sz w:val="20"/>
                <w:lang w:val="fr-CA"/>
              </w:rPr>
              <w:t>) («</w:t>
            </w:r>
            <w:r w:rsidRPr="00D0317D">
              <w:rPr>
                <w:rFonts w:ascii="Arial (W1)" w:hAnsi="Arial (W1)" w:hint="eastAsia"/>
                <w:sz w:val="20"/>
                <w:lang w:val="fr-CA"/>
              </w:rPr>
              <w:t> </w:t>
            </w:r>
            <w:proofErr w:type="spellStart"/>
            <w:r w:rsidRPr="00D0317D">
              <w:rPr>
                <w:rFonts w:ascii="Arial (W1)" w:hAnsi="Arial (W1)"/>
                <w:i/>
                <w:sz w:val="20"/>
                <w:lang w:val="fr-CA"/>
              </w:rPr>
              <w:t>Precision</w:t>
            </w:r>
            <w:proofErr w:type="spellEnd"/>
            <w:r w:rsidRPr="00D0317D">
              <w:rPr>
                <w:rFonts w:ascii="Arial (W1)" w:hAnsi="Arial (W1)"/>
                <w:i/>
                <w:sz w:val="20"/>
                <w:lang w:val="fr-CA"/>
              </w:rPr>
              <w:t xml:space="preserve"> </w:t>
            </w:r>
            <w:proofErr w:type="spellStart"/>
            <w:r w:rsidRPr="00D0317D">
              <w:rPr>
                <w:rFonts w:ascii="Arial (W1)" w:hAnsi="Arial (W1)"/>
                <w:i/>
                <w:sz w:val="20"/>
                <w:lang w:val="fr-CA"/>
              </w:rPr>
              <w:t>Plating</w:t>
            </w:r>
            <w:proofErr w:type="spellEnd"/>
            <w:r w:rsidRPr="00D0317D">
              <w:rPr>
                <w:rFonts w:ascii="Arial (W1)" w:hAnsi="Arial (W1)"/>
                <w:i/>
                <w:sz w:val="20"/>
                <w:lang w:val="fr-CA"/>
              </w:rPr>
              <w:t> </w:t>
            </w:r>
            <w:r w:rsidRPr="00D0317D">
              <w:rPr>
                <w:rFonts w:ascii="Arial (W1)" w:hAnsi="Arial (W1)"/>
                <w:sz w:val="20"/>
                <w:lang w:val="fr-CA"/>
              </w:rPr>
              <w:t>»)</w:t>
            </w:r>
            <w:r w:rsidRPr="00D0317D">
              <w:rPr>
                <w:sz w:val="20"/>
                <w:lang w:val="fr-CA"/>
              </w:rPr>
              <w:t xml:space="preserve"> ou la CA de la C.-B. en l’espèce, a bien interprété la clause en matière de vices? – La clause d’exclusion a-t-elle pour objet d’exclure de la couverture le coût de réparation de la zone défectueuse? – Si l’on interprète convenablement la police d’assurance, l’entrepreneur n’est-il indemnisé que des dommages causés par les dommages aux autres sections de l’immeuble? – La clause d’exclusion n’établit-elle pas une présomption plutôt que d’exclure certains dommages? – La CA de l’Alb. a-t-elle atteint dans </w:t>
            </w:r>
            <w:proofErr w:type="spellStart"/>
            <w:r w:rsidRPr="00D0317D">
              <w:rPr>
                <w:i/>
                <w:sz w:val="20"/>
                <w:lang w:val="fr-CA"/>
              </w:rPr>
              <w:t>Ledcor</w:t>
            </w:r>
            <w:proofErr w:type="spellEnd"/>
            <w:r w:rsidRPr="00D0317D">
              <w:rPr>
                <w:i/>
                <w:sz w:val="20"/>
                <w:lang w:val="fr-CA"/>
              </w:rPr>
              <w:t xml:space="preserve"> </w:t>
            </w:r>
            <w:r w:rsidRPr="00D0317D">
              <w:rPr>
                <w:sz w:val="20"/>
                <w:lang w:val="fr-CA"/>
              </w:rPr>
              <w:t xml:space="preserve">un juste équilibre en concluant que le degré de connexité matérielle ou systémique est déterminant pour établir la limite entre les « frais à engager à cause de vices importants de main-d’œuvre » et les dommages indirects? – Le texte des clauses d’exclusion en l’espèce, tiré des clauses d’exclusion LEG2 et omniprésent au Canada et ailleurs, au R.-U., en Australie, etc., doit-il être considéré comme une question de droit qui peut être isolée et doit être révisée selon la norme de la décision correcte plutôt que suivant la norme de la décision raisonnable? – Les décisions de la CA de la C.-B. en l’espèce et dans </w:t>
            </w:r>
            <w:r w:rsidRPr="00D0317D">
              <w:rPr>
                <w:i/>
                <w:sz w:val="20"/>
                <w:lang w:val="fr-CA"/>
              </w:rPr>
              <w:t>Precision Plating</w:t>
            </w:r>
            <w:r w:rsidRPr="00D0317D">
              <w:rPr>
                <w:sz w:val="20"/>
                <w:lang w:val="fr-CA"/>
              </w:rPr>
              <w:t xml:space="preserve"> et celle de la CA de l’Alb. dans </w:t>
            </w:r>
            <w:r w:rsidRPr="00D0317D">
              <w:rPr>
                <w:i/>
                <w:sz w:val="20"/>
                <w:lang w:val="fr-CA"/>
              </w:rPr>
              <w:t>Ledcor</w:t>
            </w:r>
            <w:r w:rsidRPr="00D0317D">
              <w:rPr>
                <w:sz w:val="20"/>
                <w:lang w:val="fr-CA"/>
              </w:rPr>
              <w:t xml:space="preserve"> sont-elles conciliables ou sèment-elles l’incertitude et la confusion chez les assurés et les assureurs? – Le sens de la portée de l’indemnité pour « perte causée directement en cours de construction » – Police d’assurance tous risques – Utilité de la jurisprudence américaine dans le domaine des assurances en l’absence de précédents canadiens sur ce point. </w:t>
            </w:r>
          </w:p>
          <w:p w:rsidR="003978D8" w:rsidRPr="00D0317D" w:rsidRDefault="003978D8" w:rsidP="003978D8">
            <w:pPr>
              <w:pStyle w:val="SCCBanSummary"/>
              <w:rPr>
                <w:sz w:val="20"/>
                <w:szCs w:val="20"/>
                <w:lang w:val="fr-CA"/>
              </w:rPr>
            </w:pPr>
          </w:p>
          <w:p w:rsidR="003978D8" w:rsidRPr="00D0317D" w:rsidRDefault="003978D8" w:rsidP="003978D8">
            <w:pPr>
              <w:jc w:val="both"/>
              <w:rPr>
                <w:sz w:val="20"/>
                <w:lang w:val="fr-CA"/>
              </w:rPr>
            </w:pPr>
            <w:r w:rsidRPr="00D0317D">
              <w:rPr>
                <w:iCs/>
                <w:sz w:val="20"/>
                <w:lang w:val="fr-CA"/>
              </w:rPr>
              <w:t>Les intimées se sont engagées à concevoir et à construire le nouveau Centre de soins aux patients du Royal Jubilee Hospital de Victoria (C.-B.). Durant la construction, certains des planchers faits de dalles de béton se mirent à gondolier, causant l’apparition de creux au centre des dalles. Les intimées ont remédié au problème et fait une réclamation d’environ 15 millions de dollars au titre de la police d’assurance en cours de construction qu’elles avaient contractée avec les assureurs demandeurs. La police couvrait « TOUS LES RISQUES de pertes ou de dommages matériels directs à l’égard des biens assurés [</w:t>
            </w:r>
            <w:r w:rsidRPr="00D0317D">
              <w:rPr>
                <w:sz w:val="20"/>
                <w:lang w:val="fr-CA"/>
              </w:rPr>
              <w:t xml:space="preserve">…] sauf </w:t>
            </w:r>
            <w:r w:rsidRPr="00D0317D">
              <w:rPr>
                <w:iCs/>
                <w:sz w:val="20"/>
                <w:lang w:val="fr-CA"/>
              </w:rPr>
              <w:t>[</w:t>
            </w:r>
            <w:r w:rsidRPr="00D0317D">
              <w:rPr>
                <w:sz w:val="20"/>
                <w:lang w:val="fr-CA"/>
              </w:rPr>
              <w:t>…] tous les frais à engager à causes de vices de main-d’œuvre, de conception, de planification ou de devis ». La politique précisait qu’en cas d’endommagement d’une partie du bien entaché du vice, « les frais de remplacement ou de réparation exclus par la présente sont les frais qui auraient été engagés si le bien assuré avait été remplacé ou réparé juste avant les dommages en question ».</w:t>
            </w:r>
          </w:p>
        </w:tc>
      </w:tr>
      <w:tr w:rsidR="003978D8" w:rsidRPr="005165BD" w:rsidTr="003978D8">
        <w:tc>
          <w:tcPr>
            <w:tcW w:w="5000" w:type="pct"/>
            <w:gridSpan w:val="4"/>
          </w:tcPr>
          <w:p w:rsidR="003978D8" w:rsidRPr="00D0317D" w:rsidRDefault="003978D8" w:rsidP="003978D8">
            <w:pPr>
              <w:jc w:val="both"/>
              <w:rPr>
                <w:sz w:val="20"/>
                <w:lang w:val="fr-CA"/>
              </w:rPr>
            </w:pPr>
          </w:p>
        </w:tc>
      </w:tr>
      <w:tr w:rsidR="003978D8" w:rsidRPr="005165BD" w:rsidTr="003978D8">
        <w:tc>
          <w:tcPr>
            <w:tcW w:w="5000" w:type="pct"/>
            <w:gridSpan w:val="4"/>
          </w:tcPr>
          <w:p w:rsidR="003978D8" w:rsidRPr="00D0317D" w:rsidRDefault="003978D8" w:rsidP="003978D8">
            <w:pPr>
              <w:jc w:val="both"/>
              <w:rPr>
                <w:sz w:val="20"/>
                <w:lang w:val="fr-CA"/>
              </w:rPr>
            </w:pPr>
            <w:r w:rsidRPr="00D0317D">
              <w:rPr>
                <w:sz w:val="20"/>
                <w:lang w:val="fr-CA"/>
              </w:rPr>
              <w:t>La Cour suprême de la Colombie-Britannique a décidé que le sous-traitant avait endommagé les dalles de béton par son travail inadéquat exécuté lors de la construction des coffrages de béton ainsi que de la pose et de la finition des dalles. Le tribunal de première instance a accueilli en partie l’action des intimées et ordonné aux demanderesses de leur verser une indemnité d’environ 8,5 millions de dollars. Les demanderesses ont interjeté appel au motif que la réclamation n’était aucunement couverte et les intimées ont formé un appel incident pour recouvrer tout le montant de la réclamation. La cour d’appel a rejeté à la fois l’appel et l’appel incident. Les demanderesses sollicitent l’autorisation de porter en appel cette décision tandis que les intimées demandent conditionnellement l’autorisation d’interjeter un pourvoi incident.</w:t>
            </w:r>
          </w:p>
          <w:p w:rsidR="003978D8" w:rsidRPr="00D0317D" w:rsidRDefault="003978D8" w:rsidP="003978D8">
            <w:pPr>
              <w:jc w:val="both"/>
              <w:rPr>
                <w:sz w:val="20"/>
                <w:lang w:val="fr-CA"/>
              </w:rPr>
            </w:pPr>
          </w:p>
        </w:tc>
      </w:tr>
      <w:tr w:rsidR="003978D8" w:rsidRPr="005165BD" w:rsidTr="003978D8">
        <w:tc>
          <w:tcPr>
            <w:tcW w:w="2427" w:type="pct"/>
            <w:gridSpan w:val="2"/>
          </w:tcPr>
          <w:p w:rsidR="003978D8" w:rsidRPr="00D0317D" w:rsidRDefault="003978D8" w:rsidP="003978D8">
            <w:pPr>
              <w:jc w:val="both"/>
              <w:rPr>
                <w:sz w:val="20"/>
                <w:lang w:val="fr-CA"/>
              </w:rPr>
            </w:pPr>
            <w:r w:rsidRPr="00D0317D">
              <w:rPr>
                <w:sz w:val="20"/>
                <w:lang w:val="fr-CA"/>
              </w:rPr>
              <w:t>19 août 2014</w:t>
            </w:r>
          </w:p>
          <w:p w:rsidR="003978D8" w:rsidRPr="00D0317D" w:rsidRDefault="003978D8" w:rsidP="003978D8">
            <w:pPr>
              <w:jc w:val="both"/>
              <w:rPr>
                <w:sz w:val="20"/>
                <w:lang w:val="fr-CA"/>
              </w:rPr>
            </w:pPr>
            <w:r w:rsidRPr="00D0317D">
              <w:rPr>
                <w:sz w:val="20"/>
                <w:lang w:val="fr-CA"/>
              </w:rPr>
              <w:t>Cour suprême de la Colombie-Britannique</w:t>
            </w:r>
          </w:p>
          <w:p w:rsidR="003978D8" w:rsidRPr="00D0317D" w:rsidRDefault="003978D8" w:rsidP="003978D8">
            <w:pPr>
              <w:jc w:val="both"/>
              <w:rPr>
                <w:sz w:val="20"/>
              </w:rPr>
            </w:pPr>
            <w:r w:rsidRPr="00D0317D">
              <w:rPr>
                <w:sz w:val="20"/>
              </w:rPr>
              <w:t>(Juge Skolrood)</w:t>
            </w:r>
          </w:p>
          <w:p w:rsidR="003978D8" w:rsidRPr="00D0317D" w:rsidRDefault="00985225" w:rsidP="003978D8">
            <w:pPr>
              <w:jc w:val="both"/>
              <w:rPr>
                <w:rStyle w:val="Hyperlink"/>
                <w:sz w:val="20"/>
              </w:rPr>
            </w:pPr>
            <w:hyperlink r:id="rId21" w:history="1">
              <w:r w:rsidR="003978D8" w:rsidRPr="00D0317D">
                <w:rPr>
                  <w:rStyle w:val="Hyperlink"/>
                  <w:sz w:val="20"/>
                </w:rPr>
                <w:t>2014 BCSC 1568</w:t>
              </w:r>
            </w:hyperlink>
          </w:p>
          <w:p w:rsidR="003978D8" w:rsidRPr="00D0317D" w:rsidRDefault="003978D8" w:rsidP="003978D8">
            <w:pPr>
              <w:jc w:val="both"/>
              <w:rPr>
                <w:sz w:val="20"/>
              </w:rPr>
            </w:pPr>
          </w:p>
        </w:tc>
        <w:tc>
          <w:tcPr>
            <w:tcW w:w="195" w:type="pct"/>
          </w:tcPr>
          <w:p w:rsidR="003978D8" w:rsidRPr="00D0317D" w:rsidRDefault="003978D8" w:rsidP="003978D8">
            <w:pPr>
              <w:jc w:val="both"/>
              <w:rPr>
                <w:sz w:val="20"/>
              </w:rPr>
            </w:pPr>
          </w:p>
        </w:tc>
        <w:tc>
          <w:tcPr>
            <w:tcW w:w="2379" w:type="pct"/>
          </w:tcPr>
          <w:p w:rsidR="003978D8" w:rsidRPr="00D0317D" w:rsidRDefault="003978D8" w:rsidP="003978D8">
            <w:pPr>
              <w:jc w:val="both"/>
              <w:rPr>
                <w:sz w:val="20"/>
                <w:lang w:val="fr-CA"/>
              </w:rPr>
            </w:pPr>
            <w:r w:rsidRPr="00D0317D">
              <w:rPr>
                <w:sz w:val="20"/>
                <w:lang w:val="fr-CA"/>
              </w:rPr>
              <w:t xml:space="preserve">Action des intimées accueillie en partie, demanderesses condamnées à leur verser une indemnité d’environ </w:t>
            </w:r>
            <w:r w:rsidRPr="00D0317D">
              <w:rPr>
                <w:iCs/>
                <w:sz w:val="20"/>
                <w:lang w:val="fr-CA"/>
              </w:rPr>
              <w:t>8,5 millions de dollars</w:t>
            </w:r>
          </w:p>
        </w:tc>
      </w:tr>
      <w:tr w:rsidR="003978D8" w:rsidRPr="005165BD" w:rsidTr="003978D8">
        <w:tc>
          <w:tcPr>
            <w:tcW w:w="2427" w:type="pct"/>
            <w:gridSpan w:val="2"/>
          </w:tcPr>
          <w:p w:rsidR="003978D8" w:rsidRPr="00D0317D" w:rsidRDefault="003978D8" w:rsidP="003978D8">
            <w:pPr>
              <w:jc w:val="both"/>
              <w:rPr>
                <w:sz w:val="20"/>
                <w:lang w:val="fr-CA"/>
              </w:rPr>
            </w:pPr>
            <w:r w:rsidRPr="00D0317D">
              <w:rPr>
                <w:sz w:val="20"/>
                <w:lang w:val="fr-CA"/>
              </w:rPr>
              <w:t>5 août 2015</w:t>
            </w:r>
          </w:p>
          <w:p w:rsidR="003978D8" w:rsidRPr="00D0317D" w:rsidRDefault="003978D8" w:rsidP="003978D8">
            <w:pPr>
              <w:jc w:val="both"/>
              <w:rPr>
                <w:sz w:val="20"/>
                <w:lang w:val="fr-CA"/>
              </w:rPr>
            </w:pPr>
            <w:r w:rsidRPr="00D0317D">
              <w:rPr>
                <w:sz w:val="20"/>
                <w:lang w:val="fr-CA"/>
              </w:rPr>
              <w:t>Cour d’appel de la Colombie-Britannique (Vancouver)</w:t>
            </w:r>
          </w:p>
          <w:p w:rsidR="003978D8" w:rsidRPr="00D0317D" w:rsidRDefault="003978D8" w:rsidP="003978D8">
            <w:pPr>
              <w:jc w:val="both"/>
              <w:rPr>
                <w:sz w:val="20"/>
                <w:lang w:val="fr-CA"/>
              </w:rPr>
            </w:pPr>
            <w:r w:rsidRPr="00D0317D">
              <w:rPr>
                <w:sz w:val="20"/>
                <w:lang w:val="fr-CA"/>
              </w:rPr>
              <w:t>(Juges Neilson, Garson et Willcock)</w:t>
            </w:r>
          </w:p>
          <w:p w:rsidR="003978D8" w:rsidRPr="00D0317D" w:rsidRDefault="00985225" w:rsidP="003978D8">
            <w:pPr>
              <w:jc w:val="both"/>
              <w:rPr>
                <w:sz w:val="20"/>
              </w:rPr>
            </w:pPr>
            <w:hyperlink r:id="rId22" w:history="1">
              <w:r w:rsidR="003978D8" w:rsidRPr="00D0317D">
                <w:rPr>
                  <w:rStyle w:val="Hyperlink"/>
                  <w:sz w:val="20"/>
                </w:rPr>
                <w:t>2015 BCCA 347</w:t>
              </w:r>
            </w:hyperlink>
            <w:r w:rsidR="003978D8" w:rsidRPr="00D0317D">
              <w:rPr>
                <w:sz w:val="20"/>
              </w:rPr>
              <w:t>; CA42166</w:t>
            </w:r>
          </w:p>
          <w:p w:rsidR="003978D8" w:rsidRPr="00D0317D" w:rsidRDefault="003978D8" w:rsidP="003978D8">
            <w:pPr>
              <w:jc w:val="both"/>
              <w:rPr>
                <w:sz w:val="20"/>
              </w:rPr>
            </w:pPr>
          </w:p>
        </w:tc>
        <w:tc>
          <w:tcPr>
            <w:tcW w:w="195" w:type="pct"/>
          </w:tcPr>
          <w:p w:rsidR="003978D8" w:rsidRPr="00D0317D" w:rsidRDefault="003978D8" w:rsidP="003978D8">
            <w:pPr>
              <w:jc w:val="both"/>
              <w:rPr>
                <w:sz w:val="20"/>
              </w:rPr>
            </w:pPr>
          </w:p>
        </w:tc>
        <w:tc>
          <w:tcPr>
            <w:tcW w:w="2379" w:type="pct"/>
          </w:tcPr>
          <w:p w:rsidR="003978D8" w:rsidRPr="00D0317D" w:rsidRDefault="003978D8" w:rsidP="003978D8">
            <w:pPr>
              <w:jc w:val="both"/>
              <w:rPr>
                <w:sz w:val="20"/>
                <w:lang w:val="fr-CA"/>
              </w:rPr>
            </w:pPr>
            <w:r w:rsidRPr="00D0317D">
              <w:rPr>
                <w:sz w:val="20"/>
                <w:lang w:val="fr-CA"/>
              </w:rPr>
              <w:t>Rejet de l’appel et de l’appel incident</w:t>
            </w:r>
          </w:p>
          <w:p w:rsidR="003978D8" w:rsidRPr="00D0317D" w:rsidRDefault="003978D8" w:rsidP="003978D8">
            <w:pPr>
              <w:jc w:val="both"/>
              <w:rPr>
                <w:sz w:val="20"/>
                <w:lang w:val="fr-CA"/>
              </w:rPr>
            </w:pPr>
          </w:p>
        </w:tc>
      </w:tr>
      <w:tr w:rsidR="003978D8" w:rsidRPr="005165BD" w:rsidTr="003978D8">
        <w:tc>
          <w:tcPr>
            <w:tcW w:w="2427" w:type="pct"/>
            <w:gridSpan w:val="2"/>
          </w:tcPr>
          <w:p w:rsidR="003978D8" w:rsidRPr="00D0317D" w:rsidRDefault="003978D8" w:rsidP="003978D8">
            <w:pPr>
              <w:jc w:val="both"/>
              <w:rPr>
                <w:sz w:val="20"/>
                <w:lang w:val="fr-CA"/>
              </w:rPr>
            </w:pPr>
            <w:r w:rsidRPr="00D0317D">
              <w:rPr>
                <w:sz w:val="20"/>
                <w:lang w:val="fr-CA"/>
              </w:rPr>
              <w:t>1</w:t>
            </w:r>
            <w:r w:rsidRPr="00D0317D">
              <w:rPr>
                <w:sz w:val="20"/>
                <w:vertAlign w:val="superscript"/>
                <w:lang w:val="fr-CA"/>
              </w:rPr>
              <w:t>er</w:t>
            </w:r>
            <w:r w:rsidRPr="00D0317D">
              <w:rPr>
                <w:sz w:val="20"/>
                <w:lang w:val="fr-CA"/>
              </w:rPr>
              <w:t xml:space="preserve"> octobre 2015</w:t>
            </w:r>
          </w:p>
          <w:p w:rsidR="003978D8" w:rsidRPr="00D0317D" w:rsidRDefault="003978D8" w:rsidP="003978D8">
            <w:pPr>
              <w:jc w:val="both"/>
              <w:rPr>
                <w:sz w:val="20"/>
                <w:lang w:val="fr-CA"/>
              </w:rPr>
            </w:pPr>
            <w:r w:rsidRPr="00D0317D">
              <w:rPr>
                <w:sz w:val="20"/>
                <w:lang w:val="fr-CA"/>
              </w:rPr>
              <w:t>Cour suprême du Canada</w:t>
            </w:r>
          </w:p>
        </w:tc>
        <w:tc>
          <w:tcPr>
            <w:tcW w:w="195" w:type="pct"/>
          </w:tcPr>
          <w:p w:rsidR="003978D8" w:rsidRPr="00D0317D" w:rsidRDefault="003978D8" w:rsidP="003978D8">
            <w:pPr>
              <w:jc w:val="both"/>
              <w:rPr>
                <w:sz w:val="20"/>
                <w:lang w:val="fr-CA"/>
              </w:rPr>
            </w:pPr>
          </w:p>
        </w:tc>
        <w:tc>
          <w:tcPr>
            <w:tcW w:w="2379" w:type="pct"/>
          </w:tcPr>
          <w:p w:rsidR="003978D8" w:rsidRPr="00D0317D" w:rsidRDefault="003978D8" w:rsidP="003978D8">
            <w:pPr>
              <w:jc w:val="both"/>
              <w:rPr>
                <w:sz w:val="20"/>
                <w:lang w:val="fr-CA"/>
              </w:rPr>
            </w:pPr>
            <w:r w:rsidRPr="00D0317D">
              <w:rPr>
                <w:sz w:val="20"/>
                <w:lang w:val="fr-CA"/>
              </w:rPr>
              <w:t xml:space="preserve">Dépôt de la demande d’autorisation d’appel </w:t>
            </w:r>
          </w:p>
          <w:p w:rsidR="003978D8" w:rsidRPr="00D0317D" w:rsidRDefault="003978D8" w:rsidP="003978D8">
            <w:pPr>
              <w:jc w:val="both"/>
              <w:rPr>
                <w:sz w:val="20"/>
                <w:lang w:val="fr-CA"/>
              </w:rPr>
            </w:pPr>
          </w:p>
        </w:tc>
      </w:tr>
    </w:tbl>
    <w:p w:rsidR="003978D8" w:rsidRPr="00D0317D" w:rsidRDefault="003978D8" w:rsidP="00BD2F5D">
      <w:pPr>
        <w:jc w:val="both"/>
        <w:rPr>
          <w:sz w:val="20"/>
          <w:lang w:val="fr-CA"/>
        </w:rPr>
      </w:pPr>
    </w:p>
    <w:p w:rsidR="003978D8" w:rsidRPr="00D0317D" w:rsidRDefault="003978D8" w:rsidP="00BD2F5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2F5D" w:rsidRPr="00D0317D" w:rsidTr="00E95A6A">
        <w:tc>
          <w:tcPr>
            <w:tcW w:w="543" w:type="pct"/>
          </w:tcPr>
          <w:p w:rsidR="00BD2F5D" w:rsidRPr="00D0317D" w:rsidRDefault="00BD2F5D" w:rsidP="00BD2F5D">
            <w:pPr>
              <w:jc w:val="both"/>
              <w:rPr>
                <w:sz w:val="20"/>
              </w:rPr>
            </w:pPr>
            <w:r w:rsidRPr="00D0317D">
              <w:rPr>
                <w:rStyle w:val="SCCFileNumberChar"/>
                <w:sz w:val="20"/>
                <w:szCs w:val="20"/>
              </w:rPr>
              <w:t>37056</w:t>
            </w:r>
          </w:p>
        </w:tc>
        <w:tc>
          <w:tcPr>
            <w:tcW w:w="4457" w:type="pct"/>
            <w:gridSpan w:val="3"/>
          </w:tcPr>
          <w:p w:rsidR="00BD2F5D" w:rsidRPr="000870AB" w:rsidRDefault="00BD2F5D" w:rsidP="00BD2F5D">
            <w:pPr>
              <w:pStyle w:val="SCCLsocParty"/>
              <w:jc w:val="both"/>
              <w:rPr>
                <w:b/>
                <w:sz w:val="20"/>
                <w:szCs w:val="20"/>
                <w:lang w:val="en-US"/>
              </w:rPr>
            </w:pPr>
            <w:r w:rsidRPr="000870AB">
              <w:rPr>
                <w:b/>
                <w:sz w:val="20"/>
                <w:szCs w:val="20"/>
                <w:lang w:val="en-US"/>
              </w:rPr>
              <w:t>Jessica Leblanc v. Her Majesty the Queen</w:t>
            </w:r>
          </w:p>
          <w:p w:rsidR="00BD2F5D" w:rsidRPr="00D0317D" w:rsidRDefault="00BD2F5D" w:rsidP="00BD2F5D">
            <w:pPr>
              <w:jc w:val="both"/>
              <w:rPr>
                <w:sz w:val="20"/>
              </w:rPr>
            </w:pPr>
            <w:r w:rsidRPr="00D0317D">
              <w:rPr>
                <w:sz w:val="20"/>
              </w:rPr>
              <w:t>(FC) (Civil) (By Leave)</w:t>
            </w:r>
          </w:p>
        </w:tc>
      </w:tr>
      <w:tr w:rsidR="00BD2F5D" w:rsidRPr="00D0317D" w:rsidTr="00E95A6A">
        <w:tc>
          <w:tcPr>
            <w:tcW w:w="5000" w:type="pct"/>
            <w:gridSpan w:val="4"/>
          </w:tcPr>
          <w:p w:rsidR="00BD2F5D" w:rsidRPr="00D0317D" w:rsidRDefault="00BD2F5D" w:rsidP="00BD2F5D">
            <w:pPr>
              <w:jc w:val="both"/>
              <w:rPr>
                <w:sz w:val="20"/>
              </w:rPr>
            </w:pPr>
            <w:r w:rsidRPr="00D0317D">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D0317D">
              <w:rPr>
                <w:i/>
                <w:sz w:val="20"/>
              </w:rPr>
              <w:t>Controlled Drugs and Substances Act</w:t>
            </w:r>
            <w:r w:rsidRPr="00D0317D">
              <w:rPr>
                <w:sz w:val="20"/>
              </w:rPr>
              <w:t>, S.C. 1996, c. 19.</w:t>
            </w:r>
          </w:p>
        </w:tc>
      </w:tr>
      <w:tr w:rsidR="00BD2F5D" w:rsidRPr="00D0317D" w:rsidTr="00E95A6A">
        <w:tc>
          <w:tcPr>
            <w:tcW w:w="5000" w:type="pct"/>
            <w:gridSpan w:val="4"/>
          </w:tcPr>
          <w:p w:rsidR="00BD2F5D" w:rsidRPr="00D0317D" w:rsidRDefault="00BD2F5D" w:rsidP="00BD2F5D">
            <w:pPr>
              <w:jc w:val="both"/>
              <w:rPr>
                <w:sz w:val="20"/>
              </w:rPr>
            </w:pPr>
          </w:p>
        </w:tc>
      </w:tr>
      <w:tr w:rsidR="00BD2F5D" w:rsidRPr="00D0317D" w:rsidTr="00E95A6A">
        <w:tc>
          <w:tcPr>
            <w:tcW w:w="5000" w:type="pct"/>
            <w:gridSpan w:val="4"/>
          </w:tcPr>
          <w:p w:rsidR="00BD2F5D" w:rsidRPr="00D0317D" w:rsidRDefault="00BD2F5D" w:rsidP="00BD2F5D">
            <w:pPr>
              <w:jc w:val="both"/>
              <w:rPr>
                <w:sz w:val="20"/>
              </w:rPr>
            </w:pPr>
            <w:r w:rsidRPr="00D0317D">
              <w:rPr>
                <w:sz w:val="20"/>
              </w:rPr>
              <w:t xml:space="preserve">Since February 2014, approximately 300 self-represented plaintiffs, including the applicant, have filed identical claims seeking declarations that the </w:t>
            </w:r>
            <w:r w:rsidRPr="00D0317D">
              <w:rPr>
                <w:i/>
                <w:sz w:val="20"/>
              </w:rPr>
              <w:t>Marijuana Medical Access Regulations (“MMAR”)</w:t>
            </w:r>
            <w:r w:rsidRPr="00D0317D">
              <w:rPr>
                <w:sz w:val="20"/>
              </w:rPr>
              <w:t>, S.O.R./2001-227, which were repealed on March 31, 2014 and the</w:t>
            </w:r>
            <w:r w:rsidRPr="00D0317D">
              <w:rPr>
                <w:i/>
                <w:sz w:val="20"/>
              </w:rPr>
              <w:t xml:space="preserve"> Marijuana for Medical Purposes Regulations</w:t>
            </w:r>
            <w:r w:rsidRPr="00D0317D">
              <w:rPr>
                <w:sz w:val="20"/>
              </w:rPr>
              <w:t xml:space="preserve">, S.O.R./2013-119, which succeeded the </w:t>
            </w:r>
            <w:r w:rsidRPr="00D0317D">
              <w:rPr>
                <w:i/>
                <w:sz w:val="20"/>
              </w:rPr>
              <w:t>MMAR</w:t>
            </w:r>
            <w:r w:rsidRPr="00D0317D">
              <w:rPr>
                <w:sz w:val="20"/>
              </w:rPr>
              <w:t xml:space="preserve"> are unconstitutional. In the course of their actions, twenty-six plaintiffs, including the applicant, brought motions for interim constitutional exemptions from the </w:t>
            </w:r>
            <w:r w:rsidRPr="00D0317D">
              <w:rPr>
                <w:i/>
                <w:sz w:val="20"/>
              </w:rPr>
              <w:t>Controlled Drugs and Substances Act</w:t>
            </w:r>
            <w:r w:rsidRPr="00D0317D">
              <w:rPr>
                <w:sz w:val="20"/>
              </w:rPr>
              <w:t xml:space="preserve"> </w:t>
            </w:r>
            <w:r w:rsidRPr="00D0317D">
              <w:rPr>
                <w:i/>
                <w:sz w:val="20"/>
              </w:rPr>
              <w:t>(“CDSA”)</w:t>
            </w:r>
            <w:r w:rsidRPr="00D0317D">
              <w:rPr>
                <w:sz w:val="20"/>
              </w:rPr>
              <w:t xml:space="preserve"> for the personal use of marijuana pending trial of their actions.</w:t>
            </w:r>
          </w:p>
        </w:tc>
      </w:tr>
      <w:tr w:rsidR="00BD2F5D" w:rsidRPr="00D0317D" w:rsidTr="00E95A6A">
        <w:tc>
          <w:tcPr>
            <w:tcW w:w="5000" w:type="pct"/>
            <w:gridSpan w:val="4"/>
          </w:tcPr>
          <w:p w:rsidR="00BD2F5D" w:rsidRPr="00D0317D" w:rsidRDefault="00BD2F5D" w:rsidP="00BD2F5D">
            <w:pPr>
              <w:jc w:val="both"/>
              <w:rPr>
                <w:sz w:val="20"/>
              </w:rPr>
            </w:pPr>
          </w:p>
        </w:tc>
      </w:tr>
      <w:tr w:rsidR="00BD2F5D" w:rsidRPr="00D0317D" w:rsidTr="00E95A6A">
        <w:tc>
          <w:tcPr>
            <w:tcW w:w="2427" w:type="pct"/>
            <w:gridSpan w:val="2"/>
          </w:tcPr>
          <w:p w:rsidR="00BD2F5D" w:rsidRPr="00D0317D" w:rsidRDefault="00BD2F5D" w:rsidP="00BD2F5D">
            <w:pPr>
              <w:jc w:val="both"/>
              <w:rPr>
                <w:sz w:val="20"/>
              </w:rPr>
            </w:pPr>
            <w:r w:rsidRPr="00D0317D">
              <w:rPr>
                <w:sz w:val="20"/>
              </w:rPr>
              <w:t>May 7, 2015</w:t>
            </w:r>
          </w:p>
          <w:p w:rsidR="00BD2F5D" w:rsidRPr="00D0317D" w:rsidRDefault="00BD2F5D" w:rsidP="00BD2F5D">
            <w:pPr>
              <w:jc w:val="both"/>
              <w:rPr>
                <w:sz w:val="20"/>
              </w:rPr>
            </w:pPr>
            <w:r w:rsidRPr="00D0317D">
              <w:rPr>
                <w:sz w:val="20"/>
              </w:rPr>
              <w:t>Federal Court</w:t>
            </w:r>
          </w:p>
          <w:p w:rsidR="00BD2F5D" w:rsidRPr="00D0317D" w:rsidRDefault="00BD2F5D" w:rsidP="00BD2F5D">
            <w:pPr>
              <w:jc w:val="both"/>
              <w:rPr>
                <w:sz w:val="20"/>
              </w:rPr>
            </w:pPr>
            <w:r w:rsidRPr="00D0317D">
              <w:rPr>
                <w:sz w:val="20"/>
              </w:rPr>
              <w:t>(Phelan J.)</w:t>
            </w:r>
          </w:p>
        </w:tc>
        <w:tc>
          <w:tcPr>
            <w:tcW w:w="243" w:type="pct"/>
          </w:tcPr>
          <w:p w:rsidR="00BD2F5D" w:rsidRPr="00D0317D" w:rsidRDefault="00BD2F5D" w:rsidP="00BD2F5D">
            <w:pPr>
              <w:jc w:val="both"/>
              <w:rPr>
                <w:sz w:val="20"/>
              </w:rPr>
            </w:pPr>
          </w:p>
        </w:tc>
        <w:tc>
          <w:tcPr>
            <w:tcW w:w="2330" w:type="pct"/>
          </w:tcPr>
          <w:p w:rsidR="00BD2F5D" w:rsidRPr="00D0317D" w:rsidRDefault="00BD2F5D" w:rsidP="00BD2F5D">
            <w:pPr>
              <w:jc w:val="both"/>
              <w:rPr>
                <w:sz w:val="20"/>
              </w:rPr>
            </w:pPr>
            <w:r w:rsidRPr="00D0317D">
              <w:rPr>
                <w:sz w:val="20"/>
              </w:rPr>
              <w:t xml:space="preserve">Motion for interim constitutional exemptions from provisions of </w:t>
            </w:r>
            <w:r w:rsidRPr="00D0317D">
              <w:rPr>
                <w:i/>
                <w:sz w:val="20"/>
              </w:rPr>
              <w:t>Controlled Drugs and Substances Act</w:t>
            </w:r>
            <w:r w:rsidRPr="00D0317D">
              <w:rPr>
                <w:sz w:val="20"/>
              </w:rPr>
              <w:t xml:space="preserve"> dismissed</w:t>
            </w:r>
          </w:p>
          <w:p w:rsidR="00BD2F5D" w:rsidRPr="00D0317D" w:rsidRDefault="00BD2F5D" w:rsidP="00BD2F5D">
            <w:pPr>
              <w:jc w:val="both"/>
              <w:rPr>
                <w:sz w:val="20"/>
              </w:rPr>
            </w:pPr>
          </w:p>
        </w:tc>
      </w:tr>
      <w:tr w:rsidR="00BD2F5D" w:rsidRPr="00D0317D" w:rsidTr="00E95A6A">
        <w:tc>
          <w:tcPr>
            <w:tcW w:w="2427" w:type="pct"/>
            <w:gridSpan w:val="2"/>
          </w:tcPr>
          <w:p w:rsidR="00BD2F5D" w:rsidRPr="00D0317D" w:rsidRDefault="00BD2F5D" w:rsidP="00BD2F5D">
            <w:pPr>
              <w:jc w:val="both"/>
              <w:rPr>
                <w:sz w:val="20"/>
              </w:rPr>
            </w:pPr>
            <w:r w:rsidRPr="00D0317D">
              <w:rPr>
                <w:sz w:val="20"/>
              </w:rPr>
              <w:t>January 13, 2016</w:t>
            </w:r>
          </w:p>
          <w:p w:rsidR="00BD2F5D" w:rsidRPr="00D0317D" w:rsidRDefault="00BD2F5D" w:rsidP="00BD2F5D">
            <w:pPr>
              <w:jc w:val="both"/>
              <w:rPr>
                <w:sz w:val="20"/>
              </w:rPr>
            </w:pPr>
            <w:r w:rsidRPr="00D0317D">
              <w:rPr>
                <w:sz w:val="20"/>
              </w:rPr>
              <w:t>Federal Court of Appeal</w:t>
            </w:r>
          </w:p>
          <w:p w:rsidR="00BD2F5D" w:rsidRPr="00D0317D" w:rsidRDefault="00BD2F5D" w:rsidP="00BD2F5D">
            <w:pPr>
              <w:jc w:val="both"/>
              <w:rPr>
                <w:sz w:val="20"/>
              </w:rPr>
            </w:pPr>
            <w:r w:rsidRPr="00D0317D">
              <w:rPr>
                <w:sz w:val="20"/>
              </w:rPr>
              <w:t xml:space="preserve">(Pelletier, </w:t>
            </w:r>
            <w:proofErr w:type="spellStart"/>
            <w:r w:rsidRPr="00D0317D">
              <w:rPr>
                <w:sz w:val="20"/>
              </w:rPr>
              <w:t>Stratas</w:t>
            </w:r>
            <w:proofErr w:type="spellEnd"/>
            <w:r w:rsidRPr="00D0317D">
              <w:rPr>
                <w:sz w:val="20"/>
              </w:rPr>
              <w:t xml:space="preserve"> and Gleason JJ.A.)</w:t>
            </w:r>
          </w:p>
          <w:p w:rsidR="00BD2F5D" w:rsidRPr="00D0317D" w:rsidRDefault="00985225" w:rsidP="00BD2F5D">
            <w:pPr>
              <w:jc w:val="both"/>
              <w:rPr>
                <w:sz w:val="20"/>
                <w:lang w:eastAsia="en-CA"/>
              </w:rPr>
            </w:pPr>
            <w:hyperlink r:id="rId23" w:history="1">
              <w:r w:rsidR="00BD2F5D" w:rsidRPr="00D0317D">
                <w:rPr>
                  <w:color w:val="0000FF" w:themeColor="hyperlink"/>
                  <w:sz w:val="20"/>
                  <w:u w:val="single"/>
                  <w:lang w:eastAsia="en-CA"/>
                </w:rPr>
                <w:t>2016 FCA 9</w:t>
              </w:r>
            </w:hyperlink>
          </w:p>
          <w:p w:rsidR="00BD2F5D" w:rsidRPr="00D0317D" w:rsidRDefault="00BD2F5D" w:rsidP="00BD2F5D">
            <w:pPr>
              <w:jc w:val="both"/>
              <w:rPr>
                <w:sz w:val="20"/>
              </w:rPr>
            </w:pPr>
          </w:p>
        </w:tc>
        <w:tc>
          <w:tcPr>
            <w:tcW w:w="243" w:type="pct"/>
          </w:tcPr>
          <w:p w:rsidR="00BD2F5D" w:rsidRPr="00D0317D" w:rsidRDefault="00BD2F5D" w:rsidP="00BD2F5D">
            <w:pPr>
              <w:jc w:val="both"/>
              <w:rPr>
                <w:sz w:val="20"/>
              </w:rPr>
            </w:pPr>
          </w:p>
        </w:tc>
        <w:tc>
          <w:tcPr>
            <w:tcW w:w="2330" w:type="pct"/>
          </w:tcPr>
          <w:p w:rsidR="00BD2F5D" w:rsidRPr="00D0317D" w:rsidRDefault="00BD2F5D" w:rsidP="00BD2F5D">
            <w:pPr>
              <w:jc w:val="both"/>
              <w:rPr>
                <w:sz w:val="20"/>
              </w:rPr>
            </w:pPr>
            <w:r w:rsidRPr="00D0317D">
              <w:rPr>
                <w:sz w:val="20"/>
              </w:rPr>
              <w:t>Appeal dismissed</w:t>
            </w:r>
          </w:p>
          <w:p w:rsidR="00BD2F5D" w:rsidRPr="00D0317D" w:rsidRDefault="00BD2F5D" w:rsidP="00BD2F5D">
            <w:pPr>
              <w:jc w:val="both"/>
              <w:rPr>
                <w:sz w:val="20"/>
              </w:rPr>
            </w:pPr>
          </w:p>
        </w:tc>
      </w:tr>
      <w:tr w:rsidR="00BD2F5D" w:rsidRPr="00D0317D" w:rsidTr="00E95A6A">
        <w:tc>
          <w:tcPr>
            <w:tcW w:w="2427" w:type="pct"/>
            <w:gridSpan w:val="2"/>
          </w:tcPr>
          <w:p w:rsidR="00BD2F5D" w:rsidRPr="00D0317D" w:rsidRDefault="00BD2F5D" w:rsidP="00BD2F5D">
            <w:pPr>
              <w:jc w:val="both"/>
              <w:rPr>
                <w:sz w:val="20"/>
              </w:rPr>
            </w:pPr>
            <w:r w:rsidRPr="00D0317D">
              <w:rPr>
                <w:sz w:val="20"/>
              </w:rPr>
              <w:t>March 14, 2016</w:t>
            </w:r>
          </w:p>
          <w:p w:rsidR="00BD2F5D" w:rsidRPr="00D0317D" w:rsidRDefault="00BD2F5D" w:rsidP="00BD2F5D">
            <w:pPr>
              <w:jc w:val="both"/>
              <w:rPr>
                <w:sz w:val="20"/>
              </w:rPr>
            </w:pPr>
            <w:r w:rsidRPr="00D0317D">
              <w:rPr>
                <w:sz w:val="20"/>
              </w:rPr>
              <w:t>Supreme Court of Canada</w:t>
            </w:r>
          </w:p>
        </w:tc>
        <w:tc>
          <w:tcPr>
            <w:tcW w:w="243" w:type="pct"/>
          </w:tcPr>
          <w:p w:rsidR="00BD2F5D" w:rsidRPr="00D0317D" w:rsidRDefault="00BD2F5D" w:rsidP="00BD2F5D">
            <w:pPr>
              <w:jc w:val="both"/>
              <w:rPr>
                <w:sz w:val="20"/>
              </w:rPr>
            </w:pPr>
          </w:p>
        </w:tc>
        <w:tc>
          <w:tcPr>
            <w:tcW w:w="2330" w:type="pct"/>
          </w:tcPr>
          <w:p w:rsidR="00BD2F5D" w:rsidRPr="00D0317D" w:rsidRDefault="00BD2F5D" w:rsidP="00BD2F5D">
            <w:pPr>
              <w:jc w:val="both"/>
              <w:rPr>
                <w:sz w:val="20"/>
              </w:rPr>
            </w:pPr>
            <w:r w:rsidRPr="00D0317D">
              <w:rPr>
                <w:sz w:val="20"/>
              </w:rPr>
              <w:t>Application for an extension of time to serve and file application for leave to appeal and application for leave to appeal filed</w:t>
            </w:r>
          </w:p>
        </w:tc>
      </w:tr>
    </w:tbl>
    <w:p w:rsidR="00BD2F5D" w:rsidRPr="00D0317D" w:rsidRDefault="00BD2F5D" w:rsidP="00BD2F5D">
      <w:pPr>
        <w:jc w:val="both"/>
        <w:rPr>
          <w:sz w:val="20"/>
        </w:rPr>
      </w:pPr>
    </w:p>
    <w:p w:rsidR="00BD2F5D" w:rsidRPr="00D0317D" w:rsidRDefault="00BD2F5D" w:rsidP="00BD2F5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2F5D" w:rsidRPr="00D0317D" w:rsidTr="00E95A6A">
        <w:tc>
          <w:tcPr>
            <w:tcW w:w="543" w:type="pct"/>
          </w:tcPr>
          <w:p w:rsidR="00BD2F5D" w:rsidRPr="00D0317D" w:rsidRDefault="00BD2F5D" w:rsidP="00BD2F5D">
            <w:pPr>
              <w:jc w:val="both"/>
              <w:rPr>
                <w:sz w:val="20"/>
                <w:lang w:val="fr-CA"/>
              </w:rPr>
            </w:pPr>
            <w:r w:rsidRPr="00D0317D">
              <w:rPr>
                <w:rStyle w:val="SCCFileNumberChar"/>
                <w:sz w:val="20"/>
                <w:szCs w:val="20"/>
                <w:lang w:val="fr-CA"/>
              </w:rPr>
              <w:t>37056</w:t>
            </w:r>
          </w:p>
        </w:tc>
        <w:tc>
          <w:tcPr>
            <w:tcW w:w="4457" w:type="pct"/>
            <w:gridSpan w:val="3"/>
          </w:tcPr>
          <w:p w:rsidR="00BD2F5D" w:rsidRPr="00D0317D" w:rsidRDefault="00BD2F5D" w:rsidP="00BD2F5D">
            <w:pPr>
              <w:pStyle w:val="SCCLsocParty"/>
              <w:jc w:val="both"/>
              <w:rPr>
                <w:b/>
                <w:sz w:val="20"/>
                <w:szCs w:val="20"/>
              </w:rPr>
            </w:pPr>
            <w:r w:rsidRPr="00D0317D">
              <w:rPr>
                <w:b/>
                <w:sz w:val="20"/>
                <w:szCs w:val="20"/>
              </w:rPr>
              <w:t>Jessica Leblanc c. Sa Majesté la Reine</w:t>
            </w:r>
          </w:p>
          <w:p w:rsidR="00BD2F5D" w:rsidRPr="00D0317D" w:rsidRDefault="00BD2F5D" w:rsidP="00BD2F5D">
            <w:pPr>
              <w:jc w:val="both"/>
              <w:rPr>
                <w:sz w:val="20"/>
                <w:lang w:val="fr-CA"/>
              </w:rPr>
            </w:pPr>
            <w:r w:rsidRPr="00D0317D">
              <w:rPr>
                <w:sz w:val="20"/>
                <w:lang w:val="fr-CA"/>
              </w:rPr>
              <w:t>(CF) (Civile) (Sur autorisation)</w:t>
            </w:r>
          </w:p>
        </w:tc>
      </w:tr>
      <w:tr w:rsidR="00BD2F5D" w:rsidRPr="005165BD" w:rsidTr="00E95A6A">
        <w:tc>
          <w:tcPr>
            <w:tcW w:w="5000" w:type="pct"/>
            <w:gridSpan w:val="4"/>
          </w:tcPr>
          <w:p w:rsidR="00BD2F5D" w:rsidRPr="00D0317D" w:rsidRDefault="00BD2F5D" w:rsidP="00BD2F5D">
            <w:pPr>
              <w:jc w:val="both"/>
              <w:rPr>
                <w:sz w:val="20"/>
                <w:lang w:val="fr-CA"/>
              </w:rPr>
            </w:pPr>
            <w:r w:rsidRPr="00D0317D">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D0317D">
              <w:rPr>
                <w:i/>
                <w:sz w:val="20"/>
                <w:lang w:val="fr-CA"/>
              </w:rPr>
              <w:t>Loi réglementant certaines drogues et autres substances</w:t>
            </w:r>
            <w:r w:rsidRPr="00D0317D">
              <w:rPr>
                <w:sz w:val="20"/>
                <w:lang w:val="fr-CA"/>
              </w:rPr>
              <w:t>, L.C., 1996, ch. 19.</w:t>
            </w:r>
          </w:p>
        </w:tc>
      </w:tr>
      <w:tr w:rsidR="00BD2F5D" w:rsidRPr="005165BD" w:rsidTr="00E95A6A">
        <w:tc>
          <w:tcPr>
            <w:tcW w:w="5000" w:type="pct"/>
            <w:gridSpan w:val="4"/>
          </w:tcPr>
          <w:p w:rsidR="00BD2F5D" w:rsidRPr="00D0317D" w:rsidRDefault="00BD2F5D" w:rsidP="00BD2F5D">
            <w:pPr>
              <w:jc w:val="both"/>
              <w:rPr>
                <w:sz w:val="20"/>
                <w:lang w:val="fr-CA"/>
              </w:rPr>
            </w:pPr>
          </w:p>
        </w:tc>
      </w:tr>
      <w:tr w:rsidR="00BD2F5D" w:rsidRPr="005165BD" w:rsidTr="00E95A6A">
        <w:tc>
          <w:tcPr>
            <w:tcW w:w="5000" w:type="pct"/>
            <w:gridSpan w:val="4"/>
          </w:tcPr>
          <w:p w:rsidR="00BD2F5D" w:rsidRPr="00D0317D" w:rsidRDefault="00BD2F5D" w:rsidP="00BD2F5D">
            <w:pPr>
              <w:jc w:val="both"/>
              <w:rPr>
                <w:sz w:val="20"/>
                <w:lang w:val="fr-CA"/>
              </w:rPr>
            </w:pPr>
            <w:r w:rsidRPr="00D0317D">
              <w:rPr>
                <w:sz w:val="20"/>
                <w:lang w:val="fr-CA"/>
              </w:rPr>
              <w:t xml:space="preserve">Depuis février 2014, environ 300 plaideurs non représentés, y compris le demandeur, ont déposé des demandes identiques sollicitant des jugements qui déclarent inconstitutionnels le </w:t>
            </w:r>
            <w:r w:rsidRPr="00D0317D">
              <w:rPr>
                <w:i/>
                <w:sz w:val="20"/>
                <w:lang w:val="fr-CA"/>
              </w:rPr>
              <w:t>Règlement sur l’accès à la marihuana à des fins médicales (« RAMFM »)</w:t>
            </w:r>
            <w:r w:rsidRPr="00D0317D">
              <w:rPr>
                <w:sz w:val="20"/>
                <w:lang w:val="fr-CA"/>
              </w:rPr>
              <w:t xml:space="preserve">, D.O.R.S./2001-227, abrogé le 31 mars 2014 et le </w:t>
            </w:r>
            <w:r w:rsidRPr="00D0317D">
              <w:rPr>
                <w:i/>
                <w:sz w:val="20"/>
                <w:lang w:val="fr-CA"/>
              </w:rPr>
              <w:t>Règlement sur la marihuana à des fins médicales</w:t>
            </w:r>
            <w:r w:rsidRPr="00D0317D">
              <w:rPr>
                <w:sz w:val="20"/>
                <w:lang w:val="fr-CA"/>
              </w:rPr>
              <w:t xml:space="preserve">, D.O.R.S./2013-119, qui a remplacé le </w:t>
            </w:r>
            <w:r w:rsidRPr="00D0317D">
              <w:rPr>
                <w:i/>
                <w:sz w:val="20"/>
                <w:lang w:val="fr-CA"/>
              </w:rPr>
              <w:t>RAMFM</w:t>
            </w:r>
            <w:r w:rsidRPr="00D0317D">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D0317D">
              <w:rPr>
                <w:i/>
                <w:sz w:val="20"/>
                <w:lang w:val="fr-CA"/>
              </w:rPr>
              <w:t xml:space="preserve">Loi réglementant certaines drogues et autres substances </w:t>
            </w:r>
            <w:r w:rsidRPr="00D0317D">
              <w:rPr>
                <w:sz w:val="20"/>
                <w:lang w:val="fr-CA"/>
              </w:rPr>
              <w:t>(« </w:t>
            </w:r>
            <w:r w:rsidRPr="00D0317D">
              <w:rPr>
                <w:i/>
                <w:sz w:val="20"/>
                <w:lang w:val="fr-CA"/>
              </w:rPr>
              <w:t>LRCDAS »)</w:t>
            </w:r>
            <w:r w:rsidRPr="00D0317D">
              <w:rPr>
                <w:sz w:val="20"/>
                <w:lang w:val="fr-CA"/>
              </w:rPr>
              <w:t xml:space="preserve"> pour l’utilisation personnelle de la marihuana en attendant que leurs actions soient instruites.</w:t>
            </w:r>
          </w:p>
        </w:tc>
      </w:tr>
      <w:tr w:rsidR="00BD2F5D" w:rsidRPr="005165BD" w:rsidTr="00E95A6A">
        <w:tc>
          <w:tcPr>
            <w:tcW w:w="5000" w:type="pct"/>
            <w:gridSpan w:val="4"/>
          </w:tcPr>
          <w:p w:rsidR="00BD2F5D" w:rsidRPr="00D0317D" w:rsidRDefault="00BD2F5D" w:rsidP="00BD2F5D">
            <w:pPr>
              <w:jc w:val="both"/>
              <w:rPr>
                <w:sz w:val="20"/>
                <w:lang w:val="fr-CA"/>
              </w:rPr>
            </w:pPr>
          </w:p>
        </w:tc>
      </w:tr>
      <w:tr w:rsidR="00BD2F5D" w:rsidRPr="005165BD" w:rsidTr="00E95A6A">
        <w:tc>
          <w:tcPr>
            <w:tcW w:w="2427" w:type="pct"/>
            <w:gridSpan w:val="2"/>
          </w:tcPr>
          <w:p w:rsidR="00BD2F5D" w:rsidRPr="00D0317D" w:rsidRDefault="00BD2F5D" w:rsidP="00BD2F5D">
            <w:pPr>
              <w:jc w:val="both"/>
              <w:rPr>
                <w:sz w:val="20"/>
                <w:lang w:val="fr-CA"/>
              </w:rPr>
            </w:pPr>
            <w:r w:rsidRPr="00D0317D">
              <w:rPr>
                <w:sz w:val="20"/>
                <w:lang w:val="fr-CA"/>
              </w:rPr>
              <w:t>7 mai 2015</w:t>
            </w:r>
          </w:p>
          <w:p w:rsidR="00BD2F5D" w:rsidRPr="00D0317D" w:rsidRDefault="00BD2F5D" w:rsidP="00BD2F5D">
            <w:pPr>
              <w:jc w:val="both"/>
              <w:rPr>
                <w:sz w:val="20"/>
                <w:lang w:val="fr-CA"/>
              </w:rPr>
            </w:pPr>
            <w:r w:rsidRPr="00D0317D">
              <w:rPr>
                <w:sz w:val="20"/>
                <w:lang w:val="fr-CA"/>
              </w:rPr>
              <w:t xml:space="preserve">Cour fédérale </w:t>
            </w:r>
          </w:p>
          <w:p w:rsidR="00BD2F5D" w:rsidRPr="00D0317D" w:rsidRDefault="00BD2F5D" w:rsidP="00BD2F5D">
            <w:pPr>
              <w:jc w:val="both"/>
              <w:rPr>
                <w:sz w:val="20"/>
                <w:lang w:val="fr-CA"/>
              </w:rPr>
            </w:pPr>
            <w:r w:rsidRPr="00D0317D">
              <w:rPr>
                <w:sz w:val="20"/>
                <w:lang w:val="fr-CA"/>
              </w:rPr>
              <w:t>(Juge Phelan)</w:t>
            </w:r>
          </w:p>
        </w:tc>
        <w:tc>
          <w:tcPr>
            <w:tcW w:w="243" w:type="pct"/>
          </w:tcPr>
          <w:p w:rsidR="00BD2F5D" w:rsidRPr="00D0317D" w:rsidRDefault="00BD2F5D" w:rsidP="00BD2F5D">
            <w:pPr>
              <w:jc w:val="both"/>
              <w:rPr>
                <w:sz w:val="20"/>
                <w:lang w:val="fr-CA"/>
              </w:rPr>
            </w:pPr>
          </w:p>
        </w:tc>
        <w:tc>
          <w:tcPr>
            <w:tcW w:w="2330" w:type="pct"/>
          </w:tcPr>
          <w:p w:rsidR="00BD2F5D" w:rsidRPr="00D0317D" w:rsidRDefault="00BD2F5D" w:rsidP="00BD2F5D">
            <w:pPr>
              <w:jc w:val="both"/>
              <w:rPr>
                <w:sz w:val="20"/>
                <w:lang w:val="fr-CA"/>
              </w:rPr>
            </w:pPr>
            <w:r w:rsidRPr="00D0317D">
              <w:rPr>
                <w:sz w:val="20"/>
                <w:lang w:val="fr-CA"/>
              </w:rPr>
              <w:t xml:space="preserve">Rejet de la requête en exemption constitutionnelle visant à écarter temporairement l’application de la </w:t>
            </w:r>
            <w:r w:rsidRPr="00D0317D">
              <w:rPr>
                <w:i/>
                <w:sz w:val="20"/>
                <w:lang w:val="fr-CA"/>
              </w:rPr>
              <w:t>Loi réglementant certaines drogues et autres substances</w:t>
            </w:r>
          </w:p>
          <w:p w:rsidR="00BD2F5D" w:rsidRPr="00D0317D" w:rsidRDefault="00BD2F5D" w:rsidP="00BD2F5D">
            <w:pPr>
              <w:jc w:val="both"/>
              <w:rPr>
                <w:sz w:val="20"/>
                <w:lang w:val="fr-CA"/>
              </w:rPr>
            </w:pPr>
          </w:p>
        </w:tc>
      </w:tr>
      <w:tr w:rsidR="00BD2F5D" w:rsidRPr="00D0317D" w:rsidTr="00E95A6A">
        <w:tc>
          <w:tcPr>
            <w:tcW w:w="2427" w:type="pct"/>
            <w:gridSpan w:val="2"/>
          </w:tcPr>
          <w:p w:rsidR="00BD2F5D" w:rsidRPr="00D0317D" w:rsidRDefault="00BD2F5D" w:rsidP="00BD2F5D">
            <w:pPr>
              <w:jc w:val="both"/>
              <w:rPr>
                <w:sz w:val="20"/>
                <w:lang w:val="fr-CA"/>
              </w:rPr>
            </w:pPr>
            <w:r w:rsidRPr="00D0317D">
              <w:rPr>
                <w:sz w:val="20"/>
                <w:lang w:val="fr-CA"/>
              </w:rPr>
              <w:t>13 janvier 2016</w:t>
            </w:r>
          </w:p>
          <w:p w:rsidR="00BD2F5D" w:rsidRPr="00D0317D" w:rsidRDefault="00BD2F5D" w:rsidP="00BD2F5D">
            <w:pPr>
              <w:jc w:val="both"/>
              <w:rPr>
                <w:sz w:val="20"/>
                <w:lang w:val="fr-CA"/>
              </w:rPr>
            </w:pPr>
            <w:r w:rsidRPr="00D0317D">
              <w:rPr>
                <w:sz w:val="20"/>
                <w:lang w:val="fr-CA"/>
              </w:rPr>
              <w:t xml:space="preserve">Cour d’appel fédérale </w:t>
            </w:r>
          </w:p>
          <w:p w:rsidR="00BD2F5D" w:rsidRPr="00D0317D" w:rsidRDefault="00BD2F5D" w:rsidP="00BD2F5D">
            <w:pPr>
              <w:jc w:val="both"/>
              <w:rPr>
                <w:sz w:val="20"/>
                <w:lang w:val="fr-CA" w:eastAsia="en-CA"/>
              </w:rPr>
            </w:pPr>
            <w:r w:rsidRPr="00D0317D">
              <w:rPr>
                <w:sz w:val="20"/>
                <w:lang w:val="fr-CA" w:eastAsia="en-CA"/>
              </w:rPr>
              <w:t>(Juges Pelletier, Stratas et Gleason)</w:t>
            </w:r>
          </w:p>
          <w:p w:rsidR="00BD2F5D" w:rsidRPr="00D0317D" w:rsidRDefault="00985225" w:rsidP="00BD2F5D">
            <w:pPr>
              <w:jc w:val="both"/>
              <w:rPr>
                <w:sz w:val="20"/>
                <w:lang w:val="fr-CA" w:eastAsia="en-CA"/>
              </w:rPr>
            </w:pPr>
            <w:hyperlink r:id="rId24" w:history="1">
              <w:r w:rsidR="00BD2F5D" w:rsidRPr="00D0317D">
                <w:rPr>
                  <w:color w:val="0000FF" w:themeColor="hyperlink"/>
                  <w:sz w:val="20"/>
                  <w:u w:val="single"/>
                  <w:lang w:val="fr-CA" w:eastAsia="en-CA"/>
                </w:rPr>
                <w:t>2016 FCA 9</w:t>
              </w:r>
            </w:hyperlink>
          </w:p>
          <w:p w:rsidR="00BD2F5D" w:rsidRPr="00D0317D" w:rsidRDefault="00BD2F5D" w:rsidP="00BD2F5D">
            <w:pPr>
              <w:jc w:val="both"/>
              <w:rPr>
                <w:sz w:val="20"/>
                <w:lang w:val="fr-CA"/>
              </w:rPr>
            </w:pPr>
          </w:p>
        </w:tc>
        <w:tc>
          <w:tcPr>
            <w:tcW w:w="243" w:type="pct"/>
          </w:tcPr>
          <w:p w:rsidR="00BD2F5D" w:rsidRPr="00D0317D" w:rsidRDefault="00BD2F5D" w:rsidP="00BD2F5D">
            <w:pPr>
              <w:jc w:val="both"/>
              <w:rPr>
                <w:sz w:val="20"/>
                <w:lang w:val="fr-CA"/>
              </w:rPr>
            </w:pPr>
          </w:p>
        </w:tc>
        <w:tc>
          <w:tcPr>
            <w:tcW w:w="2330" w:type="pct"/>
          </w:tcPr>
          <w:p w:rsidR="00BD2F5D" w:rsidRPr="00D0317D" w:rsidRDefault="00BD2F5D" w:rsidP="00BD2F5D">
            <w:pPr>
              <w:jc w:val="both"/>
              <w:rPr>
                <w:sz w:val="20"/>
                <w:lang w:val="fr-CA"/>
              </w:rPr>
            </w:pPr>
            <w:r w:rsidRPr="00D0317D">
              <w:rPr>
                <w:sz w:val="20"/>
                <w:lang w:val="fr-CA"/>
              </w:rPr>
              <w:t>Rejet de l’appel</w:t>
            </w:r>
          </w:p>
        </w:tc>
      </w:tr>
      <w:tr w:rsidR="00BD2F5D" w:rsidRPr="005165BD" w:rsidTr="00E95A6A">
        <w:tc>
          <w:tcPr>
            <w:tcW w:w="2427" w:type="pct"/>
            <w:gridSpan w:val="2"/>
          </w:tcPr>
          <w:p w:rsidR="00BD2F5D" w:rsidRPr="00D0317D" w:rsidRDefault="00BD2F5D" w:rsidP="00BD2F5D">
            <w:pPr>
              <w:jc w:val="both"/>
              <w:rPr>
                <w:sz w:val="20"/>
                <w:lang w:val="fr-CA"/>
              </w:rPr>
            </w:pPr>
            <w:r w:rsidRPr="00D0317D">
              <w:rPr>
                <w:sz w:val="20"/>
                <w:lang w:val="fr-CA"/>
              </w:rPr>
              <w:t>14 mars 2016</w:t>
            </w:r>
          </w:p>
          <w:p w:rsidR="00BD2F5D" w:rsidRPr="00D0317D" w:rsidRDefault="00BD2F5D" w:rsidP="00BD2F5D">
            <w:pPr>
              <w:jc w:val="both"/>
              <w:rPr>
                <w:sz w:val="20"/>
                <w:lang w:val="fr-CA"/>
              </w:rPr>
            </w:pPr>
            <w:r w:rsidRPr="00D0317D">
              <w:rPr>
                <w:sz w:val="20"/>
                <w:lang w:val="fr-CA"/>
              </w:rPr>
              <w:t>Cour suprême du Canada</w:t>
            </w:r>
          </w:p>
          <w:p w:rsidR="00BD2F5D" w:rsidRPr="00D0317D" w:rsidRDefault="00BD2F5D" w:rsidP="00BD2F5D">
            <w:pPr>
              <w:jc w:val="both"/>
              <w:rPr>
                <w:sz w:val="20"/>
                <w:lang w:val="fr-CA"/>
              </w:rPr>
            </w:pPr>
          </w:p>
        </w:tc>
        <w:tc>
          <w:tcPr>
            <w:tcW w:w="243" w:type="pct"/>
          </w:tcPr>
          <w:p w:rsidR="00BD2F5D" w:rsidRPr="00D0317D" w:rsidRDefault="00BD2F5D" w:rsidP="00BD2F5D">
            <w:pPr>
              <w:jc w:val="both"/>
              <w:rPr>
                <w:sz w:val="20"/>
                <w:lang w:val="fr-CA"/>
              </w:rPr>
            </w:pPr>
          </w:p>
        </w:tc>
        <w:tc>
          <w:tcPr>
            <w:tcW w:w="2330" w:type="pct"/>
          </w:tcPr>
          <w:p w:rsidR="00BD2F5D" w:rsidRPr="00D0317D" w:rsidRDefault="00BD2F5D" w:rsidP="00BD2F5D">
            <w:pPr>
              <w:jc w:val="both"/>
              <w:rPr>
                <w:sz w:val="20"/>
                <w:lang w:val="fr-CA"/>
              </w:rPr>
            </w:pPr>
            <w:r w:rsidRPr="00D0317D">
              <w:rPr>
                <w:sz w:val="20"/>
                <w:lang w:val="fr-CA"/>
              </w:rPr>
              <w:t>Dépôt de la requête en prorogation du délai de signification et de dépôt de la demande d’autorisation d’appel et de la demande d’autorisation d’appel</w:t>
            </w:r>
          </w:p>
        </w:tc>
      </w:tr>
    </w:tbl>
    <w:p w:rsidR="00BD2F5D" w:rsidRPr="00D0317D" w:rsidRDefault="00BD2F5D" w:rsidP="00BD2F5D">
      <w:pPr>
        <w:jc w:val="both"/>
        <w:rPr>
          <w:sz w:val="20"/>
          <w:lang w:val="fr-CA"/>
        </w:rPr>
      </w:pPr>
    </w:p>
    <w:p w:rsidR="003978D8" w:rsidRPr="00D0317D" w:rsidRDefault="003978D8" w:rsidP="00132154">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2154" w:rsidRPr="00D0317D" w:rsidTr="00E95A6A">
        <w:tc>
          <w:tcPr>
            <w:tcW w:w="543" w:type="pct"/>
          </w:tcPr>
          <w:p w:rsidR="00132154" w:rsidRPr="00D0317D" w:rsidRDefault="00132154" w:rsidP="00132154">
            <w:pPr>
              <w:jc w:val="both"/>
              <w:rPr>
                <w:sz w:val="20"/>
              </w:rPr>
            </w:pPr>
            <w:r w:rsidRPr="00D0317D">
              <w:rPr>
                <w:rStyle w:val="SCCFileNumberChar"/>
                <w:sz w:val="20"/>
                <w:szCs w:val="20"/>
              </w:rPr>
              <w:t>37057</w:t>
            </w:r>
          </w:p>
        </w:tc>
        <w:tc>
          <w:tcPr>
            <w:tcW w:w="4457" w:type="pct"/>
            <w:gridSpan w:val="3"/>
          </w:tcPr>
          <w:p w:rsidR="00132154" w:rsidRPr="000870AB" w:rsidRDefault="00132154" w:rsidP="00132154">
            <w:pPr>
              <w:pStyle w:val="SCCLsocParty"/>
              <w:jc w:val="both"/>
              <w:rPr>
                <w:b/>
                <w:sz w:val="20"/>
                <w:szCs w:val="20"/>
                <w:lang w:val="en-US"/>
              </w:rPr>
            </w:pPr>
            <w:r w:rsidRPr="000870AB">
              <w:rPr>
                <w:b/>
                <w:sz w:val="20"/>
                <w:szCs w:val="20"/>
                <w:lang w:val="en-US"/>
              </w:rPr>
              <w:t>Luc Leblanc v. Her Majesty the Queen</w:t>
            </w:r>
          </w:p>
          <w:p w:rsidR="00132154" w:rsidRPr="00D0317D" w:rsidRDefault="00132154" w:rsidP="00132154">
            <w:pPr>
              <w:jc w:val="both"/>
              <w:rPr>
                <w:sz w:val="20"/>
              </w:rPr>
            </w:pPr>
            <w:r w:rsidRPr="00D0317D">
              <w:rPr>
                <w:sz w:val="20"/>
              </w:rPr>
              <w:t>(FC) (Civil) (By Leave)</w:t>
            </w:r>
          </w:p>
        </w:tc>
      </w:tr>
      <w:tr w:rsidR="00132154" w:rsidRPr="00D0317D" w:rsidTr="00E95A6A">
        <w:tc>
          <w:tcPr>
            <w:tcW w:w="5000" w:type="pct"/>
            <w:gridSpan w:val="4"/>
          </w:tcPr>
          <w:p w:rsidR="00132154" w:rsidRPr="00D0317D" w:rsidRDefault="00132154" w:rsidP="00132154">
            <w:pPr>
              <w:jc w:val="both"/>
              <w:rPr>
                <w:sz w:val="20"/>
              </w:rPr>
            </w:pPr>
            <w:r w:rsidRPr="00D0317D">
              <w:rPr>
                <w:sz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D0317D">
              <w:rPr>
                <w:i/>
                <w:sz w:val="20"/>
              </w:rPr>
              <w:t>Controlled Drugs and Substances Act</w:t>
            </w:r>
            <w:r w:rsidRPr="00D0317D">
              <w:rPr>
                <w:sz w:val="20"/>
              </w:rPr>
              <w:t>, S.C. 1996, c. 19.</w:t>
            </w:r>
          </w:p>
        </w:tc>
      </w:tr>
      <w:tr w:rsidR="00132154" w:rsidRPr="00D0317D" w:rsidTr="00E95A6A">
        <w:tc>
          <w:tcPr>
            <w:tcW w:w="5000" w:type="pct"/>
            <w:gridSpan w:val="4"/>
          </w:tcPr>
          <w:p w:rsidR="00132154" w:rsidRPr="00D0317D" w:rsidRDefault="00132154" w:rsidP="00132154">
            <w:pPr>
              <w:jc w:val="both"/>
              <w:rPr>
                <w:sz w:val="20"/>
              </w:rPr>
            </w:pPr>
          </w:p>
        </w:tc>
      </w:tr>
      <w:tr w:rsidR="00132154" w:rsidRPr="00D0317D" w:rsidTr="00E95A6A">
        <w:tc>
          <w:tcPr>
            <w:tcW w:w="5000" w:type="pct"/>
            <w:gridSpan w:val="4"/>
          </w:tcPr>
          <w:p w:rsidR="00132154" w:rsidRPr="00D0317D" w:rsidRDefault="00132154" w:rsidP="00132154">
            <w:pPr>
              <w:jc w:val="both"/>
              <w:rPr>
                <w:sz w:val="20"/>
              </w:rPr>
            </w:pPr>
            <w:r w:rsidRPr="00D0317D">
              <w:rPr>
                <w:sz w:val="20"/>
              </w:rPr>
              <w:t xml:space="preserve">Since February 2014, approximately 300 self-represented plaintiffs, including the applicant, have filed identical claims seeking declarations that the </w:t>
            </w:r>
            <w:r w:rsidRPr="00D0317D">
              <w:rPr>
                <w:i/>
                <w:sz w:val="20"/>
              </w:rPr>
              <w:t>Marijuana Medical Access Regulations (“MMAR”)</w:t>
            </w:r>
            <w:r w:rsidRPr="00D0317D">
              <w:rPr>
                <w:sz w:val="20"/>
              </w:rPr>
              <w:t>, S.O.R./2001-227, which were repealed on March 31, 2014 and the</w:t>
            </w:r>
            <w:r w:rsidRPr="00D0317D">
              <w:rPr>
                <w:i/>
                <w:sz w:val="20"/>
              </w:rPr>
              <w:t xml:space="preserve"> Marijuana for Medical Purposes Regulations</w:t>
            </w:r>
            <w:r w:rsidRPr="00D0317D">
              <w:rPr>
                <w:sz w:val="20"/>
              </w:rPr>
              <w:t xml:space="preserve">, S.O.R./2013-119, which succeeded the </w:t>
            </w:r>
            <w:r w:rsidRPr="00D0317D">
              <w:rPr>
                <w:i/>
                <w:sz w:val="20"/>
              </w:rPr>
              <w:t>MMAR</w:t>
            </w:r>
            <w:r w:rsidRPr="00D0317D">
              <w:rPr>
                <w:sz w:val="20"/>
              </w:rPr>
              <w:t xml:space="preserve"> are unconstitutional. In the course of their actions, twenty-six plaintiffs, including the applicant, brought motions for interim constitutional exemptions from the </w:t>
            </w:r>
            <w:r w:rsidRPr="00D0317D">
              <w:rPr>
                <w:i/>
                <w:sz w:val="20"/>
              </w:rPr>
              <w:t>Controlled Drugs and Substances Act</w:t>
            </w:r>
            <w:r w:rsidRPr="00D0317D">
              <w:rPr>
                <w:sz w:val="20"/>
              </w:rPr>
              <w:t xml:space="preserve"> </w:t>
            </w:r>
            <w:r w:rsidRPr="00D0317D">
              <w:rPr>
                <w:i/>
                <w:sz w:val="20"/>
              </w:rPr>
              <w:t>(“CDSA”)</w:t>
            </w:r>
            <w:r w:rsidRPr="00D0317D">
              <w:rPr>
                <w:sz w:val="20"/>
              </w:rPr>
              <w:t xml:space="preserve"> for the personal use of marijuana pending trial of their actions.</w:t>
            </w:r>
          </w:p>
        </w:tc>
      </w:tr>
      <w:tr w:rsidR="00132154" w:rsidRPr="00D0317D" w:rsidTr="00E95A6A">
        <w:tc>
          <w:tcPr>
            <w:tcW w:w="5000" w:type="pct"/>
            <w:gridSpan w:val="4"/>
          </w:tcPr>
          <w:p w:rsidR="00132154" w:rsidRPr="00D0317D" w:rsidRDefault="00132154" w:rsidP="00132154">
            <w:pPr>
              <w:jc w:val="both"/>
              <w:rPr>
                <w:sz w:val="20"/>
              </w:rPr>
            </w:pPr>
          </w:p>
        </w:tc>
      </w:tr>
      <w:tr w:rsidR="00132154" w:rsidRPr="00D0317D" w:rsidTr="00E95A6A">
        <w:tc>
          <w:tcPr>
            <w:tcW w:w="2427" w:type="pct"/>
            <w:gridSpan w:val="2"/>
          </w:tcPr>
          <w:p w:rsidR="00132154" w:rsidRPr="00D0317D" w:rsidRDefault="00132154" w:rsidP="00132154">
            <w:pPr>
              <w:jc w:val="both"/>
              <w:rPr>
                <w:sz w:val="20"/>
              </w:rPr>
            </w:pPr>
            <w:r w:rsidRPr="00D0317D">
              <w:rPr>
                <w:sz w:val="20"/>
              </w:rPr>
              <w:t>May 7, 2014</w:t>
            </w:r>
          </w:p>
          <w:p w:rsidR="00132154" w:rsidRPr="00D0317D" w:rsidRDefault="00132154" w:rsidP="00132154">
            <w:pPr>
              <w:jc w:val="both"/>
              <w:rPr>
                <w:sz w:val="20"/>
              </w:rPr>
            </w:pPr>
            <w:r w:rsidRPr="00D0317D">
              <w:rPr>
                <w:sz w:val="20"/>
              </w:rPr>
              <w:t>Federal Court</w:t>
            </w:r>
          </w:p>
          <w:p w:rsidR="00132154" w:rsidRPr="00D0317D" w:rsidRDefault="00132154" w:rsidP="00132154">
            <w:pPr>
              <w:jc w:val="both"/>
              <w:rPr>
                <w:sz w:val="20"/>
              </w:rPr>
            </w:pPr>
            <w:r w:rsidRPr="00D0317D">
              <w:rPr>
                <w:sz w:val="20"/>
              </w:rPr>
              <w:t>(Phelan J.)</w:t>
            </w:r>
          </w:p>
          <w:p w:rsidR="00132154" w:rsidRPr="00D0317D" w:rsidRDefault="00132154" w:rsidP="00132154">
            <w:pPr>
              <w:jc w:val="both"/>
              <w:rPr>
                <w:sz w:val="20"/>
              </w:rPr>
            </w:pPr>
          </w:p>
        </w:tc>
        <w:tc>
          <w:tcPr>
            <w:tcW w:w="243" w:type="pct"/>
          </w:tcPr>
          <w:p w:rsidR="00132154" w:rsidRPr="00D0317D" w:rsidRDefault="00132154" w:rsidP="00132154">
            <w:pPr>
              <w:jc w:val="both"/>
              <w:rPr>
                <w:sz w:val="20"/>
              </w:rPr>
            </w:pPr>
          </w:p>
        </w:tc>
        <w:tc>
          <w:tcPr>
            <w:tcW w:w="2330" w:type="pct"/>
          </w:tcPr>
          <w:p w:rsidR="00132154" w:rsidRPr="00D0317D" w:rsidRDefault="00132154" w:rsidP="00132154">
            <w:pPr>
              <w:jc w:val="both"/>
              <w:rPr>
                <w:sz w:val="20"/>
              </w:rPr>
            </w:pPr>
            <w:r w:rsidRPr="00D0317D">
              <w:rPr>
                <w:sz w:val="20"/>
              </w:rPr>
              <w:t xml:space="preserve">Motion for interim constitutional exemptions from provisions of </w:t>
            </w:r>
            <w:r w:rsidRPr="00D0317D">
              <w:rPr>
                <w:i/>
                <w:sz w:val="20"/>
              </w:rPr>
              <w:t>Controlled Drugs and Substances Act</w:t>
            </w:r>
            <w:r w:rsidRPr="00D0317D">
              <w:rPr>
                <w:sz w:val="20"/>
              </w:rPr>
              <w:t xml:space="preserve"> dismissed</w:t>
            </w:r>
          </w:p>
          <w:p w:rsidR="00132154" w:rsidRPr="00D0317D" w:rsidRDefault="00132154" w:rsidP="00132154">
            <w:pPr>
              <w:jc w:val="both"/>
              <w:rPr>
                <w:sz w:val="20"/>
              </w:rPr>
            </w:pPr>
          </w:p>
        </w:tc>
      </w:tr>
      <w:tr w:rsidR="00132154" w:rsidRPr="00D0317D" w:rsidTr="00E95A6A">
        <w:tc>
          <w:tcPr>
            <w:tcW w:w="2427" w:type="pct"/>
            <w:gridSpan w:val="2"/>
          </w:tcPr>
          <w:p w:rsidR="00132154" w:rsidRPr="00D0317D" w:rsidRDefault="00132154" w:rsidP="00132154">
            <w:pPr>
              <w:jc w:val="both"/>
              <w:rPr>
                <w:sz w:val="20"/>
              </w:rPr>
            </w:pPr>
            <w:r w:rsidRPr="00D0317D">
              <w:rPr>
                <w:sz w:val="20"/>
              </w:rPr>
              <w:t>January 13, 2016</w:t>
            </w:r>
          </w:p>
          <w:p w:rsidR="00132154" w:rsidRPr="00D0317D" w:rsidRDefault="00132154" w:rsidP="00132154">
            <w:pPr>
              <w:jc w:val="both"/>
              <w:rPr>
                <w:sz w:val="20"/>
              </w:rPr>
            </w:pPr>
            <w:r w:rsidRPr="00D0317D">
              <w:rPr>
                <w:sz w:val="20"/>
              </w:rPr>
              <w:t>Federal Court of Appeal</w:t>
            </w:r>
          </w:p>
          <w:p w:rsidR="00132154" w:rsidRPr="00D0317D" w:rsidRDefault="00132154" w:rsidP="00132154">
            <w:pPr>
              <w:jc w:val="both"/>
              <w:rPr>
                <w:sz w:val="20"/>
              </w:rPr>
            </w:pPr>
            <w:r w:rsidRPr="00D0317D">
              <w:rPr>
                <w:sz w:val="20"/>
              </w:rPr>
              <w:t xml:space="preserve">(Pelletier, </w:t>
            </w:r>
            <w:proofErr w:type="spellStart"/>
            <w:r w:rsidRPr="00D0317D">
              <w:rPr>
                <w:sz w:val="20"/>
              </w:rPr>
              <w:t>Stratas</w:t>
            </w:r>
            <w:proofErr w:type="spellEnd"/>
            <w:r w:rsidRPr="00D0317D">
              <w:rPr>
                <w:sz w:val="20"/>
              </w:rPr>
              <w:t xml:space="preserve"> and Gleason JJ.A.)</w:t>
            </w:r>
          </w:p>
          <w:p w:rsidR="00132154" w:rsidRPr="00D0317D" w:rsidRDefault="00985225" w:rsidP="00132154">
            <w:pPr>
              <w:jc w:val="both"/>
              <w:rPr>
                <w:sz w:val="20"/>
                <w:lang w:eastAsia="en-CA"/>
              </w:rPr>
            </w:pPr>
            <w:hyperlink r:id="rId25" w:history="1">
              <w:r w:rsidR="00132154" w:rsidRPr="00D0317D">
                <w:rPr>
                  <w:color w:val="0000FF" w:themeColor="hyperlink"/>
                  <w:sz w:val="20"/>
                  <w:u w:val="single"/>
                  <w:lang w:eastAsia="en-CA"/>
                </w:rPr>
                <w:t>2016 FCA 9</w:t>
              </w:r>
            </w:hyperlink>
          </w:p>
          <w:p w:rsidR="00132154" w:rsidRPr="00D0317D" w:rsidRDefault="00132154" w:rsidP="00132154">
            <w:pPr>
              <w:jc w:val="both"/>
              <w:rPr>
                <w:sz w:val="20"/>
              </w:rPr>
            </w:pPr>
          </w:p>
        </w:tc>
        <w:tc>
          <w:tcPr>
            <w:tcW w:w="243" w:type="pct"/>
          </w:tcPr>
          <w:p w:rsidR="00132154" w:rsidRPr="00D0317D" w:rsidRDefault="00132154" w:rsidP="00132154">
            <w:pPr>
              <w:jc w:val="both"/>
              <w:rPr>
                <w:sz w:val="20"/>
              </w:rPr>
            </w:pPr>
          </w:p>
        </w:tc>
        <w:tc>
          <w:tcPr>
            <w:tcW w:w="2330" w:type="pct"/>
          </w:tcPr>
          <w:p w:rsidR="00132154" w:rsidRPr="00D0317D" w:rsidRDefault="00132154" w:rsidP="00132154">
            <w:pPr>
              <w:jc w:val="both"/>
              <w:rPr>
                <w:sz w:val="20"/>
              </w:rPr>
            </w:pPr>
            <w:r w:rsidRPr="00D0317D">
              <w:rPr>
                <w:sz w:val="20"/>
              </w:rPr>
              <w:t>Appeal dismissed</w:t>
            </w:r>
          </w:p>
          <w:p w:rsidR="00132154" w:rsidRPr="00D0317D" w:rsidRDefault="00132154" w:rsidP="00132154">
            <w:pPr>
              <w:jc w:val="both"/>
              <w:rPr>
                <w:sz w:val="20"/>
              </w:rPr>
            </w:pPr>
          </w:p>
        </w:tc>
      </w:tr>
      <w:tr w:rsidR="00132154" w:rsidRPr="00D0317D" w:rsidTr="00E95A6A">
        <w:tc>
          <w:tcPr>
            <w:tcW w:w="2427" w:type="pct"/>
            <w:gridSpan w:val="2"/>
          </w:tcPr>
          <w:p w:rsidR="00132154" w:rsidRPr="00D0317D" w:rsidRDefault="00132154" w:rsidP="00132154">
            <w:pPr>
              <w:jc w:val="both"/>
              <w:rPr>
                <w:sz w:val="20"/>
              </w:rPr>
            </w:pPr>
            <w:r w:rsidRPr="00D0317D">
              <w:rPr>
                <w:sz w:val="20"/>
              </w:rPr>
              <w:t>March 14, 2016</w:t>
            </w:r>
          </w:p>
          <w:p w:rsidR="00132154" w:rsidRPr="00D0317D" w:rsidRDefault="00132154" w:rsidP="00132154">
            <w:pPr>
              <w:jc w:val="both"/>
              <w:rPr>
                <w:sz w:val="20"/>
              </w:rPr>
            </w:pPr>
            <w:r w:rsidRPr="00D0317D">
              <w:rPr>
                <w:sz w:val="20"/>
              </w:rPr>
              <w:t>Supreme Court of Canada</w:t>
            </w:r>
          </w:p>
          <w:p w:rsidR="00132154" w:rsidRPr="00D0317D" w:rsidRDefault="00132154" w:rsidP="00132154">
            <w:pPr>
              <w:jc w:val="both"/>
              <w:rPr>
                <w:sz w:val="20"/>
              </w:rPr>
            </w:pPr>
          </w:p>
        </w:tc>
        <w:tc>
          <w:tcPr>
            <w:tcW w:w="243" w:type="pct"/>
          </w:tcPr>
          <w:p w:rsidR="00132154" w:rsidRPr="00D0317D" w:rsidRDefault="00132154" w:rsidP="00132154">
            <w:pPr>
              <w:jc w:val="both"/>
              <w:rPr>
                <w:sz w:val="20"/>
              </w:rPr>
            </w:pPr>
          </w:p>
        </w:tc>
        <w:tc>
          <w:tcPr>
            <w:tcW w:w="2330" w:type="pct"/>
          </w:tcPr>
          <w:p w:rsidR="00132154" w:rsidRPr="00D0317D" w:rsidRDefault="00132154" w:rsidP="00132154">
            <w:pPr>
              <w:jc w:val="both"/>
              <w:rPr>
                <w:sz w:val="20"/>
              </w:rPr>
            </w:pPr>
            <w:r w:rsidRPr="00D0317D">
              <w:rPr>
                <w:sz w:val="20"/>
              </w:rPr>
              <w:t>Application for an extension of time to serve and file leave application and application for leave to appeal filed</w:t>
            </w:r>
          </w:p>
        </w:tc>
      </w:tr>
    </w:tbl>
    <w:p w:rsidR="00132154" w:rsidRPr="00D0317D" w:rsidRDefault="00132154" w:rsidP="00132154">
      <w:pPr>
        <w:jc w:val="both"/>
        <w:rPr>
          <w:sz w:val="20"/>
        </w:rPr>
      </w:pPr>
    </w:p>
    <w:p w:rsidR="00132154" w:rsidRPr="00D0317D" w:rsidRDefault="00132154" w:rsidP="0013215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32154" w:rsidRPr="00D0317D" w:rsidTr="00E95A6A">
        <w:tc>
          <w:tcPr>
            <w:tcW w:w="543" w:type="pct"/>
          </w:tcPr>
          <w:p w:rsidR="00132154" w:rsidRPr="00D0317D" w:rsidRDefault="00132154" w:rsidP="00132154">
            <w:pPr>
              <w:jc w:val="both"/>
              <w:rPr>
                <w:sz w:val="20"/>
                <w:lang w:val="fr-CA"/>
              </w:rPr>
            </w:pPr>
            <w:r w:rsidRPr="00D0317D">
              <w:rPr>
                <w:rStyle w:val="SCCFileNumberChar"/>
                <w:sz w:val="20"/>
                <w:szCs w:val="20"/>
                <w:lang w:val="fr-CA"/>
              </w:rPr>
              <w:t>37057</w:t>
            </w:r>
          </w:p>
        </w:tc>
        <w:tc>
          <w:tcPr>
            <w:tcW w:w="4457" w:type="pct"/>
            <w:gridSpan w:val="3"/>
          </w:tcPr>
          <w:p w:rsidR="00132154" w:rsidRPr="00D0317D" w:rsidRDefault="00132154" w:rsidP="00132154">
            <w:pPr>
              <w:pStyle w:val="SCCLsocParty"/>
              <w:jc w:val="both"/>
              <w:rPr>
                <w:b/>
                <w:sz w:val="20"/>
                <w:szCs w:val="20"/>
              </w:rPr>
            </w:pPr>
            <w:r w:rsidRPr="00D0317D">
              <w:rPr>
                <w:b/>
                <w:sz w:val="20"/>
                <w:szCs w:val="20"/>
              </w:rPr>
              <w:t>Luc Leblanc c. Sa Majesté la Reine</w:t>
            </w:r>
          </w:p>
          <w:p w:rsidR="00132154" w:rsidRPr="00D0317D" w:rsidRDefault="00132154" w:rsidP="00132154">
            <w:pPr>
              <w:jc w:val="both"/>
              <w:rPr>
                <w:sz w:val="20"/>
                <w:lang w:val="fr-CA"/>
              </w:rPr>
            </w:pPr>
            <w:r w:rsidRPr="00D0317D">
              <w:rPr>
                <w:sz w:val="20"/>
                <w:lang w:val="fr-CA"/>
              </w:rPr>
              <w:t>(CF) (Civile) (Sur autorisation)</w:t>
            </w:r>
          </w:p>
        </w:tc>
      </w:tr>
      <w:tr w:rsidR="00132154" w:rsidRPr="005165BD" w:rsidTr="00E95A6A">
        <w:tc>
          <w:tcPr>
            <w:tcW w:w="5000" w:type="pct"/>
            <w:gridSpan w:val="4"/>
          </w:tcPr>
          <w:p w:rsidR="00132154" w:rsidRPr="00D0317D" w:rsidRDefault="00132154" w:rsidP="00132154">
            <w:pPr>
              <w:jc w:val="both"/>
              <w:rPr>
                <w:sz w:val="20"/>
                <w:lang w:val="fr-CA"/>
              </w:rPr>
            </w:pPr>
            <w:r w:rsidRPr="00D0317D">
              <w:rPr>
                <w:sz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w:t>
            </w:r>
            <w:r w:rsidRPr="00D0317D">
              <w:rPr>
                <w:sz w:val="20"/>
                <w:lang w:val="fr-CA"/>
              </w:rPr>
              <w:lastRenderedPageBreak/>
              <w:t xml:space="preserve">en attendant qu’il soit statué sur l’action visant l’abrogation? – </w:t>
            </w:r>
            <w:r w:rsidRPr="00D0317D">
              <w:rPr>
                <w:i/>
                <w:sz w:val="20"/>
                <w:lang w:val="fr-CA"/>
              </w:rPr>
              <w:t>Loi réglementant certaines drogues et autres substances</w:t>
            </w:r>
            <w:r w:rsidRPr="00D0317D">
              <w:rPr>
                <w:sz w:val="20"/>
                <w:lang w:val="fr-CA"/>
              </w:rPr>
              <w:t>, L.C., 1996, ch. 19.</w:t>
            </w:r>
          </w:p>
        </w:tc>
      </w:tr>
      <w:tr w:rsidR="00132154" w:rsidRPr="005165BD" w:rsidTr="00E95A6A">
        <w:tc>
          <w:tcPr>
            <w:tcW w:w="5000" w:type="pct"/>
            <w:gridSpan w:val="4"/>
          </w:tcPr>
          <w:p w:rsidR="00132154" w:rsidRPr="00D0317D" w:rsidRDefault="00132154" w:rsidP="00132154">
            <w:pPr>
              <w:jc w:val="both"/>
              <w:rPr>
                <w:sz w:val="20"/>
                <w:lang w:val="fr-CA"/>
              </w:rPr>
            </w:pPr>
          </w:p>
        </w:tc>
      </w:tr>
      <w:tr w:rsidR="00132154" w:rsidRPr="005165BD" w:rsidTr="00E95A6A">
        <w:tc>
          <w:tcPr>
            <w:tcW w:w="5000" w:type="pct"/>
            <w:gridSpan w:val="4"/>
          </w:tcPr>
          <w:p w:rsidR="00132154" w:rsidRPr="00D0317D" w:rsidRDefault="00132154" w:rsidP="00132154">
            <w:pPr>
              <w:jc w:val="both"/>
              <w:rPr>
                <w:sz w:val="20"/>
                <w:lang w:val="fr-CA"/>
              </w:rPr>
            </w:pPr>
            <w:r w:rsidRPr="00D0317D">
              <w:rPr>
                <w:sz w:val="20"/>
                <w:lang w:val="fr-CA"/>
              </w:rPr>
              <w:t xml:space="preserve">Depuis février 2014, environ 300 plaideurs non représentés, y compris le demandeur, ont déposé des demandes identiques sollicitant des jugements qui déclarent inconstitutionnels le </w:t>
            </w:r>
            <w:r w:rsidRPr="00D0317D">
              <w:rPr>
                <w:i/>
                <w:sz w:val="20"/>
                <w:lang w:val="fr-CA"/>
              </w:rPr>
              <w:t>Règlement sur l’accès à la marihuana à des fins médicales (« RAMFM »)</w:t>
            </w:r>
            <w:r w:rsidRPr="00D0317D">
              <w:rPr>
                <w:sz w:val="20"/>
                <w:lang w:val="fr-CA"/>
              </w:rPr>
              <w:t xml:space="preserve">, D.O.R.S./2001-227, abrogé le 31 mars 2014 et le </w:t>
            </w:r>
            <w:r w:rsidRPr="00D0317D">
              <w:rPr>
                <w:i/>
                <w:sz w:val="20"/>
                <w:lang w:val="fr-CA"/>
              </w:rPr>
              <w:t>Règlement sur la marihuana à des fins médicales</w:t>
            </w:r>
            <w:r w:rsidRPr="00D0317D">
              <w:rPr>
                <w:sz w:val="20"/>
                <w:lang w:val="fr-CA"/>
              </w:rPr>
              <w:t xml:space="preserve">, D.O.R.S./2013-119, qui a remplacé le </w:t>
            </w:r>
            <w:r w:rsidRPr="00D0317D">
              <w:rPr>
                <w:i/>
                <w:sz w:val="20"/>
                <w:lang w:val="fr-CA"/>
              </w:rPr>
              <w:t>RAMFM</w:t>
            </w:r>
            <w:r w:rsidRPr="00D0317D">
              <w:rPr>
                <w:sz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D0317D">
              <w:rPr>
                <w:i/>
                <w:sz w:val="20"/>
                <w:lang w:val="fr-CA"/>
              </w:rPr>
              <w:t xml:space="preserve">Loi réglementant certaines drogues et autres substances </w:t>
            </w:r>
            <w:r w:rsidRPr="00D0317D">
              <w:rPr>
                <w:sz w:val="20"/>
                <w:lang w:val="fr-CA"/>
              </w:rPr>
              <w:t>(« </w:t>
            </w:r>
            <w:r w:rsidRPr="00D0317D">
              <w:rPr>
                <w:i/>
                <w:sz w:val="20"/>
                <w:lang w:val="fr-CA"/>
              </w:rPr>
              <w:t>LRCDAS »)</w:t>
            </w:r>
            <w:r w:rsidRPr="00D0317D">
              <w:rPr>
                <w:sz w:val="20"/>
                <w:lang w:val="fr-CA"/>
              </w:rPr>
              <w:t xml:space="preserve"> pour l’utilisation personnelle de la marihuana en attendant que leurs actions soient instruites.</w:t>
            </w:r>
          </w:p>
        </w:tc>
      </w:tr>
      <w:tr w:rsidR="00132154" w:rsidRPr="005165BD" w:rsidTr="00E95A6A">
        <w:tc>
          <w:tcPr>
            <w:tcW w:w="5000" w:type="pct"/>
            <w:gridSpan w:val="4"/>
          </w:tcPr>
          <w:p w:rsidR="00132154" w:rsidRPr="00D0317D" w:rsidRDefault="00132154" w:rsidP="00132154">
            <w:pPr>
              <w:jc w:val="both"/>
              <w:rPr>
                <w:sz w:val="20"/>
                <w:lang w:val="fr-CA"/>
              </w:rPr>
            </w:pPr>
          </w:p>
        </w:tc>
      </w:tr>
      <w:tr w:rsidR="00132154" w:rsidRPr="005165BD" w:rsidTr="00E95A6A">
        <w:tc>
          <w:tcPr>
            <w:tcW w:w="2427" w:type="pct"/>
            <w:gridSpan w:val="2"/>
          </w:tcPr>
          <w:p w:rsidR="00132154" w:rsidRPr="00D0317D" w:rsidRDefault="00132154" w:rsidP="00132154">
            <w:pPr>
              <w:jc w:val="both"/>
              <w:rPr>
                <w:sz w:val="20"/>
                <w:lang w:val="fr-CA"/>
              </w:rPr>
            </w:pPr>
            <w:r w:rsidRPr="00D0317D">
              <w:rPr>
                <w:sz w:val="20"/>
                <w:lang w:val="fr-CA"/>
              </w:rPr>
              <w:t>7 mai 2014</w:t>
            </w:r>
          </w:p>
          <w:p w:rsidR="00132154" w:rsidRPr="00D0317D" w:rsidRDefault="00132154" w:rsidP="00132154">
            <w:pPr>
              <w:jc w:val="both"/>
              <w:rPr>
                <w:sz w:val="20"/>
                <w:lang w:val="fr-CA"/>
              </w:rPr>
            </w:pPr>
            <w:r w:rsidRPr="00D0317D">
              <w:rPr>
                <w:sz w:val="20"/>
                <w:lang w:val="fr-CA"/>
              </w:rPr>
              <w:t xml:space="preserve">Cour fédérale </w:t>
            </w:r>
          </w:p>
          <w:p w:rsidR="00132154" w:rsidRPr="00D0317D" w:rsidRDefault="00132154" w:rsidP="00132154">
            <w:pPr>
              <w:jc w:val="both"/>
              <w:rPr>
                <w:sz w:val="20"/>
                <w:lang w:val="fr-CA"/>
              </w:rPr>
            </w:pPr>
            <w:r w:rsidRPr="00D0317D">
              <w:rPr>
                <w:sz w:val="20"/>
                <w:lang w:val="fr-CA"/>
              </w:rPr>
              <w:t>(Juge Phelan)</w:t>
            </w:r>
          </w:p>
        </w:tc>
        <w:tc>
          <w:tcPr>
            <w:tcW w:w="243" w:type="pct"/>
          </w:tcPr>
          <w:p w:rsidR="00132154" w:rsidRPr="00D0317D" w:rsidRDefault="00132154" w:rsidP="00132154">
            <w:pPr>
              <w:jc w:val="both"/>
              <w:rPr>
                <w:sz w:val="20"/>
                <w:lang w:val="fr-CA"/>
              </w:rPr>
            </w:pPr>
          </w:p>
        </w:tc>
        <w:tc>
          <w:tcPr>
            <w:tcW w:w="2330" w:type="pct"/>
          </w:tcPr>
          <w:p w:rsidR="00132154" w:rsidRPr="00D0317D" w:rsidRDefault="00132154" w:rsidP="00132154">
            <w:pPr>
              <w:jc w:val="both"/>
              <w:rPr>
                <w:sz w:val="20"/>
                <w:lang w:val="fr-CA"/>
              </w:rPr>
            </w:pPr>
            <w:r w:rsidRPr="00D0317D">
              <w:rPr>
                <w:sz w:val="20"/>
                <w:lang w:val="fr-CA"/>
              </w:rPr>
              <w:t xml:space="preserve">Rejet de la requête en exemption constitutionnelle visant à écarter temporairement l’application de la </w:t>
            </w:r>
            <w:r w:rsidRPr="00D0317D">
              <w:rPr>
                <w:i/>
                <w:sz w:val="20"/>
                <w:lang w:val="fr-CA"/>
              </w:rPr>
              <w:t>Loi réglementant certaines drogues et autres substances</w:t>
            </w:r>
          </w:p>
          <w:p w:rsidR="00132154" w:rsidRPr="00D0317D" w:rsidRDefault="00132154" w:rsidP="00132154">
            <w:pPr>
              <w:jc w:val="both"/>
              <w:rPr>
                <w:sz w:val="20"/>
                <w:lang w:val="fr-CA"/>
              </w:rPr>
            </w:pPr>
          </w:p>
        </w:tc>
      </w:tr>
      <w:tr w:rsidR="00132154" w:rsidRPr="00D0317D" w:rsidTr="00E95A6A">
        <w:tc>
          <w:tcPr>
            <w:tcW w:w="2427" w:type="pct"/>
            <w:gridSpan w:val="2"/>
          </w:tcPr>
          <w:p w:rsidR="00132154" w:rsidRPr="00D0317D" w:rsidRDefault="00132154" w:rsidP="00132154">
            <w:pPr>
              <w:jc w:val="both"/>
              <w:rPr>
                <w:sz w:val="20"/>
                <w:lang w:val="fr-CA"/>
              </w:rPr>
            </w:pPr>
            <w:r w:rsidRPr="00D0317D">
              <w:rPr>
                <w:sz w:val="20"/>
                <w:lang w:val="fr-CA"/>
              </w:rPr>
              <w:t>13 janvier 2016</w:t>
            </w:r>
          </w:p>
          <w:p w:rsidR="00132154" w:rsidRPr="00D0317D" w:rsidRDefault="00132154" w:rsidP="00132154">
            <w:pPr>
              <w:jc w:val="both"/>
              <w:rPr>
                <w:sz w:val="20"/>
                <w:lang w:val="fr-CA"/>
              </w:rPr>
            </w:pPr>
            <w:r w:rsidRPr="00D0317D">
              <w:rPr>
                <w:sz w:val="20"/>
                <w:lang w:val="fr-CA"/>
              </w:rPr>
              <w:t xml:space="preserve">Cour d’appel fédérale </w:t>
            </w:r>
          </w:p>
          <w:p w:rsidR="00132154" w:rsidRPr="00D0317D" w:rsidRDefault="00132154" w:rsidP="00132154">
            <w:pPr>
              <w:jc w:val="both"/>
              <w:rPr>
                <w:sz w:val="20"/>
                <w:lang w:val="fr-CA" w:eastAsia="en-CA"/>
              </w:rPr>
            </w:pPr>
            <w:r w:rsidRPr="00D0317D">
              <w:rPr>
                <w:sz w:val="20"/>
                <w:lang w:val="fr-CA" w:eastAsia="en-CA"/>
              </w:rPr>
              <w:t>(Juges Pelletier, Stratas et Gleason)</w:t>
            </w:r>
          </w:p>
          <w:p w:rsidR="00132154" w:rsidRPr="00D0317D" w:rsidRDefault="00985225" w:rsidP="00132154">
            <w:pPr>
              <w:jc w:val="both"/>
              <w:rPr>
                <w:sz w:val="20"/>
                <w:lang w:val="fr-CA" w:eastAsia="en-CA"/>
              </w:rPr>
            </w:pPr>
            <w:hyperlink r:id="rId26" w:history="1">
              <w:r w:rsidR="00132154" w:rsidRPr="00D0317D">
                <w:rPr>
                  <w:color w:val="0000FF" w:themeColor="hyperlink"/>
                  <w:sz w:val="20"/>
                  <w:u w:val="single"/>
                  <w:lang w:val="fr-CA" w:eastAsia="en-CA"/>
                </w:rPr>
                <w:t>2016 FCA 9</w:t>
              </w:r>
            </w:hyperlink>
          </w:p>
          <w:p w:rsidR="00132154" w:rsidRPr="00D0317D" w:rsidRDefault="00132154" w:rsidP="00132154">
            <w:pPr>
              <w:jc w:val="both"/>
              <w:rPr>
                <w:sz w:val="20"/>
                <w:lang w:val="fr-CA"/>
              </w:rPr>
            </w:pPr>
          </w:p>
        </w:tc>
        <w:tc>
          <w:tcPr>
            <w:tcW w:w="243" w:type="pct"/>
          </w:tcPr>
          <w:p w:rsidR="00132154" w:rsidRPr="00D0317D" w:rsidRDefault="00132154" w:rsidP="00132154">
            <w:pPr>
              <w:jc w:val="both"/>
              <w:rPr>
                <w:sz w:val="20"/>
                <w:lang w:val="fr-CA"/>
              </w:rPr>
            </w:pPr>
          </w:p>
        </w:tc>
        <w:tc>
          <w:tcPr>
            <w:tcW w:w="2330" w:type="pct"/>
          </w:tcPr>
          <w:p w:rsidR="00132154" w:rsidRPr="00D0317D" w:rsidRDefault="00132154" w:rsidP="00132154">
            <w:pPr>
              <w:jc w:val="both"/>
              <w:rPr>
                <w:sz w:val="20"/>
                <w:lang w:val="fr-CA"/>
              </w:rPr>
            </w:pPr>
            <w:r w:rsidRPr="00D0317D">
              <w:rPr>
                <w:sz w:val="20"/>
                <w:lang w:val="fr-CA"/>
              </w:rPr>
              <w:t>Rejet de l’appel</w:t>
            </w:r>
          </w:p>
          <w:p w:rsidR="00132154" w:rsidRPr="00D0317D" w:rsidRDefault="00132154" w:rsidP="00132154">
            <w:pPr>
              <w:jc w:val="both"/>
              <w:rPr>
                <w:sz w:val="20"/>
                <w:lang w:val="fr-CA"/>
              </w:rPr>
            </w:pPr>
          </w:p>
        </w:tc>
      </w:tr>
      <w:tr w:rsidR="00132154" w:rsidRPr="005165BD" w:rsidTr="00E95A6A">
        <w:tc>
          <w:tcPr>
            <w:tcW w:w="2427" w:type="pct"/>
            <w:gridSpan w:val="2"/>
          </w:tcPr>
          <w:p w:rsidR="00132154" w:rsidRPr="00D0317D" w:rsidRDefault="00132154" w:rsidP="00132154">
            <w:pPr>
              <w:jc w:val="both"/>
              <w:rPr>
                <w:sz w:val="20"/>
                <w:lang w:val="fr-CA"/>
              </w:rPr>
            </w:pPr>
            <w:r w:rsidRPr="00D0317D">
              <w:rPr>
                <w:sz w:val="20"/>
                <w:lang w:val="fr-CA"/>
              </w:rPr>
              <w:t>14 mars 2016</w:t>
            </w:r>
          </w:p>
          <w:p w:rsidR="00132154" w:rsidRPr="00D0317D" w:rsidRDefault="00132154" w:rsidP="00132154">
            <w:pPr>
              <w:jc w:val="both"/>
              <w:rPr>
                <w:sz w:val="20"/>
                <w:lang w:val="fr-CA"/>
              </w:rPr>
            </w:pPr>
            <w:r w:rsidRPr="00D0317D">
              <w:rPr>
                <w:sz w:val="20"/>
                <w:lang w:val="fr-CA"/>
              </w:rPr>
              <w:t>Cour suprême du Canada</w:t>
            </w:r>
          </w:p>
          <w:p w:rsidR="00132154" w:rsidRPr="00D0317D" w:rsidRDefault="00132154" w:rsidP="00132154">
            <w:pPr>
              <w:jc w:val="both"/>
              <w:rPr>
                <w:sz w:val="20"/>
                <w:lang w:val="fr-CA"/>
              </w:rPr>
            </w:pPr>
          </w:p>
        </w:tc>
        <w:tc>
          <w:tcPr>
            <w:tcW w:w="243" w:type="pct"/>
          </w:tcPr>
          <w:p w:rsidR="00132154" w:rsidRPr="00D0317D" w:rsidRDefault="00132154" w:rsidP="00132154">
            <w:pPr>
              <w:jc w:val="both"/>
              <w:rPr>
                <w:sz w:val="20"/>
                <w:lang w:val="fr-CA"/>
              </w:rPr>
            </w:pPr>
          </w:p>
        </w:tc>
        <w:tc>
          <w:tcPr>
            <w:tcW w:w="2330" w:type="pct"/>
          </w:tcPr>
          <w:p w:rsidR="00132154" w:rsidRPr="00D0317D" w:rsidRDefault="00132154" w:rsidP="00132154">
            <w:pPr>
              <w:jc w:val="both"/>
              <w:rPr>
                <w:sz w:val="20"/>
                <w:lang w:val="fr-CA"/>
              </w:rPr>
            </w:pPr>
            <w:r w:rsidRPr="00D0317D">
              <w:rPr>
                <w:sz w:val="20"/>
                <w:lang w:val="fr-CA"/>
              </w:rPr>
              <w:t>Dépôt de la requête en prorogation du délai de signification et de dépôt de la demande d’autorisation d’appel et de la demande d’autorisation d’appel</w:t>
            </w:r>
          </w:p>
        </w:tc>
      </w:tr>
    </w:tbl>
    <w:p w:rsidR="00132154" w:rsidRPr="00D0317D" w:rsidRDefault="00132154" w:rsidP="007C1127">
      <w:pPr>
        <w:jc w:val="both"/>
        <w:rPr>
          <w:sz w:val="20"/>
          <w:lang w:val="fr-CA"/>
        </w:rPr>
      </w:pPr>
    </w:p>
    <w:p w:rsidR="003978D8" w:rsidRPr="00D0317D" w:rsidRDefault="003978D8" w:rsidP="007C112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1127" w:rsidRPr="00D0317D" w:rsidTr="00E95A6A">
        <w:tc>
          <w:tcPr>
            <w:tcW w:w="543" w:type="pct"/>
          </w:tcPr>
          <w:p w:rsidR="007C1127" w:rsidRPr="00D0317D" w:rsidRDefault="007C1127" w:rsidP="007C1127">
            <w:pPr>
              <w:jc w:val="both"/>
              <w:rPr>
                <w:sz w:val="20"/>
              </w:rPr>
            </w:pPr>
            <w:r w:rsidRPr="00D0317D">
              <w:rPr>
                <w:rStyle w:val="SCCFileNumberChar"/>
                <w:sz w:val="20"/>
                <w:szCs w:val="20"/>
              </w:rPr>
              <w:t>37045</w:t>
            </w:r>
          </w:p>
        </w:tc>
        <w:tc>
          <w:tcPr>
            <w:tcW w:w="4457" w:type="pct"/>
            <w:gridSpan w:val="3"/>
          </w:tcPr>
          <w:p w:rsidR="007C1127" w:rsidRPr="000870AB" w:rsidRDefault="007C1127" w:rsidP="007C1127">
            <w:pPr>
              <w:pStyle w:val="SCCLsocParty"/>
              <w:jc w:val="both"/>
              <w:rPr>
                <w:b/>
                <w:sz w:val="20"/>
                <w:szCs w:val="20"/>
                <w:lang w:val="en-US"/>
              </w:rPr>
            </w:pPr>
            <w:r w:rsidRPr="000870AB">
              <w:rPr>
                <w:b/>
                <w:sz w:val="20"/>
                <w:szCs w:val="20"/>
                <w:lang w:val="en-US"/>
              </w:rPr>
              <w:t xml:space="preserve">Celia </w:t>
            </w:r>
            <w:proofErr w:type="spellStart"/>
            <w:r w:rsidRPr="000870AB">
              <w:rPr>
                <w:b/>
                <w:sz w:val="20"/>
                <w:szCs w:val="20"/>
                <w:lang w:val="en-US"/>
              </w:rPr>
              <w:t>Sankar</w:t>
            </w:r>
            <w:proofErr w:type="spellEnd"/>
            <w:r w:rsidRPr="000870AB">
              <w:rPr>
                <w:b/>
                <w:sz w:val="20"/>
                <w:szCs w:val="20"/>
                <w:lang w:val="en-US"/>
              </w:rPr>
              <w:t xml:space="preserve"> v. Bell Mobility Inc.</w:t>
            </w:r>
          </w:p>
          <w:p w:rsidR="007C1127" w:rsidRPr="00D0317D" w:rsidRDefault="007C1127" w:rsidP="007C1127">
            <w:pPr>
              <w:jc w:val="both"/>
              <w:rPr>
                <w:sz w:val="20"/>
              </w:rPr>
            </w:pPr>
            <w:r w:rsidRPr="00D0317D">
              <w:rPr>
                <w:sz w:val="20"/>
              </w:rPr>
              <w:t>(Ont.) (Civil) (By Leave)</w:t>
            </w:r>
          </w:p>
        </w:tc>
      </w:tr>
      <w:tr w:rsidR="007C1127" w:rsidRPr="00D0317D" w:rsidTr="007C1127">
        <w:trPr>
          <w:trHeight w:val="1593"/>
        </w:trPr>
        <w:tc>
          <w:tcPr>
            <w:tcW w:w="5000" w:type="pct"/>
            <w:gridSpan w:val="4"/>
          </w:tcPr>
          <w:p w:rsidR="007C1127" w:rsidRPr="00D0317D" w:rsidRDefault="007C1127" w:rsidP="007C1127">
            <w:pPr>
              <w:jc w:val="both"/>
              <w:rPr>
                <w:sz w:val="20"/>
              </w:rPr>
            </w:pPr>
            <w:r w:rsidRPr="00D0317D">
              <w:rPr>
                <w:sz w:val="20"/>
              </w:rPr>
              <w:t>Contracts — Breach of contract — Prepaid wireless phone card accounts — Certified class-action alleging Bell improperly collected unused funds from subscriber’s account when they failed to “top up” account before end of its “active period” — Summary judgment in favour of Bell — Court of Appeal dismissing appeal — When should a court interpreting a standard form consumer contract give contractual effect to collateral documents including marketing materials like point of sale advertisements, brochures and statements on websites — Whether standard form notices sent to consumers pursuant to contractual notice provisions can ground a claim for breach of contract in a class action, or must consumers sue individually for misrepresentation.</w:t>
            </w:r>
          </w:p>
        </w:tc>
      </w:tr>
      <w:tr w:rsidR="007C1127" w:rsidRPr="00D0317D" w:rsidTr="00E95A6A">
        <w:tc>
          <w:tcPr>
            <w:tcW w:w="5000" w:type="pct"/>
            <w:gridSpan w:val="4"/>
          </w:tcPr>
          <w:p w:rsidR="007C1127" w:rsidRPr="00D0317D" w:rsidRDefault="007C1127" w:rsidP="007C1127">
            <w:pPr>
              <w:jc w:val="both"/>
              <w:rPr>
                <w:sz w:val="20"/>
              </w:rPr>
            </w:pPr>
          </w:p>
        </w:tc>
      </w:tr>
      <w:tr w:rsidR="007C1127" w:rsidRPr="00D0317D" w:rsidTr="007C1127">
        <w:trPr>
          <w:trHeight w:val="2718"/>
        </w:trPr>
        <w:tc>
          <w:tcPr>
            <w:tcW w:w="5000" w:type="pct"/>
            <w:gridSpan w:val="4"/>
          </w:tcPr>
          <w:tbl>
            <w:tblPr>
              <w:tblW w:w="9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360"/>
            </w:tblGrid>
            <w:tr w:rsidR="007C1127" w:rsidRPr="00D0317D" w:rsidTr="007C1127">
              <w:trPr>
                <w:trHeight w:val="2238"/>
              </w:trPr>
              <w:tc>
                <w:tcPr>
                  <w:tcW w:w="5000" w:type="pct"/>
                  <w:tcBorders>
                    <w:top w:val="nil"/>
                    <w:left w:val="nil"/>
                    <w:bottom w:val="nil"/>
                    <w:right w:val="nil"/>
                  </w:tcBorders>
                  <w:tcMar>
                    <w:top w:w="120" w:type="dxa"/>
                    <w:left w:w="120" w:type="dxa"/>
                    <w:bottom w:w="58" w:type="dxa"/>
                    <w:right w:w="120" w:type="dxa"/>
                  </w:tcMar>
                </w:tcPr>
                <w:p w:rsidR="007C1127" w:rsidRPr="00D0317D" w:rsidRDefault="007C1127" w:rsidP="007C1127">
                  <w:pPr>
                    <w:ind w:left="-115" w:right="-29"/>
                    <w:jc w:val="both"/>
                    <w:rPr>
                      <w:sz w:val="20"/>
                    </w:rPr>
                  </w:pPr>
                  <w:r w:rsidRPr="00D0317D">
                    <w:rPr>
                      <w:sz w:val="20"/>
                    </w:rPr>
                    <w:t>This proposed appeal is about prepaid wireless phone card accounts. It concerns the fate of the balance remaining in a Bell Mobility Inc. subscriber’s account when she fails to “top up” the account before the end of its “active period”. Bell’s prepaid “top-ups” allow customers to add credit to their accounts and extend their active periods that give them access to Bell’s wireless network. Bell’s practice, during the period at issue, was to claim unused funds the day after the end of the active period. For example, if the active period ended on June 30, Bell’s practice was to claim the unused funds on July 1, if the account had not been topped-up in order to extend the active period.</w:t>
                  </w:r>
                </w:p>
                <w:p w:rsidR="007C1127" w:rsidRPr="00D0317D" w:rsidRDefault="007C1127" w:rsidP="007C1127">
                  <w:pPr>
                    <w:ind w:left="-120"/>
                    <w:jc w:val="both"/>
                    <w:rPr>
                      <w:sz w:val="20"/>
                    </w:rPr>
                  </w:pPr>
                </w:p>
                <w:p w:rsidR="007C1127" w:rsidRPr="00D0317D" w:rsidRDefault="007C1127" w:rsidP="007C1127">
                  <w:pPr>
                    <w:ind w:left="-120" w:right="-30"/>
                    <w:jc w:val="both"/>
                    <w:rPr>
                      <w:sz w:val="20"/>
                    </w:rPr>
                  </w:pPr>
                  <w:r w:rsidRPr="00D0317D">
                    <w:rPr>
                      <w:sz w:val="20"/>
                    </w:rPr>
                    <w:t>The applicant, Ms. </w:t>
                  </w:r>
                  <w:proofErr w:type="spellStart"/>
                  <w:r w:rsidRPr="00D0317D">
                    <w:rPr>
                      <w:sz w:val="20"/>
                    </w:rPr>
                    <w:t>Sankar’s</w:t>
                  </w:r>
                  <w:proofErr w:type="spellEnd"/>
                  <w:r w:rsidRPr="00D0317D">
                    <w:rPr>
                      <w:sz w:val="20"/>
                    </w:rPr>
                    <w:t xml:space="preserve"> certified class action alleged that Bell collected those funds improperly. She claimed the contract provided that Bell had to wait until the second day after the end of the active period, not the first day.</w:t>
                  </w:r>
                </w:p>
                <w:p w:rsidR="007C1127" w:rsidRPr="00D0317D" w:rsidRDefault="007C1127" w:rsidP="007C1127">
                  <w:pPr>
                    <w:ind w:left="-120" w:right="-30"/>
                    <w:jc w:val="both"/>
                    <w:rPr>
                      <w:sz w:val="20"/>
                    </w:rPr>
                  </w:pPr>
                </w:p>
              </w:tc>
            </w:tr>
            <w:tr w:rsidR="007C1127" w:rsidRPr="00D0317D" w:rsidTr="00474689">
              <w:trPr>
                <w:trHeight w:val="288"/>
              </w:trPr>
              <w:tc>
                <w:tcPr>
                  <w:tcW w:w="5000" w:type="pct"/>
                  <w:tcBorders>
                    <w:top w:val="nil"/>
                    <w:left w:val="nil"/>
                    <w:bottom w:val="nil"/>
                    <w:right w:val="nil"/>
                  </w:tcBorders>
                  <w:tcMar>
                    <w:top w:w="120" w:type="dxa"/>
                    <w:left w:w="120" w:type="dxa"/>
                    <w:bottom w:w="58" w:type="dxa"/>
                    <w:right w:w="120" w:type="dxa"/>
                  </w:tcMar>
                </w:tcPr>
                <w:p w:rsidR="007C1127" w:rsidRPr="00D0317D" w:rsidRDefault="007C1127" w:rsidP="007C1127">
                  <w:pPr>
                    <w:ind w:left="-120"/>
                    <w:jc w:val="both"/>
                    <w:rPr>
                      <w:sz w:val="20"/>
                    </w:rPr>
                  </w:pPr>
                  <w:r w:rsidRPr="00D0317D">
                    <w:rPr>
                      <w:sz w:val="20"/>
                    </w:rPr>
                    <w:t>The motion judge ruled that Bell did not breach its contract and granted summary judgment answering the common issues in Bell’s favour and dismissing the class action. The Court of Appeal dismissed the appeal.</w:t>
                  </w:r>
                </w:p>
                <w:p w:rsidR="007C1127" w:rsidRPr="00D0317D" w:rsidRDefault="007C1127" w:rsidP="007C1127">
                  <w:pPr>
                    <w:ind w:left="-120"/>
                    <w:jc w:val="both"/>
                    <w:rPr>
                      <w:sz w:val="20"/>
                    </w:rPr>
                  </w:pPr>
                </w:p>
              </w:tc>
            </w:tr>
          </w:tbl>
          <w:p w:rsidR="007C1127" w:rsidRPr="00D0317D" w:rsidRDefault="007C1127" w:rsidP="007C1127">
            <w:pPr>
              <w:jc w:val="both"/>
              <w:rPr>
                <w:sz w:val="20"/>
              </w:rPr>
            </w:pPr>
          </w:p>
        </w:tc>
      </w:tr>
      <w:tr w:rsidR="007C1127" w:rsidRPr="00D0317D" w:rsidTr="00E95A6A">
        <w:tc>
          <w:tcPr>
            <w:tcW w:w="2427" w:type="pct"/>
            <w:gridSpan w:val="2"/>
          </w:tcPr>
          <w:p w:rsidR="007C1127" w:rsidRPr="00D0317D" w:rsidRDefault="007C1127" w:rsidP="007C1127">
            <w:pPr>
              <w:jc w:val="both"/>
              <w:rPr>
                <w:sz w:val="20"/>
              </w:rPr>
            </w:pPr>
            <w:r w:rsidRPr="00D0317D">
              <w:rPr>
                <w:sz w:val="20"/>
              </w:rPr>
              <w:lastRenderedPageBreak/>
              <w:t>October 4, 2013</w:t>
            </w:r>
          </w:p>
          <w:p w:rsidR="007C1127" w:rsidRPr="00D0317D" w:rsidRDefault="007C1127" w:rsidP="007C1127">
            <w:pPr>
              <w:jc w:val="both"/>
              <w:rPr>
                <w:sz w:val="20"/>
              </w:rPr>
            </w:pPr>
            <w:r w:rsidRPr="00D0317D">
              <w:rPr>
                <w:sz w:val="20"/>
              </w:rPr>
              <w:t>Ontario Superior Court of Justice</w:t>
            </w:r>
          </w:p>
          <w:p w:rsidR="007C1127" w:rsidRPr="00D0317D" w:rsidRDefault="007C1127" w:rsidP="007C1127">
            <w:pPr>
              <w:jc w:val="both"/>
              <w:rPr>
                <w:sz w:val="20"/>
              </w:rPr>
            </w:pPr>
            <w:r w:rsidRPr="00D0317D">
              <w:rPr>
                <w:sz w:val="20"/>
              </w:rPr>
              <w:t>(</w:t>
            </w:r>
            <w:proofErr w:type="spellStart"/>
            <w:r w:rsidRPr="00D0317D">
              <w:rPr>
                <w:sz w:val="20"/>
              </w:rPr>
              <w:t>Belobaba</w:t>
            </w:r>
            <w:proofErr w:type="spellEnd"/>
            <w:r w:rsidRPr="00D0317D">
              <w:rPr>
                <w:sz w:val="20"/>
              </w:rPr>
              <w:t xml:space="preserve"> J.)</w:t>
            </w:r>
          </w:p>
          <w:p w:rsidR="007C1127" w:rsidRPr="00D0317D" w:rsidRDefault="00985225" w:rsidP="007C1127">
            <w:pPr>
              <w:jc w:val="both"/>
              <w:rPr>
                <w:sz w:val="20"/>
              </w:rPr>
            </w:pPr>
            <w:hyperlink r:id="rId27" w:history="1">
              <w:r w:rsidR="007C1127" w:rsidRPr="00D0317D">
                <w:rPr>
                  <w:rStyle w:val="Hyperlink"/>
                  <w:sz w:val="20"/>
                </w:rPr>
                <w:t>2013 ONSC 5916</w:t>
              </w:r>
            </w:hyperlink>
          </w:p>
          <w:p w:rsidR="007C1127" w:rsidRPr="00D0317D" w:rsidRDefault="007C1127" w:rsidP="007C1127">
            <w:pPr>
              <w:jc w:val="both"/>
              <w:rPr>
                <w:sz w:val="20"/>
              </w:rPr>
            </w:pPr>
          </w:p>
        </w:tc>
        <w:tc>
          <w:tcPr>
            <w:tcW w:w="243" w:type="pct"/>
          </w:tcPr>
          <w:p w:rsidR="007C1127" w:rsidRPr="00D0317D" w:rsidRDefault="007C1127" w:rsidP="007C1127">
            <w:pPr>
              <w:jc w:val="both"/>
              <w:rPr>
                <w:sz w:val="20"/>
              </w:rPr>
            </w:pPr>
          </w:p>
        </w:tc>
        <w:tc>
          <w:tcPr>
            <w:tcW w:w="2330" w:type="pct"/>
          </w:tcPr>
          <w:p w:rsidR="007C1127" w:rsidRPr="00D0317D" w:rsidRDefault="007C1127" w:rsidP="007C1127">
            <w:pPr>
              <w:jc w:val="both"/>
              <w:rPr>
                <w:sz w:val="20"/>
              </w:rPr>
            </w:pPr>
            <w:r w:rsidRPr="00D0317D">
              <w:rPr>
                <w:sz w:val="20"/>
              </w:rPr>
              <w:t>Action certified as a class action proceeding against Bell.</w:t>
            </w:r>
          </w:p>
          <w:p w:rsidR="007C1127" w:rsidRPr="00D0317D" w:rsidRDefault="007C1127" w:rsidP="007C1127">
            <w:pPr>
              <w:jc w:val="both"/>
              <w:rPr>
                <w:sz w:val="20"/>
              </w:rPr>
            </w:pPr>
          </w:p>
        </w:tc>
      </w:tr>
      <w:tr w:rsidR="007C1127" w:rsidRPr="00D0317D" w:rsidTr="00E95A6A">
        <w:tc>
          <w:tcPr>
            <w:tcW w:w="2427" w:type="pct"/>
            <w:gridSpan w:val="2"/>
          </w:tcPr>
          <w:p w:rsidR="007C1127" w:rsidRPr="00D0317D" w:rsidRDefault="007C1127" w:rsidP="007C1127">
            <w:pPr>
              <w:jc w:val="both"/>
              <w:rPr>
                <w:sz w:val="20"/>
              </w:rPr>
            </w:pPr>
            <w:r w:rsidRPr="00D0317D">
              <w:rPr>
                <w:sz w:val="20"/>
              </w:rPr>
              <w:t>February 12, 2015</w:t>
            </w:r>
          </w:p>
          <w:p w:rsidR="007C1127" w:rsidRPr="00D0317D" w:rsidRDefault="007C1127" w:rsidP="007C1127">
            <w:pPr>
              <w:jc w:val="both"/>
              <w:rPr>
                <w:sz w:val="20"/>
              </w:rPr>
            </w:pPr>
            <w:r w:rsidRPr="00D0317D">
              <w:rPr>
                <w:sz w:val="20"/>
              </w:rPr>
              <w:t>Ontario Superior Court of Justice</w:t>
            </w:r>
          </w:p>
          <w:p w:rsidR="007C1127" w:rsidRPr="00D0317D" w:rsidRDefault="007C1127" w:rsidP="007C1127">
            <w:pPr>
              <w:jc w:val="both"/>
              <w:rPr>
                <w:sz w:val="20"/>
              </w:rPr>
            </w:pPr>
            <w:r w:rsidRPr="00D0317D">
              <w:rPr>
                <w:sz w:val="20"/>
              </w:rPr>
              <w:t>(</w:t>
            </w:r>
            <w:proofErr w:type="spellStart"/>
            <w:r w:rsidRPr="00D0317D">
              <w:rPr>
                <w:sz w:val="20"/>
              </w:rPr>
              <w:t>Belobaba</w:t>
            </w:r>
            <w:proofErr w:type="spellEnd"/>
            <w:r w:rsidRPr="00D0317D">
              <w:rPr>
                <w:sz w:val="20"/>
              </w:rPr>
              <w:t xml:space="preserve"> J.)</w:t>
            </w:r>
          </w:p>
          <w:p w:rsidR="007C1127" w:rsidRPr="00D0317D" w:rsidRDefault="00985225" w:rsidP="007C1127">
            <w:pPr>
              <w:jc w:val="both"/>
              <w:rPr>
                <w:sz w:val="20"/>
              </w:rPr>
            </w:pPr>
            <w:hyperlink r:id="rId28" w:history="1">
              <w:r w:rsidR="007C1127" w:rsidRPr="00D0317D">
                <w:rPr>
                  <w:rStyle w:val="Hyperlink"/>
                  <w:sz w:val="20"/>
                </w:rPr>
                <w:t>2015 ONSC 632</w:t>
              </w:r>
            </w:hyperlink>
          </w:p>
          <w:p w:rsidR="007C1127" w:rsidRPr="00D0317D" w:rsidRDefault="007C1127" w:rsidP="007C1127">
            <w:pPr>
              <w:jc w:val="both"/>
              <w:rPr>
                <w:sz w:val="20"/>
              </w:rPr>
            </w:pPr>
          </w:p>
        </w:tc>
        <w:tc>
          <w:tcPr>
            <w:tcW w:w="243" w:type="pct"/>
          </w:tcPr>
          <w:p w:rsidR="007C1127" w:rsidRPr="00D0317D" w:rsidRDefault="007C1127" w:rsidP="007C1127">
            <w:pPr>
              <w:jc w:val="both"/>
              <w:rPr>
                <w:sz w:val="20"/>
              </w:rPr>
            </w:pPr>
          </w:p>
        </w:tc>
        <w:tc>
          <w:tcPr>
            <w:tcW w:w="2330" w:type="pct"/>
          </w:tcPr>
          <w:p w:rsidR="007C1127" w:rsidRPr="00D0317D" w:rsidRDefault="007C1127" w:rsidP="007C1127">
            <w:pPr>
              <w:jc w:val="both"/>
              <w:rPr>
                <w:sz w:val="20"/>
              </w:rPr>
            </w:pPr>
            <w:r w:rsidRPr="00D0317D">
              <w:rPr>
                <w:sz w:val="20"/>
              </w:rPr>
              <w:t xml:space="preserve">Common issues answered in favour of Bell; Action against Bell dismissed. </w:t>
            </w:r>
          </w:p>
          <w:p w:rsidR="007C1127" w:rsidRPr="00D0317D" w:rsidRDefault="007C1127" w:rsidP="007C1127">
            <w:pPr>
              <w:jc w:val="both"/>
              <w:rPr>
                <w:sz w:val="20"/>
              </w:rPr>
            </w:pPr>
          </w:p>
        </w:tc>
      </w:tr>
      <w:tr w:rsidR="007C1127" w:rsidRPr="00D0317D" w:rsidTr="00E95A6A">
        <w:tc>
          <w:tcPr>
            <w:tcW w:w="2427" w:type="pct"/>
            <w:gridSpan w:val="2"/>
          </w:tcPr>
          <w:p w:rsidR="007C1127" w:rsidRPr="00D0317D" w:rsidRDefault="007C1127" w:rsidP="007C1127">
            <w:pPr>
              <w:jc w:val="both"/>
              <w:rPr>
                <w:sz w:val="20"/>
              </w:rPr>
            </w:pPr>
            <w:r w:rsidRPr="00D0317D">
              <w:rPr>
                <w:sz w:val="20"/>
              </w:rPr>
              <w:t>April 4, 2016</w:t>
            </w:r>
          </w:p>
          <w:p w:rsidR="007C1127" w:rsidRPr="00D0317D" w:rsidRDefault="007C1127" w:rsidP="007C1127">
            <w:pPr>
              <w:jc w:val="both"/>
              <w:rPr>
                <w:sz w:val="20"/>
              </w:rPr>
            </w:pPr>
            <w:r w:rsidRPr="00D0317D">
              <w:rPr>
                <w:sz w:val="20"/>
              </w:rPr>
              <w:t>Court of Appeal for Ontario</w:t>
            </w:r>
          </w:p>
          <w:p w:rsidR="007C1127" w:rsidRPr="00D0317D" w:rsidRDefault="007C1127" w:rsidP="007C1127">
            <w:pPr>
              <w:jc w:val="both"/>
              <w:rPr>
                <w:sz w:val="20"/>
              </w:rPr>
            </w:pPr>
            <w:r w:rsidRPr="00D0317D">
              <w:rPr>
                <w:sz w:val="20"/>
              </w:rPr>
              <w:t xml:space="preserve">(Strathy C.J.O. and </w:t>
            </w:r>
            <w:proofErr w:type="spellStart"/>
            <w:r w:rsidRPr="00D0317D">
              <w:rPr>
                <w:sz w:val="20"/>
              </w:rPr>
              <w:t>LaForme</w:t>
            </w:r>
            <w:proofErr w:type="spellEnd"/>
            <w:r w:rsidRPr="00D0317D">
              <w:rPr>
                <w:sz w:val="20"/>
              </w:rPr>
              <w:t xml:space="preserve"> and </w:t>
            </w:r>
            <w:proofErr w:type="spellStart"/>
            <w:r w:rsidRPr="00D0317D">
              <w:rPr>
                <w:sz w:val="20"/>
              </w:rPr>
              <w:t>Huscroft</w:t>
            </w:r>
            <w:proofErr w:type="spellEnd"/>
            <w:r w:rsidRPr="00D0317D">
              <w:rPr>
                <w:sz w:val="20"/>
              </w:rPr>
              <w:t xml:space="preserve"> JJ.A.)</w:t>
            </w:r>
          </w:p>
          <w:p w:rsidR="007C1127" w:rsidRPr="00D0317D" w:rsidRDefault="00985225" w:rsidP="007C1127">
            <w:pPr>
              <w:jc w:val="both"/>
              <w:rPr>
                <w:sz w:val="20"/>
              </w:rPr>
            </w:pPr>
            <w:hyperlink r:id="rId29" w:history="1">
              <w:r w:rsidR="007C1127" w:rsidRPr="00D0317D">
                <w:rPr>
                  <w:rStyle w:val="Hyperlink"/>
                  <w:sz w:val="20"/>
                </w:rPr>
                <w:t>2016 ONCA 242</w:t>
              </w:r>
            </w:hyperlink>
          </w:p>
          <w:p w:rsidR="007C1127" w:rsidRPr="00D0317D" w:rsidRDefault="007C1127" w:rsidP="007C1127">
            <w:pPr>
              <w:jc w:val="both"/>
              <w:rPr>
                <w:sz w:val="20"/>
              </w:rPr>
            </w:pPr>
            <w:r w:rsidRPr="00D0317D">
              <w:rPr>
                <w:sz w:val="20"/>
              </w:rPr>
              <w:t>File No.: C60176</w:t>
            </w:r>
          </w:p>
          <w:p w:rsidR="007C1127" w:rsidRPr="00D0317D" w:rsidRDefault="007C1127" w:rsidP="007C1127">
            <w:pPr>
              <w:jc w:val="both"/>
              <w:rPr>
                <w:sz w:val="20"/>
              </w:rPr>
            </w:pPr>
          </w:p>
        </w:tc>
        <w:tc>
          <w:tcPr>
            <w:tcW w:w="243" w:type="pct"/>
          </w:tcPr>
          <w:p w:rsidR="007C1127" w:rsidRPr="00D0317D" w:rsidRDefault="007C1127" w:rsidP="007C1127">
            <w:pPr>
              <w:jc w:val="both"/>
              <w:rPr>
                <w:sz w:val="20"/>
              </w:rPr>
            </w:pPr>
          </w:p>
        </w:tc>
        <w:tc>
          <w:tcPr>
            <w:tcW w:w="2330" w:type="pct"/>
          </w:tcPr>
          <w:p w:rsidR="007C1127" w:rsidRPr="00D0317D" w:rsidRDefault="007C1127" w:rsidP="007C1127">
            <w:pPr>
              <w:jc w:val="both"/>
              <w:rPr>
                <w:sz w:val="20"/>
              </w:rPr>
            </w:pPr>
            <w:r w:rsidRPr="00D0317D">
              <w:rPr>
                <w:sz w:val="20"/>
              </w:rPr>
              <w:t>Appeal dismissed.</w:t>
            </w:r>
          </w:p>
          <w:p w:rsidR="007C1127" w:rsidRPr="00D0317D" w:rsidRDefault="007C1127" w:rsidP="007C1127">
            <w:pPr>
              <w:jc w:val="both"/>
              <w:rPr>
                <w:sz w:val="20"/>
              </w:rPr>
            </w:pPr>
          </w:p>
        </w:tc>
      </w:tr>
      <w:tr w:rsidR="007C1127" w:rsidRPr="00D0317D" w:rsidTr="00E95A6A">
        <w:tc>
          <w:tcPr>
            <w:tcW w:w="2427" w:type="pct"/>
            <w:gridSpan w:val="2"/>
          </w:tcPr>
          <w:p w:rsidR="007C1127" w:rsidRPr="00D0317D" w:rsidRDefault="007C1127" w:rsidP="007C1127">
            <w:pPr>
              <w:jc w:val="both"/>
              <w:rPr>
                <w:sz w:val="20"/>
              </w:rPr>
            </w:pPr>
            <w:r w:rsidRPr="00D0317D">
              <w:rPr>
                <w:sz w:val="20"/>
              </w:rPr>
              <w:t>June 3, 2016</w:t>
            </w:r>
          </w:p>
          <w:p w:rsidR="007C1127" w:rsidRPr="00D0317D" w:rsidRDefault="007C1127" w:rsidP="007C1127">
            <w:pPr>
              <w:jc w:val="both"/>
              <w:rPr>
                <w:sz w:val="20"/>
              </w:rPr>
            </w:pPr>
            <w:r w:rsidRPr="00D0317D">
              <w:rPr>
                <w:sz w:val="20"/>
              </w:rPr>
              <w:t>Supreme Court of Canada</w:t>
            </w:r>
          </w:p>
        </w:tc>
        <w:tc>
          <w:tcPr>
            <w:tcW w:w="243" w:type="pct"/>
          </w:tcPr>
          <w:p w:rsidR="007C1127" w:rsidRPr="00D0317D" w:rsidRDefault="007C1127" w:rsidP="007C1127">
            <w:pPr>
              <w:jc w:val="both"/>
              <w:rPr>
                <w:sz w:val="20"/>
              </w:rPr>
            </w:pPr>
          </w:p>
        </w:tc>
        <w:tc>
          <w:tcPr>
            <w:tcW w:w="2330" w:type="pct"/>
          </w:tcPr>
          <w:p w:rsidR="007C1127" w:rsidRPr="00D0317D" w:rsidRDefault="007C1127" w:rsidP="007C1127">
            <w:pPr>
              <w:jc w:val="both"/>
              <w:rPr>
                <w:sz w:val="20"/>
              </w:rPr>
            </w:pPr>
            <w:r w:rsidRPr="00D0317D">
              <w:rPr>
                <w:sz w:val="20"/>
              </w:rPr>
              <w:t>Application for leave to appeal filed.</w:t>
            </w:r>
          </w:p>
          <w:p w:rsidR="007C1127" w:rsidRPr="00D0317D" w:rsidRDefault="007C1127" w:rsidP="007C1127">
            <w:pPr>
              <w:jc w:val="both"/>
              <w:rPr>
                <w:sz w:val="20"/>
              </w:rPr>
            </w:pPr>
          </w:p>
        </w:tc>
      </w:tr>
    </w:tbl>
    <w:p w:rsidR="007C1127" w:rsidRPr="00D0317D" w:rsidRDefault="007C1127" w:rsidP="007C1127">
      <w:pPr>
        <w:jc w:val="both"/>
        <w:rPr>
          <w:sz w:val="20"/>
        </w:rPr>
      </w:pPr>
    </w:p>
    <w:p w:rsidR="007C1127" w:rsidRPr="00D0317D" w:rsidRDefault="007C1127" w:rsidP="007C112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C1127" w:rsidRPr="005165BD" w:rsidTr="00E95A6A">
        <w:tc>
          <w:tcPr>
            <w:tcW w:w="543" w:type="pct"/>
          </w:tcPr>
          <w:p w:rsidR="007C1127" w:rsidRPr="00D0317D" w:rsidRDefault="007C1127" w:rsidP="007C1127">
            <w:pPr>
              <w:jc w:val="both"/>
              <w:rPr>
                <w:sz w:val="20"/>
                <w:lang w:val="fr-CA"/>
              </w:rPr>
            </w:pPr>
            <w:r w:rsidRPr="00D0317D">
              <w:rPr>
                <w:rStyle w:val="SCCFileNumberChar"/>
                <w:sz w:val="20"/>
                <w:szCs w:val="20"/>
                <w:lang w:val="fr-CA"/>
              </w:rPr>
              <w:t>37045</w:t>
            </w:r>
          </w:p>
        </w:tc>
        <w:tc>
          <w:tcPr>
            <w:tcW w:w="4457" w:type="pct"/>
            <w:gridSpan w:val="3"/>
          </w:tcPr>
          <w:p w:rsidR="007C1127" w:rsidRPr="00D0317D" w:rsidRDefault="007C1127" w:rsidP="007C1127">
            <w:pPr>
              <w:pStyle w:val="SCCLsocParty"/>
              <w:jc w:val="both"/>
              <w:rPr>
                <w:b/>
                <w:sz w:val="20"/>
                <w:szCs w:val="20"/>
              </w:rPr>
            </w:pPr>
            <w:r w:rsidRPr="00D0317D">
              <w:rPr>
                <w:b/>
                <w:sz w:val="20"/>
                <w:szCs w:val="20"/>
              </w:rPr>
              <w:t>Celia Sankar c. Bell Mobilité Inc.</w:t>
            </w:r>
          </w:p>
          <w:p w:rsidR="007C1127" w:rsidRPr="00D0317D" w:rsidRDefault="007C1127" w:rsidP="007C1127">
            <w:pPr>
              <w:jc w:val="both"/>
              <w:rPr>
                <w:sz w:val="20"/>
                <w:lang w:val="fr-CA"/>
              </w:rPr>
            </w:pPr>
            <w:r w:rsidRPr="00D0317D">
              <w:rPr>
                <w:sz w:val="20"/>
                <w:lang w:val="fr-CA"/>
              </w:rPr>
              <w:t>(Ont.) (Civile) (Sur autorisation)</w:t>
            </w:r>
          </w:p>
        </w:tc>
      </w:tr>
      <w:tr w:rsidR="007C1127" w:rsidRPr="005165BD" w:rsidTr="00474689">
        <w:trPr>
          <w:trHeight w:val="2268"/>
        </w:trPr>
        <w:tc>
          <w:tcPr>
            <w:tcW w:w="5000" w:type="pct"/>
            <w:gridSpan w:val="4"/>
          </w:tcPr>
          <w:p w:rsidR="007C1127" w:rsidRPr="00D0317D" w:rsidRDefault="007C1127" w:rsidP="007C1127">
            <w:pPr>
              <w:jc w:val="both"/>
              <w:rPr>
                <w:sz w:val="20"/>
                <w:lang w:val="fr-CA"/>
              </w:rPr>
            </w:pPr>
            <w:r w:rsidRPr="00D0317D">
              <w:rPr>
                <w:sz w:val="20"/>
                <w:lang w:val="fr-CA"/>
              </w:rPr>
              <w:t>Contrats — Violation de contrat — Comptes de cartes d’appel sans-fil prépayées — Recours collectif certifié alléguant que Bell a irrégulièrement perçu des fonds inutilisés des comptes d’abonnés qui omettaient de « recharger » leur compte avant la fin de leur « période active » — Jugement sommaire en faveur de Bell — La Cour d’appel a rejeté l’appel — Dans quelles situations une cour qui interprète un contrat de consommation type devrait-elle donner un effet contractuel aux documents accessoires, y compris les documents de mise en marché comme les annonces aux points de vente, les brochures et les déclarations sur les sites Web? — Les avis types envoyés aux consommateurs en exécution de dispositions contractuelles en matière d’avis peuvent-ils servir de fondement à une demande pour violation de contrat dans un recours collectif ou bien est-ce que les consommateurs doivent plutôt poursuivre individuellement pour assertion inexacte?</w:t>
            </w:r>
          </w:p>
        </w:tc>
      </w:tr>
      <w:tr w:rsidR="007C1127" w:rsidRPr="00D0317D" w:rsidTr="007C1127">
        <w:trPr>
          <w:trHeight w:val="3555"/>
        </w:trPr>
        <w:tc>
          <w:tcPr>
            <w:tcW w:w="5000" w:type="pct"/>
            <w:gridSpan w:val="4"/>
          </w:tcPr>
          <w:tbl>
            <w:tblPr>
              <w:tblW w:w="9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360"/>
            </w:tblGrid>
            <w:tr w:rsidR="007C1127" w:rsidRPr="005165BD" w:rsidTr="00474689">
              <w:trPr>
                <w:trHeight w:val="288"/>
              </w:trPr>
              <w:tc>
                <w:tcPr>
                  <w:tcW w:w="5000" w:type="pct"/>
                  <w:tcBorders>
                    <w:top w:val="nil"/>
                    <w:left w:val="nil"/>
                    <w:bottom w:val="nil"/>
                    <w:right w:val="nil"/>
                  </w:tcBorders>
                  <w:tcMar>
                    <w:top w:w="120" w:type="dxa"/>
                    <w:left w:w="120" w:type="dxa"/>
                    <w:bottom w:w="58" w:type="dxa"/>
                    <w:right w:w="120" w:type="dxa"/>
                  </w:tcMar>
                </w:tcPr>
                <w:p w:rsidR="007C1127" w:rsidRPr="00D0317D" w:rsidRDefault="007C1127" w:rsidP="007C1127">
                  <w:pPr>
                    <w:ind w:left="-120" w:right="-30"/>
                    <w:jc w:val="both"/>
                    <w:rPr>
                      <w:sz w:val="20"/>
                      <w:lang w:val="fr-CA"/>
                    </w:rPr>
                  </w:pPr>
                  <w:r w:rsidRPr="00D0317D">
                    <w:rPr>
                      <w:sz w:val="20"/>
                      <w:lang w:val="fr-CA"/>
                    </w:rPr>
                    <w:t xml:space="preserve">Le pourvoi éventuel a pour objet les comptes de cartes d’appel sans-fil prépayées. Il concerne le sort des soldes qui demeurent dans le compte d’une abonnée de Bell Mobilité Inc. lorsque cette dernière omet de « recharger » le compte avant la fin de sa « période active ». Les </w:t>
                  </w:r>
                  <w:proofErr w:type="gramStart"/>
                  <w:r w:rsidRPr="00D0317D">
                    <w:rPr>
                      <w:sz w:val="20"/>
                      <w:lang w:val="fr-CA"/>
                    </w:rPr>
                    <w:t>rechargement</w:t>
                  </w:r>
                  <w:proofErr w:type="gramEnd"/>
                  <w:r w:rsidRPr="00D0317D">
                    <w:rPr>
                      <w:sz w:val="20"/>
                      <w:lang w:val="fr-CA"/>
                    </w:rPr>
                    <w:t xml:space="preserve"> des cartes prépayées de Bell permettent aux clients d’ajouter des crédits à leurs comptes et de prolonger leur période active, ce qui leur donne accès au réseau sans-fil de Bell. Pendant la période en cause, Bell avait pour pratique de réclamer les fonds inutilisés le jour qui suivait la fin de la période active. Par exemple, si la période active prenait fin le 30 juin, Bell avait pour pratique de réclamer les fonds inutilisés le 1</w:t>
                  </w:r>
                  <w:r w:rsidRPr="00D0317D">
                    <w:rPr>
                      <w:sz w:val="20"/>
                      <w:vertAlign w:val="superscript"/>
                      <w:lang w:val="fr-CA"/>
                    </w:rPr>
                    <w:t>er</w:t>
                  </w:r>
                  <w:r w:rsidRPr="00D0317D">
                    <w:rPr>
                      <w:sz w:val="20"/>
                      <w:lang w:val="fr-CA"/>
                    </w:rPr>
                    <w:t xml:space="preserve"> juillet si le compte n’avait pas été rechargé pour prolonger la période active.</w:t>
                  </w:r>
                </w:p>
                <w:p w:rsidR="007C1127" w:rsidRPr="00D0317D" w:rsidRDefault="007C1127" w:rsidP="007C1127">
                  <w:pPr>
                    <w:ind w:left="-120"/>
                    <w:jc w:val="both"/>
                    <w:rPr>
                      <w:sz w:val="20"/>
                      <w:lang w:val="fr-CA"/>
                    </w:rPr>
                  </w:pPr>
                </w:p>
                <w:p w:rsidR="007C1127" w:rsidRPr="00D0317D" w:rsidRDefault="007C1127" w:rsidP="007C1127">
                  <w:pPr>
                    <w:ind w:left="-120" w:right="-30"/>
                    <w:jc w:val="both"/>
                    <w:rPr>
                      <w:sz w:val="20"/>
                      <w:lang w:val="fr-CA"/>
                    </w:rPr>
                  </w:pPr>
                  <w:r w:rsidRPr="00D0317D">
                    <w:rPr>
                      <w:sz w:val="20"/>
                      <w:lang w:val="fr-CA"/>
                    </w:rPr>
                    <w:t>Dans son recours collectif, la demanderesse, Mme Sankar, a allégué que Bell percevait irrégulièrement ces fonds. Selon la demanderesse, le contrat prévoyait que Bell devait attendre le deuxième jour qui suivait la fin de la période active et non pas le premier jour.</w:t>
                  </w:r>
                </w:p>
                <w:p w:rsidR="007C1127" w:rsidRPr="00D0317D" w:rsidRDefault="007C1127" w:rsidP="007C1127">
                  <w:pPr>
                    <w:ind w:left="-120" w:right="-30"/>
                    <w:jc w:val="both"/>
                    <w:rPr>
                      <w:sz w:val="20"/>
                      <w:lang w:val="fr-CA"/>
                    </w:rPr>
                  </w:pPr>
                </w:p>
              </w:tc>
            </w:tr>
            <w:tr w:rsidR="007C1127" w:rsidRPr="00D0317D" w:rsidTr="00474689">
              <w:trPr>
                <w:trHeight w:val="288"/>
              </w:trPr>
              <w:tc>
                <w:tcPr>
                  <w:tcW w:w="5000" w:type="pct"/>
                  <w:tcBorders>
                    <w:top w:val="nil"/>
                    <w:left w:val="nil"/>
                    <w:bottom w:val="nil"/>
                    <w:right w:val="nil"/>
                  </w:tcBorders>
                  <w:tcMar>
                    <w:top w:w="120" w:type="dxa"/>
                    <w:left w:w="120" w:type="dxa"/>
                    <w:bottom w:w="58" w:type="dxa"/>
                    <w:right w:w="120" w:type="dxa"/>
                  </w:tcMar>
                </w:tcPr>
                <w:p w:rsidR="007C1127" w:rsidRPr="00D0317D" w:rsidRDefault="007C1127" w:rsidP="007C1127">
                  <w:pPr>
                    <w:ind w:left="-120"/>
                    <w:jc w:val="both"/>
                    <w:rPr>
                      <w:sz w:val="20"/>
                      <w:lang w:val="fr-CA"/>
                    </w:rPr>
                  </w:pPr>
                  <w:r w:rsidRPr="00D0317D">
                    <w:rPr>
                      <w:sz w:val="20"/>
                      <w:lang w:val="fr-CA"/>
                    </w:rPr>
                    <w:t>Le juge de première instance a statué que Bell n’avait pas violé son contrat et il a prononcé un jugement sommaire, tranchant les questions communes en faveur de Bell et il rejeté le recours collectif. La Cour d’appel a rejeté l’appel.</w:t>
                  </w:r>
                </w:p>
                <w:p w:rsidR="007C1127" w:rsidRPr="00D0317D" w:rsidRDefault="007C1127" w:rsidP="007C1127">
                  <w:pPr>
                    <w:ind w:left="-120"/>
                    <w:jc w:val="both"/>
                    <w:rPr>
                      <w:sz w:val="20"/>
                      <w:lang w:val="fr-CA"/>
                    </w:rPr>
                  </w:pPr>
                </w:p>
              </w:tc>
            </w:tr>
          </w:tbl>
          <w:p w:rsidR="007C1127" w:rsidRPr="00D0317D" w:rsidRDefault="007C1127" w:rsidP="007C1127">
            <w:pPr>
              <w:jc w:val="both"/>
              <w:rPr>
                <w:sz w:val="20"/>
                <w:lang w:val="fr-CA"/>
              </w:rPr>
            </w:pPr>
          </w:p>
        </w:tc>
      </w:tr>
      <w:tr w:rsidR="007C1127" w:rsidRPr="005165BD" w:rsidTr="00E95A6A">
        <w:tc>
          <w:tcPr>
            <w:tcW w:w="2427" w:type="pct"/>
            <w:gridSpan w:val="2"/>
          </w:tcPr>
          <w:p w:rsidR="007C1127" w:rsidRPr="00D0317D" w:rsidRDefault="007C1127" w:rsidP="007C1127">
            <w:pPr>
              <w:jc w:val="both"/>
              <w:rPr>
                <w:sz w:val="20"/>
                <w:lang w:val="fr-CA"/>
              </w:rPr>
            </w:pPr>
            <w:r w:rsidRPr="00D0317D">
              <w:rPr>
                <w:sz w:val="20"/>
                <w:lang w:val="fr-CA"/>
              </w:rPr>
              <w:t>4 octobre 2013</w:t>
            </w:r>
          </w:p>
          <w:p w:rsidR="007C1127" w:rsidRPr="00D0317D" w:rsidRDefault="007C1127" w:rsidP="007C1127">
            <w:pPr>
              <w:jc w:val="both"/>
              <w:rPr>
                <w:sz w:val="20"/>
                <w:lang w:val="fr-CA"/>
              </w:rPr>
            </w:pPr>
            <w:r w:rsidRPr="00D0317D">
              <w:rPr>
                <w:sz w:val="20"/>
                <w:lang w:val="fr-CA"/>
              </w:rPr>
              <w:t>Cour supérieure de justice de l’Ontario</w:t>
            </w:r>
          </w:p>
          <w:p w:rsidR="007C1127" w:rsidRPr="00D0317D" w:rsidRDefault="007C1127" w:rsidP="007C1127">
            <w:pPr>
              <w:jc w:val="both"/>
              <w:rPr>
                <w:sz w:val="20"/>
                <w:lang w:val="fr-CA"/>
              </w:rPr>
            </w:pPr>
            <w:r w:rsidRPr="00D0317D">
              <w:rPr>
                <w:sz w:val="20"/>
                <w:lang w:val="fr-CA"/>
              </w:rPr>
              <w:t>(Juge Belobaba)</w:t>
            </w:r>
          </w:p>
          <w:p w:rsidR="007C1127" w:rsidRPr="00D0317D" w:rsidRDefault="00985225" w:rsidP="007C1127">
            <w:pPr>
              <w:jc w:val="both"/>
              <w:rPr>
                <w:sz w:val="20"/>
                <w:lang w:val="fr-CA"/>
              </w:rPr>
            </w:pPr>
            <w:hyperlink r:id="rId30" w:history="1">
              <w:r w:rsidR="007C1127" w:rsidRPr="00D0317D">
                <w:rPr>
                  <w:rStyle w:val="Hyperlink"/>
                  <w:sz w:val="20"/>
                  <w:lang w:val="fr-CA"/>
                </w:rPr>
                <w:t>2013 ONSC 5916</w:t>
              </w:r>
            </w:hyperlink>
          </w:p>
          <w:p w:rsidR="007C1127" w:rsidRPr="00D0317D" w:rsidRDefault="007C1127" w:rsidP="007C1127">
            <w:pPr>
              <w:jc w:val="both"/>
              <w:rPr>
                <w:sz w:val="20"/>
                <w:lang w:val="fr-CA"/>
              </w:rPr>
            </w:pPr>
          </w:p>
        </w:tc>
        <w:tc>
          <w:tcPr>
            <w:tcW w:w="243" w:type="pct"/>
          </w:tcPr>
          <w:p w:rsidR="007C1127" w:rsidRPr="00D0317D" w:rsidRDefault="007C1127" w:rsidP="007C1127">
            <w:pPr>
              <w:jc w:val="both"/>
              <w:rPr>
                <w:sz w:val="20"/>
                <w:lang w:val="fr-CA"/>
              </w:rPr>
            </w:pPr>
          </w:p>
        </w:tc>
        <w:tc>
          <w:tcPr>
            <w:tcW w:w="2330" w:type="pct"/>
          </w:tcPr>
          <w:p w:rsidR="007C1127" w:rsidRPr="00D0317D" w:rsidRDefault="007C1127" w:rsidP="007C1127">
            <w:pPr>
              <w:jc w:val="both"/>
              <w:rPr>
                <w:sz w:val="20"/>
                <w:lang w:val="fr-CA"/>
              </w:rPr>
            </w:pPr>
            <w:r w:rsidRPr="00D0317D">
              <w:rPr>
                <w:sz w:val="20"/>
                <w:lang w:val="fr-CA"/>
              </w:rPr>
              <w:t>Action certifiée en tant que recours collectif contre Bell.</w:t>
            </w:r>
          </w:p>
          <w:p w:rsidR="007C1127" w:rsidRPr="00D0317D" w:rsidRDefault="007C1127" w:rsidP="007C1127">
            <w:pPr>
              <w:jc w:val="both"/>
              <w:rPr>
                <w:sz w:val="20"/>
                <w:lang w:val="fr-CA"/>
              </w:rPr>
            </w:pPr>
          </w:p>
        </w:tc>
      </w:tr>
      <w:tr w:rsidR="007C1127" w:rsidRPr="005165BD" w:rsidTr="00E95A6A">
        <w:tc>
          <w:tcPr>
            <w:tcW w:w="2427" w:type="pct"/>
            <w:gridSpan w:val="2"/>
          </w:tcPr>
          <w:p w:rsidR="007C1127" w:rsidRPr="00D0317D" w:rsidRDefault="007C1127" w:rsidP="007C1127">
            <w:pPr>
              <w:jc w:val="both"/>
              <w:rPr>
                <w:sz w:val="20"/>
                <w:lang w:val="fr-CA"/>
              </w:rPr>
            </w:pPr>
            <w:r w:rsidRPr="00D0317D">
              <w:rPr>
                <w:sz w:val="20"/>
                <w:lang w:val="fr-CA"/>
              </w:rPr>
              <w:t>12 février 2015</w:t>
            </w:r>
          </w:p>
          <w:p w:rsidR="007C1127" w:rsidRPr="00D0317D" w:rsidRDefault="007C1127" w:rsidP="007C1127">
            <w:pPr>
              <w:jc w:val="both"/>
              <w:rPr>
                <w:sz w:val="20"/>
                <w:lang w:val="fr-CA"/>
              </w:rPr>
            </w:pPr>
            <w:r w:rsidRPr="00D0317D">
              <w:rPr>
                <w:sz w:val="20"/>
                <w:lang w:val="fr-CA"/>
              </w:rPr>
              <w:t xml:space="preserve">Cour supérieure de justice de l’Ontario </w:t>
            </w:r>
          </w:p>
          <w:p w:rsidR="007C1127" w:rsidRPr="00D0317D" w:rsidRDefault="007C1127" w:rsidP="007C1127">
            <w:pPr>
              <w:jc w:val="both"/>
              <w:rPr>
                <w:sz w:val="20"/>
                <w:lang w:val="fr-CA"/>
              </w:rPr>
            </w:pPr>
            <w:r w:rsidRPr="00D0317D">
              <w:rPr>
                <w:sz w:val="20"/>
                <w:lang w:val="fr-CA"/>
              </w:rPr>
              <w:t>(Juge Belobaba)</w:t>
            </w:r>
          </w:p>
          <w:p w:rsidR="007C1127" w:rsidRPr="00D0317D" w:rsidRDefault="00985225" w:rsidP="007C1127">
            <w:pPr>
              <w:jc w:val="both"/>
              <w:rPr>
                <w:sz w:val="20"/>
                <w:lang w:val="fr-CA"/>
              </w:rPr>
            </w:pPr>
            <w:hyperlink r:id="rId31" w:history="1">
              <w:r w:rsidR="007C1127" w:rsidRPr="00D0317D">
                <w:rPr>
                  <w:rStyle w:val="Hyperlink"/>
                  <w:sz w:val="20"/>
                  <w:lang w:val="fr-CA"/>
                </w:rPr>
                <w:t>2015 ONSC 632</w:t>
              </w:r>
            </w:hyperlink>
          </w:p>
          <w:p w:rsidR="007C1127" w:rsidRPr="00D0317D" w:rsidRDefault="007C1127" w:rsidP="007C1127">
            <w:pPr>
              <w:jc w:val="both"/>
              <w:rPr>
                <w:sz w:val="20"/>
                <w:lang w:val="fr-CA"/>
              </w:rPr>
            </w:pPr>
          </w:p>
        </w:tc>
        <w:tc>
          <w:tcPr>
            <w:tcW w:w="243" w:type="pct"/>
          </w:tcPr>
          <w:p w:rsidR="007C1127" w:rsidRPr="00D0317D" w:rsidRDefault="007C1127" w:rsidP="007C1127">
            <w:pPr>
              <w:jc w:val="both"/>
              <w:rPr>
                <w:sz w:val="20"/>
                <w:lang w:val="fr-CA"/>
              </w:rPr>
            </w:pPr>
          </w:p>
        </w:tc>
        <w:tc>
          <w:tcPr>
            <w:tcW w:w="2330" w:type="pct"/>
          </w:tcPr>
          <w:p w:rsidR="007C1127" w:rsidRPr="00D0317D" w:rsidRDefault="007C1127" w:rsidP="007C1127">
            <w:pPr>
              <w:jc w:val="both"/>
              <w:rPr>
                <w:sz w:val="20"/>
                <w:lang w:val="fr-CA"/>
              </w:rPr>
            </w:pPr>
            <w:r w:rsidRPr="00D0317D">
              <w:rPr>
                <w:sz w:val="20"/>
                <w:lang w:val="fr-CA"/>
              </w:rPr>
              <w:t xml:space="preserve">Jugement tranchant les questions communes en faveur de Bell; rejet de l’action contre Bell. </w:t>
            </w:r>
          </w:p>
          <w:p w:rsidR="007C1127" w:rsidRPr="00D0317D" w:rsidRDefault="007C1127" w:rsidP="007C1127">
            <w:pPr>
              <w:jc w:val="both"/>
              <w:rPr>
                <w:sz w:val="20"/>
                <w:lang w:val="fr-CA"/>
              </w:rPr>
            </w:pPr>
          </w:p>
        </w:tc>
      </w:tr>
      <w:tr w:rsidR="007C1127" w:rsidRPr="00D0317D" w:rsidTr="00E95A6A">
        <w:tc>
          <w:tcPr>
            <w:tcW w:w="2427" w:type="pct"/>
            <w:gridSpan w:val="2"/>
          </w:tcPr>
          <w:p w:rsidR="007C1127" w:rsidRPr="00D0317D" w:rsidRDefault="007C1127" w:rsidP="007C1127">
            <w:pPr>
              <w:jc w:val="both"/>
              <w:rPr>
                <w:sz w:val="20"/>
                <w:lang w:val="fr-CA"/>
              </w:rPr>
            </w:pPr>
            <w:r w:rsidRPr="00D0317D">
              <w:rPr>
                <w:sz w:val="20"/>
                <w:lang w:val="fr-CA"/>
              </w:rPr>
              <w:t>4 avril 2016</w:t>
            </w:r>
          </w:p>
          <w:p w:rsidR="007C1127" w:rsidRPr="00D0317D" w:rsidRDefault="007C1127" w:rsidP="007C1127">
            <w:pPr>
              <w:jc w:val="both"/>
              <w:rPr>
                <w:sz w:val="20"/>
                <w:lang w:val="fr-CA"/>
              </w:rPr>
            </w:pPr>
            <w:r w:rsidRPr="00D0317D">
              <w:rPr>
                <w:sz w:val="20"/>
                <w:lang w:val="fr-CA"/>
              </w:rPr>
              <w:t xml:space="preserve">Cour d’appel de l’Ontario </w:t>
            </w:r>
          </w:p>
          <w:p w:rsidR="007C1127" w:rsidRPr="00D0317D" w:rsidRDefault="007C1127" w:rsidP="007C1127">
            <w:pPr>
              <w:jc w:val="both"/>
              <w:rPr>
                <w:sz w:val="20"/>
                <w:lang w:val="fr-CA"/>
              </w:rPr>
            </w:pPr>
            <w:r w:rsidRPr="00D0317D">
              <w:rPr>
                <w:sz w:val="20"/>
                <w:lang w:val="fr-CA"/>
              </w:rPr>
              <w:t>(Juge en chef Strathy, juges LaForme et Huscroft)</w:t>
            </w:r>
          </w:p>
          <w:p w:rsidR="007C1127" w:rsidRPr="00D0317D" w:rsidRDefault="00985225" w:rsidP="007C1127">
            <w:pPr>
              <w:jc w:val="both"/>
              <w:rPr>
                <w:sz w:val="20"/>
                <w:lang w:val="fr-CA"/>
              </w:rPr>
            </w:pPr>
            <w:hyperlink r:id="rId32" w:history="1">
              <w:r w:rsidR="007C1127" w:rsidRPr="00D0317D">
                <w:rPr>
                  <w:rStyle w:val="Hyperlink"/>
                  <w:sz w:val="20"/>
                  <w:lang w:val="fr-CA"/>
                </w:rPr>
                <w:t>2016 ONCA 242</w:t>
              </w:r>
            </w:hyperlink>
          </w:p>
          <w:p w:rsidR="007C1127" w:rsidRPr="00D0317D" w:rsidRDefault="007C1127" w:rsidP="007C1127">
            <w:pPr>
              <w:jc w:val="both"/>
              <w:rPr>
                <w:sz w:val="20"/>
                <w:lang w:val="fr-CA"/>
              </w:rPr>
            </w:pPr>
            <w:r w:rsidRPr="00D0317D">
              <w:rPr>
                <w:sz w:val="20"/>
                <w:lang w:val="fr-CA"/>
              </w:rPr>
              <w:t>N</w:t>
            </w:r>
            <w:r w:rsidRPr="00D0317D">
              <w:rPr>
                <w:sz w:val="20"/>
                <w:vertAlign w:val="superscript"/>
                <w:lang w:val="fr-CA"/>
              </w:rPr>
              <w:t>o</w:t>
            </w:r>
            <w:r w:rsidRPr="00D0317D">
              <w:rPr>
                <w:sz w:val="20"/>
                <w:lang w:val="fr-CA"/>
              </w:rPr>
              <w:t xml:space="preserve"> du greffe : C60176</w:t>
            </w:r>
          </w:p>
          <w:p w:rsidR="007C1127" w:rsidRPr="00D0317D" w:rsidRDefault="007C1127" w:rsidP="007C1127">
            <w:pPr>
              <w:jc w:val="both"/>
              <w:rPr>
                <w:sz w:val="20"/>
                <w:lang w:val="fr-CA"/>
              </w:rPr>
            </w:pPr>
          </w:p>
        </w:tc>
        <w:tc>
          <w:tcPr>
            <w:tcW w:w="243" w:type="pct"/>
          </w:tcPr>
          <w:p w:rsidR="007C1127" w:rsidRPr="00D0317D" w:rsidRDefault="007C1127" w:rsidP="007C1127">
            <w:pPr>
              <w:jc w:val="both"/>
              <w:rPr>
                <w:sz w:val="20"/>
                <w:lang w:val="fr-CA"/>
              </w:rPr>
            </w:pPr>
          </w:p>
        </w:tc>
        <w:tc>
          <w:tcPr>
            <w:tcW w:w="2330" w:type="pct"/>
          </w:tcPr>
          <w:p w:rsidR="007C1127" w:rsidRPr="00D0317D" w:rsidRDefault="007C1127" w:rsidP="007C1127">
            <w:pPr>
              <w:jc w:val="both"/>
              <w:rPr>
                <w:sz w:val="20"/>
                <w:lang w:val="fr-CA"/>
              </w:rPr>
            </w:pPr>
            <w:r w:rsidRPr="00D0317D">
              <w:rPr>
                <w:sz w:val="20"/>
                <w:lang w:val="fr-CA"/>
              </w:rPr>
              <w:t>Rejet de l’appel.</w:t>
            </w:r>
          </w:p>
          <w:p w:rsidR="007C1127" w:rsidRPr="00D0317D" w:rsidRDefault="007C1127" w:rsidP="007C1127">
            <w:pPr>
              <w:jc w:val="both"/>
              <w:rPr>
                <w:sz w:val="20"/>
                <w:lang w:val="fr-CA"/>
              </w:rPr>
            </w:pPr>
          </w:p>
        </w:tc>
      </w:tr>
      <w:tr w:rsidR="007C1127" w:rsidRPr="005165BD" w:rsidTr="00E95A6A">
        <w:tc>
          <w:tcPr>
            <w:tcW w:w="2427" w:type="pct"/>
            <w:gridSpan w:val="2"/>
          </w:tcPr>
          <w:p w:rsidR="007C1127" w:rsidRPr="00D0317D" w:rsidRDefault="007C1127" w:rsidP="007C1127">
            <w:pPr>
              <w:jc w:val="both"/>
              <w:rPr>
                <w:sz w:val="20"/>
                <w:lang w:val="fr-CA"/>
              </w:rPr>
            </w:pPr>
            <w:r w:rsidRPr="00D0317D">
              <w:rPr>
                <w:sz w:val="20"/>
                <w:lang w:val="fr-CA"/>
              </w:rPr>
              <w:t>3 juin 2016</w:t>
            </w:r>
          </w:p>
          <w:p w:rsidR="007C1127" w:rsidRPr="00D0317D" w:rsidRDefault="007C1127" w:rsidP="007C1127">
            <w:pPr>
              <w:jc w:val="both"/>
              <w:rPr>
                <w:sz w:val="20"/>
                <w:lang w:val="fr-CA"/>
              </w:rPr>
            </w:pPr>
            <w:r w:rsidRPr="00D0317D">
              <w:rPr>
                <w:sz w:val="20"/>
                <w:lang w:val="fr-CA"/>
              </w:rPr>
              <w:t>Cour suprême du Canada</w:t>
            </w:r>
          </w:p>
        </w:tc>
        <w:tc>
          <w:tcPr>
            <w:tcW w:w="243" w:type="pct"/>
          </w:tcPr>
          <w:p w:rsidR="007C1127" w:rsidRPr="00D0317D" w:rsidRDefault="007C1127" w:rsidP="007C1127">
            <w:pPr>
              <w:jc w:val="both"/>
              <w:rPr>
                <w:sz w:val="20"/>
                <w:lang w:val="fr-CA"/>
              </w:rPr>
            </w:pPr>
          </w:p>
        </w:tc>
        <w:tc>
          <w:tcPr>
            <w:tcW w:w="2330" w:type="pct"/>
          </w:tcPr>
          <w:p w:rsidR="007C1127" w:rsidRPr="00D0317D" w:rsidRDefault="007C1127" w:rsidP="007C1127">
            <w:pPr>
              <w:jc w:val="both"/>
              <w:rPr>
                <w:sz w:val="20"/>
                <w:lang w:val="fr-CA"/>
              </w:rPr>
            </w:pPr>
            <w:r w:rsidRPr="00D0317D">
              <w:rPr>
                <w:sz w:val="20"/>
                <w:lang w:val="fr-CA"/>
              </w:rPr>
              <w:t>Dépôt de la demande d’autorisation d’appel.</w:t>
            </w:r>
          </w:p>
        </w:tc>
      </w:tr>
    </w:tbl>
    <w:p w:rsidR="007C1127" w:rsidRDefault="007C1127" w:rsidP="0028383B">
      <w:pPr>
        <w:jc w:val="both"/>
        <w:rPr>
          <w:sz w:val="20"/>
          <w:lang w:val="fr-CA"/>
        </w:rPr>
      </w:pPr>
    </w:p>
    <w:p w:rsidR="00C02367" w:rsidRDefault="00C02367" w:rsidP="0028383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A49EF" w:rsidRPr="00AA49EF" w:rsidTr="00E95A6A">
        <w:tc>
          <w:tcPr>
            <w:tcW w:w="543" w:type="pct"/>
          </w:tcPr>
          <w:p w:rsidR="00AA49EF" w:rsidRPr="00AA49EF" w:rsidRDefault="00AA49EF" w:rsidP="00AA49EF">
            <w:pPr>
              <w:jc w:val="both"/>
              <w:rPr>
                <w:sz w:val="20"/>
              </w:rPr>
            </w:pPr>
            <w:r w:rsidRPr="00AA49EF">
              <w:rPr>
                <w:rStyle w:val="SCCFileNumberChar"/>
                <w:sz w:val="20"/>
                <w:szCs w:val="20"/>
              </w:rPr>
              <w:t>37052</w:t>
            </w:r>
          </w:p>
        </w:tc>
        <w:tc>
          <w:tcPr>
            <w:tcW w:w="4457" w:type="pct"/>
            <w:gridSpan w:val="3"/>
          </w:tcPr>
          <w:p w:rsidR="00AA49EF" w:rsidRPr="00AA49EF" w:rsidRDefault="00AA49EF" w:rsidP="00AA49EF">
            <w:pPr>
              <w:pStyle w:val="SCCLsocParty"/>
              <w:jc w:val="both"/>
              <w:rPr>
                <w:b/>
                <w:sz w:val="20"/>
                <w:szCs w:val="20"/>
                <w:lang w:val="en-US"/>
              </w:rPr>
            </w:pPr>
            <w:r w:rsidRPr="00AA49EF">
              <w:rPr>
                <w:b/>
                <w:sz w:val="20"/>
                <w:szCs w:val="20"/>
                <w:lang w:val="en-US"/>
              </w:rPr>
              <w:t>Durham Regional Crime Stoppers Inc. v. Her Majesty the Queen et al.</w:t>
            </w:r>
          </w:p>
          <w:p w:rsidR="00AA49EF" w:rsidRPr="00AA49EF" w:rsidRDefault="00AA49EF" w:rsidP="00AA49EF">
            <w:pPr>
              <w:jc w:val="both"/>
              <w:rPr>
                <w:sz w:val="20"/>
              </w:rPr>
            </w:pPr>
            <w:r w:rsidRPr="00AA49EF">
              <w:rPr>
                <w:sz w:val="20"/>
              </w:rPr>
              <w:t>(Ont.) (Criminal) (By Leave)</w:t>
            </w:r>
          </w:p>
        </w:tc>
      </w:tr>
      <w:tr w:rsidR="00AA49EF" w:rsidRPr="00AA49EF" w:rsidTr="00E95A6A">
        <w:tc>
          <w:tcPr>
            <w:tcW w:w="5000" w:type="pct"/>
            <w:gridSpan w:val="4"/>
          </w:tcPr>
          <w:p w:rsidR="00AA49EF" w:rsidRPr="00AA49EF" w:rsidRDefault="00AA49EF" w:rsidP="00AA49EF">
            <w:pPr>
              <w:pStyle w:val="SCCBanSummary"/>
              <w:rPr>
                <w:sz w:val="20"/>
                <w:szCs w:val="20"/>
              </w:rPr>
            </w:pPr>
            <w:r w:rsidRPr="00AA49EF">
              <w:rPr>
                <w:sz w:val="20"/>
                <w:szCs w:val="20"/>
              </w:rPr>
              <w:t>(Publication ban in case) (Sealing order)</w:t>
            </w:r>
          </w:p>
          <w:p w:rsidR="00AA49EF" w:rsidRPr="00AA49EF" w:rsidRDefault="00AA49EF" w:rsidP="00AA49EF">
            <w:pPr>
              <w:jc w:val="both"/>
              <w:rPr>
                <w:sz w:val="20"/>
              </w:rPr>
            </w:pPr>
          </w:p>
          <w:p w:rsidR="00AA49EF" w:rsidRPr="00AA49EF" w:rsidRDefault="00AA49EF" w:rsidP="00AA49EF">
            <w:pPr>
              <w:jc w:val="both"/>
              <w:rPr>
                <w:sz w:val="20"/>
              </w:rPr>
            </w:pPr>
            <w:r w:rsidRPr="00AA49EF">
              <w:rPr>
                <w:sz w:val="20"/>
              </w:rPr>
              <w:t xml:space="preserve">Criminal law – Evidence – Privilege – Informants – Standing and jurisdiction – Remedies for breach of anonymity – Whether privilege </w:t>
            </w:r>
            <w:r w:rsidRPr="00AA49EF">
              <w:rPr>
                <w:bCs/>
                <w:sz w:val="20"/>
              </w:rPr>
              <w:t>attaches</w:t>
            </w:r>
            <w:r w:rsidRPr="00AA49EF">
              <w:rPr>
                <w:sz w:val="20"/>
              </w:rPr>
              <w:t xml:space="preserve"> to anonymous communications made to Crime Stoppers – Whether Crown is prevented from disclosing contents of anonymous tip to the defence or the court – Whether trial judge may weigh and consider content of anonymous tip – If disclosure of tip was improper, what is the appropriate remedy?</w:t>
            </w:r>
          </w:p>
        </w:tc>
      </w:tr>
      <w:tr w:rsidR="00AA49EF" w:rsidRPr="00AA49EF" w:rsidTr="00E95A6A">
        <w:tc>
          <w:tcPr>
            <w:tcW w:w="5000" w:type="pct"/>
            <w:gridSpan w:val="4"/>
          </w:tcPr>
          <w:p w:rsidR="00AA49EF" w:rsidRPr="00AA49EF" w:rsidRDefault="00AA49EF" w:rsidP="00AA49EF">
            <w:pPr>
              <w:jc w:val="both"/>
              <w:rPr>
                <w:sz w:val="20"/>
              </w:rPr>
            </w:pPr>
          </w:p>
        </w:tc>
      </w:tr>
      <w:tr w:rsidR="00AA49EF" w:rsidRPr="00AA49EF" w:rsidTr="00E95A6A">
        <w:tc>
          <w:tcPr>
            <w:tcW w:w="5000" w:type="pct"/>
            <w:gridSpan w:val="4"/>
          </w:tcPr>
          <w:p w:rsidR="00AA49EF" w:rsidRPr="00AA49EF" w:rsidRDefault="005165BD" w:rsidP="00AA49EF">
            <w:pPr>
              <w:jc w:val="both"/>
              <w:rPr>
                <w:sz w:val="20"/>
              </w:rPr>
            </w:pPr>
            <w:r>
              <w:rPr>
                <w:sz w:val="20"/>
              </w:rPr>
              <w:t>Keenan Corner</w:t>
            </w:r>
            <w:r w:rsidR="00AA49EF" w:rsidRPr="00AA49EF">
              <w:rPr>
                <w:sz w:val="20"/>
              </w:rPr>
              <w:t xml:space="preserve"> is charged with second degree murder. At issue is the admissibility into evidence of a record of an anonymous call about the murder that was received by Durham Regional Crime Stoppers. Durham Regional Crime Stoppers asserts that its organization depends on a guarantee of anonymity therefore all records in its possession relating to any tips that it receives are subject to informer privilege. The trial judge held a </w:t>
            </w:r>
            <w:proofErr w:type="spellStart"/>
            <w:r w:rsidR="00AA49EF" w:rsidRPr="00AA49EF">
              <w:rPr>
                <w:i/>
                <w:sz w:val="20"/>
              </w:rPr>
              <w:t>voir</w:t>
            </w:r>
            <w:proofErr w:type="spellEnd"/>
            <w:r w:rsidR="00AA49EF" w:rsidRPr="00AA49EF">
              <w:rPr>
                <w:i/>
                <w:sz w:val="20"/>
              </w:rPr>
              <w:t xml:space="preserve"> dire </w:t>
            </w:r>
            <w:r w:rsidR="00AA49EF" w:rsidRPr="00AA49EF">
              <w:rPr>
                <w:sz w:val="20"/>
              </w:rPr>
              <w:t xml:space="preserve">into the admissibility of the record of the call. Durham Regional Crime Stoppers was permitted to appear at the </w:t>
            </w:r>
            <w:proofErr w:type="spellStart"/>
            <w:r w:rsidR="00AA49EF" w:rsidRPr="00AA49EF">
              <w:rPr>
                <w:i/>
                <w:sz w:val="20"/>
              </w:rPr>
              <w:t>voir</w:t>
            </w:r>
            <w:proofErr w:type="spellEnd"/>
            <w:r w:rsidR="00AA49EF" w:rsidRPr="00AA49EF">
              <w:rPr>
                <w:i/>
                <w:sz w:val="20"/>
              </w:rPr>
              <w:t xml:space="preserve"> dire</w:t>
            </w:r>
            <w:r w:rsidR="00AA49EF" w:rsidRPr="00AA49EF">
              <w:rPr>
                <w:sz w:val="20"/>
              </w:rPr>
              <w:t xml:space="preserve">. The Crown argued that </w:t>
            </w:r>
            <w:r>
              <w:rPr>
                <w:sz w:val="20"/>
              </w:rPr>
              <w:t>Keenan Corner</w:t>
            </w:r>
            <w:r w:rsidR="00AA49EF" w:rsidRPr="00AA49EF">
              <w:rPr>
                <w:sz w:val="20"/>
              </w:rPr>
              <w:t xml:space="preserve"> was the caller therefore informer privilege did not apply. The Crown led evidence from the police investigation to support that argument. The trial judge held that the record of the call is not protected by informer privilege and admitted it as evidence.</w:t>
            </w:r>
          </w:p>
          <w:p w:rsidR="00AA49EF" w:rsidRPr="00AA49EF" w:rsidRDefault="00AA49EF" w:rsidP="00AA49EF">
            <w:pPr>
              <w:jc w:val="both"/>
              <w:rPr>
                <w:sz w:val="20"/>
              </w:rPr>
            </w:pPr>
          </w:p>
        </w:tc>
      </w:tr>
      <w:tr w:rsidR="00AA49EF" w:rsidRPr="00AA49EF" w:rsidTr="00E95A6A">
        <w:tc>
          <w:tcPr>
            <w:tcW w:w="2427" w:type="pct"/>
            <w:gridSpan w:val="2"/>
          </w:tcPr>
          <w:p w:rsidR="00AA49EF" w:rsidRPr="00AA49EF" w:rsidRDefault="00AA49EF" w:rsidP="00AA49EF">
            <w:pPr>
              <w:jc w:val="both"/>
              <w:rPr>
                <w:sz w:val="20"/>
              </w:rPr>
            </w:pPr>
            <w:r w:rsidRPr="00AA49EF">
              <w:rPr>
                <w:sz w:val="20"/>
              </w:rPr>
              <w:t>April 14, 2016</w:t>
            </w:r>
          </w:p>
          <w:p w:rsidR="00AA49EF" w:rsidRPr="00AA49EF" w:rsidRDefault="00AA49EF" w:rsidP="00AA49EF">
            <w:pPr>
              <w:jc w:val="both"/>
              <w:rPr>
                <w:sz w:val="20"/>
              </w:rPr>
            </w:pPr>
            <w:r w:rsidRPr="00AA49EF">
              <w:rPr>
                <w:sz w:val="20"/>
              </w:rPr>
              <w:t>Ontario Superior Court of Justice</w:t>
            </w:r>
          </w:p>
          <w:p w:rsidR="00AA49EF" w:rsidRPr="00AA49EF" w:rsidRDefault="00AA49EF" w:rsidP="00AA49EF">
            <w:pPr>
              <w:jc w:val="both"/>
              <w:rPr>
                <w:sz w:val="20"/>
              </w:rPr>
            </w:pPr>
            <w:r w:rsidRPr="00AA49EF">
              <w:rPr>
                <w:sz w:val="20"/>
              </w:rPr>
              <w:t>15/13823</w:t>
            </w:r>
          </w:p>
          <w:p w:rsidR="00AA49EF" w:rsidRPr="00AA49EF" w:rsidRDefault="00AA49EF" w:rsidP="00AA49EF">
            <w:pPr>
              <w:jc w:val="both"/>
              <w:rPr>
                <w:sz w:val="20"/>
              </w:rPr>
            </w:pPr>
            <w:r w:rsidRPr="00AA49EF">
              <w:rPr>
                <w:sz w:val="20"/>
              </w:rPr>
              <w:t>(Unreported)</w:t>
            </w:r>
          </w:p>
          <w:p w:rsidR="00AA49EF" w:rsidRPr="00AA49EF" w:rsidRDefault="00AA49EF" w:rsidP="00AA49EF">
            <w:pPr>
              <w:jc w:val="both"/>
              <w:rPr>
                <w:sz w:val="20"/>
              </w:rPr>
            </w:pPr>
          </w:p>
        </w:tc>
        <w:tc>
          <w:tcPr>
            <w:tcW w:w="243" w:type="pct"/>
          </w:tcPr>
          <w:p w:rsidR="00AA49EF" w:rsidRPr="00AA49EF" w:rsidRDefault="00AA49EF" w:rsidP="00AA49EF">
            <w:pPr>
              <w:jc w:val="both"/>
              <w:rPr>
                <w:sz w:val="20"/>
              </w:rPr>
            </w:pPr>
          </w:p>
        </w:tc>
        <w:tc>
          <w:tcPr>
            <w:tcW w:w="2330" w:type="pct"/>
          </w:tcPr>
          <w:p w:rsidR="00AA49EF" w:rsidRPr="00AA49EF" w:rsidRDefault="00AA49EF" w:rsidP="00AA49EF">
            <w:pPr>
              <w:jc w:val="both"/>
              <w:rPr>
                <w:sz w:val="20"/>
              </w:rPr>
            </w:pPr>
            <w:r w:rsidRPr="00AA49EF">
              <w:rPr>
                <w:sz w:val="20"/>
              </w:rPr>
              <w:t xml:space="preserve">Decision on </w:t>
            </w:r>
            <w:proofErr w:type="spellStart"/>
            <w:r w:rsidRPr="00AA49EF">
              <w:rPr>
                <w:i/>
                <w:sz w:val="20"/>
              </w:rPr>
              <w:t>voir</w:t>
            </w:r>
            <w:proofErr w:type="spellEnd"/>
            <w:r w:rsidRPr="00AA49EF">
              <w:rPr>
                <w:i/>
                <w:sz w:val="20"/>
              </w:rPr>
              <w:t xml:space="preserve"> dire</w:t>
            </w:r>
            <w:r w:rsidRPr="00AA49EF">
              <w:rPr>
                <w:sz w:val="20"/>
              </w:rPr>
              <w:t xml:space="preserve"> that record admissible into evidence</w:t>
            </w:r>
          </w:p>
          <w:p w:rsidR="00AA49EF" w:rsidRPr="00AA49EF" w:rsidRDefault="00AA49EF" w:rsidP="00AA49EF">
            <w:pPr>
              <w:jc w:val="both"/>
              <w:rPr>
                <w:sz w:val="20"/>
              </w:rPr>
            </w:pPr>
          </w:p>
        </w:tc>
      </w:tr>
      <w:tr w:rsidR="00AA49EF" w:rsidRPr="00AA49EF" w:rsidTr="00E95A6A">
        <w:tc>
          <w:tcPr>
            <w:tcW w:w="2427" w:type="pct"/>
            <w:gridSpan w:val="2"/>
          </w:tcPr>
          <w:p w:rsidR="00AA49EF" w:rsidRPr="00AA49EF" w:rsidRDefault="00AA49EF" w:rsidP="00AA49EF">
            <w:pPr>
              <w:jc w:val="both"/>
              <w:rPr>
                <w:sz w:val="20"/>
              </w:rPr>
            </w:pPr>
            <w:r w:rsidRPr="00AA49EF">
              <w:rPr>
                <w:sz w:val="20"/>
              </w:rPr>
              <w:t>June 6, 2016</w:t>
            </w:r>
          </w:p>
          <w:p w:rsidR="00AA49EF" w:rsidRPr="00AA49EF" w:rsidRDefault="00AA49EF" w:rsidP="00AA49EF">
            <w:pPr>
              <w:jc w:val="both"/>
              <w:rPr>
                <w:sz w:val="20"/>
              </w:rPr>
            </w:pPr>
            <w:r w:rsidRPr="00AA49EF">
              <w:rPr>
                <w:sz w:val="20"/>
              </w:rPr>
              <w:t>Supreme Court of Canada</w:t>
            </w:r>
          </w:p>
        </w:tc>
        <w:tc>
          <w:tcPr>
            <w:tcW w:w="243" w:type="pct"/>
          </w:tcPr>
          <w:p w:rsidR="00AA49EF" w:rsidRPr="00AA49EF" w:rsidRDefault="00AA49EF" w:rsidP="00AA49EF">
            <w:pPr>
              <w:jc w:val="both"/>
              <w:rPr>
                <w:sz w:val="20"/>
              </w:rPr>
            </w:pPr>
          </w:p>
        </w:tc>
        <w:tc>
          <w:tcPr>
            <w:tcW w:w="2330" w:type="pct"/>
          </w:tcPr>
          <w:p w:rsidR="00AA49EF" w:rsidRPr="00AA49EF" w:rsidRDefault="00AA49EF" w:rsidP="00AA49EF">
            <w:pPr>
              <w:jc w:val="both"/>
              <w:rPr>
                <w:sz w:val="20"/>
              </w:rPr>
            </w:pPr>
            <w:r w:rsidRPr="00AA49EF">
              <w:rPr>
                <w:sz w:val="20"/>
              </w:rPr>
              <w:t>Application for leave to appeal filed</w:t>
            </w:r>
          </w:p>
          <w:p w:rsidR="00AA49EF" w:rsidRPr="00AA49EF" w:rsidRDefault="00AA49EF" w:rsidP="00AA49EF">
            <w:pPr>
              <w:jc w:val="both"/>
              <w:rPr>
                <w:sz w:val="20"/>
              </w:rPr>
            </w:pPr>
          </w:p>
        </w:tc>
      </w:tr>
    </w:tbl>
    <w:p w:rsidR="00AA49EF" w:rsidRDefault="00AA49EF" w:rsidP="00AA49EF">
      <w:pPr>
        <w:jc w:val="both"/>
        <w:rPr>
          <w:sz w:val="20"/>
        </w:rPr>
      </w:pPr>
    </w:p>
    <w:p w:rsidR="00AA49EF" w:rsidRPr="00AA49EF" w:rsidRDefault="00AA49EF" w:rsidP="00AA49E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A49EF" w:rsidRPr="00AA49EF" w:rsidTr="00E95A6A">
        <w:tc>
          <w:tcPr>
            <w:tcW w:w="543" w:type="pct"/>
          </w:tcPr>
          <w:p w:rsidR="00AA49EF" w:rsidRPr="00AA49EF" w:rsidRDefault="00AA49EF" w:rsidP="00AA49EF">
            <w:pPr>
              <w:jc w:val="both"/>
              <w:rPr>
                <w:sz w:val="20"/>
                <w:lang w:val="fr-CA"/>
              </w:rPr>
            </w:pPr>
            <w:r w:rsidRPr="00AA49EF">
              <w:rPr>
                <w:rStyle w:val="SCCFileNumberChar"/>
                <w:sz w:val="20"/>
                <w:szCs w:val="20"/>
                <w:lang w:val="fr-CA"/>
              </w:rPr>
              <w:t>37052</w:t>
            </w:r>
          </w:p>
        </w:tc>
        <w:tc>
          <w:tcPr>
            <w:tcW w:w="4457" w:type="pct"/>
            <w:gridSpan w:val="3"/>
          </w:tcPr>
          <w:p w:rsidR="00AA49EF" w:rsidRPr="00AA49EF" w:rsidRDefault="00AA49EF" w:rsidP="00AA49EF">
            <w:pPr>
              <w:pStyle w:val="SCCLsocParty"/>
              <w:jc w:val="both"/>
              <w:rPr>
                <w:b/>
                <w:sz w:val="20"/>
                <w:szCs w:val="20"/>
              </w:rPr>
            </w:pPr>
            <w:r w:rsidRPr="00AA49EF">
              <w:rPr>
                <w:b/>
                <w:sz w:val="20"/>
                <w:szCs w:val="20"/>
              </w:rPr>
              <w:t>Durham Regional Crime Stoppers Inc. c. Sa Majesté la Reine et al.</w:t>
            </w:r>
          </w:p>
          <w:p w:rsidR="00AA49EF" w:rsidRPr="00AA49EF" w:rsidRDefault="00AA49EF" w:rsidP="00AA49EF">
            <w:pPr>
              <w:jc w:val="both"/>
              <w:rPr>
                <w:sz w:val="20"/>
                <w:lang w:val="fr-CA"/>
              </w:rPr>
            </w:pPr>
            <w:r w:rsidRPr="00AA49EF">
              <w:rPr>
                <w:sz w:val="20"/>
                <w:lang w:val="fr-CA"/>
              </w:rPr>
              <w:t>(Ont.) (Criminelle) (Sur autorisation)</w:t>
            </w:r>
          </w:p>
        </w:tc>
      </w:tr>
      <w:tr w:rsidR="00AA49EF" w:rsidRPr="005165BD" w:rsidTr="00E95A6A">
        <w:tc>
          <w:tcPr>
            <w:tcW w:w="5000" w:type="pct"/>
            <w:gridSpan w:val="4"/>
          </w:tcPr>
          <w:p w:rsidR="00AA49EF" w:rsidRPr="00AA49EF" w:rsidRDefault="00AA49EF" w:rsidP="00AA49EF">
            <w:pPr>
              <w:pStyle w:val="SCCBanSummary"/>
              <w:rPr>
                <w:sz w:val="20"/>
                <w:szCs w:val="20"/>
                <w:lang w:val="fr-CA"/>
              </w:rPr>
            </w:pPr>
            <w:r w:rsidRPr="00AA49EF">
              <w:rPr>
                <w:sz w:val="20"/>
                <w:szCs w:val="20"/>
                <w:lang w:val="fr-CA"/>
              </w:rPr>
              <w:t>(Ordonnance de non-publication dans le dossier) (Ordonnance de mise sous scellés)</w:t>
            </w:r>
          </w:p>
          <w:p w:rsidR="00AA49EF" w:rsidRPr="00AA49EF" w:rsidRDefault="00AA49EF" w:rsidP="00AA49EF">
            <w:pPr>
              <w:jc w:val="both"/>
              <w:rPr>
                <w:sz w:val="20"/>
                <w:lang w:val="fr-CA"/>
              </w:rPr>
            </w:pPr>
          </w:p>
          <w:p w:rsidR="00AA49EF" w:rsidRPr="00AA49EF" w:rsidRDefault="00AA49EF" w:rsidP="00AA49EF">
            <w:pPr>
              <w:jc w:val="both"/>
              <w:rPr>
                <w:sz w:val="20"/>
                <w:lang w:val="fr-CA"/>
              </w:rPr>
            </w:pPr>
            <w:r w:rsidRPr="00AA49EF">
              <w:rPr>
                <w:sz w:val="20"/>
                <w:lang w:val="fr-CA"/>
              </w:rPr>
              <w:t xml:space="preserve">Droit criminel – Preuve – Privilège – Informateurs – Qualité pour agir et compétence – Recours pour rupture d’anonymat – Les communications anonymes faites à Crime Stoppers sont-elles l’objet d’un privilège? – Le ministère public est-il empêché de communiquer le contenu d’une dénonciation anonyme à la défense ou au tribunal? </w:t>
            </w:r>
            <w:r w:rsidRPr="00AA49EF">
              <w:rPr>
                <w:sz w:val="20"/>
                <w:lang w:val="fr-CA"/>
              </w:rPr>
              <w:lastRenderedPageBreak/>
              <w:t>– Le juge du procès peut-il examiner et considérer le contenu d’une dénonciation anonyme? – Si la communication de la dénonciation anonyme était injustifiée, quel est le recours approprié?</w:t>
            </w:r>
          </w:p>
        </w:tc>
      </w:tr>
      <w:tr w:rsidR="00AA49EF" w:rsidRPr="005165BD" w:rsidTr="00E95A6A">
        <w:tc>
          <w:tcPr>
            <w:tcW w:w="5000" w:type="pct"/>
            <w:gridSpan w:val="4"/>
          </w:tcPr>
          <w:p w:rsidR="00AA49EF" w:rsidRPr="00AA49EF" w:rsidRDefault="00AA49EF" w:rsidP="00AA49EF">
            <w:pPr>
              <w:jc w:val="both"/>
              <w:rPr>
                <w:sz w:val="20"/>
                <w:lang w:val="fr-CA"/>
              </w:rPr>
            </w:pPr>
          </w:p>
        </w:tc>
      </w:tr>
      <w:tr w:rsidR="00AA49EF" w:rsidRPr="005165BD" w:rsidTr="00E95A6A">
        <w:tc>
          <w:tcPr>
            <w:tcW w:w="5000" w:type="pct"/>
            <w:gridSpan w:val="4"/>
          </w:tcPr>
          <w:p w:rsidR="00AA49EF" w:rsidRPr="00AA49EF" w:rsidRDefault="00985225" w:rsidP="00AA49EF">
            <w:pPr>
              <w:jc w:val="both"/>
              <w:rPr>
                <w:sz w:val="20"/>
                <w:lang w:val="fr-CA"/>
              </w:rPr>
            </w:pPr>
            <w:r w:rsidRPr="00985225">
              <w:rPr>
                <w:sz w:val="20"/>
                <w:lang w:val="fr-CA"/>
              </w:rPr>
              <w:t>Keenan Corner</w:t>
            </w:r>
            <w:r w:rsidR="00AA49EF" w:rsidRPr="00AA49EF">
              <w:rPr>
                <w:sz w:val="20"/>
                <w:lang w:val="fr-CA"/>
              </w:rPr>
              <w:t xml:space="preserve"> est accusé de meurtre au deuxième degré. La question en litige porte sur l’admissibilité en preuve du relevé d’un appel anonyme à propos du meurtre reçu par Durham Regional Crime Stoppers. Durham Regional Crime Stoppers prétend que son organisme dépend d’une garantie d’anonymat, si bien que tous les relevés en sa possession relativement aux dénonciations qu’elle reçoit font l’objet d’un privilège relatif aux indicateurs. Le juge du procès a tenu un voir-dire portant sur l’admissibilité du relevé de l’appel. Durham Regional Crime Stoppers a été autorisée à comparaître au voir-dire. Le ministère public a plaidé que </w:t>
            </w:r>
            <w:r w:rsidRPr="00985225">
              <w:rPr>
                <w:sz w:val="20"/>
                <w:lang w:val="fr-CA"/>
              </w:rPr>
              <w:t>Keenan Corner</w:t>
            </w:r>
            <w:r w:rsidR="00AA49EF" w:rsidRPr="00AA49EF">
              <w:rPr>
                <w:sz w:val="20"/>
                <w:lang w:val="fr-CA"/>
              </w:rPr>
              <w:t xml:space="preserve"> était l’auteur de l’appel, si bien que le privilège relatif aux indicateurs ne s’appliquait pas. Le ministère public a produit des éléments de preuve tirés de l’enquête policière au soutien de cet argument. Le juge du procès a statué que le relevé de l’appel n’était pas protégé par le privilège relatif aux indicateurs et l’a admis en preuve.</w:t>
            </w:r>
            <w:bookmarkStart w:id="0" w:name="_GoBack"/>
            <w:bookmarkEnd w:id="0"/>
          </w:p>
          <w:p w:rsidR="00AA49EF" w:rsidRPr="00AA49EF" w:rsidRDefault="00AA49EF" w:rsidP="00AA49EF">
            <w:pPr>
              <w:jc w:val="both"/>
              <w:rPr>
                <w:sz w:val="20"/>
                <w:lang w:val="fr-CA"/>
              </w:rPr>
            </w:pPr>
          </w:p>
        </w:tc>
      </w:tr>
      <w:tr w:rsidR="00AA49EF" w:rsidRPr="005165BD" w:rsidTr="00E95A6A">
        <w:tc>
          <w:tcPr>
            <w:tcW w:w="2427" w:type="pct"/>
            <w:gridSpan w:val="2"/>
          </w:tcPr>
          <w:p w:rsidR="00AA49EF" w:rsidRPr="00AA49EF" w:rsidRDefault="00AA49EF" w:rsidP="00AA49EF">
            <w:pPr>
              <w:jc w:val="both"/>
              <w:rPr>
                <w:sz w:val="20"/>
                <w:lang w:val="fr-CA"/>
              </w:rPr>
            </w:pPr>
            <w:r w:rsidRPr="00AA49EF">
              <w:rPr>
                <w:sz w:val="20"/>
                <w:lang w:val="fr-CA"/>
              </w:rPr>
              <w:t>14 avril 2016</w:t>
            </w:r>
          </w:p>
          <w:p w:rsidR="00AA49EF" w:rsidRPr="00AA49EF" w:rsidRDefault="00AA49EF" w:rsidP="00AA49EF">
            <w:pPr>
              <w:jc w:val="both"/>
              <w:rPr>
                <w:sz w:val="20"/>
                <w:lang w:val="fr-CA"/>
              </w:rPr>
            </w:pPr>
            <w:r w:rsidRPr="00AA49EF">
              <w:rPr>
                <w:sz w:val="20"/>
                <w:lang w:val="fr-CA"/>
              </w:rPr>
              <w:t>Cour supérieure de justice de l’Ontario</w:t>
            </w:r>
          </w:p>
          <w:p w:rsidR="00AA49EF" w:rsidRPr="00AA49EF" w:rsidRDefault="00AA49EF" w:rsidP="00AA49EF">
            <w:pPr>
              <w:jc w:val="both"/>
              <w:rPr>
                <w:sz w:val="20"/>
                <w:lang w:val="fr-CA"/>
              </w:rPr>
            </w:pPr>
            <w:r w:rsidRPr="00AA49EF">
              <w:rPr>
                <w:sz w:val="20"/>
                <w:lang w:val="fr-CA"/>
              </w:rPr>
              <w:t>15/13823</w:t>
            </w:r>
          </w:p>
          <w:p w:rsidR="00AA49EF" w:rsidRPr="00AA49EF" w:rsidRDefault="00AA49EF" w:rsidP="00AA49EF">
            <w:pPr>
              <w:jc w:val="both"/>
              <w:rPr>
                <w:sz w:val="20"/>
                <w:lang w:val="fr-CA"/>
              </w:rPr>
            </w:pPr>
            <w:r w:rsidRPr="00AA49EF">
              <w:rPr>
                <w:sz w:val="20"/>
                <w:lang w:val="fr-CA"/>
              </w:rPr>
              <w:t>(Non publié)</w:t>
            </w:r>
          </w:p>
          <w:p w:rsidR="00AA49EF" w:rsidRPr="00AA49EF" w:rsidRDefault="00AA49EF" w:rsidP="00AA49EF">
            <w:pPr>
              <w:jc w:val="both"/>
              <w:rPr>
                <w:sz w:val="20"/>
                <w:lang w:val="fr-CA"/>
              </w:rPr>
            </w:pPr>
          </w:p>
        </w:tc>
        <w:tc>
          <w:tcPr>
            <w:tcW w:w="243" w:type="pct"/>
          </w:tcPr>
          <w:p w:rsidR="00AA49EF" w:rsidRPr="00AA49EF" w:rsidRDefault="00AA49EF" w:rsidP="00AA49EF">
            <w:pPr>
              <w:jc w:val="both"/>
              <w:rPr>
                <w:sz w:val="20"/>
                <w:lang w:val="fr-CA"/>
              </w:rPr>
            </w:pPr>
          </w:p>
        </w:tc>
        <w:tc>
          <w:tcPr>
            <w:tcW w:w="2330" w:type="pct"/>
          </w:tcPr>
          <w:p w:rsidR="00AA49EF" w:rsidRPr="00AA49EF" w:rsidRDefault="00AA49EF" w:rsidP="00AA49EF">
            <w:pPr>
              <w:jc w:val="both"/>
              <w:rPr>
                <w:sz w:val="20"/>
                <w:lang w:val="fr-CA"/>
              </w:rPr>
            </w:pPr>
            <w:r w:rsidRPr="00AA49EF">
              <w:rPr>
                <w:sz w:val="20"/>
                <w:lang w:val="fr-CA"/>
              </w:rPr>
              <w:t>Décision au terme d’un voir-dire portant que l’enregistrement était admissible en preuve</w:t>
            </w:r>
          </w:p>
          <w:p w:rsidR="00AA49EF" w:rsidRPr="00AA49EF" w:rsidRDefault="00AA49EF" w:rsidP="00AA49EF">
            <w:pPr>
              <w:jc w:val="both"/>
              <w:rPr>
                <w:sz w:val="20"/>
                <w:lang w:val="fr-CA"/>
              </w:rPr>
            </w:pPr>
          </w:p>
        </w:tc>
      </w:tr>
      <w:tr w:rsidR="00AA49EF" w:rsidRPr="005165BD" w:rsidTr="00E95A6A">
        <w:tc>
          <w:tcPr>
            <w:tcW w:w="2427" w:type="pct"/>
            <w:gridSpan w:val="2"/>
          </w:tcPr>
          <w:p w:rsidR="00AA49EF" w:rsidRPr="00AA49EF" w:rsidRDefault="00AA49EF" w:rsidP="00AA49EF">
            <w:pPr>
              <w:jc w:val="both"/>
              <w:rPr>
                <w:sz w:val="20"/>
                <w:lang w:val="fr-CA"/>
              </w:rPr>
            </w:pPr>
            <w:r w:rsidRPr="00AA49EF">
              <w:rPr>
                <w:sz w:val="20"/>
                <w:lang w:val="fr-CA"/>
              </w:rPr>
              <w:t>6 juin 2016</w:t>
            </w:r>
          </w:p>
          <w:p w:rsidR="00AA49EF" w:rsidRPr="00AA49EF" w:rsidRDefault="00AA49EF" w:rsidP="00AA49EF">
            <w:pPr>
              <w:jc w:val="both"/>
              <w:rPr>
                <w:sz w:val="20"/>
                <w:lang w:val="fr-CA"/>
              </w:rPr>
            </w:pPr>
            <w:r w:rsidRPr="00AA49EF">
              <w:rPr>
                <w:sz w:val="20"/>
                <w:lang w:val="fr-CA"/>
              </w:rPr>
              <w:t>Cour suprême du Canada</w:t>
            </w:r>
          </w:p>
        </w:tc>
        <w:tc>
          <w:tcPr>
            <w:tcW w:w="243" w:type="pct"/>
          </w:tcPr>
          <w:p w:rsidR="00AA49EF" w:rsidRPr="00AA49EF" w:rsidRDefault="00AA49EF" w:rsidP="00AA49EF">
            <w:pPr>
              <w:jc w:val="both"/>
              <w:rPr>
                <w:sz w:val="20"/>
                <w:lang w:val="fr-CA"/>
              </w:rPr>
            </w:pPr>
          </w:p>
        </w:tc>
        <w:tc>
          <w:tcPr>
            <w:tcW w:w="2330" w:type="pct"/>
          </w:tcPr>
          <w:p w:rsidR="00AA49EF" w:rsidRPr="00AA49EF" w:rsidRDefault="00AA49EF" w:rsidP="00AA49EF">
            <w:pPr>
              <w:jc w:val="both"/>
              <w:rPr>
                <w:sz w:val="20"/>
                <w:lang w:val="fr-CA"/>
              </w:rPr>
            </w:pPr>
            <w:r w:rsidRPr="00AA49EF">
              <w:rPr>
                <w:sz w:val="20"/>
                <w:lang w:val="fr-CA"/>
              </w:rPr>
              <w:t>Dépôt de la demande d’autorisation d’appel</w:t>
            </w:r>
          </w:p>
          <w:p w:rsidR="00AA49EF" w:rsidRPr="00AA49EF" w:rsidRDefault="00AA49EF" w:rsidP="00AA49EF">
            <w:pPr>
              <w:jc w:val="both"/>
              <w:rPr>
                <w:sz w:val="20"/>
                <w:lang w:val="fr-CA"/>
              </w:rPr>
            </w:pPr>
          </w:p>
        </w:tc>
      </w:tr>
    </w:tbl>
    <w:p w:rsidR="00AA49EF" w:rsidRDefault="00AA49EF" w:rsidP="0028383B">
      <w:pPr>
        <w:jc w:val="both"/>
        <w:rPr>
          <w:sz w:val="20"/>
          <w:lang w:val="fr-CA"/>
        </w:rPr>
      </w:pPr>
    </w:p>
    <w:p w:rsidR="00AA49EF" w:rsidRPr="00D0317D" w:rsidRDefault="00AA49EF" w:rsidP="0028383B">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51F4C" w:rsidRPr="00D0317D" w:rsidTr="008B499B">
        <w:trPr>
          <w:gridAfter w:val="1"/>
          <w:wAfter w:w="48" w:type="pct"/>
        </w:trPr>
        <w:tc>
          <w:tcPr>
            <w:tcW w:w="538" w:type="pct"/>
          </w:tcPr>
          <w:p w:rsidR="00651F4C" w:rsidRPr="00D0317D" w:rsidRDefault="00651F4C" w:rsidP="00651F4C">
            <w:pPr>
              <w:jc w:val="both"/>
              <w:rPr>
                <w:sz w:val="20"/>
                <w:lang w:val="en-CA"/>
              </w:rPr>
            </w:pPr>
            <w:r w:rsidRPr="00D0317D">
              <w:rPr>
                <w:rStyle w:val="SCCFileNumberChar"/>
                <w:sz w:val="20"/>
                <w:szCs w:val="20"/>
              </w:rPr>
              <w:t>37029</w:t>
            </w:r>
          </w:p>
        </w:tc>
        <w:tc>
          <w:tcPr>
            <w:tcW w:w="4414" w:type="pct"/>
            <w:gridSpan w:val="3"/>
          </w:tcPr>
          <w:p w:rsidR="00651F4C" w:rsidRPr="00D0317D" w:rsidRDefault="00651F4C" w:rsidP="00651F4C">
            <w:pPr>
              <w:pStyle w:val="SCCLsocParty"/>
              <w:jc w:val="both"/>
              <w:rPr>
                <w:b/>
                <w:sz w:val="20"/>
                <w:szCs w:val="20"/>
                <w:lang w:val="en-CA"/>
              </w:rPr>
            </w:pPr>
            <w:r w:rsidRPr="00D0317D">
              <w:rPr>
                <w:b/>
                <w:sz w:val="20"/>
                <w:szCs w:val="20"/>
                <w:lang w:val="en-CA"/>
              </w:rPr>
              <w:t>A.G.F. v. S.C.</w:t>
            </w:r>
          </w:p>
          <w:p w:rsidR="00651F4C" w:rsidRPr="00D0317D" w:rsidRDefault="00651F4C" w:rsidP="00651F4C">
            <w:pPr>
              <w:jc w:val="both"/>
              <w:rPr>
                <w:sz w:val="20"/>
                <w:lang w:val="en-CA"/>
              </w:rPr>
            </w:pPr>
            <w:r w:rsidRPr="00D0317D">
              <w:rPr>
                <w:sz w:val="20"/>
                <w:lang w:val="en-CA"/>
              </w:rPr>
              <w:t>(Que.) (Civil) (By Leave)</w:t>
            </w:r>
          </w:p>
        </w:tc>
      </w:tr>
      <w:tr w:rsidR="00651F4C" w:rsidRPr="00D0317D" w:rsidTr="008B499B">
        <w:trPr>
          <w:gridAfter w:val="1"/>
          <w:wAfter w:w="48" w:type="pct"/>
        </w:trPr>
        <w:tc>
          <w:tcPr>
            <w:tcW w:w="4952" w:type="pct"/>
            <w:gridSpan w:val="4"/>
          </w:tcPr>
          <w:p w:rsidR="00651F4C" w:rsidRPr="00D0317D" w:rsidRDefault="00651F4C" w:rsidP="00651F4C">
            <w:pPr>
              <w:pStyle w:val="SCCBanSummary"/>
              <w:rPr>
                <w:sz w:val="20"/>
                <w:szCs w:val="20"/>
              </w:rPr>
            </w:pPr>
            <w:r w:rsidRPr="00D0317D">
              <w:rPr>
                <w:sz w:val="20"/>
                <w:szCs w:val="20"/>
              </w:rPr>
              <w:t>(Publication Ban in Case) (Publication Ban on Party) (Court file contains information that is not available for inspection by the public)</w:t>
            </w:r>
          </w:p>
          <w:p w:rsidR="00651F4C" w:rsidRPr="00D0317D" w:rsidRDefault="00651F4C" w:rsidP="00651F4C">
            <w:pPr>
              <w:jc w:val="both"/>
              <w:rPr>
                <w:sz w:val="20"/>
                <w:lang w:val="en-CA"/>
              </w:rPr>
            </w:pPr>
          </w:p>
        </w:tc>
      </w:tr>
      <w:tr w:rsidR="00651F4C" w:rsidRPr="00D0317D" w:rsidTr="008B499B">
        <w:trPr>
          <w:gridAfter w:val="1"/>
          <w:wAfter w:w="48" w:type="pct"/>
        </w:trPr>
        <w:tc>
          <w:tcPr>
            <w:tcW w:w="4952" w:type="pct"/>
            <w:gridSpan w:val="4"/>
          </w:tcPr>
          <w:p w:rsidR="00651F4C" w:rsidRPr="00D0317D" w:rsidRDefault="00651F4C" w:rsidP="00651F4C">
            <w:pPr>
              <w:jc w:val="both"/>
              <w:rPr>
                <w:sz w:val="20"/>
                <w:lang w:val="en-CA"/>
              </w:rPr>
            </w:pPr>
            <w:r w:rsidRPr="00D0317D">
              <w:rPr>
                <w:sz w:val="20"/>
                <w:lang w:val="en-CA"/>
              </w:rPr>
              <w:t>Civil procedure – Disqualification of counsel</w:t>
            </w:r>
            <w:r w:rsidRPr="00D0317D">
              <w:rPr>
                <w:color w:val="000000"/>
                <w:sz w:val="20"/>
                <w:lang w:val="en-CA"/>
              </w:rPr>
              <w:t xml:space="preserve"> – Motion for disqualification filed in family case – Hearing on merits delayed – Abuse of procedure – Punitive damages </w:t>
            </w:r>
            <w:r w:rsidRPr="00D0317D">
              <w:rPr>
                <w:sz w:val="20"/>
                <w:lang w:val="en-CA"/>
              </w:rPr>
              <w:t>– Whether courts below erred in imputing punitive damages to applicant – Whether courts below acted to detriment of right to make full answer and defence by refusing to hear witnesses.</w:t>
            </w:r>
          </w:p>
        </w:tc>
      </w:tr>
      <w:tr w:rsidR="00651F4C" w:rsidRPr="00D0317D" w:rsidTr="008B499B">
        <w:trPr>
          <w:gridAfter w:val="1"/>
          <w:wAfter w:w="48" w:type="pct"/>
        </w:trPr>
        <w:tc>
          <w:tcPr>
            <w:tcW w:w="4952" w:type="pct"/>
            <w:gridSpan w:val="4"/>
          </w:tcPr>
          <w:p w:rsidR="00651F4C" w:rsidRPr="00D0317D" w:rsidRDefault="00651F4C" w:rsidP="00651F4C">
            <w:pPr>
              <w:jc w:val="both"/>
              <w:rPr>
                <w:sz w:val="20"/>
                <w:lang w:val="en-CA"/>
              </w:rPr>
            </w:pPr>
          </w:p>
          <w:p w:rsidR="00651F4C" w:rsidRPr="00D0317D" w:rsidRDefault="00651F4C" w:rsidP="00651F4C">
            <w:pPr>
              <w:jc w:val="both"/>
              <w:rPr>
                <w:sz w:val="20"/>
                <w:lang w:val="en-CA"/>
              </w:rPr>
            </w:pPr>
            <w:r w:rsidRPr="00D0317D">
              <w:rPr>
                <w:sz w:val="20"/>
                <w:lang w:val="en-CA"/>
              </w:rPr>
              <w:t>In family proceedings for a review of child custody, the applicant presented a motion for the disqualification of counsel for the respondent.</w:t>
            </w:r>
          </w:p>
          <w:p w:rsidR="00651F4C" w:rsidRPr="00D0317D" w:rsidRDefault="00651F4C" w:rsidP="00651F4C">
            <w:pPr>
              <w:jc w:val="both"/>
              <w:rPr>
                <w:sz w:val="20"/>
                <w:lang w:val="en-CA"/>
              </w:rPr>
            </w:pPr>
          </w:p>
        </w:tc>
      </w:tr>
      <w:tr w:rsidR="00651F4C" w:rsidRPr="00D0317D" w:rsidTr="008B499B">
        <w:tblPrEx>
          <w:tblCellMar>
            <w:bottom w:w="0" w:type="dxa"/>
          </w:tblCellMar>
        </w:tblPrEx>
        <w:tc>
          <w:tcPr>
            <w:tcW w:w="2367" w:type="pct"/>
            <w:gridSpan w:val="2"/>
          </w:tcPr>
          <w:p w:rsidR="00651F4C" w:rsidRPr="00D0317D" w:rsidRDefault="00651F4C" w:rsidP="00651F4C">
            <w:pPr>
              <w:jc w:val="both"/>
              <w:rPr>
                <w:sz w:val="20"/>
                <w:lang w:val="en-CA"/>
              </w:rPr>
            </w:pPr>
            <w:r w:rsidRPr="00D0317D">
              <w:rPr>
                <w:sz w:val="20"/>
                <w:lang w:val="en-CA"/>
              </w:rPr>
              <w:t>February 17, 2016</w:t>
            </w:r>
          </w:p>
          <w:p w:rsidR="00651F4C" w:rsidRPr="00D0317D" w:rsidRDefault="00651F4C" w:rsidP="00651F4C">
            <w:pPr>
              <w:jc w:val="both"/>
              <w:rPr>
                <w:sz w:val="20"/>
                <w:lang w:val="en-CA"/>
              </w:rPr>
            </w:pPr>
            <w:r w:rsidRPr="00D0317D">
              <w:rPr>
                <w:sz w:val="20"/>
                <w:lang w:val="en-CA"/>
              </w:rPr>
              <w:t>Quebec Superior Court</w:t>
            </w:r>
          </w:p>
          <w:p w:rsidR="00651F4C" w:rsidRPr="00D0317D" w:rsidRDefault="00651F4C" w:rsidP="00651F4C">
            <w:pPr>
              <w:jc w:val="both"/>
              <w:rPr>
                <w:sz w:val="20"/>
                <w:lang w:val="en-CA"/>
              </w:rPr>
            </w:pPr>
            <w:r w:rsidRPr="00D0317D">
              <w:rPr>
                <w:sz w:val="20"/>
                <w:lang w:val="en-CA"/>
              </w:rPr>
              <w:t>(Bénard J.)</w:t>
            </w:r>
          </w:p>
          <w:p w:rsidR="00651F4C" w:rsidRPr="00D0317D" w:rsidRDefault="00985225" w:rsidP="00651F4C">
            <w:pPr>
              <w:jc w:val="both"/>
              <w:rPr>
                <w:sz w:val="20"/>
                <w:lang w:val="en-CA"/>
              </w:rPr>
            </w:pPr>
            <w:hyperlink r:id="rId33" w:history="1">
              <w:r w:rsidR="00651F4C" w:rsidRPr="00D0317D">
                <w:rPr>
                  <w:rStyle w:val="Hyperlink"/>
                  <w:sz w:val="20"/>
                  <w:lang w:val="en-CA"/>
                </w:rPr>
                <w:t>2016 QCCS 1468</w:t>
              </w:r>
            </w:hyperlink>
            <w:r w:rsidR="00651F4C" w:rsidRPr="00D0317D">
              <w:rPr>
                <w:sz w:val="20"/>
                <w:lang w:val="en-CA"/>
              </w:rPr>
              <w:t xml:space="preserve"> </w:t>
            </w:r>
          </w:p>
          <w:p w:rsidR="00651F4C" w:rsidRPr="00D0317D" w:rsidRDefault="00651F4C" w:rsidP="00651F4C">
            <w:pPr>
              <w:jc w:val="both"/>
              <w:rPr>
                <w:sz w:val="20"/>
                <w:lang w:val="en-CA"/>
              </w:rPr>
            </w:pPr>
          </w:p>
        </w:tc>
        <w:tc>
          <w:tcPr>
            <w:tcW w:w="267" w:type="pct"/>
          </w:tcPr>
          <w:p w:rsidR="00651F4C" w:rsidRPr="00D0317D" w:rsidRDefault="00651F4C" w:rsidP="00651F4C">
            <w:pPr>
              <w:jc w:val="both"/>
              <w:rPr>
                <w:sz w:val="20"/>
                <w:lang w:val="en-CA"/>
              </w:rPr>
            </w:pPr>
          </w:p>
        </w:tc>
        <w:tc>
          <w:tcPr>
            <w:tcW w:w="2366" w:type="pct"/>
            <w:gridSpan w:val="2"/>
          </w:tcPr>
          <w:p w:rsidR="00651F4C" w:rsidRPr="00D0317D" w:rsidRDefault="00651F4C" w:rsidP="00651F4C">
            <w:pPr>
              <w:jc w:val="both"/>
              <w:rPr>
                <w:sz w:val="20"/>
                <w:lang w:val="en-CA"/>
              </w:rPr>
            </w:pPr>
            <w:r w:rsidRPr="00D0317D">
              <w:rPr>
                <w:sz w:val="20"/>
                <w:lang w:val="en-CA"/>
              </w:rPr>
              <w:t>Motion for disqualification of counsel dismissed; motion to have motion for disqualification declared abusive allowed; damages awarded for abuse of procedure</w:t>
            </w:r>
          </w:p>
          <w:p w:rsidR="00651F4C" w:rsidRPr="00D0317D" w:rsidRDefault="00651F4C" w:rsidP="00651F4C">
            <w:pPr>
              <w:jc w:val="both"/>
              <w:rPr>
                <w:sz w:val="20"/>
                <w:lang w:val="en-CA"/>
              </w:rPr>
            </w:pPr>
          </w:p>
        </w:tc>
      </w:tr>
      <w:tr w:rsidR="00651F4C" w:rsidRPr="00D0317D" w:rsidTr="008B499B">
        <w:tblPrEx>
          <w:tblCellMar>
            <w:bottom w:w="0" w:type="dxa"/>
          </w:tblCellMar>
        </w:tblPrEx>
        <w:tc>
          <w:tcPr>
            <w:tcW w:w="2367" w:type="pct"/>
            <w:gridSpan w:val="2"/>
          </w:tcPr>
          <w:p w:rsidR="00651F4C" w:rsidRPr="00D0317D" w:rsidRDefault="00651F4C" w:rsidP="00651F4C">
            <w:pPr>
              <w:jc w:val="both"/>
              <w:rPr>
                <w:sz w:val="20"/>
                <w:lang w:val="en-CA"/>
              </w:rPr>
            </w:pPr>
            <w:r w:rsidRPr="00D0317D">
              <w:rPr>
                <w:sz w:val="20"/>
                <w:lang w:val="en-CA"/>
              </w:rPr>
              <w:t>April 1, 2016</w:t>
            </w:r>
          </w:p>
          <w:p w:rsidR="00651F4C" w:rsidRPr="00D0317D" w:rsidRDefault="00651F4C" w:rsidP="00651F4C">
            <w:pPr>
              <w:jc w:val="both"/>
              <w:rPr>
                <w:sz w:val="20"/>
                <w:lang w:val="en-CA"/>
              </w:rPr>
            </w:pPr>
            <w:r w:rsidRPr="00D0317D">
              <w:rPr>
                <w:sz w:val="20"/>
                <w:lang w:val="en-CA"/>
              </w:rPr>
              <w:t>Quebec Court of Appeal (Montréal)</w:t>
            </w:r>
          </w:p>
          <w:p w:rsidR="00651F4C" w:rsidRPr="00D0317D" w:rsidRDefault="00651F4C" w:rsidP="00651F4C">
            <w:pPr>
              <w:jc w:val="both"/>
              <w:rPr>
                <w:sz w:val="20"/>
                <w:lang w:val="en-CA"/>
              </w:rPr>
            </w:pPr>
            <w:r w:rsidRPr="00D0317D">
              <w:rPr>
                <w:sz w:val="20"/>
                <w:lang w:val="en-CA"/>
              </w:rPr>
              <w:t>(Vauclair J.A.)</w:t>
            </w:r>
          </w:p>
          <w:p w:rsidR="00651F4C" w:rsidRPr="00D0317D" w:rsidRDefault="00985225" w:rsidP="00651F4C">
            <w:pPr>
              <w:jc w:val="both"/>
              <w:rPr>
                <w:sz w:val="20"/>
                <w:lang w:val="en-CA"/>
              </w:rPr>
            </w:pPr>
            <w:hyperlink r:id="rId34" w:history="1">
              <w:r w:rsidR="00651F4C" w:rsidRPr="00D0317D">
                <w:rPr>
                  <w:rStyle w:val="Hyperlink"/>
                  <w:sz w:val="20"/>
                  <w:lang w:val="en-CA"/>
                </w:rPr>
                <w:t>2016 QCCA 551</w:t>
              </w:r>
            </w:hyperlink>
          </w:p>
          <w:p w:rsidR="00651F4C" w:rsidRPr="00D0317D" w:rsidRDefault="00651F4C" w:rsidP="00651F4C">
            <w:pPr>
              <w:jc w:val="both"/>
              <w:rPr>
                <w:sz w:val="20"/>
                <w:lang w:val="en-CA"/>
              </w:rPr>
            </w:pPr>
          </w:p>
        </w:tc>
        <w:tc>
          <w:tcPr>
            <w:tcW w:w="267" w:type="pct"/>
          </w:tcPr>
          <w:p w:rsidR="00651F4C" w:rsidRPr="00D0317D" w:rsidRDefault="00651F4C" w:rsidP="00651F4C">
            <w:pPr>
              <w:jc w:val="both"/>
              <w:rPr>
                <w:sz w:val="20"/>
                <w:lang w:val="en-CA"/>
              </w:rPr>
            </w:pPr>
          </w:p>
        </w:tc>
        <w:tc>
          <w:tcPr>
            <w:tcW w:w="2366" w:type="pct"/>
            <w:gridSpan w:val="2"/>
          </w:tcPr>
          <w:p w:rsidR="00651F4C" w:rsidRPr="00D0317D" w:rsidRDefault="00651F4C" w:rsidP="00651F4C">
            <w:pPr>
              <w:jc w:val="both"/>
              <w:rPr>
                <w:sz w:val="20"/>
                <w:lang w:val="en-CA"/>
              </w:rPr>
            </w:pPr>
            <w:r w:rsidRPr="00D0317D">
              <w:rPr>
                <w:sz w:val="20"/>
                <w:lang w:val="en-CA"/>
              </w:rPr>
              <w:t>Motion for leave to appeal dismissed</w:t>
            </w:r>
          </w:p>
          <w:p w:rsidR="00651F4C" w:rsidRPr="00D0317D" w:rsidRDefault="00651F4C" w:rsidP="00651F4C">
            <w:pPr>
              <w:jc w:val="both"/>
              <w:rPr>
                <w:sz w:val="20"/>
                <w:lang w:val="en-CA"/>
              </w:rPr>
            </w:pPr>
          </w:p>
        </w:tc>
      </w:tr>
      <w:tr w:rsidR="00651F4C" w:rsidRPr="00D0317D" w:rsidTr="008B499B">
        <w:tblPrEx>
          <w:tblCellMar>
            <w:bottom w:w="0" w:type="dxa"/>
          </w:tblCellMar>
        </w:tblPrEx>
        <w:tc>
          <w:tcPr>
            <w:tcW w:w="2367" w:type="pct"/>
            <w:gridSpan w:val="2"/>
          </w:tcPr>
          <w:p w:rsidR="00651F4C" w:rsidRPr="00D0317D" w:rsidRDefault="00651F4C" w:rsidP="00651F4C">
            <w:pPr>
              <w:jc w:val="both"/>
              <w:rPr>
                <w:sz w:val="20"/>
                <w:lang w:val="en-CA"/>
              </w:rPr>
            </w:pPr>
            <w:r w:rsidRPr="00D0317D">
              <w:rPr>
                <w:sz w:val="20"/>
                <w:lang w:val="en-CA"/>
              </w:rPr>
              <w:t>May 31, 2016</w:t>
            </w:r>
          </w:p>
          <w:p w:rsidR="00651F4C" w:rsidRPr="00D0317D" w:rsidRDefault="00651F4C" w:rsidP="00651F4C">
            <w:pPr>
              <w:jc w:val="both"/>
              <w:rPr>
                <w:sz w:val="20"/>
                <w:lang w:val="en-CA"/>
              </w:rPr>
            </w:pPr>
            <w:r w:rsidRPr="00D0317D">
              <w:rPr>
                <w:sz w:val="20"/>
                <w:lang w:val="en-CA"/>
              </w:rPr>
              <w:t>Supreme Court of Canada</w:t>
            </w:r>
          </w:p>
        </w:tc>
        <w:tc>
          <w:tcPr>
            <w:tcW w:w="267" w:type="pct"/>
          </w:tcPr>
          <w:p w:rsidR="00651F4C" w:rsidRPr="00D0317D" w:rsidRDefault="00651F4C" w:rsidP="00651F4C">
            <w:pPr>
              <w:jc w:val="both"/>
              <w:rPr>
                <w:sz w:val="20"/>
                <w:lang w:val="en-CA"/>
              </w:rPr>
            </w:pPr>
          </w:p>
        </w:tc>
        <w:tc>
          <w:tcPr>
            <w:tcW w:w="2366" w:type="pct"/>
            <w:gridSpan w:val="2"/>
          </w:tcPr>
          <w:p w:rsidR="00651F4C" w:rsidRPr="00D0317D" w:rsidRDefault="00651F4C" w:rsidP="00651F4C">
            <w:pPr>
              <w:jc w:val="both"/>
              <w:rPr>
                <w:sz w:val="20"/>
                <w:lang w:val="en-CA"/>
              </w:rPr>
            </w:pPr>
            <w:r w:rsidRPr="00D0317D">
              <w:rPr>
                <w:sz w:val="20"/>
                <w:lang w:val="en-CA"/>
              </w:rPr>
              <w:t>Application for leave to appeal filed</w:t>
            </w:r>
          </w:p>
          <w:p w:rsidR="00651F4C" w:rsidRPr="00D0317D" w:rsidRDefault="00651F4C" w:rsidP="00651F4C">
            <w:pPr>
              <w:jc w:val="both"/>
              <w:rPr>
                <w:sz w:val="20"/>
                <w:lang w:val="en-CA"/>
              </w:rPr>
            </w:pPr>
          </w:p>
        </w:tc>
      </w:tr>
    </w:tbl>
    <w:p w:rsidR="00651F4C" w:rsidRPr="00D0317D" w:rsidRDefault="00651F4C" w:rsidP="00651F4C">
      <w:pPr>
        <w:jc w:val="both"/>
        <w:rPr>
          <w:sz w:val="20"/>
          <w:lang w:val="en-CA"/>
        </w:rPr>
      </w:pPr>
    </w:p>
    <w:p w:rsidR="00651F4C" w:rsidRPr="00D0317D" w:rsidRDefault="00651F4C" w:rsidP="00651F4C">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51F4C" w:rsidRPr="005165BD" w:rsidTr="008B499B">
        <w:trPr>
          <w:gridAfter w:val="1"/>
          <w:wAfter w:w="48" w:type="pct"/>
        </w:trPr>
        <w:tc>
          <w:tcPr>
            <w:tcW w:w="538" w:type="pct"/>
          </w:tcPr>
          <w:p w:rsidR="00651F4C" w:rsidRPr="00D0317D" w:rsidRDefault="00651F4C" w:rsidP="00651F4C">
            <w:pPr>
              <w:jc w:val="both"/>
              <w:rPr>
                <w:sz w:val="20"/>
              </w:rPr>
            </w:pPr>
            <w:r w:rsidRPr="00D0317D">
              <w:rPr>
                <w:rStyle w:val="SCCFileNumberChar"/>
                <w:sz w:val="20"/>
                <w:szCs w:val="20"/>
              </w:rPr>
              <w:t>37029</w:t>
            </w:r>
          </w:p>
        </w:tc>
        <w:tc>
          <w:tcPr>
            <w:tcW w:w="4414" w:type="pct"/>
            <w:gridSpan w:val="3"/>
          </w:tcPr>
          <w:p w:rsidR="00651F4C" w:rsidRPr="00D0317D" w:rsidRDefault="00651F4C" w:rsidP="00651F4C">
            <w:pPr>
              <w:pStyle w:val="SCCLsocParty"/>
              <w:jc w:val="both"/>
              <w:rPr>
                <w:b/>
                <w:sz w:val="20"/>
                <w:szCs w:val="20"/>
              </w:rPr>
            </w:pPr>
            <w:r w:rsidRPr="00D0317D">
              <w:rPr>
                <w:b/>
                <w:sz w:val="20"/>
                <w:szCs w:val="20"/>
              </w:rPr>
              <w:t>A.G.F. c. S.C.</w:t>
            </w:r>
          </w:p>
          <w:p w:rsidR="00651F4C" w:rsidRPr="000870AB" w:rsidRDefault="00651F4C" w:rsidP="00651F4C">
            <w:pPr>
              <w:jc w:val="both"/>
              <w:rPr>
                <w:sz w:val="20"/>
                <w:lang w:val="fr-CA"/>
              </w:rPr>
            </w:pPr>
            <w:r w:rsidRPr="000870AB">
              <w:rPr>
                <w:sz w:val="20"/>
                <w:lang w:val="fr-CA"/>
              </w:rPr>
              <w:t>(Qc) (Civile) (Autorisation)</w:t>
            </w:r>
          </w:p>
        </w:tc>
      </w:tr>
      <w:tr w:rsidR="00651F4C" w:rsidRPr="005165BD" w:rsidTr="008B499B">
        <w:trPr>
          <w:gridAfter w:val="1"/>
          <w:wAfter w:w="48" w:type="pct"/>
        </w:trPr>
        <w:tc>
          <w:tcPr>
            <w:tcW w:w="4952" w:type="pct"/>
            <w:gridSpan w:val="4"/>
          </w:tcPr>
          <w:p w:rsidR="00651F4C" w:rsidRPr="000870AB" w:rsidRDefault="00651F4C" w:rsidP="00651F4C">
            <w:pPr>
              <w:pStyle w:val="SCCBanSummary"/>
              <w:rPr>
                <w:sz w:val="20"/>
                <w:szCs w:val="20"/>
                <w:lang w:val="fr-CA"/>
              </w:rPr>
            </w:pPr>
            <w:r w:rsidRPr="000870AB">
              <w:rPr>
                <w:sz w:val="20"/>
                <w:szCs w:val="20"/>
                <w:lang w:val="fr-CA"/>
              </w:rPr>
              <w:lastRenderedPageBreak/>
              <w:t>(Ordonnance de non-publication dans le dossier) (Ordonnance de non-publication visant une partie) (Le dossier de la Cour renferme des données que le public n'est pas autorisé à consulter)</w:t>
            </w:r>
          </w:p>
          <w:p w:rsidR="00651F4C" w:rsidRPr="000870AB" w:rsidRDefault="00651F4C" w:rsidP="00651F4C">
            <w:pPr>
              <w:jc w:val="both"/>
              <w:rPr>
                <w:sz w:val="20"/>
                <w:lang w:val="fr-CA"/>
              </w:rPr>
            </w:pPr>
          </w:p>
        </w:tc>
      </w:tr>
      <w:tr w:rsidR="00651F4C" w:rsidRPr="005165BD" w:rsidTr="008B499B">
        <w:trPr>
          <w:gridAfter w:val="1"/>
          <w:wAfter w:w="48" w:type="pct"/>
        </w:trPr>
        <w:tc>
          <w:tcPr>
            <w:tcW w:w="4952" w:type="pct"/>
            <w:gridSpan w:val="4"/>
          </w:tcPr>
          <w:p w:rsidR="00651F4C" w:rsidRPr="000870AB" w:rsidRDefault="00651F4C" w:rsidP="00651F4C">
            <w:pPr>
              <w:jc w:val="both"/>
              <w:rPr>
                <w:sz w:val="20"/>
                <w:lang w:val="fr-CA"/>
              </w:rPr>
            </w:pPr>
            <w:r w:rsidRPr="000870AB">
              <w:rPr>
                <w:sz w:val="20"/>
                <w:lang w:val="fr-CA"/>
              </w:rPr>
              <w:t xml:space="preserve">Procédure civile – </w:t>
            </w:r>
            <w:r w:rsidRPr="000870AB">
              <w:rPr>
                <w:color w:val="000000"/>
                <w:sz w:val="20"/>
                <w:lang w:val="fr-CA"/>
              </w:rPr>
              <w:t xml:space="preserve">Déclaration d’inhabilité d’un avocat à occuper – Requête en déclaration d’inhabilité déposée en matière familiale – Retard de l’audition sur le fond – Abus de procédure – Dommage punitif </w:t>
            </w:r>
            <w:r w:rsidRPr="000870AB">
              <w:rPr>
                <w:sz w:val="20"/>
                <w:lang w:val="fr-CA"/>
              </w:rPr>
              <w:t>– Les tribunaux inférieurs ont-ils commis une erreur en imputant à la requérante des dommages punitifs? – Les tribunaux inférieurs ont-ils agis au détriment du droit à une défense pleine et entière en refusant d’entendre les témoins?</w:t>
            </w:r>
          </w:p>
        </w:tc>
      </w:tr>
      <w:tr w:rsidR="00651F4C" w:rsidRPr="005165BD" w:rsidTr="008B499B">
        <w:trPr>
          <w:gridAfter w:val="1"/>
          <w:wAfter w:w="48" w:type="pct"/>
        </w:trPr>
        <w:tc>
          <w:tcPr>
            <w:tcW w:w="4952" w:type="pct"/>
            <w:gridSpan w:val="4"/>
          </w:tcPr>
          <w:p w:rsidR="00651F4C" w:rsidRPr="000870AB" w:rsidRDefault="00651F4C" w:rsidP="00651F4C">
            <w:pPr>
              <w:jc w:val="both"/>
              <w:rPr>
                <w:sz w:val="20"/>
                <w:lang w:val="fr-CA"/>
              </w:rPr>
            </w:pPr>
          </w:p>
          <w:p w:rsidR="00651F4C" w:rsidRPr="000870AB" w:rsidRDefault="00651F4C" w:rsidP="00651F4C">
            <w:pPr>
              <w:jc w:val="both"/>
              <w:rPr>
                <w:sz w:val="20"/>
                <w:lang w:val="fr-CA"/>
              </w:rPr>
            </w:pPr>
            <w:r w:rsidRPr="000870AB">
              <w:rPr>
                <w:sz w:val="20"/>
                <w:lang w:val="fr-CA"/>
              </w:rPr>
              <w:t xml:space="preserve">Dans le cadre d’une instance en matière familiale en révision de garde d’un enfant, une requête en inhabilité est présentée par la demanderesse à l’encontre du procureur de l’intimé. </w:t>
            </w:r>
          </w:p>
          <w:p w:rsidR="00651F4C" w:rsidRPr="000870AB" w:rsidRDefault="00651F4C" w:rsidP="00651F4C">
            <w:pPr>
              <w:jc w:val="both"/>
              <w:rPr>
                <w:sz w:val="20"/>
                <w:lang w:val="fr-CA"/>
              </w:rPr>
            </w:pPr>
          </w:p>
        </w:tc>
      </w:tr>
      <w:tr w:rsidR="00651F4C" w:rsidRPr="005165BD" w:rsidTr="008B499B">
        <w:tblPrEx>
          <w:tblCellMar>
            <w:bottom w:w="0" w:type="dxa"/>
          </w:tblCellMar>
        </w:tblPrEx>
        <w:tc>
          <w:tcPr>
            <w:tcW w:w="2367" w:type="pct"/>
            <w:gridSpan w:val="2"/>
          </w:tcPr>
          <w:p w:rsidR="00651F4C" w:rsidRPr="000870AB" w:rsidRDefault="00651F4C" w:rsidP="00651F4C">
            <w:pPr>
              <w:jc w:val="both"/>
              <w:rPr>
                <w:sz w:val="20"/>
                <w:lang w:val="fr-CA"/>
              </w:rPr>
            </w:pPr>
            <w:r w:rsidRPr="000870AB">
              <w:rPr>
                <w:sz w:val="20"/>
                <w:lang w:val="fr-CA"/>
              </w:rPr>
              <w:t>Le 17 février 2016</w:t>
            </w:r>
          </w:p>
          <w:p w:rsidR="00651F4C" w:rsidRPr="000870AB" w:rsidRDefault="00651F4C" w:rsidP="00651F4C">
            <w:pPr>
              <w:jc w:val="both"/>
              <w:rPr>
                <w:sz w:val="20"/>
                <w:lang w:val="fr-CA"/>
              </w:rPr>
            </w:pPr>
            <w:r w:rsidRPr="000870AB">
              <w:rPr>
                <w:sz w:val="20"/>
                <w:lang w:val="fr-CA"/>
              </w:rPr>
              <w:t>Cour supérieure du Québec</w:t>
            </w:r>
          </w:p>
          <w:p w:rsidR="00651F4C" w:rsidRPr="00D0317D" w:rsidRDefault="00651F4C" w:rsidP="00651F4C">
            <w:pPr>
              <w:jc w:val="both"/>
              <w:rPr>
                <w:sz w:val="20"/>
              </w:rPr>
            </w:pPr>
            <w:r w:rsidRPr="00D0317D">
              <w:rPr>
                <w:sz w:val="20"/>
              </w:rPr>
              <w:t xml:space="preserve">(La </w:t>
            </w:r>
            <w:proofErr w:type="spellStart"/>
            <w:r w:rsidRPr="00D0317D">
              <w:rPr>
                <w:sz w:val="20"/>
              </w:rPr>
              <w:t>juge</w:t>
            </w:r>
            <w:proofErr w:type="spellEnd"/>
            <w:r w:rsidRPr="00D0317D">
              <w:rPr>
                <w:sz w:val="20"/>
              </w:rPr>
              <w:t xml:space="preserve"> </w:t>
            </w:r>
            <w:proofErr w:type="spellStart"/>
            <w:r w:rsidRPr="00D0317D">
              <w:rPr>
                <w:sz w:val="20"/>
              </w:rPr>
              <w:t>Bénard</w:t>
            </w:r>
            <w:proofErr w:type="spellEnd"/>
            <w:r w:rsidRPr="00D0317D">
              <w:rPr>
                <w:sz w:val="20"/>
              </w:rPr>
              <w:t>)</w:t>
            </w:r>
          </w:p>
          <w:p w:rsidR="00651F4C" w:rsidRPr="00D0317D" w:rsidRDefault="00985225" w:rsidP="00651F4C">
            <w:pPr>
              <w:jc w:val="both"/>
              <w:rPr>
                <w:sz w:val="20"/>
              </w:rPr>
            </w:pPr>
            <w:hyperlink r:id="rId35" w:history="1">
              <w:r w:rsidR="00651F4C" w:rsidRPr="00D0317D">
                <w:rPr>
                  <w:rStyle w:val="Hyperlink"/>
                  <w:sz w:val="20"/>
                </w:rPr>
                <w:t>2016 QCCS 1468</w:t>
              </w:r>
            </w:hyperlink>
            <w:r w:rsidR="00651F4C" w:rsidRPr="00D0317D">
              <w:rPr>
                <w:sz w:val="20"/>
              </w:rPr>
              <w:t xml:space="preserve"> </w:t>
            </w:r>
          </w:p>
          <w:p w:rsidR="00651F4C" w:rsidRPr="00D0317D" w:rsidRDefault="00651F4C" w:rsidP="00651F4C">
            <w:pPr>
              <w:jc w:val="both"/>
              <w:rPr>
                <w:sz w:val="20"/>
              </w:rPr>
            </w:pPr>
          </w:p>
        </w:tc>
        <w:tc>
          <w:tcPr>
            <w:tcW w:w="267" w:type="pct"/>
          </w:tcPr>
          <w:p w:rsidR="00651F4C" w:rsidRPr="00D0317D" w:rsidRDefault="00651F4C" w:rsidP="00651F4C">
            <w:pPr>
              <w:jc w:val="both"/>
              <w:rPr>
                <w:sz w:val="20"/>
              </w:rPr>
            </w:pPr>
          </w:p>
        </w:tc>
        <w:tc>
          <w:tcPr>
            <w:tcW w:w="2366" w:type="pct"/>
            <w:gridSpan w:val="2"/>
          </w:tcPr>
          <w:p w:rsidR="00651F4C" w:rsidRPr="000870AB" w:rsidRDefault="00651F4C" w:rsidP="00651F4C">
            <w:pPr>
              <w:jc w:val="both"/>
              <w:rPr>
                <w:sz w:val="20"/>
                <w:lang w:val="fr-CA"/>
              </w:rPr>
            </w:pPr>
            <w:r w:rsidRPr="000870AB">
              <w:rPr>
                <w:sz w:val="20"/>
                <w:lang w:val="fr-CA"/>
              </w:rPr>
              <w:t>Requête en déclaration d’inhabilité de l’avocate rejetée; Requête pour faire déclarer abusive la requête en déclaration d’inhabilité accordée; Dommage accordé pour abus de procédure</w:t>
            </w:r>
          </w:p>
          <w:p w:rsidR="00651F4C" w:rsidRPr="000870AB" w:rsidRDefault="00651F4C" w:rsidP="00651F4C">
            <w:pPr>
              <w:jc w:val="both"/>
              <w:rPr>
                <w:sz w:val="20"/>
                <w:lang w:val="fr-CA"/>
              </w:rPr>
            </w:pPr>
          </w:p>
        </w:tc>
      </w:tr>
      <w:tr w:rsidR="00651F4C" w:rsidRPr="00D0317D" w:rsidTr="008B499B">
        <w:tblPrEx>
          <w:tblCellMar>
            <w:bottom w:w="0" w:type="dxa"/>
          </w:tblCellMar>
        </w:tblPrEx>
        <w:tc>
          <w:tcPr>
            <w:tcW w:w="2367" w:type="pct"/>
            <w:gridSpan w:val="2"/>
          </w:tcPr>
          <w:p w:rsidR="00651F4C" w:rsidRPr="000870AB" w:rsidRDefault="00651F4C" w:rsidP="00651F4C">
            <w:pPr>
              <w:jc w:val="both"/>
              <w:rPr>
                <w:sz w:val="20"/>
                <w:lang w:val="fr-CA"/>
              </w:rPr>
            </w:pPr>
            <w:r w:rsidRPr="000870AB">
              <w:rPr>
                <w:sz w:val="20"/>
                <w:lang w:val="fr-CA"/>
              </w:rPr>
              <w:t>Le 1 avril 2016</w:t>
            </w:r>
          </w:p>
          <w:p w:rsidR="00651F4C" w:rsidRPr="000870AB" w:rsidRDefault="00651F4C" w:rsidP="00651F4C">
            <w:pPr>
              <w:jc w:val="both"/>
              <w:rPr>
                <w:sz w:val="20"/>
                <w:lang w:val="fr-CA"/>
              </w:rPr>
            </w:pPr>
            <w:r w:rsidRPr="000870AB">
              <w:rPr>
                <w:sz w:val="20"/>
                <w:lang w:val="fr-CA"/>
              </w:rPr>
              <w:t>Cour d’appel du Québec (Montréal)</w:t>
            </w:r>
          </w:p>
          <w:p w:rsidR="00651F4C" w:rsidRPr="00D0317D" w:rsidRDefault="00651F4C" w:rsidP="00651F4C">
            <w:pPr>
              <w:jc w:val="both"/>
              <w:rPr>
                <w:sz w:val="20"/>
              </w:rPr>
            </w:pPr>
            <w:r w:rsidRPr="00D0317D">
              <w:rPr>
                <w:sz w:val="20"/>
              </w:rPr>
              <w:t xml:space="preserve">(Le </w:t>
            </w:r>
            <w:proofErr w:type="spellStart"/>
            <w:r w:rsidRPr="00D0317D">
              <w:rPr>
                <w:sz w:val="20"/>
              </w:rPr>
              <w:t>juge</w:t>
            </w:r>
            <w:proofErr w:type="spellEnd"/>
            <w:r w:rsidRPr="00D0317D">
              <w:rPr>
                <w:sz w:val="20"/>
              </w:rPr>
              <w:t xml:space="preserve"> </w:t>
            </w:r>
            <w:proofErr w:type="spellStart"/>
            <w:r w:rsidRPr="00D0317D">
              <w:rPr>
                <w:sz w:val="20"/>
              </w:rPr>
              <w:t>Vauclair</w:t>
            </w:r>
            <w:proofErr w:type="spellEnd"/>
            <w:r w:rsidRPr="00D0317D">
              <w:rPr>
                <w:sz w:val="20"/>
              </w:rPr>
              <w:t>)</w:t>
            </w:r>
          </w:p>
          <w:p w:rsidR="00651F4C" w:rsidRPr="00D0317D" w:rsidRDefault="00985225" w:rsidP="00651F4C">
            <w:pPr>
              <w:jc w:val="both"/>
              <w:rPr>
                <w:sz w:val="20"/>
              </w:rPr>
            </w:pPr>
            <w:hyperlink r:id="rId36" w:history="1">
              <w:r w:rsidR="00651F4C" w:rsidRPr="00D0317D">
                <w:rPr>
                  <w:rStyle w:val="Hyperlink"/>
                  <w:sz w:val="20"/>
                </w:rPr>
                <w:t>2016 QCCA 551</w:t>
              </w:r>
            </w:hyperlink>
          </w:p>
          <w:p w:rsidR="00651F4C" w:rsidRPr="00D0317D" w:rsidRDefault="00651F4C" w:rsidP="00651F4C">
            <w:pPr>
              <w:jc w:val="both"/>
              <w:rPr>
                <w:sz w:val="20"/>
              </w:rPr>
            </w:pPr>
          </w:p>
        </w:tc>
        <w:tc>
          <w:tcPr>
            <w:tcW w:w="267" w:type="pct"/>
          </w:tcPr>
          <w:p w:rsidR="00651F4C" w:rsidRPr="00D0317D" w:rsidRDefault="00651F4C" w:rsidP="00651F4C">
            <w:pPr>
              <w:jc w:val="both"/>
              <w:rPr>
                <w:sz w:val="20"/>
              </w:rPr>
            </w:pPr>
          </w:p>
        </w:tc>
        <w:tc>
          <w:tcPr>
            <w:tcW w:w="2366" w:type="pct"/>
            <w:gridSpan w:val="2"/>
          </w:tcPr>
          <w:p w:rsidR="00651F4C" w:rsidRPr="00D0317D" w:rsidRDefault="00651F4C" w:rsidP="00651F4C">
            <w:pPr>
              <w:jc w:val="both"/>
              <w:rPr>
                <w:sz w:val="20"/>
              </w:rPr>
            </w:pPr>
            <w:r w:rsidRPr="00D0317D">
              <w:rPr>
                <w:sz w:val="20"/>
              </w:rPr>
              <w:t>Requête pour permission d’appeler rejetée</w:t>
            </w:r>
          </w:p>
          <w:p w:rsidR="00651F4C" w:rsidRPr="00D0317D" w:rsidRDefault="00651F4C" w:rsidP="00651F4C">
            <w:pPr>
              <w:jc w:val="both"/>
              <w:rPr>
                <w:sz w:val="20"/>
              </w:rPr>
            </w:pPr>
          </w:p>
        </w:tc>
      </w:tr>
      <w:tr w:rsidR="00651F4C" w:rsidRPr="00D0317D" w:rsidTr="008B499B">
        <w:tblPrEx>
          <w:tblCellMar>
            <w:bottom w:w="0" w:type="dxa"/>
          </w:tblCellMar>
        </w:tblPrEx>
        <w:tc>
          <w:tcPr>
            <w:tcW w:w="2367" w:type="pct"/>
            <w:gridSpan w:val="2"/>
          </w:tcPr>
          <w:p w:rsidR="00651F4C" w:rsidRPr="000870AB" w:rsidRDefault="00651F4C" w:rsidP="00651F4C">
            <w:pPr>
              <w:jc w:val="both"/>
              <w:rPr>
                <w:sz w:val="20"/>
                <w:lang w:val="fr-CA"/>
              </w:rPr>
            </w:pPr>
            <w:r w:rsidRPr="000870AB">
              <w:rPr>
                <w:sz w:val="20"/>
                <w:lang w:val="fr-CA"/>
              </w:rPr>
              <w:t>Le 31 mai 2016</w:t>
            </w:r>
          </w:p>
          <w:p w:rsidR="00651F4C" w:rsidRPr="000870AB" w:rsidRDefault="00651F4C" w:rsidP="00651F4C">
            <w:pPr>
              <w:jc w:val="both"/>
              <w:rPr>
                <w:sz w:val="20"/>
                <w:lang w:val="fr-CA"/>
              </w:rPr>
            </w:pPr>
            <w:r w:rsidRPr="000870AB">
              <w:rPr>
                <w:sz w:val="20"/>
                <w:lang w:val="fr-CA"/>
              </w:rPr>
              <w:t>Cour suprême du Canada</w:t>
            </w:r>
          </w:p>
        </w:tc>
        <w:tc>
          <w:tcPr>
            <w:tcW w:w="267" w:type="pct"/>
          </w:tcPr>
          <w:p w:rsidR="00651F4C" w:rsidRPr="000870AB" w:rsidRDefault="00651F4C" w:rsidP="00651F4C">
            <w:pPr>
              <w:jc w:val="both"/>
              <w:rPr>
                <w:sz w:val="20"/>
                <w:lang w:val="fr-CA"/>
              </w:rPr>
            </w:pPr>
          </w:p>
        </w:tc>
        <w:tc>
          <w:tcPr>
            <w:tcW w:w="2366" w:type="pct"/>
            <w:gridSpan w:val="2"/>
          </w:tcPr>
          <w:p w:rsidR="00651F4C" w:rsidRPr="00D0317D" w:rsidRDefault="00651F4C" w:rsidP="00651F4C">
            <w:pPr>
              <w:jc w:val="both"/>
              <w:rPr>
                <w:sz w:val="20"/>
              </w:rPr>
            </w:pPr>
            <w:r w:rsidRPr="00D0317D">
              <w:rPr>
                <w:sz w:val="20"/>
              </w:rPr>
              <w:t>Demande d'autorisation d'appel déposée</w:t>
            </w:r>
          </w:p>
          <w:p w:rsidR="00651F4C" w:rsidRPr="00D0317D" w:rsidRDefault="00651F4C" w:rsidP="00651F4C">
            <w:pPr>
              <w:jc w:val="both"/>
              <w:rPr>
                <w:sz w:val="20"/>
              </w:rPr>
            </w:pPr>
          </w:p>
        </w:tc>
      </w:tr>
    </w:tbl>
    <w:p w:rsidR="00651F4C" w:rsidRPr="00D0317D" w:rsidRDefault="00651F4C" w:rsidP="00651F4C">
      <w:pPr>
        <w:jc w:val="both"/>
        <w:rPr>
          <w:sz w:val="20"/>
        </w:rPr>
      </w:pPr>
    </w:p>
    <w:p w:rsidR="0028383B" w:rsidRPr="00D0317D" w:rsidRDefault="0028383B" w:rsidP="00504616">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616" w:rsidRPr="00D0317D" w:rsidTr="002A6FB4">
        <w:tc>
          <w:tcPr>
            <w:tcW w:w="543" w:type="pct"/>
          </w:tcPr>
          <w:p w:rsidR="00504616" w:rsidRPr="00D0317D" w:rsidRDefault="00504616" w:rsidP="00504616">
            <w:pPr>
              <w:jc w:val="both"/>
              <w:rPr>
                <w:sz w:val="20"/>
              </w:rPr>
            </w:pPr>
            <w:r w:rsidRPr="00D0317D">
              <w:rPr>
                <w:rStyle w:val="SCCFileNumberChar"/>
                <w:sz w:val="20"/>
                <w:szCs w:val="20"/>
              </w:rPr>
              <w:t>37019</w:t>
            </w:r>
          </w:p>
        </w:tc>
        <w:tc>
          <w:tcPr>
            <w:tcW w:w="4457" w:type="pct"/>
            <w:gridSpan w:val="3"/>
          </w:tcPr>
          <w:p w:rsidR="00504616" w:rsidRPr="000870AB" w:rsidRDefault="00504616" w:rsidP="00504616">
            <w:pPr>
              <w:pStyle w:val="SCCLsocParty"/>
              <w:jc w:val="both"/>
              <w:rPr>
                <w:b/>
                <w:sz w:val="20"/>
                <w:szCs w:val="20"/>
                <w:lang w:val="en-US"/>
              </w:rPr>
            </w:pPr>
            <w:r w:rsidRPr="000870AB">
              <w:rPr>
                <w:b/>
                <w:sz w:val="20"/>
                <w:szCs w:val="20"/>
                <w:lang w:val="en-US"/>
              </w:rPr>
              <w:t xml:space="preserve">National Hockey League v. Dean Warren, Ontario </w:t>
            </w:r>
            <w:proofErr w:type="spellStart"/>
            <w:r w:rsidRPr="000870AB">
              <w:rPr>
                <w:b/>
                <w:sz w:val="20"/>
                <w:szCs w:val="20"/>
                <w:lang w:val="en-US"/>
              </w:rPr>
              <w:t>Labour</w:t>
            </w:r>
            <w:proofErr w:type="spellEnd"/>
            <w:r w:rsidRPr="000870AB">
              <w:rPr>
                <w:b/>
                <w:sz w:val="20"/>
                <w:szCs w:val="20"/>
                <w:lang w:val="en-US"/>
              </w:rPr>
              <w:t xml:space="preserve"> Relations Board</w:t>
            </w:r>
          </w:p>
          <w:p w:rsidR="00504616" w:rsidRPr="00D0317D" w:rsidRDefault="00504616" w:rsidP="00504616">
            <w:pPr>
              <w:jc w:val="both"/>
              <w:rPr>
                <w:sz w:val="20"/>
              </w:rPr>
            </w:pPr>
            <w:r w:rsidRPr="00D0317D">
              <w:rPr>
                <w:sz w:val="20"/>
              </w:rPr>
              <w:t>(Ont.) (Civil) (By Leave)</w:t>
            </w:r>
          </w:p>
        </w:tc>
      </w:tr>
      <w:tr w:rsidR="00504616" w:rsidRPr="00D0317D" w:rsidTr="002A6FB4">
        <w:tc>
          <w:tcPr>
            <w:tcW w:w="5000" w:type="pct"/>
            <w:gridSpan w:val="4"/>
          </w:tcPr>
          <w:p w:rsidR="00504616" w:rsidRPr="00D0317D" w:rsidRDefault="00504616" w:rsidP="00504616">
            <w:pPr>
              <w:jc w:val="both"/>
              <w:rPr>
                <w:sz w:val="20"/>
              </w:rPr>
            </w:pPr>
            <w:r w:rsidRPr="00D0317D">
              <w:rPr>
                <w:sz w:val="20"/>
              </w:rPr>
              <w:t>Administrative law – Appeals – Standard of review – Boards and tribunals – Appellate court denying leave to appeal a lower court decision quashing Board’s decision – How are courts reviewing the decision of an expert administrative tribunal to apply the reasonableness standard of review and exercise deference, and when is it appropriate for a reviewing court to intervene and overturn the decision of the tribunal exercising discretion under its home statute not to hear a complaint.</w:t>
            </w:r>
          </w:p>
          <w:p w:rsidR="00504616" w:rsidRPr="00D0317D" w:rsidRDefault="00504616" w:rsidP="00504616">
            <w:pPr>
              <w:jc w:val="both"/>
              <w:rPr>
                <w:sz w:val="20"/>
              </w:rPr>
            </w:pPr>
          </w:p>
        </w:tc>
      </w:tr>
      <w:tr w:rsidR="00504616" w:rsidRPr="00D0317D" w:rsidTr="002A6FB4">
        <w:tc>
          <w:tcPr>
            <w:tcW w:w="5000" w:type="pct"/>
            <w:gridSpan w:val="4"/>
          </w:tcPr>
          <w:p w:rsidR="00504616" w:rsidRPr="00D0317D" w:rsidRDefault="00504616" w:rsidP="00504616">
            <w:pPr>
              <w:jc w:val="both"/>
              <w:rPr>
                <w:sz w:val="20"/>
              </w:rPr>
            </w:pPr>
            <w:r w:rsidRPr="00D0317D">
              <w:rPr>
                <w:sz w:val="20"/>
              </w:rPr>
              <w:t xml:space="preserve">The respondent Warren was a referee employed by the National Hockey League (the “League”) from 1998 to 2008. He was terminated in April 2008 for “substandard performance”, and the League offered to pay him severance if he signed a release waiving all claims. The respondent did not sign the release and unsuccessfully brought an application before the Ontario Labour Relations Board (the “Board”) alleging an unfair labour practice and seeking reinstatement. After exhausting his avenues of appeal, the respondent signed the release but the League refused to pay severance on the basis that he had waived his right to it pursuant to the collective agreement. </w:t>
            </w:r>
          </w:p>
          <w:p w:rsidR="00504616" w:rsidRPr="00D0317D" w:rsidRDefault="00504616" w:rsidP="00504616">
            <w:pPr>
              <w:jc w:val="both"/>
              <w:rPr>
                <w:sz w:val="20"/>
              </w:rPr>
            </w:pPr>
          </w:p>
          <w:p w:rsidR="00504616" w:rsidRPr="00D0317D" w:rsidRDefault="00504616" w:rsidP="00504616">
            <w:pPr>
              <w:jc w:val="both"/>
              <w:rPr>
                <w:sz w:val="20"/>
              </w:rPr>
            </w:pPr>
            <w:r w:rsidRPr="00D0317D">
              <w:rPr>
                <w:sz w:val="20"/>
              </w:rPr>
              <w:t xml:space="preserve">The respondent brought an application before the Board under s. 96 of the </w:t>
            </w:r>
            <w:r w:rsidRPr="00D0317D">
              <w:rPr>
                <w:i/>
                <w:sz w:val="20"/>
              </w:rPr>
              <w:t>Labour Relations Act</w:t>
            </w:r>
            <w:r w:rsidRPr="00D0317D">
              <w:rPr>
                <w:sz w:val="20"/>
              </w:rPr>
              <w:t>, 1995, S.O. 1995, c. 1 Sch. A (the “</w:t>
            </w:r>
            <w:r w:rsidRPr="00D0317D">
              <w:rPr>
                <w:i/>
                <w:sz w:val="20"/>
              </w:rPr>
              <w:t>Act</w:t>
            </w:r>
            <w:r w:rsidRPr="00D0317D">
              <w:rPr>
                <w:sz w:val="20"/>
              </w:rPr>
              <w:t xml:space="preserve">”) challenging the League’s decision and alleging discrimination against him for having brought the previous application. He argued that the refusal to pay severance was in breach of ss. 70, 72 and 76 of the </w:t>
            </w:r>
            <w:r w:rsidRPr="00D0317D">
              <w:rPr>
                <w:i/>
                <w:sz w:val="20"/>
              </w:rPr>
              <w:t>Act</w:t>
            </w:r>
            <w:r w:rsidRPr="00D0317D">
              <w:rPr>
                <w:sz w:val="20"/>
              </w:rPr>
              <w:t xml:space="preserve"> and that reliance on s. 13(</w:t>
            </w:r>
            <w:proofErr w:type="spellStart"/>
            <w:r w:rsidRPr="00D0317D">
              <w:rPr>
                <w:sz w:val="20"/>
              </w:rPr>
              <w:t>i</w:t>
            </w:r>
            <w:proofErr w:type="spellEnd"/>
            <w:r w:rsidRPr="00D0317D">
              <w:rPr>
                <w:sz w:val="20"/>
              </w:rPr>
              <w:t xml:space="preserve">) of the collective agreement to deny severance was inconsistent with s. 87(1) of the </w:t>
            </w:r>
            <w:r w:rsidRPr="00D0317D">
              <w:rPr>
                <w:i/>
                <w:sz w:val="20"/>
              </w:rPr>
              <w:t>Act</w:t>
            </w:r>
            <w:r w:rsidRPr="00D0317D">
              <w:rPr>
                <w:sz w:val="20"/>
              </w:rPr>
              <w:t xml:space="preserve">. The League brought a preliminary motion to dismiss the application as unduly delayed and barred by </w:t>
            </w:r>
            <w:r w:rsidRPr="00D0317D">
              <w:rPr>
                <w:i/>
                <w:sz w:val="20"/>
              </w:rPr>
              <w:t>res judicata</w:t>
            </w:r>
            <w:r w:rsidRPr="00D0317D">
              <w:rPr>
                <w:sz w:val="20"/>
              </w:rPr>
              <w:t>, issue estoppel and abuse of process. Finding that Mr. Warren’s claim had crystallized in 2008, the Board granted the League’s motion and dismissed the respondent’s application for undue delay. The Ontario Superior Court of Justice, Divisional Court granted Mr. Warren’s application for judicial review, quashed the Board’s decision and remitted the matter to the Board for determination. A motion for leave to appeal that decision to the Court of Appeal for Ontario was denied.</w:t>
            </w:r>
          </w:p>
        </w:tc>
      </w:tr>
      <w:tr w:rsidR="00504616" w:rsidRPr="00D0317D" w:rsidTr="002A6FB4">
        <w:tc>
          <w:tcPr>
            <w:tcW w:w="5000" w:type="pct"/>
            <w:gridSpan w:val="4"/>
          </w:tcPr>
          <w:p w:rsidR="00504616" w:rsidRPr="00D0317D" w:rsidRDefault="00504616" w:rsidP="00504616">
            <w:pPr>
              <w:jc w:val="both"/>
              <w:rPr>
                <w:sz w:val="20"/>
              </w:rPr>
            </w:pPr>
          </w:p>
        </w:tc>
      </w:tr>
      <w:tr w:rsidR="00504616" w:rsidRPr="00D0317D" w:rsidTr="002A6FB4">
        <w:tc>
          <w:tcPr>
            <w:tcW w:w="2427" w:type="pct"/>
            <w:gridSpan w:val="2"/>
          </w:tcPr>
          <w:p w:rsidR="00504616" w:rsidRPr="00D0317D" w:rsidRDefault="00504616" w:rsidP="00504616">
            <w:pPr>
              <w:jc w:val="both"/>
              <w:rPr>
                <w:sz w:val="20"/>
              </w:rPr>
            </w:pPr>
            <w:r w:rsidRPr="00D0317D">
              <w:rPr>
                <w:sz w:val="20"/>
              </w:rPr>
              <w:lastRenderedPageBreak/>
              <w:t>June 16, 2014</w:t>
            </w:r>
          </w:p>
          <w:p w:rsidR="00504616" w:rsidRPr="00D0317D" w:rsidRDefault="00504616" w:rsidP="00504616">
            <w:pPr>
              <w:jc w:val="both"/>
              <w:rPr>
                <w:sz w:val="20"/>
              </w:rPr>
            </w:pPr>
            <w:r w:rsidRPr="00D0317D">
              <w:rPr>
                <w:sz w:val="20"/>
              </w:rPr>
              <w:t>Ontario Labour Relations Board</w:t>
            </w:r>
          </w:p>
          <w:p w:rsidR="00504616" w:rsidRPr="00D0317D" w:rsidRDefault="00504616" w:rsidP="00504616">
            <w:pPr>
              <w:jc w:val="both"/>
              <w:rPr>
                <w:sz w:val="20"/>
              </w:rPr>
            </w:pPr>
            <w:r w:rsidRPr="00D0317D">
              <w:rPr>
                <w:sz w:val="20"/>
              </w:rPr>
              <w:t xml:space="preserve">(Vice-Chair </w:t>
            </w:r>
            <w:proofErr w:type="spellStart"/>
            <w:r w:rsidRPr="00D0317D">
              <w:rPr>
                <w:sz w:val="20"/>
              </w:rPr>
              <w:t>Gedalof</w:t>
            </w:r>
            <w:proofErr w:type="spellEnd"/>
            <w:r w:rsidRPr="00D0317D">
              <w:rPr>
                <w:sz w:val="20"/>
              </w:rPr>
              <w:t>)</w:t>
            </w:r>
          </w:p>
          <w:p w:rsidR="00504616" w:rsidRPr="00D0317D" w:rsidRDefault="00504616" w:rsidP="00504616">
            <w:pPr>
              <w:jc w:val="both"/>
              <w:rPr>
                <w:sz w:val="20"/>
              </w:rPr>
            </w:pPr>
          </w:p>
        </w:tc>
        <w:tc>
          <w:tcPr>
            <w:tcW w:w="243" w:type="pct"/>
          </w:tcPr>
          <w:p w:rsidR="00504616" w:rsidRPr="00D0317D" w:rsidRDefault="00504616" w:rsidP="00504616">
            <w:pPr>
              <w:jc w:val="both"/>
              <w:rPr>
                <w:sz w:val="20"/>
              </w:rPr>
            </w:pPr>
          </w:p>
        </w:tc>
        <w:tc>
          <w:tcPr>
            <w:tcW w:w="2330" w:type="pct"/>
          </w:tcPr>
          <w:p w:rsidR="00504616" w:rsidRPr="00D0317D" w:rsidRDefault="00504616" w:rsidP="00504616">
            <w:pPr>
              <w:jc w:val="both"/>
              <w:rPr>
                <w:sz w:val="20"/>
              </w:rPr>
            </w:pPr>
            <w:r w:rsidRPr="00D0317D">
              <w:rPr>
                <w:sz w:val="20"/>
              </w:rPr>
              <w:t xml:space="preserve">Applicant’s preliminary motion granted; respondent’s application dismissed </w:t>
            </w:r>
          </w:p>
          <w:p w:rsidR="00504616" w:rsidRPr="00D0317D" w:rsidRDefault="00504616" w:rsidP="00504616">
            <w:pPr>
              <w:jc w:val="both"/>
              <w:rPr>
                <w:sz w:val="20"/>
              </w:rPr>
            </w:pPr>
          </w:p>
          <w:p w:rsidR="00504616" w:rsidRPr="00D0317D" w:rsidRDefault="00504616" w:rsidP="00504616">
            <w:pPr>
              <w:jc w:val="both"/>
              <w:rPr>
                <w:sz w:val="20"/>
              </w:rPr>
            </w:pPr>
          </w:p>
        </w:tc>
      </w:tr>
      <w:tr w:rsidR="00504616" w:rsidRPr="00D0317D" w:rsidTr="002A6FB4">
        <w:tc>
          <w:tcPr>
            <w:tcW w:w="2427" w:type="pct"/>
            <w:gridSpan w:val="2"/>
          </w:tcPr>
          <w:p w:rsidR="00504616" w:rsidRPr="00D0317D" w:rsidRDefault="00504616" w:rsidP="00504616">
            <w:pPr>
              <w:jc w:val="both"/>
              <w:rPr>
                <w:sz w:val="20"/>
              </w:rPr>
            </w:pPr>
            <w:r w:rsidRPr="00D0317D">
              <w:rPr>
                <w:sz w:val="20"/>
              </w:rPr>
              <w:t>November 26, 2015</w:t>
            </w:r>
          </w:p>
          <w:p w:rsidR="00504616" w:rsidRPr="00D0317D" w:rsidRDefault="00504616" w:rsidP="00504616">
            <w:pPr>
              <w:jc w:val="both"/>
              <w:rPr>
                <w:sz w:val="20"/>
              </w:rPr>
            </w:pPr>
            <w:r w:rsidRPr="00D0317D">
              <w:rPr>
                <w:sz w:val="20"/>
              </w:rPr>
              <w:t>Ontario Superior Court of Justice</w:t>
            </w:r>
          </w:p>
          <w:p w:rsidR="00504616" w:rsidRPr="00D0317D" w:rsidRDefault="00504616" w:rsidP="00504616">
            <w:pPr>
              <w:jc w:val="both"/>
              <w:rPr>
                <w:sz w:val="20"/>
              </w:rPr>
            </w:pPr>
            <w:r w:rsidRPr="00D0317D">
              <w:rPr>
                <w:sz w:val="20"/>
              </w:rPr>
              <w:t>Divisional Court</w:t>
            </w:r>
          </w:p>
          <w:p w:rsidR="00504616" w:rsidRPr="00D0317D" w:rsidRDefault="00504616" w:rsidP="00504616">
            <w:pPr>
              <w:jc w:val="both"/>
              <w:rPr>
                <w:sz w:val="20"/>
              </w:rPr>
            </w:pPr>
            <w:r w:rsidRPr="00D0317D">
              <w:rPr>
                <w:sz w:val="20"/>
              </w:rPr>
              <w:t>(</w:t>
            </w:r>
            <w:proofErr w:type="spellStart"/>
            <w:r w:rsidRPr="00D0317D">
              <w:rPr>
                <w:sz w:val="20"/>
              </w:rPr>
              <w:t>Kruzick</w:t>
            </w:r>
            <w:proofErr w:type="spellEnd"/>
            <w:r w:rsidRPr="00D0317D">
              <w:rPr>
                <w:sz w:val="20"/>
              </w:rPr>
              <w:t>, Sachs and Wilton-Siegel J.)</w:t>
            </w:r>
          </w:p>
          <w:p w:rsidR="00504616" w:rsidRPr="00D0317D" w:rsidRDefault="00985225" w:rsidP="00504616">
            <w:pPr>
              <w:jc w:val="both"/>
              <w:rPr>
                <w:sz w:val="20"/>
              </w:rPr>
            </w:pPr>
            <w:hyperlink r:id="rId37" w:history="1">
              <w:r w:rsidR="00504616" w:rsidRPr="00D0317D">
                <w:rPr>
                  <w:rStyle w:val="Hyperlink"/>
                  <w:sz w:val="20"/>
                </w:rPr>
                <w:t>2015 ONSC 7273</w:t>
              </w:r>
            </w:hyperlink>
            <w:r w:rsidR="00504616" w:rsidRPr="00D0317D">
              <w:rPr>
                <w:sz w:val="20"/>
              </w:rPr>
              <w:t>; 345/14</w:t>
            </w:r>
          </w:p>
          <w:p w:rsidR="00504616" w:rsidRPr="00D0317D" w:rsidRDefault="00504616" w:rsidP="00504616">
            <w:pPr>
              <w:jc w:val="both"/>
              <w:rPr>
                <w:sz w:val="20"/>
              </w:rPr>
            </w:pPr>
          </w:p>
        </w:tc>
        <w:tc>
          <w:tcPr>
            <w:tcW w:w="243" w:type="pct"/>
          </w:tcPr>
          <w:p w:rsidR="00504616" w:rsidRPr="00D0317D" w:rsidRDefault="00504616" w:rsidP="00504616">
            <w:pPr>
              <w:jc w:val="both"/>
              <w:rPr>
                <w:sz w:val="20"/>
              </w:rPr>
            </w:pPr>
          </w:p>
        </w:tc>
        <w:tc>
          <w:tcPr>
            <w:tcW w:w="2330" w:type="pct"/>
          </w:tcPr>
          <w:p w:rsidR="00504616" w:rsidRPr="00D0317D" w:rsidRDefault="00504616" w:rsidP="00504616">
            <w:pPr>
              <w:jc w:val="both"/>
              <w:rPr>
                <w:sz w:val="20"/>
              </w:rPr>
            </w:pPr>
            <w:r w:rsidRPr="00D0317D">
              <w:rPr>
                <w:sz w:val="20"/>
              </w:rPr>
              <w:t xml:space="preserve">Application for judicial review of the Board decision granted; Decision quashed and respondent’s application remitted to Board for determination </w:t>
            </w:r>
          </w:p>
          <w:p w:rsidR="00504616" w:rsidRPr="00D0317D" w:rsidRDefault="00504616" w:rsidP="00504616">
            <w:pPr>
              <w:jc w:val="both"/>
              <w:rPr>
                <w:sz w:val="20"/>
              </w:rPr>
            </w:pPr>
          </w:p>
        </w:tc>
      </w:tr>
      <w:tr w:rsidR="00504616" w:rsidRPr="00D0317D" w:rsidTr="002A6FB4">
        <w:tc>
          <w:tcPr>
            <w:tcW w:w="2427" w:type="pct"/>
            <w:gridSpan w:val="2"/>
          </w:tcPr>
          <w:p w:rsidR="00504616" w:rsidRPr="00D0317D" w:rsidRDefault="00504616" w:rsidP="00504616">
            <w:pPr>
              <w:jc w:val="both"/>
              <w:rPr>
                <w:sz w:val="20"/>
              </w:rPr>
            </w:pPr>
            <w:r w:rsidRPr="00D0317D">
              <w:rPr>
                <w:sz w:val="20"/>
              </w:rPr>
              <w:t>March 30, 2016</w:t>
            </w:r>
          </w:p>
          <w:p w:rsidR="00504616" w:rsidRPr="00D0317D" w:rsidRDefault="00504616" w:rsidP="00504616">
            <w:pPr>
              <w:jc w:val="both"/>
              <w:rPr>
                <w:sz w:val="20"/>
              </w:rPr>
            </w:pPr>
            <w:r w:rsidRPr="00D0317D">
              <w:rPr>
                <w:sz w:val="20"/>
              </w:rPr>
              <w:t>Court of Appeal for Ontario</w:t>
            </w:r>
          </w:p>
          <w:p w:rsidR="00504616" w:rsidRPr="00D0317D" w:rsidRDefault="00504616" w:rsidP="00504616">
            <w:pPr>
              <w:jc w:val="both"/>
              <w:rPr>
                <w:sz w:val="20"/>
              </w:rPr>
            </w:pPr>
            <w:r w:rsidRPr="00D0317D">
              <w:rPr>
                <w:sz w:val="20"/>
              </w:rPr>
              <w:t xml:space="preserve">(Feldman, </w:t>
            </w:r>
            <w:proofErr w:type="spellStart"/>
            <w:r w:rsidRPr="00D0317D">
              <w:rPr>
                <w:sz w:val="20"/>
              </w:rPr>
              <w:t>Gillese</w:t>
            </w:r>
            <w:proofErr w:type="spellEnd"/>
            <w:r w:rsidRPr="00D0317D">
              <w:rPr>
                <w:sz w:val="20"/>
              </w:rPr>
              <w:t xml:space="preserve"> and Brown JJ.A.)</w:t>
            </w:r>
          </w:p>
          <w:p w:rsidR="00504616" w:rsidRPr="00D0317D" w:rsidRDefault="00504616" w:rsidP="00504616">
            <w:pPr>
              <w:jc w:val="both"/>
              <w:rPr>
                <w:sz w:val="20"/>
              </w:rPr>
            </w:pPr>
            <w:r w:rsidRPr="00D0317D">
              <w:rPr>
                <w:sz w:val="20"/>
              </w:rPr>
              <w:t>M-45870</w:t>
            </w:r>
          </w:p>
          <w:p w:rsidR="00504616" w:rsidRPr="00D0317D" w:rsidRDefault="00504616" w:rsidP="00504616">
            <w:pPr>
              <w:jc w:val="both"/>
              <w:rPr>
                <w:sz w:val="20"/>
              </w:rPr>
            </w:pPr>
          </w:p>
        </w:tc>
        <w:tc>
          <w:tcPr>
            <w:tcW w:w="243" w:type="pct"/>
          </w:tcPr>
          <w:p w:rsidR="00504616" w:rsidRPr="00D0317D" w:rsidRDefault="00504616" w:rsidP="00504616">
            <w:pPr>
              <w:jc w:val="both"/>
              <w:rPr>
                <w:sz w:val="20"/>
              </w:rPr>
            </w:pPr>
          </w:p>
        </w:tc>
        <w:tc>
          <w:tcPr>
            <w:tcW w:w="2330" w:type="pct"/>
          </w:tcPr>
          <w:p w:rsidR="00504616" w:rsidRPr="00D0317D" w:rsidRDefault="00504616" w:rsidP="00504616">
            <w:pPr>
              <w:jc w:val="both"/>
              <w:rPr>
                <w:sz w:val="20"/>
              </w:rPr>
            </w:pPr>
            <w:r w:rsidRPr="00D0317D">
              <w:rPr>
                <w:sz w:val="20"/>
              </w:rPr>
              <w:t>Motion for leave to appeal denied</w:t>
            </w:r>
          </w:p>
          <w:p w:rsidR="00504616" w:rsidRPr="00D0317D" w:rsidRDefault="00504616" w:rsidP="00504616">
            <w:pPr>
              <w:jc w:val="both"/>
              <w:rPr>
                <w:sz w:val="20"/>
              </w:rPr>
            </w:pPr>
          </w:p>
        </w:tc>
      </w:tr>
      <w:tr w:rsidR="00504616" w:rsidRPr="00D0317D" w:rsidTr="002A6FB4">
        <w:tc>
          <w:tcPr>
            <w:tcW w:w="2427" w:type="pct"/>
            <w:gridSpan w:val="2"/>
          </w:tcPr>
          <w:p w:rsidR="00504616" w:rsidRPr="00D0317D" w:rsidRDefault="00504616" w:rsidP="00504616">
            <w:pPr>
              <w:jc w:val="both"/>
              <w:rPr>
                <w:sz w:val="20"/>
              </w:rPr>
            </w:pPr>
            <w:r w:rsidRPr="00D0317D">
              <w:rPr>
                <w:sz w:val="20"/>
              </w:rPr>
              <w:t>May 25, 2016</w:t>
            </w:r>
          </w:p>
          <w:p w:rsidR="00504616" w:rsidRPr="00D0317D" w:rsidRDefault="00504616" w:rsidP="00504616">
            <w:pPr>
              <w:jc w:val="both"/>
              <w:rPr>
                <w:sz w:val="20"/>
              </w:rPr>
            </w:pPr>
            <w:r w:rsidRPr="00D0317D">
              <w:rPr>
                <w:sz w:val="20"/>
              </w:rPr>
              <w:t>Supreme Court of Canada</w:t>
            </w:r>
          </w:p>
        </w:tc>
        <w:tc>
          <w:tcPr>
            <w:tcW w:w="243" w:type="pct"/>
          </w:tcPr>
          <w:p w:rsidR="00504616" w:rsidRPr="00D0317D" w:rsidRDefault="00504616" w:rsidP="00504616">
            <w:pPr>
              <w:jc w:val="both"/>
              <w:rPr>
                <w:sz w:val="20"/>
              </w:rPr>
            </w:pPr>
          </w:p>
        </w:tc>
        <w:tc>
          <w:tcPr>
            <w:tcW w:w="2330" w:type="pct"/>
          </w:tcPr>
          <w:p w:rsidR="00504616" w:rsidRPr="00D0317D" w:rsidRDefault="00504616" w:rsidP="00504616">
            <w:pPr>
              <w:jc w:val="both"/>
              <w:rPr>
                <w:sz w:val="20"/>
              </w:rPr>
            </w:pPr>
            <w:r w:rsidRPr="00D0317D">
              <w:rPr>
                <w:sz w:val="20"/>
              </w:rPr>
              <w:t>Application for leave to appeal filed</w:t>
            </w:r>
          </w:p>
        </w:tc>
      </w:tr>
    </w:tbl>
    <w:p w:rsidR="00504616" w:rsidRPr="00D0317D" w:rsidRDefault="00504616" w:rsidP="00504616">
      <w:pPr>
        <w:jc w:val="both"/>
        <w:rPr>
          <w:sz w:val="20"/>
        </w:rPr>
      </w:pPr>
    </w:p>
    <w:p w:rsidR="00504616" w:rsidRPr="00D0317D" w:rsidRDefault="00504616" w:rsidP="0050461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04616" w:rsidRPr="00D0317D" w:rsidTr="002A6FB4">
        <w:tc>
          <w:tcPr>
            <w:tcW w:w="543" w:type="pct"/>
          </w:tcPr>
          <w:p w:rsidR="00504616" w:rsidRPr="00D0317D" w:rsidRDefault="00504616" w:rsidP="00504616">
            <w:pPr>
              <w:jc w:val="both"/>
              <w:rPr>
                <w:sz w:val="20"/>
                <w:lang w:val="fr-CA"/>
              </w:rPr>
            </w:pPr>
            <w:r w:rsidRPr="00D0317D">
              <w:rPr>
                <w:rStyle w:val="SCCFileNumberChar"/>
                <w:sz w:val="20"/>
                <w:szCs w:val="20"/>
                <w:lang w:val="fr-CA"/>
              </w:rPr>
              <w:t>37019</w:t>
            </w:r>
          </w:p>
        </w:tc>
        <w:tc>
          <w:tcPr>
            <w:tcW w:w="4457" w:type="pct"/>
            <w:gridSpan w:val="3"/>
          </w:tcPr>
          <w:p w:rsidR="00504616" w:rsidRPr="00D0317D" w:rsidRDefault="00504616" w:rsidP="00504616">
            <w:pPr>
              <w:pStyle w:val="SCCLsocParty"/>
              <w:jc w:val="both"/>
              <w:rPr>
                <w:b/>
                <w:sz w:val="20"/>
                <w:szCs w:val="20"/>
              </w:rPr>
            </w:pPr>
            <w:r w:rsidRPr="00D0317D">
              <w:rPr>
                <w:b/>
                <w:sz w:val="20"/>
                <w:szCs w:val="20"/>
              </w:rPr>
              <w:t>Ligue nationale de hockey c. Dean Warren, Commission des relations de travail de l’Ontario</w:t>
            </w:r>
          </w:p>
          <w:p w:rsidR="00504616" w:rsidRPr="00D0317D" w:rsidRDefault="00504616" w:rsidP="00504616">
            <w:pPr>
              <w:jc w:val="both"/>
              <w:rPr>
                <w:sz w:val="20"/>
                <w:lang w:val="fr-CA"/>
              </w:rPr>
            </w:pPr>
            <w:r w:rsidRPr="00D0317D">
              <w:rPr>
                <w:sz w:val="20"/>
                <w:lang w:val="fr-CA"/>
              </w:rPr>
              <w:t>(Ont.) (Civile) (Sur autorisation)</w:t>
            </w:r>
          </w:p>
        </w:tc>
      </w:tr>
      <w:tr w:rsidR="00504616" w:rsidRPr="005165BD" w:rsidTr="002A6FB4">
        <w:tc>
          <w:tcPr>
            <w:tcW w:w="5000" w:type="pct"/>
            <w:gridSpan w:val="4"/>
          </w:tcPr>
          <w:p w:rsidR="00504616" w:rsidRPr="00D0317D" w:rsidRDefault="00504616" w:rsidP="00504616">
            <w:pPr>
              <w:jc w:val="both"/>
              <w:rPr>
                <w:sz w:val="20"/>
                <w:lang w:val="fr-CA"/>
              </w:rPr>
            </w:pPr>
            <w:r w:rsidRPr="00D0317D">
              <w:rPr>
                <w:sz w:val="20"/>
                <w:lang w:val="fr-CA"/>
              </w:rPr>
              <w:t>Droit administratif – Appels – Norme de contrôle – Organismes et tribunaux administratifs – La cour d’appel a refusé l’autorisation d’en appeler de la décision de la juridiction inférieure annulant la décision de la Commission – Comment les tribunaux judiciaires qui contrôlent la décision d’un tribunal administratif spécialisé doivent-ils appliquer la norme de la décision raisonnable et faire preuve de déférence et dans quelles situations est-il approprié que le tribunal de révision intervienne et infirme la décision du tribunal administratif exerçant son pouvoir discrétionnaire, en application de sa loi constitutive, de ne pas entendre une plainte?</w:t>
            </w:r>
          </w:p>
          <w:p w:rsidR="00504616" w:rsidRPr="00D0317D" w:rsidRDefault="00504616" w:rsidP="00504616">
            <w:pPr>
              <w:jc w:val="both"/>
              <w:rPr>
                <w:sz w:val="20"/>
                <w:lang w:val="fr-CA"/>
              </w:rPr>
            </w:pPr>
          </w:p>
        </w:tc>
      </w:tr>
      <w:tr w:rsidR="00504616" w:rsidRPr="005165BD" w:rsidTr="002A6FB4">
        <w:tc>
          <w:tcPr>
            <w:tcW w:w="5000" w:type="pct"/>
            <w:gridSpan w:val="4"/>
          </w:tcPr>
          <w:p w:rsidR="00504616" w:rsidRPr="00D0317D" w:rsidRDefault="00504616" w:rsidP="00504616">
            <w:pPr>
              <w:jc w:val="both"/>
              <w:rPr>
                <w:sz w:val="20"/>
                <w:lang w:val="fr-CA"/>
              </w:rPr>
            </w:pPr>
            <w:r w:rsidRPr="00D0317D">
              <w:rPr>
                <w:sz w:val="20"/>
                <w:lang w:val="fr-CA"/>
              </w:rPr>
              <w:t>L’intimé, M. Warren, était un arbitre au service de la Ligue nationale de hockey (la « Ligue ») de 1998 à 2008. Il a été congédié en avril 2008 pour cause de [</w:t>
            </w:r>
            <w:r w:rsidRPr="00D0317D">
              <w:rPr>
                <w:smallCaps/>
                <w:sz w:val="20"/>
                <w:lang w:val="fr-CA"/>
              </w:rPr>
              <w:t>traduction</w:t>
            </w:r>
            <w:r w:rsidRPr="00D0317D">
              <w:rPr>
                <w:sz w:val="20"/>
                <w:lang w:val="fr-CA"/>
              </w:rPr>
              <w:t xml:space="preserve">] « rendement inférieur à la norme » et la Ligue lui a offert une indemnité de départ s’il signait une renonciation à exercer tout recours. L’intimé n’a pas signé la renonciation et a il a présenté sans succès une demande à la Commission des relations de travail de l’Ontario (la « Commission ») alléguant une pratique déloyale de travail et demandant la réintégration. Après avoir épuisé toutes ses voies de recours, l’intimé a signé la renonciation, mais la Ligue a refusé de lui verser une indemnité de départ, puisqu’il avait renoncé à son droit de l’obtenir en exécution de la convention collective. </w:t>
            </w:r>
          </w:p>
          <w:p w:rsidR="00504616" w:rsidRPr="00D0317D" w:rsidRDefault="00504616" w:rsidP="00504616">
            <w:pPr>
              <w:jc w:val="both"/>
              <w:rPr>
                <w:sz w:val="20"/>
                <w:lang w:val="fr-CA"/>
              </w:rPr>
            </w:pPr>
          </w:p>
          <w:p w:rsidR="00504616" w:rsidRPr="00D0317D" w:rsidRDefault="00504616" w:rsidP="00504616">
            <w:pPr>
              <w:jc w:val="both"/>
              <w:rPr>
                <w:sz w:val="20"/>
                <w:lang w:val="fr-CA"/>
              </w:rPr>
            </w:pPr>
            <w:r w:rsidRPr="00D0317D">
              <w:rPr>
                <w:sz w:val="20"/>
                <w:lang w:val="fr-CA"/>
              </w:rPr>
              <w:t xml:space="preserve">L’intimé a présenté une demande à la Commission en application de l’art. 96 de la </w:t>
            </w:r>
            <w:r w:rsidRPr="00D0317D">
              <w:rPr>
                <w:i/>
                <w:sz w:val="20"/>
                <w:lang w:val="fr-CA"/>
              </w:rPr>
              <w:t>Loi de 1995 sur les relations de travail</w:t>
            </w:r>
            <w:r w:rsidRPr="00D0317D">
              <w:rPr>
                <w:sz w:val="20"/>
                <w:lang w:val="fr-CA"/>
              </w:rPr>
              <w:t xml:space="preserve">, ch. 1 </w:t>
            </w:r>
            <w:proofErr w:type="spellStart"/>
            <w:r w:rsidRPr="00D0317D">
              <w:rPr>
                <w:sz w:val="20"/>
                <w:lang w:val="fr-CA"/>
              </w:rPr>
              <w:t>ann</w:t>
            </w:r>
            <w:proofErr w:type="spellEnd"/>
            <w:r w:rsidRPr="00D0317D">
              <w:rPr>
                <w:sz w:val="20"/>
                <w:lang w:val="fr-CA"/>
              </w:rPr>
              <w:t> A (la « </w:t>
            </w:r>
            <w:r w:rsidRPr="00D0317D">
              <w:rPr>
                <w:i/>
                <w:sz w:val="20"/>
                <w:lang w:val="fr-CA"/>
              </w:rPr>
              <w:t>Loi</w:t>
            </w:r>
            <w:r w:rsidRPr="00D0317D">
              <w:rPr>
                <w:sz w:val="20"/>
                <w:lang w:val="fr-CA"/>
              </w:rPr>
              <w:t xml:space="preserve"> ») contestant la décision de la Ligue et alléguant avoir été l’objet de discrimination pour avoir présenté la demande précédente. Il a plaidé que le refus de lui verser une indemnité de départ violait </w:t>
            </w:r>
            <w:proofErr w:type="gramStart"/>
            <w:r w:rsidRPr="00D0317D">
              <w:rPr>
                <w:sz w:val="20"/>
                <w:lang w:val="fr-CA"/>
              </w:rPr>
              <w:t>les art</w:t>
            </w:r>
            <w:proofErr w:type="gramEnd"/>
            <w:r w:rsidRPr="00D0317D">
              <w:rPr>
                <w:sz w:val="20"/>
                <w:lang w:val="fr-CA"/>
              </w:rPr>
              <w:t xml:space="preserve">. 70, 72 et 76 de la </w:t>
            </w:r>
            <w:r w:rsidRPr="00D0317D">
              <w:rPr>
                <w:i/>
                <w:sz w:val="20"/>
                <w:lang w:val="fr-CA"/>
              </w:rPr>
              <w:t>Loi</w:t>
            </w:r>
            <w:r w:rsidRPr="00D0317D">
              <w:rPr>
                <w:sz w:val="20"/>
                <w:lang w:val="fr-CA"/>
              </w:rPr>
              <w:t xml:space="preserve"> et que le fait d’invoquer l’al. 13(i) de la convention collective pour lui refuser une indemnité de départ était incompatible avec le par. 87(1) de la </w:t>
            </w:r>
            <w:r w:rsidRPr="00D0317D">
              <w:rPr>
                <w:i/>
                <w:sz w:val="20"/>
                <w:lang w:val="fr-CA"/>
              </w:rPr>
              <w:t>Loi</w:t>
            </w:r>
            <w:r w:rsidRPr="00D0317D">
              <w:rPr>
                <w:sz w:val="20"/>
                <w:lang w:val="fr-CA"/>
              </w:rPr>
              <w:t>. La Ligue a présenté une motion préliminaire en rejet de la demande pour retard injustifié et en irrecevabilité pour chose jugée, préclusion découlant d’une question déjà tranchée et abus de procédure. Concluant que le droit d’action de M. Warren s’était cristallisé en 2008, la Commission a accueilli la motion de la Ligue et a rejeté la demande de l’intimé pour retard injustifié. La Cour supérieure de justice de l’Ontario, Cour divisionnaire, a accueilli la demande de contrôle judiciaire de M. Warren, annulé la décision de la Commission et renvoyé l’affaire à la Commission pour qu’elle rende une décision. La motion en autorisation d’interjeter appel à la Cour d’appel de l’Ontario a été rejetée.</w:t>
            </w:r>
          </w:p>
        </w:tc>
      </w:tr>
      <w:tr w:rsidR="00504616" w:rsidRPr="005165BD" w:rsidTr="002A6FB4">
        <w:tc>
          <w:tcPr>
            <w:tcW w:w="5000" w:type="pct"/>
            <w:gridSpan w:val="4"/>
          </w:tcPr>
          <w:p w:rsidR="00504616" w:rsidRPr="00D0317D" w:rsidRDefault="00504616" w:rsidP="00504616">
            <w:pPr>
              <w:jc w:val="both"/>
              <w:rPr>
                <w:sz w:val="20"/>
                <w:lang w:val="fr-CA"/>
              </w:rPr>
            </w:pPr>
          </w:p>
        </w:tc>
      </w:tr>
      <w:tr w:rsidR="00504616" w:rsidRPr="005165BD" w:rsidTr="002A6FB4">
        <w:tc>
          <w:tcPr>
            <w:tcW w:w="2427" w:type="pct"/>
            <w:gridSpan w:val="2"/>
          </w:tcPr>
          <w:p w:rsidR="00504616" w:rsidRPr="00D0317D" w:rsidRDefault="00504616" w:rsidP="00504616">
            <w:pPr>
              <w:jc w:val="both"/>
              <w:rPr>
                <w:sz w:val="20"/>
                <w:lang w:val="fr-CA"/>
              </w:rPr>
            </w:pPr>
            <w:r w:rsidRPr="00D0317D">
              <w:rPr>
                <w:sz w:val="20"/>
                <w:lang w:val="fr-CA"/>
              </w:rPr>
              <w:t>16 juin 2014</w:t>
            </w:r>
          </w:p>
          <w:p w:rsidR="00504616" w:rsidRPr="00D0317D" w:rsidRDefault="00504616" w:rsidP="00504616">
            <w:pPr>
              <w:jc w:val="both"/>
              <w:rPr>
                <w:sz w:val="20"/>
                <w:lang w:val="fr-CA"/>
              </w:rPr>
            </w:pPr>
            <w:r w:rsidRPr="00D0317D">
              <w:rPr>
                <w:sz w:val="20"/>
                <w:lang w:val="fr-CA"/>
              </w:rPr>
              <w:t>Commission des relations de travail de l’Ontario</w:t>
            </w:r>
          </w:p>
          <w:p w:rsidR="00504616" w:rsidRPr="00D0317D" w:rsidRDefault="00504616" w:rsidP="00504616">
            <w:pPr>
              <w:jc w:val="both"/>
              <w:rPr>
                <w:sz w:val="20"/>
                <w:lang w:val="fr-CA"/>
              </w:rPr>
            </w:pPr>
            <w:r w:rsidRPr="00D0317D">
              <w:rPr>
                <w:sz w:val="20"/>
                <w:lang w:val="fr-CA"/>
              </w:rPr>
              <w:t>(Vice-président Gedalof)</w:t>
            </w:r>
          </w:p>
          <w:p w:rsidR="00504616" w:rsidRPr="00D0317D" w:rsidRDefault="00504616" w:rsidP="00504616">
            <w:pPr>
              <w:jc w:val="both"/>
              <w:rPr>
                <w:sz w:val="20"/>
                <w:lang w:val="fr-CA"/>
              </w:rPr>
            </w:pPr>
          </w:p>
        </w:tc>
        <w:tc>
          <w:tcPr>
            <w:tcW w:w="243" w:type="pct"/>
          </w:tcPr>
          <w:p w:rsidR="00504616" w:rsidRPr="00D0317D" w:rsidRDefault="00504616" w:rsidP="00504616">
            <w:pPr>
              <w:jc w:val="both"/>
              <w:rPr>
                <w:sz w:val="20"/>
                <w:lang w:val="fr-CA"/>
              </w:rPr>
            </w:pPr>
          </w:p>
        </w:tc>
        <w:tc>
          <w:tcPr>
            <w:tcW w:w="2330" w:type="pct"/>
          </w:tcPr>
          <w:p w:rsidR="00504616" w:rsidRPr="00D0317D" w:rsidRDefault="00504616" w:rsidP="00504616">
            <w:pPr>
              <w:jc w:val="both"/>
              <w:rPr>
                <w:sz w:val="20"/>
                <w:lang w:val="fr-CA"/>
              </w:rPr>
            </w:pPr>
            <w:r w:rsidRPr="00D0317D">
              <w:rPr>
                <w:sz w:val="20"/>
                <w:lang w:val="fr-CA"/>
              </w:rPr>
              <w:t>Jugement accueillant la motion préliminaire de la demanderesse et rejetant la demande de l’intimée</w:t>
            </w:r>
          </w:p>
          <w:p w:rsidR="00504616" w:rsidRPr="00D0317D" w:rsidRDefault="00504616" w:rsidP="00504616">
            <w:pPr>
              <w:jc w:val="both"/>
              <w:rPr>
                <w:sz w:val="20"/>
                <w:lang w:val="fr-CA"/>
              </w:rPr>
            </w:pPr>
          </w:p>
          <w:p w:rsidR="00504616" w:rsidRPr="00D0317D" w:rsidRDefault="00504616" w:rsidP="00504616">
            <w:pPr>
              <w:jc w:val="both"/>
              <w:rPr>
                <w:sz w:val="20"/>
                <w:lang w:val="fr-CA"/>
              </w:rPr>
            </w:pPr>
          </w:p>
        </w:tc>
      </w:tr>
      <w:tr w:rsidR="00504616" w:rsidRPr="005165BD" w:rsidTr="002A6FB4">
        <w:tc>
          <w:tcPr>
            <w:tcW w:w="2427" w:type="pct"/>
            <w:gridSpan w:val="2"/>
          </w:tcPr>
          <w:p w:rsidR="00504616" w:rsidRPr="00D0317D" w:rsidRDefault="00504616" w:rsidP="00504616">
            <w:pPr>
              <w:jc w:val="both"/>
              <w:rPr>
                <w:sz w:val="20"/>
                <w:lang w:val="fr-CA"/>
              </w:rPr>
            </w:pPr>
            <w:r w:rsidRPr="00D0317D">
              <w:rPr>
                <w:sz w:val="20"/>
                <w:lang w:val="fr-CA"/>
              </w:rPr>
              <w:lastRenderedPageBreak/>
              <w:t>26 novembre 2015</w:t>
            </w:r>
          </w:p>
          <w:p w:rsidR="00504616" w:rsidRPr="00D0317D" w:rsidRDefault="00504616" w:rsidP="00504616">
            <w:pPr>
              <w:jc w:val="both"/>
              <w:rPr>
                <w:sz w:val="20"/>
                <w:lang w:val="fr-CA"/>
              </w:rPr>
            </w:pPr>
            <w:r w:rsidRPr="00D0317D">
              <w:rPr>
                <w:sz w:val="20"/>
                <w:lang w:val="fr-CA"/>
              </w:rPr>
              <w:t>Cour supérieure de justice de l’Ontario</w:t>
            </w:r>
          </w:p>
          <w:p w:rsidR="00504616" w:rsidRPr="00D0317D" w:rsidRDefault="00504616" w:rsidP="00504616">
            <w:pPr>
              <w:jc w:val="both"/>
              <w:rPr>
                <w:sz w:val="20"/>
                <w:lang w:val="fr-CA"/>
              </w:rPr>
            </w:pPr>
            <w:r w:rsidRPr="00D0317D">
              <w:rPr>
                <w:sz w:val="20"/>
                <w:lang w:val="fr-CA"/>
              </w:rPr>
              <w:t>Cour divisionnaire</w:t>
            </w:r>
          </w:p>
          <w:p w:rsidR="00504616" w:rsidRPr="00D0317D" w:rsidRDefault="00504616" w:rsidP="00504616">
            <w:pPr>
              <w:jc w:val="both"/>
              <w:rPr>
                <w:sz w:val="20"/>
                <w:lang w:val="fr-CA"/>
              </w:rPr>
            </w:pPr>
            <w:r w:rsidRPr="00D0317D">
              <w:rPr>
                <w:sz w:val="20"/>
                <w:lang w:val="fr-CA"/>
              </w:rPr>
              <w:t>(Juges Kruzick, Sachs et Wilton-Siegel)</w:t>
            </w:r>
          </w:p>
          <w:p w:rsidR="00504616" w:rsidRPr="00D0317D" w:rsidRDefault="00985225" w:rsidP="00504616">
            <w:pPr>
              <w:jc w:val="both"/>
              <w:rPr>
                <w:sz w:val="20"/>
                <w:lang w:val="fr-CA"/>
              </w:rPr>
            </w:pPr>
            <w:hyperlink r:id="rId38" w:history="1">
              <w:r w:rsidR="00504616" w:rsidRPr="00D0317D">
                <w:rPr>
                  <w:rStyle w:val="Hyperlink"/>
                  <w:sz w:val="20"/>
                  <w:lang w:val="fr-CA"/>
                </w:rPr>
                <w:t>2015 ONSC 7273</w:t>
              </w:r>
            </w:hyperlink>
            <w:r w:rsidR="00504616" w:rsidRPr="00D0317D">
              <w:rPr>
                <w:sz w:val="20"/>
                <w:lang w:val="fr-CA"/>
              </w:rPr>
              <w:t>; 345/14</w:t>
            </w:r>
          </w:p>
          <w:p w:rsidR="00504616" w:rsidRPr="00D0317D" w:rsidRDefault="00504616" w:rsidP="00504616">
            <w:pPr>
              <w:jc w:val="both"/>
              <w:rPr>
                <w:sz w:val="20"/>
                <w:lang w:val="fr-CA"/>
              </w:rPr>
            </w:pPr>
          </w:p>
        </w:tc>
        <w:tc>
          <w:tcPr>
            <w:tcW w:w="243" w:type="pct"/>
          </w:tcPr>
          <w:p w:rsidR="00504616" w:rsidRPr="00D0317D" w:rsidRDefault="00504616" w:rsidP="00504616">
            <w:pPr>
              <w:jc w:val="both"/>
              <w:rPr>
                <w:sz w:val="20"/>
                <w:lang w:val="fr-CA"/>
              </w:rPr>
            </w:pPr>
          </w:p>
        </w:tc>
        <w:tc>
          <w:tcPr>
            <w:tcW w:w="2330" w:type="pct"/>
          </w:tcPr>
          <w:p w:rsidR="00504616" w:rsidRPr="00D0317D" w:rsidRDefault="00504616" w:rsidP="00504616">
            <w:pPr>
              <w:jc w:val="both"/>
              <w:rPr>
                <w:sz w:val="20"/>
                <w:lang w:val="fr-CA"/>
              </w:rPr>
            </w:pPr>
            <w:r w:rsidRPr="00D0317D">
              <w:rPr>
                <w:sz w:val="20"/>
                <w:lang w:val="fr-CA"/>
              </w:rPr>
              <w:t xml:space="preserve">Jugement accueillant la demande de contrôle judiciaire de la décision de la Commission; annulation de la décision et renvoi de la demande de l’intimé à la Commission pour qu’elle rende une décision </w:t>
            </w:r>
          </w:p>
          <w:p w:rsidR="00504616" w:rsidRPr="00D0317D" w:rsidRDefault="00504616" w:rsidP="00504616">
            <w:pPr>
              <w:jc w:val="both"/>
              <w:rPr>
                <w:sz w:val="20"/>
                <w:lang w:val="fr-CA"/>
              </w:rPr>
            </w:pPr>
          </w:p>
        </w:tc>
      </w:tr>
      <w:tr w:rsidR="00504616" w:rsidRPr="005165BD" w:rsidTr="002A6FB4">
        <w:tc>
          <w:tcPr>
            <w:tcW w:w="2427" w:type="pct"/>
            <w:gridSpan w:val="2"/>
          </w:tcPr>
          <w:p w:rsidR="00504616" w:rsidRPr="00D0317D" w:rsidRDefault="00504616" w:rsidP="00504616">
            <w:pPr>
              <w:jc w:val="both"/>
              <w:rPr>
                <w:sz w:val="20"/>
                <w:lang w:val="fr-CA"/>
              </w:rPr>
            </w:pPr>
            <w:r w:rsidRPr="00D0317D">
              <w:rPr>
                <w:sz w:val="20"/>
                <w:lang w:val="fr-CA"/>
              </w:rPr>
              <w:t>30 mars 2016</w:t>
            </w:r>
          </w:p>
          <w:p w:rsidR="00504616" w:rsidRPr="00D0317D" w:rsidRDefault="00504616" w:rsidP="00504616">
            <w:pPr>
              <w:jc w:val="both"/>
              <w:rPr>
                <w:sz w:val="20"/>
                <w:lang w:val="fr-CA"/>
              </w:rPr>
            </w:pPr>
            <w:r w:rsidRPr="00D0317D">
              <w:rPr>
                <w:sz w:val="20"/>
                <w:lang w:val="fr-CA"/>
              </w:rPr>
              <w:t>Cour d’appel de l’Ontario</w:t>
            </w:r>
          </w:p>
          <w:p w:rsidR="00504616" w:rsidRPr="00D0317D" w:rsidRDefault="00504616" w:rsidP="00504616">
            <w:pPr>
              <w:jc w:val="both"/>
              <w:rPr>
                <w:sz w:val="20"/>
                <w:lang w:val="fr-CA"/>
              </w:rPr>
            </w:pPr>
            <w:r w:rsidRPr="00D0317D">
              <w:rPr>
                <w:sz w:val="20"/>
                <w:lang w:val="fr-CA"/>
              </w:rPr>
              <w:t>(Juges Feldman, Gillese et Brown)</w:t>
            </w:r>
          </w:p>
          <w:p w:rsidR="00504616" w:rsidRPr="00D0317D" w:rsidRDefault="00504616" w:rsidP="00504616">
            <w:pPr>
              <w:jc w:val="both"/>
              <w:rPr>
                <w:sz w:val="20"/>
                <w:lang w:val="fr-CA"/>
              </w:rPr>
            </w:pPr>
            <w:r w:rsidRPr="00D0317D">
              <w:rPr>
                <w:sz w:val="20"/>
                <w:lang w:val="fr-CA"/>
              </w:rPr>
              <w:t>M-45870</w:t>
            </w:r>
          </w:p>
          <w:p w:rsidR="00504616" w:rsidRPr="00D0317D" w:rsidRDefault="00504616" w:rsidP="00504616">
            <w:pPr>
              <w:jc w:val="both"/>
              <w:rPr>
                <w:sz w:val="20"/>
                <w:lang w:val="fr-CA"/>
              </w:rPr>
            </w:pPr>
          </w:p>
        </w:tc>
        <w:tc>
          <w:tcPr>
            <w:tcW w:w="243" w:type="pct"/>
          </w:tcPr>
          <w:p w:rsidR="00504616" w:rsidRPr="00D0317D" w:rsidRDefault="00504616" w:rsidP="00504616">
            <w:pPr>
              <w:jc w:val="both"/>
              <w:rPr>
                <w:sz w:val="20"/>
                <w:lang w:val="fr-CA"/>
              </w:rPr>
            </w:pPr>
          </w:p>
        </w:tc>
        <w:tc>
          <w:tcPr>
            <w:tcW w:w="2330" w:type="pct"/>
          </w:tcPr>
          <w:p w:rsidR="00504616" w:rsidRPr="00D0317D" w:rsidRDefault="00504616" w:rsidP="00504616">
            <w:pPr>
              <w:jc w:val="both"/>
              <w:rPr>
                <w:sz w:val="20"/>
                <w:lang w:val="fr-CA"/>
              </w:rPr>
            </w:pPr>
            <w:r w:rsidRPr="00D0317D">
              <w:rPr>
                <w:sz w:val="20"/>
                <w:lang w:val="fr-CA"/>
              </w:rPr>
              <w:t>Rejet de la motion en autorisation d’interjeter appel</w:t>
            </w:r>
          </w:p>
          <w:p w:rsidR="00504616" w:rsidRPr="00D0317D" w:rsidRDefault="00504616" w:rsidP="00504616">
            <w:pPr>
              <w:jc w:val="both"/>
              <w:rPr>
                <w:sz w:val="20"/>
                <w:lang w:val="fr-CA"/>
              </w:rPr>
            </w:pPr>
          </w:p>
        </w:tc>
      </w:tr>
      <w:tr w:rsidR="00504616" w:rsidRPr="005165BD" w:rsidTr="002A6FB4">
        <w:tc>
          <w:tcPr>
            <w:tcW w:w="2427" w:type="pct"/>
            <w:gridSpan w:val="2"/>
          </w:tcPr>
          <w:p w:rsidR="00504616" w:rsidRPr="00D0317D" w:rsidRDefault="00504616" w:rsidP="00504616">
            <w:pPr>
              <w:jc w:val="both"/>
              <w:rPr>
                <w:sz w:val="20"/>
                <w:lang w:val="fr-CA"/>
              </w:rPr>
            </w:pPr>
            <w:r w:rsidRPr="00D0317D">
              <w:rPr>
                <w:sz w:val="20"/>
                <w:lang w:val="fr-CA"/>
              </w:rPr>
              <w:t>25 mai 2016</w:t>
            </w:r>
          </w:p>
          <w:p w:rsidR="00504616" w:rsidRPr="00D0317D" w:rsidRDefault="00504616" w:rsidP="00504616">
            <w:pPr>
              <w:jc w:val="both"/>
              <w:rPr>
                <w:sz w:val="20"/>
                <w:lang w:val="fr-CA"/>
              </w:rPr>
            </w:pPr>
            <w:r w:rsidRPr="00D0317D">
              <w:rPr>
                <w:sz w:val="20"/>
                <w:lang w:val="fr-CA"/>
              </w:rPr>
              <w:t>Cour suprême du Canada</w:t>
            </w:r>
          </w:p>
        </w:tc>
        <w:tc>
          <w:tcPr>
            <w:tcW w:w="243" w:type="pct"/>
          </w:tcPr>
          <w:p w:rsidR="00504616" w:rsidRPr="00D0317D" w:rsidRDefault="00504616" w:rsidP="00504616">
            <w:pPr>
              <w:jc w:val="both"/>
              <w:rPr>
                <w:sz w:val="20"/>
                <w:lang w:val="fr-CA"/>
              </w:rPr>
            </w:pPr>
          </w:p>
        </w:tc>
        <w:tc>
          <w:tcPr>
            <w:tcW w:w="2330" w:type="pct"/>
          </w:tcPr>
          <w:p w:rsidR="00504616" w:rsidRPr="00D0317D" w:rsidRDefault="00504616" w:rsidP="00504616">
            <w:pPr>
              <w:jc w:val="both"/>
              <w:rPr>
                <w:sz w:val="20"/>
                <w:lang w:val="fr-CA"/>
              </w:rPr>
            </w:pPr>
            <w:r w:rsidRPr="00D0317D">
              <w:rPr>
                <w:sz w:val="20"/>
                <w:lang w:val="fr-CA"/>
              </w:rPr>
              <w:t>Dépôt de la demande d’autorisation d’appel</w:t>
            </w:r>
          </w:p>
        </w:tc>
      </w:tr>
    </w:tbl>
    <w:p w:rsidR="00504616" w:rsidRPr="00D0317D" w:rsidRDefault="00504616" w:rsidP="00C325B3">
      <w:pPr>
        <w:jc w:val="both"/>
        <w:rPr>
          <w:sz w:val="20"/>
          <w:lang w:val="fr-CA"/>
        </w:rPr>
      </w:pPr>
    </w:p>
    <w:p w:rsidR="00132154" w:rsidRPr="00D0317D" w:rsidRDefault="00132154" w:rsidP="00C325B3">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25B3" w:rsidRPr="00D0317D" w:rsidTr="00E95A6A">
        <w:tc>
          <w:tcPr>
            <w:tcW w:w="543" w:type="pct"/>
          </w:tcPr>
          <w:p w:rsidR="00C325B3" w:rsidRPr="00D0317D" w:rsidRDefault="00C325B3" w:rsidP="00C325B3">
            <w:pPr>
              <w:jc w:val="both"/>
              <w:rPr>
                <w:sz w:val="20"/>
              </w:rPr>
            </w:pPr>
            <w:r w:rsidRPr="00D0317D">
              <w:rPr>
                <w:rStyle w:val="SCCFileNumberChar"/>
                <w:sz w:val="20"/>
                <w:szCs w:val="20"/>
              </w:rPr>
              <w:t>37065</w:t>
            </w:r>
          </w:p>
        </w:tc>
        <w:tc>
          <w:tcPr>
            <w:tcW w:w="4457" w:type="pct"/>
            <w:gridSpan w:val="3"/>
          </w:tcPr>
          <w:p w:rsidR="00C325B3" w:rsidRPr="000870AB" w:rsidRDefault="00C325B3" w:rsidP="00C325B3">
            <w:pPr>
              <w:pStyle w:val="SCCLsocParty"/>
              <w:jc w:val="both"/>
              <w:rPr>
                <w:b/>
                <w:sz w:val="20"/>
                <w:szCs w:val="20"/>
                <w:lang w:val="en-US"/>
              </w:rPr>
            </w:pPr>
            <w:proofErr w:type="spellStart"/>
            <w:r w:rsidRPr="000870AB">
              <w:rPr>
                <w:b/>
                <w:sz w:val="20"/>
                <w:szCs w:val="20"/>
                <w:lang w:val="en-US"/>
              </w:rPr>
              <w:t>Lucyna</w:t>
            </w:r>
            <w:proofErr w:type="spellEnd"/>
            <w:r w:rsidRPr="000870AB">
              <w:rPr>
                <w:b/>
                <w:sz w:val="20"/>
                <w:szCs w:val="20"/>
                <w:lang w:val="en-US"/>
              </w:rPr>
              <w:t xml:space="preserve"> </w:t>
            </w:r>
            <w:proofErr w:type="spellStart"/>
            <w:r w:rsidRPr="000870AB">
              <w:rPr>
                <w:b/>
                <w:sz w:val="20"/>
                <w:szCs w:val="20"/>
                <w:lang w:val="en-US"/>
              </w:rPr>
              <w:t>Blicharz</w:t>
            </w:r>
            <w:proofErr w:type="spellEnd"/>
            <w:r w:rsidRPr="000870AB">
              <w:rPr>
                <w:b/>
                <w:sz w:val="20"/>
                <w:szCs w:val="20"/>
                <w:lang w:val="en-US"/>
              </w:rPr>
              <w:t xml:space="preserve"> v. Settlement Lenders Inc., Settlement Lenders of Canada Inc.</w:t>
            </w:r>
          </w:p>
          <w:p w:rsidR="00C325B3" w:rsidRPr="00D0317D" w:rsidRDefault="00C325B3" w:rsidP="00C325B3">
            <w:pPr>
              <w:jc w:val="both"/>
              <w:rPr>
                <w:sz w:val="20"/>
              </w:rPr>
            </w:pPr>
            <w:r w:rsidRPr="00D0317D">
              <w:rPr>
                <w:sz w:val="20"/>
              </w:rPr>
              <w:t>(Alta.) (Civil) (By Leave)</w:t>
            </w:r>
          </w:p>
        </w:tc>
      </w:tr>
      <w:tr w:rsidR="00C325B3" w:rsidRPr="00D0317D" w:rsidTr="00E95A6A">
        <w:tc>
          <w:tcPr>
            <w:tcW w:w="5000" w:type="pct"/>
            <w:gridSpan w:val="4"/>
          </w:tcPr>
          <w:p w:rsidR="00C325B3" w:rsidRPr="00D0317D" w:rsidRDefault="00C325B3" w:rsidP="00C325B3">
            <w:pPr>
              <w:jc w:val="both"/>
              <w:rPr>
                <w:sz w:val="20"/>
              </w:rPr>
            </w:pPr>
            <w:r w:rsidRPr="00D0317D">
              <w:rPr>
                <w:sz w:val="20"/>
              </w:rPr>
              <w:t>Civil procedure — Appeals — Leave to appeal — Whether Court of Appeal correctly denied a motion for leave to appeal to a panel of three judges.</w:t>
            </w:r>
          </w:p>
        </w:tc>
      </w:tr>
      <w:tr w:rsidR="00C325B3" w:rsidRPr="00D0317D" w:rsidTr="00E95A6A">
        <w:tc>
          <w:tcPr>
            <w:tcW w:w="5000" w:type="pct"/>
            <w:gridSpan w:val="4"/>
          </w:tcPr>
          <w:p w:rsidR="00C325B3" w:rsidRPr="00D0317D" w:rsidRDefault="00C325B3" w:rsidP="00C325B3">
            <w:pPr>
              <w:jc w:val="both"/>
              <w:rPr>
                <w:sz w:val="20"/>
              </w:rPr>
            </w:pPr>
          </w:p>
        </w:tc>
      </w:tr>
      <w:tr w:rsidR="00C325B3" w:rsidRPr="00D0317D" w:rsidTr="00E95A6A">
        <w:tc>
          <w:tcPr>
            <w:tcW w:w="5000" w:type="pct"/>
            <w:gridSpan w:val="4"/>
          </w:tcPr>
          <w:p w:rsidR="00C325B3" w:rsidRPr="00D0317D" w:rsidRDefault="00C325B3" w:rsidP="00C325B3">
            <w:pPr>
              <w:jc w:val="both"/>
              <w:rPr>
                <w:sz w:val="20"/>
              </w:rPr>
            </w:pPr>
            <w:r w:rsidRPr="00D0317D">
              <w:rPr>
                <w:sz w:val="20"/>
              </w:rPr>
              <w:t>In 2007 and 2008, Ms. </w:t>
            </w:r>
            <w:proofErr w:type="spellStart"/>
            <w:r w:rsidRPr="00D0317D">
              <w:rPr>
                <w:sz w:val="20"/>
              </w:rPr>
              <w:t>Blicharz</w:t>
            </w:r>
            <w:proofErr w:type="spellEnd"/>
            <w:r w:rsidRPr="00D0317D">
              <w:rPr>
                <w:sz w:val="20"/>
              </w:rPr>
              <w:t xml:space="preserve"> executed three promissory notes in favour of Settlement Lenders Inc. and Settlement Lenders of Canada Inc. (collectively, “Settlement Lenders”), who lend money to people pursuing legal actions. At the time, she was the plaintiff in five personal injury actions, and she was represented by counsel when she signed the notes.  Settlement Lenders issued a statement of claim alleging that Ms. </w:t>
            </w:r>
            <w:proofErr w:type="spellStart"/>
            <w:r w:rsidRPr="00D0317D">
              <w:rPr>
                <w:sz w:val="20"/>
              </w:rPr>
              <w:t>Blicharz</w:t>
            </w:r>
            <w:proofErr w:type="spellEnd"/>
            <w:r w:rsidRPr="00D0317D">
              <w:rPr>
                <w:sz w:val="20"/>
              </w:rPr>
              <w:t xml:space="preserve"> had defaulted on all three loans. It was served on Ms. </w:t>
            </w:r>
            <w:proofErr w:type="spellStart"/>
            <w:r w:rsidRPr="00D0317D">
              <w:rPr>
                <w:sz w:val="20"/>
              </w:rPr>
              <w:t>Blicharz</w:t>
            </w:r>
            <w:proofErr w:type="spellEnd"/>
            <w:r w:rsidRPr="00D0317D">
              <w:rPr>
                <w:sz w:val="20"/>
              </w:rPr>
              <w:t>, but she did not file a statement of defence and default judgment was granted. Ten months later, Ms. </w:t>
            </w:r>
            <w:proofErr w:type="spellStart"/>
            <w:r w:rsidRPr="00D0317D">
              <w:rPr>
                <w:sz w:val="20"/>
              </w:rPr>
              <w:t>Blicharz</w:t>
            </w:r>
            <w:proofErr w:type="spellEnd"/>
            <w:r w:rsidRPr="00D0317D">
              <w:rPr>
                <w:sz w:val="20"/>
              </w:rPr>
              <w:t xml:space="preserve"> applied to set aside the default judgment. After Settlement Lenders set out the basis for its interest calculations, the application was dismissed on the grounds that she did not have an arguable defence and had not moved promptly to reopen the judgment. Four months later, Ms. </w:t>
            </w:r>
            <w:proofErr w:type="spellStart"/>
            <w:r w:rsidRPr="00D0317D">
              <w:rPr>
                <w:sz w:val="20"/>
              </w:rPr>
              <w:t>Blicharz</w:t>
            </w:r>
            <w:proofErr w:type="spellEnd"/>
            <w:r w:rsidRPr="00D0317D">
              <w:rPr>
                <w:sz w:val="20"/>
              </w:rPr>
              <w:t xml:space="preserve"> attempted to file a notice of appeal, and was informed an extension of time would be required. Four months later, she applied for an extension of time to file her notice of appeal and her appeal record. Around the same time, the appeal was struck for failure to file the appeal record. The matter was then adjourned twice, once on the condition that any further applications be filed by January 18, 2016. When the matter came forward six months later, a request for a further adjournment was denied, as were the motions to extend time to file the notice of appeal and the appeal record. The appellate judge also determined that the appeal could not be restored. The same appellate judge denied Ms. </w:t>
            </w:r>
            <w:proofErr w:type="spellStart"/>
            <w:r w:rsidRPr="00D0317D">
              <w:rPr>
                <w:sz w:val="20"/>
              </w:rPr>
              <w:t>Blicharz’s</w:t>
            </w:r>
            <w:proofErr w:type="spellEnd"/>
            <w:r w:rsidRPr="00D0317D">
              <w:rPr>
                <w:sz w:val="20"/>
              </w:rPr>
              <w:t xml:space="preserve"> application for leave to appeal that decision to a panel of three judges.</w:t>
            </w:r>
          </w:p>
          <w:p w:rsidR="00C325B3" w:rsidRPr="00D0317D" w:rsidRDefault="00C325B3" w:rsidP="00C325B3">
            <w:pPr>
              <w:jc w:val="both"/>
              <w:rPr>
                <w:sz w:val="20"/>
              </w:rPr>
            </w:pPr>
          </w:p>
        </w:tc>
      </w:tr>
      <w:tr w:rsidR="00C325B3" w:rsidRPr="00D0317D" w:rsidTr="00E95A6A">
        <w:tc>
          <w:tcPr>
            <w:tcW w:w="2427" w:type="pct"/>
            <w:gridSpan w:val="2"/>
          </w:tcPr>
          <w:p w:rsidR="00C325B3" w:rsidRPr="00D0317D" w:rsidRDefault="00C325B3" w:rsidP="00C325B3">
            <w:pPr>
              <w:jc w:val="both"/>
              <w:rPr>
                <w:sz w:val="20"/>
              </w:rPr>
            </w:pPr>
            <w:r w:rsidRPr="00D0317D">
              <w:rPr>
                <w:sz w:val="20"/>
              </w:rPr>
              <w:t>December 31, 2013</w:t>
            </w:r>
          </w:p>
          <w:p w:rsidR="00C325B3" w:rsidRPr="00D0317D" w:rsidRDefault="00C325B3" w:rsidP="00C325B3">
            <w:pPr>
              <w:jc w:val="both"/>
              <w:rPr>
                <w:sz w:val="20"/>
              </w:rPr>
            </w:pPr>
            <w:r w:rsidRPr="00D0317D">
              <w:rPr>
                <w:sz w:val="20"/>
              </w:rPr>
              <w:t>Court of Queen’s Bench of Alberta</w:t>
            </w:r>
          </w:p>
          <w:p w:rsidR="00C325B3" w:rsidRPr="00D0317D" w:rsidRDefault="00C325B3" w:rsidP="00C325B3">
            <w:pPr>
              <w:jc w:val="both"/>
              <w:rPr>
                <w:sz w:val="20"/>
              </w:rPr>
            </w:pPr>
          </w:p>
        </w:tc>
        <w:tc>
          <w:tcPr>
            <w:tcW w:w="243" w:type="pct"/>
          </w:tcPr>
          <w:p w:rsidR="00C325B3" w:rsidRPr="00D0317D" w:rsidRDefault="00C325B3" w:rsidP="00C325B3">
            <w:pPr>
              <w:jc w:val="both"/>
              <w:rPr>
                <w:sz w:val="20"/>
              </w:rPr>
            </w:pPr>
          </w:p>
        </w:tc>
        <w:tc>
          <w:tcPr>
            <w:tcW w:w="2330" w:type="pct"/>
          </w:tcPr>
          <w:p w:rsidR="00C325B3" w:rsidRPr="00D0317D" w:rsidRDefault="00C325B3" w:rsidP="00C325B3">
            <w:pPr>
              <w:jc w:val="both"/>
              <w:rPr>
                <w:sz w:val="20"/>
              </w:rPr>
            </w:pPr>
            <w:r w:rsidRPr="00D0317D">
              <w:rPr>
                <w:sz w:val="20"/>
              </w:rPr>
              <w:t>Default judgment entered</w:t>
            </w:r>
          </w:p>
        </w:tc>
      </w:tr>
      <w:tr w:rsidR="00C325B3" w:rsidRPr="00D0317D" w:rsidTr="00E95A6A">
        <w:tc>
          <w:tcPr>
            <w:tcW w:w="2427" w:type="pct"/>
            <w:gridSpan w:val="2"/>
          </w:tcPr>
          <w:p w:rsidR="00C325B3" w:rsidRPr="00D0317D" w:rsidRDefault="00C325B3" w:rsidP="00C325B3">
            <w:pPr>
              <w:jc w:val="both"/>
              <w:rPr>
                <w:sz w:val="20"/>
              </w:rPr>
            </w:pPr>
            <w:r w:rsidRPr="00D0317D">
              <w:rPr>
                <w:sz w:val="20"/>
              </w:rPr>
              <w:t>January 7, 2014</w:t>
            </w:r>
          </w:p>
          <w:p w:rsidR="00C325B3" w:rsidRPr="00D0317D" w:rsidRDefault="00C325B3" w:rsidP="00C325B3">
            <w:pPr>
              <w:jc w:val="both"/>
              <w:rPr>
                <w:sz w:val="20"/>
              </w:rPr>
            </w:pPr>
            <w:r w:rsidRPr="00D0317D">
              <w:rPr>
                <w:sz w:val="20"/>
              </w:rPr>
              <w:t>Court of Queen’s Bench of Alberta</w:t>
            </w:r>
          </w:p>
          <w:p w:rsidR="00C325B3" w:rsidRPr="00D0317D" w:rsidRDefault="00C325B3" w:rsidP="00C325B3">
            <w:pPr>
              <w:jc w:val="both"/>
              <w:rPr>
                <w:sz w:val="20"/>
              </w:rPr>
            </w:pPr>
            <w:r w:rsidRPr="00D0317D">
              <w:rPr>
                <w:sz w:val="20"/>
              </w:rPr>
              <w:t>(</w:t>
            </w:r>
            <w:proofErr w:type="spellStart"/>
            <w:r w:rsidRPr="00D0317D">
              <w:rPr>
                <w:sz w:val="20"/>
              </w:rPr>
              <w:t>Michalyshyn</w:t>
            </w:r>
            <w:proofErr w:type="spellEnd"/>
            <w:r w:rsidRPr="00D0317D">
              <w:rPr>
                <w:sz w:val="20"/>
              </w:rPr>
              <w:t xml:space="preserve"> J.)</w:t>
            </w:r>
          </w:p>
          <w:p w:rsidR="00C325B3" w:rsidRPr="00D0317D" w:rsidRDefault="00C325B3" w:rsidP="00C325B3">
            <w:pPr>
              <w:jc w:val="both"/>
              <w:rPr>
                <w:sz w:val="20"/>
              </w:rPr>
            </w:pPr>
            <w:r w:rsidRPr="00D0317D">
              <w:rPr>
                <w:sz w:val="20"/>
              </w:rPr>
              <w:t xml:space="preserve">2015 ABQB 16 </w:t>
            </w:r>
          </w:p>
          <w:p w:rsidR="00C325B3" w:rsidRPr="00D0317D" w:rsidRDefault="00C325B3" w:rsidP="00C325B3">
            <w:pPr>
              <w:jc w:val="both"/>
              <w:rPr>
                <w:sz w:val="20"/>
              </w:rPr>
            </w:pPr>
          </w:p>
        </w:tc>
        <w:tc>
          <w:tcPr>
            <w:tcW w:w="243" w:type="pct"/>
          </w:tcPr>
          <w:p w:rsidR="00C325B3" w:rsidRPr="00D0317D" w:rsidRDefault="00C325B3" w:rsidP="00C325B3">
            <w:pPr>
              <w:jc w:val="both"/>
              <w:rPr>
                <w:sz w:val="20"/>
              </w:rPr>
            </w:pPr>
          </w:p>
        </w:tc>
        <w:tc>
          <w:tcPr>
            <w:tcW w:w="2330" w:type="pct"/>
          </w:tcPr>
          <w:p w:rsidR="00C325B3" w:rsidRPr="00D0317D" w:rsidRDefault="00C325B3" w:rsidP="00C325B3">
            <w:pPr>
              <w:jc w:val="both"/>
              <w:rPr>
                <w:sz w:val="20"/>
              </w:rPr>
            </w:pPr>
            <w:r w:rsidRPr="00D0317D">
              <w:rPr>
                <w:sz w:val="20"/>
              </w:rPr>
              <w:t>Application to re-open default judgment dismissed</w:t>
            </w:r>
          </w:p>
          <w:p w:rsidR="00C325B3" w:rsidRPr="00D0317D" w:rsidRDefault="00C325B3" w:rsidP="00C325B3">
            <w:pPr>
              <w:jc w:val="both"/>
              <w:rPr>
                <w:sz w:val="20"/>
              </w:rPr>
            </w:pPr>
          </w:p>
        </w:tc>
      </w:tr>
      <w:tr w:rsidR="00C325B3" w:rsidRPr="00D0317D" w:rsidTr="00E95A6A">
        <w:tc>
          <w:tcPr>
            <w:tcW w:w="2427" w:type="pct"/>
            <w:gridSpan w:val="2"/>
          </w:tcPr>
          <w:p w:rsidR="00C325B3" w:rsidRPr="00D0317D" w:rsidRDefault="00C325B3" w:rsidP="00C325B3">
            <w:pPr>
              <w:jc w:val="both"/>
              <w:rPr>
                <w:sz w:val="20"/>
              </w:rPr>
            </w:pPr>
            <w:r w:rsidRPr="00D0317D">
              <w:rPr>
                <w:sz w:val="20"/>
              </w:rPr>
              <w:t>February 5, 2015</w:t>
            </w:r>
          </w:p>
          <w:p w:rsidR="00C325B3" w:rsidRPr="00D0317D" w:rsidRDefault="00C325B3" w:rsidP="00C325B3">
            <w:pPr>
              <w:jc w:val="both"/>
              <w:rPr>
                <w:sz w:val="20"/>
              </w:rPr>
            </w:pPr>
            <w:r w:rsidRPr="00D0317D">
              <w:rPr>
                <w:sz w:val="20"/>
              </w:rPr>
              <w:t>Court of Appeal of Alberta (Edmonton)</w:t>
            </w:r>
          </w:p>
          <w:p w:rsidR="00C325B3" w:rsidRPr="00D0317D" w:rsidRDefault="00C325B3" w:rsidP="00C325B3">
            <w:pPr>
              <w:jc w:val="both"/>
              <w:rPr>
                <w:sz w:val="20"/>
              </w:rPr>
            </w:pPr>
            <w:r w:rsidRPr="00D0317D">
              <w:rPr>
                <w:sz w:val="20"/>
              </w:rPr>
              <w:t>(</w:t>
            </w:r>
            <w:proofErr w:type="spellStart"/>
            <w:r w:rsidRPr="00D0317D">
              <w:rPr>
                <w:sz w:val="20"/>
              </w:rPr>
              <w:t>Rowbotham</w:t>
            </w:r>
            <w:proofErr w:type="spellEnd"/>
            <w:r w:rsidRPr="00D0317D">
              <w:rPr>
                <w:sz w:val="20"/>
              </w:rPr>
              <w:t xml:space="preserve"> J.A.)</w:t>
            </w:r>
          </w:p>
          <w:p w:rsidR="00C325B3" w:rsidRPr="00D0317D" w:rsidRDefault="00C325B3" w:rsidP="00C325B3">
            <w:pPr>
              <w:jc w:val="both"/>
              <w:rPr>
                <w:sz w:val="20"/>
              </w:rPr>
            </w:pPr>
            <w:r w:rsidRPr="00D0317D">
              <w:rPr>
                <w:sz w:val="20"/>
              </w:rPr>
              <w:t>2016 ABCA 33</w:t>
            </w:r>
          </w:p>
          <w:p w:rsidR="00C325B3" w:rsidRPr="00D0317D" w:rsidRDefault="00C325B3" w:rsidP="00C325B3">
            <w:pPr>
              <w:jc w:val="both"/>
              <w:rPr>
                <w:sz w:val="20"/>
              </w:rPr>
            </w:pPr>
          </w:p>
        </w:tc>
        <w:tc>
          <w:tcPr>
            <w:tcW w:w="243" w:type="pct"/>
          </w:tcPr>
          <w:p w:rsidR="00C325B3" w:rsidRPr="00D0317D" w:rsidRDefault="00C325B3" w:rsidP="00C325B3">
            <w:pPr>
              <w:jc w:val="both"/>
              <w:rPr>
                <w:sz w:val="20"/>
              </w:rPr>
            </w:pPr>
          </w:p>
        </w:tc>
        <w:tc>
          <w:tcPr>
            <w:tcW w:w="2330" w:type="pct"/>
          </w:tcPr>
          <w:p w:rsidR="00C325B3" w:rsidRPr="00D0317D" w:rsidRDefault="00C325B3" w:rsidP="00C325B3">
            <w:pPr>
              <w:jc w:val="both"/>
              <w:rPr>
                <w:sz w:val="20"/>
              </w:rPr>
            </w:pPr>
            <w:r w:rsidRPr="00D0317D">
              <w:rPr>
                <w:sz w:val="20"/>
              </w:rPr>
              <w:t>Motion to restore appeal or extend the time to file dismissed</w:t>
            </w:r>
          </w:p>
          <w:p w:rsidR="00C325B3" w:rsidRPr="00D0317D" w:rsidRDefault="00C325B3" w:rsidP="00C325B3">
            <w:pPr>
              <w:jc w:val="both"/>
              <w:rPr>
                <w:sz w:val="20"/>
              </w:rPr>
            </w:pPr>
          </w:p>
        </w:tc>
      </w:tr>
      <w:tr w:rsidR="00C325B3" w:rsidRPr="00D0317D" w:rsidTr="00E95A6A">
        <w:tc>
          <w:tcPr>
            <w:tcW w:w="2427" w:type="pct"/>
            <w:gridSpan w:val="2"/>
          </w:tcPr>
          <w:p w:rsidR="00C325B3" w:rsidRPr="00D0317D" w:rsidRDefault="00C325B3" w:rsidP="00C325B3">
            <w:pPr>
              <w:jc w:val="both"/>
              <w:rPr>
                <w:sz w:val="20"/>
              </w:rPr>
            </w:pPr>
            <w:r w:rsidRPr="00D0317D">
              <w:rPr>
                <w:sz w:val="20"/>
              </w:rPr>
              <w:t>April 15, 2016</w:t>
            </w:r>
          </w:p>
          <w:p w:rsidR="00C325B3" w:rsidRPr="00D0317D" w:rsidRDefault="00C325B3" w:rsidP="00C325B3">
            <w:pPr>
              <w:jc w:val="both"/>
              <w:rPr>
                <w:sz w:val="20"/>
              </w:rPr>
            </w:pPr>
            <w:r w:rsidRPr="00D0317D">
              <w:rPr>
                <w:sz w:val="20"/>
              </w:rPr>
              <w:t>Court of Appeal of Alberta (Edmonton)</w:t>
            </w:r>
          </w:p>
          <w:p w:rsidR="00C325B3" w:rsidRPr="00D0317D" w:rsidRDefault="00C325B3" w:rsidP="00C325B3">
            <w:pPr>
              <w:jc w:val="both"/>
              <w:rPr>
                <w:sz w:val="20"/>
              </w:rPr>
            </w:pPr>
            <w:r w:rsidRPr="00D0317D">
              <w:rPr>
                <w:sz w:val="20"/>
              </w:rPr>
              <w:lastRenderedPageBreak/>
              <w:t>(</w:t>
            </w:r>
            <w:proofErr w:type="spellStart"/>
            <w:r w:rsidRPr="00D0317D">
              <w:rPr>
                <w:sz w:val="20"/>
              </w:rPr>
              <w:t>Rowbotham</w:t>
            </w:r>
            <w:proofErr w:type="spellEnd"/>
            <w:r w:rsidRPr="00D0317D">
              <w:rPr>
                <w:sz w:val="20"/>
              </w:rPr>
              <w:t xml:space="preserve"> J.A.)</w:t>
            </w:r>
          </w:p>
          <w:p w:rsidR="00C325B3" w:rsidRPr="00D0317D" w:rsidRDefault="00C325B3" w:rsidP="00C325B3">
            <w:pPr>
              <w:jc w:val="both"/>
              <w:rPr>
                <w:sz w:val="20"/>
              </w:rPr>
            </w:pPr>
            <w:r w:rsidRPr="00D0317D">
              <w:rPr>
                <w:sz w:val="20"/>
              </w:rPr>
              <w:t>2016 ABCA 109</w:t>
            </w:r>
          </w:p>
          <w:p w:rsidR="00C325B3" w:rsidRPr="00D0317D" w:rsidRDefault="00C325B3" w:rsidP="00C325B3">
            <w:pPr>
              <w:jc w:val="both"/>
              <w:rPr>
                <w:sz w:val="20"/>
              </w:rPr>
            </w:pPr>
          </w:p>
        </w:tc>
        <w:tc>
          <w:tcPr>
            <w:tcW w:w="243" w:type="pct"/>
          </w:tcPr>
          <w:p w:rsidR="00C325B3" w:rsidRPr="00D0317D" w:rsidRDefault="00C325B3" w:rsidP="00C325B3">
            <w:pPr>
              <w:jc w:val="both"/>
              <w:rPr>
                <w:sz w:val="20"/>
              </w:rPr>
            </w:pPr>
          </w:p>
        </w:tc>
        <w:tc>
          <w:tcPr>
            <w:tcW w:w="2330" w:type="pct"/>
          </w:tcPr>
          <w:p w:rsidR="00C325B3" w:rsidRPr="00D0317D" w:rsidRDefault="00C325B3" w:rsidP="00C325B3">
            <w:pPr>
              <w:jc w:val="both"/>
              <w:rPr>
                <w:sz w:val="20"/>
              </w:rPr>
            </w:pPr>
            <w:r w:rsidRPr="00D0317D">
              <w:rPr>
                <w:sz w:val="20"/>
              </w:rPr>
              <w:t>Motion for leave to appeal the decision of February 5, 2016, to appeal to a panel of three judges dismissed</w:t>
            </w:r>
          </w:p>
          <w:p w:rsidR="00C325B3" w:rsidRPr="00D0317D" w:rsidRDefault="00C325B3" w:rsidP="00C325B3">
            <w:pPr>
              <w:jc w:val="both"/>
              <w:rPr>
                <w:sz w:val="20"/>
              </w:rPr>
            </w:pPr>
          </w:p>
        </w:tc>
      </w:tr>
      <w:tr w:rsidR="00C325B3" w:rsidRPr="00D0317D" w:rsidTr="00E95A6A">
        <w:tc>
          <w:tcPr>
            <w:tcW w:w="2427" w:type="pct"/>
            <w:gridSpan w:val="2"/>
          </w:tcPr>
          <w:p w:rsidR="00C325B3" w:rsidRPr="00D0317D" w:rsidRDefault="00C325B3" w:rsidP="00C325B3">
            <w:pPr>
              <w:jc w:val="both"/>
              <w:rPr>
                <w:sz w:val="20"/>
              </w:rPr>
            </w:pPr>
            <w:r w:rsidRPr="00D0317D">
              <w:rPr>
                <w:sz w:val="20"/>
              </w:rPr>
              <w:lastRenderedPageBreak/>
              <w:t>June 14, 2016</w:t>
            </w:r>
          </w:p>
          <w:p w:rsidR="00C325B3" w:rsidRPr="00D0317D" w:rsidRDefault="00C325B3" w:rsidP="00C325B3">
            <w:pPr>
              <w:jc w:val="both"/>
              <w:rPr>
                <w:sz w:val="20"/>
              </w:rPr>
            </w:pPr>
            <w:r w:rsidRPr="00D0317D">
              <w:rPr>
                <w:sz w:val="20"/>
              </w:rPr>
              <w:t>Supreme Court of Canada</w:t>
            </w:r>
          </w:p>
        </w:tc>
        <w:tc>
          <w:tcPr>
            <w:tcW w:w="243" w:type="pct"/>
          </w:tcPr>
          <w:p w:rsidR="00C325B3" w:rsidRPr="00D0317D" w:rsidRDefault="00C325B3" w:rsidP="00C325B3">
            <w:pPr>
              <w:jc w:val="both"/>
              <w:rPr>
                <w:sz w:val="20"/>
              </w:rPr>
            </w:pPr>
          </w:p>
        </w:tc>
        <w:tc>
          <w:tcPr>
            <w:tcW w:w="2330" w:type="pct"/>
          </w:tcPr>
          <w:p w:rsidR="00C325B3" w:rsidRPr="00D0317D" w:rsidRDefault="00C325B3" w:rsidP="00C325B3">
            <w:pPr>
              <w:jc w:val="both"/>
              <w:rPr>
                <w:sz w:val="20"/>
              </w:rPr>
            </w:pPr>
            <w:r w:rsidRPr="00D0317D">
              <w:rPr>
                <w:sz w:val="20"/>
              </w:rPr>
              <w:t>Application for leave to appeal filed</w:t>
            </w:r>
          </w:p>
          <w:p w:rsidR="00C325B3" w:rsidRPr="00D0317D" w:rsidRDefault="00C325B3" w:rsidP="00C325B3">
            <w:pPr>
              <w:jc w:val="both"/>
              <w:rPr>
                <w:sz w:val="20"/>
              </w:rPr>
            </w:pPr>
          </w:p>
        </w:tc>
      </w:tr>
    </w:tbl>
    <w:p w:rsidR="00C325B3" w:rsidRPr="00D0317D" w:rsidRDefault="00C325B3" w:rsidP="00C325B3">
      <w:pPr>
        <w:jc w:val="both"/>
        <w:rPr>
          <w:sz w:val="20"/>
        </w:rPr>
      </w:pPr>
    </w:p>
    <w:p w:rsidR="00C325B3" w:rsidRPr="00D0317D" w:rsidRDefault="00C325B3" w:rsidP="00C325B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25B3" w:rsidRPr="00D0317D" w:rsidTr="00E95A6A">
        <w:tc>
          <w:tcPr>
            <w:tcW w:w="543" w:type="pct"/>
          </w:tcPr>
          <w:p w:rsidR="00C325B3" w:rsidRPr="00D0317D" w:rsidRDefault="00C325B3" w:rsidP="00C325B3">
            <w:pPr>
              <w:jc w:val="both"/>
              <w:rPr>
                <w:sz w:val="20"/>
                <w:lang w:val="fr-CA"/>
              </w:rPr>
            </w:pPr>
            <w:r w:rsidRPr="00D0317D">
              <w:rPr>
                <w:rStyle w:val="SCCFileNumberChar"/>
                <w:sz w:val="20"/>
                <w:szCs w:val="20"/>
                <w:lang w:val="fr-CA"/>
              </w:rPr>
              <w:t>37065</w:t>
            </w:r>
          </w:p>
        </w:tc>
        <w:tc>
          <w:tcPr>
            <w:tcW w:w="4457" w:type="pct"/>
            <w:gridSpan w:val="3"/>
          </w:tcPr>
          <w:p w:rsidR="00C325B3" w:rsidRPr="00D0317D" w:rsidRDefault="00C325B3" w:rsidP="00C325B3">
            <w:pPr>
              <w:pStyle w:val="SCCLsocParty"/>
              <w:jc w:val="both"/>
              <w:rPr>
                <w:b/>
                <w:sz w:val="20"/>
                <w:szCs w:val="20"/>
                <w:lang w:val="en-US"/>
              </w:rPr>
            </w:pPr>
            <w:proofErr w:type="spellStart"/>
            <w:r w:rsidRPr="00D0317D">
              <w:rPr>
                <w:b/>
                <w:sz w:val="20"/>
                <w:szCs w:val="20"/>
                <w:lang w:val="en-US"/>
              </w:rPr>
              <w:t>Lucyna</w:t>
            </w:r>
            <w:proofErr w:type="spellEnd"/>
            <w:r w:rsidRPr="00D0317D">
              <w:rPr>
                <w:b/>
                <w:sz w:val="20"/>
                <w:szCs w:val="20"/>
                <w:lang w:val="en-US"/>
              </w:rPr>
              <w:t xml:space="preserve"> </w:t>
            </w:r>
            <w:proofErr w:type="spellStart"/>
            <w:r w:rsidRPr="00D0317D">
              <w:rPr>
                <w:b/>
                <w:sz w:val="20"/>
                <w:szCs w:val="20"/>
                <w:lang w:val="en-US"/>
              </w:rPr>
              <w:t>Blicharz</w:t>
            </w:r>
            <w:proofErr w:type="spellEnd"/>
            <w:r w:rsidRPr="00D0317D">
              <w:rPr>
                <w:b/>
                <w:sz w:val="20"/>
                <w:szCs w:val="20"/>
                <w:lang w:val="en-US"/>
              </w:rPr>
              <w:t xml:space="preserve"> c. Settlement Lenders Inc., Settlement Lenders of Canada Inc.</w:t>
            </w:r>
          </w:p>
          <w:p w:rsidR="00C325B3" w:rsidRPr="00D0317D" w:rsidRDefault="00C325B3" w:rsidP="00C325B3">
            <w:pPr>
              <w:jc w:val="both"/>
              <w:rPr>
                <w:sz w:val="20"/>
                <w:lang w:val="fr-CA"/>
              </w:rPr>
            </w:pPr>
            <w:r w:rsidRPr="00D0317D">
              <w:rPr>
                <w:sz w:val="20"/>
                <w:lang w:val="fr-CA"/>
              </w:rPr>
              <w:t>(Alb.) (Civile) (Sur autorisation)</w:t>
            </w:r>
          </w:p>
        </w:tc>
      </w:tr>
      <w:tr w:rsidR="00C325B3" w:rsidRPr="005165BD" w:rsidTr="00E95A6A">
        <w:tc>
          <w:tcPr>
            <w:tcW w:w="5000" w:type="pct"/>
            <w:gridSpan w:val="4"/>
          </w:tcPr>
          <w:p w:rsidR="00C325B3" w:rsidRPr="00D0317D" w:rsidRDefault="00C325B3" w:rsidP="00C325B3">
            <w:pPr>
              <w:jc w:val="both"/>
              <w:rPr>
                <w:sz w:val="20"/>
                <w:lang w:val="fr-CA"/>
              </w:rPr>
            </w:pPr>
            <w:r w:rsidRPr="00D0317D">
              <w:rPr>
                <w:sz w:val="20"/>
                <w:lang w:val="fr-CA"/>
              </w:rPr>
              <w:t>Procédure civile — Appels — Autorisation d’appel — La Cour d’appel a-t-elle eu raison de rejeter une requête en autorisation d’appel à une formation de trois juges?</w:t>
            </w:r>
          </w:p>
        </w:tc>
      </w:tr>
      <w:tr w:rsidR="00C325B3" w:rsidRPr="005165BD" w:rsidTr="00E95A6A">
        <w:tc>
          <w:tcPr>
            <w:tcW w:w="5000" w:type="pct"/>
            <w:gridSpan w:val="4"/>
          </w:tcPr>
          <w:p w:rsidR="00C325B3" w:rsidRPr="00D0317D" w:rsidRDefault="00C325B3" w:rsidP="00C325B3">
            <w:pPr>
              <w:jc w:val="both"/>
              <w:rPr>
                <w:sz w:val="20"/>
                <w:lang w:val="fr-CA"/>
              </w:rPr>
            </w:pPr>
          </w:p>
        </w:tc>
      </w:tr>
      <w:tr w:rsidR="00C325B3" w:rsidRPr="005165BD" w:rsidTr="00E95A6A">
        <w:tc>
          <w:tcPr>
            <w:tcW w:w="5000" w:type="pct"/>
            <w:gridSpan w:val="4"/>
          </w:tcPr>
          <w:p w:rsidR="00C325B3" w:rsidRPr="00D0317D" w:rsidRDefault="00C325B3" w:rsidP="00C325B3">
            <w:pPr>
              <w:jc w:val="both"/>
              <w:rPr>
                <w:sz w:val="20"/>
                <w:lang w:val="fr-CA"/>
              </w:rPr>
            </w:pPr>
            <w:r w:rsidRPr="00D0317D">
              <w:rPr>
                <w:sz w:val="20"/>
                <w:lang w:val="fr-CA"/>
              </w:rPr>
              <w:t xml:space="preserve">En 2007 et 2008, Mme Blicharz a signé trois billets à ordre en faveur de Settlement Lenders Inc. et de Settlement Lenders of Canada Inc. (collectivement, « Settlement Lenders »), qui prêtent de l’argent aux personnes qui intentent des poursuites en justice. À l’époque, elle était demanderesse dans cinq actions pour préjudice personnel et elle était représentée par un avocat lorsqu’elle a signé les billets. </w:t>
            </w:r>
            <w:proofErr w:type="spellStart"/>
            <w:r w:rsidRPr="00D0317D">
              <w:rPr>
                <w:sz w:val="20"/>
                <w:lang w:val="fr-CA"/>
              </w:rPr>
              <w:t>Settlement</w:t>
            </w:r>
            <w:proofErr w:type="spellEnd"/>
            <w:r w:rsidRPr="00D0317D">
              <w:rPr>
                <w:sz w:val="20"/>
                <w:lang w:val="fr-CA"/>
              </w:rPr>
              <w:t xml:space="preserve"> </w:t>
            </w:r>
            <w:proofErr w:type="spellStart"/>
            <w:r w:rsidRPr="00D0317D">
              <w:rPr>
                <w:sz w:val="20"/>
                <w:lang w:val="fr-CA"/>
              </w:rPr>
              <w:t>Lenders</w:t>
            </w:r>
            <w:proofErr w:type="spellEnd"/>
            <w:r w:rsidRPr="00D0317D">
              <w:rPr>
                <w:sz w:val="20"/>
                <w:lang w:val="fr-CA"/>
              </w:rPr>
              <w:t xml:space="preserve"> a produit une déclaration alléguant que Mme Blicharz avait manqué à ses engagements à l’égard des trois prêts. La déclaration a été signifiée à Mme Blicharz, mais cette dernière n’a pas produit de défense et un jugement par défaut a été prononcé. Dix mois plus tard, Mme Blicharz a demandé l’annulation du jugement par défaut. Après que Settlement Lenders a établi le fondement de ses calculs d’intérêts, la demande a été rejetée aux motifs que Mme </w:t>
            </w:r>
            <w:proofErr w:type="spellStart"/>
            <w:r w:rsidRPr="00D0317D">
              <w:rPr>
                <w:sz w:val="20"/>
                <w:lang w:val="fr-CA"/>
              </w:rPr>
              <w:t>Blicharz</w:t>
            </w:r>
            <w:proofErr w:type="spellEnd"/>
            <w:r w:rsidRPr="00D0317D">
              <w:rPr>
                <w:sz w:val="20"/>
                <w:lang w:val="fr-CA"/>
              </w:rPr>
              <w:t xml:space="preserve"> n’avait aucun moyen de défense valable à faire valoir et qu’elle avait tardé à présenter une requête en réouverture de jugement. Quatre mois plus tard, Mme Blicharz a tenté de déposer un avis d’appel et on l’a informée qu’une prorogation de délai serait nécessaire. Quatre mois plus tard, elle a demandé une prorogation de délai pour déposer son avis d’appel et son dossier d’appel. Vers la même époque, l’appel a été radié pour non-dépôt du dossier d’appel. L’affaire a été ajournée à deux reprises, une fois à la condition que toute demande subséquente soit déposée au plus tard le 18 janvier 2016. Lorsque l’affaire est revenue au rôle six mois plus tard, une demande d’ajournement additionnel a été rejetée, tout comme les requêtes en prorogation du délai de dépôt de l’avis d’appel et du dossier d’appel. Le juge d’appel a également conclu que l’appel ne pouvait être rétabli. Le même juge d’appel a rejeté la demande de Mme </w:t>
            </w:r>
            <w:proofErr w:type="spellStart"/>
            <w:r w:rsidRPr="00D0317D">
              <w:rPr>
                <w:sz w:val="20"/>
                <w:lang w:val="fr-CA"/>
              </w:rPr>
              <w:t>Blicharz</w:t>
            </w:r>
            <w:proofErr w:type="spellEnd"/>
            <w:r w:rsidRPr="00D0317D">
              <w:rPr>
                <w:sz w:val="20"/>
                <w:lang w:val="fr-CA"/>
              </w:rPr>
              <w:t xml:space="preserve"> en autorisation d’appel de cette décision à une formation de trois juges.</w:t>
            </w:r>
          </w:p>
          <w:p w:rsidR="00C325B3" w:rsidRPr="00D0317D" w:rsidRDefault="00C325B3" w:rsidP="00C325B3">
            <w:pPr>
              <w:jc w:val="both"/>
              <w:rPr>
                <w:sz w:val="20"/>
                <w:lang w:val="fr-CA"/>
              </w:rPr>
            </w:pPr>
          </w:p>
        </w:tc>
      </w:tr>
      <w:tr w:rsidR="00C325B3" w:rsidRPr="005165BD" w:rsidTr="00E95A6A">
        <w:tc>
          <w:tcPr>
            <w:tcW w:w="2427" w:type="pct"/>
            <w:gridSpan w:val="2"/>
          </w:tcPr>
          <w:p w:rsidR="00C325B3" w:rsidRPr="00D0317D" w:rsidRDefault="00C325B3" w:rsidP="00C325B3">
            <w:pPr>
              <w:jc w:val="both"/>
              <w:rPr>
                <w:sz w:val="20"/>
                <w:lang w:val="fr-CA"/>
              </w:rPr>
            </w:pPr>
            <w:r w:rsidRPr="00D0317D">
              <w:rPr>
                <w:sz w:val="20"/>
                <w:lang w:val="fr-CA"/>
              </w:rPr>
              <w:t>31 décembre 2013</w:t>
            </w:r>
          </w:p>
          <w:p w:rsidR="00C325B3" w:rsidRPr="00D0317D" w:rsidRDefault="00C325B3" w:rsidP="00C325B3">
            <w:pPr>
              <w:jc w:val="both"/>
              <w:rPr>
                <w:sz w:val="20"/>
                <w:lang w:val="fr-CA"/>
              </w:rPr>
            </w:pPr>
            <w:r w:rsidRPr="00D0317D">
              <w:rPr>
                <w:sz w:val="20"/>
                <w:lang w:val="fr-CA"/>
              </w:rPr>
              <w:t>Cour du Banc de la Reine de l’Alberta</w:t>
            </w:r>
          </w:p>
          <w:p w:rsidR="00C325B3" w:rsidRPr="00D0317D" w:rsidRDefault="00C325B3" w:rsidP="00C325B3">
            <w:pPr>
              <w:jc w:val="both"/>
              <w:rPr>
                <w:sz w:val="20"/>
                <w:lang w:val="fr-CA"/>
              </w:rPr>
            </w:pPr>
          </w:p>
        </w:tc>
        <w:tc>
          <w:tcPr>
            <w:tcW w:w="243" w:type="pct"/>
          </w:tcPr>
          <w:p w:rsidR="00C325B3" w:rsidRPr="00D0317D" w:rsidRDefault="00C325B3" w:rsidP="00C325B3">
            <w:pPr>
              <w:jc w:val="both"/>
              <w:rPr>
                <w:sz w:val="20"/>
                <w:lang w:val="fr-CA"/>
              </w:rPr>
            </w:pPr>
          </w:p>
        </w:tc>
        <w:tc>
          <w:tcPr>
            <w:tcW w:w="2330" w:type="pct"/>
          </w:tcPr>
          <w:p w:rsidR="00C325B3" w:rsidRPr="00D0317D" w:rsidRDefault="00C325B3" w:rsidP="00C325B3">
            <w:pPr>
              <w:jc w:val="both"/>
              <w:rPr>
                <w:sz w:val="20"/>
                <w:lang w:val="fr-CA"/>
              </w:rPr>
            </w:pPr>
            <w:r w:rsidRPr="00D0317D">
              <w:rPr>
                <w:sz w:val="20"/>
                <w:lang w:val="fr-CA"/>
              </w:rPr>
              <w:t>Inscription du jugement par défaut</w:t>
            </w:r>
          </w:p>
        </w:tc>
      </w:tr>
      <w:tr w:rsidR="00C325B3" w:rsidRPr="005165BD" w:rsidTr="00E95A6A">
        <w:tc>
          <w:tcPr>
            <w:tcW w:w="2427" w:type="pct"/>
            <w:gridSpan w:val="2"/>
          </w:tcPr>
          <w:p w:rsidR="00C325B3" w:rsidRPr="00D0317D" w:rsidRDefault="00C325B3" w:rsidP="00C325B3">
            <w:pPr>
              <w:jc w:val="both"/>
              <w:rPr>
                <w:sz w:val="20"/>
                <w:lang w:val="fr-CA"/>
              </w:rPr>
            </w:pPr>
            <w:r w:rsidRPr="00D0317D">
              <w:rPr>
                <w:sz w:val="20"/>
                <w:lang w:val="fr-CA"/>
              </w:rPr>
              <w:t>7 janvier 2014</w:t>
            </w:r>
          </w:p>
          <w:p w:rsidR="00C325B3" w:rsidRPr="00D0317D" w:rsidRDefault="00C325B3" w:rsidP="00C325B3">
            <w:pPr>
              <w:jc w:val="both"/>
              <w:rPr>
                <w:sz w:val="20"/>
                <w:lang w:val="fr-CA"/>
              </w:rPr>
            </w:pPr>
            <w:r w:rsidRPr="00D0317D">
              <w:rPr>
                <w:sz w:val="20"/>
                <w:lang w:val="fr-CA"/>
              </w:rPr>
              <w:t>Cour du Banc de la Reine de l’Alberta</w:t>
            </w:r>
          </w:p>
          <w:p w:rsidR="00C325B3" w:rsidRPr="00D0317D" w:rsidRDefault="00C325B3" w:rsidP="00C325B3">
            <w:pPr>
              <w:jc w:val="both"/>
              <w:rPr>
                <w:sz w:val="20"/>
                <w:lang w:val="fr-CA"/>
              </w:rPr>
            </w:pPr>
            <w:r w:rsidRPr="00D0317D">
              <w:rPr>
                <w:sz w:val="20"/>
                <w:lang w:val="fr-CA"/>
              </w:rPr>
              <w:t>(Juge Michalyshyn)</w:t>
            </w:r>
          </w:p>
          <w:p w:rsidR="00C325B3" w:rsidRPr="00D0317D" w:rsidRDefault="00C325B3" w:rsidP="00C325B3">
            <w:pPr>
              <w:jc w:val="both"/>
              <w:rPr>
                <w:sz w:val="20"/>
                <w:lang w:val="fr-CA"/>
              </w:rPr>
            </w:pPr>
            <w:r w:rsidRPr="00D0317D">
              <w:rPr>
                <w:sz w:val="20"/>
                <w:lang w:val="fr-CA"/>
              </w:rPr>
              <w:t xml:space="preserve">2015 ABQB 16 </w:t>
            </w:r>
          </w:p>
          <w:p w:rsidR="00C325B3" w:rsidRPr="00D0317D" w:rsidRDefault="00C325B3" w:rsidP="00C325B3">
            <w:pPr>
              <w:jc w:val="both"/>
              <w:rPr>
                <w:sz w:val="20"/>
                <w:lang w:val="fr-CA"/>
              </w:rPr>
            </w:pPr>
          </w:p>
        </w:tc>
        <w:tc>
          <w:tcPr>
            <w:tcW w:w="243" w:type="pct"/>
          </w:tcPr>
          <w:p w:rsidR="00C325B3" w:rsidRPr="00D0317D" w:rsidRDefault="00C325B3" w:rsidP="00C325B3">
            <w:pPr>
              <w:jc w:val="both"/>
              <w:rPr>
                <w:sz w:val="20"/>
                <w:lang w:val="fr-CA"/>
              </w:rPr>
            </w:pPr>
          </w:p>
        </w:tc>
        <w:tc>
          <w:tcPr>
            <w:tcW w:w="2330" w:type="pct"/>
          </w:tcPr>
          <w:p w:rsidR="00C325B3" w:rsidRPr="00D0317D" w:rsidRDefault="00C325B3" w:rsidP="00C325B3">
            <w:pPr>
              <w:jc w:val="both"/>
              <w:rPr>
                <w:sz w:val="20"/>
                <w:lang w:val="fr-CA"/>
              </w:rPr>
            </w:pPr>
            <w:r w:rsidRPr="00D0317D">
              <w:rPr>
                <w:sz w:val="20"/>
                <w:lang w:val="fr-CA"/>
              </w:rPr>
              <w:t>Rejet de la demande en réouverture du jugement par défaut</w:t>
            </w:r>
          </w:p>
          <w:p w:rsidR="00C325B3" w:rsidRPr="00D0317D" w:rsidRDefault="00C325B3" w:rsidP="00C325B3">
            <w:pPr>
              <w:jc w:val="both"/>
              <w:rPr>
                <w:sz w:val="20"/>
                <w:lang w:val="fr-CA"/>
              </w:rPr>
            </w:pPr>
          </w:p>
        </w:tc>
      </w:tr>
      <w:tr w:rsidR="00C325B3" w:rsidRPr="005165BD" w:rsidTr="00E95A6A">
        <w:tc>
          <w:tcPr>
            <w:tcW w:w="2427" w:type="pct"/>
            <w:gridSpan w:val="2"/>
          </w:tcPr>
          <w:p w:rsidR="00C325B3" w:rsidRPr="00D0317D" w:rsidRDefault="00C325B3" w:rsidP="00C325B3">
            <w:pPr>
              <w:jc w:val="both"/>
              <w:rPr>
                <w:sz w:val="20"/>
                <w:lang w:val="fr-CA"/>
              </w:rPr>
            </w:pPr>
            <w:r w:rsidRPr="00D0317D">
              <w:rPr>
                <w:sz w:val="20"/>
                <w:lang w:val="fr-CA"/>
              </w:rPr>
              <w:t>5 février 2015</w:t>
            </w:r>
          </w:p>
          <w:p w:rsidR="00C325B3" w:rsidRPr="00D0317D" w:rsidRDefault="00C325B3" w:rsidP="00C325B3">
            <w:pPr>
              <w:jc w:val="both"/>
              <w:rPr>
                <w:sz w:val="20"/>
                <w:lang w:val="fr-CA"/>
              </w:rPr>
            </w:pPr>
            <w:r w:rsidRPr="00D0317D">
              <w:rPr>
                <w:sz w:val="20"/>
                <w:lang w:val="fr-CA"/>
              </w:rPr>
              <w:t>Cour d’appel de l’Alberta (Edmonton)</w:t>
            </w:r>
          </w:p>
          <w:p w:rsidR="00C325B3" w:rsidRPr="00D0317D" w:rsidRDefault="00C325B3" w:rsidP="00C325B3">
            <w:pPr>
              <w:jc w:val="both"/>
              <w:rPr>
                <w:sz w:val="20"/>
                <w:lang w:val="fr-CA"/>
              </w:rPr>
            </w:pPr>
            <w:r w:rsidRPr="00D0317D">
              <w:rPr>
                <w:sz w:val="20"/>
                <w:lang w:val="fr-CA"/>
              </w:rPr>
              <w:t>(Juge Rowbotham)</w:t>
            </w:r>
          </w:p>
          <w:p w:rsidR="00C325B3" w:rsidRPr="00D0317D" w:rsidRDefault="00C325B3" w:rsidP="00C325B3">
            <w:pPr>
              <w:jc w:val="both"/>
              <w:rPr>
                <w:sz w:val="20"/>
                <w:lang w:val="fr-CA"/>
              </w:rPr>
            </w:pPr>
            <w:r w:rsidRPr="00D0317D">
              <w:rPr>
                <w:sz w:val="20"/>
                <w:lang w:val="fr-CA"/>
              </w:rPr>
              <w:t>2016 ABCA 33</w:t>
            </w:r>
          </w:p>
          <w:p w:rsidR="00C325B3" w:rsidRPr="00D0317D" w:rsidRDefault="00C325B3" w:rsidP="00C325B3">
            <w:pPr>
              <w:jc w:val="both"/>
              <w:rPr>
                <w:sz w:val="20"/>
                <w:lang w:val="fr-CA"/>
              </w:rPr>
            </w:pPr>
          </w:p>
        </w:tc>
        <w:tc>
          <w:tcPr>
            <w:tcW w:w="243" w:type="pct"/>
          </w:tcPr>
          <w:p w:rsidR="00C325B3" w:rsidRPr="00D0317D" w:rsidRDefault="00C325B3" w:rsidP="00C325B3">
            <w:pPr>
              <w:jc w:val="both"/>
              <w:rPr>
                <w:sz w:val="20"/>
                <w:lang w:val="fr-CA"/>
              </w:rPr>
            </w:pPr>
          </w:p>
        </w:tc>
        <w:tc>
          <w:tcPr>
            <w:tcW w:w="2330" w:type="pct"/>
          </w:tcPr>
          <w:p w:rsidR="00C325B3" w:rsidRPr="00D0317D" w:rsidRDefault="00C325B3" w:rsidP="00C325B3">
            <w:pPr>
              <w:jc w:val="both"/>
              <w:rPr>
                <w:sz w:val="20"/>
                <w:lang w:val="fr-CA"/>
              </w:rPr>
            </w:pPr>
            <w:r w:rsidRPr="00D0317D">
              <w:rPr>
                <w:sz w:val="20"/>
                <w:lang w:val="fr-CA"/>
              </w:rPr>
              <w:t>Rejet de la requête en rétablissement de l’appel ou en prorogation du délai pour déposer</w:t>
            </w:r>
          </w:p>
          <w:p w:rsidR="00C325B3" w:rsidRPr="00D0317D" w:rsidRDefault="00C325B3" w:rsidP="00C325B3">
            <w:pPr>
              <w:jc w:val="both"/>
              <w:rPr>
                <w:sz w:val="20"/>
                <w:lang w:val="fr-CA"/>
              </w:rPr>
            </w:pPr>
          </w:p>
        </w:tc>
      </w:tr>
      <w:tr w:rsidR="00C325B3" w:rsidRPr="005165BD" w:rsidTr="00E95A6A">
        <w:tc>
          <w:tcPr>
            <w:tcW w:w="2427" w:type="pct"/>
            <w:gridSpan w:val="2"/>
          </w:tcPr>
          <w:p w:rsidR="00C325B3" w:rsidRPr="00D0317D" w:rsidRDefault="00C325B3" w:rsidP="00C325B3">
            <w:pPr>
              <w:jc w:val="both"/>
              <w:rPr>
                <w:sz w:val="20"/>
                <w:lang w:val="fr-CA"/>
              </w:rPr>
            </w:pPr>
            <w:r w:rsidRPr="00D0317D">
              <w:rPr>
                <w:sz w:val="20"/>
                <w:lang w:val="fr-CA"/>
              </w:rPr>
              <w:t>15 avril 2016</w:t>
            </w:r>
          </w:p>
          <w:p w:rsidR="00C325B3" w:rsidRPr="00D0317D" w:rsidRDefault="00C325B3" w:rsidP="00C325B3">
            <w:pPr>
              <w:jc w:val="both"/>
              <w:rPr>
                <w:sz w:val="20"/>
                <w:lang w:val="fr-CA"/>
              </w:rPr>
            </w:pPr>
            <w:r w:rsidRPr="00D0317D">
              <w:rPr>
                <w:sz w:val="20"/>
                <w:lang w:val="fr-CA"/>
              </w:rPr>
              <w:t>Cour d’appel de l’Alberta (Edmonton)</w:t>
            </w:r>
          </w:p>
          <w:p w:rsidR="00C325B3" w:rsidRPr="00D0317D" w:rsidRDefault="00C325B3" w:rsidP="00C325B3">
            <w:pPr>
              <w:jc w:val="both"/>
              <w:rPr>
                <w:sz w:val="20"/>
                <w:lang w:val="fr-CA"/>
              </w:rPr>
            </w:pPr>
            <w:r w:rsidRPr="00D0317D">
              <w:rPr>
                <w:sz w:val="20"/>
                <w:lang w:val="fr-CA"/>
              </w:rPr>
              <w:t>(Juge Rowbotham)</w:t>
            </w:r>
          </w:p>
          <w:p w:rsidR="00C325B3" w:rsidRPr="00D0317D" w:rsidRDefault="00C325B3" w:rsidP="00C325B3">
            <w:pPr>
              <w:jc w:val="both"/>
              <w:rPr>
                <w:sz w:val="20"/>
                <w:lang w:val="fr-CA"/>
              </w:rPr>
            </w:pPr>
            <w:r w:rsidRPr="00D0317D">
              <w:rPr>
                <w:sz w:val="20"/>
                <w:lang w:val="fr-CA"/>
              </w:rPr>
              <w:t>2016 ABCA 109</w:t>
            </w:r>
          </w:p>
          <w:p w:rsidR="00C325B3" w:rsidRPr="00D0317D" w:rsidRDefault="00C325B3" w:rsidP="00C325B3">
            <w:pPr>
              <w:jc w:val="both"/>
              <w:rPr>
                <w:sz w:val="20"/>
                <w:lang w:val="fr-CA"/>
              </w:rPr>
            </w:pPr>
          </w:p>
        </w:tc>
        <w:tc>
          <w:tcPr>
            <w:tcW w:w="243" w:type="pct"/>
          </w:tcPr>
          <w:p w:rsidR="00C325B3" w:rsidRPr="00D0317D" w:rsidRDefault="00C325B3" w:rsidP="00C325B3">
            <w:pPr>
              <w:jc w:val="both"/>
              <w:rPr>
                <w:sz w:val="20"/>
                <w:lang w:val="fr-CA"/>
              </w:rPr>
            </w:pPr>
          </w:p>
        </w:tc>
        <w:tc>
          <w:tcPr>
            <w:tcW w:w="2330" w:type="pct"/>
          </w:tcPr>
          <w:p w:rsidR="00C325B3" w:rsidRPr="00D0317D" w:rsidRDefault="00C325B3" w:rsidP="00C325B3">
            <w:pPr>
              <w:jc w:val="both"/>
              <w:rPr>
                <w:sz w:val="20"/>
                <w:lang w:val="fr-CA"/>
              </w:rPr>
            </w:pPr>
            <w:r w:rsidRPr="00D0317D">
              <w:rPr>
                <w:sz w:val="20"/>
                <w:lang w:val="fr-CA"/>
              </w:rPr>
              <w:t>Rejet de la requête en autorisation d’appel de la décision du 5 février 2016 à une formation de trois juges</w:t>
            </w:r>
          </w:p>
          <w:p w:rsidR="00C325B3" w:rsidRPr="00D0317D" w:rsidRDefault="00C325B3" w:rsidP="00C325B3">
            <w:pPr>
              <w:jc w:val="both"/>
              <w:rPr>
                <w:sz w:val="20"/>
                <w:lang w:val="fr-CA"/>
              </w:rPr>
            </w:pPr>
          </w:p>
        </w:tc>
      </w:tr>
      <w:tr w:rsidR="00C325B3" w:rsidRPr="005165BD" w:rsidTr="00E95A6A">
        <w:tc>
          <w:tcPr>
            <w:tcW w:w="2427" w:type="pct"/>
            <w:gridSpan w:val="2"/>
          </w:tcPr>
          <w:p w:rsidR="00C325B3" w:rsidRPr="00D0317D" w:rsidRDefault="00C325B3" w:rsidP="00C325B3">
            <w:pPr>
              <w:jc w:val="both"/>
              <w:rPr>
                <w:sz w:val="20"/>
                <w:lang w:val="fr-CA"/>
              </w:rPr>
            </w:pPr>
            <w:r w:rsidRPr="00D0317D">
              <w:rPr>
                <w:sz w:val="20"/>
                <w:lang w:val="fr-CA"/>
              </w:rPr>
              <w:t>14 juin 2016</w:t>
            </w:r>
          </w:p>
          <w:p w:rsidR="00C325B3" w:rsidRPr="00D0317D" w:rsidRDefault="00C325B3" w:rsidP="00C325B3">
            <w:pPr>
              <w:jc w:val="both"/>
              <w:rPr>
                <w:sz w:val="20"/>
                <w:lang w:val="fr-CA"/>
              </w:rPr>
            </w:pPr>
            <w:r w:rsidRPr="00D0317D">
              <w:rPr>
                <w:sz w:val="20"/>
                <w:lang w:val="fr-CA"/>
              </w:rPr>
              <w:t>Cour suprême du Canada</w:t>
            </w:r>
          </w:p>
        </w:tc>
        <w:tc>
          <w:tcPr>
            <w:tcW w:w="243" w:type="pct"/>
          </w:tcPr>
          <w:p w:rsidR="00C325B3" w:rsidRPr="00D0317D" w:rsidRDefault="00C325B3" w:rsidP="00C325B3">
            <w:pPr>
              <w:jc w:val="both"/>
              <w:rPr>
                <w:sz w:val="20"/>
                <w:lang w:val="fr-CA"/>
              </w:rPr>
            </w:pPr>
          </w:p>
        </w:tc>
        <w:tc>
          <w:tcPr>
            <w:tcW w:w="2330" w:type="pct"/>
          </w:tcPr>
          <w:p w:rsidR="00C325B3" w:rsidRPr="00D0317D" w:rsidRDefault="00C325B3" w:rsidP="00C325B3">
            <w:pPr>
              <w:jc w:val="both"/>
              <w:rPr>
                <w:sz w:val="20"/>
                <w:lang w:val="fr-CA"/>
              </w:rPr>
            </w:pPr>
            <w:r w:rsidRPr="00D0317D">
              <w:rPr>
                <w:sz w:val="20"/>
                <w:lang w:val="fr-CA"/>
              </w:rPr>
              <w:t>Dépôt de la demande d’autorisation d’appel</w:t>
            </w:r>
          </w:p>
        </w:tc>
      </w:tr>
    </w:tbl>
    <w:p w:rsidR="00C325B3" w:rsidRPr="00D0317D" w:rsidRDefault="00C325B3" w:rsidP="00C325B3">
      <w:pPr>
        <w:jc w:val="both"/>
        <w:rPr>
          <w:sz w:val="20"/>
          <w:lang w:val="fr-CA"/>
        </w:rPr>
      </w:pPr>
    </w:p>
    <w:p w:rsidR="00C05F8E" w:rsidRPr="00D0317D" w:rsidRDefault="00C05F8E" w:rsidP="00C05F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05F8E" w:rsidRPr="00D0317D" w:rsidTr="00E95A6A">
        <w:tc>
          <w:tcPr>
            <w:tcW w:w="543" w:type="pct"/>
          </w:tcPr>
          <w:p w:rsidR="00C05F8E" w:rsidRPr="00D0317D" w:rsidRDefault="00C05F8E" w:rsidP="00C05F8E">
            <w:pPr>
              <w:jc w:val="both"/>
              <w:rPr>
                <w:sz w:val="20"/>
              </w:rPr>
            </w:pPr>
            <w:r w:rsidRPr="00D0317D">
              <w:rPr>
                <w:rStyle w:val="SCCFileNumberChar"/>
                <w:sz w:val="20"/>
                <w:szCs w:val="20"/>
              </w:rPr>
              <w:t>36830</w:t>
            </w:r>
          </w:p>
        </w:tc>
        <w:tc>
          <w:tcPr>
            <w:tcW w:w="4457" w:type="pct"/>
            <w:gridSpan w:val="3"/>
          </w:tcPr>
          <w:p w:rsidR="00C05F8E" w:rsidRPr="000870AB" w:rsidRDefault="00C05F8E" w:rsidP="00C05F8E">
            <w:pPr>
              <w:pStyle w:val="SCCLsocParty"/>
              <w:jc w:val="both"/>
              <w:rPr>
                <w:b/>
                <w:sz w:val="20"/>
                <w:szCs w:val="20"/>
                <w:lang w:val="en-US"/>
              </w:rPr>
            </w:pPr>
            <w:r w:rsidRPr="000870AB">
              <w:rPr>
                <w:b/>
                <w:sz w:val="20"/>
                <w:szCs w:val="20"/>
                <w:lang w:val="en-US"/>
              </w:rPr>
              <w:t>Chicago Title Insurance Company of Canada v. Paul MacDonald, Stefanie MacDonald</w:t>
            </w:r>
          </w:p>
          <w:p w:rsidR="00C05F8E" w:rsidRPr="00D0317D" w:rsidRDefault="00C05F8E" w:rsidP="00C05F8E">
            <w:pPr>
              <w:jc w:val="both"/>
              <w:rPr>
                <w:sz w:val="20"/>
              </w:rPr>
            </w:pPr>
            <w:r w:rsidRPr="00D0317D">
              <w:rPr>
                <w:sz w:val="20"/>
              </w:rPr>
              <w:t>(Ont.) (Civil) (By Leave)</w:t>
            </w:r>
          </w:p>
        </w:tc>
      </w:tr>
      <w:tr w:rsidR="00C05F8E" w:rsidRPr="00D0317D" w:rsidTr="00E95A6A">
        <w:tc>
          <w:tcPr>
            <w:tcW w:w="5000" w:type="pct"/>
            <w:gridSpan w:val="4"/>
          </w:tcPr>
          <w:p w:rsidR="00C05F8E" w:rsidRPr="00D0317D" w:rsidRDefault="00C05F8E" w:rsidP="00C05F8E">
            <w:pPr>
              <w:jc w:val="both"/>
              <w:rPr>
                <w:sz w:val="20"/>
              </w:rPr>
            </w:pPr>
            <w:r w:rsidRPr="00D0317D">
              <w:rPr>
                <w:sz w:val="20"/>
              </w:rPr>
              <w:t>Contracts – Commercial contracts – Interpretation – Insurance – Title insurance – Insurer denying coverage for costs of repairs to rectify latent defect in home caused by previous owner – Should title insurance policies be interpreted to cover construction defects that do not affect title but may affect the value of land? – What is the appropriate standard of review when interpreting a title insurance contract? – How should interpretive principles which this Court has developed be applied? – Is it a three stage, two stage or one stage inquiry? – Can courts pick and choose which interpretive principles to apply or must they consider all of the interpretive principles when interpreting an insurance contract?</w:t>
            </w:r>
          </w:p>
        </w:tc>
      </w:tr>
      <w:tr w:rsidR="00C05F8E" w:rsidRPr="00D0317D" w:rsidTr="00E95A6A">
        <w:tc>
          <w:tcPr>
            <w:tcW w:w="5000" w:type="pct"/>
            <w:gridSpan w:val="4"/>
          </w:tcPr>
          <w:p w:rsidR="00C05F8E" w:rsidRPr="00D0317D" w:rsidRDefault="00C05F8E" w:rsidP="00C05F8E">
            <w:pPr>
              <w:jc w:val="both"/>
              <w:rPr>
                <w:sz w:val="20"/>
              </w:rPr>
            </w:pPr>
          </w:p>
        </w:tc>
      </w:tr>
      <w:tr w:rsidR="00C05F8E" w:rsidRPr="00D0317D" w:rsidTr="00E95A6A">
        <w:tc>
          <w:tcPr>
            <w:tcW w:w="5000" w:type="pct"/>
            <w:gridSpan w:val="4"/>
          </w:tcPr>
          <w:p w:rsidR="00C05F8E" w:rsidRPr="00D0317D" w:rsidRDefault="00C05F8E" w:rsidP="00C05F8E">
            <w:pPr>
              <w:jc w:val="both"/>
              <w:rPr>
                <w:sz w:val="20"/>
              </w:rPr>
            </w:pPr>
            <w:r w:rsidRPr="00D0317D">
              <w:rPr>
                <w:sz w:val="20"/>
              </w:rPr>
              <w:t xml:space="preserve">In 2006, the </w:t>
            </w:r>
            <w:proofErr w:type="spellStart"/>
            <w:r w:rsidRPr="00D0317D">
              <w:rPr>
                <w:sz w:val="20"/>
              </w:rPr>
              <w:t>MacDonalds</w:t>
            </w:r>
            <w:proofErr w:type="spellEnd"/>
            <w:r w:rsidRPr="00D0317D">
              <w:rPr>
                <w:sz w:val="20"/>
              </w:rPr>
              <w:t xml:space="preserve"> purchased a multi-story home in Toronto and as part of the purchase, also acquired a title insurance policy from Chicago Title Insurance Company of Canada (“Chicago”). In 2013, the </w:t>
            </w:r>
            <w:proofErr w:type="spellStart"/>
            <w:r w:rsidRPr="00D0317D">
              <w:rPr>
                <w:sz w:val="20"/>
              </w:rPr>
              <w:t>MacDonalds</w:t>
            </w:r>
            <w:proofErr w:type="spellEnd"/>
            <w:r w:rsidRPr="00D0317D">
              <w:rPr>
                <w:sz w:val="20"/>
              </w:rPr>
              <w:t xml:space="preserve"> discovered that load-bearing walls in the house had been removed during a renovation carried out by the previous owner without a building permit. As a result, the second floor was unsafe and the City of Toronto issued a work order to remedy the problem. The </w:t>
            </w:r>
            <w:proofErr w:type="spellStart"/>
            <w:r w:rsidRPr="00D0317D">
              <w:rPr>
                <w:sz w:val="20"/>
              </w:rPr>
              <w:t>MacDonalds</w:t>
            </w:r>
            <w:proofErr w:type="spellEnd"/>
            <w:r w:rsidRPr="00D0317D">
              <w:rPr>
                <w:sz w:val="20"/>
              </w:rPr>
              <w:t xml:space="preserve"> undertook the required temporary work to support the floor then made a claim under the title policy for the costs of the repairs and for the permanent repairs required to make their home structurally sound. Chicago denied the claim based lack of coverage and because the claim was excluded under the terms of that policy. The </w:t>
            </w:r>
            <w:proofErr w:type="spellStart"/>
            <w:r w:rsidRPr="00D0317D">
              <w:rPr>
                <w:sz w:val="20"/>
              </w:rPr>
              <w:t>MacDonalds</w:t>
            </w:r>
            <w:proofErr w:type="spellEnd"/>
            <w:r w:rsidRPr="00D0317D">
              <w:rPr>
                <w:sz w:val="20"/>
              </w:rPr>
              <w:t xml:space="preserve"> brought an action seeking, </w:t>
            </w:r>
            <w:r w:rsidRPr="00D0317D">
              <w:rPr>
                <w:i/>
                <w:sz w:val="20"/>
              </w:rPr>
              <w:t>inter alia</w:t>
            </w:r>
            <w:r w:rsidRPr="00D0317D">
              <w:rPr>
                <w:sz w:val="20"/>
              </w:rPr>
              <w:t>, declarations of coverage and indemnification and brought a motion for summary judgment.</w:t>
            </w:r>
          </w:p>
          <w:p w:rsidR="00C05F8E" w:rsidRPr="00D0317D" w:rsidRDefault="00C05F8E" w:rsidP="00C05F8E">
            <w:pPr>
              <w:jc w:val="both"/>
              <w:rPr>
                <w:sz w:val="20"/>
              </w:rPr>
            </w:pPr>
          </w:p>
        </w:tc>
      </w:tr>
      <w:tr w:rsidR="00C05F8E" w:rsidRPr="00D0317D" w:rsidTr="00E95A6A">
        <w:tc>
          <w:tcPr>
            <w:tcW w:w="2427" w:type="pct"/>
            <w:gridSpan w:val="2"/>
          </w:tcPr>
          <w:p w:rsidR="00C05F8E" w:rsidRPr="00D0317D" w:rsidRDefault="00C05F8E" w:rsidP="00C05F8E">
            <w:pPr>
              <w:jc w:val="both"/>
              <w:rPr>
                <w:sz w:val="20"/>
              </w:rPr>
            </w:pPr>
            <w:r w:rsidRPr="00D0317D">
              <w:rPr>
                <w:sz w:val="20"/>
              </w:rPr>
              <w:t>December 29, 2014</w:t>
            </w:r>
          </w:p>
          <w:p w:rsidR="00C05F8E" w:rsidRPr="00D0317D" w:rsidRDefault="00C05F8E" w:rsidP="00C05F8E">
            <w:pPr>
              <w:jc w:val="both"/>
              <w:rPr>
                <w:sz w:val="20"/>
              </w:rPr>
            </w:pPr>
            <w:r w:rsidRPr="00D0317D">
              <w:rPr>
                <w:sz w:val="20"/>
              </w:rPr>
              <w:t>Ontario Superior Court of Justice</w:t>
            </w:r>
          </w:p>
          <w:p w:rsidR="00C05F8E" w:rsidRPr="00D0317D" w:rsidRDefault="00C05F8E" w:rsidP="00C05F8E">
            <w:pPr>
              <w:jc w:val="both"/>
              <w:rPr>
                <w:sz w:val="20"/>
              </w:rPr>
            </w:pPr>
            <w:r w:rsidRPr="00D0317D">
              <w:rPr>
                <w:sz w:val="20"/>
              </w:rPr>
              <w:t>(Macdonald J.)</w:t>
            </w:r>
          </w:p>
          <w:p w:rsidR="00C05F8E" w:rsidRPr="00D0317D" w:rsidRDefault="00985225" w:rsidP="00C05F8E">
            <w:pPr>
              <w:jc w:val="both"/>
              <w:rPr>
                <w:sz w:val="20"/>
              </w:rPr>
            </w:pPr>
            <w:hyperlink r:id="rId39" w:history="1">
              <w:r w:rsidR="00C05F8E" w:rsidRPr="00D0317D">
                <w:rPr>
                  <w:rStyle w:val="Hyperlink"/>
                  <w:sz w:val="20"/>
                </w:rPr>
                <w:t>2014 ONSC 7457</w:t>
              </w:r>
            </w:hyperlink>
          </w:p>
          <w:p w:rsidR="00C05F8E" w:rsidRPr="00D0317D" w:rsidRDefault="00C05F8E" w:rsidP="00C05F8E">
            <w:pPr>
              <w:jc w:val="both"/>
              <w:rPr>
                <w:sz w:val="20"/>
              </w:rPr>
            </w:pPr>
          </w:p>
        </w:tc>
        <w:tc>
          <w:tcPr>
            <w:tcW w:w="243" w:type="pct"/>
          </w:tcPr>
          <w:p w:rsidR="00C05F8E" w:rsidRPr="00D0317D" w:rsidRDefault="00C05F8E" w:rsidP="00C05F8E">
            <w:pPr>
              <w:jc w:val="both"/>
              <w:rPr>
                <w:sz w:val="20"/>
              </w:rPr>
            </w:pPr>
          </w:p>
        </w:tc>
        <w:tc>
          <w:tcPr>
            <w:tcW w:w="2330" w:type="pct"/>
          </w:tcPr>
          <w:p w:rsidR="00C05F8E" w:rsidRPr="00D0317D" w:rsidRDefault="00C05F8E" w:rsidP="00C05F8E">
            <w:pPr>
              <w:jc w:val="both"/>
              <w:rPr>
                <w:sz w:val="20"/>
              </w:rPr>
            </w:pPr>
            <w:r w:rsidRPr="00D0317D">
              <w:rPr>
                <w:sz w:val="20"/>
              </w:rPr>
              <w:t>Summary judgment dismissing respondents’ action against title insurer</w:t>
            </w:r>
          </w:p>
          <w:p w:rsidR="00C05F8E" w:rsidRPr="00D0317D" w:rsidRDefault="00C05F8E" w:rsidP="00C05F8E">
            <w:pPr>
              <w:jc w:val="both"/>
              <w:rPr>
                <w:sz w:val="20"/>
              </w:rPr>
            </w:pPr>
          </w:p>
          <w:p w:rsidR="00C05F8E" w:rsidRPr="00D0317D" w:rsidRDefault="00C05F8E" w:rsidP="00C05F8E">
            <w:pPr>
              <w:jc w:val="both"/>
              <w:rPr>
                <w:sz w:val="20"/>
              </w:rPr>
            </w:pPr>
          </w:p>
        </w:tc>
      </w:tr>
      <w:tr w:rsidR="00C05F8E" w:rsidRPr="00D0317D" w:rsidTr="00E95A6A">
        <w:tc>
          <w:tcPr>
            <w:tcW w:w="2427" w:type="pct"/>
            <w:gridSpan w:val="2"/>
          </w:tcPr>
          <w:p w:rsidR="00C05F8E" w:rsidRPr="00D0317D" w:rsidRDefault="00C05F8E" w:rsidP="00C05F8E">
            <w:pPr>
              <w:jc w:val="both"/>
              <w:rPr>
                <w:sz w:val="20"/>
              </w:rPr>
            </w:pPr>
            <w:r w:rsidRPr="00D0317D">
              <w:rPr>
                <w:sz w:val="20"/>
              </w:rPr>
              <w:t>December 3, 2015</w:t>
            </w:r>
          </w:p>
          <w:p w:rsidR="00C05F8E" w:rsidRPr="00D0317D" w:rsidRDefault="00C05F8E" w:rsidP="00C05F8E">
            <w:pPr>
              <w:jc w:val="both"/>
              <w:rPr>
                <w:sz w:val="20"/>
              </w:rPr>
            </w:pPr>
            <w:r w:rsidRPr="00D0317D">
              <w:rPr>
                <w:sz w:val="20"/>
              </w:rPr>
              <w:t>Court of Appeal for Ontario</w:t>
            </w:r>
          </w:p>
          <w:p w:rsidR="00C05F8E" w:rsidRPr="00D0317D" w:rsidRDefault="00C05F8E" w:rsidP="00C05F8E">
            <w:pPr>
              <w:jc w:val="both"/>
              <w:rPr>
                <w:sz w:val="20"/>
              </w:rPr>
            </w:pPr>
            <w:r w:rsidRPr="00D0317D">
              <w:rPr>
                <w:sz w:val="20"/>
              </w:rPr>
              <w:t xml:space="preserve">(Cronk, Hourigan and </w:t>
            </w:r>
            <w:proofErr w:type="spellStart"/>
            <w:r w:rsidRPr="00D0317D">
              <w:rPr>
                <w:sz w:val="20"/>
              </w:rPr>
              <w:t>Benotto</w:t>
            </w:r>
            <w:proofErr w:type="spellEnd"/>
            <w:r w:rsidRPr="00D0317D">
              <w:rPr>
                <w:sz w:val="20"/>
              </w:rPr>
              <w:t xml:space="preserve"> JJ.A.)</w:t>
            </w:r>
          </w:p>
          <w:p w:rsidR="00C05F8E" w:rsidRPr="00D0317D" w:rsidRDefault="00985225" w:rsidP="00C05F8E">
            <w:pPr>
              <w:jc w:val="both"/>
              <w:rPr>
                <w:sz w:val="20"/>
              </w:rPr>
            </w:pPr>
            <w:hyperlink r:id="rId40" w:history="1">
              <w:r w:rsidR="00C05F8E" w:rsidRPr="00D0317D">
                <w:rPr>
                  <w:rStyle w:val="Hyperlink"/>
                  <w:sz w:val="20"/>
                </w:rPr>
                <w:t>2015 ONCA 842</w:t>
              </w:r>
            </w:hyperlink>
          </w:p>
          <w:p w:rsidR="00C05F8E" w:rsidRPr="00D0317D" w:rsidRDefault="00C05F8E" w:rsidP="00C05F8E">
            <w:pPr>
              <w:jc w:val="both"/>
              <w:rPr>
                <w:sz w:val="20"/>
              </w:rPr>
            </w:pPr>
          </w:p>
        </w:tc>
        <w:tc>
          <w:tcPr>
            <w:tcW w:w="243" w:type="pct"/>
          </w:tcPr>
          <w:p w:rsidR="00C05F8E" w:rsidRPr="00D0317D" w:rsidRDefault="00C05F8E" w:rsidP="00C05F8E">
            <w:pPr>
              <w:jc w:val="both"/>
              <w:rPr>
                <w:sz w:val="20"/>
              </w:rPr>
            </w:pPr>
          </w:p>
        </w:tc>
        <w:tc>
          <w:tcPr>
            <w:tcW w:w="2330" w:type="pct"/>
          </w:tcPr>
          <w:p w:rsidR="00C05F8E" w:rsidRPr="00D0317D" w:rsidRDefault="00C05F8E" w:rsidP="00C05F8E">
            <w:pPr>
              <w:jc w:val="both"/>
              <w:rPr>
                <w:sz w:val="20"/>
              </w:rPr>
            </w:pPr>
            <w:r w:rsidRPr="00D0317D">
              <w:rPr>
                <w:sz w:val="20"/>
              </w:rPr>
              <w:t>Respondents’ appeal allowed</w:t>
            </w:r>
          </w:p>
          <w:p w:rsidR="00C05F8E" w:rsidRPr="00D0317D" w:rsidRDefault="00C05F8E" w:rsidP="00C05F8E">
            <w:pPr>
              <w:jc w:val="both"/>
              <w:rPr>
                <w:sz w:val="20"/>
              </w:rPr>
            </w:pPr>
          </w:p>
        </w:tc>
      </w:tr>
      <w:tr w:rsidR="00C05F8E" w:rsidRPr="00D0317D" w:rsidTr="00E95A6A">
        <w:tc>
          <w:tcPr>
            <w:tcW w:w="2427" w:type="pct"/>
            <w:gridSpan w:val="2"/>
          </w:tcPr>
          <w:p w:rsidR="00C05F8E" w:rsidRPr="00D0317D" w:rsidRDefault="00C05F8E" w:rsidP="00C05F8E">
            <w:pPr>
              <w:jc w:val="both"/>
              <w:rPr>
                <w:sz w:val="20"/>
              </w:rPr>
            </w:pPr>
            <w:r w:rsidRPr="00D0317D">
              <w:rPr>
                <w:sz w:val="20"/>
              </w:rPr>
              <w:t>February 1, 2016</w:t>
            </w:r>
          </w:p>
          <w:p w:rsidR="00C05F8E" w:rsidRPr="00D0317D" w:rsidRDefault="00C05F8E" w:rsidP="00C05F8E">
            <w:pPr>
              <w:jc w:val="both"/>
              <w:rPr>
                <w:sz w:val="20"/>
              </w:rPr>
            </w:pPr>
            <w:r w:rsidRPr="00D0317D">
              <w:rPr>
                <w:sz w:val="20"/>
              </w:rPr>
              <w:t>Supreme Court of Canada</w:t>
            </w:r>
          </w:p>
        </w:tc>
        <w:tc>
          <w:tcPr>
            <w:tcW w:w="243" w:type="pct"/>
          </w:tcPr>
          <w:p w:rsidR="00C05F8E" w:rsidRPr="00D0317D" w:rsidRDefault="00C05F8E" w:rsidP="00C05F8E">
            <w:pPr>
              <w:jc w:val="both"/>
              <w:rPr>
                <w:sz w:val="20"/>
              </w:rPr>
            </w:pPr>
          </w:p>
        </w:tc>
        <w:tc>
          <w:tcPr>
            <w:tcW w:w="2330" w:type="pct"/>
          </w:tcPr>
          <w:p w:rsidR="00C05F8E" w:rsidRPr="00D0317D" w:rsidRDefault="00C05F8E" w:rsidP="00C05F8E">
            <w:pPr>
              <w:jc w:val="both"/>
              <w:rPr>
                <w:sz w:val="20"/>
              </w:rPr>
            </w:pPr>
            <w:r w:rsidRPr="00D0317D">
              <w:rPr>
                <w:sz w:val="20"/>
              </w:rPr>
              <w:t>Application for leave to appeal filed</w:t>
            </w:r>
          </w:p>
          <w:p w:rsidR="00C05F8E" w:rsidRPr="00D0317D" w:rsidRDefault="00C05F8E" w:rsidP="00C05F8E">
            <w:pPr>
              <w:jc w:val="both"/>
              <w:rPr>
                <w:sz w:val="20"/>
              </w:rPr>
            </w:pPr>
          </w:p>
        </w:tc>
      </w:tr>
    </w:tbl>
    <w:p w:rsidR="00C05F8E" w:rsidRPr="00D0317D" w:rsidRDefault="00C05F8E" w:rsidP="00C05F8E">
      <w:pPr>
        <w:jc w:val="both"/>
        <w:rPr>
          <w:sz w:val="20"/>
        </w:rPr>
      </w:pPr>
    </w:p>
    <w:p w:rsidR="00C05F8E" w:rsidRPr="00D0317D" w:rsidRDefault="00C05F8E" w:rsidP="00C05F8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05F8E" w:rsidRPr="005165BD" w:rsidTr="002E434D">
        <w:trPr>
          <w:gridAfter w:val="1"/>
          <w:wAfter w:w="48" w:type="pct"/>
        </w:trPr>
        <w:tc>
          <w:tcPr>
            <w:tcW w:w="538" w:type="pct"/>
          </w:tcPr>
          <w:p w:rsidR="00C05F8E" w:rsidRPr="00D0317D" w:rsidRDefault="00C05F8E" w:rsidP="00C05F8E">
            <w:pPr>
              <w:jc w:val="both"/>
              <w:rPr>
                <w:sz w:val="20"/>
                <w:lang w:val="fr-CA"/>
              </w:rPr>
            </w:pPr>
            <w:r w:rsidRPr="00D0317D">
              <w:rPr>
                <w:rStyle w:val="SCCFileNumberChar"/>
                <w:sz w:val="20"/>
                <w:szCs w:val="20"/>
                <w:lang w:val="fr-CA"/>
              </w:rPr>
              <w:t>36830</w:t>
            </w:r>
          </w:p>
        </w:tc>
        <w:tc>
          <w:tcPr>
            <w:tcW w:w="4414" w:type="pct"/>
            <w:gridSpan w:val="3"/>
          </w:tcPr>
          <w:p w:rsidR="00C05F8E" w:rsidRPr="00D0317D" w:rsidRDefault="00C05F8E" w:rsidP="00C05F8E">
            <w:pPr>
              <w:pStyle w:val="SCCLsocParty"/>
              <w:jc w:val="both"/>
              <w:rPr>
                <w:b/>
                <w:sz w:val="20"/>
                <w:szCs w:val="20"/>
              </w:rPr>
            </w:pPr>
            <w:r w:rsidRPr="00D0317D">
              <w:rPr>
                <w:b/>
                <w:sz w:val="20"/>
                <w:szCs w:val="20"/>
              </w:rPr>
              <w:t xml:space="preserve">Compagnie d’assurance titres Chicago Canada c. Paul </w:t>
            </w:r>
            <w:proofErr w:type="spellStart"/>
            <w:r w:rsidRPr="00D0317D">
              <w:rPr>
                <w:b/>
                <w:sz w:val="20"/>
                <w:szCs w:val="20"/>
              </w:rPr>
              <w:t>MacDonald</w:t>
            </w:r>
            <w:proofErr w:type="spellEnd"/>
            <w:r w:rsidRPr="00D0317D">
              <w:rPr>
                <w:b/>
                <w:sz w:val="20"/>
                <w:szCs w:val="20"/>
              </w:rPr>
              <w:t xml:space="preserve">, Stefanie </w:t>
            </w:r>
            <w:proofErr w:type="spellStart"/>
            <w:r w:rsidRPr="00D0317D">
              <w:rPr>
                <w:b/>
                <w:sz w:val="20"/>
                <w:szCs w:val="20"/>
              </w:rPr>
              <w:t>MacDonald</w:t>
            </w:r>
            <w:proofErr w:type="spellEnd"/>
          </w:p>
          <w:p w:rsidR="00C05F8E" w:rsidRPr="00D0317D" w:rsidRDefault="00C05F8E" w:rsidP="00C05F8E">
            <w:pPr>
              <w:jc w:val="both"/>
              <w:rPr>
                <w:sz w:val="20"/>
                <w:lang w:val="fr-CA"/>
              </w:rPr>
            </w:pPr>
            <w:r w:rsidRPr="00D0317D">
              <w:rPr>
                <w:sz w:val="20"/>
                <w:lang w:val="fr-CA"/>
              </w:rPr>
              <w:t>(Ont.) (Civile) (Sur autorisation)</w:t>
            </w:r>
          </w:p>
        </w:tc>
      </w:tr>
      <w:tr w:rsidR="00C05F8E" w:rsidRPr="005165BD" w:rsidTr="002E434D">
        <w:trPr>
          <w:gridAfter w:val="1"/>
          <w:wAfter w:w="48" w:type="pct"/>
        </w:trPr>
        <w:tc>
          <w:tcPr>
            <w:tcW w:w="4952" w:type="pct"/>
            <w:gridSpan w:val="4"/>
          </w:tcPr>
          <w:p w:rsidR="00C05F8E" w:rsidRPr="00D0317D" w:rsidRDefault="00C05F8E" w:rsidP="00C05F8E">
            <w:pPr>
              <w:jc w:val="both"/>
              <w:rPr>
                <w:sz w:val="20"/>
                <w:lang w:val="fr-CA"/>
              </w:rPr>
            </w:pPr>
            <w:r w:rsidRPr="00D0317D">
              <w:rPr>
                <w:sz w:val="20"/>
                <w:lang w:val="fr-CA"/>
              </w:rPr>
              <w:t>Contrats – Contrats commerciaux – Interprétation – Assurance – Assurance de titre – Refus de l’assureur d’indemniser les assurés des frais de réparation d’un vice caché imputable au propriétaire précédent – Faut-il interpréter une police d’assurance de titre de manière à conclure qu’elle garantit contre le défaut de construction qui ne touche pas le titre, mais qui peut toucher la valeur de la propriété? – Quelle est la bonne norme de contrôle lorsqu’il s’agit d’interpréter un contrat d’assurance de titre? – Comment convient-il d’appliquer les principes d’interprétation établis par la Cour? – La démarche qui s’impose comporte-elle trois étapes, deux ou une seule? – Le tribunal peut-il retenir les principes d’interprétation de son choix ou doit-il les appliquer tous au moment d’interpréter un contrat d’assurance?</w:t>
            </w:r>
          </w:p>
          <w:p w:rsidR="00C05F8E" w:rsidRPr="00D0317D" w:rsidRDefault="00C05F8E" w:rsidP="00C05F8E">
            <w:pPr>
              <w:pStyle w:val="SCCBanSummary"/>
              <w:rPr>
                <w:sz w:val="20"/>
                <w:szCs w:val="20"/>
                <w:lang w:val="fr-CA"/>
              </w:rPr>
            </w:pPr>
          </w:p>
          <w:p w:rsidR="00C05F8E" w:rsidRPr="00D0317D" w:rsidRDefault="00C05F8E" w:rsidP="00C05F8E">
            <w:pPr>
              <w:jc w:val="both"/>
              <w:rPr>
                <w:sz w:val="20"/>
                <w:lang w:val="fr-CA"/>
              </w:rPr>
            </w:pPr>
            <w:r w:rsidRPr="00D0317D">
              <w:rPr>
                <w:sz w:val="20"/>
                <w:lang w:val="fr-CA"/>
              </w:rPr>
              <w:t xml:space="preserve">En 2006, les </w:t>
            </w:r>
            <w:proofErr w:type="spellStart"/>
            <w:r w:rsidRPr="00D0317D">
              <w:rPr>
                <w:sz w:val="20"/>
                <w:lang w:val="fr-CA"/>
              </w:rPr>
              <w:t>MacDonald</w:t>
            </w:r>
            <w:proofErr w:type="spellEnd"/>
            <w:r w:rsidRPr="00D0317D">
              <w:rPr>
                <w:sz w:val="20"/>
                <w:lang w:val="fr-CA"/>
              </w:rPr>
              <w:t xml:space="preserve"> ont fait l’acquisition d’une maison à étages à Toronto. Par la même occasion, ils ont contracté une assurance de titre auprès de la Compagnie d’assurance titres Chicago Canada (« Chicago »). En 2013, ils ont découvert que des murs porteurs de la maison avaient été supprimés lors de travaux de rénovation effectués sans permis de construction par le propriétaire précédent. Le plancher du deuxième étage n’était pas sécuritaire, et la ville de Toronto a donc ordonné des travaux pour corriger la situation. Les </w:t>
            </w:r>
            <w:proofErr w:type="spellStart"/>
            <w:r w:rsidRPr="00D0317D">
              <w:rPr>
                <w:sz w:val="20"/>
                <w:lang w:val="fr-CA"/>
              </w:rPr>
              <w:t>MacDonald</w:t>
            </w:r>
            <w:proofErr w:type="spellEnd"/>
            <w:r w:rsidRPr="00D0317D">
              <w:rPr>
                <w:sz w:val="20"/>
                <w:lang w:val="fr-CA"/>
              </w:rPr>
              <w:t xml:space="preserve"> ont effectué les travaux requis à titre temporaire pour consolider le plancher. Ils ont ensuite demandé, en invoquant leur assurance de titre, une </w:t>
            </w:r>
            <w:r w:rsidRPr="00D0317D">
              <w:rPr>
                <w:sz w:val="20"/>
                <w:lang w:val="fr-CA"/>
              </w:rPr>
              <w:lastRenderedPageBreak/>
              <w:t xml:space="preserve">indemnité pour ces réparations et celles, permanentes, qui s’imposaient pour rendre la charpente de leur maison solide. Chicago a refusé de verser une indemnité au motif qu’il n’y avait pas de garantie à ce chapitre et parce que le contrat d’assurance excluait la réclamation. Les </w:t>
            </w:r>
            <w:proofErr w:type="spellStart"/>
            <w:r w:rsidRPr="00D0317D">
              <w:rPr>
                <w:sz w:val="20"/>
                <w:lang w:val="fr-CA"/>
              </w:rPr>
              <w:t>MacDonald</w:t>
            </w:r>
            <w:proofErr w:type="spellEnd"/>
            <w:r w:rsidRPr="00D0317D">
              <w:rPr>
                <w:sz w:val="20"/>
                <w:lang w:val="fr-CA"/>
              </w:rPr>
              <w:t xml:space="preserve"> ont intenté une action dans laquelle ils ont demandé entre autres au tribunal de déclarer qu’une garantie existait et qu’ils avaient droit à l’indemnisation, et ils ont présenté une motion pour jugement sommaire.</w:t>
            </w:r>
          </w:p>
        </w:tc>
      </w:tr>
      <w:tr w:rsidR="00C05F8E" w:rsidRPr="005165BD" w:rsidTr="002E434D">
        <w:trPr>
          <w:gridAfter w:val="1"/>
          <w:wAfter w:w="48" w:type="pct"/>
        </w:trPr>
        <w:tc>
          <w:tcPr>
            <w:tcW w:w="4952" w:type="pct"/>
            <w:gridSpan w:val="4"/>
          </w:tcPr>
          <w:p w:rsidR="00C05F8E" w:rsidRPr="00D0317D" w:rsidRDefault="00C05F8E" w:rsidP="00C05F8E">
            <w:pPr>
              <w:jc w:val="both"/>
              <w:rPr>
                <w:sz w:val="20"/>
                <w:lang w:val="fr-CA"/>
              </w:rPr>
            </w:pPr>
          </w:p>
        </w:tc>
      </w:tr>
      <w:tr w:rsidR="00C05F8E" w:rsidRPr="005165BD" w:rsidTr="002E434D">
        <w:tblPrEx>
          <w:tblCellMar>
            <w:bottom w:w="0" w:type="dxa"/>
          </w:tblCellMar>
        </w:tblPrEx>
        <w:tc>
          <w:tcPr>
            <w:tcW w:w="2367" w:type="pct"/>
            <w:gridSpan w:val="2"/>
          </w:tcPr>
          <w:p w:rsidR="00C05F8E" w:rsidRPr="00D0317D" w:rsidRDefault="00C05F8E" w:rsidP="00C05F8E">
            <w:pPr>
              <w:jc w:val="both"/>
              <w:rPr>
                <w:sz w:val="20"/>
                <w:lang w:val="fr-CA"/>
              </w:rPr>
            </w:pPr>
            <w:r w:rsidRPr="00D0317D">
              <w:rPr>
                <w:sz w:val="20"/>
                <w:lang w:val="fr-CA"/>
              </w:rPr>
              <w:t>29 décembre 2014</w:t>
            </w:r>
          </w:p>
          <w:p w:rsidR="00C05F8E" w:rsidRPr="00D0317D" w:rsidRDefault="00C05F8E" w:rsidP="00C05F8E">
            <w:pPr>
              <w:jc w:val="both"/>
              <w:rPr>
                <w:sz w:val="20"/>
                <w:lang w:val="fr-CA"/>
              </w:rPr>
            </w:pPr>
            <w:r w:rsidRPr="00D0317D">
              <w:rPr>
                <w:sz w:val="20"/>
                <w:lang w:val="fr-CA"/>
              </w:rPr>
              <w:t>Cour supérieure de justice de l’Ontario</w:t>
            </w:r>
          </w:p>
          <w:p w:rsidR="00C05F8E" w:rsidRPr="00D0317D" w:rsidRDefault="00C05F8E" w:rsidP="00C05F8E">
            <w:pPr>
              <w:jc w:val="both"/>
              <w:rPr>
                <w:sz w:val="20"/>
                <w:lang w:val="fr-CA"/>
              </w:rPr>
            </w:pPr>
            <w:r w:rsidRPr="00D0317D">
              <w:rPr>
                <w:sz w:val="20"/>
                <w:lang w:val="fr-CA"/>
              </w:rPr>
              <w:t>(Juge Macdonald)</w:t>
            </w:r>
          </w:p>
          <w:p w:rsidR="00C05F8E" w:rsidRPr="00D0317D" w:rsidRDefault="00985225" w:rsidP="00C05F8E">
            <w:pPr>
              <w:jc w:val="both"/>
              <w:rPr>
                <w:sz w:val="20"/>
              </w:rPr>
            </w:pPr>
            <w:hyperlink r:id="rId41" w:history="1">
              <w:r w:rsidR="00C05F8E" w:rsidRPr="00D0317D">
                <w:rPr>
                  <w:rStyle w:val="Hyperlink"/>
                  <w:sz w:val="20"/>
                </w:rPr>
                <w:t>2014 ONSC 7457</w:t>
              </w:r>
            </w:hyperlink>
          </w:p>
          <w:p w:rsidR="00C05F8E" w:rsidRPr="00D0317D" w:rsidRDefault="00C05F8E" w:rsidP="00C05F8E">
            <w:pPr>
              <w:jc w:val="both"/>
              <w:rPr>
                <w:sz w:val="20"/>
                <w:lang w:val="fr-CA"/>
              </w:rPr>
            </w:pPr>
          </w:p>
        </w:tc>
        <w:tc>
          <w:tcPr>
            <w:tcW w:w="267" w:type="pct"/>
          </w:tcPr>
          <w:p w:rsidR="00C05F8E" w:rsidRPr="00D0317D" w:rsidRDefault="00C05F8E" w:rsidP="00C05F8E">
            <w:pPr>
              <w:jc w:val="both"/>
              <w:rPr>
                <w:sz w:val="20"/>
                <w:lang w:val="fr-CA"/>
              </w:rPr>
            </w:pPr>
          </w:p>
        </w:tc>
        <w:tc>
          <w:tcPr>
            <w:tcW w:w="2366" w:type="pct"/>
            <w:gridSpan w:val="2"/>
          </w:tcPr>
          <w:p w:rsidR="00C05F8E" w:rsidRPr="00D0317D" w:rsidRDefault="00C05F8E" w:rsidP="00C05F8E">
            <w:pPr>
              <w:jc w:val="both"/>
              <w:rPr>
                <w:sz w:val="20"/>
                <w:lang w:val="fr-CA"/>
              </w:rPr>
            </w:pPr>
            <w:r w:rsidRPr="00D0317D">
              <w:rPr>
                <w:sz w:val="20"/>
                <w:lang w:val="fr-CA"/>
              </w:rPr>
              <w:t>Rejet sur jugement sommaire de l’action des intimés contre l’assureur de titre</w:t>
            </w:r>
          </w:p>
        </w:tc>
      </w:tr>
      <w:tr w:rsidR="00C05F8E" w:rsidRPr="005165BD" w:rsidTr="002E434D">
        <w:tblPrEx>
          <w:tblCellMar>
            <w:bottom w:w="0" w:type="dxa"/>
          </w:tblCellMar>
        </w:tblPrEx>
        <w:tc>
          <w:tcPr>
            <w:tcW w:w="2367" w:type="pct"/>
            <w:gridSpan w:val="2"/>
          </w:tcPr>
          <w:p w:rsidR="00C05F8E" w:rsidRPr="00D0317D" w:rsidRDefault="00C05F8E" w:rsidP="00C05F8E">
            <w:pPr>
              <w:jc w:val="both"/>
              <w:rPr>
                <w:sz w:val="20"/>
                <w:lang w:val="fr-CA"/>
              </w:rPr>
            </w:pPr>
            <w:r w:rsidRPr="00D0317D">
              <w:rPr>
                <w:sz w:val="20"/>
                <w:lang w:val="fr-CA"/>
              </w:rPr>
              <w:t>3 décembre 2015</w:t>
            </w:r>
          </w:p>
          <w:p w:rsidR="00C05F8E" w:rsidRPr="00D0317D" w:rsidRDefault="00C05F8E" w:rsidP="00C05F8E">
            <w:pPr>
              <w:jc w:val="both"/>
              <w:rPr>
                <w:sz w:val="20"/>
                <w:lang w:val="fr-CA"/>
              </w:rPr>
            </w:pPr>
            <w:r w:rsidRPr="00D0317D">
              <w:rPr>
                <w:sz w:val="20"/>
                <w:lang w:val="fr-CA"/>
              </w:rPr>
              <w:t xml:space="preserve">Cour d’appel de l’Ontario </w:t>
            </w:r>
          </w:p>
          <w:p w:rsidR="00C05F8E" w:rsidRPr="00D0317D" w:rsidRDefault="00C05F8E" w:rsidP="00C05F8E">
            <w:pPr>
              <w:jc w:val="both"/>
              <w:rPr>
                <w:sz w:val="20"/>
                <w:lang w:val="fr-CA"/>
              </w:rPr>
            </w:pPr>
            <w:r w:rsidRPr="00D0317D">
              <w:rPr>
                <w:sz w:val="20"/>
                <w:lang w:val="fr-CA"/>
              </w:rPr>
              <w:t xml:space="preserve">(Juges </w:t>
            </w:r>
            <w:proofErr w:type="spellStart"/>
            <w:r w:rsidRPr="00D0317D">
              <w:rPr>
                <w:sz w:val="20"/>
                <w:lang w:val="fr-CA"/>
              </w:rPr>
              <w:t>Cronk</w:t>
            </w:r>
            <w:proofErr w:type="spellEnd"/>
            <w:r w:rsidRPr="00D0317D">
              <w:rPr>
                <w:sz w:val="20"/>
                <w:lang w:val="fr-CA"/>
              </w:rPr>
              <w:t xml:space="preserve">, </w:t>
            </w:r>
            <w:proofErr w:type="spellStart"/>
            <w:r w:rsidRPr="00D0317D">
              <w:rPr>
                <w:sz w:val="20"/>
                <w:lang w:val="fr-CA"/>
              </w:rPr>
              <w:t>Hourigan</w:t>
            </w:r>
            <w:proofErr w:type="spellEnd"/>
            <w:r w:rsidRPr="00D0317D">
              <w:rPr>
                <w:sz w:val="20"/>
                <w:lang w:val="fr-CA"/>
              </w:rPr>
              <w:t xml:space="preserve"> et </w:t>
            </w:r>
            <w:proofErr w:type="spellStart"/>
            <w:r w:rsidRPr="00D0317D">
              <w:rPr>
                <w:sz w:val="20"/>
                <w:lang w:val="fr-CA"/>
              </w:rPr>
              <w:t>Benotto</w:t>
            </w:r>
            <w:proofErr w:type="spellEnd"/>
            <w:r w:rsidRPr="00D0317D">
              <w:rPr>
                <w:sz w:val="20"/>
                <w:lang w:val="fr-CA"/>
              </w:rPr>
              <w:t>)</w:t>
            </w:r>
          </w:p>
          <w:p w:rsidR="00C05F8E" w:rsidRPr="00D0317D" w:rsidRDefault="00985225" w:rsidP="00C05F8E">
            <w:pPr>
              <w:jc w:val="both"/>
              <w:rPr>
                <w:sz w:val="20"/>
              </w:rPr>
            </w:pPr>
            <w:hyperlink r:id="rId42" w:history="1">
              <w:r w:rsidR="00C05F8E" w:rsidRPr="00D0317D">
                <w:rPr>
                  <w:rStyle w:val="Hyperlink"/>
                  <w:sz w:val="20"/>
                </w:rPr>
                <w:t>2015 ONCA 842</w:t>
              </w:r>
            </w:hyperlink>
          </w:p>
          <w:p w:rsidR="00C05F8E" w:rsidRPr="00D0317D" w:rsidRDefault="00C05F8E" w:rsidP="00C05F8E">
            <w:pPr>
              <w:jc w:val="both"/>
              <w:rPr>
                <w:sz w:val="20"/>
                <w:lang w:val="fr-CA"/>
              </w:rPr>
            </w:pPr>
          </w:p>
        </w:tc>
        <w:tc>
          <w:tcPr>
            <w:tcW w:w="267" w:type="pct"/>
          </w:tcPr>
          <w:p w:rsidR="00C05F8E" w:rsidRPr="00D0317D" w:rsidRDefault="00C05F8E" w:rsidP="00C05F8E">
            <w:pPr>
              <w:jc w:val="both"/>
              <w:rPr>
                <w:sz w:val="20"/>
                <w:lang w:val="fr-CA"/>
              </w:rPr>
            </w:pPr>
          </w:p>
        </w:tc>
        <w:tc>
          <w:tcPr>
            <w:tcW w:w="2366" w:type="pct"/>
            <w:gridSpan w:val="2"/>
          </w:tcPr>
          <w:p w:rsidR="00C05F8E" w:rsidRPr="00D0317D" w:rsidRDefault="00C05F8E" w:rsidP="00C05F8E">
            <w:pPr>
              <w:jc w:val="both"/>
              <w:rPr>
                <w:sz w:val="20"/>
                <w:lang w:val="fr-CA"/>
              </w:rPr>
            </w:pPr>
            <w:r w:rsidRPr="00D0317D">
              <w:rPr>
                <w:sz w:val="20"/>
                <w:lang w:val="fr-CA"/>
              </w:rPr>
              <w:t xml:space="preserve">Gain de cause des intimés en appel </w:t>
            </w:r>
          </w:p>
        </w:tc>
      </w:tr>
      <w:tr w:rsidR="00C05F8E" w:rsidRPr="005165BD" w:rsidTr="002E434D">
        <w:tblPrEx>
          <w:tblCellMar>
            <w:bottom w:w="0" w:type="dxa"/>
          </w:tblCellMar>
        </w:tblPrEx>
        <w:tc>
          <w:tcPr>
            <w:tcW w:w="2367" w:type="pct"/>
            <w:gridSpan w:val="2"/>
          </w:tcPr>
          <w:p w:rsidR="00C05F8E" w:rsidRPr="00D0317D" w:rsidRDefault="00C05F8E" w:rsidP="00C05F8E">
            <w:pPr>
              <w:jc w:val="both"/>
              <w:rPr>
                <w:sz w:val="20"/>
                <w:lang w:val="fr-CA"/>
              </w:rPr>
            </w:pPr>
            <w:r w:rsidRPr="00D0317D">
              <w:rPr>
                <w:sz w:val="20"/>
                <w:lang w:val="fr-CA"/>
              </w:rPr>
              <w:t>1</w:t>
            </w:r>
            <w:r w:rsidRPr="00D0317D">
              <w:rPr>
                <w:sz w:val="20"/>
                <w:vertAlign w:val="superscript"/>
                <w:lang w:val="fr-CA"/>
              </w:rPr>
              <w:t>er</w:t>
            </w:r>
            <w:r w:rsidRPr="00D0317D">
              <w:rPr>
                <w:sz w:val="20"/>
                <w:lang w:val="fr-CA"/>
              </w:rPr>
              <w:t xml:space="preserve"> février 2016</w:t>
            </w:r>
          </w:p>
          <w:p w:rsidR="00C05F8E" w:rsidRPr="00D0317D" w:rsidRDefault="00C05F8E" w:rsidP="00C05F8E">
            <w:pPr>
              <w:jc w:val="both"/>
              <w:rPr>
                <w:sz w:val="20"/>
                <w:lang w:val="fr-CA"/>
              </w:rPr>
            </w:pPr>
            <w:r w:rsidRPr="00D0317D">
              <w:rPr>
                <w:sz w:val="20"/>
                <w:lang w:val="fr-CA"/>
              </w:rPr>
              <w:t>Cour suprême du Canada</w:t>
            </w:r>
          </w:p>
        </w:tc>
        <w:tc>
          <w:tcPr>
            <w:tcW w:w="267" w:type="pct"/>
          </w:tcPr>
          <w:p w:rsidR="00C05F8E" w:rsidRPr="00D0317D" w:rsidRDefault="00C05F8E" w:rsidP="00C05F8E">
            <w:pPr>
              <w:jc w:val="both"/>
              <w:rPr>
                <w:sz w:val="20"/>
                <w:lang w:val="fr-CA"/>
              </w:rPr>
            </w:pPr>
          </w:p>
        </w:tc>
        <w:tc>
          <w:tcPr>
            <w:tcW w:w="2366" w:type="pct"/>
            <w:gridSpan w:val="2"/>
          </w:tcPr>
          <w:p w:rsidR="00C05F8E" w:rsidRPr="00D0317D" w:rsidRDefault="00C05F8E" w:rsidP="00C05F8E">
            <w:pPr>
              <w:jc w:val="both"/>
              <w:rPr>
                <w:sz w:val="20"/>
                <w:lang w:val="fr-CA"/>
              </w:rPr>
            </w:pPr>
            <w:r w:rsidRPr="00D0317D">
              <w:rPr>
                <w:sz w:val="20"/>
                <w:lang w:val="fr-CA"/>
              </w:rPr>
              <w:t>Dépôt de la demande d’autorisation d’appel</w:t>
            </w:r>
          </w:p>
        </w:tc>
      </w:tr>
    </w:tbl>
    <w:p w:rsidR="00C05F8E" w:rsidRPr="00D0317D" w:rsidRDefault="00C05F8E" w:rsidP="00FF76DD">
      <w:pPr>
        <w:jc w:val="both"/>
        <w:rPr>
          <w:sz w:val="20"/>
          <w:lang w:val="fr-CA"/>
        </w:rPr>
      </w:pPr>
    </w:p>
    <w:p w:rsidR="00C05F8E" w:rsidRPr="00D0317D" w:rsidRDefault="00C05F8E" w:rsidP="00FF76DD">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F76DD" w:rsidRPr="00D0317D" w:rsidTr="00A07388">
        <w:trPr>
          <w:gridAfter w:val="1"/>
          <w:wAfter w:w="48" w:type="pct"/>
        </w:trPr>
        <w:tc>
          <w:tcPr>
            <w:tcW w:w="538" w:type="pct"/>
          </w:tcPr>
          <w:p w:rsidR="00FF76DD" w:rsidRPr="00D0317D" w:rsidRDefault="00FF76DD" w:rsidP="00FF76DD">
            <w:pPr>
              <w:jc w:val="both"/>
              <w:rPr>
                <w:sz w:val="20"/>
                <w:lang w:val="en-CA"/>
              </w:rPr>
            </w:pPr>
            <w:r w:rsidRPr="00D0317D">
              <w:rPr>
                <w:rStyle w:val="SCCFileNumberChar"/>
                <w:sz w:val="20"/>
                <w:szCs w:val="20"/>
              </w:rPr>
              <w:t>36959</w:t>
            </w:r>
          </w:p>
        </w:tc>
        <w:tc>
          <w:tcPr>
            <w:tcW w:w="4414" w:type="pct"/>
            <w:gridSpan w:val="3"/>
          </w:tcPr>
          <w:p w:rsidR="00FF76DD" w:rsidRPr="00D0317D" w:rsidRDefault="00FF76DD" w:rsidP="00FF76DD">
            <w:pPr>
              <w:pStyle w:val="SCCLsocParty"/>
              <w:jc w:val="both"/>
              <w:rPr>
                <w:b/>
                <w:sz w:val="20"/>
                <w:szCs w:val="20"/>
              </w:rPr>
            </w:pPr>
            <w:r w:rsidRPr="00D0317D">
              <w:rPr>
                <w:b/>
                <w:sz w:val="20"/>
                <w:szCs w:val="20"/>
              </w:rPr>
              <w:t>9256-0929 Québec inc. v. Brigitte Turcot, Martin Roy</w:t>
            </w:r>
          </w:p>
          <w:p w:rsidR="00FF76DD" w:rsidRPr="00D0317D" w:rsidRDefault="00FF76DD" w:rsidP="00FF76DD">
            <w:pPr>
              <w:pStyle w:val="SCCLsocOtherPartySeparator"/>
              <w:rPr>
                <w:sz w:val="20"/>
                <w:szCs w:val="20"/>
                <w:lang w:val="en-CA"/>
              </w:rPr>
            </w:pPr>
            <w:r w:rsidRPr="00D0317D">
              <w:rPr>
                <w:sz w:val="20"/>
                <w:szCs w:val="20"/>
                <w:lang w:val="en-CA"/>
              </w:rPr>
              <w:t>- and -</w:t>
            </w:r>
          </w:p>
          <w:p w:rsidR="00FF76DD" w:rsidRPr="00D0317D" w:rsidRDefault="00FF76DD" w:rsidP="00FF76DD">
            <w:pPr>
              <w:pStyle w:val="SCCLsocParty"/>
              <w:jc w:val="both"/>
              <w:rPr>
                <w:b/>
                <w:sz w:val="20"/>
                <w:szCs w:val="20"/>
                <w:lang w:val="en-CA"/>
              </w:rPr>
            </w:pPr>
            <w:r w:rsidRPr="00D0317D">
              <w:rPr>
                <w:b/>
                <w:sz w:val="20"/>
                <w:szCs w:val="20"/>
                <w:lang w:val="en-CA"/>
              </w:rPr>
              <w:t>Administrative Labour Tribunal (formerly known as Commission des relations du travail), MNP ltée</w:t>
            </w:r>
          </w:p>
          <w:p w:rsidR="00FF76DD" w:rsidRPr="00D0317D" w:rsidRDefault="00FF76DD" w:rsidP="00FF76DD">
            <w:pPr>
              <w:jc w:val="both"/>
              <w:rPr>
                <w:sz w:val="20"/>
                <w:lang w:val="en-CA"/>
              </w:rPr>
            </w:pPr>
            <w:r w:rsidRPr="00D0317D">
              <w:rPr>
                <w:sz w:val="20"/>
                <w:lang w:val="en-CA"/>
              </w:rPr>
              <w:t>(Que.) (Civil) (By Leave)</w:t>
            </w:r>
          </w:p>
        </w:tc>
      </w:tr>
      <w:tr w:rsidR="00FF76DD" w:rsidRPr="00D0317D" w:rsidTr="00A07388">
        <w:trPr>
          <w:gridAfter w:val="1"/>
          <w:wAfter w:w="48" w:type="pct"/>
        </w:trPr>
        <w:tc>
          <w:tcPr>
            <w:tcW w:w="4952" w:type="pct"/>
            <w:gridSpan w:val="4"/>
          </w:tcPr>
          <w:p w:rsidR="00FF76DD" w:rsidRPr="00D0317D" w:rsidRDefault="00FF76DD" w:rsidP="00FF76DD">
            <w:pPr>
              <w:jc w:val="both"/>
              <w:rPr>
                <w:sz w:val="20"/>
                <w:lang w:val="en-CA"/>
              </w:rPr>
            </w:pPr>
            <w:r w:rsidRPr="00D0317D">
              <w:rPr>
                <w:sz w:val="20"/>
                <w:lang w:val="en-CA"/>
              </w:rPr>
              <w:t>Administrative law – Boards and tribunals</w:t>
            </w:r>
            <w:r w:rsidRPr="00D0317D">
              <w:rPr>
                <w:color w:val="000000"/>
                <w:sz w:val="20"/>
                <w:lang w:val="en-CA"/>
              </w:rPr>
              <w:t xml:space="preserve"> </w:t>
            </w:r>
            <w:r w:rsidRPr="00D0317D">
              <w:rPr>
                <w:sz w:val="20"/>
                <w:lang w:val="en-CA"/>
              </w:rPr>
              <w:t xml:space="preserve">– Jurisdiction – Labour relations commission – Complaint for dismissal without good and sufficient cause allowed by Commission and followed by transfer of undertaking – Motion for continuity of undertaking based on ss. 96 and 97 of </w:t>
            </w:r>
            <w:r w:rsidRPr="00D0317D">
              <w:rPr>
                <w:i/>
                <w:sz w:val="20"/>
                <w:lang w:val="en-CA"/>
              </w:rPr>
              <w:t>Act respecting labour standards</w:t>
            </w:r>
            <w:r w:rsidRPr="00D0317D">
              <w:rPr>
                <w:sz w:val="20"/>
                <w:lang w:val="en-CA"/>
              </w:rPr>
              <w:t xml:space="preserve"> – Whether Commission had jurisdiction to hear application related or incidental to complaint once it rendered decision on merits – </w:t>
            </w:r>
            <w:r w:rsidRPr="00D0317D">
              <w:rPr>
                <w:i/>
                <w:sz w:val="20"/>
                <w:lang w:val="en-CA"/>
              </w:rPr>
              <w:t>Act respecting labour standards</w:t>
            </w:r>
            <w:r w:rsidRPr="00D0317D">
              <w:rPr>
                <w:sz w:val="20"/>
                <w:lang w:val="en-CA"/>
              </w:rPr>
              <w:t>, CQLR, c. N</w:t>
            </w:r>
            <w:r w:rsidRPr="00D0317D">
              <w:rPr>
                <w:sz w:val="20"/>
                <w:lang w:val="en-CA"/>
              </w:rPr>
              <w:noBreakHyphen/>
              <w:t xml:space="preserve">1.1, ss. 96, 97 – </w:t>
            </w:r>
            <w:r w:rsidRPr="00D0317D">
              <w:rPr>
                <w:i/>
                <w:sz w:val="20"/>
                <w:lang w:val="en-CA"/>
              </w:rPr>
              <w:t>Labour Code</w:t>
            </w:r>
            <w:r w:rsidRPr="00D0317D">
              <w:rPr>
                <w:sz w:val="20"/>
                <w:lang w:val="en-CA"/>
              </w:rPr>
              <w:t>, CQLR, c. C</w:t>
            </w:r>
            <w:r w:rsidRPr="00D0317D">
              <w:rPr>
                <w:sz w:val="20"/>
                <w:lang w:val="en-CA"/>
              </w:rPr>
              <w:noBreakHyphen/>
              <w:t>27, s. 114.</w:t>
            </w:r>
          </w:p>
        </w:tc>
      </w:tr>
      <w:tr w:rsidR="00FF76DD" w:rsidRPr="00D0317D" w:rsidTr="00A07388">
        <w:trPr>
          <w:gridAfter w:val="1"/>
          <w:wAfter w:w="48" w:type="pct"/>
        </w:trPr>
        <w:tc>
          <w:tcPr>
            <w:tcW w:w="4952" w:type="pct"/>
            <w:gridSpan w:val="4"/>
          </w:tcPr>
          <w:p w:rsidR="00FF76DD" w:rsidRPr="00D0317D" w:rsidRDefault="00FF76DD" w:rsidP="00FF76DD">
            <w:pPr>
              <w:jc w:val="both"/>
              <w:rPr>
                <w:sz w:val="20"/>
                <w:lang w:val="en-CA"/>
              </w:rPr>
            </w:pPr>
          </w:p>
        </w:tc>
      </w:tr>
      <w:tr w:rsidR="00FF76DD" w:rsidRPr="00D0317D" w:rsidTr="00A07388">
        <w:trPr>
          <w:gridAfter w:val="1"/>
          <w:wAfter w:w="48" w:type="pct"/>
        </w:trPr>
        <w:tc>
          <w:tcPr>
            <w:tcW w:w="4952" w:type="pct"/>
            <w:gridSpan w:val="4"/>
          </w:tcPr>
          <w:p w:rsidR="00FF76DD" w:rsidRPr="00D0317D" w:rsidRDefault="00FF76DD" w:rsidP="00FF76DD">
            <w:pPr>
              <w:jc w:val="both"/>
              <w:rPr>
                <w:sz w:val="20"/>
                <w:lang w:val="en-CA"/>
              </w:rPr>
            </w:pPr>
            <w:r w:rsidRPr="00D0317D">
              <w:rPr>
                <w:sz w:val="20"/>
                <w:lang w:val="en-CA"/>
              </w:rPr>
              <w:t xml:space="preserve">The Commission des relations du travail found that the respondents had been dismissed without good and sufficient cause and ordered the payment of an indemnity by their employer. However, the employer’s property was sequestrated </w:t>
            </w:r>
            <w:proofErr w:type="gramStart"/>
            <w:r w:rsidRPr="00D0317D">
              <w:rPr>
                <w:sz w:val="20"/>
                <w:lang w:val="en-CA"/>
              </w:rPr>
              <w:t>as a result</w:t>
            </w:r>
            <w:proofErr w:type="gramEnd"/>
            <w:r w:rsidRPr="00D0317D">
              <w:rPr>
                <w:sz w:val="20"/>
                <w:lang w:val="en-CA"/>
              </w:rPr>
              <w:t xml:space="preserve"> of financial problems and was eventually sold to the applicant. The respondents filed a motion with the Commission des relations du travail for continuity of the undertaking so the applicant would be required to pay the indemnities owed to them. </w:t>
            </w:r>
          </w:p>
          <w:p w:rsidR="00FF76DD" w:rsidRPr="00D0317D" w:rsidRDefault="00FF76DD" w:rsidP="00FF76DD">
            <w:pPr>
              <w:jc w:val="both"/>
              <w:rPr>
                <w:sz w:val="20"/>
                <w:lang w:val="en-CA"/>
              </w:rPr>
            </w:pPr>
          </w:p>
        </w:tc>
      </w:tr>
      <w:tr w:rsidR="00FF76DD" w:rsidRPr="00D0317D" w:rsidTr="00A07388">
        <w:tblPrEx>
          <w:tblCellMar>
            <w:bottom w:w="0" w:type="dxa"/>
          </w:tblCellMar>
        </w:tblPrEx>
        <w:tc>
          <w:tcPr>
            <w:tcW w:w="2367" w:type="pct"/>
            <w:gridSpan w:val="2"/>
          </w:tcPr>
          <w:p w:rsidR="00FF76DD" w:rsidRPr="000870AB" w:rsidRDefault="00FF76DD" w:rsidP="00FF76DD">
            <w:pPr>
              <w:jc w:val="both"/>
              <w:rPr>
                <w:sz w:val="20"/>
                <w:lang w:val="fr-CA"/>
              </w:rPr>
            </w:pPr>
            <w:r w:rsidRPr="000870AB">
              <w:rPr>
                <w:sz w:val="20"/>
                <w:lang w:val="fr-CA"/>
              </w:rPr>
              <w:t>November 25, 2013</w:t>
            </w:r>
          </w:p>
          <w:p w:rsidR="00FF76DD" w:rsidRPr="000870AB" w:rsidRDefault="00FF76DD" w:rsidP="00FF76DD">
            <w:pPr>
              <w:jc w:val="both"/>
              <w:rPr>
                <w:sz w:val="20"/>
                <w:lang w:val="fr-CA"/>
              </w:rPr>
            </w:pPr>
            <w:r w:rsidRPr="000870AB">
              <w:rPr>
                <w:sz w:val="20"/>
                <w:lang w:val="fr-CA"/>
              </w:rPr>
              <w:t>Commission des relations du travail</w:t>
            </w:r>
          </w:p>
          <w:p w:rsidR="00FF76DD" w:rsidRPr="00D0317D" w:rsidRDefault="00FF76DD" w:rsidP="00FF76DD">
            <w:pPr>
              <w:jc w:val="both"/>
              <w:rPr>
                <w:sz w:val="20"/>
                <w:lang w:val="en-CA"/>
              </w:rPr>
            </w:pPr>
            <w:r w:rsidRPr="00D0317D">
              <w:rPr>
                <w:sz w:val="20"/>
                <w:lang w:val="en-CA"/>
              </w:rPr>
              <w:t>(</w:t>
            </w:r>
            <w:proofErr w:type="spellStart"/>
            <w:r w:rsidRPr="00D0317D">
              <w:rPr>
                <w:sz w:val="20"/>
                <w:lang w:val="en-CA"/>
              </w:rPr>
              <w:t>Gaëtan</w:t>
            </w:r>
            <w:proofErr w:type="spellEnd"/>
            <w:r w:rsidRPr="00D0317D">
              <w:rPr>
                <w:sz w:val="20"/>
                <w:lang w:val="en-CA"/>
              </w:rPr>
              <w:t xml:space="preserve"> Breton, administrative judge)</w:t>
            </w:r>
          </w:p>
          <w:p w:rsidR="00FF76DD" w:rsidRPr="00D0317D" w:rsidRDefault="00FF76DD" w:rsidP="00FF76DD">
            <w:pPr>
              <w:jc w:val="both"/>
              <w:rPr>
                <w:sz w:val="20"/>
                <w:lang w:val="en-CA"/>
              </w:rPr>
            </w:pPr>
            <w:r w:rsidRPr="00D0317D">
              <w:rPr>
                <w:sz w:val="20"/>
                <w:lang w:val="en-CA"/>
              </w:rPr>
              <w:t>2013 QCCRT 0554</w:t>
            </w:r>
          </w:p>
          <w:p w:rsidR="00FF76DD" w:rsidRPr="00D0317D" w:rsidRDefault="00FF76DD" w:rsidP="00FF76DD">
            <w:pPr>
              <w:jc w:val="both"/>
              <w:rPr>
                <w:sz w:val="20"/>
                <w:lang w:val="en-CA"/>
              </w:rPr>
            </w:pPr>
          </w:p>
        </w:tc>
        <w:tc>
          <w:tcPr>
            <w:tcW w:w="267" w:type="pct"/>
          </w:tcPr>
          <w:p w:rsidR="00FF76DD" w:rsidRPr="00D0317D" w:rsidRDefault="00FF76DD" w:rsidP="00FF76DD">
            <w:pPr>
              <w:jc w:val="both"/>
              <w:rPr>
                <w:sz w:val="20"/>
                <w:lang w:val="en-CA"/>
              </w:rPr>
            </w:pPr>
          </w:p>
        </w:tc>
        <w:tc>
          <w:tcPr>
            <w:tcW w:w="2366" w:type="pct"/>
            <w:gridSpan w:val="2"/>
          </w:tcPr>
          <w:p w:rsidR="00FF76DD" w:rsidRPr="00D0317D" w:rsidRDefault="00FF76DD" w:rsidP="00FF76DD">
            <w:pPr>
              <w:jc w:val="both"/>
              <w:rPr>
                <w:sz w:val="20"/>
                <w:lang w:val="en-CA"/>
              </w:rPr>
            </w:pPr>
            <w:r w:rsidRPr="00D0317D">
              <w:rPr>
                <w:sz w:val="20"/>
                <w:lang w:val="en-CA"/>
              </w:rPr>
              <w:t>Motion dismissed for lack of jurisdiction</w:t>
            </w:r>
          </w:p>
          <w:p w:rsidR="00FF76DD" w:rsidRPr="00D0317D" w:rsidRDefault="00FF76DD" w:rsidP="00FF76DD">
            <w:pPr>
              <w:jc w:val="both"/>
              <w:rPr>
                <w:sz w:val="20"/>
                <w:lang w:val="en-CA"/>
              </w:rPr>
            </w:pPr>
          </w:p>
        </w:tc>
      </w:tr>
      <w:tr w:rsidR="00FF76DD" w:rsidRPr="00D0317D" w:rsidTr="00A07388">
        <w:tblPrEx>
          <w:tblCellMar>
            <w:bottom w:w="0" w:type="dxa"/>
          </w:tblCellMar>
        </w:tblPrEx>
        <w:tc>
          <w:tcPr>
            <w:tcW w:w="2367" w:type="pct"/>
            <w:gridSpan w:val="2"/>
          </w:tcPr>
          <w:p w:rsidR="00FF76DD" w:rsidRPr="00D0317D" w:rsidRDefault="00FF76DD" w:rsidP="00FF76DD">
            <w:pPr>
              <w:jc w:val="both"/>
              <w:rPr>
                <w:sz w:val="20"/>
                <w:lang w:val="en-CA"/>
              </w:rPr>
            </w:pPr>
            <w:r w:rsidRPr="00D0317D">
              <w:rPr>
                <w:sz w:val="20"/>
                <w:lang w:val="en-CA"/>
              </w:rPr>
              <w:t>November 21, 2014</w:t>
            </w:r>
          </w:p>
          <w:p w:rsidR="00FF76DD" w:rsidRPr="00D0317D" w:rsidRDefault="00FF76DD" w:rsidP="00FF76DD">
            <w:pPr>
              <w:jc w:val="both"/>
              <w:rPr>
                <w:sz w:val="20"/>
                <w:lang w:val="en-CA"/>
              </w:rPr>
            </w:pPr>
            <w:r w:rsidRPr="00D0317D">
              <w:rPr>
                <w:sz w:val="20"/>
                <w:lang w:val="en-CA"/>
              </w:rPr>
              <w:t>Quebec Superior Court</w:t>
            </w:r>
          </w:p>
          <w:p w:rsidR="00FF76DD" w:rsidRPr="00D0317D" w:rsidRDefault="00FF76DD" w:rsidP="00FF76DD">
            <w:pPr>
              <w:jc w:val="both"/>
              <w:rPr>
                <w:sz w:val="20"/>
                <w:lang w:val="en-CA"/>
              </w:rPr>
            </w:pPr>
            <w:r w:rsidRPr="00D0317D">
              <w:rPr>
                <w:sz w:val="20"/>
                <w:lang w:val="en-CA"/>
              </w:rPr>
              <w:t>(Grenier J.)</w:t>
            </w:r>
          </w:p>
          <w:p w:rsidR="00FF76DD" w:rsidRPr="00D0317D" w:rsidRDefault="00985225" w:rsidP="00FF76DD">
            <w:pPr>
              <w:jc w:val="both"/>
              <w:rPr>
                <w:sz w:val="20"/>
                <w:lang w:val="en-CA"/>
              </w:rPr>
            </w:pPr>
            <w:hyperlink r:id="rId43" w:history="1">
              <w:r w:rsidR="00FF76DD" w:rsidRPr="00D0317D">
                <w:rPr>
                  <w:rStyle w:val="Hyperlink"/>
                  <w:sz w:val="20"/>
                  <w:lang w:val="en-CA"/>
                </w:rPr>
                <w:t>2014 QCCS 5580</w:t>
              </w:r>
            </w:hyperlink>
          </w:p>
          <w:p w:rsidR="00FF76DD" w:rsidRPr="00D0317D" w:rsidRDefault="00FF76DD" w:rsidP="00FF76DD">
            <w:pPr>
              <w:jc w:val="both"/>
              <w:rPr>
                <w:sz w:val="20"/>
                <w:lang w:val="en-CA"/>
              </w:rPr>
            </w:pPr>
          </w:p>
        </w:tc>
        <w:tc>
          <w:tcPr>
            <w:tcW w:w="267" w:type="pct"/>
          </w:tcPr>
          <w:p w:rsidR="00FF76DD" w:rsidRPr="00D0317D" w:rsidRDefault="00FF76DD" w:rsidP="00FF76DD">
            <w:pPr>
              <w:jc w:val="both"/>
              <w:rPr>
                <w:sz w:val="20"/>
                <w:lang w:val="en-CA"/>
              </w:rPr>
            </w:pPr>
          </w:p>
        </w:tc>
        <w:tc>
          <w:tcPr>
            <w:tcW w:w="2366" w:type="pct"/>
            <w:gridSpan w:val="2"/>
          </w:tcPr>
          <w:p w:rsidR="00FF76DD" w:rsidRPr="00D0317D" w:rsidRDefault="00FF76DD" w:rsidP="00FF76DD">
            <w:pPr>
              <w:jc w:val="both"/>
              <w:rPr>
                <w:sz w:val="20"/>
                <w:lang w:val="en-CA"/>
              </w:rPr>
            </w:pPr>
            <w:r w:rsidRPr="00D0317D">
              <w:rPr>
                <w:sz w:val="20"/>
                <w:lang w:val="en-CA"/>
              </w:rPr>
              <w:t>Motion for judicial review allowed; matter remitted to Commission des relations du travail</w:t>
            </w:r>
          </w:p>
        </w:tc>
      </w:tr>
      <w:tr w:rsidR="00FF76DD" w:rsidRPr="00D0317D" w:rsidTr="00A07388">
        <w:tblPrEx>
          <w:tblCellMar>
            <w:bottom w:w="0" w:type="dxa"/>
          </w:tblCellMar>
        </w:tblPrEx>
        <w:tc>
          <w:tcPr>
            <w:tcW w:w="2367" w:type="pct"/>
            <w:gridSpan w:val="2"/>
          </w:tcPr>
          <w:p w:rsidR="00FF76DD" w:rsidRPr="00D0317D" w:rsidRDefault="00FF76DD" w:rsidP="00FF76DD">
            <w:pPr>
              <w:jc w:val="both"/>
              <w:rPr>
                <w:sz w:val="20"/>
                <w:lang w:val="en-CA"/>
              </w:rPr>
            </w:pPr>
            <w:r w:rsidRPr="00D0317D">
              <w:rPr>
                <w:sz w:val="20"/>
                <w:lang w:val="en-CA"/>
              </w:rPr>
              <w:t>February 18, 2016</w:t>
            </w:r>
          </w:p>
          <w:p w:rsidR="00FF76DD" w:rsidRPr="00D0317D" w:rsidRDefault="00FF76DD" w:rsidP="00FF76DD">
            <w:pPr>
              <w:jc w:val="both"/>
              <w:rPr>
                <w:sz w:val="20"/>
                <w:lang w:val="en-CA"/>
              </w:rPr>
            </w:pPr>
            <w:r w:rsidRPr="00D0317D">
              <w:rPr>
                <w:sz w:val="20"/>
                <w:lang w:val="en-CA"/>
              </w:rPr>
              <w:t>Quebec Court of Appeal (Montréal)</w:t>
            </w:r>
          </w:p>
          <w:p w:rsidR="00FF76DD" w:rsidRPr="00D0317D" w:rsidRDefault="00FF76DD" w:rsidP="00FF76DD">
            <w:pPr>
              <w:jc w:val="both"/>
              <w:rPr>
                <w:sz w:val="20"/>
                <w:lang w:val="en-CA"/>
              </w:rPr>
            </w:pPr>
            <w:r w:rsidRPr="00D0317D">
              <w:rPr>
                <w:sz w:val="20"/>
                <w:lang w:val="en-CA"/>
              </w:rPr>
              <w:t>(Dutil, Lévesque and Emond JJ.A.)</w:t>
            </w:r>
          </w:p>
          <w:p w:rsidR="00FF76DD" w:rsidRPr="00D0317D" w:rsidRDefault="00985225" w:rsidP="00FF76DD">
            <w:pPr>
              <w:jc w:val="both"/>
              <w:rPr>
                <w:sz w:val="20"/>
                <w:lang w:val="en-CA"/>
              </w:rPr>
            </w:pPr>
            <w:hyperlink r:id="rId44" w:history="1">
              <w:r w:rsidR="00FF76DD" w:rsidRPr="00D0317D">
                <w:rPr>
                  <w:rStyle w:val="Hyperlink"/>
                  <w:sz w:val="20"/>
                  <w:lang w:val="en-CA"/>
                </w:rPr>
                <w:t>2016 QCCA 308</w:t>
              </w:r>
            </w:hyperlink>
          </w:p>
          <w:p w:rsidR="00FF76DD" w:rsidRPr="00D0317D" w:rsidRDefault="00FF76DD" w:rsidP="00FF76DD">
            <w:pPr>
              <w:jc w:val="both"/>
              <w:rPr>
                <w:sz w:val="20"/>
                <w:lang w:val="en-CA"/>
              </w:rPr>
            </w:pPr>
          </w:p>
        </w:tc>
        <w:tc>
          <w:tcPr>
            <w:tcW w:w="267" w:type="pct"/>
          </w:tcPr>
          <w:p w:rsidR="00FF76DD" w:rsidRPr="00D0317D" w:rsidRDefault="00FF76DD" w:rsidP="00FF76DD">
            <w:pPr>
              <w:jc w:val="both"/>
              <w:rPr>
                <w:sz w:val="20"/>
                <w:lang w:val="en-CA"/>
              </w:rPr>
            </w:pPr>
          </w:p>
        </w:tc>
        <w:tc>
          <w:tcPr>
            <w:tcW w:w="2366" w:type="pct"/>
            <w:gridSpan w:val="2"/>
          </w:tcPr>
          <w:p w:rsidR="00FF76DD" w:rsidRPr="00D0317D" w:rsidRDefault="00FF76DD" w:rsidP="00FF76DD">
            <w:pPr>
              <w:jc w:val="both"/>
              <w:rPr>
                <w:sz w:val="20"/>
                <w:lang w:val="en-CA"/>
              </w:rPr>
            </w:pPr>
            <w:r w:rsidRPr="00D0317D">
              <w:rPr>
                <w:sz w:val="20"/>
                <w:lang w:val="en-CA"/>
              </w:rPr>
              <w:t>Appeal dismissed</w:t>
            </w:r>
          </w:p>
          <w:p w:rsidR="00FF76DD" w:rsidRPr="00D0317D" w:rsidRDefault="00FF76DD" w:rsidP="00FF76DD">
            <w:pPr>
              <w:jc w:val="both"/>
              <w:rPr>
                <w:sz w:val="20"/>
                <w:lang w:val="en-CA"/>
              </w:rPr>
            </w:pPr>
          </w:p>
        </w:tc>
      </w:tr>
      <w:tr w:rsidR="00FF76DD" w:rsidRPr="00D0317D" w:rsidTr="00A07388">
        <w:tblPrEx>
          <w:tblCellMar>
            <w:bottom w:w="0" w:type="dxa"/>
          </w:tblCellMar>
        </w:tblPrEx>
        <w:tc>
          <w:tcPr>
            <w:tcW w:w="2367" w:type="pct"/>
            <w:gridSpan w:val="2"/>
          </w:tcPr>
          <w:p w:rsidR="00FF76DD" w:rsidRPr="00D0317D" w:rsidRDefault="00FF76DD" w:rsidP="00FF76DD">
            <w:pPr>
              <w:jc w:val="both"/>
              <w:rPr>
                <w:sz w:val="20"/>
                <w:lang w:val="en-CA"/>
              </w:rPr>
            </w:pPr>
            <w:r w:rsidRPr="00D0317D">
              <w:rPr>
                <w:sz w:val="20"/>
                <w:lang w:val="en-CA"/>
              </w:rPr>
              <w:t>April 18, 2016</w:t>
            </w:r>
          </w:p>
          <w:p w:rsidR="00FF76DD" w:rsidRPr="00D0317D" w:rsidRDefault="00FF76DD" w:rsidP="00FF76DD">
            <w:pPr>
              <w:jc w:val="both"/>
              <w:rPr>
                <w:sz w:val="20"/>
                <w:lang w:val="en-CA"/>
              </w:rPr>
            </w:pPr>
            <w:r w:rsidRPr="00D0317D">
              <w:rPr>
                <w:sz w:val="20"/>
                <w:lang w:val="en-CA"/>
              </w:rPr>
              <w:lastRenderedPageBreak/>
              <w:t>Supreme Court of Canada</w:t>
            </w:r>
          </w:p>
        </w:tc>
        <w:tc>
          <w:tcPr>
            <w:tcW w:w="267" w:type="pct"/>
          </w:tcPr>
          <w:p w:rsidR="00FF76DD" w:rsidRPr="00D0317D" w:rsidRDefault="00FF76DD" w:rsidP="00FF76DD">
            <w:pPr>
              <w:jc w:val="both"/>
              <w:rPr>
                <w:sz w:val="20"/>
                <w:lang w:val="en-CA"/>
              </w:rPr>
            </w:pPr>
          </w:p>
        </w:tc>
        <w:tc>
          <w:tcPr>
            <w:tcW w:w="2366" w:type="pct"/>
            <w:gridSpan w:val="2"/>
          </w:tcPr>
          <w:p w:rsidR="00FF76DD" w:rsidRPr="00D0317D" w:rsidRDefault="00FF76DD" w:rsidP="00FF76DD">
            <w:pPr>
              <w:jc w:val="both"/>
              <w:rPr>
                <w:sz w:val="20"/>
                <w:lang w:val="en-CA"/>
              </w:rPr>
            </w:pPr>
            <w:r w:rsidRPr="00D0317D">
              <w:rPr>
                <w:sz w:val="20"/>
                <w:lang w:val="en-CA"/>
              </w:rPr>
              <w:t>Application for leave to appeal filed</w:t>
            </w:r>
          </w:p>
          <w:p w:rsidR="00FF76DD" w:rsidRPr="00D0317D" w:rsidRDefault="00FF76DD" w:rsidP="00FF76DD">
            <w:pPr>
              <w:jc w:val="both"/>
              <w:rPr>
                <w:sz w:val="20"/>
                <w:lang w:val="en-CA"/>
              </w:rPr>
            </w:pPr>
          </w:p>
        </w:tc>
      </w:tr>
    </w:tbl>
    <w:p w:rsidR="00FF76DD" w:rsidRPr="00D0317D" w:rsidRDefault="00FF76DD" w:rsidP="00FF76DD">
      <w:pPr>
        <w:jc w:val="both"/>
        <w:rPr>
          <w:sz w:val="20"/>
          <w:lang w:val="en-CA"/>
        </w:rPr>
      </w:pPr>
    </w:p>
    <w:p w:rsidR="00FF76DD" w:rsidRPr="00D0317D" w:rsidRDefault="00FF76DD" w:rsidP="00FF76DD">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FF76DD" w:rsidRPr="00D0317D" w:rsidTr="00A07388">
        <w:trPr>
          <w:gridAfter w:val="1"/>
          <w:wAfter w:w="48" w:type="pct"/>
        </w:trPr>
        <w:tc>
          <w:tcPr>
            <w:tcW w:w="538" w:type="pct"/>
          </w:tcPr>
          <w:p w:rsidR="00FF76DD" w:rsidRPr="00D0317D" w:rsidRDefault="00FF76DD" w:rsidP="00FF76DD">
            <w:pPr>
              <w:jc w:val="both"/>
              <w:rPr>
                <w:sz w:val="20"/>
              </w:rPr>
            </w:pPr>
            <w:r w:rsidRPr="00D0317D">
              <w:rPr>
                <w:rStyle w:val="SCCFileNumberChar"/>
                <w:sz w:val="20"/>
                <w:szCs w:val="20"/>
              </w:rPr>
              <w:t>36959</w:t>
            </w:r>
          </w:p>
        </w:tc>
        <w:tc>
          <w:tcPr>
            <w:tcW w:w="4414" w:type="pct"/>
            <w:gridSpan w:val="3"/>
          </w:tcPr>
          <w:p w:rsidR="00FF76DD" w:rsidRPr="00D0317D" w:rsidRDefault="00FF76DD" w:rsidP="00FF76DD">
            <w:pPr>
              <w:pStyle w:val="SCCLsocParty"/>
              <w:jc w:val="both"/>
              <w:rPr>
                <w:b/>
                <w:sz w:val="20"/>
                <w:szCs w:val="20"/>
              </w:rPr>
            </w:pPr>
            <w:r w:rsidRPr="00D0317D">
              <w:rPr>
                <w:b/>
                <w:sz w:val="20"/>
                <w:szCs w:val="20"/>
              </w:rPr>
              <w:t>9256-0929 Québec inc. c. Brigitte Turcot, Martin Roy</w:t>
            </w:r>
          </w:p>
          <w:p w:rsidR="00FF76DD" w:rsidRPr="00D0317D" w:rsidRDefault="00FF76DD" w:rsidP="00FF76DD">
            <w:pPr>
              <w:pStyle w:val="SCCLsocOtherPartySeparator"/>
              <w:rPr>
                <w:sz w:val="20"/>
                <w:szCs w:val="20"/>
              </w:rPr>
            </w:pPr>
            <w:r w:rsidRPr="00D0317D">
              <w:rPr>
                <w:sz w:val="20"/>
                <w:szCs w:val="20"/>
              </w:rPr>
              <w:t>- et -</w:t>
            </w:r>
          </w:p>
          <w:p w:rsidR="00FF76DD" w:rsidRPr="00D0317D" w:rsidRDefault="00FF76DD" w:rsidP="00FF76DD">
            <w:pPr>
              <w:pStyle w:val="SCCLsocParty"/>
              <w:jc w:val="both"/>
              <w:rPr>
                <w:b/>
                <w:sz w:val="20"/>
                <w:szCs w:val="20"/>
              </w:rPr>
            </w:pPr>
            <w:r w:rsidRPr="00D0317D">
              <w:rPr>
                <w:b/>
                <w:sz w:val="20"/>
                <w:szCs w:val="20"/>
              </w:rPr>
              <w:t>Tribunal administratif du travail (anciennement connu sous commission des relations du travail), MNP ltée</w:t>
            </w:r>
          </w:p>
          <w:p w:rsidR="00FF76DD" w:rsidRPr="00D0317D" w:rsidRDefault="00FF76DD" w:rsidP="00FF76DD">
            <w:pPr>
              <w:jc w:val="both"/>
              <w:rPr>
                <w:sz w:val="20"/>
              </w:rPr>
            </w:pPr>
            <w:r w:rsidRPr="00D0317D">
              <w:rPr>
                <w:sz w:val="20"/>
              </w:rPr>
              <w:t>(Qc) (Civile) (Autorisation)</w:t>
            </w:r>
          </w:p>
        </w:tc>
      </w:tr>
      <w:tr w:rsidR="00FF76DD" w:rsidRPr="005165BD" w:rsidTr="00A07388">
        <w:trPr>
          <w:gridAfter w:val="1"/>
          <w:wAfter w:w="48" w:type="pct"/>
        </w:trPr>
        <w:tc>
          <w:tcPr>
            <w:tcW w:w="4952" w:type="pct"/>
            <w:gridSpan w:val="4"/>
          </w:tcPr>
          <w:p w:rsidR="00FF76DD" w:rsidRPr="000870AB" w:rsidRDefault="00FF76DD" w:rsidP="00FF76DD">
            <w:pPr>
              <w:jc w:val="both"/>
              <w:rPr>
                <w:sz w:val="20"/>
                <w:lang w:val="fr-CA"/>
              </w:rPr>
            </w:pPr>
            <w:r w:rsidRPr="000870AB">
              <w:rPr>
                <w:sz w:val="20"/>
                <w:lang w:val="fr-CA"/>
              </w:rPr>
              <w:t xml:space="preserve">Droit administratif – </w:t>
            </w:r>
            <w:r w:rsidRPr="000870AB">
              <w:rPr>
                <w:color w:val="000000"/>
                <w:sz w:val="20"/>
                <w:lang w:val="fr-CA"/>
              </w:rPr>
              <w:t xml:space="preserve">Organismes et tribunaux administratifs </w:t>
            </w:r>
            <w:r w:rsidRPr="000870AB">
              <w:rPr>
                <w:sz w:val="20"/>
                <w:lang w:val="fr-CA"/>
              </w:rPr>
              <w:t xml:space="preserve">– Compétence – Commission des relations du travail – Plainte pour congédiement sans cause juste et suffisante accueillie par la Commission et suivie d’une cession d’entreprise – Requête en continuité d’entreprise fondée sur les articles 96 et 97 de la </w:t>
            </w:r>
            <w:r w:rsidRPr="000870AB">
              <w:rPr>
                <w:i/>
                <w:sz w:val="20"/>
                <w:lang w:val="fr-CA"/>
              </w:rPr>
              <w:t>Loi sur les normes du travail</w:t>
            </w:r>
            <w:r w:rsidRPr="000870AB">
              <w:rPr>
                <w:sz w:val="20"/>
                <w:lang w:val="fr-CA"/>
              </w:rPr>
              <w:t xml:space="preserve"> – La Commission a-t-elle compétence pour entendre une demande connexe ou accessoire à la plainte une fois sa décision sur le fond rendue? </w:t>
            </w:r>
            <w:r w:rsidRPr="000870AB">
              <w:rPr>
                <w:i/>
                <w:sz w:val="20"/>
                <w:lang w:val="fr-CA"/>
              </w:rPr>
              <w:t>Loi sur les normes du travail</w:t>
            </w:r>
            <w:r w:rsidRPr="000870AB">
              <w:rPr>
                <w:sz w:val="20"/>
                <w:lang w:val="fr-CA"/>
              </w:rPr>
              <w:t xml:space="preserve">, RLRQ, c. N-1.1., art. 96, 97 – </w:t>
            </w:r>
            <w:r w:rsidRPr="000870AB">
              <w:rPr>
                <w:i/>
                <w:sz w:val="20"/>
                <w:lang w:val="fr-CA"/>
              </w:rPr>
              <w:t>Code du travail</w:t>
            </w:r>
            <w:r w:rsidRPr="000870AB">
              <w:rPr>
                <w:sz w:val="20"/>
                <w:lang w:val="fr-CA"/>
              </w:rPr>
              <w:t>,  RLRQ, c. C-27, art. 114</w:t>
            </w:r>
          </w:p>
        </w:tc>
      </w:tr>
      <w:tr w:rsidR="00FF76DD" w:rsidRPr="005165BD" w:rsidTr="00A07388">
        <w:trPr>
          <w:gridAfter w:val="1"/>
          <w:wAfter w:w="48" w:type="pct"/>
        </w:trPr>
        <w:tc>
          <w:tcPr>
            <w:tcW w:w="4952" w:type="pct"/>
            <w:gridSpan w:val="4"/>
          </w:tcPr>
          <w:p w:rsidR="00FF76DD" w:rsidRPr="000870AB" w:rsidRDefault="00FF76DD" w:rsidP="00FF76DD">
            <w:pPr>
              <w:jc w:val="both"/>
              <w:rPr>
                <w:sz w:val="20"/>
                <w:lang w:val="fr-CA"/>
              </w:rPr>
            </w:pPr>
          </w:p>
        </w:tc>
      </w:tr>
      <w:tr w:rsidR="00FF76DD" w:rsidRPr="005165BD" w:rsidTr="00A07388">
        <w:trPr>
          <w:gridAfter w:val="1"/>
          <w:wAfter w:w="48" w:type="pct"/>
        </w:trPr>
        <w:tc>
          <w:tcPr>
            <w:tcW w:w="4952" w:type="pct"/>
            <w:gridSpan w:val="4"/>
          </w:tcPr>
          <w:p w:rsidR="00FF76DD" w:rsidRPr="000870AB" w:rsidRDefault="00FF76DD" w:rsidP="00FF76DD">
            <w:pPr>
              <w:jc w:val="both"/>
              <w:rPr>
                <w:sz w:val="20"/>
                <w:lang w:val="fr-CA"/>
              </w:rPr>
            </w:pPr>
            <w:r w:rsidRPr="000870AB">
              <w:rPr>
                <w:sz w:val="20"/>
                <w:lang w:val="fr-CA"/>
              </w:rPr>
              <w:t xml:space="preserve">Les intimés bénéficient d’une décision de la Commission des relations du travail en leur faveur pour congédiement sans cause juste et suffisante qui ordonne le paiement, par leur employeur, d’une indemnité. Or, les biens de l’employeur sont mis sous séquestre aux suites de difficultés financières et seront éventuellement vendus à la demanderesse. Les intimés déposent une requête en continuité d’entreprise devant la Commission des relations du travail, afin que la demanderesse soit tenue de débourser les indemnités qui leur sont dues. </w:t>
            </w:r>
          </w:p>
          <w:p w:rsidR="00FF76DD" w:rsidRPr="000870AB" w:rsidRDefault="00FF76DD" w:rsidP="00FF76DD">
            <w:pPr>
              <w:jc w:val="both"/>
              <w:rPr>
                <w:sz w:val="20"/>
                <w:lang w:val="fr-CA"/>
              </w:rPr>
            </w:pPr>
          </w:p>
        </w:tc>
      </w:tr>
      <w:tr w:rsidR="00FF76DD" w:rsidRPr="00D0317D" w:rsidTr="00A07388">
        <w:tblPrEx>
          <w:tblCellMar>
            <w:bottom w:w="0" w:type="dxa"/>
          </w:tblCellMar>
        </w:tblPrEx>
        <w:tc>
          <w:tcPr>
            <w:tcW w:w="2367" w:type="pct"/>
            <w:gridSpan w:val="2"/>
          </w:tcPr>
          <w:p w:rsidR="00FF76DD" w:rsidRPr="000870AB" w:rsidRDefault="00FF76DD" w:rsidP="00FF76DD">
            <w:pPr>
              <w:jc w:val="both"/>
              <w:rPr>
                <w:sz w:val="20"/>
                <w:lang w:val="fr-CA"/>
              </w:rPr>
            </w:pPr>
            <w:r w:rsidRPr="000870AB">
              <w:rPr>
                <w:sz w:val="20"/>
                <w:lang w:val="fr-CA"/>
              </w:rPr>
              <w:t>Le 25 novembre 2013</w:t>
            </w:r>
          </w:p>
          <w:p w:rsidR="00FF76DD" w:rsidRPr="000870AB" w:rsidRDefault="00FF76DD" w:rsidP="00FF76DD">
            <w:pPr>
              <w:jc w:val="both"/>
              <w:rPr>
                <w:sz w:val="20"/>
                <w:lang w:val="fr-CA"/>
              </w:rPr>
            </w:pPr>
            <w:r w:rsidRPr="000870AB">
              <w:rPr>
                <w:sz w:val="20"/>
                <w:lang w:val="fr-CA"/>
              </w:rPr>
              <w:t>Commission des relations du travail</w:t>
            </w:r>
          </w:p>
          <w:p w:rsidR="00FF76DD" w:rsidRPr="000870AB" w:rsidRDefault="00FF76DD" w:rsidP="00FF76DD">
            <w:pPr>
              <w:jc w:val="both"/>
              <w:rPr>
                <w:sz w:val="20"/>
                <w:lang w:val="fr-CA"/>
              </w:rPr>
            </w:pPr>
            <w:r w:rsidRPr="000870AB">
              <w:rPr>
                <w:sz w:val="20"/>
                <w:lang w:val="fr-CA"/>
              </w:rPr>
              <w:t>(M. Gaëtan Breton, juge administratif)</w:t>
            </w:r>
          </w:p>
          <w:p w:rsidR="00FF76DD" w:rsidRPr="00D0317D" w:rsidRDefault="00FF76DD" w:rsidP="00FF76DD">
            <w:pPr>
              <w:jc w:val="both"/>
              <w:rPr>
                <w:sz w:val="20"/>
              </w:rPr>
            </w:pPr>
            <w:r w:rsidRPr="00D0317D">
              <w:rPr>
                <w:sz w:val="20"/>
              </w:rPr>
              <w:t>2013 QCCRT 0554</w:t>
            </w:r>
          </w:p>
          <w:p w:rsidR="00FF76DD" w:rsidRPr="00D0317D" w:rsidRDefault="00FF76DD" w:rsidP="00FF76DD">
            <w:pPr>
              <w:jc w:val="both"/>
              <w:rPr>
                <w:sz w:val="20"/>
              </w:rPr>
            </w:pPr>
          </w:p>
        </w:tc>
        <w:tc>
          <w:tcPr>
            <w:tcW w:w="267" w:type="pct"/>
          </w:tcPr>
          <w:p w:rsidR="00FF76DD" w:rsidRPr="00D0317D" w:rsidRDefault="00FF76DD" w:rsidP="00FF76DD">
            <w:pPr>
              <w:jc w:val="both"/>
              <w:rPr>
                <w:sz w:val="20"/>
              </w:rPr>
            </w:pPr>
          </w:p>
        </w:tc>
        <w:tc>
          <w:tcPr>
            <w:tcW w:w="2366" w:type="pct"/>
            <w:gridSpan w:val="2"/>
          </w:tcPr>
          <w:p w:rsidR="00FF76DD" w:rsidRPr="00D0317D" w:rsidRDefault="00FF76DD" w:rsidP="00FF76DD">
            <w:pPr>
              <w:jc w:val="both"/>
              <w:rPr>
                <w:sz w:val="20"/>
              </w:rPr>
            </w:pPr>
            <w:r w:rsidRPr="00D0317D">
              <w:rPr>
                <w:sz w:val="20"/>
              </w:rPr>
              <w:t>Requête rejetée, faute de compétence</w:t>
            </w:r>
          </w:p>
          <w:p w:rsidR="00FF76DD" w:rsidRPr="00D0317D" w:rsidRDefault="00FF76DD" w:rsidP="00FF76DD">
            <w:pPr>
              <w:jc w:val="both"/>
              <w:rPr>
                <w:sz w:val="20"/>
              </w:rPr>
            </w:pPr>
          </w:p>
        </w:tc>
      </w:tr>
      <w:tr w:rsidR="00FF76DD" w:rsidRPr="005165BD" w:rsidTr="00A07388">
        <w:tblPrEx>
          <w:tblCellMar>
            <w:bottom w:w="0" w:type="dxa"/>
          </w:tblCellMar>
        </w:tblPrEx>
        <w:tc>
          <w:tcPr>
            <w:tcW w:w="2367" w:type="pct"/>
            <w:gridSpan w:val="2"/>
          </w:tcPr>
          <w:p w:rsidR="00FF76DD" w:rsidRPr="000870AB" w:rsidRDefault="00FF76DD" w:rsidP="00FF76DD">
            <w:pPr>
              <w:jc w:val="both"/>
              <w:rPr>
                <w:sz w:val="20"/>
                <w:lang w:val="fr-CA"/>
              </w:rPr>
            </w:pPr>
            <w:r w:rsidRPr="000870AB">
              <w:rPr>
                <w:sz w:val="20"/>
                <w:lang w:val="fr-CA"/>
              </w:rPr>
              <w:t>Le 21 novembre 2014</w:t>
            </w:r>
          </w:p>
          <w:p w:rsidR="00FF76DD" w:rsidRPr="000870AB" w:rsidRDefault="00FF76DD" w:rsidP="00FF76DD">
            <w:pPr>
              <w:jc w:val="both"/>
              <w:rPr>
                <w:sz w:val="20"/>
                <w:lang w:val="fr-CA"/>
              </w:rPr>
            </w:pPr>
            <w:r w:rsidRPr="000870AB">
              <w:rPr>
                <w:sz w:val="20"/>
                <w:lang w:val="fr-CA"/>
              </w:rPr>
              <w:t>Cour supérieure du Québec</w:t>
            </w:r>
          </w:p>
          <w:p w:rsidR="00FF76DD" w:rsidRPr="00D0317D" w:rsidRDefault="00FF76DD" w:rsidP="00FF76DD">
            <w:pPr>
              <w:jc w:val="both"/>
              <w:rPr>
                <w:sz w:val="20"/>
              </w:rPr>
            </w:pPr>
            <w:r w:rsidRPr="00D0317D">
              <w:rPr>
                <w:sz w:val="20"/>
              </w:rPr>
              <w:t xml:space="preserve">(La </w:t>
            </w:r>
            <w:proofErr w:type="spellStart"/>
            <w:r w:rsidRPr="00D0317D">
              <w:rPr>
                <w:sz w:val="20"/>
              </w:rPr>
              <w:t>juge</w:t>
            </w:r>
            <w:proofErr w:type="spellEnd"/>
            <w:r w:rsidRPr="00D0317D">
              <w:rPr>
                <w:sz w:val="20"/>
              </w:rPr>
              <w:t xml:space="preserve"> </w:t>
            </w:r>
            <w:proofErr w:type="spellStart"/>
            <w:r w:rsidRPr="00D0317D">
              <w:rPr>
                <w:sz w:val="20"/>
              </w:rPr>
              <w:t>Grenier</w:t>
            </w:r>
            <w:proofErr w:type="spellEnd"/>
            <w:r w:rsidRPr="00D0317D">
              <w:rPr>
                <w:sz w:val="20"/>
              </w:rPr>
              <w:t>)</w:t>
            </w:r>
          </w:p>
          <w:p w:rsidR="00FF76DD" w:rsidRPr="00D0317D" w:rsidRDefault="00985225" w:rsidP="00FF76DD">
            <w:pPr>
              <w:jc w:val="both"/>
              <w:rPr>
                <w:sz w:val="20"/>
              </w:rPr>
            </w:pPr>
            <w:hyperlink r:id="rId45" w:history="1">
              <w:r w:rsidR="00FF76DD" w:rsidRPr="00D0317D">
                <w:rPr>
                  <w:rStyle w:val="Hyperlink"/>
                  <w:sz w:val="20"/>
                </w:rPr>
                <w:t>2014 QCCS 5580</w:t>
              </w:r>
            </w:hyperlink>
          </w:p>
          <w:p w:rsidR="00FF76DD" w:rsidRPr="00D0317D" w:rsidRDefault="00FF76DD" w:rsidP="00FF76DD">
            <w:pPr>
              <w:jc w:val="both"/>
              <w:rPr>
                <w:sz w:val="20"/>
              </w:rPr>
            </w:pPr>
          </w:p>
        </w:tc>
        <w:tc>
          <w:tcPr>
            <w:tcW w:w="267" w:type="pct"/>
          </w:tcPr>
          <w:p w:rsidR="00FF76DD" w:rsidRPr="00D0317D" w:rsidRDefault="00FF76DD" w:rsidP="00FF76DD">
            <w:pPr>
              <w:jc w:val="both"/>
              <w:rPr>
                <w:sz w:val="20"/>
              </w:rPr>
            </w:pPr>
          </w:p>
        </w:tc>
        <w:tc>
          <w:tcPr>
            <w:tcW w:w="2366" w:type="pct"/>
            <w:gridSpan w:val="2"/>
          </w:tcPr>
          <w:p w:rsidR="00FF76DD" w:rsidRPr="000870AB" w:rsidRDefault="00FF76DD" w:rsidP="00FF76DD">
            <w:pPr>
              <w:jc w:val="both"/>
              <w:rPr>
                <w:sz w:val="20"/>
                <w:lang w:val="fr-CA"/>
              </w:rPr>
            </w:pPr>
            <w:r w:rsidRPr="000870AB">
              <w:rPr>
                <w:sz w:val="20"/>
                <w:lang w:val="fr-CA"/>
              </w:rPr>
              <w:t>Requête en révision judiciaire accueillie; dossier retourné à la Commission des relations du travail</w:t>
            </w:r>
          </w:p>
        </w:tc>
      </w:tr>
      <w:tr w:rsidR="00FF76DD" w:rsidRPr="00D0317D" w:rsidTr="00A07388">
        <w:tblPrEx>
          <w:tblCellMar>
            <w:bottom w:w="0" w:type="dxa"/>
          </w:tblCellMar>
        </w:tblPrEx>
        <w:tc>
          <w:tcPr>
            <w:tcW w:w="2367" w:type="pct"/>
            <w:gridSpan w:val="2"/>
          </w:tcPr>
          <w:p w:rsidR="00FF76DD" w:rsidRPr="000870AB" w:rsidRDefault="00FF76DD" w:rsidP="00FF76DD">
            <w:pPr>
              <w:jc w:val="both"/>
              <w:rPr>
                <w:sz w:val="20"/>
                <w:lang w:val="fr-CA"/>
              </w:rPr>
            </w:pPr>
            <w:r w:rsidRPr="000870AB">
              <w:rPr>
                <w:sz w:val="20"/>
                <w:lang w:val="fr-CA"/>
              </w:rPr>
              <w:t>Le 18 février 2016</w:t>
            </w:r>
          </w:p>
          <w:p w:rsidR="00FF76DD" w:rsidRPr="000870AB" w:rsidRDefault="00FF76DD" w:rsidP="00FF76DD">
            <w:pPr>
              <w:jc w:val="both"/>
              <w:rPr>
                <w:sz w:val="20"/>
                <w:lang w:val="fr-CA"/>
              </w:rPr>
            </w:pPr>
            <w:r w:rsidRPr="000870AB">
              <w:rPr>
                <w:sz w:val="20"/>
                <w:lang w:val="fr-CA"/>
              </w:rPr>
              <w:t>Cour d’appel du Québec (Montréal)</w:t>
            </w:r>
          </w:p>
          <w:p w:rsidR="00FF76DD" w:rsidRPr="000870AB" w:rsidRDefault="00FF76DD" w:rsidP="00FF76DD">
            <w:pPr>
              <w:jc w:val="both"/>
              <w:rPr>
                <w:sz w:val="20"/>
                <w:lang w:val="fr-CA"/>
              </w:rPr>
            </w:pPr>
            <w:r w:rsidRPr="000870AB">
              <w:rPr>
                <w:sz w:val="20"/>
                <w:lang w:val="fr-CA"/>
              </w:rPr>
              <w:t xml:space="preserve">(Les juges </w:t>
            </w:r>
            <w:proofErr w:type="spellStart"/>
            <w:r w:rsidRPr="000870AB">
              <w:rPr>
                <w:sz w:val="20"/>
                <w:lang w:val="fr-CA"/>
              </w:rPr>
              <w:t>Dutil</w:t>
            </w:r>
            <w:proofErr w:type="spellEnd"/>
            <w:r w:rsidRPr="000870AB">
              <w:rPr>
                <w:sz w:val="20"/>
                <w:lang w:val="fr-CA"/>
              </w:rPr>
              <w:t xml:space="preserve">, Lévesque et </w:t>
            </w:r>
            <w:proofErr w:type="spellStart"/>
            <w:r w:rsidRPr="000870AB">
              <w:rPr>
                <w:sz w:val="20"/>
                <w:lang w:val="fr-CA"/>
              </w:rPr>
              <w:t>Emond</w:t>
            </w:r>
            <w:proofErr w:type="spellEnd"/>
            <w:r w:rsidRPr="000870AB">
              <w:rPr>
                <w:sz w:val="20"/>
                <w:lang w:val="fr-CA"/>
              </w:rPr>
              <w:t>)</w:t>
            </w:r>
          </w:p>
          <w:p w:rsidR="00FF76DD" w:rsidRPr="00D0317D" w:rsidRDefault="00985225" w:rsidP="00FF76DD">
            <w:pPr>
              <w:jc w:val="both"/>
              <w:rPr>
                <w:sz w:val="20"/>
              </w:rPr>
            </w:pPr>
            <w:hyperlink r:id="rId46" w:history="1">
              <w:r w:rsidR="00FF76DD" w:rsidRPr="00D0317D">
                <w:rPr>
                  <w:rStyle w:val="Hyperlink"/>
                  <w:sz w:val="20"/>
                </w:rPr>
                <w:t>2016 QCCA 308</w:t>
              </w:r>
            </w:hyperlink>
          </w:p>
          <w:p w:rsidR="00FF76DD" w:rsidRPr="00D0317D" w:rsidRDefault="00FF76DD" w:rsidP="00FF76DD">
            <w:pPr>
              <w:jc w:val="both"/>
              <w:rPr>
                <w:sz w:val="20"/>
              </w:rPr>
            </w:pPr>
          </w:p>
        </w:tc>
        <w:tc>
          <w:tcPr>
            <w:tcW w:w="267" w:type="pct"/>
          </w:tcPr>
          <w:p w:rsidR="00FF76DD" w:rsidRPr="00D0317D" w:rsidRDefault="00FF76DD" w:rsidP="00FF76DD">
            <w:pPr>
              <w:jc w:val="both"/>
              <w:rPr>
                <w:sz w:val="20"/>
              </w:rPr>
            </w:pPr>
          </w:p>
        </w:tc>
        <w:tc>
          <w:tcPr>
            <w:tcW w:w="2366" w:type="pct"/>
            <w:gridSpan w:val="2"/>
          </w:tcPr>
          <w:p w:rsidR="00FF76DD" w:rsidRPr="00D0317D" w:rsidRDefault="00FF76DD" w:rsidP="00FF76DD">
            <w:pPr>
              <w:jc w:val="both"/>
              <w:rPr>
                <w:sz w:val="20"/>
              </w:rPr>
            </w:pPr>
            <w:r w:rsidRPr="00D0317D">
              <w:rPr>
                <w:sz w:val="20"/>
              </w:rPr>
              <w:t>Appel rejeté</w:t>
            </w:r>
          </w:p>
          <w:p w:rsidR="00FF76DD" w:rsidRPr="00D0317D" w:rsidRDefault="00FF76DD" w:rsidP="00FF76DD">
            <w:pPr>
              <w:jc w:val="both"/>
              <w:rPr>
                <w:sz w:val="20"/>
              </w:rPr>
            </w:pPr>
          </w:p>
        </w:tc>
      </w:tr>
      <w:tr w:rsidR="00FF76DD" w:rsidRPr="00D0317D" w:rsidTr="00A07388">
        <w:tblPrEx>
          <w:tblCellMar>
            <w:bottom w:w="0" w:type="dxa"/>
          </w:tblCellMar>
        </w:tblPrEx>
        <w:tc>
          <w:tcPr>
            <w:tcW w:w="2367" w:type="pct"/>
            <w:gridSpan w:val="2"/>
          </w:tcPr>
          <w:p w:rsidR="00FF76DD" w:rsidRPr="000870AB" w:rsidRDefault="00FF76DD" w:rsidP="00FF76DD">
            <w:pPr>
              <w:jc w:val="both"/>
              <w:rPr>
                <w:sz w:val="20"/>
                <w:lang w:val="fr-CA"/>
              </w:rPr>
            </w:pPr>
            <w:r w:rsidRPr="000870AB">
              <w:rPr>
                <w:sz w:val="20"/>
                <w:lang w:val="fr-CA"/>
              </w:rPr>
              <w:t>Le 18 avril 2016</w:t>
            </w:r>
          </w:p>
          <w:p w:rsidR="00FF76DD" w:rsidRPr="000870AB" w:rsidRDefault="00FF76DD" w:rsidP="00FF76DD">
            <w:pPr>
              <w:jc w:val="both"/>
              <w:rPr>
                <w:sz w:val="20"/>
                <w:lang w:val="fr-CA"/>
              </w:rPr>
            </w:pPr>
            <w:r w:rsidRPr="000870AB">
              <w:rPr>
                <w:sz w:val="20"/>
                <w:lang w:val="fr-CA"/>
              </w:rPr>
              <w:t>Cour suprême du Canada</w:t>
            </w:r>
          </w:p>
        </w:tc>
        <w:tc>
          <w:tcPr>
            <w:tcW w:w="267" w:type="pct"/>
          </w:tcPr>
          <w:p w:rsidR="00FF76DD" w:rsidRPr="000870AB" w:rsidRDefault="00FF76DD" w:rsidP="00FF76DD">
            <w:pPr>
              <w:jc w:val="both"/>
              <w:rPr>
                <w:sz w:val="20"/>
                <w:lang w:val="fr-CA"/>
              </w:rPr>
            </w:pPr>
          </w:p>
        </w:tc>
        <w:tc>
          <w:tcPr>
            <w:tcW w:w="2366" w:type="pct"/>
            <w:gridSpan w:val="2"/>
          </w:tcPr>
          <w:p w:rsidR="00FF76DD" w:rsidRPr="00D0317D" w:rsidRDefault="00FF76DD" w:rsidP="00FF76DD">
            <w:pPr>
              <w:jc w:val="both"/>
              <w:rPr>
                <w:sz w:val="20"/>
              </w:rPr>
            </w:pPr>
            <w:r w:rsidRPr="00D0317D">
              <w:rPr>
                <w:sz w:val="20"/>
              </w:rPr>
              <w:t>Demande d’autorisation d’appel déposée</w:t>
            </w:r>
          </w:p>
          <w:p w:rsidR="00FF76DD" w:rsidRPr="00D0317D" w:rsidRDefault="00FF76DD" w:rsidP="00FF76DD">
            <w:pPr>
              <w:jc w:val="both"/>
              <w:rPr>
                <w:sz w:val="20"/>
              </w:rPr>
            </w:pPr>
          </w:p>
        </w:tc>
      </w:tr>
    </w:tbl>
    <w:p w:rsidR="00FF76DD" w:rsidRPr="00D0317D" w:rsidRDefault="00FF76DD" w:rsidP="00221618">
      <w:pPr>
        <w:rPr>
          <w:sz w:val="20"/>
        </w:rPr>
      </w:pPr>
    </w:p>
    <w:p w:rsidR="00C05F8E" w:rsidRPr="00D0317D" w:rsidRDefault="00C05F8E" w:rsidP="00FF76D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76DD" w:rsidRPr="00D0317D" w:rsidTr="00E95A6A">
        <w:tc>
          <w:tcPr>
            <w:tcW w:w="543" w:type="pct"/>
          </w:tcPr>
          <w:p w:rsidR="00FF76DD" w:rsidRPr="00D0317D" w:rsidRDefault="00FF76DD" w:rsidP="00FF76DD">
            <w:pPr>
              <w:jc w:val="both"/>
              <w:rPr>
                <w:sz w:val="20"/>
              </w:rPr>
            </w:pPr>
            <w:r w:rsidRPr="00D0317D">
              <w:rPr>
                <w:rStyle w:val="SCCFileNumberChar"/>
                <w:sz w:val="20"/>
                <w:szCs w:val="20"/>
              </w:rPr>
              <w:t>37039</w:t>
            </w:r>
          </w:p>
        </w:tc>
        <w:tc>
          <w:tcPr>
            <w:tcW w:w="4457" w:type="pct"/>
            <w:gridSpan w:val="3"/>
          </w:tcPr>
          <w:p w:rsidR="00FF76DD" w:rsidRPr="000870AB" w:rsidRDefault="00FF76DD" w:rsidP="00FF76DD">
            <w:pPr>
              <w:pStyle w:val="SCCLsocParty"/>
              <w:jc w:val="both"/>
              <w:rPr>
                <w:b/>
                <w:sz w:val="20"/>
                <w:szCs w:val="20"/>
                <w:lang w:val="en-US"/>
              </w:rPr>
            </w:pPr>
            <w:proofErr w:type="spellStart"/>
            <w:r w:rsidRPr="000870AB">
              <w:rPr>
                <w:b/>
                <w:sz w:val="20"/>
                <w:szCs w:val="20"/>
                <w:lang w:val="en-US"/>
              </w:rPr>
              <w:t>Deslaurier</w:t>
            </w:r>
            <w:proofErr w:type="spellEnd"/>
            <w:r w:rsidRPr="000870AB">
              <w:rPr>
                <w:b/>
                <w:sz w:val="20"/>
                <w:szCs w:val="20"/>
                <w:lang w:val="en-US"/>
              </w:rPr>
              <w:t xml:space="preserve"> Custom Cabinets Inc. v. 1728106 Ontario Inc.</w:t>
            </w:r>
          </w:p>
          <w:p w:rsidR="00FF76DD" w:rsidRPr="00D0317D" w:rsidRDefault="00FF76DD" w:rsidP="00FF76DD">
            <w:pPr>
              <w:jc w:val="both"/>
              <w:rPr>
                <w:sz w:val="20"/>
              </w:rPr>
            </w:pPr>
            <w:r w:rsidRPr="00D0317D">
              <w:rPr>
                <w:sz w:val="20"/>
              </w:rPr>
              <w:t>(Ont.) (Civil) (By Leave)</w:t>
            </w:r>
          </w:p>
        </w:tc>
      </w:tr>
      <w:tr w:rsidR="00FF76DD" w:rsidRPr="00D0317D" w:rsidTr="00E95A6A">
        <w:tc>
          <w:tcPr>
            <w:tcW w:w="5000" w:type="pct"/>
            <w:gridSpan w:val="4"/>
          </w:tcPr>
          <w:p w:rsidR="00FF76DD" w:rsidRPr="00D0317D" w:rsidRDefault="00FF76DD" w:rsidP="00FF76DD">
            <w:pPr>
              <w:jc w:val="both"/>
              <w:rPr>
                <w:sz w:val="20"/>
              </w:rPr>
            </w:pPr>
            <w:r w:rsidRPr="00D0317D">
              <w:rPr>
                <w:sz w:val="20"/>
              </w:rPr>
              <w:t xml:space="preserve">Contracts </w:t>
            </w:r>
            <w:r w:rsidRPr="00D0317D">
              <w:rPr>
                <w:color w:val="1F1F1F"/>
                <w:sz w:val="20"/>
              </w:rPr>
              <w:t>–</w:t>
            </w:r>
            <w:r w:rsidRPr="00D0317D">
              <w:rPr>
                <w:sz w:val="20"/>
              </w:rPr>
              <w:t xml:space="preserve"> Commercial lease </w:t>
            </w:r>
            <w:r w:rsidRPr="00D0317D">
              <w:rPr>
                <w:color w:val="1F1F1F"/>
                <w:sz w:val="20"/>
              </w:rPr>
              <w:t>–</w:t>
            </w:r>
            <w:r w:rsidRPr="00D0317D">
              <w:rPr>
                <w:sz w:val="20"/>
              </w:rPr>
              <w:t xml:space="preserve"> Landlord and Tenant </w:t>
            </w:r>
            <w:r w:rsidRPr="00D0317D">
              <w:rPr>
                <w:color w:val="1F1F1F"/>
                <w:sz w:val="20"/>
              </w:rPr>
              <w:t>–</w:t>
            </w:r>
            <w:r w:rsidRPr="00D0317D">
              <w:rPr>
                <w:sz w:val="20"/>
              </w:rPr>
              <w:t xml:space="preserve"> Insurance </w:t>
            </w:r>
            <w:r w:rsidRPr="00D0317D">
              <w:rPr>
                <w:color w:val="1F1F1F"/>
                <w:sz w:val="20"/>
              </w:rPr>
              <w:t>–</w:t>
            </w:r>
            <w:r w:rsidRPr="00D0317D">
              <w:rPr>
                <w:sz w:val="20"/>
              </w:rPr>
              <w:t xml:space="preserve"> Property insurance </w:t>
            </w:r>
            <w:r w:rsidRPr="00D0317D">
              <w:rPr>
                <w:color w:val="1F1F1F"/>
                <w:sz w:val="20"/>
              </w:rPr>
              <w:t>–</w:t>
            </w:r>
            <w:r w:rsidRPr="00D0317D">
              <w:rPr>
                <w:sz w:val="20"/>
              </w:rPr>
              <w:t xml:space="preserve"> Contractual loss allocation </w:t>
            </w:r>
            <w:r w:rsidRPr="00D0317D">
              <w:rPr>
                <w:color w:val="1F1F1F"/>
                <w:sz w:val="20"/>
              </w:rPr>
              <w:t>–</w:t>
            </w:r>
            <w:r w:rsidRPr="00D0317D">
              <w:rPr>
                <w:sz w:val="20"/>
              </w:rPr>
              <w:t xml:space="preserve"> Interpretation of contractual insurance covenants to determine who is responsible for loss and damage caused by fire at Landlord’s property and Tenant’s business </w:t>
            </w:r>
            <w:r w:rsidRPr="00D0317D">
              <w:rPr>
                <w:color w:val="1F1F1F"/>
                <w:sz w:val="20"/>
              </w:rPr>
              <w:t>–</w:t>
            </w:r>
            <w:r w:rsidRPr="00D0317D">
              <w:rPr>
                <w:sz w:val="20"/>
              </w:rPr>
              <w:t xml:space="preserve"> Whether covenant to insure relieves beneficiary of covenant from any liability for losses which may result from its own negligence </w:t>
            </w:r>
            <w:r w:rsidRPr="00D0317D">
              <w:rPr>
                <w:color w:val="1F1F1F"/>
                <w:sz w:val="20"/>
              </w:rPr>
              <w:t>–</w:t>
            </w:r>
            <w:r w:rsidRPr="00D0317D">
              <w:rPr>
                <w:sz w:val="20"/>
              </w:rPr>
              <w:t xml:space="preserve"> Whether appellate court may substitute its own interpretation of commercial agreement for that of judge of first instance.</w:t>
            </w:r>
          </w:p>
          <w:p w:rsidR="00FF76DD" w:rsidRPr="00D0317D" w:rsidRDefault="00FF76DD" w:rsidP="00FF76DD">
            <w:pPr>
              <w:jc w:val="both"/>
              <w:rPr>
                <w:sz w:val="20"/>
              </w:rPr>
            </w:pPr>
          </w:p>
        </w:tc>
      </w:tr>
      <w:tr w:rsidR="00FF76DD" w:rsidRPr="00D0317D" w:rsidTr="00E95A6A">
        <w:tc>
          <w:tcPr>
            <w:tcW w:w="5000" w:type="pct"/>
            <w:gridSpan w:val="4"/>
          </w:tcPr>
          <w:p w:rsidR="00FF76DD" w:rsidRPr="00D0317D" w:rsidRDefault="00FF76DD" w:rsidP="00FF76DD">
            <w:pPr>
              <w:jc w:val="both"/>
              <w:rPr>
                <w:sz w:val="20"/>
                <w:lang w:eastAsia="en-CA"/>
              </w:rPr>
            </w:pPr>
            <w:r w:rsidRPr="00D0317D">
              <w:rPr>
                <w:sz w:val="20"/>
                <w:lang w:eastAsia="en-CA"/>
              </w:rPr>
              <w:t xml:space="preserve">This appeal concerns the interpretation of insurance and cross-indemnity covenants contained in a commercial lease. After a fire destroyed the leased premises, causing significant damage to the respondent, Landlord’s building and the applicant, Tenant’s property and business, the Tenant brought a claim against the Landlord to recover its losses. </w:t>
            </w:r>
          </w:p>
          <w:p w:rsidR="00FF76DD" w:rsidRPr="00D0317D" w:rsidRDefault="00FF76DD" w:rsidP="00FF76DD">
            <w:pPr>
              <w:jc w:val="both"/>
              <w:rPr>
                <w:sz w:val="20"/>
                <w:lang w:eastAsia="en-CA"/>
              </w:rPr>
            </w:pPr>
          </w:p>
          <w:p w:rsidR="00FF76DD" w:rsidRPr="00D0317D" w:rsidRDefault="00FF76DD" w:rsidP="00FF76DD">
            <w:pPr>
              <w:jc w:val="both"/>
              <w:rPr>
                <w:sz w:val="20"/>
                <w:lang w:eastAsia="en-CA"/>
              </w:rPr>
            </w:pPr>
            <w:r w:rsidRPr="00D0317D">
              <w:rPr>
                <w:sz w:val="20"/>
                <w:lang w:eastAsia="en-CA"/>
              </w:rPr>
              <w:lastRenderedPageBreak/>
              <w:t xml:space="preserve">The Tenant successfully obtained summary judgment against the Landlord. The motion judge found the Landlord assumed the responsibility of indemnifying the Tenant and was therefore liable for the losses claimed by the Tenant. The Court of Appeal allowed the appeal and set aside the summary judgment and dismissed the Tenant’s action against the Landlord. </w:t>
            </w:r>
          </w:p>
        </w:tc>
      </w:tr>
      <w:tr w:rsidR="00FF76DD" w:rsidRPr="00D0317D" w:rsidTr="00E95A6A">
        <w:tc>
          <w:tcPr>
            <w:tcW w:w="5000" w:type="pct"/>
            <w:gridSpan w:val="4"/>
          </w:tcPr>
          <w:p w:rsidR="00FF76DD" w:rsidRPr="00D0317D" w:rsidRDefault="00FF76DD" w:rsidP="00FF76DD">
            <w:pPr>
              <w:jc w:val="both"/>
              <w:rPr>
                <w:sz w:val="20"/>
              </w:rPr>
            </w:pPr>
          </w:p>
        </w:tc>
      </w:tr>
      <w:tr w:rsidR="00FF76DD" w:rsidRPr="00D0317D" w:rsidTr="00E95A6A">
        <w:tc>
          <w:tcPr>
            <w:tcW w:w="2427" w:type="pct"/>
            <w:gridSpan w:val="2"/>
          </w:tcPr>
          <w:p w:rsidR="00FF76DD" w:rsidRPr="00D0317D" w:rsidRDefault="00FF76DD" w:rsidP="00FF76DD">
            <w:pPr>
              <w:jc w:val="both"/>
              <w:rPr>
                <w:sz w:val="20"/>
              </w:rPr>
            </w:pPr>
            <w:r w:rsidRPr="00D0317D">
              <w:rPr>
                <w:sz w:val="20"/>
              </w:rPr>
              <w:t>September 5, 2014</w:t>
            </w:r>
          </w:p>
          <w:p w:rsidR="00FF76DD" w:rsidRPr="00D0317D" w:rsidRDefault="00FF76DD" w:rsidP="00FF76DD">
            <w:pPr>
              <w:jc w:val="both"/>
              <w:rPr>
                <w:sz w:val="20"/>
              </w:rPr>
            </w:pPr>
            <w:r w:rsidRPr="00D0317D">
              <w:rPr>
                <w:sz w:val="20"/>
              </w:rPr>
              <w:t>Ontario Superior Court of Justice</w:t>
            </w:r>
          </w:p>
          <w:p w:rsidR="00FF76DD" w:rsidRPr="00D0317D" w:rsidRDefault="00FF76DD" w:rsidP="00FF76DD">
            <w:pPr>
              <w:jc w:val="both"/>
              <w:rPr>
                <w:sz w:val="20"/>
              </w:rPr>
            </w:pPr>
            <w:r w:rsidRPr="00D0317D">
              <w:rPr>
                <w:sz w:val="20"/>
              </w:rPr>
              <w:t>(</w:t>
            </w:r>
            <w:proofErr w:type="spellStart"/>
            <w:r w:rsidRPr="00D0317D">
              <w:rPr>
                <w:sz w:val="20"/>
              </w:rPr>
              <w:t>Métivier</w:t>
            </w:r>
            <w:proofErr w:type="spellEnd"/>
            <w:r w:rsidRPr="00D0317D">
              <w:rPr>
                <w:sz w:val="20"/>
              </w:rPr>
              <w:t xml:space="preserve"> J.)</w:t>
            </w:r>
          </w:p>
          <w:p w:rsidR="00FF76DD" w:rsidRPr="00D0317D" w:rsidRDefault="00985225" w:rsidP="00FF76DD">
            <w:pPr>
              <w:jc w:val="both"/>
              <w:rPr>
                <w:sz w:val="20"/>
              </w:rPr>
            </w:pPr>
            <w:hyperlink r:id="rId47" w:history="1">
              <w:r w:rsidR="00FF76DD" w:rsidRPr="00D0317D">
                <w:rPr>
                  <w:rStyle w:val="Hyperlink"/>
                  <w:sz w:val="20"/>
                </w:rPr>
                <w:t>2014 ONSC 5148</w:t>
              </w:r>
            </w:hyperlink>
          </w:p>
          <w:p w:rsidR="00FF76DD" w:rsidRPr="00D0317D" w:rsidRDefault="00FF76DD" w:rsidP="00FF76DD">
            <w:pPr>
              <w:jc w:val="both"/>
              <w:rPr>
                <w:sz w:val="20"/>
              </w:rPr>
            </w:pPr>
          </w:p>
        </w:tc>
        <w:tc>
          <w:tcPr>
            <w:tcW w:w="243" w:type="pct"/>
          </w:tcPr>
          <w:p w:rsidR="00FF76DD" w:rsidRPr="00D0317D" w:rsidRDefault="00FF76DD" w:rsidP="00FF76DD">
            <w:pPr>
              <w:jc w:val="both"/>
              <w:rPr>
                <w:sz w:val="20"/>
              </w:rPr>
            </w:pPr>
          </w:p>
        </w:tc>
        <w:tc>
          <w:tcPr>
            <w:tcW w:w="2330" w:type="pct"/>
          </w:tcPr>
          <w:p w:rsidR="00FF76DD" w:rsidRPr="00D0317D" w:rsidRDefault="00FF76DD" w:rsidP="00FF76DD">
            <w:pPr>
              <w:jc w:val="both"/>
              <w:rPr>
                <w:sz w:val="20"/>
              </w:rPr>
            </w:pPr>
            <w:r w:rsidRPr="00D0317D">
              <w:rPr>
                <w:sz w:val="20"/>
              </w:rPr>
              <w:t xml:space="preserve">Landlord 1728106 Ontario Inc. is liable to indemnify Tenant Deslaurier Custom Cabinets Inc. for its losses claimed; Motion for summary judgment to dismiss action dismissed. </w:t>
            </w:r>
          </w:p>
          <w:p w:rsidR="00FF76DD" w:rsidRPr="00D0317D" w:rsidRDefault="00FF76DD" w:rsidP="00FF76DD">
            <w:pPr>
              <w:jc w:val="both"/>
              <w:rPr>
                <w:sz w:val="20"/>
              </w:rPr>
            </w:pPr>
          </w:p>
        </w:tc>
      </w:tr>
      <w:tr w:rsidR="00FF76DD" w:rsidRPr="00D0317D" w:rsidTr="00E95A6A">
        <w:tc>
          <w:tcPr>
            <w:tcW w:w="2427" w:type="pct"/>
            <w:gridSpan w:val="2"/>
          </w:tcPr>
          <w:p w:rsidR="00FF76DD" w:rsidRPr="00D0317D" w:rsidRDefault="00FF76DD" w:rsidP="00FF76DD">
            <w:pPr>
              <w:jc w:val="both"/>
              <w:rPr>
                <w:sz w:val="20"/>
              </w:rPr>
            </w:pPr>
            <w:r w:rsidRPr="00D0317D">
              <w:rPr>
                <w:sz w:val="20"/>
              </w:rPr>
              <w:t>April 4, 2016</w:t>
            </w:r>
          </w:p>
          <w:p w:rsidR="00FF76DD" w:rsidRPr="00D0317D" w:rsidRDefault="00FF76DD" w:rsidP="00FF76DD">
            <w:pPr>
              <w:jc w:val="both"/>
              <w:rPr>
                <w:sz w:val="20"/>
              </w:rPr>
            </w:pPr>
            <w:r w:rsidRPr="00D0317D">
              <w:rPr>
                <w:sz w:val="20"/>
              </w:rPr>
              <w:t>Court of Appeal for Ontario</w:t>
            </w:r>
          </w:p>
          <w:p w:rsidR="00FF76DD" w:rsidRPr="00D0317D" w:rsidRDefault="00FF76DD" w:rsidP="00FF76DD">
            <w:pPr>
              <w:jc w:val="both"/>
              <w:rPr>
                <w:sz w:val="20"/>
              </w:rPr>
            </w:pPr>
            <w:r w:rsidRPr="00D0317D">
              <w:rPr>
                <w:sz w:val="20"/>
              </w:rPr>
              <w:t xml:space="preserve">(Cronk, </w:t>
            </w:r>
            <w:proofErr w:type="spellStart"/>
            <w:r w:rsidRPr="00D0317D">
              <w:rPr>
                <w:sz w:val="20"/>
              </w:rPr>
              <w:t>Pepall</w:t>
            </w:r>
            <w:proofErr w:type="spellEnd"/>
            <w:r w:rsidRPr="00D0317D">
              <w:rPr>
                <w:sz w:val="20"/>
              </w:rPr>
              <w:t xml:space="preserve"> and Miller JJ.A.)</w:t>
            </w:r>
          </w:p>
          <w:p w:rsidR="00FF76DD" w:rsidRPr="00D0317D" w:rsidRDefault="00985225" w:rsidP="00FF76DD">
            <w:pPr>
              <w:jc w:val="both"/>
              <w:rPr>
                <w:sz w:val="20"/>
              </w:rPr>
            </w:pPr>
            <w:hyperlink r:id="rId48" w:history="1">
              <w:r w:rsidR="00FF76DD" w:rsidRPr="00D0317D">
                <w:rPr>
                  <w:rStyle w:val="Hyperlink"/>
                  <w:sz w:val="20"/>
                </w:rPr>
                <w:t>2016 ONCA 246</w:t>
              </w:r>
            </w:hyperlink>
          </w:p>
          <w:p w:rsidR="00FF76DD" w:rsidRPr="00D0317D" w:rsidRDefault="00FF76DD" w:rsidP="00FF76DD">
            <w:pPr>
              <w:jc w:val="both"/>
              <w:rPr>
                <w:sz w:val="20"/>
              </w:rPr>
            </w:pPr>
            <w:r w:rsidRPr="00D0317D">
              <w:rPr>
                <w:sz w:val="20"/>
              </w:rPr>
              <w:t>File No.: C59429</w:t>
            </w:r>
          </w:p>
          <w:p w:rsidR="00FF76DD" w:rsidRPr="00D0317D" w:rsidRDefault="00FF76DD" w:rsidP="00FF76DD">
            <w:pPr>
              <w:jc w:val="both"/>
              <w:rPr>
                <w:sz w:val="20"/>
              </w:rPr>
            </w:pPr>
          </w:p>
        </w:tc>
        <w:tc>
          <w:tcPr>
            <w:tcW w:w="243" w:type="pct"/>
          </w:tcPr>
          <w:p w:rsidR="00FF76DD" w:rsidRPr="00D0317D" w:rsidRDefault="00FF76DD" w:rsidP="00FF76DD">
            <w:pPr>
              <w:jc w:val="both"/>
              <w:rPr>
                <w:sz w:val="20"/>
              </w:rPr>
            </w:pPr>
          </w:p>
        </w:tc>
        <w:tc>
          <w:tcPr>
            <w:tcW w:w="2330" w:type="pct"/>
          </w:tcPr>
          <w:p w:rsidR="00FF76DD" w:rsidRPr="00D0317D" w:rsidRDefault="00FF76DD" w:rsidP="00FF76DD">
            <w:pPr>
              <w:jc w:val="both"/>
              <w:rPr>
                <w:sz w:val="20"/>
              </w:rPr>
            </w:pPr>
            <w:r w:rsidRPr="00D0317D">
              <w:rPr>
                <w:sz w:val="20"/>
              </w:rPr>
              <w:t xml:space="preserve">Appeal allowed; judgment of </w:t>
            </w:r>
            <w:proofErr w:type="spellStart"/>
            <w:r w:rsidRPr="00D0317D">
              <w:rPr>
                <w:sz w:val="20"/>
              </w:rPr>
              <w:t>Métivier</w:t>
            </w:r>
            <w:proofErr w:type="spellEnd"/>
            <w:r w:rsidRPr="00D0317D">
              <w:rPr>
                <w:sz w:val="20"/>
              </w:rPr>
              <w:t> J. set aside; Tenant’s action dismissed.</w:t>
            </w:r>
          </w:p>
          <w:p w:rsidR="00FF76DD" w:rsidRPr="00D0317D" w:rsidRDefault="00FF76DD" w:rsidP="00FF76DD">
            <w:pPr>
              <w:jc w:val="both"/>
              <w:rPr>
                <w:sz w:val="20"/>
              </w:rPr>
            </w:pPr>
          </w:p>
        </w:tc>
      </w:tr>
      <w:tr w:rsidR="00FF76DD" w:rsidRPr="00D0317D" w:rsidTr="00E95A6A">
        <w:tc>
          <w:tcPr>
            <w:tcW w:w="2427" w:type="pct"/>
            <w:gridSpan w:val="2"/>
          </w:tcPr>
          <w:p w:rsidR="00FF76DD" w:rsidRPr="00D0317D" w:rsidRDefault="00FF76DD" w:rsidP="00FF76DD">
            <w:pPr>
              <w:jc w:val="both"/>
              <w:rPr>
                <w:sz w:val="20"/>
              </w:rPr>
            </w:pPr>
            <w:r w:rsidRPr="00D0317D">
              <w:rPr>
                <w:sz w:val="20"/>
              </w:rPr>
              <w:t>June 3, 2016</w:t>
            </w:r>
          </w:p>
          <w:p w:rsidR="00FF76DD" w:rsidRPr="00D0317D" w:rsidRDefault="00FF76DD" w:rsidP="00FF76DD">
            <w:pPr>
              <w:jc w:val="both"/>
              <w:rPr>
                <w:sz w:val="20"/>
              </w:rPr>
            </w:pPr>
            <w:r w:rsidRPr="00D0317D">
              <w:rPr>
                <w:sz w:val="20"/>
              </w:rPr>
              <w:t>Supreme Court of Canada</w:t>
            </w:r>
          </w:p>
        </w:tc>
        <w:tc>
          <w:tcPr>
            <w:tcW w:w="243" w:type="pct"/>
          </w:tcPr>
          <w:p w:rsidR="00FF76DD" w:rsidRPr="00D0317D" w:rsidRDefault="00FF76DD" w:rsidP="00FF76DD">
            <w:pPr>
              <w:jc w:val="both"/>
              <w:rPr>
                <w:sz w:val="20"/>
              </w:rPr>
            </w:pPr>
          </w:p>
        </w:tc>
        <w:tc>
          <w:tcPr>
            <w:tcW w:w="2330" w:type="pct"/>
          </w:tcPr>
          <w:p w:rsidR="00FF76DD" w:rsidRPr="00D0317D" w:rsidRDefault="00FF76DD" w:rsidP="00FF76DD">
            <w:pPr>
              <w:jc w:val="both"/>
              <w:rPr>
                <w:sz w:val="20"/>
              </w:rPr>
            </w:pPr>
            <w:r w:rsidRPr="00D0317D">
              <w:rPr>
                <w:sz w:val="20"/>
              </w:rPr>
              <w:t>Application for leave to appeal filed.</w:t>
            </w:r>
          </w:p>
        </w:tc>
      </w:tr>
    </w:tbl>
    <w:p w:rsidR="00FF76DD" w:rsidRPr="00D0317D" w:rsidRDefault="00FF76DD" w:rsidP="00FF76DD">
      <w:pPr>
        <w:jc w:val="both"/>
        <w:rPr>
          <w:sz w:val="20"/>
        </w:rPr>
      </w:pPr>
    </w:p>
    <w:p w:rsidR="00FF76DD" w:rsidRPr="00D0317D" w:rsidRDefault="00FF76DD" w:rsidP="00FF76D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F76DD" w:rsidRPr="00D0317D" w:rsidTr="00E95A6A">
        <w:tc>
          <w:tcPr>
            <w:tcW w:w="543" w:type="pct"/>
          </w:tcPr>
          <w:p w:rsidR="00FF76DD" w:rsidRPr="00D0317D" w:rsidRDefault="00FF76DD" w:rsidP="00FF76DD">
            <w:pPr>
              <w:jc w:val="both"/>
              <w:rPr>
                <w:sz w:val="20"/>
              </w:rPr>
            </w:pPr>
            <w:r w:rsidRPr="00D0317D">
              <w:rPr>
                <w:rStyle w:val="SCCFileNumberChar"/>
                <w:sz w:val="20"/>
                <w:szCs w:val="20"/>
              </w:rPr>
              <w:t>37039</w:t>
            </w:r>
          </w:p>
        </w:tc>
        <w:tc>
          <w:tcPr>
            <w:tcW w:w="4457" w:type="pct"/>
            <w:gridSpan w:val="3"/>
          </w:tcPr>
          <w:p w:rsidR="00FF76DD" w:rsidRPr="000870AB" w:rsidRDefault="00FF76DD" w:rsidP="00FF76DD">
            <w:pPr>
              <w:pStyle w:val="SCCLsocParty"/>
              <w:jc w:val="both"/>
              <w:rPr>
                <w:b/>
                <w:sz w:val="20"/>
                <w:szCs w:val="20"/>
                <w:lang w:val="en-US"/>
              </w:rPr>
            </w:pPr>
            <w:proofErr w:type="spellStart"/>
            <w:r w:rsidRPr="000870AB">
              <w:rPr>
                <w:b/>
                <w:sz w:val="20"/>
                <w:szCs w:val="20"/>
                <w:lang w:val="en-US"/>
              </w:rPr>
              <w:t>Deslaurier</w:t>
            </w:r>
            <w:proofErr w:type="spellEnd"/>
            <w:r w:rsidRPr="000870AB">
              <w:rPr>
                <w:b/>
                <w:sz w:val="20"/>
                <w:szCs w:val="20"/>
                <w:lang w:val="en-US"/>
              </w:rPr>
              <w:t xml:space="preserve"> Custom Cabinets Inc. c. 1728106 Ontario Inc.</w:t>
            </w:r>
          </w:p>
          <w:p w:rsidR="00FF76DD" w:rsidRPr="00D0317D" w:rsidRDefault="00FF76DD" w:rsidP="00FF76DD">
            <w:pPr>
              <w:jc w:val="both"/>
              <w:rPr>
                <w:sz w:val="20"/>
              </w:rPr>
            </w:pPr>
            <w:r w:rsidRPr="00D0317D">
              <w:rPr>
                <w:sz w:val="20"/>
              </w:rPr>
              <w:t xml:space="preserve">(Ont.) (Civile) (Sur </w:t>
            </w:r>
            <w:proofErr w:type="spellStart"/>
            <w:r w:rsidRPr="00D0317D">
              <w:rPr>
                <w:sz w:val="20"/>
              </w:rPr>
              <w:t>autorisation</w:t>
            </w:r>
            <w:proofErr w:type="spellEnd"/>
            <w:r w:rsidRPr="00D0317D">
              <w:rPr>
                <w:sz w:val="20"/>
              </w:rPr>
              <w:t>)</w:t>
            </w:r>
          </w:p>
        </w:tc>
      </w:tr>
      <w:tr w:rsidR="00FF76DD" w:rsidRPr="005165BD" w:rsidTr="00E95A6A">
        <w:tc>
          <w:tcPr>
            <w:tcW w:w="5000" w:type="pct"/>
            <w:gridSpan w:val="4"/>
          </w:tcPr>
          <w:p w:rsidR="00FF76DD" w:rsidRPr="00D0317D" w:rsidRDefault="00FF76DD" w:rsidP="00FF76DD">
            <w:pPr>
              <w:jc w:val="both"/>
              <w:rPr>
                <w:sz w:val="20"/>
                <w:lang w:val="fr-CA"/>
              </w:rPr>
            </w:pPr>
            <w:r w:rsidRPr="00D0317D">
              <w:rPr>
                <w:sz w:val="20"/>
                <w:lang w:val="fr-CA"/>
              </w:rPr>
              <w:t xml:space="preserve">Contrats </w:t>
            </w:r>
            <w:r w:rsidRPr="00D0317D">
              <w:rPr>
                <w:color w:val="1F1F1F"/>
                <w:sz w:val="20"/>
                <w:lang w:val="fr-CA"/>
              </w:rPr>
              <w:t>–</w:t>
            </w:r>
            <w:r w:rsidRPr="00D0317D">
              <w:rPr>
                <w:sz w:val="20"/>
                <w:lang w:val="fr-CA"/>
              </w:rPr>
              <w:t xml:space="preserve"> Bail commercial </w:t>
            </w:r>
            <w:r w:rsidRPr="00D0317D">
              <w:rPr>
                <w:color w:val="1F1F1F"/>
                <w:sz w:val="20"/>
                <w:lang w:val="fr-CA"/>
              </w:rPr>
              <w:t>– L</w:t>
            </w:r>
            <w:r w:rsidRPr="00D0317D">
              <w:rPr>
                <w:sz w:val="20"/>
                <w:lang w:val="fr-CA"/>
              </w:rPr>
              <w:t xml:space="preserve">ocateur et locataire </w:t>
            </w:r>
            <w:r w:rsidRPr="00D0317D">
              <w:rPr>
                <w:color w:val="1F1F1F"/>
                <w:sz w:val="20"/>
                <w:lang w:val="fr-CA"/>
              </w:rPr>
              <w:t>–</w:t>
            </w:r>
            <w:r w:rsidRPr="00D0317D">
              <w:rPr>
                <w:sz w:val="20"/>
                <w:lang w:val="fr-CA"/>
              </w:rPr>
              <w:t xml:space="preserve"> Assurance </w:t>
            </w:r>
            <w:r w:rsidRPr="00D0317D">
              <w:rPr>
                <w:color w:val="1F1F1F"/>
                <w:sz w:val="20"/>
                <w:lang w:val="fr-CA"/>
              </w:rPr>
              <w:t>–</w:t>
            </w:r>
            <w:r w:rsidRPr="00D0317D">
              <w:rPr>
                <w:sz w:val="20"/>
                <w:lang w:val="fr-CA"/>
              </w:rPr>
              <w:t xml:space="preserve"> Assurance de biens </w:t>
            </w:r>
            <w:r w:rsidRPr="00D0317D">
              <w:rPr>
                <w:color w:val="1F1F1F"/>
                <w:sz w:val="20"/>
                <w:lang w:val="fr-CA"/>
              </w:rPr>
              <w:t>–</w:t>
            </w:r>
            <w:r w:rsidRPr="00D0317D">
              <w:rPr>
                <w:sz w:val="20"/>
                <w:lang w:val="fr-CA"/>
              </w:rPr>
              <w:t xml:space="preserve"> Allocation pour pertes découlant d’un contrat </w:t>
            </w:r>
            <w:r w:rsidRPr="00D0317D">
              <w:rPr>
                <w:color w:val="1F1F1F"/>
                <w:sz w:val="20"/>
                <w:lang w:val="fr-CA"/>
              </w:rPr>
              <w:t>–</w:t>
            </w:r>
            <w:r w:rsidRPr="00D0317D">
              <w:rPr>
                <w:sz w:val="20"/>
                <w:lang w:val="fr-CA"/>
              </w:rPr>
              <w:t xml:space="preserve"> Interprétation des clauses d’un contrat d’assurance pour déterminer qui est responsable des pertes et des dommages causés par un feu qui a fait rage dans l’immeuble de la locatrice et le commerce de la locataire </w:t>
            </w:r>
            <w:r w:rsidRPr="00D0317D">
              <w:rPr>
                <w:color w:val="1F1F1F"/>
                <w:sz w:val="20"/>
                <w:lang w:val="fr-CA"/>
              </w:rPr>
              <w:t>–</w:t>
            </w:r>
            <w:r w:rsidRPr="00D0317D">
              <w:rPr>
                <w:sz w:val="20"/>
                <w:lang w:val="fr-CA"/>
              </w:rPr>
              <w:t xml:space="preserve"> Une clause d’assurance exonère-t-elle celle qui en bénéficie de toute responsabilité pour les pertes qui peuvent résulter de sa propre négligence? </w:t>
            </w:r>
            <w:r w:rsidRPr="00D0317D">
              <w:rPr>
                <w:color w:val="1F1F1F"/>
                <w:sz w:val="20"/>
                <w:lang w:val="fr-CA"/>
              </w:rPr>
              <w:t>–</w:t>
            </w:r>
            <w:r w:rsidRPr="00D0317D">
              <w:rPr>
                <w:sz w:val="20"/>
                <w:lang w:val="fr-CA"/>
              </w:rPr>
              <w:t xml:space="preserve"> La Cour d’appel peut-elle substituer sa propre interprétation de l’entente commerciale à celle du juge de première instance? </w:t>
            </w:r>
          </w:p>
          <w:p w:rsidR="00FF76DD" w:rsidRPr="00D0317D" w:rsidRDefault="00FF76DD" w:rsidP="00FF76DD">
            <w:pPr>
              <w:jc w:val="both"/>
              <w:rPr>
                <w:sz w:val="20"/>
                <w:lang w:val="fr-CA"/>
              </w:rPr>
            </w:pPr>
          </w:p>
        </w:tc>
      </w:tr>
      <w:tr w:rsidR="00FF76DD" w:rsidRPr="005165BD" w:rsidTr="00E95A6A">
        <w:tc>
          <w:tcPr>
            <w:tcW w:w="5000" w:type="pct"/>
            <w:gridSpan w:val="4"/>
          </w:tcPr>
          <w:p w:rsidR="00FF76DD" w:rsidRPr="00D0317D" w:rsidRDefault="00FF76DD" w:rsidP="00FF76DD">
            <w:pPr>
              <w:jc w:val="both"/>
              <w:rPr>
                <w:sz w:val="20"/>
                <w:lang w:val="fr-CA" w:eastAsia="en-CA"/>
              </w:rPr>
            </w:pPr>
            <w:r w:rsidRPr="00D0317D">
              <w:rPr>
                <w:sz w:val="20"/>
                <w:lang w:val="fr-CA" w:eastAsia="en-CA"/>
              </w:rPr>
              <w:t xml:space="preserve">Le présent appel porte sur l’interprétation des clauses d’assurance et d’indemnisation croisée figurant dans un bail commercial. Après qu’un feu a détruit les locaux loués, ce qui a causé d’importants dommages à l’intimée, à l’édifice de la locatrice et demanderesse, aux biens de la locataire et à son commerce, la locataire a intenté un recours contre la locatrice afin d’être indemnisée pour les pertes qu’elle a subies. </w:t>
            </w:r>
          </w:p>
          <w:p w:rsidR="00FF76DD" w:rsidRPr="00D0317D" w:rsidRDefault="00FF76DD" w:rsidP="00FF76DD">
            <w:pPr>
              <w:jc w:val="both"/>
              <w:rPr>
                <w:sz w:val="20"/>
                <w:lang w:val="fr-CA" w:eastAsia="en-CA"/>
              </w:rPr>
            </w:pPr>
          </w:p>
          <w:p w:rsidR="00FF76DD" w:rsidRPr="00D0317D" w:rsidRDefault="00FF76DD" w:rsidP="00FF76DD">
            <w:pPr>
              <w:jc w:val="both"/>
              <w:rPr>
                <w:sz w:val="20"/>
                <w:lang w:val="fr-CA" w:eastAsia="en-CA"/>
              </w:rPr>
            </w:pPr>
            <w:r w:rsidRPr="00D0317D">
              <w:rPr>
                <w:sz w:val="20"/>
                <w:lang w:val="fr-CA" w:eastAsia="en-CA"/>
              </w:rPr>
              <w:t xml:space="preserve">La locataire a obtenu un jugement sommaire en sa faveur contre la locatrice. Le juge des requêtes a conclu que la locatrice avait la responsabilité d’indemniser la locataire et était donc responsable des pertes alléguées de la locatrice. La Cour d’appel a accueilli l’appel, annulé le jugement sommaire et rejeté la poursuite de la locataire contre la locatrice. </w:t>
            </w:r>
          </w:p>
        </w:tc>
      </w:tr>
      <w:tr w:rsidR="00FF76DD" w:rsidRPr="005165BD" w:rsidTr="00E95A6A">
        <w:tc>
          <w:tcPr>
            <w:tcW w:w="5000" w:type="pct"/>
            <w:gridSpan w:val="4"/>
          </w:tcPr>
          <w:p w:rsidR="00FF76DD" w:rsidRPr="00D0317D" w:rsidRDefault="00FF76DD" w:rsidP="00FF76DD">
            <w:pPr>
              <w:jc w:val="both"/>
              <w:rPr>
                <w:sz w:val="20"/>
                <w:lang w:val="fr-CA"/>
              </w:rPr>
            </w:pPr>
          </w:p>
        </w:tc>
      </w:tr>
      <w:tr w:rsidR="00FF76DD" w:rsidRPr="005165BD" w:rsidTr="00E95A6A">
        <w:tc>
          <w:tcPr>
            <w:tcW w:w="2427" w:type="pct"/>
            <w:gridSpan w:val="2"/>
          </w:tcPr>
          <w:p w:rsidR="00FF76DD" w:rsidRPr="00D0317D" w:rsidRDefault="00FF76DD" w:rsidP="00FF76DD">
            <w:pPr>
              <w:jc w:val="both"/>
              <w:rPr>
                <w:sz w:val="20"/>
                <w:lang w:val="fr-CA"/>
              </w:rPr>
            </w:pPr>
            <w:r w:rsidRPr="00D0317D">
              <w:rPr>
                <w:sz w:val="20"/>
                <w:lang w:val="fr-CA"/>
              </w:rPr>
              <w:t>5 septembre 2014</w:t>
            </w:r>
          </w:p>
          <w:p w:rsidR="00FF76DD" w:rsidRPr="00D0317D" w:rsidRDefault="00FF76DD" w:rsidP="00FF76DD">
            <w:pPr>
              <w:jc w:val="both"/>
              <w:rPr>
                <w:sz w:val="20"/>
                <w:lang w:val="fr-CA"/>
              </w:rPr>
            </w:pPr>
            <w:r w:rsidRPr="00D0317D">
              <w:rPr>
                <w:sz w:val="20"/>
                <w:lang w:val="fr-CA"/>
              </w:rPr>
              <w:t xml:space="preserve">Cour supérieure de justice de l’Ontario </w:t>
            </w:r>
          </w:p>
          <w:p w:rsidR="00FF76DD" w:rsidRPr="00D0317D" w:rsidRDefault="00FF76DD" w:rsidP="00FF76DD">
            <w:pPr>
              <w:jc w:val="both"/>
              <w:rPr>
                <w:sz w:val="20"/>
              </w:rPr>
            </w:pPr>
            <w:r w:rsidRPr="00D0317D">
              <w:rPr>
                <w:sz w:val="20"/>
              </w:rPr>
              <w:t>(</w:t>
            </w:r>
            <w:proofErr w:type="spellStart"/>
            <w:r w:rsidRPr="00D0317D">
              <w:rPr>
                <w:sz w:val="20"/>
              </w:rPr>
              <w:t>Juge</w:t>
            </w:r>
            <w:proofErr w:type="spellEnd"/>
            <w:r w:rsidRPr="00D0317D">
              <w:rPr>
                <w:sz w:val="20"/>
              </w:rPr>
              <w:t xml:space="preserve"> </w:t>
            </w:r>
            <w:proofErr w:type="spellStart"/>
            <w:r w:rsidRPr="00D0317D">
              <w:rPr>
                <w:sz w:val="20"/>
              </w:rPr>
              <w:t>Métivier</w:t>
            </w:r>
            <w:proofErr w:type="spellEnd"/>
            <w:r w:rsidRPr="00D0317D">
              <w:rPr>
                <w:sz w:val="20"/>
              </w:rPr>
              <w:t>)</w:t>
            </w:r>
          </w:p>
          <w:p w:rsidR="00FF76DD" w:rsidRPr="00D0317D" w:rsidRDefault="00985225" w:rsidP="00FF76DD">
            <w:pPr>
              <w:jc w:val="both"/>
              <w:rPr>
                <w:sz w:val="20"/>
              </w:rPr>
            </w:pPr>
            <w:hyperlink r:id="rId49" w:history="1">
              <w:r w:rsidR="00FF76DD" w:rsidRPr="00D0317D">
                <w:rPr>
                  <w:rStyle w:val="Hyperlink"/>
                  <w:sz w:val="20"/>
                </w:rPr>
                <w:t>2014 ONSC 5148</w:t>
              </w:r>
            </w:hyperlink>
          </w:p>
          <w:p w:rsidR="00FF76DD" w:rsidRPr="00D0317D" w:rsidRDefault="00FF76DD" w:rsidP="00FF76DD">
            <w:pPr>
              <w:jc w:val="both"/>
              <w:rPr>
                <w:sz w:val="20"/>
              </w:rPr>
            </w:pPr>
          </w:p>
        </w:tc>
        <w:tc>
          <w:tcPr>
            <w:tcW w:w="243" w:type="pct"/>
          </w:tcPr>
          <w:p w:rsidR="00FF76DD" w:rsidRPr="00D0317D" w:rsidRDefault="00FF76DD" w:rsidP="00FF76DD">
            <w:pPr>
              <w:jc w:val="both"/>
              <w:rPr>
                <w:sz w:val="20"/>
              </w:rPr>
            </w:pPr>
          </w:p>
        </w:tc>
        <w:tc>
          <w:tcPr>
            <w:tcW w:w="2330" w:type="pct"/>
          </w:tcPr>
          <w:p w:rsidR="00FF76DD" w:rsidRPr="00D0317D" w:rsidRDefault="00FF76DD" w:rsidP="00FF76DD">
            <w:pPr>
              <w:jc w:val="both"/>
              <w:rPr>
                <w:sz w:val="20"/>
                <w:lang w:val="fr-CA"/>
              </w:rPr>
            </w:pPr>
            <w:r w:rsidRPr="00D0317D">
              <w:rPr>
                <w:sz w:val="20"/>
                <w:lang w:val="fr-CA"/>
              </w:rPr>
              <w:t xml:space="preserve">La locatrice 1728106 Ontario Inc. est responsable d’indemniser la locataire </w:t>
            </w:r>
            <w:proofErr w:type="spellStart"/>
            <w:r w:rsidRPr="00D0317D">
              <w:rPr>
                <w:sz w:val="20"/>
                <w:lang w:val="fr-CA"/>
              </w:rPr>
              <w:t>Deslaurier</w:t>
            </w:r>
            <w:proofErr w:type="spellEnd"/>
            <w:r w:rsidRPr="00D0317D">
              <w:rPr>
                <w:sz w:val="20"/>
                <w:lang w:val="fr-CA"/>
              </w:rPr>
              <w:t xml:space="preserve"> Custom Cabinets Inc. pour les pertes qu’elle affirme avoir subies; requête visant le prononcé d’un jugement sommaire rejetant la poursuite rejetée </w:t>
            </w:r>
          </w:p>
          <w:p w:rsidR="00FF76DD" w:rsidRPr="00D0317D" w:rsidRDefault="00FF76DD" w:rsidP="00FF76DD">
            <w:pPr>
              <w:jc w:val="both"/>
              <w:rPr>
                <w:sz w:val="20"/>
                <w:lang w:val="fr-CA"/>
              </w:rPr>
            </w:pPr>
          </w:p>
        </w:tc>
      </w:tr>
      <w:tr w:rsidR="00FF76DD" w:rsidRPr="005165BD" w:rsidTr="00E95A6A">
        <w:tc>
          <w:tcPr>
            <w:tcW w:w="2427" w:type="pct"/>
            <w:gridSpan w:val="2"/>
          </w:tcPr>
          <w:p w:rsidR="00FF76DD" w:rsidRPr="00D0317D" w:rsidRDefault="00FF76DD" w:rsidP="00FF76DD">
            <w:pPr>
              <w:jc w:val="both"/>
              <w:rPr>
                <w:sz w:val="20"/>
                <w:lang w:val="fr-CA"/>
              </w:rPr>
            </w:pPr>
            <w:r w:rsidRPr="00D0317D">
              <w:rPr>
                <w:sz w:val="20"/>
                <w:lang w:val="fr-CA"/>
              </w:rPr>
              <w:t>4 avril 2016</w:t>
            </w:r>
          </w:p>
          <w:p w:rsidR="00FF76DD" w:rsidRPr="00D0317D" w:rsidRDefault="00FF76DD" w:rsidP="00FF76DD">
            <w:pPr>
              <w:jc w:val="both"/>
              <w:rPr>
                <w:sz w:val="20"/>
                <w:lang w:val="fr-CA"/>
              </w:rPr>
            </w:pPr>
            <w:r w:rsidRPr="00D0317D">
              <w:rPr>
                <w:sz w:val="20"/>
                <w:lang w:val="fr-CA"/>
              </w:rPr>
              <w:t>Cour d’appel de l’Ontario</w:t>
            </w:r>
          </w:p>
          <w:p w:rsidR="00FF76DD" w:rsidRPr="00D0317D" w:rsidRDefault="00FF76DD" w:rsidP="00FF76DD">
            <w:pPr>
              <w:jc w:val="both"/>
              <w:rPr>
                <w:sz w:val="20"/>
                <w:lang w:val="fr-CA"/>
              </w:rPr>
            </w:pPr>
            <w:r w:rsidRPr="00D0317D">
              <w:rPr>
                <w:sz w:val="20"/>
                <w:lang w:val="fr-CA"/>
              </w:rPr>
              <w:t xml:space="preserve">(Juges </w:t>
            </w:r>
            <w:proofErr w:type="spellStart"/>
            <w:r w:rsidRPr="00D0317D">
              <w:rPr>
                <w:sz w:val="20"/>
                <w:lang w:val="fr-CA"/>
              </w:rPr>
              <w:t>Cronk</w:t>
            </w:r>
            <w:proofErr w:type="spellEnd"/>
            <w:r w:rsidRPr="00D0317D">
              <w:rPr>
                <w:sz w:val="20"/>
                <w:lang w:val="fr-CA"/>
              </w:rPr>
              <w:t xml:space="preserve">, </w:t>
            </w:r>
            <w:proofErr w:type="spellStart"/>
            <w:r w:rsidRPr="00D0317D">
              <w:rPr>
                <w:sz w:val="20"/>
                <w:lang w:val="fr-CA"/>
              </w:rPr>
              <w:t>Pepall</w:t>
            </w:r>
            <w:proofErr w:type="spellEnd"/>
            <w:r w:rsidRPr="00D0317D">
              <w:rPr>
                <w:sz w:val="20"/>
                <w:lang w:val="fr-CA"/>
              </w:rPr>
              <w:t xml:space="preserve"> et Miller)</w:t>
            </w:r>
          </w:p>
          <w:p w:rsidR="00FF76DD" w:rsidRPr="00D0317D" w:rsidRDefault="00985225" w:rsidP="00FF76DD">
            <w:pPr>
              <w:jc w:val="both"/>
              <w:rPr>
                <w:sz w:val="20"/>
              </w:rPr>
            </w:pPr>
            <w:hyperlink r:id="rId50" w:history="1">
              <w:r w:rsidR="00FF76DD" w:rsidRPr="00D0317D">
                <w:rPr>
                  <w:rStyle w:val="Hyperlink"/>
                  <w:sz w:val="20"/>
                </w:rPr>
                <w:t>2016 ONCA 246</w:t>
              </w:r>
            </w:hyperlink>
          </w:p>
          <w:p w:rsidR="00FF76DD" w:rsidRPr="00D0317D" w:rsidRDefault="00FF76DD" w:rsidP="00FF76DD">
            <w:pPr>
              <w:jc w:val="both"/>
              <w:rPr>
                <w:sz w:val="20"/>
              </w:rPr>
            </w:pPr>
            <w:r w:rsidRPr="00D0317D">
              <w:rPr>
                <w:sz w:val="20"/>
              </w:rPr>
              <w:t>N</w:t>
            </w:r>
            <w:r w:rsidRPr="00D0317D">
              <w:rPr>
                <w:sz w:val="20"/>
                <w:vertAlign w:val="superscript"/>
              </w:rPr>
              <w:t>o</w:t>
            </w:r>
            <w:r w:rsidRPr="00D0317D">
              <w:rPr>
                <w:sz w:val="20"/>
              </w:rPr>
              <w:t xml:space="preserve"> du greffe : C59429</w:t>
            </w:r>
          </w:p>
          <w:p w:rsidR="00FF76DD" w:rsidRPr="00D0317D" w:rsidRDefault="00FF76DD" w:rsidP="00FF76DD">
            <w:pPr>
              <w:jc w:val="both"/>
              <w:rPr>
                <w:sz w:val="20"/>
              </w:rPr>
            </w:pPr>
          </w:p>
        </w:tc>
        <w:tc>
          <w:tcPr>
            <w:tcW w:w="243" w:type="pct"/>
          </w:tcPr>
          <w:p w:rsidR="00FF76DD" w:rsidRPr="00D0317D" w:rsidRDefault="00FF76DD" w:rsidP="00FF76DD">
            <w:pPr>
              <w:jc w:val="both"/>
              <w:rPr>
                <w:sz w:val="20"/>
              </w:rPr>
            </w:pPr>
          </w:p>
        </w:tc>
        <w:tc>
          <w:tcPr>
            <w:tcW w:w="2330" w:type="pct"/>
          </w:tcPr>
          <w:p w:rsidR="00FF76DD" w:rsidRPr="00D0317D" w:rsidRDefault="00FF76DD" w:rsidP="00FF76DD">
            <w:pPr>
              <w:jc w:val="both"/>
              <w:rPr>
                <w:sz w:val="20"/>
                <w:lang w:val="fr-CA"/>
              </w:rPr>
            </w:pPr>
            <w:r w:rsidRPr="00D0317D">
              <w:rPr>
                <w:sz w:val="20"/>
                <w:lang w:val="fr-CA"/>
              </w:rPr>
              <w:t xml:space="preserve">Appel accueilli; jugement du juge </w:t>
            </w:r>
            <w:proofErr w:type="spellStart"/>
            <w:r w:rsidRPr="00D0317D">
              <w:rPr>
                <w:sz w:val="20"/>
                <w:lang w:val="fr-CA"/>
              </w:rPr>
              <w:t>Métivier</w:t>
            </w:r>
            <w:proofErr w:type="spellEnd"/>
            <w:r w:rsidRPr="00D0317D">
              <w:rPr>
                <w:sz w:val="20"/>
                <w:lang w:val="fr-CA"/>
              </w:rPr>
              <w:t xml:space="preserve"> annulé; poursuite de la locatrice rejetée</w:t>
            </w:r>
          </w:p>
          <w:p w:rsidR="00FF76DD" w:rsidRPr="00D0317D" w:rsidRDefault="00FF76DD" w:rsidP="00FF76DD">
            <w:pPr>
              <w:jc w:val="both"/>
              <w:rPr>
                <w:sz w:val="20"/>
                <w:lang w:val="fr-CA"/>
              </w:rPr>
            </w:pPr>
          </w:p>
        </w:tc>
      </w:tr>
      <w:tr w:rsidR="00FF76DD" w:rsidRPr="00D0317D" w:rsidTr="00E95A6A">
        <w:tc>
          <w:tcPr>
            <w:tcW w:w="2427" w:type="pct"/>
            <w:gridSpan w:val="2"/>
          </w:tcPr>
          <w:p w:rsidR="00FF76DD" w:rsidRPr="000870AB" w:rsidRDefault="00FF76DD" w:rsidP="00FF76DD">
            <w:pPr>
              <w:jc w:val="both"/>
              <w:rPr>
                <w:sz w:val="20"/>
                <w:lang w:val="fr-CA"/>
              </w:rPr>
            </w:pPr>
            <w:r w:rsidRPr="000870AB">
              <w:rPr>
                <w:sz w:val="20"/>
                <w:lang w:val="fr-CA"/>
              </w:rPr>
              <w:lastRenderedPageBreak/>
              <w:t>3 juin 2016</w:t>
            </w:r>
          </w:p>
          <w:p w:rsidR="00FF76DD" w:rsidRPr="000870AB" w:rsidRDefault="00FF76DD" w:rsidP="00FF76DD">
            <w:pPr>
              <w:jc w:val="both"/>
              <w:rPr>
                <w:sz w:val="20"/>
                <w:lang w:val="fr-CA"/>
              </w:rPr>
            </w:pPr>
            <w:r w:rsidRPr="000870AB">
              <w:rPr>
                <w:sz w:val="20"/>
                <w:lang w:val="fr-CA"/>
              </w:rPr>
              <w:t>Cour suprême du Canada</w:t>
            </w:r>
          </w:p>
        </w:tc>
        <w:tc>
          <w:tcPr>
            <w:tcW w:w="243" w:type="pct"/>
          </w:tcPr>
          <w:p w:rsidR="00FF76DD" w:rsidRPr="000870AB" w:rsidRDefault="00FF76DD" w:rsidP="00FF76DD">
            <w:pPr>
              <w:jc w:val="both"/>
              <w:rPr>
                <w:sz w:val="20"/>
                <w:lang w:val="fr-CA"/>
              </w:rPr>
            </w:pPr>
          </w:p>
        </w:tc>
        <w:tc>
          <w:tcPr>
            <w:tcW w:w="2330" w:type="pct"/>
          </w:tcPr>
          <w:p w:rsidR="00FF76DD" w:rsidRPr="00D0317D" w:rsidRDefault="00FF76DD" w:rsidP="00FF76DD">
            <w:pPr>
              <w:jc w:val="both"/>
              <w:rPr>
                <w:sz w:val="20"/>
              </w:rPr>
            </w:pPr>
            <w:r w:rsidRPr="00D0317D">
              <w:rPr>
                <w:sz w:val="20"/>
              </w:rPr>
              <w:t>Demande d’autorisation d’appel déposée</w:t>
            </w:r>
          </w:p>
        </w:tc>
      </w:tr>
    </w:tbl>
    <w:p w:rsidR="00C05F8E" w:rsidRPr="00D0317D" w:rsidRDefault="00C05F8E" w:rsidP="00C325B3">
      <w:pPr>
        <w:jc w:val="both"/>
        <w:rPr>
          <w:sz w:val="20"/>
          <w:lang w:val="fr-CA"/>
        </w:rPr>
      </w:pPr>
    </w:p>
    <w:p w:rsidR="003978D8" w:rsidRPr="00D0317D" w:rsidRDefault="003978D8" w:rsidP="004167B1">
      <w:pPr>
        <w:ind w:left="360" w:hanging="360"/>
        <w:jc w:val="both"/>
        <w:rPr>
          <w:rFonts w:eastAsiaTheme="minorEastAsia"/>
          <w:sz w:val="20"/>
          <w:lang w:val="fr-CA" w:eastAsia="en-CA"/>
        </w:rPr>
      </w:pPr>
    </w:p>
    <w:p w:rsidR="0055024A" w:rsidRPr="00D0317D" w:rsidRDefault="0055024A" w:rsidP="004167B1">
      <w:pPr>
        <w:ind w:left="360" w:hanging="360"/>
        <w:jc w:val="both"/>
        <w:rPr>
          <w:rFonts w:eastAsiaTheme="minorEastAsia"/>
          <w:sz w:val="20"/>
          <w:lang w:val="fr-CA" w:eastAsia="en-CA"/>
        </w:rPr>
      </w:pPr>
    </w:p>
    <w:p w:rsidR="00D3344A" w:rsidRPr="00D0317D" w:rsidRDefault="00D3344A" w:rsidP="00D3344A">
      <w:pPr>
        <w:widowControl w:val="0"/>
        <w:outlineLvl w:val="0"/>
      </w:pPr>
      <w:r w:rsidRPr="00D0317D">
        <w:t xml:space="preserve">Supreme Court of Canada / Cour suprême du </w:t>
      </w:r>
      <w:proofErr w:type="gramStart"/>
      <w:r w:rsidRPr="00D0317D">
        <w:t>Canad</w:t>
      </w:r>
      <w:r w:rsidR="00EE289F" w:rsidRPr="00D0317D">
        <w:t>a</w:t>
      </w:r>
      <w:r w:rsidRPr="00D0317D">
        <w:t xml:space="preserve"> :</w:t>
      </w:r>
      <w:proofErr w:type="gramEnd"/>
      <w:r w:rsidRPr="00D0317D">
        <w:t xml:space="preserve"> </w:t>
      </w:r>
    </w:p>
    <w:p w:rsidR="00D3344A" w:rsidRPr="00D0317D" w:rsidRDefault="00985225" w:rsidP="00D3344A">
      <w:pPr>
        <w:widowControl w:val="0"/>
        <w:outlineLvl w:val="0"/>
        <w:rPr>
          <w:u w:val="single"/>
        </w:rPr>
      </w:pPr>
      <w:hyperlink r:id="rId51" w:history="1">
        <w:r w:rsidR="00D3344A" w:rsidRPr="00D0317D">
          <w:rPr>
            <w:rStyle w:val="Hyperlink"/>
          </w:rPr>
          <w:t>comments-commentaires@scc-csc.ca</w:t>
        </w:r>
      </w:hyperlink>
    </w:p>
    <w:p w:rsidR="00D3344A" w:rsidRPr="00D0317D" w:rsidRDefault="0065588C" w:rsidP="00D3344A">
      <w:pPr>
        <w:widowControl w:val="0"/>
        <w:outlineLvl w:val="0"/>
      </w:pPr>
      <w:r w:rsidRPr="00D0317D">
        <w:t>613-</w:t>
      </w:r>
      <w:r w:rsidR="00D3344A" w:rsidRPr="00D0317D">
        <w:t>995-4330</w:t>
      </w:r>
    </w:p>
    <w:p w:rsidR="00497B5E" w:rsidRPr="00D0317D" w:rsidRDefault="00497B5E" w:rsidP="00497B5E">
      <w:pPr>
        <w:widowControl w:val="0"/>
        <w:rPr>
          <w:sz w:val="20"/>
        </w:rPr>
      </w:pPr>
    </w:p>
    <w:p w:rsidR="00F6251B" w:rsidRPr="00787447" w:rsidRDefault="003F43E6" w:rsidP="00F6251B">
      <w:pPr>
        <w:pStyle w:val="Footer"/>
        <w:jc w:val="center"/>
      </w:pPr>
      <w:r w:rsidRPr="00D0317D">
        <w:t>- 30 -</w:t>
      </w:r>
    </w:p>
    <w:p w:rsidR="00F6251B" w:rsidRPr="00787447" w:rsidRDefault="00F6251B" w:rsidP="00F6251B">
      <w:pPr>
        <w:pStyle w:val="Footer"/>
        <w:jc w:val="center"/>
      </w:pPr>
    </w:p>
    <w:p w:rsidR="00F6251B" w:rsidRPr="00787447" w:rsidRDefault="00F6251B" w:rsidP="00F6251B">
      <w:pPr>
        <w:pStyle w:val="Footer"/>
        <w:jc w:val="center"/>
      </w:pPr>
    </w:p>
    <w:sectPr w:rsidR="00F6251B" w:rsidRPr="00787447" w:rsidSect="00524822">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453A86"/>
    <w:multiLevelType w:val="hybridMultilevel"/>
    <w:tmpl w:val="8DAA33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11"/>
  </w:num>
  <w:num w:numId="12">
    <w:abstractNumId w:val="7"/>
  </w:num>
  <w:num w:numId="13">
    <w:abstractNumId w:val="17"/>
  </w:num>
  <w:num w:numId="14">
    <w:abstractNumId w:val="19"/>
  </w:num>
  <w:num w:numId="15">
    <w:abstractNumId w:val="15"/>
  </w:num>
  <w:num w:numId="16">
    <w:abstractNumId w:val="1"/>
  </w:num>
  <w:num w:numId="17">
    <w:abstractNumId w:val="6"/>
  </w:num>
  <w:num w:numId="18">
    <w:abstractNumId w:val="9"/>
  </w:num>
  <w:num w:numId="19">
    <w:abstractNumId w:val="0"/>
  </w:num>
  <w:num w:numId="20">
    <w:abstractNumId w:val="20"/>
  </w:num>
  <w:num w:numId="21">
    <w:abstractNumId w:val="14"/>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0AB"/>
    <w:rsid w:val="00087808"/>
    <w:rsid w:val="000879BA"/>
    <w:rsid w:val="00093693"/>
    <w:rsid w:val="00095627"/>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DEC"/>
    <w:rsid w:val="00124EFD"/>
    <w:rsid w:val="0012577E"/>
    <w:rsid w:val="001262EF"/>
    <w:rsid w:val="0013159F"/>
    <w:rsid w:val="00131EB1"/>
    <w:rsid w:val="00132154"/>
    <w:rsid w:val="00132635"/>
    <w:rsid w:val="00134190"/>
    <w:rsid w:val="001354E7"/>
    <w:rsid w:val="00135A54"/>
    <w:rsid w:val="00136710"/>
    <w:rsid w:val="00140982"/>
    <w:rsid w:val="00141200"/>
    <w:rsid w:val="00141591"/>
    <w:rsid w:val="00141FBC"/>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CF0"/>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693"/>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383B"/>
    <w:rsid w:val="002848CB"/>
    <w:rsid w:val="00285776"/>
    <w:rsid w:val="002858BA"/>
    <w:rsid w:val="0028661B"/>
    <w:rsid w:val="0028686B"/>
    <w:rsid w:val="0029235D"/>
    <w:rsid w:val="00292574"/>
    <w:rsid w:val="0029396A"/>
    <w:rsid w:val="00293DE2"/>
    <w:rsid w:val="0029649C"/>
    <w:rsid w:val="002A0621"/>
    <w:rsid w:val="002A17E0"/>
    <w:rsid w:val="002A4823"/>
    <w:rsid w:val="002A50D2"/>
    <w:rsid w:val="002A5245"/>
    <w:rsid w:val="002A55D1"/>
    <w:rsid w:val="002A5C41"/>
    <w:rsid w:val="002A5CF5"/>
    <w:rsid w:val="002A6EA4"/>
    <w:rsid w:val="002A7839"/>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5DC3"/>
    <w:rsid w:val="0036633C"/>
    <w:rsid w:val="00366CA4"/>
    <w:rsid w:val="00366CC9"/>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978D8"/>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894"/>
    <w:rsid w:val="00426957"/>
    <w:rsid w:val="00426976"/>
    <w:rsid w:val="00427722"/>
    <w:rsid w:val="00427F4F"/>
    <w:rsid w:val="00431731"/>
    <w:rsid w:val="00431779"/>
    <w:rsid w:val="00431A2A"/>
    <w:rsid w:val="00431CE6"/>
    <w:rsid w:val="00433C39"/>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616"/>
    <w:rsid w:val="00504706"/>
    <w:rsid w:val="00504E60"/>
    <w:rsid w:val="0050553B"/>
    <w:rsid w:val="0050674F"/>
    <w:rsid w:val="00506A2E"/>
    <w:rsid w:val="00510BE0"/>
    <w:rsid w:val="00510C5C"/>
    <w:rsid w:val="00511E62"/>
    <w:rsid w:val="005165BD"/>
    <w:rsid w:val="005208AC"/>
    <w:rsid w:val="00520B14"/>
    <w:rsid w:val="00521DC2"/>
    <w:rsid w:val="00521EFA"/>
    <w:rsid w:val="0052230A"/>
    <w:rsid w:val="00523237"/>
    <w:rsid w:val="00523A16"/>
    <w:rsid w:val="00523D2D"/>
    <w:rsid w:val="00524432"/>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74E"/>
    <w:rsid w:val="005E4545"/>
    <w:rsid w:val="005E4A75"/>
    <w:rsid w:val="005E4E13"/>
    <w:rsid w:val="005E5020"/>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10A"/>
    <w:rsid w:val="006417BC"/>
    <w:rsid w:val="00641C9C"/>
    <w:rsid w:val="00641EE6"/>
    <w:rsid w:val="00642EB3"/>
    <w:rsid w:val="006441AD"/>
    <w:rsid w:val="006442C8"/>
    <w:rsid w:val="00646E32"/>
    <w:rsid w:val="00647687"/>
    <w:rsid w:val="00651F4C"/>
    <w:rsid w:val="0065230F"/>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1127"/>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BC9"/>
    <w:rsid w:val="009056CA"/>
    <w:rsid w:val="009062BB"/>
    <w:rsid w:val="0090688C"/>
    <w:rsid w:val="0090766E"/>
    <w:rsid w:val="009119D3"/>
    <w:rsid w:val="00913DCC"/>
    <w:rsid w:val="00917B21"/>
    <w:rsid w:val="00922101"/>
    <w:rsid w:val="00922A4B"/>
    <w:rsid w:val="009241BB"/>
    <w:rsid w:val="009244F7"/>
    <w:rsid w:val="00924C0D"/>
    <w:rsid w:val="0092587F"/>
    <w:rsid w:val="00925AA4"/>
    <w:rsid w:val="009313BE"/>
    <w:rsid w:val="00932FE2"/>
    <w:rsid w:val="009340AB"/>
    <w:rsid w:val="00936192"/>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225"/>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A49EF"/>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AF6C3A"/>
    <w:rsid w:val="00AF71D2"/>
    <w:rsid w:val="00B02C5B"/>
    <w:rsid w:val="00B02DE3"/>
    <w:rsid w:val="00B037AA"/>
    <w:rsid w:val="00B054BA"/>
    <w:rsid w:val="00B06804"/>
    <w:rsid w:val="00B07908"/>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49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2F5D"/>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12C4"/>
    <w:rsid w:val="00C021BB"/>
    <w:rsid w:val="00C02367"/>
    <w:rsid w:val="00C037A3"/>
    <w:rsid w:val="00C03932"/>
    <w:rsid w:val="00C05F8E"/>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5B3"/>
    <w:rsid w:val="00C3269C"/>
    <w:rsid w:val="00C342CA"/>
    <w:rsid w:val="00C34515"/>
    <w:rsid w:val="00C34A03"/>
    <w:rsid w:val="00C34D9A"/>
    <w:rsid w:val="00C350DE"/>
    <w:rsid w:val="00C35A85"/>
    <w:rsid w:val="00C36C08"/>
    <w:rsid w:val="00C36CF8"/>
    <w:rsid w:val="00C36FF2"/>
    <w:rsid w:val="00C37183"/>
    <w:rsid w:val="00C373FF"/>
    <w:rsid w:val="00C412AD"/>
    <w:rsid w:val="00C419F7"/>
    <w:rsid w:val="00C4313B"/>
    <w:rsid w:val="00C435AB"/>
    <w:rsid w:val="00C45F01"/>
    <w:rsid w:val="00C4698C"/>
    <w:rsid w:val="00C51868"/>
    <w:rsid w:val="00C5207F"/>
    <w:rsid w:val="00C52D21"/>
    <w:rsid w:val="00C5543B"/>
    <w:rsid w:val="00C573B1"/>
    <w:rsid w:val="00C600EE"/>
    <w:rsid w:val="00C6294C"/>
    <w:rsid w:val="00C62E03"/>
    <w:rsid w:val="00C64192"/>
    <w:rsid w:val="00C647CB"/>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35F6"/>
    <w:rsid w:val="00C95234"/>
    <w:rsid w:val="00C9788C"/>
    <w:rsid w:val="00C97C59"/>
    <w:rsid w:val="00CA0C2B"/>
    <w:rsid w:val="00CA418B"/>
    <w:rsid w:val="00CA42DE"/>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540"/>
    <w:rsid w:val="00D00AA4"/>
    <w:rsid w:val="00D01406"/>
    <w:rsid w:val="00D015A7"/>
    <w:rsid w:val="00D0250E"/>
    <w:rsid w:val="00D0317D"/>
    <w:rsid w:val="00D0423A"/>
    <w:rsid w:val="00D04A90"/>
    <w:rsid w:val="00D06EF2"/>
    <w:rsid w:val="00D07131"/>
    <w:rsid w:val="00D07526"/>
    <w:rsid w:val="00D07E3B"/>
    <w:rsid w:val="00D1308F"/>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4A8A"/>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77D62"/>
    <w:rsid w:val="00D81BB1"/>
    <w:rsid w:val="00D84F6A"/>
    <w:rsid w:val="00D8506B"/>
    <w:rsid w:val="00D855D0"/>
    <w:rsid w:val="00D85A8B"/>
    <w:rsid w:val="00D86ADC"/>
    <w:rsid w:val="00D90791"/>
    <w:rsid w:val="00D90A08"/>
    <w:rsid w:val="00D90F27"/>
    <w:rsid w:val="00D90F8B"/>
    <w:rsid w:val="00D91524"/>
    <w:rsid w:val="00D91EE3"/>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264"/>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D"/>
    <w:rsid w:val="00F32569"/>
    <w:rsid w:val="00F33889"/>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6576A"/>
    <w:rsid w:val="00F70C8A"/>
    <w:rsid w:val="00F71087"/>
    <w:rsid w:val="00F71242"/>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A5"/>
    <w:rsid w:val="00FF58F3"/>
    <w:rsid w:val="00FF5AA4"/>
    <w:rsid w:val="00FF6251"/>
    <w:rsid w:val="00FF7151"/>
    <w:rsid w:val="00FF76DD"/>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9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FF76DD"/>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FF76DD"/>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fra.aspx?cas=37029" TargetMode="External"/><Relationship Id="rId18" Type="http://schemas.openxmlformats.org/officeDocument/2006/relationships/hyperlink" Target="http://www.scc-csc.ca/case-dossier/info/sum-som-eng.aspx?cas=37039" TargetMode="External"/><Relationship Id="rId26" Type="http://schemas.openxmlformats.org/officeDocument/2006/relationships/hyperlink" Target="http://canlii.ca/t/gn564" TargetMode="External"/><Relationship Id="rId39" Type="http://schemas.openxmlformats.org/officeDocument/2006/relationships/hyperlink" Target="http://c-doc.domain.scc-csc.gc.ca/L25/01/05/%3chttp:/canlii.ca/t/gfrq8%3e," TargetMode="External"/><Relationship Id="rId21" Type="http://schemas.openxmlformats.org/officeDocument/2006/relationships/hyperlink" Target="http://www.canlii.org/en/bc/bcsc/doc/2014/2014bcsc1568/2014bcsc1568.html" TargetMode="External"/><Relationship Id="rId34" Type="http://schemas.openxmlformats.org/officeDocument/2006/relationships/hyperlink" Target="http://www.canlii.org/fr/qc/qcca/doc/2016/2016qcca551/2016qcca551.html" TargetMode="External"/><Relationship Id="rId42" Type="http://schemas.openxmlformats.org/officeDocument/2006/relationships/hyperlink" Target="http://canlii.ca/t/gmc53" TargetMode="External"/><Relationship Id="rId47" Type="http://schemas.openxmlformats.org/officeDocument/2006/relationships/hyperlink" Target="http://www.canlii.org/en/on/onsc/doc/2014/2014onsc5148/2014onsc5148.html?autocompleteStr=2014%20ONSC%205148&amp;autocompletePos=1" TargetMode="External"/><Relationship Id="rId50" Type="http://schemas.openxmlformats.org/officeDocument/2006/relationships/hyperlink" Target="http://www.canlii.org/en/on/onca/doc/2016/2016onca246/2016onca246.html?autocompleteStr=2016%20ONCA%20246&amp;autocompletePos=1"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052" TargetMode="External"/><Relationship Id="rId17" Type="http://schemas.openxmlformats.org/officeDocument/2006/relationships/hyperlink" Target="http://www.scc-csc.ca/case-dossier/info/sum-som-fra.aspx?cas=36959" TargetMode="External"/><Relationship Id="rId25" Type="http://schemas.openxmlformats.org/officeDocument/2006/relationships/hyperlink" Target="http://canlii.ca/t/gn564" TargetMode="External"/><Relationship Id="rId33" Type="http://schemas.openxmlformats.org/officeDocument/2006/relationships/hyperlink" Target="http://www.canlii.org/fr/qc/qccs/doc/2016/2016qccs1468/2016qccs1468.html?autocompleteStr=500-12-325501-157&amp;autocompletePos=1" TargetMode="External"/><Relationship Id="rId38" Type="http://schemas.openxmlformats.org/officeDocument/2006/relationships/hyperlink" Target="http://www.canlii.org/en/on/onscdc/doc/2015/2015onsc7273/2015onsc7273.html?autocompleteStr=2015%20ONSC%207273&amp;autocompletePos=1" TargetMode="External"/><Relationship Id="rId46" Type="http://schemas.openxmlformats.org/officeDocument/2006/relationships/hyperlink" Target="http://www.canlii.org/fr/qc/qcca/doc/2016/2016qcca308/2016qcca308.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c-csc.ca/case-dossier/info/sum-som-eng.aspx?cas=36830" TargetMode="External"/><Relationship Id="rId20" Type="http://schemas.openxmlformats.org/officeDocument/2006/relationships/hyperlink" Target="http://www.canlii.org/en/bc/bcca/doc/2015/2015bcca347/2015bcca347.html?autocompleteStr=2015%20BCCA%20347&amp;autocompletePos=1" TargetMode="External"/><Relationship Id="rId29" Type="http://schemas.openxmlformats.org/officeDocument/2006/relationships/hyperlink" Target="http://www.canlii.org/en/on/onca/doc/2016/2016onca242/2016onca242.html?autocompleteStr=2016%20ONCA%20242&amp;autocompletePos=1" TargetMode="External"/><Relationship Id="rId41" Type="http://schemas.openxmlformats.org/officeDocument/2006/relationships/hyperlink" Target="http://c-doc.domain.scc-csc.gc.ca/L25/01/05/%3chttp:/canlii.ca/t/gfrq8%3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045" TargetMode="External"/><Relationship Id="rId24" Type="http://schemas.openxmlformats.org/officeDocument/2006/relationships/hyperlink" Target="http://canlii.ca/t/gn564" TargetMode="External"/><Relationship Id="rId32" Type="http://schemas.openxmlformats.org/officeDocument/2006/relationships/hyperlink" Target="http://www.canlii.org/en/on/onca/doc/2016/2016onca242/2016onca242.html?autocompleteStr=2016%20ONCA%20242&amp;autocompletePos=1" TargetMode="External"/><Relationship Id="rId37" Type="http://schemas.openxmlformats.org/officeDocument/2006/relationships/hyperlink" Target="http://www.canlii.org/en/on/onscdc/doc/2015/2015onsc7273/2015onsc7273.html?autocompleteStr=2015%20ONSC%207273&amp;autocompletePos=1" TargetMode="External"/><Relationship Id="rId40" Type="http://schemas.openxmlformats.org/officeDocument/2006/relationships/hyperlink" Target="http://canlii.ca/t/gmc53" TargetMode="External"/><Relationship Id="rId45" Type="http://schemas.openxmlformats.org/officeDocument/2006/relationships/hyperlink" Target="http://www.canlii.org/fr/qc/qccs/doc/2014/2014qccs5580/2014qccs5580.html?autocompleteStr=2014%20QCCS%205580&amp;autocompletePos=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c-csc.ca/case-dossier/info/sum-som-eng.aspx?cas=37065" TargetMode="External"/><Relationship Id="rId23" Type="http://schemas.openxmlformats.org/officeDocument/2006/relationships/hyperlink" Target="http://canlii.ca/t/gn564" TargetMode="External"/><Relationship Id="rId28" Type="http://schemas.openxmlformats.org/officeDocument/2006/relationships/hyperlink" Target="http://www.canlii.org/en/on/onsc/doc/2015/2015onsc632/2015onsc632.html?autocompleteStr=2015%20ONSC%20632&amp;autocompletePos=1" TargetMode="External"/><Relationship Id="rId36" Type="http://schemas.openxmlformats.org/officeDocument/2006/relationships/hyperlink" Target="http://www.canlii.org/fr/qc/qcca/doc/2016/2016qcca551/2016qcca551.html" TargetMode="External"/><Relationship Id="rId49" Type="http://schemas.openxmlformats.org/officeDocument/2006/relationships/hyperlink" Target="http://www.canlii.org/en/on/onsc/doc/2014/2014onsc5148/2014onsc5148.html?autocompleteStr=2014%20ONSC%205148&amp;autocompletePos=1" TargetMode="External"/><Relationship Id="rId57" Type="http://schemas.openxmlformats.org/officeDocument/2006/relationships/footer" Target="footer3.xml"/><Relationship Id="rId10" Type="http://schemas.openxmlformats.org/officeDocument/2006/relationships/hyperlink" Target="http://www.scc-csc.ca/case-dossier/info/sum-som-eng.aspx?cas=37057" TargetMode="External"/><Relationship Id="rId19" Type="http://schemas.openxmlformats.org/officeDocument/2006/relationships/hyperlink" Target="http://www.canlii.org/en/bc/bcsc/doc/2014/2014bcsc1568/2014bcsc1568.html" TargetMode="External"/><Relationship Id="rId31" Type="http://schemas.openxmlformats.org/officeDocument/2006/relationships/hyperlink" Target="http://www.canlii.org/en/on/onsc/doc/2015/2015onsc632/2015onsc632.html?autocompleteStr=2015%20ONSC%20632&amp;autocompletePos=1" TargetMode="External"/><Relationship Id="rId44" Type="http://schemas.openxmlformats.org/officeDocument/2006/relationships/hyperlink" Target="http://www.canlii.org/fr/qc/qcca/doc/2016/2016qcca308/2016qcca308.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056" TargetMode="External"/><Relationship Id="rId14" Type="http://schemas.openxmlformats.org/officeDocument/2006/relationships/hyperlink" Target="http://www.scc-csc.ca/case-dossier/info/sum-som-eng.aspx?cas=37019" TargetMode="External"/><Relationship Id="rId22" Type="http://schemas.openxmlformats.org/officeDocument/2006/relationships/hyperlink" Target="http://www.canlii.org/en/bc/bcca/doc/2015/2015bcca347/2015bcca347.html?autocompleteStr=2015%20BCCA%20347&amp;autocompletePos=1" TargetMode="External"/><Relationship Id="rId27" Type="http://schemas.openxmlformats.org/officeDocument/2006/relationships/hyperlink" Target="http://www.canlii.org/en/on/onsc/doc/2013/2013onsc5916/2013onsc5916.html" TargetMode="External"/><Relationship Id="rId30" Type="http://schemas.openxmlformats.org/officeDocument/2006/relationships/hyperlink" Target="http://www.canlii.org/en/on/onsc/doc/2013/2013onsc5916/2013onsc5916.html" TargetMode="External"/><Relationship Id="rId35" Type="http://schemas.openxmlformats.org/officeDocument/2006/relationships/hyperlink" Target="http://www.canlii.org/fr/qc/qccs/doc/2016/2016qccs1468/2016qccs1468.html?autocompleteStr=500-12-325501-157&amp;autocompletePos=1" TargetMode="External"/><Relationship Id="rId43" Type="http://schemas.openxmlformats.org/officeDocument/2006/relationships/hyperlink" Target="http://www.canlii.org/fr/qc/qccs/doc/2014/2014qccs5580/2014qccs5580.html?autocompleteStr=2014%20QCCS%205580&amp;autocompletePos=1" TargetMode="External"/><Relationship Id="rId48" Type="http://schemas.openxmlformats.org/officeDocument/2006/relationships/hyperlink" Target="http://www.canlii.org/en/on/onca/doc/2016/2016onca246/2016onca246.html?autocompleteStr=2016%20ONCA%20246&amp;autocompletePos=1" TargetMode="External"/><Relationship Id="rId56" Type="http://schemas.openxmlformats.org/officeDocument/2006/relationships/header" Target="header3.xml"/><Relationship Id="rId8" Type="http://schemas.openxmlformats.org/officeDocument/2006/relationships/hyperlink" Target="http://www.scc-csc.ca/case-dossier/info/sum-som-eng.aspx?cas=36660" TargetMode="External"/><Relationship Id="rId51" Type="http://schemas.openxmlformats.org/officeDocument/2006/relationships/hyperlink" Target="mailto:comments-commentaires@scc-csc.c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2D706-B6A8-44E5-9367-CE45F17D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8654</Words>
  <Characters>49333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2016-10-14T13:18:00Z</dcterms:created>
  <dcterms:modified xsi:type="dcterms:W3CDTF">2017-11-09T15:35:00Z</dcterms:modified>
</cp:coreProperties>
</file>