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C6" w:rsidRPr="00D5420F" w:rsidRDefault="00953AC6" w:rsidP="00953AC6">
      <w:pPr>
        <w:tabs>
          <w:tab w:val="center" w:pos="4680"/>
          <w:tab w:val="right" w:pos="9360"/>
        </w:tabs>
        <w:jc w:val="center"/>
        <w:rPr>
          <w:rFonts w:eastAsiaTheme="minorHAnsi" w:cstheme="minorBidi"/>
          <w:szCs w:val="24"/>
          <w:lang w:eastAsia="en-US"/>
        </w:rPr>
      </w:pPr>
      <w:r w:rsidRPr="00D5420F">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436340640" r:id="rId8"/>
        </w:object>
      </w:r>
    </w:p>
    <w:p w:rsidR="00953AC6" w:rsidRPr="00D5420F" w:rsidRDefault="00953AC6" w:rsidP="00953AC6">
      <w:pPr>
        <w:tabs>
          <w:tab w:val="center" w:pos="4680"/>
          <w:tab w:val="right" w:pos="9360"/>
        </w:tabs>
        <w:rPr>
          <w:rFonts w:eastAsiaTheme="minorHAnsi" w:cstheme="minorBidi"/>
          <w:szCs w:val="24"/>
          <w:lang w:eastAsia="en-US"/>
        </w:rPr>
      </w:pPr>
    </w:p>
    <w:p w:rsidR="00953AC6" w:rsidRPr="00D5420F" w:rsidRDefault="00953AC6" w:rsidP="00953AC6">
      <w:pPr>
        <w:jc w:val="center"/>
        <w:rPr>
          <w:rFonts w:eastAsiaTheme="minorHAnsi" w:cstheme="minorBidi"/>
          <w:b/>
          <w:szCs w:val="24"/>
          <w:lang w:eastAsia="en-US"/>
        </w:rPr>
      </w:pPr>
      <w:r w:rsidRPr="00D5420F">
        <w:rPr>
          <w:rFonts w:eastAsiaTheme="minorHAnsi" w:cstheme="minorBidi"/>
          <w:b/>
          <w:szCs w:val="24"/>
          <w:lang w:eastAsia="en-US"/>
        </w:rPr>
        <w:t>SUPREME COURT OF CANADA</w:t>
      </w:r>
    </w:p>
    <w:p w:rsidR="00953AC6" w:rsidRPr="00D5420F" w:rsidRDefault="00953AC6" w:rsidP="00953AC6">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53AC6" w:rsidRPr="00D5420F" w:rsidTr="00E567EE">
        <w:trPr>
          <w:cantSplit/>
        </w:trPr>
        <w:tc>
          <w:tcPr>
            <w:tcW w:w="6768" w:type="dxa"/>
          </w:tcPr>
          <w:p w:rsidR="00953AC6" w:rsidRPr="00D5420F" w:rsidRDefault="00953AC6" w:rsidP="00E567EE">
            <w:r w:rsidRPr="00D5420F">
              <w:rPr>
                <w:b/>
                <w:smallCaps/>
              </w:rPr>
              <w:t>Citation:</w:t>
            </w:r>
            <w:r w:rsidRPr="00D5420F">
              <w:t xml:space="preserve"> R. </w:t>
            </w:r>
            <w:r w:rsidRPr="00D5420F">
              <w:rPr>
                <w:i/>
              </w:rPr>
              <w:t xml:space="preserve">v. </w:t>
            </w:r>
            <w:proofErr w:type="spellStart"/>
            <w:r w:rsidRPr="00D833A0">
              <w:t>Khawaja</w:t>
            </w:r>
            <w:proofErr w:type="spellEnd"/>
            <w:r w:rsidRPr="00D833A0">
              <w:t xml:space="preserve">, </w:t>
            </w:r>
            <w:r w:rsidRPr="00ED51D7">
              <w:t>2012 SCC 69, [2012] 3 S.C.R. 555</w:t>
            </w:r>
          </w:p>
        </w:tc>
        <w:tc>
          <w:tcPr>
            <w:tcW w:w="2808" w:type="dxa"/>
          </w:tcPr>
          <w:p w:rsidR="00953AC6" w:rsidRPr="00D5420F" w:rsidRDefault="00953AC6" w:rsidP="00E567EE">
            <w:r w:rsidRPr="00D5420F">
              <w:rPr>
                <w:b/>
                <w:smallCaps/>
              </w:rPr>
              <w:t>Date:</w:t>
            </w:r>
            <w:r w:rsidRPr="00D5420F">
              <w:t xml:space="preserve"> 20121214</w:t>
            </w:r>
          </w:p>
          <w:p w:rsidR="00953AC6" w:rsidRPr="00D5420F" w:rsidRDefault="00953AC6" w:rsidP="00E567EE">
            <w:r w:rsidRPr="00D5420F">
              <w:rPr>
                <w:b/>
                <w:smallCaps/>
              </w:rPr>
              <w:t>Docket:</w:t>
            </w:r>
            <w:r w:rsidRPr="00D5420F">
              <w:t xml:space="preserve">  34103</w:t>
            </w:r>
          </w:p>
        </w:tc>
      </w:tr>
    </w:tbl>
    <w:p w:rsidR="00953AC6" w:rsidRPr="00D5420F" w:rsidRDefault="00953AC6" w:rsidP="00953AC6">
      <w:pPr>
        <w:rPr>
          <w:rFonts w:eastAsiaTheme="minorHAnsi" w:cstheme="minorBidi"/>
          <w:szCs w:val="24"/>
          <w:lang w:eastAsia="en-US"/>
        </w:rPr>
      </w:pPr>
    </w:p>
    <w:p w:rsidR="00953AC6" w:rsidRPr="00D5420F" w:rsidRDefault="00953AC6" w:rsidP="00953AC6">
      <w:pPr>
        <w:rPr>
          <w:rFonts w:eastAsiaTheme="minorHAnsi" w:cstheme="minorBidi"/>
          <w:b/>
          <w:smallCaps/>
          <w:szCs w:val="24"/>
          <w:lang w:eastAsia="en-US"/>
        </w:rPr>
      </w:pPr>
      <w:r w:rsidRPr="00D5420F">
        <w:rPr>
          <w:rFonts w:eastAsiaTheme="minorHAnsi" w:cstheme="minorBidi"/>
          <w:b/>
          <w:smallCaps/>
          <w:szCs w:val="24"/>
          <w:lang w:eastAsia="en-US"/>
        </w:rPr>
        <w:t>Between:</w:t>
      </w:r>
    </w:p>
    <w:p w:rsidR="00953AC6" w:rsidRPr="00D5420F" w:rsidRDefault="00953AC6" w:rsidP="00953AC6">
      <w:pPr>
        <w:jc w:val="center"/>
        <w:rPr>
          <w:rFonts w:eastAsiaTheme="minorHAnsi" w:cstheme="minorBidi"/>
          <w:b/>
          <w:szCs w:val="24"/>
          <w:lang w:eastAsia="en-US"/>
        </w:rPr>
      </w:pPr>
      <w:r w:rsidRPr="00D5420F">
        <w:rPr>
          <w:rFonts w:eastAsiaTheme="minorHAnsi" w:cstheme="minorBidi"/>
          <w:b/>
          <w:szCs w:val="24"/>
          <w:lang w:eastAsia="en-US"/>
        </w:rPr>
        <w:t xml:space="preserve">Mohammad </w:t>
      </w:r>
      <w:proofErr w:type="spellStart"/>
      <w:r w:rsidRPr="00D5420F">
        <w:rPr>
          <w:rFonts w:eastAsiaTheme="minorHAnsi" w:cstheme="minorBidi"/>
          <w:b/>
          <w:szCs w:val="24"/>
          <w:lang w:eastAsia="en-US"/>
        </w:rPr>
        <w:t>Momin</w:t>
      </w:r>
      <w:proofErr w:type="spellEnd"/>
      <w:r w:rsidRPr="00D5420F">
        <w:rPr>
          <w:rFonts w:eastAsiaTheme="minorHAnsi" w:cstheme="minorBidi"/>
          <w:b/>
          <w:szCs w:val="24"/>
          <w:lang w:eastAsia="en-US"/>
        </w:rPr>
        <w:t xml:space="preserve"> </w:t>
      </w:r>
      <w:proofErr w:type="spellStart"/>
      <w:r w:rsidRPr="00D5420F">
        <w:rPr>
          <w:rFonts w:eastAsiaTheme="minorHAnsi" w:cstheme="minorBidi"/>
          <w:b/>
          <w:szCs w:val="24"/>
          <w:lang w:eastAsia="en-US"/>
        </w:rPr>
        <w:t>Khawaja</w:t>
      </w:r>
      <w:proofErr w:type="spellEnd"/>
    </w:p>
    <w:p w:rsidR="00953AC6" w:rsidRPr="00D5420F" w:rsidRDefault="00953AC6" w:rsidP="00953AC6">
      <w:pPr>
        <w:jc w:val="center"/>
        <w:rPr>
          <w:rFonts w:eastAsiaTheme="minorHAnsi" w:cstheme="minorBidi"/>
          <w:szCs w:val="24"/>
          <w:lang w:eastAsia="en-US"/>
        </w:rPr>
      </w:pPr>
      <w:r w:rsidRPr="00D5420F">
        <w:rPr>
          <w:rFonts w:eastAsiaTheme="minorHAnsi" w:cstheme="minorBidi"/>
          <w:szCs w:val="24"/>
          <w:lang w:eastAsia="en-US"/>
        </w:rPr>
        <w:t>Appellant</w:t>
      </w:r>
    </w:p>
    <w:p w:rsidR="00953AC6" w:rsidRPr="00D5420F" w:rsidRDefault="00953AC6" w:rsidP="00953AC6">
      <w:pPr>
        <w:jc w:val="center"/>
        <w:rPr>
          <w:rFonts w:eastAsiaTheme="minorHAnsi" w:cstheme="minorBidi"/>
          <w:szCs w:val="24"/>
          <w:lang w:eastAsia="en-US"/>
        </w:rPr>
      </w:pPr>
      <w:proofErr w:type="gramStart"/>
      <w:r w:rsidRPr="00D5420F">
        <w:rPr>
          <w:rFonts w:eastAsiaTheme="minorHAnsi" w:cstheme="minorBidi"/>
          <w:szCs w:val="24"/>
          <w:lang w:eastAsia="en-US"/>
        </w:rPr>
        <w:t>and</w:t>
      </w:r>
      <w:proofErr w:type="gramEnd"/>
    </w:p>
    <w:p w:rsidR="00953AC6" w:rsidRPr="00D5420F" w:rsidRDefault="00953AC6" w:rsidP="00953AC6">
      <w:pPr>
        <w:jc w:val="center"/>
        <w:rPr>
          <w:rFonts w:eastAsiaTheme="minorHAnsi" w:cstheme="minorBidi"/>
          <w:b/>
          <w:szCs w:val="24"/>
          <w:lang w:eastAsia="en-US"/>
        </w:rPr>
      </w:pPr>
      <w:r w:rsidRPr="00D5420F">
        <w:rPr>
          <w:rFonts w:eastAsiaTheme="minorHAnsi" w:cstheme="minorBidi"/>
          <w:b/>
          <w:szCs w:val="24"/>
          <w:lang w:eastAsia="en-US"/>
        </w:rPr>
        <w:t>Her Majesty the Queen</w:t>
      </w:r>
    </w:p>
    <w:p w:rsidR="00953AC6" w:rsidRPr="00D5420F" w:rsidRDefault="00953AC6" w:rsidP="00953AC6">
      <w:pPr>
        <w:jc w:val="center"/>
        <w:rPr>
          <w:rFonts w:eastAsiaTheme="minorHAnsi" w:cstheme="minorBidi"/>
          <w:szCs w:val="24"/>
          <w:lang w:val="fr-CA" w:eastAsia="en-US"/>
        </w:rPr>
      </w:pPr>
      <w:proofErr w:type="spellStart"/>
      <w:r w:rsidRPr="00D5420F">
        <w:rPr>
          <w:rFonts w:eastAsiaTheme="minorHAnsi" w:cstheme="minorBidi"/>
          <w:szCs w:val="24"/>
          <w:lang w:val="fr-CA" w:eastAsia="en-US"/>
        </w:rPr>
        <w:t>Respondent</w:t>
      </w:r>
      <w:proofErr w:type="spellEnd"/>
    </w:p>
    <w:p w:rsidR="00953AC6" w:rsidRPr="00D5420F" w:rsidRDefault="00953AC6" w:rsidP="00953AC6">
      <w:pPr>
        <w:jc w:val="center"/>
        <w:rPr>
          <w:rFonts w:eastAsiaTheme="minorHAnsi" w:cstheme="minorBidi"/>
          <w:szCs w:val="24"/>
          <w:lang w:val="fr-CA" w:eastAsia="en-US"/>
        </w:rPr>
      </w:pPr>
      <w:r w:rsidRPr="00D5420F">
        <w:rPr>
          <w:rFonts w:eastAsiaTheme="minorHAnsi" w:cstheme="minorBidi"/>
          <w:szCs w:val="24"/>
          <w:lang w:val="fr-CA" w:eastAsia="en-US"/>
        </w:rPr>
        <w:t>- and -</w:t>
      </w:r>
    </w:p>
    <w:p w:rsidR="00953AC6" w:rsidRPr="00D5420F" w:rsidRDefault="00953AC6" w:rsidP="00953AC6">
      <w:pPr>
        <w:jc w:val="center"/>
        <w:rPr>
          <w:rFonts w:eastAsiaTheme="minorHAnsi" w:cstheme="minorBidi"/>
          <w:b/>
          <w:szCs w:val="24"/>
          <w:lang w:val="fr-CA" w:eastAsia="en-US"/>
        </w:rPr>
      </w:pPr>
      <w:r w:rsidRPr="00D5420F">
        <w:rPr>
          <w:rFonts w:eastAsiaTheme="minorHAnsi" w:cstheme="minorBidi"/>
          <w:b/>
          <w:szCs w:val="24"/>
          <w:lang w:val="fr-CA" w:eastAsia="en-US"/>
        </w:rPr>
        <w:t xml:space="preserve">Attorney General of Ontario, Groupe d’étude en droits et libertés de la Faculté de droit de l’Université Laval, Canadian Civil </w:t>
      </w:r>
      <w:proofErr w:type="spellStart"/>
      <w:r w:rsidRPr="00D5420F">
        <w:rPr>
          <w:rFonts w:eastAsiaTheme="minorHAnsi" w:cstheme="minorBidi"/>
          <w:b/>
          <w:szCs w:val="24"/>
          <w:lang w:val="fr-CA" w:eastAsia="en-US"/>
        </w:rPr>
        <w:t>Liberties</w:t>
      </w:r>
      <w:proofErr w:type="spellEnd"/>
      <w:r w:rsidRPr="00D5420F">
        <w:rPr>
          <w:rFonts w:eastAsiaTheme="minorHAnsi" w:cstheme="minorBidi"/>
          <w:b/>
          <w:szCs w:val="24"/>
          <w:lang w:val="fr-CA" w:eastAsia="en-US"/>
        </w:rPr>
        <w:t xml:space="preserve"> Association and British Columbia Civil </w:t>
      </w:r>
      <w:proofErr w:type="spellStart"/>
      <w:r w:rsidRPr="00D5420F">
        <w:rPr>
          <w:rFonts w:eastAsiaTheme="minorHAnsi" w:cstheme="minorBidi"/>
          <w:b/>
          <w:szCs w:val="24"/>
          <w:lang w:val="fr-CA" w:eastAsia="en-US"/>
        </w:rPr>
        <w:t>Liberties</w:t>
      </w:r>
      <w:proofErr w:type="spellEnd"/>
      <w:r w:rsidRPr="00D5420F">
        <w:rPr>
          <w:rFonts w:eastAsiaTheme="minorHAnsi" w:cstheme="minorBidi"/>
          <w:b/>
          <w:szCs w:val="24"/>
          <w:lang w:val="fr-CA" w:eastAsia="en-US"/>
        </w:rPr>
        <w:t xml:space="preserve"> Association</w:t>
      </w:r>
    </w:p>
    <w:p w:rsidR="00953AC6" w:rsidRPr="00D5420F" w:rsidRDefault="00953AC6" w:rsidP="00953AC6">
      <w:pPr>
        <w:jc w:val="center"/>
        <w:rPr>
          <w:rFonts w:eastAsiaTheme="minorHAnsi" w:cstheme="minorBidi"/>
          <w:szCs w:val="24"/>
          <w:lang w:eastAsia="en-US"/>
        </w:rPr>
      </w:pPr>
      <w:r w:rsidRPr="00D5420F">
        <w:rPr>
          <w:rFonts w:eastAsiaTheme="minorHAnsi" w:cstheme="minorBidi"/>
          <w:szCs w:val="24"/>
          <w:lang w:eastAsia="en-US"/>
        </w:rPr>
        <w:t>Interveners</w:t>
      </w:r>
    </w:p>
    <w:p w:rsidR="00953AC6" w:rsidRPr="00D5420F" w:rsidRDefault="00953AC6" w:rsidP="00953AC6">
      <w:pPr>
        <w:rPr>
          <w:rFonts w:eastAsiaTheme="minorHAnsi" w:cstheme="minorBidi"/>
          <w:szCs w:val="24"/>
          <w:lang w:eastAsia="en-US"/>
        </w:rPr>
      </w:pPr>
    </w:p>
    <w:p w:rsidR="00953AC6" w:rsidRPr="00D5420F" w:rsidRDefault="00953AC6" w:rsidP="00953AC6">
      <w:pPr>
        <w:rPr>
          <w:rFonts w:eastAsiaTheme="minorHAnsi" w:cstheme="minorBidi"/>
          <w:szCs w:val="24"/>
          <w:lang w:eastAsia="en-US"/>
        </w:rPr>
      </w:pPr>
      <w:r w:rsidRPr="00D5420F">
        <w:rPr>
          <w:rFonts w:eastAsiaTheme="minorHAnsi" w:cstheme="minorBidi"/>
          <w:b/>
          <w:smallCaps/>
          <w:szCs w:val="24"/>
          <w:lang w:eastAsia="en-US"/>
        </w:rPr>
        <w:t>Coram:</w:t>
      </w:r>
      <w:r w:rsidRPr="00D5420F">
        <w:rPr>
          <w:rFonts w:eastAsiaTheme="minorHAnsi" w:cstheme="minorBidi"/>
          <w:szCs w:val="24"/>
          <w:lang w:eastAsia="en-US"/>
        </w:rPr>
        <w:t xml:space="preserve"> </w:t>
      </w:r>
      <w:proofErr w:type="spellStart"/>
      <w:r w:rsidRPr="00D5420F">
        <w:rPr>
          <w:rFonts w:eastAsiaTheme="minorHAnsi" w:cstheme="minorBidi"/>
          <w:szCs w:val="24"/>
          <w:lang w:eastAsia="en-US"/>
        </w:rPr>
        <w:t>McLachlin</w:t>
      </w:r>
      <w:proofErr w:type="spellEnd"/>
      <w:r w:rsidRPr="00D5420F">
        <w:rPr>
          <w:rFonts w:eastAsiaTheme="minorHAnsi" w:cstheme="minorBidi"/>
          <w:szCs w:val="24"/>
          <w:lang w:eastAsia="en-US"/>
        </w:rPr>
        <w:t xml:space="preserve"> C.J. and </w:t>
      </w:r>
      <w:proofErr w:type="spellStart"/>
      <w:r w:rsidRPr="00D5420F">
        <w:rPr>
          <w:rFonts w:eastAsiaTheme="minorHAnsi" w:cstheme="minorBidi"/>
          <w:szCs w:val="24"/>
          <w:lang w:eastAsia="en-US"/>
        </w:rPr>
        <w:t>LeBel</w:t>
      </w:r>
      <w:proofErr w:type="spellEnd"/>
      <w:r w:rsidRPr="00D5420F">
        <w:rPr>
          <w:rFonts w:eastAsiaTheme="minorHAnsi" w:cstheme="minorBidi"/>
          <w:szCs w:val="24"/>
          <w:lang w:eastAsia="en-US"/>
        </w:rPr>
        <w:t xml:space="preserve">, Fish, </w:t>
      </w:r>
      <w:proofErr w:type="spellStart"/>
      <w:r w:rsidRPr="00D5420F">
        <w:rPr>
          <w:rFonts w:eastAsiaTheme="minorHAnsi" w:cstheme="minorBidi"/>
          <w:szCs w:val="24"/>
          <w:lang w:eastAsia="en-US"/>
        </w:rPr>
        <w:t>Abella</w:t>
      </w:r>
      <w:proofErr w:type="spellEnd"/>
      <w:r w:rsidRPr="00D5420F">
        <w:rPr>
          <w:rFonts w:eastAsiaTheme="minorHAnsi" w:cstheme="minorBidi"/>
          <w:szCs w:val="24"/>
          <w:lang w:eastAsia="en-US"/>
        </w:rPr>
        <w:t xml:space="preserve">, Rothstein, Cromwell and </w:t>
      </w:r>
      <w:proofErr w:type="spellStart"/>
      <w:r w:rsidRPr="00D5420F">
        <w:rPr>
          <w:rFonts w:eastAsiaTheme="minorHAnsi" w:cstheme="minorBidi"/>
          <w:szCs w:val="24"/>
          <w:lang w:eastAsia="en-US"/>
        </w:rPr>
        <w:t>Karakatsanis</w:t>
      </w:r>
      <w:proofErr w:type="spellEnd"/>
      <w:r w:rsidRPr="00D5420F">
        <w:rPr>
          <w:rFonts w:eastAsiaTheme="minorHAnsi" w:cstheme="minorBidi"/>
          <w:szCs w:val="24"/>
          <w:lang w:eastAsia="en-US"/>
        </w:rPr>
        <w:t> JJ.</w:t>
      </w:r>
    </w:p>
    <w:p w:rsidR="00953AC6" w:rsidRPr="00D5420F" w:rsidRDefault="00953AC6" w:rsidP="00953AC6">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53AC6" w:rsidRPr="00D5420F" w:rsidTr="00E567EE">
        <w:trPr>
          <w:cantSplit/>
        </w:trPr>
        <w:tc>
          <w:tcPr>
            <w:tcW w:w="3618" w:type="dxa"/>
          </w:tcPr>
          <w:p w:rsidR="00953AC6" w:rsidRPr="00D5420F" w:rsidRDefault="00953AC6" w:rsidP="00E567EE">
            <w:pPr>
              <w:rPr>
                <w:b/>
                <w:smallCaps/>
              </w:rPr>
            </w:pPr>
            <w:r w:rsidRPr="00D5420F">
              <w:rPr>
                <w:b/>
                <w:smallCaps/>
              </w:rPr>
              <w:t>Reasons for Judgment:</w:t>
            </w:r>
          </w:p>
          <w:p w:rsidR="00953AC6" w:rsidRPr="00D5420F" w:rsidRDefault="00953AC6" w:rsidP="00E567EE">
            <w:r w:rsidRPr="00D5420F">
              <w:t>(</w:t>
            </w:r>
            <w:proofErr w:type="spellStart"/>
            <w:r w:rsidRPr="00D5420F">
              <w:t>paras</w:t>
            </w:r>
            <w:proofErr w:type="spellEnd"/>
            <w:r w:rsidRPr="00D5420F">
              <w:t>. 1 to 132)</w:t>
            </w:r>
          </w:p>
        </w:tc>
        <w:tc>
          <w:tcPr>
            <w:tcW w:w="5958" w:type="dxa"/>
          </w:tcPr>
          <w:p w:rsidR="00953AC6" w:rsidRPr="00D5420F" w:rsidRDefault="00953AC6" w:rsidP="00E567EE">
            <w:proofErr w:type="spellStart"/>
            <w:r w:rsidRPr="00D5420F">
              <w:t>McLachlin</w:t>
            </w:r>
            <w:proofErr w:type="spellEnd"/>
            <w:r w:rsidRPr="00D5420F">
              <w:t xml:space="preserve"> C.J. (</w:t>
            </w:r>
            <w:proofErr w:type="spellStart"/>
            <w:r w:rsidRPr="00D5420F">
              <w:t>LeBel</w:t>
            </w:r>
            <w:proofErr w:type="spellEnd"/>
            <w:r w:rsidRPr="00D5420F">
              <w:t xml:space="preserve">, Fish, </w:t>
            </w:r>
            <w:proofErr w:type="spellStart"/>
            <w:r w:rsidRPr="00D5420F">
              <w:t>Abella</w:t>
            </w:r>
            <w:proofErr w:type="spellEnd"/>
            <w:r w:rsidRPr="00D5420F">
              <w:t xml:space="preserve">, Rothstein, Cromwell and </w:t>
            </w:r>
            <w:proofErr w:type="spellStart"/>
            <w:r w:rsidRPr="00D5420F">
              <w:t>Karakatsanis</w:t>
            </w:r>
            <w:proofErr w:type="spellEnd"/>
            <w:r w:rsidRPr="00D5420F">
              <w:t xml:space="preserve"> JJ. concurring)</w:t>
            </w:r>
          </w:p>
        </w:tc>
      </w:tr>
    </w:tbl>
    <w:p w:rsidR="00953AC6" w:rsidRPr="00D5420F" w:rsidRDefault="00953AC6" w:rsidP="00953AC6">
      <w:pPr>
        <w:rPr>
          <w:rFonts w:eastAsiaTheme="minorHAnsi" w:cstheme="minorBidi"/>
          <w:szCs w:val="24"/>
          <w:lang w:eastAsia="en-US"/>
        </w:rPr>
      </w:pPr>
    </w:p>
    <w:p w:rsidR="00953AC6" w:rsidRPr="00D5420F" w:rsidRDefault="00953AC6" w:rsidP="00953AC6">
      <w:pPr>
        <w:rPr>
          <w:rFonts w:eastAsiaTheme="minorHAnsi" w:cstheme="minorBidi"/>
          <w:szCs w:val="24"/>
          <w:lang w:eastAsia="en-US"/>
        </w:rPr>
      </w:pPr>
    </w:p>
    <w:p w:rsidR="00953AC6" w:rsidRPr="00D5420F" w:rsidRDefault="00953AC6" w:rsidP="00953AC6">
      <w:pPr>
        <w:rPr>
          <w:rFonts w:eastAsiaTheme="minorHAnsi" w:cstheme="minorBidi"/>
          <w:szCs w:val="24"/>
          <w:lang w:eastAsia="en-US"/>
        </w:rPr>
      </w:pPr>
      <w:r w:rsidRPr="001033D4">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53AC6" w:rsidRPr="00D833A0" w:rsidRDefault="00953AC6" w:rsidP="00953AC6">
      <w:pPr>
        <w:rPr>
          <w:smallCaps/>
          <w:szCs w:val="24"/>
        </w:rPr>
      </w:pPr>
      <w:r w:rsidRPr="00D833A0">
        <w:rPr>
          <w:smallCaps/>
          <w:szCs w:val="24"/>
        </w:rPr>
        <w:br w:type="page"/>
      </w:r>
    </w:p>
    <w:p w:rsidR="00ED51D7" w:rsidRPr="00ED51D7" w:rsidRDefault="00ED51D7" w:rsidP="00ED51D7">
      <w:pPr>
        <w:spacing w:after="720"/>
        <w:jc w:val="both"/>
        <w:rPr>
          <w:szCs w:val="24"/>
        </w:rPr>
      </w:pPr>
      <w:r w:rsidRPr="00ED51D7">
        <w:rPr>
          <w:szCs w:val="24"/>
        </w:rPr>
        <w:lastRenderedPageBreak/>
        <w:t xml:space="preserve">R. </w:t>
      </w:r>
      <w:r w:rsidRPr="00ED51D7">
        <w:rPr>
          <w:i/>
          <w:szCs w:val="24"/>
        </w:rPr>
        <w:t xml:space="preserve">v. </w:t>
      </w:r>
      <w:proofErr w:type="spellStart"/>
      <w:r w:rsidRPr="00ED51D7">
        <w:rPr>
          <w:szCs w:val="24"/>
        </w:rPr>
        <w:t>Khawaja</w:t>
      </w:r>
      <w:proofErr w:type="spellEnd"/>
      <w:r w:rsidRPr="00ED51D7">
        <w:rPr>
          <w:szCs w:val="24"/>
        </w:rPr>
        <w:t>, 2012 SCC 69, [2012] 3 S.C.R. 555</w:t>
      </w:r>
    </w:p>
    <w:p w:rsidR="006F7CC0" w:rsidRPr="00C55BF3" w:rsidRDefault="00C92796" w:rsidP="009153A7">
      <w:pPr>
        <w:pStyle w:val="SCCLsocLastPartyInRole"/>
        <w:rPr>
          <w:rStyle w:val="SCCLsocPartyRole"/>
          <w:szCs w:val="24"/>
        </w:rPr>
      </w:pPr>
      <w:r w:rsidRPr="00C55BF3">
        <w:rPr>
          <w:szCs w:val="24"/>
        </w:rPr>
        <w:t xml:space="preserve">Mohammad </w:t>
      </w:r>
      <w:proofErr w:type="spellStart"/>
      <w:r w:rsidRPr="00C55BF3">
        <w:rPr>
          <w:szCs w:val="24"/>
        </w:rPr>
        <w:t>Momin</w:t>
      </w:r>
      <w:proofErr w:type="spellEnd"/>
      <w:r w:rsidRPr="00C55BF3">
        <w:rPr>
          <w:szCs w:val="24"/>
        </w:rPr>
        <w:t xml:space="preserve"> </w:t>
      </w:r>
      <w:proofErr w:type="spellStart"/>
      <w:r w:rsidRPr="00C55BF3">
        <w:rPr>
          <w:szCs w:val="24"/>
        </w:rPr>
        <w:t>Khawaja</w:t>
      </w:r>
      <w:proofErr w:type="spellEnd"/>
      <w:r w:rsidRPr="00C55BF3">
        <w:rPr>
          <w:rStyle w:val="SCCLsocPartyRole"/>
          <w:szCs w:val="24"/>
        </w:rPr>
        <w:tab/>
        <w:t>Appellant</w:t>
      </w:r>
    </w:p>
    <w:p w:rsidR="006F7CC0" w:rsidRPr="00C55BF3" w:rsidRDefault="00C92796" w:rsidP="009153A7">
      <w:pPr>
        <w:pStyle w:val="SCCLsocVersus"/>
        <w:rPr>
          <w:szCs w:val="24"/>
        </w:rPr>
      </w:pPr>
      <w:proofErr w:type="gramStart"/>
      <w:r w:rsidRPr="00C55BF3">
        <w:rPr>
          <w:szCs w:val="24"/>
        </w:rPr>
        <w:t>v</w:t>
      </w:r>
      <w:proofErr w:type="gramEnd"/>
      <w:r w:rsidRPr="00C55BF3">
        <w:rPr>
          <w:szCs w:val="24"/>
        </w:rPr>
        <w:t>.</w:t>
      </w:r>
    </w:p>
    <w:p w:rsidR="006F7CC0" w:rsidRPr="00C55BF3" w:rsidRDefault="00000D29" w:rsidP="009153A7">
      <w:pPr>
        <w:pStyle w:val="SCCLsocLastPartyInRole"/>
        <w:rPr>
          <w:szCs w:val="24"/>
        </w:rPr>
      </w:pPr>
      <w:r w:rsidRPr="00C55BF3">
        <w:rPr>
          <w:szCs w:val="24"/>
        </w:rPr>
        <w:t xml:space="preserve">Her Majesty </w:t>
      </w:r>
      <w:proofErr w:type="gramStart"/>
      <w:r w:rsidRPr="00C55BF3">
        <w:rPr>
          <w:szCs w:val="24"/>
        </w:rPr>
        <w:t>T</w:t>
      </w:r>
      <w:r w:rsidR="00C92796" w:rsidRPr="00C55BF3">
        <w:rPr>
          <w:szCs w:val="24"/>
        </w:rPr>
        <w:t>he</w:t>
      </w:r>
      <w:proofErr w:type="gramEnd"/>
      <w:r w:rsidR="00C92796" w:rsidRPr="00C55BF3">
        <w:rPr>
          <w:szCs w:val="24"/>
        </w:rPr>
        <w:t xml:space="preserve"> Queen</w:t>
      </w:r>
      <w:r w:rsidR="00C92796" w:rsidRPr="00C55BF3">
        <w:rPr>
          <w:rStyle w:val="SCCLsocPartyRole"/>
          <w:szCs w:val="24"/>
        </w:rPr>
        <w:tab/>
        <w:t>Respondent</w:t>
      </w:r>
    </w:p>
    <w:p w:rsidR="006F7CC0" w:rsidRPr="00C55BF3" w:rsidRDefault="00C92796" w:rsidP="009153A7">
      <w:pPr>
        <w:pStyle w:val="SCCLsocOtherPartySeparator"/>
        <w:rPr>
          <w:szCs w:val="24"/>
        </w:rPr>
      </w:pPr>
      <w:proofErr w:type="gramStart"/>
      <w:r w:rsidRPr="00C55BF3">
        <w:rPr>
          <w:szCs w:val="24"/>
        </w:rPr>
        <w:t>and</w:t>
      </w:r>
      <w:proofErr w:type="gramEnd"/>
    </w:p>
    <w:p w:rsidR="00000D29" w:rsidRPr="00C55BF3" w:rsidRDefault="00C92796">
      <w:pPr>
        <w:pStyle w:val="SCCLsocParty"/>
        <w:rPr>
          <w:szCs w:val="24"/>
          <w:lang w:val="en-US"/>
        </w:rPr>
      </w:pPr>
      <w:r w:rsidRPr="00C55BF3">
        <w:rPr>
          <w:szCs w:val="24"/>
          <w:lang w:val="en-US"/>
        </w:rPr>
        <w:t>Attorney General of Ontario,</w:t>
      </w:r>
      <w:r w:rsidR="00000D29" w:rsidRPr="00C55BF3">
        <w:rPr>
          <w:szCs w:val="24"/>
          <w:lang w:val="en-US"/>
        </w:rPr>
        <w:t xml:space="preserve"> </w:t>
      </w:r>
      <w:proofErr w:type="spellStart"/>
      <w:r w:rsidRPr="00C55BF3">
        <w:rPr>
          <w:szCs w:val="24"/>
          <w:lang w:val="en-US"/>
        </w:rPr>
        <w:t>Groupe</w:t>
      </w:r>
      <w:proofErr w:type="spellEnd"/>
      <w:r w:rsidRPr="00C55BF3">
        <w:rPr>
          <w:szCs w:val="24"/>
          <w:lang w:val="en-US"/>
        </w:rPr>
        <w:t xml:space="preserve"> </w:t>
      </w:r>
      <w:proofErr w:type="spellStart"/>
      <w:r w:rsidRPr="00C55BF3">
        <w:rPr>
          <w:szCs w:val="24"/>
          <w:lang w:val="en-US"/>
        </w:rPr>
        <w:t>d</w:t>
      </w:r>
      <w:r w:rsidR="009153A7" w:rsidRPr="00C55BF3">
        <w:rPr>
          <w:szCs w:val="24"/>
          <w:lang w:val="en-US"/>
        </w:rPr>
        <w:t>’</w:t>
      </w:r>
      <w:r w:rsidRPr="00C55BF3">
        <w:rPr>
          <w:szCs w:val="24"/>
          <w:lang w:val="en-US"/>
        </w:rPr>
        <w:t>étude</w:t>
      </w:r>
      <w:proofErr w:type="spellEnd"/>
      <w:r w:rsidRPr="00C55BF3">
        <w:rPr>
          <w:szCs w:val="24"/>
          <w:lang w:val="en-US"/>
        </w:rPr>
        <w:t xml:space="preserve"> en </w:t>
      </w:r>
      <w:proofErr w:type="spellStart"/>
      <w:r w:rsidRPr="00C55BF3">
        <w:rPr>
          <w:szCs w:val="24"/>
          <w:lang w:val="en-US"/>
        </w:rPr>
        <w:t>droits</w:t>
      </w:r>
      <w:proofErr w:type="spellEnd"/>
      <w:r w:rsidRPr="00C55BF3">
        <w:rPr>
          <w:szCs w:val="24"/>
          <w:lang w:val="en-US"/>
        </w:rPr>
        <w:t xml:space="preserve"> </w:t>
      </w:r>
    </w:p>
    <w:p w:rsidR="006F7CC0" w:rsidRPr="00C55BF3" w:rsidRDefault="00C92796">
      <w:pPr>
        <w:pStyle w:val="SCCLsocParty"/>
        <w:rPr>
          <w:szCs w:val="24"/>
          <w:lang w:val="fr-CA"/>
        </w:rPr>
      </w:pPr>
      <w:proofErr w:type="gramStart"/>
      <w:r w:rsidRPr="00C55BF3">
        <w:rPr>
          <w:szCs w:val="24"/>
          <w:lang w:val="fr-CA"/>
        </w:rPr>
        <w:t>et</w:t>
      </w:r>
      <w:proofErr w:type="gramEnd"/>
      <w:r w:rsidRPr="00C55BF3">
        <w:rPr>
          <w:szCs w:val="24"/>
          <w:lang w:val="fr-CA"/>
        </w:rPr>
        <w:t xml:space="preserve"> libertés de la Faculté de droit de l</w:t>
      </w:r>
      <w:r w:rsidR="009153A7" w:rsidRPr="00C55BF3">
        <w:rPr>
          <w:szCs w:val="24"/>
          <w:lang w:val="fr-CA"/>
        </w:rPr>
        <w:t>’</w:t>
      </w:r>
      <w:r w:rsidRPr="00C55BF3">
        <w:rPr>
          <w:szCs w:val="24"/>
          <w:lang w:val="fr-CA"/>
        </w:rPr>
        <w:t>Université Laval,</w:t>
      </w:r>
    </w:p>
    <w:p w:rsidR="00000D29" w:rsidRPr="00C55BF3" w:rsidRDefault="00C92796" w:rsidP="00000D29">
      <w:pPr>
        <w:pStyle w:val="SCCLsocParty"/>
        <w:rPr>
          <w:szCs w:val="24"/>
        </w:rPr>
      </w:pPr>
      <w:r w:rsidRPr="00C55BF3">
        <w:rPr>
          <w:szCs w:val="24"/>
        </w:rPr>
        <w:t>Canad</w:t>
      </w:r>
      <w:r w:rsidR="00000D29" w:rsidRPr="00C55BF3">
        <w:rPr>
          <w:szCs w:val="24"/>
        </w:rPr>
        <w:t xml:space="preserve">ian Civil Liberties Association and </w:t>
      </w:r>
      <w:r w:rsidRPr="00C55BF3">
        <w:rPr>
          <w:szCs w:val="24"/>
        </w:rPr>
        <w:t xml:space="preserve">British Columbia </w:t>
      </w:r>
    </w:p>
    <w:p w:rsidR="006F7CC0" w:rsidRPr="00C55BF3" w:rsidRDefault="00C92796" w:rsidP="009153A7">
      <w:pPr>
        <w:pStyle w:val="SCCLsocParty"/>
        <w:spacing w:after="720"/>
        <w:rPr>
          <w:szCs w:val="24"/>
        </w:rPr>
      </w:pPr>
      <w:r w:rsidRPr="00C55BF3">
        <w:rPr>
          <w:szCs w:val="24"/>
        </w:rPr>
        <w:t>Civil Liberties Association</w:t>
      </w:r>
      <w:r w:rsidRPr="00C55BF3">
        <w:rPr>
          <w:rStyle w:val="SCCLsocPartyRole"/>
          <w:szCs w:val="24"/>
        </w:rPr>
        <w:tab/>
        <w:t>Interveners</w:t>
      </w:r>
    </w:p>
    <w:p w:rsidR="00426659" w:rsidRPr="00C55BF3" w:rsidRDefault="00426659" w:rsidP="009153A7">
      <w:pPr>
        <w:spacing w:after="720"/>
        <w:jc w:val="both"/>
        <w:rPr>
          <w:b/>
          <w:szCs w:val="24"/>
        </w:rPr>
      </w:pPr>
      <w:r w:rsidRPr="00C55BF3">
        <w:rPr>
          <w:b/>
          <w:szCs w:val="24"/>
        </w:rPr>
        <w:t xml:space="preserve">Indexed as: </w:t>
      </w:r>
      <w:r w:rsidR="00000D29" w:rsidRPr="00C55BF3">
        <w:rPr>
          <w:b/>
          <w:szCs w:val="24"/>
        </w:rPr>
        <w:t xml:space="preserve"> R. </w:t>
      </w:r>
      <w:r w:rsidR="00000D29" w:rsidRPr="00C55BF3">
        <w:rPr>
          <w:b/>
          <w:i/>
          <w:szCs w:val="24"/>
        </w:rPr>
        <w:t xml:space="preserve">v. </w:t>
      </w:r>
      <w:proofErr w:type="spellStart"/>
      <w:r w:rsidRPr="00C55BF3">
        <w:rPr>
          <w:b/>
          <w:szCs w:val="24"/>
        </w:rPr>
        <w:t>Khawaja</w:t>
      </w:r>
      <w:proofErr w:type="spellEnd"/>
    </w:p>
    <w:p w:rsidR="00426659" w:rsidRPr="00C55BF3" w:rsidRDefault="004F36FF" w:rsidP="009153A7">
      <w:pPr>
        <w:pStyle w:val="SCCSystemYear"/>
        <w:spacing w:after="720"/>
        <w:jc w:val="both"/>
        <w:rPr>
          <w:szCs w:val="24"/>
        </w:rPr>
      </w:pPr>
      <w:r w:rsidRPr="00C55BF3">
        <w:rPr>
          <w:szCs w:val="24"/>
        </w:rPr>
        <w:t>2012</w:t>
      </w:r>
      <w:r w:rsidR="003D0399" w:rsidRPr="00C55BF3">
        <w:rPr>
          <w:szCs w:val="24"/>
        </w:rPr>
        <w:t xml:space="preserve"> </w:t>
      </w:r>
      <w:r w:rsidR="00426659" w:rsidRPr="00C55BF3">
        <w:rPr>
          <w:szCs w:val="24"/>
        </w:rPr>
        <w:t>SCC </w:t>
      </w:r>
      <w:r w:rsidR="00A205DC" w:rsidRPr="00C55BF3">
        <w:rPr>
          <w:szCs w:val="24"/>
        </w:rPr>
        <w:t>69</w:t>
      </w:r>
    </w:p>
    <w:p w:rsidR="008322BD" w:rsidRPr="00C55BF3" w:rsidRDefault="009B57B3" w:rsidP="009153A7">
      <w:pPr>
        <w:spacing w:after="720"/>
        <w:jc w:val="both"/>
        <w:rPr>
          <w:szCs w:val="24"/>
        </w:rPr>
      </w:pPr>
      <w:r w:rsidRPr="00C55BF3">
        <w:rPr>
          <w:szCs w:val="24"/>
        </w:rPr>
        <w:t>File No.:  34103.</w:t>
      </w:r>
    </w:p>
    <w:p w:rsidR="008322BD" w:rsidRPr="00C55BF3" w:rsidRDefault="0094336D" w:rsidP="009153A7">
      <w:pPr>
        <w:spacing w:after="720"/>
        <w:jc w:val="both"/>
        <w:rPr>
          <w:szCs w:val="24"/>
        </w:rPr>
      </w:pPr>
      <w:r w:rsidRPr="00C55BF3">
        <w:rPr>
          <w:szCs w:val="24"/>
        </w:rPr>
        <w:t>2012:  June </w:t>
      </w:r>
      <w:r w:rsidR="004F36FF" w:rsidRPr="00C55BF3">
        <w:rPr>
          <w:szCs w:val="24"/>
        </w:rPr>
        <w:t>11</w:t>
      </w:r>
      <w:r w:rsidR="009B57B3" w:rsidRPr="00C55BF3">
        <w:rPr>
          <w:szCs w:val="24"/>
        </w:rPr>
        <w:t>;</w:t>
      </w:r>
      <w:r w:rsidR="006076E2">
        <w:rPr>
          <w:szCs w:val="24"/>
        </w:rPr>
        <w:t xml:space="preserve"> 2012</w:t>
      </w:r>
      <w:r w:rsidR="008E2765" w:rsidRPr="00C55BF3">
        <w:rPr>
          <w:szCs w:val="24"/>
        </w:rPr>
        <w:t>:  December </w:t>
      </w:r>
      <w:r w:rsidR="009F1F71" w:rsidRPr="00C55BF3">
        <w:rPr>
          <w:szCs w:val="24"/>
        </w:rPr>
        <w:t>14</w:t>
      </w:r>
      <w:r w:rsidR="009B57B3" w:rsidRPr="00C55BF3">
        <w:rPr>
          <w:szCs w:val="24"/>
        </w:rPr>
        <w:t>.</w:t>
      </w:r>
    </w:p>
    <w:p w:rsidR="008322BD" w:rsidRPr="00C55BF3" w:rsidRDefault="009B57B3" w:rsidP="009153A7">
      <w:pPr>
        <w:spacing w:after="720"/>
        <w:jc w:val="both"/>
        <w:rPr>
          <w:szCs w:val="24"/>
        </w:rPr>
      </w:pPr>
      <w:r w:rsidRPr="00C55BF3">
        <w:rPr>
          <w:szCs w:val="24"/>
        </w:rPr>
        <w:t xml:space="preserve">Present:  </w:t>
      </w:r>
      <w:proofErr w:type="spellStart"/>
      <w:r w:rsidRPr="00C55BF3">
        <w:rPr>
          <w:szCs w:val="24"/>
        </w:rPr>
        <w:t>McLachlin</w:t>
      </w:r>
      <w:proofErr w:type="spellEnd"/>
      <w:r w:rsidRPr="00C55BF3">
        <w:rPr>
          <w:szCs w:val="24"/>
        </w:rPr>
        <w:t xml:space="preserve"> C.J. and </w:t>
      </w:r>
      <w:proofErr w:type="spellStart"/>
      <w:r w:rsidRPr="00C55BF3">
        <w:rPr>
          <w:szCs w:val="24"/>
        </w:rPr>
        <w:t>LeBel</w:t>
      </w:r>
      <w:proofErr w:type="spellEnd"/>
      <w:r w:rsidRPr="00C55BF3">
        <w:rPr>
          <w:szCs w:val="24"/>
        </w:rPr>
        <w:t xml:space="preserve">, Fish, Abella, Rothstein, Cromwell and </w:t>
      </w:r>
      <w:proofErr w:type="spellStart"/>
      <w:r w:rsidRPr="00C55BF3">
        <w:rPr>
          <w:szCs w:val="24"/>
        </w:rPr>
        <w:t>Karakatsanis</w:t>
      </w:r>
      <w:proofErr w:type="spellEnd"/>
      <w:r w:rsidRPr="00C55BF3">
        <w:rPr>
          <w:szCs w:val="24"/>
        </w:rPr>
        <w:t> JJ.</w:t>
      </w:r>
    </w:p>
    <w:p w:rsidR="008322BD" w:rsidRPr="00C55BF3" w:rsidRDefault="00656313" w:rsidP="009153A7">
      <w:pPr>
        <w:pStyle w:val="SCCLowerCourtNameLowercase"/>
        <w:spacing w:after="720" w:line="240" w:lineRule="auto"/>
        <w:rPr>
          <w:szCs w:val="24"/>
        </w:rPr>
      </w:pPr>
      <w:r w:rsidRPr="00C55BF3">
        <w:rPr>
          <w:szCs w:val="24"/>
        </w:rPr>
        <w:t>o</w:t>
      </w:r>
      <w:r w:rsidR="00170592" w:rsidRPr="00C55BF3">
        <w:rPr>
          <w:szCs w:val="24"/>
        </w:rPr>
        <w:t>n</w:t>
      </w:r>
      <w:r w:rsidR="00224FC0" w:rsidRPr="00C55BF3">
        <w:rPr>
          <w:szCs w:val="24"/>
        </w:rPr>
        <w:t xml:space="preserve"> </w:t>
      </w:r>
      <w:r w:rsidRPr="00C55BF3">
        <w:rPr>
          <w:szCs w:val="24"/>
        </w:rPr>
        <w:t>a</w:t>
      </w:r>
      <w:r w:rsidR="00170592" w:rsidRPr="00C55BF3">
        <w:rPr>
          <w:szCs w:val="24"/>
        </w:rPr>
        <w:t>ppeal</w:t>
      </w:r>
      <w:r w:rsidR="00224FC0" w:rsidRPr="00C55BF3">
        <w:rPr>
          <w:szCs w:val="24"/>
        </w:rPr>
        <w:t xml:space="preserve"> </w:t>
      </w:r>
      <w:r w:rsidR="00170592" w:rsidRPr="00C55BF3">
        <w:rPr>
          <w:szCs w:val="24"/>
        </w:rPr>
        <w:t>from</w:t>
      </w:r>
      <w:r w:rsidR="009567AA" w:rsidRPr="00C55BF3">
        <w:rPr>
          <w:szCs w:val="24"/>
        </w:rPr>
        <w:t xml:space="preserve"> the</w:t>
      </w:r>
      <w:r w:rsidR="00224FC0" w:rsidRPr="00C55BF3">
        <w:rPr>
          <w:szCs w:val="24"/>
        </w:rPr>
        <w:t xml:space="preserve"> </w:t>
      </w:r>
      <w:r w:rsidR="009B57B3" w:rsidRPr="00C55BF3">
        <w:rPr>
          <w:szCs w:val="24"/>
        </w:rPr>
        <w:t xml:space="preserve">court of appeal for </w:t>
      </w:r>
      <w:proofErr w:type="spellStart"/>
      <w:r w:rsidR="009B57B3" w:rsidRPr="00C55BF3">
        <w:rPr>
          <w:szCs w:val="24"/>
        </w:rPr>
        <w:t>ontario</w:t>
      </w:r>
      <w:proofErr w:type="spellEnd"/>
    </w:p>
    <w:p w:rsidR="00C64E98" w:rsidRPr="00C55BF3" w:rsidRDefault="00C64E98" w:rsidP="00C64E98">
      <w:pPr>
        <w:pStyle w:val="SCCNormalDoubleSpacing"/>
        <w:spacing w:after="480"/>
        <w:rPr>
          <w:i/>
          <w:szCs w:val="24"/>
        </w:rPr>
      </w:pPr>
      <w:r w:rsidRPr="00C55BF3">
        <w:rPr>
          <w:i/>
          <w:szCs w:val="24"/>
        </w:rPr>
        <w:lastRenderedPageBreak/>
        <w:tab/>
        <w:t xml:space="preserve">Constitutional law — Charter of Rights — Freedom of expression — Accused convicted of terrorism offences under Part II.1 of Criminal Code — Whether provisions, in purpose or effect, violate right to free expression — Canadian Charter of Rights and Freedoms, </w:t>
      </w:r>
      <w:r w:rsidR="008E2765" w:rsidRPr="00C55BF3">
        <w:rPr>
          <w:i/>
          <w:szCs w:val="24"/>
        </w:rPr>
        <w:t>s. </w:t>
      </w:r>
      <w:r w:rsidR="006076E2">
        <w:rPr>
          <w:i/>
          <w:szCs w:val="24"/>
        </w:rPr>
        <w:t xml:space="preserve">2(b) </w:t>
      </w:r>
      <w:r w:rsidR="006076E2" w:rsidRPr="00C55BF3">
        <w:rPr>
          <w:i/>
          <w:szCs w:val="24"/>
        </w:rPr>
        <w:t xml:space="preserve">— </w:t>
      </w:r>
      <w:r w:rsidR="008E2765" w:rsidRPr="00C55BF3">
        <w:rPr>
          <w:i/>
          <w:szCs w:val="24"/>
        </w:rPr>
        <w:t>Criminal Code, R.S.C. 1985, c. C</w:t>
      </w:r>
      <w:r w:rsidR="009F1072" w:rsidRPr="00C55BF3">
        <w:rPr>
          <w:i/>
          <w:szCs w:val="24"/>
        </w:rPr>
        <w:noBreakHyphen/>
      </w:r>
      <w:r w:rsidR="008E2765" w:rsidRPr="00C55BF3">
        <w:rPr>
          <w:i/>
          <w:szCs w:val="24"/>
        </w:rPr>
        <w:t>46, s. </w:t>
      </w:r>
      <w:r w:rsidRPr="00C55BF3">
        <w:rPr>
          <w:i/>
          <w:szCs w:val="24"/>
        </w:rPr>
        <w:t>83.01(1)(b)(</w:t>
      </w:r>
      <w:proofErr w:type="spellStart"/>
      <w:r w:rsidRPr="00C55BF3">
        <w:rPr>
          <w:i/>
          <w:szCs w:val="24"/>
        </w:rPr>
        <w:t>i</w:t>
      </w:r>
      <w:proofErr w:type="spellEnd"/>
      <w:r w:rsidRPr="00C55BF3">
        <w:rPr>
          <w:i/>
          <w:szCs w:val="24"/>
        </w:rPr>
        <w:t>)(A).</w:t>
      </w:r>
    </w:p>
    <w:p w:rsidR="00C64E98" w:rsidRPr="00C55BF3" w:rsidRDefault="00C64E98" w:rsidP="00C64E98">
      <w:pPr>
        <w:pStyle w:val="SCCNormalDoubleSpacing"/>
        <w:spacing w:after="480"/>
        <w:rPr>
          <w:i/>
          <w:szCs w:val="24"/>
        </w:rPr>
      </w:pPr>
      <w:r w:rsidRPr="00C55BF3">
        <w:rPr>
          <w:i/>
          <w:szCs w:val="24"/>
        </w:rPr>
        <w:tab/>
        <w:t xml:space="preserve">Constitutional law — Charter of Rights — Fundamental justice — </w:t>
      </w:r>
      <w:proofErr w:type="spellStart"/>
      <w:r w:rsidRPr="00C55BF3">
        <w:rPr>
          <w:i/>
          <w:szCs w:val="24"/>
        </w:rPr>
        <w:t>Overbreadth</w:t>
      </w:r>
      <w:proofErr w:type="spellEnd"/>
      <w:r w:rsidRPr="00C55BF3">
        <w:rPr>
          <w:i/>
          <w:szCs w:val="24"/>
        </w:rPr>
        <w:t xml:space="preserve"> — Terrorism offences — Provision criminalizing participation in or contribution to activities of terrorist group — Whether provision broader than necessary to achieve purpose or whether provision’s impact disproportionate — Whether provision contrary to principles of fundamental justice — Canadian Cha</w:t>
      </w:r>
      <w:r w:rsidR="008E2765" w:rsidRPr="00C55BF3">
        <w:rPr>
          <w:i/>
          <w:szCs w:val="24"/>
        </w:rPr>
        <w:t>rter of Rights and Freedoms, s. </w:t>
      </w:r>
      <w:r w:rsidRPr="00C55BF3">
        <w:rPr>
          <w:i/>
          <w:szCs w:val="24"/>
        </w:rPr>
        <w:t>7</w:t>
      </w:r>
      <w:r w:rsidR="006076E2" w:rsidRPr="00C55BF3">
        <w:rPr>
          <w:i/>
          <w:szCs w:val="24"/>
        </w:rPr>
        <w:t xml:space="preserve"> — </w:t>
      </w:r>
      <w:r w:rsidR="008E2765" w:rsidRPr="00C55BF3">
        <w:rPr>
          <w:i/>
          <w:szCs w:val="24"/>
        </w:rPr>
        <w:t>Criminal Code, R.S.C. 1985, c. </w:t>
      </w:r>
      <w:r w:rsidRPr="00C55BF3">
        <w:rPr>
          <w:i/>
          <w:szCs w:val="24"/>
        </w:rPr>
        <w:t>C</w:t>
      </w:r>
      <w:r w:rsidR="009F1072" w:rsidRPr="00C55BF3">
        <w:rPr>
          <w:i/>
          <w:szCs w:val="24"/>
        </w:rPr>
        <w:noBreakHyphen/>
      </w:r>
      <w:r w:rsidR="008E2765" w:rsidRPr="00C55BF3">
        <w:rPr>
          <w:i/>
          <w:szCs w:val="24"/>
        </w:rPr>
        <w:t>46, s. </w:t>
      </w:r>
      <w:r w:rsidRPr="00C55BF3">
        <w:rPr>
          <w:i/>
          <w:szCs w:val="24"/>
        </w:rPr>
        <w:t>83.18.</w:t>
      </w:r>
    </w:p>
    <w:p w:rsidR="00C64E98" w:rsidRPr="00C55BF3" w:rsidRDefault="00C64E98" w:rsidP="00C64E98">
      <w:pPr>
        <w:pStyle w:val="SCCNormalDoubleSpacing"/>
        <w:spacing w:after="480"/>
        <w:rPr>
          <w:i/>
          <w:szCs w:val="24"/>
        </w:rPr>
      </w:pPr>
      <w:r w:rsidRPr="00C55BF3">
        <w:rPr>
          <w:i/>
          <w:szCs w:val="24"/>
        </w:rPr>
        <w:tab/>
        <w:t>Criminal law — Appeals — Terrorism offences — Trial fairness — Trial judge finding that clause defining terrorist activity as being for political, religious or ideological purpose unconstitutional — Court of Appeal overturning decision on constitutionality but upholding convictions — Whether Court of Appeal erred in applying curative proviso — Whether convictions unreasonable —</w:t>
      </w:r>
      <w:r w:rsidR="008E2765" w:rsidRPr="00C55BF3">
        <w:rPr>
          <w:i/>
          <w:szCs w:val="24"/>
        </w:rPr>
        <w:t xml:space="preserve"> Criminal Code, R.S.C. 1985, c. C</w:t>
      </w:r>
      <w:r w:rsidR="009F1072" w:rsidRPr="00C55BF3">
        <w:rPr>
          <w:i/>
          <w:szCs w:val="24"/>
        </w:rPr>
        <w:noBreakHyphen/>
      </w:r>
      <w:r w:rsidR="008E2765" w:rsidRPr="00C55BF3">
        <w:rPr>
          <w:i/>
          <w:szCs w:val="24"/>
        </w:rPr>
        <w:t xml:space="preserve">46, </w:t>
      </w:r>
      <w:r w:rsidR="009F1072" w:rsidRPr="00C55BF3">
        <w:rPr>
          <w:i/>
          <w:szCs w:val="24"/>
        </w:rPr>
        <w:t>ss. </w:t>
      </w:r>
      <w:r w:rsidR="006076E2">
        <w:rPr>
          <w:i/>
          <w:szCs w:val="24"/>
        </w:rPr>
        <w:t>83.01(1</w:t>
      </w:r>
      <w:proofErr w:type="gramStart"/>
      <w:r w:rsidR="006076E2">
        <w:rPr>
          <w:i/>
          <w:szCs w:val="24"/>
        </w:rPr>
        <w:t>)(</w:t>
      </w:r>
      <w:proofErr w:type="gramEnd"/>
      <w:r w:rsidR="006076E2">
        <w:rPr>
          <w:i/>
          <w:szCs w:val="24"/>
        </w:rPr>
        <w:t>b)(</w:t>
      </w:r>
      <w:proofErr w:type="spellStart"/>
      <w:r w:rsidR="006076E2">
        <w:rPr>
          <w:i/>
          <w:szCs w:val="24"/>
        </w:rPr>
        <w:t>i</w:t>
      </w:r>
      <w:proofErr w:type="spellEnd"/>
      <w:r w:rsidR="006076E2">
        <w:rPr>
          <w:i/>
          <w:szCs w:val="24"/>
        </w:rPr>
        <w:t>)(A),</w:t>
      </w:r>
      <w:r w:rsidRPr="00C55BF3">
        <w:rPr>
          <w:i/>
          <w:szCs w:val="24"/>
        </w:rPr>
        <w:t xml:space="preserve"> 686(1)(b)(iii).</w:t>
      </w:r>
    </w:p>
    <w:p w:rsidR="00C64E98" w:rsidRPr="00C55BF3" w:rsidRDefault="00C64E98" w:rsidP="00C64E98">
      <w:pPr>
        <w:pStyle w:val="SCCNormalDoubleSpacing"/>
        <w:spacing w:after="480"/>
        <w:rPr>
          <w:i/>
          <w:szCs w:val="24"/>
        </w:rPr>
      </w:pPr>
      <w:r w:rsidRPr="00C55BF3">
        <w:rPr>
          <w:i/>
          <w:szCs w:val="24"/>
        </w:rPr>
        <w:tab/>
        <w:t xml:space="preserve">National security — Terrorism — Sentencing — Totality principle — Accused guilty of terrorism offences sentenced by trial judge to 10 and a half years of imprisonment, with parole eligibility set at 5 years — Court of Appeal substituting sentence of life imprisonment coupled with 24 years of consecutive sentences, with </w:t>
      </w:r>
      <w:r w:rsidRPr="00C55BF3">
        <w:rPr>
          <w:i/>
          <w:szCs w:val="24"/>
        </w:rPr>
        <w:lastRenderedPageBreak/>
        <w:t>parole eligibility set at 10 years — Whether Court of Appeal erred in overturning sentence.</w:t>
      </w:r>
    </w:p>
    <w:p w:rsidR="00C64E98" w:rsidRPr="00C55BF3" w:rsidRDefault="005155B9" w:rsidP="00C64E98">
      <w:pPr>
        <w:pStyle w:val="SCCNormalDoubleSpacing"/>
        <w:spacing w:after="480"/>
        <w:rPr>
          <w:szCs w:val="24"/>
        </w:rPr>
      </w:pPr>
      <w:r w:rsidRPr="00C55BF3">
        <w:rPr>
          <w:szCs w:val="24"/>
        </w:rPr>
        <w:tab/>
      </w:r>
      <w:r w:rsidR="00C64E98" w:rsidRPr="00C55BF3">
        <w:rPr>
          <w:szCs w:val="24"/>
        </w:rPr>
        <w:t>After becoming obsessed with Osama Bin Laden and his cause, K communicated with an American who eventually pled guilty to providing material support or resources to Al Qaeda and with the leader of a terrorist cell based in London, England, who was convicted along with several co</w:t>
      </w:r>
      <w:r w:rsidR="009F1072" w:rsidRPr="00C55BF3">
        <w:rPr>
          <w:szCs w:val="24"/>
        </w:rPr>
        <w:noBreakHyphen/>
      </w:r>
      <w:r w:rsidR="00C64E98" w:rsidRPr="00C55BF3">
        <w:rPr>
          <w:szCs w:val="24"/>
        </w:rPr>
        <w:t xml:space="preserve">conspirators of a plot to bomb targets in the U.K. and </w:t>
      </w:r>
      <w:r w:rsidR="00EA22AD" w:rsidRPr="00C55BF3">
        <w:rPr>
          <w:szCs w:val="24"/>
        </w:rPr>
        <w:t xml:space="preserve">elsewhere in </w:t>
      </w:r>
      <w:r w:rsidR="00C64E98" w:rsidRPr="00C55BF3">
        <w:rPr>
          <w:szCs w:val="24"/>
        </w:rPr>
        <w:t xml:space="preserve">Europe.  K repeatedly offered them support, provided funds, designed a remote arming device and recruited a woman to facilitate transfers of money.  He travelled to Pakistan and attended a small arms training camp, and proposed that a supporter of the terrorist cell be sent to Israel on a suicide mission. </w:t>
      </w:r>
    </w:p>
    <w:p w:rsidR="00C64E98" w:rsidRPr="00C55BF3" w:rsidRDefault="00C64E98" w:rsidP="00C64E98">
      <w:pPr>
        <w:pStyle w:val="SCCNormalDoubleSpacing"/>
        <w:spacing w:after="480"/>
        <w:rPr>
          <w:szCs w:val="24"/>
        </w:rPr>
      </w:pPr>
      <w:r w:rsidRPr="00C55BF3">
        <w:rPr>
          <w:szCs w:val="24"/>
        </w:rPr>
        <w:tab/>
        <w:t xml:space="preserve">K was charged with seven offences under the Terrorism section of the </w:t>
      </w:r>
      <w:r w:rsidRPr="00C55BF3">
        <w:rPr>
          <w:i/>
          <w:szCs w:val="24"/>
        </w:rPr>
        <w:t>Criminal Code</w:t>
      </w:r>
      <w:r w:rsidR="008E2765" w:rsidRPr="00C55BF3">
        <w:rPr>
          <w:szCs w:val="24"/>
        </w:rPr>
        <w:t xml:space="preserve"> (Part </w:t>
      </w:r>
      <w:r w:rsidRPr="00C55BF3">
        <w:rPr>
          <w:szCs w:val="24"/>
        </w:rPr>
        <w:t>II.1).  He brought a preliminary motion seeking a declaration that several provisions are unconstitution</w:t>
      </w:r>
      <w:r w:rsidR="009F1072" w:rsidRPr="00C55BF3">
        <w:rPr>
          <w:szCs w:val="24"/>
        </w:rPr>
        <w:t>al.</w:t>
      </w:r>
      <w:r w:rsidR="00C81A27" w:rsidRPr="00C55BF3">
        <w:rPr>
          <w:szCs w:val="24"/>
        </w:rPr>
        <w:t xml:space="preserve"> </w:t>
      </w:r>
      <w:r w:rsidR="008E2765" w:rsidRPr="00C55BF3">
        <w:rPr>
          <w:szCs w:val="24"/>
        </w:rPr>
        <w:t xml:space="preserve"> The motion judge held that s. </w:t>
      </w:r>
      <w:r w:rsidRPr="00C55BF3">
        <w:rPr>
          <w:szCs w:val="24"/>
        </w:rPr>
        <w:t>83.01(1)(</w:t>
      </w:r>
      <w:r w:rsidRPr="00C55BF3">
        <w:rPr>
          <w:i/>
          <w:szCs w:val="24"/>
        </w:rPr>
        <w:t>b</w:t>
      </w:r>
      <w:r w:rsidRPr="00C55BF3">
        <w:rPr>
          <w:szCs w:val="24"/>
        </w:rPr>
        <w:t>)(</w:t>
      </w:r>
      <w:proofErr w:type="spellStart"/>
      <w:r w:rsidRPr="00C55BF3">
        <w:rPr>
          <w:szCs w:val="24"/>
        </w:rPr>
        <w:t>i</w:t>
      </w:r>
      <w:proofErr w:type="spellEnd"/>
      <w:r w:rsidRPr="00C55BF3">
        <w:rPr>
          <w:szCs w:val="24"/>
        </w:rPr>
        <w:t xml:space="preserve">)(A), which provides that a terrorist activity must be </w:t>
      </w:r>
      <w:r w:rsidR="00EA22AD" w:rsidRPr="00C55BF3">
        <w:rPr>
          <w:szCs w:val="24"/>
        </w:rPr>
        <w:t xml:space="preserve">an act or omission committed </w:t>
      </w:r>
      <w:r w:rsidRPr="00C55BF3">
        <w:rPr>
          <w:szCs w:val="24"/>
        </w:rPr>
        <w:t xml:space="preserve">in whole or in part “for a political, religious or ideological purpose, objective or cause” (the “motive clause”), was a </w:t>
      </w:r>
      <w:r w:rsidRPr="00C55BF3">
        <w:rPr>
          <w:i/>
          <w:szCs w:val="24"/>
        </w:rPr>
        <w:t>prima facie</w:t>
      </w:r>
      <w:r w:rsidRPr="00C55BF3">
        <w:rPr>
          <w:szCs w:val="24"/>
        </w:rPr>
        <w:t xml:space="preserve"> infringement of </w:t>
      </w:r>
      <w:r w:rsidR="009F1072" w:rsidRPr="00C55BF3">
        <w:rPr>
          <w:szCs w:val="24"/>
        </w:rPr>
        <w:t>s. </w:t>
      </w:r>
      <w:r w:rsidRPr="00C55BF3">
        <w:rPr>
          <w:szCs w:val="24"/>
        </w:rPr>
        <w:t>2(</w:t>
      </w:r>
      <w:r w:rsidRPr="00C55BF3">
        <w:rPr>
          <w:i/>
          <w:szCs w:val="24"/>
        </w:rPr>
        <w:t>a</w:t>
      </w:r>
      <w:r w:rsidRPr="00C55BF3">
        <w:rPr>
          <w:szCs w:val="24"/>
        </w:rPr>
        <w:t>), (</w:t>
      </w:r>
      <w:r w:rsidRPr="00C55BF3">
        <w:rPr>
          <w:i/>
          <w:szCs w:val="24"/>
        </w:rPr>
        <w:t>b</w:t>
      </w:r>
      <w:r w:rsidRPr="00C55BF3">
        <w:rPr>
          <w:szCs w:val="24"/>
        </w:rPr>
        <w:t>) and (</w:t>
      </w:r>
      <w:r w:rsidRPr="00C55BF3">
        <w:rPr>
          <w:i/>
          <w:szCs w:val="24"/>
        </w:rPr>
        <w:t>d</w:t>
      </w:r>
      <w:r w:rsidRPr="00C55BF3">
        <w:rPr>
          <w:szCs w:val="24"/>
        </w:rPr>
        <w:t xml:space="preserve">) of the </w:t>
      </w:r>
      <w:r w:rsidRPr="00C55BF3">
        <w:rPr>
          <w:i/>
          <w:szCs w:val="24"/>
        </w:rPr>
        <w:t>Charter</w:t>
      </w:r>
      <w:r w:rsidRPr="00C55BF3">
        <w:rPr>
          <w:szCs w:val="24"/>
        </w:rPr>
        <w:t xml:space="preserve"> that could not be justified under s.</w:t>
      </w:r>
      <w:r w:rsidR="008E2765" w:rsidRPr="00C55BF3">
        <w:rPr>
          <w:szCs w:val="24"/>
        </w:rPr>
        <w:t> </w:t>
      </w:r>
      <w:r w:rsidRPr="00C55BF3">
        <w:rPr>
          <w:szCs w:val="24"/>
        </w:rPr>
        <w:t>1, and accordi</w:t>
      </w:r>
      <w:r w:rsidR="008E2765" w:rsidRPr="00C55BF3">
        <w:rPr>
          <w:szCs w:val="24"/>
        </w:rPr>
        <w:t>ngly severed the clause from s. </w:t>
      </w:r>
      <w:r w:rsidRPr="00C55BF3">
        <w:rPr>
          <w:szCs w:val="24"/>
        </w:rPr>
        <w:t>83.01(1).  At trial, since two of the offences —</w:t>
      </w:r>
      <w:r w:rsidRPr="00C55BF3">
        <w:rPr>
          <w:i/>
          <w:szCs w:val="24"/>
        </w:rPr>
        <w:t xml:space="preserve"> </w:t>
      </w:r>
      <w:r w:rsidRPr="00C55BF3">
        <w:rPr>
          <w:szCs w:val="24"/>
        </w:rPr>
        <w:t xml:space="preserve">wanting to cause an explosion with specified consequences at the behest of a terrorist group and possessing an explosive substance with the intent of enabling a terrorist group to </w:t>
      </w:r>
      <w:r w:rsidRPr="00C55BF3">
        <w:rPr>
          <w:szCs w:val="24"/>
        </w:rPr>
        <w:lastRenderedPageBreak/>
        <w:t>endanger others —</w:t>
      </w:r>
      <w:r w:rsidRPr="00C55BF3">
        <w:rPr>
          <w:i/>
          <w:szCs w:val="24"/>
        </w:rPr>
        <w:t xml:space="preserve"> </w:t>
      </w:r>
      <w:r w:rsidRPr="00C55BF3">
        <w:rPr>
          <w:szCs w:val="24"/>
        </w:rPr>
        <w:t xml:space="preserve">required knowledge of the U.K. group’s bomb plot, which the Crown had failed to establish </w:t>
      </w:r>
      <w:r w:rsidR="00EA22AD" w:rsidRPr="00C55BF3">
        <w:rPr>
          <w:szCs w:val="24"/>
        </w:rPr>
        <w:t>beyond a reasonable doubt</w:t>
      </w:r>
      <w:r w:rsidRPr="00C55BF3">
        <w:rPr>
          <w:szCs w:val="24"/>
        </w:rPr>
        <w:t>, the trial judge found K guilty of lesser included offences (</w:t>
      </w:r>
      <w:r w:rsidR="00EA22AD" w:rsidRPr="00C55BF3">
        <w:rPr>
          <w:szCs w:val="24"/>
        </w:rPr>
        <w:t>working on the development of</w:t>
      </w:r>
      <w:r w:rsidRPr="00C55BF3">
        <w:rPr>
          <w:szCs w:val="24"/>
        </w:rPr>
        <w:t xml:space="preserve"> a detonator and keeping </w:t>
      </w:r>
      <w:r w:rsidR="00EA22AD" w:rsidRPr="00C55BF3">
        <w:rPr>
          <w:szCs w:val="24"/>
        </w:rPr>
        <w:t>an</w:t>
      </w:r>
      <w:r w:rsidRPr="00C55BF3">
        <w:rPr>
          <w:szCs w:val="24"/>
        </w:rPr>
        <w:t xml:space="preserve"> explosive substance).  He also convicted K on five counts which engage </w:t>
      </w:r>
      <w:r w:rsidR="009F1072" w:rsidRPr="00C55BF3">
        <w:rPr>
          <w:szCs w:val="24"/>
        </w:rPr>
        <w:t>ss. </w:t>
      </w:r>
      <w:r w:rsidRPr="00C55BF3">
        <w:rPr>
          <w:szCs w:val="24"/>
        </w:rPr>
        <w:t>83.03 (providing or making available property or services for terrorist purposes), 83.18 (participating in or contributing to the activity of a terrorist group), 83.19 (facilitating a terrorist activity) and 83.21 (instructing people to carry out an activity for a terrorist group).  The judge sentenced K to 10 and a half years in a penitentiary, gave no credit for time served on the basis that that would be incompatible with a denunciatory sentence, and set parole eligibility at 5 years to reflect the absence of any evidence of remorse, willingness to make amends or commitment to future compliance with Canada’s laws and values.  The Court of Appeal held that the motive clause was not unconstitutional and should not have been severed, but dismissed the conviction appeal, appl</w:t>
      </w:r>
      <w:r w:rsidR="008E2765" w:rsidRPr="00C55BF3">
        <w:rPr>
          <w:szCs w:val="24"/>
        </w:rPr>
        <w:t>ying the curative proviso in s. </w:t>
      </w:r>
      <w:r w:rsidRPr="00C55BF3">
        <w:rPr>
          <w:szCs w:val="24"/>
        </w:rPr>
        <w:t>686(1</w:t>
      </w:r>
      <w:proofErr w:type="gramStart"/>
      <w:r w:rsidRPr="00C55BF3">
        <w:rPr>
          <w:szCs w:val="24"/>
        </w:rPr>
        <w:t>)(</w:t>
      </w:r>
      <w:proofErr w:type="gramEnd"/>
      <w:r w:rsidRPr="00C55BF3">
        <w:rPr>
          <w:i/>
          <w:szCs w:val="24"/>
        </w:rPr>
        <w:t>b</w:t>
      </w:r>
      <w:r w:rsidRPr="00C55BF3">
        <w:rPr>
          <w:szCs w:val="24"/>
        </w:rPr>
        <w:t xml:space="preserve">)(iii) of the </w:t>
      </w:r>
      <w:r w:rsidRPr="00C55BF3">
        <w:rPr>
          <w:i/>
          <w:szCs w:val="24"/>
        </w:rPr>
        <w:t>Criminal Code</w:t>
      </w:r>
      <w:r w:rsidRPr="00C55BF3">
        <w:rPr>
          <w:szCs w:val="24"/>
        </w:rPr>
        <w:t>.  It dismissed K’s appeal from the sentences, but allowed the Crown’s cross</w:t>
      </w:r>
      <w:r w:rsidR="009F1072" w:rsidRPr="00C55BF3">
        <w:rPr>
          <w:szCs w:val="24"/>
        </w:rPr>
        <w:noBreakHyphen/>
      </w:r>
      <w:proofErr w:type="spellStart"/>
      <w:r w:rsidRPr="00C55BF3">
        <w:rPr>
          <w:szCs w:val="24"/>
        </w:rPr>
        <w:t>appeal</w:t>
      </w:r>
      <w:proofErr w:type="spellEnd"/>
      <w:r w:rsidRPr="00C55BF3">
        <w:rPr>
          <w:szCs w:val="24"/>
        </w:rPr>
        <w:t xml:space="preserve"> and substituted a sentence of life imprisonment on the conviction for building a detonator to cause a deadly explosion.  Emphasizing the seriousness of the conduct, it substituted a total of 24 years of consecutive sentences for the remaining counts, to be served concurrently with the life sentence, and set parole eligibility at 10 years instead of 5. </w:t>
      </w:r>
    </w:p>
    <w:p w:rsidR="00C64E98" w:rsidRPr="00C55BF3" w:rsidRDefault="00C64E98" w:rsidP="00C64E98">
      <w:pPr>
        <w:pStyle w:val="SCCNormalDoubleSpacing"/>
        <w:spacing w:after="480"/>
        <w:rPr>
          <w:szCs w:val="24"/>
        </w:rPr>
      </w:pPr>
      <w:r w:rsidRPr="00C55BF3">
        <w:rPr>
          <w:szCs w:val="24"/>
        </w:rPr>
        <w:tab/>
      </w:r>
      <w:r w:rsidRPr="00C55BF3">
        <w:rPr>
          <w:i/>
          <w:szCs w:val="24"/>
        </w:rPr>
        <w:t>Held</w:t>
      </w:r>
      <w:r w:rsidRPr="006076E2">
        <w:rPr>
          <w:szCs w:val="24"/>
        </w:rPr>
        <w:t>:</w:t>
      </w:r>
      <w:r w:rsidRPr="00C55BF3">
        <w:rPr>
          <w:szCs w:val="24"/>
        </w:rPr>
        <w:t xml:space="preserve">  The appeal should be dismissed.</w:t>
      </w:r>
    </w:p>
    <w:p w:rsidR="00C64E98" w:rsidRPr="00C55BF3" w:rsidRDefault="00C64E98" w:rsidP="00C64E98">
      <w:pPr>
        <w:pStyle w:val="SCCNormalDoubleSpacing"/>
        <w:spacing w:after="480"/>
        <w:rPr>
          <w:i/>
          <w:szCs w:val="24"/>
        </w:rPr>
      </w:pPr>
      <w:r w:rsidRPr="00C55BF3">
        <w:rPr>
          <w:i/>
          <w:szCs w:val="24"/>
        </w:rPr>
        <w:lastRenderedPageBreak/>
        <w:t>Constitutionality of the Provisions</w:t>
      </w:r>
    </w:p>
    <w:p w:rsidR="00C64E98" w:rsidRPr="00C55BF3" w:rsidRDefault="006076E2" w:rsidP="00C64E98">
      <w:pPr>
        <w:pStyle w:val="SCCNormalDoubleSpacing"/>
        <w:spacing w:after="480"/>
        <w:rPr>
          <w:szCs w:val="24"/>
        </w:rPr>
      </w:pPr>
      <w:r>
        <w:rPr>
          <w:szCs w:val="24"/>
        </w:rPr>
        <w:tab/>
      </w:r>
      <w:r w:rsidR="00C64E98" w:rsidRPr="00C55BF3">
        <w:rPr>
          <w:szCs w:val="24"/>
        </w:rPr>
        <w:t>K challenges the constitutionality of the legislation on the ground that the motive clause would produce a chilling effect on the expression of beliefs an</w:t>
      </w:r>
      <w:r w:rsidR="009F1072" w:rsidRPr="00C55BF3">
        <w:rPr>
          <w:szCs w:val="24"/>
        </w:rPr>
        <w:t>d opinions and thus violates s. </w:t>
      </w:r>
      <w:r w:rsidR="00C64E98" w:rsidRPr="00C55BF3">
        <w:rPr>
          <w:szCs w:val="24"/>
        </w:rPr>
        <w:t xml:space="preserve">2 of the </w:t>
      </w:r>
      <w:r w:rsidR="00C64E98" w:rsidRPr="00C55BF3">
        <w:rPr>
          <w:i/>
          <w:szCs w:val="24"/>
        </w:rPr>
        <w:t>Charter</w:t>
      </w:r>
      <w:r w:rsidR="00C64E98" w:rsidRPr="00C55BF3">
        <w:rPr>
          <w:szCs w:val="24"/>
        </w:rPr>
        <w:t>.  In the</w:t>
      </w:r>
      <w:r w:rsidR="005258EC" w:rsidRPr="00C55BF3">
        <w:rPr>
          <w:szCs w:val="24"/>
        </w:rPr>
        <w:t>ir</w:t>
      </w:r>
      <w:r w:rsidR="00C64E98" w:rsidRPr="00C55BF3">
        <w:rPr>
          <w:szCs w:val="24"/>
        </w:rPr>
        <w:t xml:space="preserve"> companion appeals (</w:t>
      </w:r>
      <w:proofErr w:type="spellStart"/>
      <w:r w:rsidR="00C64E98" w:rsidRPr="00C55BF3">
        <w:rPr>
          <w:i/>
          <w:szCs w:val="24"/>
        </w:rPr>
        <w:t>Sriskandarajah</w:t>
      </w:r>
      <w:proofErr w:type="spellEnd"/>
      <w:r w:rsidR="00C64E98" w:rsidRPr="00C55BF3">
        <w:rPr>
          <w:i/>
          <w:szCs w:val="24"/>
        </w:rPr>
        <w:t xml:space="preserve"> v. United States of America</w:t>
      </w:r>
      <w:r w:rsidR="00C64E98" w:rsidRPr="00C55BF3">
        <w:rPr>
          <w:szCs w:val="24"/>
        </w:rPr>
        <w:t xml:space="preserve">, 2012 SCC </w:t>
      </w:r>
      <w:r w:rsidR="005258EC" w:rsidRPr="00C55BF3">
        <w:rPr>
          <w:szCs w:val="24"/>
        </w:rPr>
        <w:t>70</w:t>
      </w:r>
      <w:r>
        <w:rPr>
          <w:szCs w:val="24"/>
        </w:rPr>
        <w:t xml:space="preserve">, [2012] 3 S.C.R. </w:t>
      </w:r>
      <w:r w:rsidR="00C2577D">
        <w:rPr>
          <w:szCs w:val="24"/>
        </w:rPr>
        <w:t>609</w:t>
      </w:r>
      <w:r w:rsidR="00C64E98" w:rsidRPr="00C55BF3">
        <w:rPr>
          <w:szCs w:val="24"/>
        </w:rPr>
        <w:t>), S and N also claim that the le</w:t>
      </w:r>
      <w:r w:rsidR="009F1072" w:rsidRPr="00C55BF3">
        <w:rPr>
          <w:szCs w:val="24"/>
        </w:rPr>
        <w:t>gislation’s purpose violates s. </w:t>
      </w:r>
      <w:r w:rsidR="00C64E98" w:rsidRPr="00C55BF3">
        <w:rPr>
          <w:szCs w:val="24"/>
        </w:rPr>
        <w:t xml:space="preserve">2 of the </w:t>
      </w:r>
      <w:r w:rsidR="00C64E98" w:rsidRPr="00C55BF3">
        <w:rPr>
          <w:i/>
          <w:szCs w:val="24"/>
        </w:rPr>
        <w:t>Charter</w:t>
      </w:r>
      <w:r w:rsidR="00C64E98" w:rsidRPr="00C55BF3">
        <w:rPr>
          <w:szCs w:val="24"/>
        </w:rPr>
        <w:t>.  They also challenge the constitutionality of s.</w:t>
      </w:r>
      <w:r w:rsidR="009F1072" w:rsidRPr="00C55BF3">
        <w:rPr>
          <w:szCs w:val="24"/>
        </w:rPr>
        <w:t> </w:t>
      </w:r>
      <w:r w:rsidR="00C64E98" w:rsidRPr="00C55BF3">
        <w:rPr>
          <w:szCs w:val="24"/>
        </w:rPr>
        <w:t xml:space="preserve">83.18 for </w:t>
      </w:r>
      <w:proofErr w:type="spellStart"/>
      <w:r w:rsidR="00C64E98" w:rsidRPr="00C55BF3">
        <w:rPr>
          <w:szCs w:val="24"/>
        </w:rPr>
        <w:t>overbreadth</w:t>
      </w:r>
      <w:proofErr w:type="spellEnd"/>
      <w:r w:rsidR="00C64E98" w:rsidRPr="00C55BF3">
        <w:rPr>
          <w:szCs w:val="24"/>
        </w:rPr>
        <w:t>, under s.</w:t>
      </w:r>
      <w:r w:rsidR="009F1072" w:rsidRPr="00C55BF3">
        <w:rPr>
          <w:szCs w:val="24"/>
        </w:rPr>
        <w:t> </w:t>
      </w:r>
      <w:r w:rsidR="00C64E98" w:rsidRPr="00C55BF3">
        <w:rPr>
          <w:szCs w:val="24"/>
        </w:rPr>
        <w:t xml:space="preserve">7 of the </w:t>
      </w:r>
      <w:r w:rsidR="00C64E98" w:rsidRPr="00C55BF3">
        <w:rPr>
          <w:i/>
          <w:szCs w:val="24"/>
        </w:rPr>
        <w:t>Charter</w:t>
      </w:r>
      <w:r w:rsidR="00C64E98" w:rsidRPr="00C55BF3">
        <w:rPr>
          <w:szCs w:val="24"/>
        </w:rPr>
        <w:t>.  For convenience, all these constitutional claims are considered in this appeal.</w:t>
      </w:r>
    </w:p>
    <w:p w:rsidR="00C64E98" w:rsidRPr="00C55BF3" w:rsidRDefault="00C64E98" w:rsidP="00C64E98">
      <w:pPr>
        <w:pStyle w:val="SCCNormalDoubleSpacing"/>
        <w:spacing w:after="480"/>
        <w:rPr>
          <w:szCs w:val="24"/>
        </w:rPr>
      </w:pPr>
      <w:r w:rsidRPr="00C55BF3">
        <w:rPr>
          <w:szCs w:val="24"/>
        </w:rPr>
        <w:tab/>
        <w:t>Section</w:t>
      </w:r>
      <w:r w:rsidR="009F1072" w:rsidRPr="00C55BF3">
        <w:rPr>
          <w:szCs w:val="24"/>
        </w:rPr>
        <w:t> </w:t>
      </w:r>
      <w:r w:rsidRPr="00C55BF3">
        <w:rPr>
          <w:szCs w:val="24"/>
        </w:rPr>
        <w:t xml:space="preserve">83.18 </w:t>
      </w:r>
      <w:r w:rsidR="00204DF0" w:rsidRPr="00C55BF3">
        <w:rPr>
          <w:szCs w:val="24"/>
        </w:rPr>
        <w:t>does not violate s. </w:t>
      </w:r>
      <w:r w:rsidR="00EA22AD" w:rsidRPr="00C55BF3">
        <w:rPr>
          <w:szCs w:val="24"/>
        </w:rPr>
        <w:t xml:space="preserve">7 of the </w:t>
      </w:r>
      <w:r w:rsidR="00EA22AD" w:rsidRPr="00C55BF3">
        <w:rPr>
          <w:i/>
          <w:szCs w:val="24"/>
        </w:rPr>
        <w:t>Charter</w:t>
      </w:r>
      <w:r w:rsidRPr="00C55BF3">
        <w:rPr>
          <w:szCs w:val="24"/>
        </w:rPr>
        <w:t xml:space="preserve">.  A purposive interpretation of the </w:t>
      </w:r>
      <w:proofErr w:type="spellStart"/>
      <w:r w:rsidRPr="00C55BF3">
        <w:rPr>
          <w:i/>
          <w:szCs w:val="24"/>
        </w:rPr>
        <w:t>actus</w:t>
      </w:r>
      <w:proofErr w:type="spellEnd"/>
      <w:r w:rsidRPr="00C55BF3">
        <w:rPr>
          <w:i/>
          <w:szCs w:val="24"/>
        </w:rPr>
        <w:t xml:space="preserve"> </w:t>
      </w:r>
      <w:proofErr w:type="spellStart"/>
      <w:r w:rsidRPr="00C55BF3">
        <w:rPr>
          <w:i/>
          <w:szCs w:val="24"/>
        </w:rPr>
        <w:t>reus</w:t>
      </w:r>
      <w:proofErr w:type="spellEnd"/>
      <w:r w:rsidRPr="00C55BF3">
        <w:rPr>
          <w:i/>
          <w:szCs w:val="24"/>
        </w:rPr>
        <w:t xml:space="preserve"> </w:t>
      </w:r>
      <w:r w:rsidRPr="00C55BF3">
        <w:rPr>
          <w:szCs w:val="24"/>
        </w:rPr>
        <w:t xml:space="preserve">and </w:t>
      </w:r>
      <w:proofErr w:type="spellStart"/>
      <w:r w:rsidRPr="00C55BF3">
        <w:rPr>
          <w:i/>
          <w:szCs w:val="24"/>
        </w:rPr>
        <w:t>mens</w:t>
      </w:r>
      <w:proofErr w:type="spellEnd"/>
      <w:r w:rsidRPr="00C55BF3">
        <w:rPr>
          <w:i/>
          <w:szCs w:val="24"/>
        </w:rPr>
        <w:t xml:space="preserve"> </w:t>
      </w:r>
      <w:proofErr w:type="spellStart"/>
      <w:r w:rsidRPr="00C55BF3">
        <w:rPr>
          <w:i/>
          <w:szCs w:val="24"/>
        </w:rPr>
        <w:t>rea</w:t>
      </w:r>
      <w:proofErr w:type="spellEnd"/>
      <w:r w:rsidRPr="00C55BF3">
        <w:rPr>
          <w:i/>
          <w:szCs w:val="24"/>
        </w:rPr>
        <w:t xml:space="preserve"> </w:t>
      </w:r>
      <w:r w:rsidR="009F1072" w:rsidRPr="00C55BF3">
        <w:rPr>
          <w:szCs w:val="24"/>
        </w:rPr>
        <w:t>requirements of s. </w:t>
      </w:r>
      <w:r w:rsidRPr="00C55BF3">
        <w:rPr>
          <w:szCs w:val="24"/>
        </w:rPr>
        <w:t>83.18 excludes convictions (</w:t>
      </w:r>
      <w:proofErr w:type="spellStart"/>
      <w:r w:rsidRPr="00C55BF3">
        <w:rPr>
          <w:szCs w:val="24"/>
        </w:rPr>
        <w:t>i</w:t>
      </w:r>
      <w:proofErr w:type="spellEnd"/>
      <w:r w:rsidRPr="00C55BF3">
        <w:rPr>
          <w:szCs w:val="24"/>
        </w:rPr>
        <w:t>)</w:t>
      </w:r>
      <w:r w:rsidR="009F1072" w:rsidRPr="00C55BF3">
        <w:rPr>
          <w:szCs w:val="24"/>
        </w:rPr>
        <w:t> </w:t>
      </w:r>
      <w:r w:rsidRPr="00C55BF3">
        <w:rPr>
          <w:szCs w:val="24"/>
        </w:rPr>
        <w:t>for innocent or socially useful conduct that is undertaken absent any intent to enhance the abilities of a terrorist group to facilitate or carry out a terrorist ac</w:t>
      </w:r>
      <w:r w:rsidR="009F1072" w:rsidRPr="00C55BF3">
        <w:rPr>
          <w:szCs w:val="24"/>
        </w:rPr>
        <w:t>tivity, and (ii) </w:t>
      </w:r>
      <w:r w:rsidR="006076E2">
        <w:rPr>
          <w:szCs w:val="24"/>
        </w:rPr>
        <w:t xml:space="preserve">for </w:t>
      </w:r>
      <w:r w:rsidRPr="00C55BF3">
        <w:rPr>
          <w:szCs w:val="24"/>
        </w:rPr>
        <w:t xml:space="preserve">conduct that a reasonable person would not view as capable of materially enhancing the abilities of a terrorist group to facilitate or carry out a terrorist activity.  The legitimate purpose of the Terrorism section of the </w:t>
      </w:r>
      <w:r w:rsidRPr="00C55BF3">
        <w:rPr>
          <w:i/>
          <w:szCs w:val="24"/>
        </w:rPr>
        <w:t>Criminal Code</w:t>
      </w:r>
      <w:r w:rsidRPr="00C55BF3">
        <w:rPr>
          <w:szCs w:val="24"/>
        </w:rPr>
        <w:t xml:space="preserve"> is to provide means by which terrorism may be prosecuted and prevented.  This purpose commands a high </w:t>
      </w:r>
      <w:proofErr w:type="spellStart"/>
      <w:r w:rsidRPr="00C55BF3">
        <w:rPr>
          <w:i/>
          <w:szCs w:val="24"/>
        </w:rPr>
        <w:t>mens</w:t>
      </w:r>
      <w:proofErr w:type="spellEnd"/>
      <w:r w:rsidRPr="00C55BF3">
        <w:rPr>
          <w:i/>
          <w:szCs w:val="24"/>
        </w:rPr>
        <w:t xml:space="preserve"> </w:t>
      </w:r>
      <w:proofErr w:type="spellStart"/>
      <w:r w:rsidRPr="00C55BF3">
        <w:rPr>
          <w:i/>
          <w:szCs w:val="24"/>
        </w:rPr>
        <w:t>rea</w:t>
      </w:r>
      <w:proofErr w:type="spellEnd"/>
      <w:r w:rsidRPr="00C55BF3">
        <w:rPr>
          <w:szCs w:val="24"/>
        </w:rPr>
        <w:t xml:space="preserve"> threshold.  </w:t>
      </w:r>
      <w:r w:rsidR="009F1072" w:rsidRPr="00C55BF3">
        <w:rPr>
          <w:szCs w:val="24"/>
        </w:rPr>
        <w:t>To convict under s. </w:t>
      </w:r>
      <w:r w:rsidRPr="00C55BF3">
        <w:rPr>
          <w:szCs w:val="24"/>
        </w:rPr>
        <w:t>83.18, a judge must be satisfied beyond a re</w:t>
      </w:r>
      <w:r w:rsidR="000E6B4C" w:rsidRPr="00C55BF3">
        <w:rPr>
          <w:szCs w:val="24"/>
        </w:rPr>
        <w:t xml:space="preserve">asonable doubt that the accused specifically </w:t>
      </w:r>
      <w:r w:rsidRPr="00C55BF3">
        <w:rPr>
          <w:szCs w:val="24"/>
        </w:rPr>
        <w:t xml:space="preserve">intended to enhance the ability of a terrorist group to facilitate or carry out a terrorist activity.  There may be direct evidence of this intention.  Or the intention may be inferred from evidence of the knowledge of the accused and the nature of his actions.  The use of </w:t>
      </w:r>
      <w:r w:rsidRPr="00C55BF3">
        <w:rPr>
          <w:szCs w:val="24"/>
        </w:rPr>
        <w:lastRenderedPageBreak/>
        <w:t>the words “for the pu</w:t>
      </w:r>
      <w:r w:rsidR="009F1072" w:rsidRPr="00C55BF3">
        <w:rPr>
          <w:szCs w:val="24"/>
        </w:rPr>
        <w:t>rpose of” in s. </w:t>
      </w:r>
      <w:r w:rsidRPr="00C55BF3">
        <w:rPr>
          <w:szCs w:val="24"/>
        </w:rPr>
        <w:t>83.18 requires a subjective purpose of enhancing the ability of a terrorist group to facilitate or carry out a terrorist activity.  The accused must specifically intend his actions</w:t>
      </w:r>
      <w:r w:rsidR="000E6B4C" w:rsidRPr="00C55BF3">
        <w:rPr>
          <w:szCs w:val="24"/>
        </w:rPr>
        <w:t xml:space="preserve"> to have this general effect.  Further, t</w:t>
      </w:r>
      <w:r w:rsidRPr="00C55BF3">
        <w:rPr>
          <w:szCs w:val="24"/>
        </w:rPr>
        <w:t xml:space="preserve">he </w:t>
      </w:r>
      <w:proofErr w:type="spellStart"/>
      <w:r w:rsidRPr="00C55BF3">
        <w:rPr>
          <w:i/>
          <w:szCs w:val="24"/>
        </w:rPr>
        <w:t>actus</w:t>
      </w:r>
      <w:proofErr w:type="spellEnd"/>
      <w:r w:rsidRPr="00C55BF3">
        <w:rPr>
          <w:i/>
          <w:szCs w:val="24"/>
        </w:rPr>
        <w:t xml:space="preserve"> </w:t>
      </w:r>
      <w:proofErr w:type="spellStart"/>
      <w:proofErr w:type="gramStart"/>
      <w:r w:rsidRPr="00C55BF3">
        <w:rPr>
          <w:i/>
          <w:szCs w:val="24"/>
        </w:rPr>
        <w:t>reus</w:t>
      </w:r>
      <w:proofErr w:type="spellEnd"/>
      <w:proofErr w:type="gramEnd"/>
      <w:r w:rsidRPr="00C55BF3">
        <w:rPr>
          <w:i/>
          <w:szCs w:val="24"/>
        </w:rPr>
        <w:t xml:space="preserve"> </w:t>
      </w:r>
      <w:r w:rsidR="009F1072" w:rsidRPr="00C55BF3">
        <w:rPr>
          <w:szCs w:val="24"/>
        </w:rPr>
        <w:t>of s. </w:t>
      </w:r>
      <w:r w:rsidRPr="00C55BF3">
        <w:rPr>
          <w:szCs w:val="24"/>
        </w:rPr>
        <w:t>83.18 does not capture conduct that discloses, at most, a negligible risk of enhancing the abilities of a terrorist group to facilitate or carry out a terrorist activity.  The scope of the provision excludes conduct that a reasonable person would not view as capable of materially enhancing the abilities of a terrorist group to facilitate or carry out a terrorist activity.  The determination of whether a reasonable person would view conduct as capable of materially enhancing the abilities of a terrorist group to</w:t>
      </w:r>
      <w:r w:rsidRPr="00C55BF3">
        <w:rPr>
          <w:i/>
          <w:szCs w:val="24"/>
        </w:rPr>
        <w:t xml:space="preserve"> </w:t>
      </w:r>
      <w:r w:rsidRPr="00C55BF3">
        <w:rPr>
          <w:szCs w:val="24"/>
        </w:rPr>
        <w:t>facilitate or carry out a</w:t>
      </w:r>
      <w:r w:rsidRPr="00C55BF3">
        <w:rPr>
          <w:i/>
          <w:szCs w:val="24"/>
        </w:rPr>
        <w:t xml:space="preserve"> </w:t>
      </w:r>
      <w:r w:rsidRPr="00C55BF3">
        <w:rPr>
          <w:szCs w:val="24"/>
        </w:rPr>
        <w:t>terrorist activity hinges on the nature of the conduct and the relevant circumstances.</w:t>
      </w:r>
      <w:r w:rsidR="009F1072" w:rsidRPr="00C55BF3">
        <w:rPr>
          <w:szCs w:val="24"/>
        </w:rPr>
        <w:t xml:space="preserve">  When the tailored reach of s. </w:t>
      </w:r>
      <w:r w:rsidRPr="00C55BF3">
        <w:rPr>
          <w:szCs w:val="24"/>
        </w:rPr>
        <w:t>83.18 is weighed against the objective of the law, it cannot be said that the selected means are broader than necessary or that the impact of the section is disproportionate.</w:t>
      </w:r>
    </w:p>
    <w:p w:rsidR="00C64E98" w:rsidRPr="00C55BF3" w:rsidRDefault="00C64E98" w:rsidP="00C64E98">
      <w:pPr>
        <w:pStyle w:val="SCCNormalDoubleSpacing"/>
        <w:spacing w:after="480"/>
        <w:rPr>
          <w:szCs w:val="24"/>
        </w:rPr>
      </w:pPr>
      <w:r w:rsidRPr="00C55BF3">
        <w:rPr>
          <w:szCs w:val="24"/>
        </w:rPr>
        <w:tab/>
        <w:t xml:space="preserve">The purpose of the law does not infringe freedom of expression.  While the activities targeted by the Terrorism section of the </w:t>
      </w:r>
      <w:r w:rsidRPr="00C55BF3">
        <w:rPr>
          <w:i/>
          <w:szCs w:val="24"/>
        </w:rPr>
        <w:t>Criminal Code</w:t>
      </w:r>
      <w:r w:rsidRPr="00C55BF3">
        <w:rPr>
          <w:szCs w:val="24"/>
        </w:rPr>
        <w:t xml:space="preserve"> are in a sense expressive activities, most of the conduct caught by the provisions concerns acts or threats of violence.</w:t>
      </w:r>
      <w:r w:rsidR="000E6B4C" w:rsidRPr="00C55BF3">
        <w:rPr>
          <w:szCs w:val="24"/>
        </w:rPr>
        <w:t xml:space="preserve"> </w:t>
      </w:r>
      <w:r w:rsidR="00204DF0" w:rsidRPr="00C55BF3">
        <w:rPr>
          <w:szCs w:val="24"/>
        </w:rPr>
        <w:t xml:space="preserve"> </w:t>
      </w:r>
      <w:r w:rsidR="000E6B4C" w:rsidRPr="00C55BF3">
        <w:rPr>
          <w:szCs w:val="24"/>
        </w:rPr>
        <w:t>Threats of violence, like acts of violence, are ex</w:t>
      </w:r>
      <w:r w:rsidR="00204DF0" w:rsidRPr="00C55BF3">
        <w:rPr>
          <w:szCs w:val="24"/>
        </w:rPr>
        <w:t>cluded from the scope of the s. </w:t>
      </w:r>
      <w:r w:rsidR="000E6B4C" w:rsidRPr="00C55BF3">
        <w:rPr>
          <w:szCs w:val="24"/>
        </w:rPr>
        <w:t>2(</w:t>
      </w:r>
      <w:r w:rsidR="000E6B4C" w:rsidRPr="00C55BF3">
        <w:rPr>
          <w:i/>
          <w:szCs w:val="24"/>
        </w:rPr>
        <w:t>b</w:t>
      </w:r>
      <w:r w:rsidR="000E6B4C" w:rsidRPr="00C55BF3">
        <w:rPr>
          <w:szCs w:val="24"/>
        </w:rPr>
        <w:t xml:space="preserve">) guarantee. </w:t>
      </w:r>
      <w:r w:rsidR="00204DF0" w:rsidRPr="00C55BF3">
        <w:rPr>
          <w:szCs w:val="24"/>
        </w:rPr>
        <w:t xml:space="preserve"> </w:t>
      </w:r>
      <w:r w:rsidR="000E6B4C" w:rsidRPr="00C55BF3">
        <w:rPr>
          <w:szCs w:val="24"/>
        </w:rPr>
        <w:t>Moreover, t</w:t>
      </w:r>
      <w:r w:rsidRPr="00C55BF3">
        <w:rPr>
          <w:szCs w:val="24"/>
        </w:rPr>
        <w:t>he particular nature o</w:t>
      </w:r>
      <w:r w:rsidR="006076E2">
        <w:rPr>
          <w:szCs w:val="24"/>
        </w:rPr>
        <w:t xml:space="preserve">f the conduct enumerated in </w:t>
      </w:r>
      <w:r w:rsidR="009F1072" w:rsidRPr="00C55BF3">
        <w:rPr>
          <w:szCs w:val="24"/>
        </w:rPr>
        <w:t>s. </w:t>
      </w:r>
      <w:r w:rsidRPr="00C55BF3">
        <w:rPr>
          <w:szCs w:val="24"/>
        </w:rPr>
        <w:t>83.01(1)(</w:t>
      </w:r>
      <w:r w:rsidRPr="00C55BF3">
        <w:rPr>
          <w:i/>
          <w:szCs w:val="24"/>
        </w:rPr>
        <w:t>b</w:t>
      </w:r>
      <w:r w:rsidRPr="00C55BF3">
        <w:rPr>
          <w:szCs w:val="24"/>
        </w:rPr>
        <w:t>)(</w:t>
      </w:r>
      <w:r w:rsidR="00ED2967" w:rsidRPr="00C55BF3">
        <w:rPr>
          <w:szCs w:val="24"/>
        </w:rPr>
        <w:t>ii)(A), (B), (C) and (D) justifies</w:t>
      </w:r>
      <w:r w:rsidRPr="00C55BF3">
        <w:rPr>
          <w:szCs w:val="24"/>
        </w:rPr>
        <w:t xml:space="preserve"> treating counselling, conspiracy or being an accessory after the fact to that conduct as being intimately connected to violence </w:t>
      </w:r>
      <w:r w:rsidR="00C81A27" w:rsidRPr="00C55BF3">
        <w:rPr>
          <w:szCs w:val="24"/>
        </w:rPr>
        <w:t>—</w:t>
      </w:r>
      <w:r w:rsidRPr="00C55BF3">
        <w:rPr>
          <w:szCs w:val="24"/>
        </w:rPr>
        <w:t xml:space="preserve"> and to the danger to Canadian society that such violence represents.  As such, the conduct fal</w:t>
      </w:r>
      <w:r w:rsidR="009F1072" w:rsidRPr="00C55BF3">
        <w:rPr>
          <w:szCs w:val="24"/>
        </w:rPr>
        <w:t>ls outside the protection of s. </w:t>
      </w:r>
      <w:r w:rsidRPr="00C55BF3">
        <w:rPr>
          <w:szCs w:val="24"/>
        </w:rPr>
        <w:t>2(</w:t>
      </w:r>
      <w:r w:rsidRPr="00C55BF3">
        <w:rPr>
          <w:i/>
          <w:szCs w:val="24"/>
        </w:rPr>
        <w:t>b</w:t>
      </w:r>
      <w:r w:rsidRPr="00C55BF3">
        <w:rPr>
          <w:szCs w:val="24"/>
        </w:rPr>
        <w:t xml:space="preserve">) of the </w:t>
      </w:r>
      <w:r w:rsidRPr="00C55BF3">
        <w:rPr>
          <w:i/>
          <w:szCs w:val="24"/>
        </w:rPr>
        <w:t>Charter</w:t>
      </w:r>
      <w:r w:rsidRPr="00C55BF3">
        <w:rPr>
          <w:szCs w:val="24"/>
        </w:rPr>
        <w:t xml:space="preserve">. </w:t>
      </w:r>
      <w:r w:rsidR="00204DF0" w:rsidRPr="00C55BF3">
        <w:rPr>
          <w:szCs w:val="24"/>
        </w:rPr>
        <w:t xml:space="preserve"> </w:t>
      </w:r>
      <w:r w:rsidR="000E6B4C" w:rsidRPr="00C55BF3">
        <w:rPr>
          <w:szCs w:val="24"/>
        </w:rPr>
        <w:lastRenderedPageBreak/>
        <w:t>However, it is not necessary to decide whether counselling, conspiracy or being an accessory after the fact fall outside the s. 2(</w:t>
      </w:r>
      <w:r w:rsidR="000E6B4C" w:rsidRPr="00C55BF3">
        <w:rPr>
          <w:i/>
          <w:szCs w:val="24"/>
        </w:rPr>
        <w:t>b</w:t>
      </w:r>
      <w:r w:rsidR="000E6B4C" w:rsidRPr="00C55BF3">
        <w:rPr>
          <w:szCs w:val="24"/>
        </w:rPr>
        <w:t>) guarantee as a general matter.</w:t>
      </w:r>
      <w:r w:rsidRPr="00C55BF3">
        <w:rPr>
          <w:szCs w:val="24"/>
        </w:rPr>
        <w:t xml:space="preserve"> Read</w:t>
      </w:r>
      <w:r w:rsidR="009F1072" w:rsidRPr="00C55BF3">
        <w:rPr>
          <w:szCs w:val="24"/>
        </w:rPr>
        <w:t xml:space="preserve"> as a whole and purposively, s. </w:t>
      </w:r>
      <w:r w:rsidRPr="00C55BF3">
        <w:rPr>
          <w:szCs w:val="24"/>
        </w:rPr>
        <w:t>83.01(1</w:t>
      </w:r>
      <w:proofErr w:type="gramStart"/>
      <w:r w:rsidRPr="00C55BF3">
        <w:rPr>
          <w:szCs w:val="24"/>
        </w:rPr>
        <w:t>)(</w:t>
      </w:r>
      <w:proofErr w:type="gramEnd"/>
      <w:r w:rsidRPr="00C55BF3">
        <w:rPr>
          <w:i/>
          <w:szCs w:val="24"/>
        </w:rPr>
        <w:t>b</w:t>
      </w:r>
      <w:r w:rsidRPr="00C55BF3">
        <w:rPr>
          <w:szCs w:val="24"/>
        </w:rPr>
        <w:t>)(ii)(E), which is directed to acts that intentionally interfere with essential infrastructure without which life may be seriously disrupted and public health threatened, is also confined to the realm of acts and threats of violence.</w:t>
      </w:r>
      <w:r w:rsidR="000E6B4C" w:rsidRPr="00C55BF3">
        <w:rPr>
          <w:szCs w:val="24"/>
        </w:rPr>
        <w:t xml:space="preserve"> However, it cannot be ruled out that s. 83.01(1</w:t>
      </w:r>
      <w:proofErr w:type="gramStart"/>
      <w:r w:rsidR="000E6B4C" w:rsidRPr="00C55BF3">
        <w:rPr>
          <w:szCs w:val="24"/>
        </w:rPr>
        <w:t>)(</w:t>
      </w:r>
      <w:proofErr w:type="gramEnd"/>
      <w:r w:rsidR="000E6B4C" w:rsidRPr="00C55BF3">
        <w:rPr>
          <w:i/>
          <w:szCs w:val="24"/>
        </w:rPr>
        <w:t>b</w:t>
      </w:r>
      <w:r w:rsidR="000E6B4C" w:rsidRPr="00C55BF3">
        <w:rPr>
          <w:szCs w:val="24"/>
        </w:rPr>
        <w:t>)(ii)(E) might in some future case be found to capture protected activity.</w:t>
      </w:r>
      <w:r w:rsidR="0051062D" w:rsidRPr="00C55BF3">
        <w:t xml:space="preserve"> In such a case, the issue would be whether the incursion on free expression is justified under s. 1 of the </w:t>
      </w:r>
      <w:r w:rsidR="0051062D" w:rsidRPr="00C55BF3">
        <w:rPr>
          <w:i/>
        </w:rPr>
        <w:t>Charter</w:t>
      </w:r>
      <w:r w:rsidR="0051062D" w:rsidRPr="00C55BF3">
        <w:t>.</w:t>
      </w:r>
    </w:p>
    <w:p w:rsidR="00C64E98" w:rsidRPr="00C55BF3" w:rsidRDefault="00C64E98" w:rsidP="00C64E98">
      <w:pPr>
        <w:pStyle w:val="SCCNormalDoubleSpacing"/>
        <w:spacing w:after="480"/>
        <w:rPr>
          <w:szCs w:val="24"/>
        </w:rPr>
      </w:pPr>
      <w:r w:rsidRPr="00C55BF3">
        <w:rPr>
          <w:szCs w:val="24"/>
        </w:rPr>
        <w:tab/>
        <w:t>In this case, it is impossible to infer, without evide</w:t>
      </w:r>
      <w:r w:rsidR="009F1072" w:rsidRPr="00C55BF3">
        <w:rPr>
          <w:szCs w:val="24"/>
        </w:rPr>
        <w:t>nce, that the motive clause (s. </w:t>
      </w:r>
      <w:r w:rsidRPr="00C55BF3">
        <w:rPr>
          <w:szCs w:val="24"/>
        </w:rPr>
        <w:t>83.01(1</w:t>
      </w:r>
      <w:proofErr w:type="gramStart"/>
      <w:r w:rsidRPr="00C55BF3">
        <w:rPr>
          <w:szCs w:val="24"/>
        </w:rPr>
        <w:t>)(</w:t>
      </w:r>
      <w:proofErr w:type="gramEnd"/>
      <w:r w:rsidRPr="00C55BF3">
        <w:rPr>
          <w:i/>
          <w:szCs w:val="24"/>
        </w:rPr>
        <w:t>b</w:t>
      </w:r>
      <w:r w:rsidRPr="00C55BF3">
        <w:rPr>
          <w:szCs w:val="24"/>
        </w:rPr>
        <w:t>)(</w:t>
      </w:r>
      <w:proofErr w:type="spellStart"/>
      <w:r w:rsidRPr="00C55BF3">
        <w:rPr>
          <w:szCs w:val="24"/>
        </w:rPr>
        <w:t>i</w:t>
      </w:r>
      <w:proofErr w:type="spellEnd"/>
      <w:r w:rsidRPr="00C55BF3">
        <w:rPr>
          <w:szCs w:val="24"/>
        </w:rPr>
        <w:t>)(A)) will have a chilli</w:t>
      </w:r>
      <w:r w:rsidR="009F1072" w:rsidRPr="00C55BF3">
        <w:rPr>
          <w:szCs w:val="24"/>
        </w:rPr>
        <w:t>ng effect on the exercise of s. </w:t>
      </w:r>
      <w:r w:rsidRPr="00C55BF3">
        <w:rPr>
          <w:szCs w:val="24"/>
        </w:rPr>
        <w:t>2 freedoms.  The impugned provision is clearly drafted in a manner respectful of diversity, as it allows for the non</w:t>
      </w:r>
      <w:r w:rsidR="009F1072" w:rsidRPr="00C55BF3">
        <w:rPr>
          <w:szCs w:val="24"/>
        </w:rPr>
        <w:noBreakHyphen/>
      </w:r>
      <w:r w:rsidRPr="00C55BF3">
        <w:rPr>
          <w:szCs w:val="24"/>
        </w:rPr>
        <w:t>violent expression of political, rel</w:t>
      </w:r>
      <w:r w:rsidR="009F1072" w:rsidRPr="00C55BF3">
        <w:rPr>
          <w:szCs w:val="24"/>
        </w:rPr>
        <w:t>igious or ideological views (s. </w:t>
      </w:r>
      <w:r w:rsidRPr="00C55BF3">
        <w:rPr>
          <w:szCs w:val="24"/>
        </w:rPr>
        <w:t>83.01(1.1)).</w:t>
      </w:r>
    </w:p>
    <w:p w:rsidR="00C64E98" w:rsidRPr="00C55BF3" w:rsidRDefault="00C64E98" w:rsidP="00C64E98">
      <w:pPr>
        <w:pStyle w:val="SCCNormalDoubleSpacing"/>
        <w:spacing w:after="480"/>
        <w:rPr>
          <w:i/>
          <w:szCs w:val="24"/>
        </w:rPr>
      </w:pPr>
      <w:r w:rsidRPr="00C55BF3">
        <w:rPr>
          <w:i/>
          <w:szCs w:val="24"/>
        </w:rPr>
        <w:t>Ap</w:t>
      </w:r>
      <w:r w:rsidR="006076E2">
        <w:rPr>
          <w:i/>
          <w:szCs w:val="24"/>
        </w:rPr>
        <w:t>plication of the Provisions in T</w:t>
      </w:r>
      <w:r w:rsidRPr="00C55BF3">
        <w:rPr>
          <w:i/>
          <w:szCs w:val="24"/>
        </w:rPr>
        <w:t>his Appeal and Sentencing</w:t>
      </w:r>
    </w:p>
    <w:p w:rsidR="00C64E98" w:rsidRPr="00C55BF3" w:rsidRDefault="005155B9" w:rsidP="00C64E98">
      <w:pPr>
        <w:pStyle w:val="SCCNormalDoubleSpacing"/>
        <w:spacing w:after="480"/>
        <w:rPr>
          <w:szCs w:val="24"/>
        </w:rPr>
      </w:pPr>
      <w:r w:rsidRPr="00C55BF3">
        <w:rPr>
          <w:szCs w:val="24"/>
        </w:rPr>
        <w:tab/>
      </w:r>
      <w:r w:rsidR="00C64E98" w:rsidRPr="00C55BF3">
        <w:rPr>
          <w:szCs w:val="24"/>
        </w:rPr>
        <w:t>The re</w:t>
      </w:r>
      <w:r w:rsidR="009F1072" w:rsidRPr="00C55BF3">
        <w:rPr>
          <w:szCs w:val="24"/>
        </w:rPr>
        <w:noBreakHyphen/>
      </w:r>
      <w:proofErr w:type="spellStart"/>
      <w:r w:rsidR="00C64E98" w:rsidRPr="00C55BF3">
        <w:rPr>
          <w:szCs w:val="24"/>
        </w:rPr>
        <w:t>insertion</w:t>
      </w:r>
      <w:proofErr w:type="spellEnd"/>
      <w:r w:rsidR="00C64E98" w:rsidRPr="00C55BF3">
        <w:rPr>
          <w:szCs w:val="24"/>
        </w:rPr>
        <w:t xml:space="preserve"> of the motive clause by the Court of Appeal did not make K’s trial and convictions unfair.  The trial judge made a specific finding that the motive component of the definition of terrorist activity had been proved beyond a reasonable doubt, which suffices to fully support the motive requirement of the convictions.  Also, the evidence of motive, and K’s knowledge that the motive was shared by him and the terrorist cell, was overwhelming and essentially undisputed.  </w:t>
      </w:r>
      <w:r w:rsidR="00C64E98" w:rsidRPr="00C55BF3">
        <w:rPr>
          <w:szCs w:val="24"/>
        </w:rPr>
        <w:lastRenderedPageBreak/>
        <w:t>There is no air of reality to K’s statement that he could have, or would have, testified to raise a reasonable doubt on motive, had the clause not been struck.  In essence, no prejudice flowed from the re</w:t>
      </w:r>
      <w:r w:rsidR="006076E2">
        <w:rPr>
          <w:szCs w:val="24"/>
        </w:rPr>
        <w:t>-</w:t>
      </w:r>
      <w:r w:rsidR="00C64E98" w:rsidRPr="00C55BF3">
        <w:rPr>
          <w:szCs w:val="24"/>
        </w:rPr>
        <w:t>insertion of an essential element of the offence on appe</w:t>
      </w:r>
      <w:r w:rsidR="009F1072" w:rsidRPr="00C55BF3">
        <w:rPr>
          <w:szCs w:val="24"/>
        </w:rPr>
        <w:t>al. </w:t>
      </w:r>
    </w:p>
    <w:p w:rsidR="00C64E98" w:rsidRPr="00C55BF3" w:rsidRDefault="00C64E98" w:rsidP="00C64E98">
      <w:pPr>
        <w:pStyle w:val="SCCNormalDoubleSpacing"/>
        <w:spacing w:after="480"/>
        <w:rPr>
          <w:szCs w:val="24"/>
        </w:rPr>
      </w:pPr>
      <w:r w:rsidRPr="00C55BF3">
        <w:rPr>
          <w:szCs w:val="24"/>
        </w:rPr>
        <w:tab/>
        <w:t xml:space="preserve">The </w:t>
      </w:r>
      <w:proofErr w:type="spellStart"/>
      <w:r w:rsidRPr="00C55BF3">
        <w:rPr>
          <w:szCs w:val="24"/>
        </w:rPr>
        <w:t>uncontradicted</w:t>
      </w:r>
      <w:proofErr w:type="spellEnd"/>
      <w:r w:rsidRPr="00C55BF3">
        <w:rPr>
          <w:szCs w:val="24"/>
        </w:rPr>
        <w:t xml:space="preserve"> evidence before the trial judge established beyond a reasonable doubt that K’s conduct did not fall within the</w:t>
      </w:r>
      <w:r w:rsidR="009F1072" w:rsidRPr="00C55BF3">
        <w:rPr>
          <w:szCs w:val="24"/>
        </w:rPr>
        <w:t xml:space="preserve"> armed conflict exception in s. </w:t>
      </w:r>
      <w:r w:rsidR="006076E2">
        <w:rPr>
          <w:szCs w:val="24"/>
        </w:rPr>
        <w:t>83.01(1)</w:t>
      </w:r>
      <w:r w:rsidRPr="00C55BF3">
        <w:rPr>
          <w:szCs w:val="24"/>
        </w:rPr>
        <w:t xml:space="preserve"> </w:t>
      </w:r>
      <w:r w:rsidRPr="00C55BF3">
        <w:rPr>
          <w:i/>
          <w:szCs w:val="24"/>
        </w:rPr>
        <w:t>in fine</w:t>
      </w:r>
      <w:r w:rsidRPr="00C55BF3">
        <w:rPr>
          <w:szCs w:val="24"/>
        </w:rPr>
        <w:t>, which provides that terrorist activity does not include acts or omissions committed during an armed conflict in accordance with international law.  The Crown bears the burden of proving beyond a reasonable doubt that the acts alleged against an accused fall wi</w:t>
      </w:r>
      <w:r w:rsidR="00EA22AD" w:rsidRPr="00C55BF3">
        <w:rPr>
          <w:szCs w:val="24"/>
        </w:rPr>
        <w:t>thin the definition of terrorist activity</w:t>
      </w:r>
      <w:r w:rsidRPr="00C55BF3">
        <w:rPr>
          <w:szCs w:val="24"/>
        </w:rPr>
        <w:t xml:space="preserve">, and any reasonable doubt must be resolved in the </w:t>
      </w:r>
      <w:proofErr w:type="spellStart"/>
      <w:r w:rsidRPr="00C55BF3">
        <w:rPr>
          <w:szCs w:val="24"/>
        </w:rPr>
        <w:t>accused’s</w:t>
      </w:r>
      <w:proofErr w:type="spellEnd"/>
      <w:r w:rsidRPr="00C55BF3">
        <w:rPr>
          <w:szCs w:val="24"/>
        </w:rPr>
        <w:t xml:space="preserve"> favour.  However, since the armed conflict exception functions as a defence, the accused must raise it and make a </w:t>
      </w:r>
      <w:r w:rsidRPr="00C55BF3">
        <w:rPr>
          <w:i/>
          <w:szCs w:val="24"/>
        </w:rPr>
        <w:t xml:space="preserve">prima facie </w:t>
      </w:r>
      <w:r w:rsidRPr="00C55BF3">
        <w:rPr>
          <w:szCs w:val="24"/>
        </w:rPr>
        <w:t xml:space="preserve">case that it applies.  Here K could not do so, as there was no evidential foundation to support its applicability.  The trial judge expressly found that K knew that the terrorist group’s activities extended beyond the armed conflict in Afghanistan and that he supported the terrorist </w:t>
      </w:r>
      <w:proofErr w:type="gramStart"/>
      <w:r w:rsidRPr="00C55BF3">
        <w:rPr>
          <w:szCs w:val="24"/>
        </w:rPr>
        <w:t>objectives,</w:t>
      </w:r>
      <w:proofErr w:type="gramEnd"/>
      <w:r w:rsidRPr="00C55BF3">
        <w:rPr>
          <w:szCs w:val="24"/>
        </w:rPr>
        <w:t xml:space="preserve"> and the evidence is overwhelmingly contrary to the proposition that K’s acts were part of an armed conflict governed by international law.  There is no air of reality to the suggestion that K believed that the group intended to act in compliance with international law, or that he cared if it did. </w:t>
      </w:r>
    </w:p>
    <w:p w:rsidR="00C64E98" w:rsidRPr="00C55BF3" w:rsidRDefault="00C64E98" w:rsidP="00C64E98">
      <w:pPr>
        <w:pStyle w:val="SCCNormalDoubleSpacing"/>
        <w:spacing w:after="480"/>
        <w:rPr>
          <w:szCs w:val="24"/>
        </w:rPr>
      </w:pPr>
      <w:r w:rsidRPr="00C55BF3">
        <w:rPr>
          <w:szCs w:val="24"/>
        </w:rPr>
        <w:tab/>
        <w:t xml:space="preserve">There is no merit to K’s submissions that the convictions are unreasonable.  However, the trial judge made critical errors in sentencing.  He </w:t>
      </w:r>
      <w:r w:rsidRPr="00C55BF3">
        <w:rPr>
          <w:szCs w:val="24"/>
        </w:rPr>
        <w:lastRenderedPageBreak/>
        <w:t>effectively devalued the seriousness of the appellant’s conduct in a way that was inconsistent with the evidence, and failed to give adequate weight to the ongoing danger K posed to society.  While the weight to be given to rehabilitation in a given case is best left to the reasoned discretion of trial judges on a case</w:t>
      </w:r>
      <w:r w:rsidR="009F1072" w:rsidRPr="00C55BF3">
        <w:rPr>
          <w:szCs w:val="24"/>
        </w:rPr>
        <w:noBreakHyphen/>
      </w:r>
      <w:proofErr w:type="spellStart"/>
      <w:r w:rsidRPr="00C55BF3">
        <w:rPr>
          <w:szCs w:val="24"/>
        </w:rPr>
        <w:t>by</w:t>
      </w:r>
      <w:proofErr w:type="spellEnd"/>
      <w:r w:rsidR="009F1072" w:rsidRPr="00C55BF3">
        <w:rPr>
          <w:szCs w:val="24"/>
        </w:rPr>
        <w:noBreakHyphen/>
      </w:r>
      <w:proofErr w:type="spellStart"/>
      <w:r w:rsidRPr="00C55BF3">
        <w:rPr>
          <w:szCs w:val="24"/>
        </w:rPr>
        <w:t>case</w:t>
      </w:r>
      <w:proofErr w:type="spellEnd"/>
      <w:r w:rsidRPr="00C55BF3">
        <w:rPr>
          <w:szCs w:val="24"/>
        </w:rPr>
        <w:t xml:space="preserve"> basis, here the absence of evidence on rehabilitation prospects justified a stiffer sentence than otherwise might have been appropriate.  Finally, the heightened gravity of the terrorism offences at issue in this case was sufficient to justify imposition of consecutive sentences running over 20 years, without violating the totality principle.  The general principles of sentencing, including the totality principle, apply to terrorism offences.</w:t>
      </w:r>
    </w:p>
    <w:p w:rsidR="007E1C47" w:rsidRPr="00C55BF3" w:rsidRDefault="002E6705" w:rsidP="009153A7">
      <w:pPr>
        <w:pStyle w:val="SCCNormalDoubleSpacing"/>
        <w:keepNext/>
        <w:spacing w:after="480"/>
        <w:rPr>
          <w:b/>
          <w:szCs w:val="24"/>
        </w:rPr>
      </w:pPr>
      <w:r w:rsidRPr="00C55BF3">
        <w:rPr>
          <w:b/>
          <w:szCs w:val="24"/>
        </w:rPr>
        <w:t>Cases Cited</w:t>
      </w:r>
    </w:p>
    <w:p w:rsidR="00A149DF" w:rsidRPr="00C55BF3" w:rsidRDefault="002E6705" w:rsidP="00FF0791">
      <w:pPr>
        <w:pStyle w:val="SCCNormalDoubleSpacing"/>
        <w:spacing w:after="480"/>
        <w:rPr>
          <w:szCs w:val="24"/>
        </w:rPr>
      </w:pPr>
      <w:r w:rsidRPr="00C55BF3">
        <w:rPr>
          <w:szCs w:val="24"/>
        </w:rPr>
        <w:tab/>
      </w:r>
      <w:r w:rsidR="00CB246A" w:rsidRPr="00C55BF3">
        <w:rPr>
          <w:b/>
          <w:szCs w:val="24"/>
        </w:rPr>
        <w:t xml:space="preserve">Considered:  </w:t>
      </w:r>
      <w:r w:rsidR="00CB246A" w:rsidRPr="00C55BF3">
        <w:rPr>
          <w:i/>
          <w:szCs w:val="24"/>
        </w:rPr>
        <w:t>R. v. Heywood</w:t>
      </w:r>
      <w:r w:rsidR="00CB246A" w:rsidRPr="00C55BF3">
        <w:rPr>
          <w:szCs w:val="24"/>
        </w:rPr>
        <w:t xml:space="preserve">, [1994] 3 S.C.R. 761; </w:t>
      </w:r>
      <w:r w:rsidR="00CB246A" w:rsidRPr="00C55BF3">
        <w:rPr>
          <w:i/>
          <w:szCs w:val="24"/>
        </w:rPr>
        <w:t>R. v. Malmo</w:t>
      </w:r>
      <w:r w:rsidR="009F1072" w:rsidRPr="00C55BF3">
        <w:rPr>
          <w:i/>
          <w:szCs w:val="24"/>
        </w:rPr>
        <w:noBreakHyphen/>
      </w:r>
      <w:proofErr w:type="spellStart"/>
      <w:r w:rsidR="00CB246A" w:rsidRPr="00C55BF3">
        <w:rPr>
          <w:i/>
          <w:szCs w:val="24"/>
        </w:rPr>
        <w:t>Levine</w:t>
      </w:r>
      <w:proofErr w:type="spellEnd"/>
      <w:r w:rsidR="00CB246A" w:rsidRPr="00C55BF3">
        <w:rPr>
          <w:szCs w:val="24"/>
        </w:rPr>
        <w:t>,</w:t>
      </w:r>
      <w:r w:rsidR="00CB246A" w:rsidRPr="00C55BF3">
        <w:rPr>
          <w:i/>
          <w:szCs w:val="24"/>
        </w:rPr>
        <w:t xml:space="preserve"> </w:t>
      </w:r>
      <w:r w:rsidR="00CB246A" w:rsidRPr="00C55BF3">
        <w:rPr>
          <w:szCs w:val="24"/>
        </w:rPr>
        <w:t xml:space="preserve">2003 SCC 74, [2003] 3 S.C.R. 571; </w:t>
      </w:r>
      <w:r w:rsidR="00CB246A" w:rsidRPr="00C55BF3">
        <w:rPr>
          <w:i/>
          <w:szCs w:val="24"/>
          <w:lang w:bidi="en-US"/>
        </w:rPr>
        <w:t>R. v. Clay</w:t>
      </w:r>
      <w:r w:rsidR="00CB246A" w:rsidRPr="00C55BF3">
        <w:rPr>
          <w:szCs w:val="24"/>
          <w:lang w:bidi="en-US"/>
        </w:rPr>
        <w:t>, 2003 SCC 75, [2003] 3 S.C.R. 735;</w:t>
      </w:r>
      <w:r w:rsidR="00CB246A" w:rsidRPr="00C55BF3">
        <w:rPr>
          <w:i/>
          <w:szCs w:val="24"/>
        </w:rPr>
        <w:t xml:space="preserve"> Canada (Attorney General) v. PHS Community Services Society</w:t>
      </w:r>
      <w:r w:rsidR="00CB246A" w:rsidRPr="00C55BF3">
        <w:rPr>
          <w:szCs w:val="24"/>
        </w:rPr>
        <w:t>,</w:t>
      </w:r>
      <w:r w:rsidR="00CB246A" w:rsidRPr="00C55BF3">
        <w:rPr>
          <w:i/>
          <w:szCs w:val="24"/>
        </w:rPr>
        <w:t xml:space="preserve"> </w:t>
      </w:r>
      <w:r w:rsidR="00CB246A" w:rsidRPr="00C55BF3">
        <w:rPr>
          <w:szCs w:val="24"/>
        </w:rPr>
        <w:t>2011 SCC 44, [2011] 3 S.C.R. 134</w:t>
      </w:r>
      <w:r w:rsidR="00CB246A" w:rsidRPr="00C55BF3">
        <w:rPr>
          <w:szCs w:val="24"/>
          <w:lang w:bidi="en-US"/>
        </w:rPr>
        <w:t xml:space="preserve">; </w:t>
      </w:r>
      <w:r w:rsidR="00CB246A" w:rsidRPr="00C55BF3">
        <w:rPr>
          <w:b/>
          <w:szCs w:val="24"/>
          <w:lang w:bidi="en-US"/>
        </w:rPr>
        <w:t xml:space="preserve">distinguished:  </w:t>
      </w:r>
      <w:r w:rsidR="00CB246A" w:rsidRPr="00C55BF3">
        <w:rPr>
          <w:i/>
          <w:szCs w:val="24"/>
        </w:rPr>
        <w:t xml:space="preserve">R. v. </w:t>
      </w:r>
      <w:proofErr w:type="spellStart"/>
      <w:r w:rsidR="00CB246A" w:rsidRPr="00C55BF3">
        <w:rPr>
          <w:i/>
          <w:szCs w:val="24"/>
        </w:rPr>
        <w:t>Déry</w:t>
      </w:r>
      <w:proofErr w:type="spellEnd"/>
      <w:r w:rsidR="00CB246A" w:rsidRPr="00C55BF3">
        <w:rPr>
          <w:szCs w:val="24"/>
        </w:rPr>
        <w:t xml:space="preserve">, 2006 SCC 53, [2006] 2 S.C.R. 669; </w:t>
      </w:r>
      <w:r w:rsidR="00CB246A" w:rsidRPr="00C55BF3">
        <w:rPr>
          <w:b/>
          <w:szCs w:val="24"/>
        </w:rPr>
        <w:t>r</w:t>
      </w:r>
      <w:r w:rsidRPr="00C55BF3">
        <w:rPr>
          <w:b/>
          <w:szCs w:val="24"/>
        </w:rPr>
        <w:t>eferred to:</w:t>
      </w:r>
      <w:r w:rsidR="00891122" w:rsidRPr="00C55BF3">
        <w:rPr>
          <w:b/>
          <w:szCs w:val="24"/>
        </w:rPr>
        <w:t xml:space="preserve"> </w:t>
      </w:r>
      <w:r w:rsidR="00BD0E9E" w:rsidRPr="00C55BF3">
        <w:rPr>
          <w:szCs w:val="24"/>
        </w:rPr>
        <w:t xml:space="preserve"> </w:t>
      </w:r>
      <w:proofErr w:type="spellStart"/>
      <w:r w:rsidR="00891122" w:rsidRPr="00C55BF3">
        <w:rPr>
          <w:i/>
          <w:szCs w:val="24"/>
        </w:rPr>
        <w:t>Sriskandarajah</w:t>
      </w:r>
      <w:proofErr w:type="spellEnd"/>
      <w:r w:rsidR="00891122" w:rsidRPr="00C55BF3">
        <w:rPr>
          <w:i/>
          <w:szCs w:val="24"/>
        </w:rPr>
        <w:t xml:space="preserve"> v. United States of America</w:t>
      </w:r>
      <w:r w:rsidR="00891122" w:rsidRPr="00C55BF3">
        <w:rPr>
          <w:szCs w:val="24"/>
        </w:rPr>
        <w:t>, 201</w:t>
      </w:r>
      <w:r w:rsidR="00601F97" w:rsidRPr="00C55BF3">
        <w:rPr>
          <w:szCs w:val="24"/>
        </w:rPr>
        <w:t>2</w:t>
      </w:r>
      <w:r w:rsidR="00891122" w:rsidRPr="00C55BF3">
        <w:rPr>
          <w:szCs w:val="24"/>
        </w:rPr>
        <w:t xml:space="preserve"> SCC </w:t>
      </w:r>
      <w:r w:rsidR="00F90DE4">
        <w:rPr>
          <w:szCs w:val="24"/>
        </w:rPr>
        <w:t>70</w:t>
      </w:r>
      <w:r w:rsidR="006076E2">
        <w:rPr>
          <w:szCs w:val="24"/>
        </w:rPr>
        <w:t xml:space="preserve">, [2012] 3 S.C.R. </w:t>
      </w:r>
      <w:r w:rsidR="00FE0CD1">
        <w:rPr>
          <w:szCs w:val="24"/>
        </w:rPr>
        <w:t>609</w:t>
      </w:r>
      <w:r w:rsidR="00B36907" w:rsidRPr="00C55BF3">
        <w:rPr>
          <w:szCs w:val="24"/>
        </w:rPr>
        <w:t xml:space="preserve">; </w:t>
      </w:r>
      <w:proofErr w:type="spellStart"/>
      <w:r w:rsidR="00B36907" w:rsidRPr="00C55BF3">
        <w:rPr>
          <w:i/>
          <w:szCs w:val="24"/>
        </w:rPr>
        <w:t>Kienapple</w:t>
      </w:r>
      <w:proofErr w:type="spellEnd"/>
      <w:r w:rsidR="00B36907" w:rsidRPr="00C55BF3">
        <w:rPr>
          <w:i/>
          <w:szCs w:val="24"/>
        </w:rPr>
        <w:t xml:space="preserve"> v. The Queen</w:t>
      </w:r>
      <w:r w:rsidR="00B36907" w:rsidRPr="00C55BF3">
        <w:rPr>
          <w:szCs w:val="24"/>
        </w:rPr>
        <w:t>, [1975] 1 S.C.R. 729</w:t>
      </w:r>
      <w:r w:rsidR="00FD02F5" w:rsidRPr="00C55BF3">
        <w:rPr>
          <w:szCs w:val="24"/>
        </w:rPr>
        <w:t xml:space="preserve">; </w:t>
      </w:r>
      <w:r w:rsidR="00FD02F5" w:rsidRPr="00C55BF3">
        <w:rPr>
          <w:i/>
          <w:szCs w:val="24"/>
        </w:rPr>
        <w:t>Application under s. 83.28 of the Criminal Code (Re)</w:t>
      </w:r>
      <w:r w:rsidR="00FD02F5" w:rsidRPr="00C55BF3">
        <w:rPr>
          <w:szCs w:val="24"/>
        </w:rPr>
        <w:t>, 2004 SCC 42, [2004] 2 S.C.R. 248</w:t>
      </w:r>
      <w:r w:rsidR="00002590" w:rsidRPr="00C55BF3">
        <w:rPr>
          <w:szCs w:val="24"/>
        </w:rPr>
        <w:t xml:space="preserve">; </w:t>
      </w:r>
      <w:r w:rsidR="00670A1F" w:rsidRPr="00C55BF3">
        <w:rPr>
          <w:i/>
          <w:szCs w:val="24"/>
          <w:lang w:bidi="en-US"/>
        </w:rPr>
        <w:t xml:space="preserve">United States of America v. </w:t>
      </w:r>
      <w:proofErr w:type="spellStart"/>
      <w:r w:rsidR="00670A1F" w:rsidRPr="00C55BF3">
        <w:rPr>
          <w:i/>
          <w:szCs w:val="24"/>
          <w:lang w:bidi="en-US"/>
        </w:rPr>
        <w:t>Nadarajah</w:t>
      </w:r>
      <w:proofErr w:type="spellEnd"/>
      <w:r w:rsidR="006076E2">
        <w:rPr>
          <w:i/>
          <w:szCs w:val="24"/>
          <w:lang w:bidi="en-US"/>
        </w:rPr>
        <w:t xml:space="preserve"> (No. 1)</w:t>
      </w:r>
      <w:r w:rsidR="00670A1F" w:rsidRPr="00C55BF3">
        <w:rPr>
          <w:szCs w:val="24"/>
          <w:lang w:bidi="en-US"/>
        </w:rPr>
        <w:t xml:space="preserve">, </w:t>
      </w:r>
      <w:r w:rsidR="00503757" w:rsidRPr="00C55BF3">
        <w:rPr>
          <w:szCs w:val="24"/>
        </w:rPr>
        <w:fldChar w:fldCharType="begin"/>
      </w:r>
      <w:r w:rsidR="00670A1F" w:rsidRPr="00C55BF3">
        <w:rPr>
          <w:szCs w:val="24"/>
        </w:rPr>
        <w:instrText xml:space="preserve"> SEQ CHAPTER \h \r 1</w:instrText>
      </w:r>
      <w:r w:rsidR="00503757" w:rsidRPr="00C55BF3">
        <w:rPr>
          <w:szCs w:val="24"/>
        </w:rPr>
        <w:fldChar w:fldCharType="end"/>
      </w:r>
      <w:r w:rsidR="006076E2">
        <w:rPr>
          <w:szCs w:val="24"/>
        </w:rPr>
        <w:t>2010 ONCA 859, 109 O.R. (3d) 662</w:t>
      </w:r>
      <w:r w:rsidR="00F37918" w:rsidRPr="00C55BF3">
        <w:rPr>
          <w:szCs w:val="24"/>
          <w:lang w:bidi="en-US"/>
        </w:rPr>
        <w:t>;</w:t>
      </w:r>
      <w:r w:rsidR="00DB5523" w:rsidRPr="00C55BF3">
        <w:rPr>
          <w:szCs w:val="24"/>
          <w:lang w:bidi="en-US"/>
        </w:rPr>
        <w:t xml:space="preserve"> </w:t>
      </w:r>
      <w:r w:rsidR="00DB5523" w:rsidRPr="00C55BF3">
        <w:rPr>
          <w:i/>
          <w:szCs w:val="24"/>
          <w:lang w:bidi="en-US"/>
        </w:rPr>
        <w:t>Ontario v. Canadian Pacific Ltd.</w:t>
      </w:r>
      <w:r w:rsidR="00DB5523" w:rsidRPr="00C55BF3">
        <w:rPr>
          <w:szCs w:val="24"/>
          <w:lang w:bidi="en-US"/>
        </w:rPr>
        <w:t>, [1995] 2 S.C.R. 1031;</w:t>
      </w:r>
      <w:r w:rsidR="00F37918" w:rsidRPr="00C55BF3">
        <w:rPr>
          <w:szCs w:val="24"/>
          <w:lang w:bidi="en-US"/>
        </w:rPr>
        <w:t xml:space="preserve"> </w:t>
      </w:r>
      <w:r w:rsidR="00EF5717" w:rsidRPr="00C55BF3">
        <w:rPr>
          <w:i/>
          <w:szCs w:val="24"/>
        </w:rPr>
        <w:t>R. v. Ahmad</w:t>
      </w:r>
      <w:r w:rsidR="00EF5717" w:rsidRPr="00C55BF3">
        <w:rPr>
          <w:szCs w:val="24"/>
        </w:rPr>
        <w:t xml:space="preserve"> (2009), 257 C.C.C. (3d) 199</w:t>
      </w:r>
      <w:r w:rsidR="00681716" w:rsidRPr="00C55BF3">
        <w:rPr>
          <w:szCs w:val="24"/>
        </w:rPr>
        <w:t xml:space="preserve">; </w:t>
      </w:r>
      <w:r w:rsidR="00681716" w:rsidRPr="00C55BF3">
        <w:rPr>
          <w:i/>
          <w:szCs w:val="24"/>
        </w:rPr>
        <w:t>Irwin Toy Ltd. v. Quebec (Attorney General)</w:t>
      </w:r>
      <w:r w:rsidR="00681716" w:rsidRPr="00C55BF3">
        <w:rPr>
          <w:szCs w:val="24"/>
        </w:rPr>
        <w:t>, [1989] 1 S.C.R. 927</w:t>
      </w:r>
      <w:r w:rsidR="00F37918" w:rsidRPr="00C55BF3">
        <w:rPr>
          <w:szCs w:val="24"/>
        </w:rPr>
        <w:t xml:space="preserve">; </w:t>
      </w:r>
      <w:r w:rsidR="00156F30" w:rsidRPr="00C55BF3">
        <w:rPr>
          <w:i/>
          <w:szCs w:val="24"/>
        </w:rPr>
        <w:t xml:space="preserve">Greater </w:t>
      </w:r>
      <w:r w:rsidR="00F37918" w:rsidRPr="00C55BF3">
        <w:rPr>
          <w:i/>
          <w:szCs w:val="24"/>
        </w:rPr>
        <w:lastRenderedPageBreak/>
        <w:t>Vancouver Transportation Authority v. Canadian Federation of Students — British Columbia Component</w:t>
      </w:r>
      <w:r w:rsidR="00F37918" w:rsidRPr="00C55BF3">
        <w:rPr>
          <w:szCs w:val="24"/>
        </w:rPr>
        <w:t xml:space="preserve">, 2009 SCC 31, [2009] 2 S.C.R. 295; </w:t>
      </w:r>
      <w:r w:rsidR="00F37918" w:rsidRPr="00C55BF3">
        <w:rPr>
          <w:i/>
          <w:szCs w:val="24"/>
        </w:rPr>
        <w:t>Suresh v. Canada (Minister of Citizenship and Immigration)</w:t>
      </w:r>
      <w:r w:rsidR="00F37918" w:rsidRPr="00C55BF3">
        <w:rPr>
          <w:szCs w:val="24"/>
        </w:rPr>
        <w:t xml:space="preserve">, 2002 SCC 1, [2002] 1 S.C.R. 3; </w:t>
      </w:r>
      <w:r w:rsidR="00F37918" w:rsidRPr="00C55BF3">
        <w:rPr>
          <w:i/>
          <w:szCs w:val="24"/>
        </w:rPr>
        <w:t>RWDSU v. Dolphin Delivery Ltd.</w:t>
      </w:r>
      <w:r w:rsidR="00F37918" w:rsidRPr="00C55BF3">
        <w:rPr>
          <w:szCs w:val="24"/>
        </w:rPr>
        <w:t>, [1986] 2 S.C.R. 573</w:t>
      </w:r>
      <w:r w:rsidR="00D026D3" w:rsidRPr="00C55BF3">
        <w:rPr>
          <w:szCs w:val="24"/>
        </w:rPr>
        <w:t xml:space="preserve">; </w:t>
      </w:r>
      <w:r w:rsidR="00D026D3" w:rsidRPr="00C55BF3">
        <w:rPr>
          <w:i/>
          <w:szCs w:val="24"/>
        </w:rPr>
        <w:t xml:space="preserve">R. v. </w:t>
      </w:r>
      <w:proofErr w:type="spellStart"/>
      <w:r w:rsidR="00D026D3" w:rsidRPr="00C55BF3">
        <w:rPr>
          <w:i/>
          <w:szCs w:val="24"/>
        </w:rPr>
        <w:t>Keegstra</w:t>
      </w:r>
      <w:proofErr w:type="spellEnd"/>
      <w:r w:rsidR="00D026D3" w:rsidRPr="00C55BF3">
        <w:rPr>
          <w:szCs w:val="24"/>
        </w:rPr>
        <w:t>, [1990] 3 S.C.R. 697</w:t>
      </w:r>
      <w:r w:rsidR="0018609E" w:rsidRPr="00C55BF3">
        <w:rPr>
          <w:szCs w:val="24"/>
        </w:rPr>
        <w:t xml:space="preserve">; </w:t>
      </w:r>
      <w:r w:rsidR="0018609E" w:rsidRPr="00C55BF3">
        <w:rPr>
          <w:i/>
          <w:szCs w:val="24"/>
        </w:rPr>
        <w:t>R. v. Downey</w:t>
      </w:r>
      <w:r w:rsidR="0018609E" w:rsidRPr="00C55BF3">
        <w:rPr>
          <w:szCs w:val="24"/>
        </w:rPr>
        <w:t>, 2010 ONSC 1531 (</w:t>
      </w:r>
      <w:proofErr w:type="spellStart"/>
      <w:r w:rsidR="0018609E" w:rsidRPr="00C55BF3">
        <w:rPr>
          <w:szCs w:val="24"/>
        </w:rPr>
        <w:t>CanLII</w:t>
      </w:r>
      <w:proofErr w:type="spellEnd"/>
      <w:r w:rsidR="0018609E" w:rsidRPr="00C55BF3">
        <w:rPr>
          <w:szCs w:val="24"/>
        </w:rPr>
        <w:t>)</w:t>
      </w:r>
      <w:r w:rsidR="006F4DD7" w:rsidRPr="00C55BF3">
        <w:rPr>
          <w:szCs w:val="24"/>
        </w:rPr>
        <w:t xml:space="preserve">; </w:t>
      </w:r>
      <w:r w:rsidR="006F4DD7" w:rsidRPr="00C55BF3">
        <w:rPr>
          <w:i/>
          <w:szCs w:val="24"/>
        </w:rPr>
        <w:t>R. v. M. (C.A.)</w:t>
      </w:r>
      <w:r w:rsidR="006F4DD7" w:rsidRPr="00C55BF3">
        <w:rPr>
          <w:szCs w:val="24"/>
        </w:rPr>
        <w:t>, [1996] 1 S.C.R. 500</w:t>
      </w:r>
      <w:r w:rsidR="00091B96" w:rsidRPr="00C55BF3">
        <w:rPr>
          <w:i/>
          <w:szCs w:val="24"/>
        </w:rPr>
        <w:t>.</w:t>
      </w:r>
    </w:p>
    <w:p w:rsidR="003B215F" w:rsidRPr="00C55BF3" w:rsidRDefault="002E6705" w:rsidP="009153A7">
      <w:pPr>
        <w:pStyle w:val="SCCNormalDoubleSpacing"/>
        <w:keepNext/>
        <w:spacing w:after="480"/>
        <w:rPr>
          <w:szCs w:val="24"/>
        </w:rPr>
      </w:pPr>
      <w:r w:rsidRPr="00C55BF3">
        <w:rPr>
          <w:b/>
          <w:szCs w:val="24"/>
        </w:rPr>
        <w:t>Statutes and Regulations Cite</w:t>
      </w:r>
      <w:r w:rsidR="00A41805" w:rsidRPr="00C55BF3">
        <w:rPr>
          <w:b/>
          <w:szCs w:val="24"/>
        </w:rPr>
        <w:t>d</w:t>
      </w:r>
    </w:p>
    <w:p w:rsidR="002D2032" w:rsidRPr="00C55BF3" w:rsidRDefault="002D2032" w:rsidP="009153A7">
      <w:pPr>
        <w:pStyle w:val="SCCNormalDoubleSpacing"/>
        <w:spacing w:after="240" w:line="240" w:lineRule="auto"/>
        <w:ind w:left="539" w:hanging="539"/>
        <w:rPr>
          <w:szCs w:val="24"/>
        </w:rPr>
      </w:pPr>
      <w:proofErr w:type="gramStart"/>
      <w:r w:rsidRPr="00C55BF3">
        <w:rPr>
          <w:i/>
          <w:szCs w:val="24"/>
        </w:rPr>
        <w:t>Anti</w:t>
      </w:r>
      <w:r w:rsidR="009F1072" w:rsidRPr="00C55BF3">
        <w:rPr>
          <w:i/>
          <w:szCs w:val="24"/>
        </w:rPr>
        <w:noBreakHyphen/>
      </w:r>
      <w:proofErr w:type="spellStart"/>
      <w:r w:rsidR="006076E2">
        <w:rPr>
          <w:i/>
          <w:szCs w:val="24"/>
        </w:rPr>
        <w:t>t</w:t>
      </w:r>
      <w:r w:rsidRPr="00C55BF3">
        <w:rPr>
          <w:i/>
          <w:szCs w:val="24"/>
        </w:rPr>
        <w:t>errorism</w:t>
      </w:r>
      <w:proofErr w:type="spellEnd"/>
      <w:r w:rsidRPr="00C55BF3">
        <w:rPr>
          <w:i/>
          <w:szCs w:val="24"/>
        </w:rPr>
        <w:t xml:space="preserve"> Act</w:t>
      </w:r>
      <w:r w:rsidR="009153A7" w:rsidRPr="00C55BF3">
        <w:rPr>
          <w:szCs w:val="24"/>
        </w:rPr>
        <w:t>, S.C. 2001, c. </w:t>
      </w:r>
      <w:r w:rsidRPr="00C55BF3">
        <w:rPr>
          <w:szCs w:val="24"/>
        </w:rPr>
        <w:t>41.</w:t>
      </w:r>
      <w:proofErr w:type="gramEnd"/>
    </w:p>
    <w:p w:rsidR="00A149DF" w:rsidRPr="00C55BF3" w:rsidRDefault="002D2032" w:rsidP="009153A7">
      <w:pPr>
        <w:pStyle w:val="SCCNormalDoubleSpacing"/>
        <w:spacing w:after="240" w:line="240" w:lineRule="auto"/>
        <w:ind w:left="539" w:hanging="539"/>
        <w:rPr>
          <w:szCs w:val="24"/>
        </w:rPr>
      </w:pPr>
      <w:proofErr w:type="gramStart"/>
      <w:r w:rsidRPr="00C55BF3">
        <w:rPr>
          <w:i/>
          <w:szCs w:val="24"/>
        </w:rPr>
        <w:t>Canadian C</w:t>
      </w:r>
      <w:r w:rsidR="004A6644" w:rsidRPr="00C55BF3">
        <w:rPr>
          <w:i/>
          <w:szCs w:val="24"/>
        </w:rPr>
        <w:t>harter of Rights and Freedoms</w:t>
      </w:r>
      <w:r w:rsidR="00310B1D" w:rsidRPr="00C55BF3">
        <w:rPr>
          <w:szCs w:val="24"/>
        </w:rPr>
        <w:t xml:space="preserve">, </w:t>
      </w:r>
      <w:r w:rsidR="009F1072" w:rsidRPr="00C55BF3">
        <w:rPr>
          <w:szCs w:val="24"/>
        </w:rPr>
        <w:t>ss. </w:t>
      </w:r>
      <w:r w:rsidR="00310B1D" w:rsidRPr="00C55BF3">
        <w:rPr>
          <w:szCs w:val="24"/>
        </w:rPr>
        <w:t>1, 2, 7</w:t>
      </w:r>
      <w:r w:rsidR="004A6644" w:rsidRPr="00C55BF3">
        <w:rPr>
          <w:szCs w:val="24"/>
        </w:rPr>
        <w:t>.</w:t>
      </w:r>
      <w:proofErr w:type="gramEnd"/>
    </w:p>
    <w:p w:rsidR="00935218" w:rsidRPr="00C55BF3" w:rsidRDefault="003E69CC" w:rsidP="009153A7">
      <w:pPr>
        <w:pStyle w:val="SCCNormalDoubleSpacing"/>
        <w:spacing w:after="720" w:line="240" w:lineRule="auto"/>
        <w:ind w:left="540" w:hanging="540"/>
        <w:rPr>
          <w:szCs w:val="24"/>
          <w:lang w:val="en-US"/>
        </w:rPr>
      </w:pPr>
      <w:r w:rsidRPr="00C55BF3">
        <w:rPr>
          <w:i/>
          <w:szCs w:val="24"/>
          <w:lang w:val="en-US"/>
        </w:rPr>
        <w:t>Criminal Code</w:t>
      </w:r>
      <w:r w:rsidR="009153A7" w:rsidRPr="00C55BF3">
        <w:rPr>
          <w:szCs w:val="24"/>
          <w:lang w:val="en-US"/>
        </w:rPr>
        <w:t>, R.S.C. 1985, c. </w:t>
      </w:r>
      <w:r w:rsidRPr="00C55BF3">
        <w:rPr>
          <w:szCs w:val="24"/>
          <w:lang w:val="en-US"/>
        </w:rPr>
        <w:t>C</w:t>
      </w:r>
      <w:r w:rsidR="009F1072" w:rsidRPr="00C55BF3">
        <w:rPr>
          <w:szCs w:val="24"/>
          <w:lang w:val="en-US"/>
        </w:rPr>
        <w:noBreakHyphen/>
      </w:r>
      <w:r w:rsidRPr="00C55BF3">
        <w:rPr>
          <w:szCs w:val="24"/>
          <w:lang w:val="en-US"/>
        </w:rPr>
        <w:t xml:space="preserve">46, </w:t>
      </w:r>
      <w:r w:rsidR="00506F9A" w:rsidRPr="00C55BF3">
        <w:rPr>
          <w:szCs w:val="24"/>
          <w:lang w:val="en-US"/>
        </w:rPr>
        <w:t>Part </w:t>
      </w:r>
      <w:r w:rsidR="00953DBF" w:rsidRPr="00C55BF3">
        <w:rPr>
          <w:szCs w:val="24"/>
          <w:lang w:val="en-US"/>
        </w:rPr>
        <w:t xml:space="preserve">II.1, </w:t>
      </w:r>
      <w:r w:rsidR="009F1072" w:rsidRPr="00C55BF3">
        <w:rPr>
          <w:szCs w:val="24"/>
          <w:lang w:val="en-US"/>
        </w:rPr>
        <w:t>ss. </w:t>
      </w:r>
      <w:r w:rsidRPr="00C55BF3">
        <w:rPr>
          <w:szCs w:val="24"/>
          <w:lang w:val="en-US"/>
        </w:rPr>
        <w:t>83.01(1)</w:t>
      </w:r>
      <w:r w:rsidR="003540A6" w:rsidRPr="00C55BF3">
        <w:rPr>
          <w:szCs w:val="24"/>
          <w:lang w:val="en-US"/>
        </w:rPr>
        <w:t xml:space="preserve"> “terro</w:t>
      </w:r>
      <w:r w:rsidR="00CF38EA" w:rsidRPr="00C55BF3">
        <w:rPr>
          <w:szCs w:val="24"/>
          <w:lang w:val="en-US"/>
        </w:rPr>
        <w:t>r</w:t>
      </w:r>
      <w:r w:rsidR="003540A6" w:rsidRPr="00C55BF3">
        <w:rPr>
          <w:szCs w:val="24"/>
          <w:lang w:val="en-US"/>
        </w:rPr>
        <w:t>ist activity”, “terrorist group”</w:t>
      </w:r>
      <w:r w:rsidR="00045B83" w:rsidRPr="00C55BF3">
        <w:rPr>
          <w:szCs w:val="24"/>
          <w:lang w:val="en-US"/>
        </w:rPr>
        <w:t>, (1.1)</w:t>
      </w:r>
      <w:r w:rsidRPr="00C55BF3">
        <w:rPr>
          <w:szCs w:val="24"/>
          <w:lang w:val="en-US"/>
        </w:rPr>
        <w:t xml:space="preserve">, </w:t>
      </w:r>
      <w:r w:rsidR="00855616" w:rsidRPr="00C55BF3">
        <w:rPr>
          <w:szCs w:val="24"/>
          <w:lang w:val="en-US"/>
        </w:rPr>
        <w:t xml:space="preserve">83.02, </w:t>
      </w:r>
      <w:r w:rsidRPr="00C55BF3">
        <w:rPr>
          <w:szCs w:val="24"/>
          <w:lang w:val="en-US"/>
        </w:rPr>
        <w:t>83.03,</w:t>
      </w:r>
      <w:r w:rsidR="00855616" w:rsidRPr="00C55BF3">
        <w:rPr>
          <w:szCs w:val="24"/>
          <w:lang w:val="en-US"/>
        </w:rPr>
        <w:t xml:space="preserve"> 83.04,</w:t>
      </w:r>
      <w:r w:rsidRPr="00C55BF3">
        <w:rPr>
          <w:szCs w:val="24"/>
          <w:lang w:val="en-US"/>
        </w:rPr>
        <w:t xml:space="preserve"> </w:t>
      </w:r>
      <w:r w:rsidR="004757FE" w:rsidRPr="00C55BF3">
        <w:rPr>
          <w:szCs w:val="24"/>
          <w:lang w:val="en-US"/>
        </w:rPr>
        <w:t xml:space="preserve">83.05, </w:t>
      </w:r>
      <w:r w:rsidRPr="00C55BF3">
        <w:rPr>
          <w:szCs w:val="24"/>
          <w:lang w:val="en-US"/>
        </w:rPr>
        <w:t>83.18, 83.19, 83.2, 83.21</w:t>
      </w:r>
      <w:r w:rsidR="00EE2A98" w:rsidRPr="00C55BF3">
        <w:rPr>
          <w:szCs w:val="24"/>
          <w:lang w:val="en-US"/>
        </w:rPr>
        <w:t xml:space="preserve">, </w:t>
      </w:r>
      <w:r w:rsidR="006076E2">
        <w:rPr>
          <w:szCs w:val="24"/>
          <w:lang w:val="en-US"/>
        </w:rPr>
        <w:t>83.23</w:t>
      </w:r>
      <w:r w:rsidR="00953DBF" w:rsidRPr="00C55BF3">
        <w:rPr>
          <w:szCs w:val="24"/>
          <w:lang w:val="en-US"/>
        </w:rPr>
        <w:t xml:space="preserve">, </w:t>
      </w:r>
      <w:r w:rsidR="00EE2A98" w:rsidRPr="00C55BF3">
        <w:rPr>
          <w:szCs w:val="24"/>
          <w:lang w:val="en-US"/>
        </w:rPr>
        <w:t>83.26</w:t>
      </w:r>
      <w:r w:rsidR="004E64C1" w:rsidRPr="00C55BF3">
        <w:rPr>
          <w:szCs w:val="24"/>
          <w:lang w:val="en-US"/>
        </w:rPr>
        <w:t xml:space="preserve">, </w:t>
      </w:r>
      <w:r w:rsidR="00DC3DAC" w:rsidRPr="00C55BF3">
        <w:rPr>
          <w:szCs w:val="24"/>
          <w:lang w:val="en-US"/>
        </w:rPr>
        <w:t>686(1)(</w:t>
      </w:r>
      <w:r w:rsidR="00DC3DAC" w:rsidRPr="00C55BF3">
        <w:rPr>
          <w:i/>
          <w:szCs w:val="24"/>
          <w:lang w:val="en-US"/>
        </w:rPr>
        <w:t>b</w:t>
      </w:r>
      <w:r w:rsidR="00DC3DAC" w:rsidRPr="00C55BF3">
        <w:rPr>
          <w:szCs w:val="24"/>
          <w:lang w:val="en-US"/>
        </w:rPr>
        <w:t xml:space="preserve">)(iii), </w:t>
      </w:r>
      <w:r w:rsidR="000A5F6E" w:rsidRPr="00C55BF3">
        <w:rPr>
          <w:szCs w:val="24"/>
          <w:lang w:val="en-US"/>
        </w:rPr>
        <w:t>718(</w:t>
      </w:r>
      <w:r w:rsidR="000A5F6E" w:rsidRPr="00C55BF3">
        <w:rPr>
          <w:i/>
          <w:szCs w:val="24"/>
          <w:lang w:val="en-US"/>
        </w:rPr>
        <w:t>c</w:t>
      </w:r>
      <w:r w:rsidR="000A5F6E" w:rsidRPr="00C55BF3">
        <w:rPr>
          <w:szCs w:val="24"/>
          <w:lang w:val="en-US"/>
        </w:rPr>
        <w:t xml:space="preserve">), </w:t>
      </w:r>
      <w:r w:rsidR="00445C54" w:rsidRPr="00C55BF3">
        <w:rPr>
          <w:szCs w:val="24"/>
          <w:lang w:val="en-US"/>
        </w:rPr>
        <w:t xml:space="preserve">718.2, </w:t>
      </w:r>
      <w:r w:rsidR="00DC3DAC" w:rsidRPr="00C55BF3">
        <w:rPr>
          <w:szCs w:val="24"/>
          <w:lang w:val="en-US"/>
        </w:rPr>
        <w:t>719</w:t>
      </w:r>
      <w:r w:rsidRPr="00C55BF3">
        <w:rPr>
          <w:szCs w:val="24"/>
          <w:lang w:val="en-US"/>
        </w:rPr>
        <w:t>.</w:t>
      </w:r>
    </w:p>
    <w:p w:rsidR="002E6705" w:rsidRPr="00C55BF3" w:rsidRDefault="002E6705" w:rsidP="009153A7">
      <w:pPr>
        <w:pStyle w:val="SCCNormalDoubleSpacing"/>
        <w:keepNext/>
        <w:spacing w:after="480"/>
        <w:rPr>
          <w:b/>
          <w:szCs w:val="24"/>
        </w:rPr>
      </w:pPr>
      <w:r w:rsidRPr="00C55BF3">
        <w:rPr>
          <w:b/>
          <w:szCs w:val="24"/>
        </w:rPr>
        <w:t>Authors Cited</w:t>
      </w:r>
    </w:p>
    <w:p w:rsidR="00BD7B9B" w:rsidRPr="00C55BF3" w:rsidRDefault="00395856" w:rsidP="00506F9A">
      <w:pPr>
        <w:pStyle w:val="SCCNormalDoubleSpacing"/>
        <w:spacing w:after="240" w:line="240" w:lineRule="auto"/>
        <w:ind w:left="539" w:hanging="539"/>
        <w:rPr>
          <w:szCs w:val="24"/>
        </w:rPr>
      </w:pPr>
      <w:r w:rsidRPr="00C55BF3">
        <w:rPr>
          <w:szCs w:val="24"/>
        </w:rPr>
        <w:t xml:space="preserve">Canada.  </w:t>
      </w:r>
      <w:proofErr w:type="gramStart"/>
      <w:r w:rsidRPr="00C55BF3">
        <w:rPr>
          <w:szCs w:val="24"/>
        </w:rPr>
        <w:t>House of Commons.</w:t>
      </w:r>
      <w:proofErr w:type="gramEnd"/>
      <w:r w:rsidRPr="00C55BF3">
        <w:rPr>
          <w:szCs w:val="24"/>
        </w:rPr>
        <w:t xml:space="preserve"> </w:t>
      </w:r>
      <w:r w:rsidR="00BD7B9B" w:rsidRPr="00C55BF3">
        <w:rPr>
          <w:szCs w:val="24"/>
        </w:rPr>
        <w:t xml:space="preserve"> </w:t>
      </w:r>
      <w:r w:rsidR="00BD7B9B" w:rsidRPr="00C55BF3">
        <w:rPr>
          <w:i/>
          <w:szCs w:val="24"/>
        </w:rPr>
        <w:t>House of Commons Debates</w:t>
      </w:r>
      <w:r w:rsidR="00BD7B9B" w:rsidRPr="00C55BF3">
        <w:rPr>
          <w:szCs w:val="24"/>
        </w:rPr>
        <w:t xml:space="preserve">, </w:t>
      </w:r>
      <w:r w:rsidR="009F1072" w:rsidRPr="00C55BF3">
        <w:rPr>
          <w:szCs w:val="24"/>
        </w:rPr>
        <w:t>vol. </w:t>
      </w:r>
      <w:r w:rsidRPr="00C55BF3">
        <w:rPr>
          <w:szCs w:val="24"/>
        </w:rPr>
        <w:t xml:space="preserve">137, </w:t>
      </w:r>
      <w:r w:rsidR="009F1072" w:rsidRPr="00C55BF3">
        <w:rPr>
          <w:szCs w:val="24"/>
        </w:rPr>
        <w:t>No. </w:t>
      </w:r>
      <w:r w:rsidRPr="00C55BF3">
        <w:rPr>
          <w:szCs w:val="24"/>
        </w:rPr>
        <w:t xml:space="preserve">95, 1st Sess., </w:t>
      </w:r>
      <w:r w:rsidR="00BD7B9B" w:rsidRPr="00C55BF3">
        <w:rPr>
          <w:szCs w:val="24"/>
        </w:rPr>
        <w:t>37</w:t>
      </w:r>
      <w:r w:rsidRPr="00C55BF3">
        <w:rPr>
          <w:szCs w:val="24"/>
        </w:rPr>
        <w:t>th</w:t>
      </w:r>
      <w:r w:rsidR="00BD7B9B" w:rsidRPr="00C55BF3">
        <w:rPr>
          <w:szCs w:val="24"/>
        </w:rPr>
        <w:t xml:space="preserve"> Parl</w:t>
      </w:r>
      <w:r w:rsidRPr="00C55BF3">
        <w:rPr>
          <w:szCs w:val="24"/>
        </w:rPr>
        <w:t>.</w:t>
      </w:r>
      <w:r w:rsidR="009F1072" w:rsidRPr="00C55BF3">
        <w:rPr>
          <w:szCs w:val="24"/>
        </w:rPr>
        <w:t>, October </w:t>
      </w:r>
      <w:r w:rsidRPr="00C55BF3">
        <w:rPr>
          <w:szCs w:val="24"/>
        </w:rPr>
        <w:t xml:space="preserve">16, </w:t>
      </w:r>
      <w:r w:rsidR="00BD7B9B" w:rsidRPr="00C55BF3">
        <w:rPr>
          <w:szCs w:val="24"/>
        </w:rPr>
        <w:t>2001</w:t>
      </w:r>
      <w:r w:rsidRPr="00C55BF3">
        <w:rPr>
          <w:szCs w:val="24"/>
        </w:rPr>
        <w:t xml:space="preserve">, </w:t>
      </w:r>
      <w:r w:rsidR="009F1072" w:rsidRPr="00C55BF3">
        <w:rPr>
          <w:szCs w:val="24"/>
        </w:rPr>
        <w:t>p. </w:t>
      </w:r>
      <w:r w:rsidRPr="00C55BF3">
        <w:rPr>
          <w:szCs w:val="24"/>
        </w:rPr>
        <w:t>6165.</w:t>
      </w:r>
    </w:p>
    <w:p w:rsidR="00C0728A" w:rsidRPr="00C55BF3" w:rsidRDefault="00C0728A" w:rsidP="00506F9A">
      <w:pPr>
        <w:pStyle w:val="SCCNormalDoubleSpacing"/>
        <w:spacing w:after="240" w:line="240" w:lineRule="auto"/>
        <w:ind w:left="539" w:hanging="539"/>
        <w:rPr>
          <w:szCs w:val="24"/>
        </w:rPr>
      </w:pPr>
      <w:r w:rsidRPr="00C55BF3">
        <w:rPr>
          <w:szCs w:val="24"/>
          <w:lang w:val="en-US"/>
        </w:rPr>
        <w:t>Davis</w:t>
      </w:r>
      <w:r w:rsidR="009F1072" w:rsidRPr="00C55BF3">
        <w:rPr>
          <w:szCs w:val="24"/>
        </w:rPr>
        <w:t>, Kevin </w:t>
      </w:r>
      <w:r w:rsidRPr="00C55BF3">
        <w:rPr>
          <w:szCs w:val="24"/>
        </w:rPr>
        <w:t>E.  “Cutting off the Flow of Funds to Terrorists:  Whose Funds?  Which Funds?  Who Decides?</w:t>
      </w:r>
      <w:proofErr w:type="gramStart"/>
      <w:r w:rsidRPr="00C55BF3">
        <w:rPr>
          <w:szCs w:val="24"/>
        </w:rPr>
        <w:t>”,</w:t>
      </w:r>
      <w:proofErr w:type="gramEnd"/>
      <w:r w:rsidRPr="00C55BF3">
        <w:rPr>
          <w:szCs w:val="24"/>
        </w:rPr>
        <w:t xml:space="preserve"> in Ronald</w:t>
      </w:r>
      <w:r w:rsidR="009F1072" w:rsidRPr="00C55BF3">
        <w:rPr>
          <w:szCs w:val="24"/>
        </w:rPr>
        <w:t> </w:t>
      </w:r>
      <w:r w:rsidRPr="00C55BF3">
        <w:rPr>
          <w:szCs w:val="24"/>
        </w:rPr>
        <w:t xml:space="preserve">J. Daniels, Patrick </w:t>
      </w:r>
      <w:proofErr w:type="spellStart"/>
      <w:r w:rsidRPr="00C55BF3">
        <w:rPr>
          <w:szCs w:val="24"/>
        </w:rPr>
        <w:t>Macklem</w:t>
      </w:r>
      <w:proofErr w:type="spellEnd"/>
      <w:r w:rsidRPr="00C55BF3">
        <w:rPr>
          <w:szCs w:val="24"/>
        </w:rPr>
        <w:t xml:space="preserve"> and Kent Roach, eds., </w:t>
      </w:r>
      <w:r w:rsidRPr="00C55BF3">
        <w:rPr>
          <w:i/>
          <w:szCs w:val="24"/>
        </w:rPr>
        <w:t>The Security of Freedom:  Essays on Canada’s Anti</w:t>
      </w:r>
      <w:r w:rsidR="009F1072" w:rsidRPr="00C55BF3">
        <w:rPr>
          <w:i/>
          <w:szCs w:val="24"/>
        </w:rPr>
        <w:noBreakHyphen/>
      </w:r>
      <w:proofErr w:type="spellStart"/>
      <w:r w:rsidRPr="00C55BF3">
        <w:rPr>
          <w:i/>
          <w:szCs w:val="24"/>
        </w:rPr>
        <w:t>Terrorism</w:t>
      </w:r>
      <w:proofErr w:type="spellEnd"/>
      <w:r w:rsidRPr="00C55BF3">
        <w:rPr>
          <w:i/>
          <w:szCs w:val="24"/>
        </w:rPr>
        <w:t xml:space="preserve"> Bill</w:t>
      </w:r>
      <w:r w:rsidRPr="00C55BF3">
        <w:rPr>
          <w:szCs w:val="24"/>
        </w:rPr>
        <w:t>.  Toronto:  University of Toronto Press, 2001, 299.</w:t>
      </w:r>
    </w:p>
    <w:p w:rsidR="007F2EB1" w:rsidRPr="00C55BF3" w:rsidRDefault="009F1072" w:rsidP="00506F9A">
      <w:pPr>
        <w:pStyle w:val="SCCNormalDoubleSpacing"/>
        <w:spacing w:after="240" w:line="240" w:lineRule="auto"/>
        <w:ind w:left="539" w:hanging="539"/>
        <w:rPr>
          <w:szCs w:val="24"/>
        </w:rPr>
      </w:pPr>
      <w:r w:rsidRPr="00C55BF3">
        <w:rPr>
          <w:szCs w:val="24"/>
          <w:lang w:val="en-US"/>
        </w:rPr>
        <w:t>Hogg</w:t>
      </w:r>
      <w:r w:rsidRPr="00C55BF3">
        <w:rPr>
          <w:szCs w:val="24"/>
        </w:rPr>
        <w:t>, Peter </w:t>
      </w:r>
      <w:r w:rsidR="00692A84" w:rsidRPr="00C55BF3">
        <w:rPr>
          <w:szCs w:val="24"/>
        </w:rPr>
        <w:t xml:space="preserve">W.  </w:t>
      </w:r>
      <w:proofErr w:type="gramStart"/>
      <w:r w:rsidR="00692A84" w:rsidRPr="00C55BF3">
        <w:rPr>
          <w:i/>
          <w:szCs w:val="24"/>
        </w:rPr>
        <w:t>Constitutional Law of Canada</w:t>
      </w:r>
      <w:r w:rsidR="00692A84" w:rsidRPr="00C55BF3">
        <w:rPr>
          <w:szCs w:val="24"/>
        </w:rPr>
        <w:t xml:space="preserve">, </w:t>
      </w:r>
      <w:r w:rsidRPr="00C55BF3">
        <w:rPr>
          <w:szCs w:val="24"/>
        </w:rPr>
        <w:t>vol. </w:t>
      </w:r>
      <w:r w:rsidR="00692A84" w:rsidRPr="00C55BF3">
        <w:rPr>
          <w:szCs w:val="24"/>
        </w:rPr>
        <w:t>2, 5th ed. Su</w:t>
      </w:r>
      <w:r w:rsidRPr="00C55BF3">
        <w:rPr>
          <w:szCs w:val="24"/>
        </w:rPr>
        <w:t>pp.</w:t>
      </w:r>
      <w:proofErr w:type="gramEnd"/>
      <w:r w:rsidRPr="00C55BF3">
        <w:rPr>
          <w:szCs w:val="24"/>
        </w:rPr>
        <w:t> </w:t>
      </w:r>
      <w:r w:rsidR="00692A84" w:rsidRPr="00C55BF3">
        <w:rPr>
          <w:szCs w:val="24"/>
        </w:rPr>
        <w:t xml:space="preserve"> </w:t>
      </w:r>
      <w:r w:rsidR="004D0E9A">
        <w:rPr>
          <w:szCs w:val="24"/>
        </w:rPr>
        <w:t>Toronto</w:t>
      </w:r>
      <w:r w:rsidR="00692A84" w:rsidRPr="00C55BF3">
        <w:rPr>
          <w:szCs w:val="24"/>
        </w:rPr>
        <w:t xml:space="preserve">: </w:t>
      </w:r>
      <w:r w:rsidR="00336B07" w:rsidRPr="00C55BF3">
        <w:rPr>
          <w:szCs w:val="24"/>
        </w:rPr>
        <w:t xml:space="preserve"> </w:t>
      </w:r>
      <w:proofErr w:type="spellStart"/>
      <w:r w:rsidR="00692A84" w:rsidRPr="00C55BF3">
        <w:rPr>
          <w:szCs w:val="24"/>
        </w:rPr>
        <w:t>Carswell</w:t>
      </w:r>
      <w:proofErr w:type="spellEnd"/>
      <w:r w:rsidR="00692A84" w:rsidRPr="00C55BF3">
        <w:rPr>
          <w:szCs w:val="24"/>
        </w:rPr>
        <w:t>, 2007 (loose</w:t>
      </w:r>
      <w:r w:rsidRPr="00C55BF3">
        <w:rPr>
          <w:szCs w:val="24"/>
        </w:rPr>
        <w:noBreakHyphen/>
      </w:r>
      <w:r w:rsidR="00692A84" w:rsidRPr="00C55BF3">
        <w:rPr>
          <w:szCs w:val="24"/>
        </w:rPr>
        <w:t>leaf updated 2011, release 1).</w:t>
      </w:r>
    </w:p>
    <w:p w:rsidR="007F2EB1" w:rsidRPr="00C55BF3" w:rsidRDefault="007F2EB1" w:rsidP="009F1072">
      <w:pPr>
        <w:pStyle w:val="SCCNormalDoubleSpacing"/>
        <w:spacing w:after="240" w:line="240" w:lineRule="auto"/>
        <w:ind w:left="539" w:hanging="539"/>
        <w:rPr>
          <w:szCs w:val="24"/>
          <w:lang w:val="en-US"/>
        </w:rPr>
      </w:pPr>
      <w:r w:rsidRPr="00C55BF3">
        <w:rPr>
          <w:szCs w:val="24"/>
          <w:lang w:val="fr-CA"/>
        </w:rPr>
        <w:t xml:space="preserve">Parent, Hugues, et Julie Desrosiers.  </w:t>
      </w:r>
      <w:r w:rsidRPr="00C55BF3">
        <w:rPr>
          <w:i/>
          <w:szCs w:val="24"/>
          <w:lang w:val="fr-CA"/>
        </w:rPr>
        <w:t>Traité de droit criminel</w:t>
      </w:r>
      <w:r w:rsidRPr="00C55BF3">
        <w:rPr>
          <w:szCs w:val="24"/>
          <w:lang w:val="fr-CA"/>
        </w:rPr>
        <w:t xml:space="preserve">, t. 3, </w:t>
      </w:r>
      <w:r w:rsidRPr="00C55BF3">
        <w:rPr>
          <w:i/>
          <w:szCs w:val="24"/>
          <w:lang w:val="fr-CA"/>
        </w:rPr>
        <w:t>La peine</w:t>
      </w:r>
      <w:r w:rsidRPr="00C55BF3">
        <w:rPr>
          <w:szCs w:val="24"/>
          <w:lang w:val="fr-CA"/>
        </w:rPr>
        <w:t xml:space="preserve">.  </w:t>
      </w:r>
      <w:r w:rsidRPr="00C55BF3">
        <w:rPr>
          <w:szCs w:val="24"/>
          <w:lang w:val="en-US"/>
        </w:rPr>
        <w:t xml:space="preserve">Montréal:  </w:t>
      </w:r>
      <w:proofErr w:type="spellStart"/>
      <w:r w:rsidRPr="00C55BF3">
        <w:rPr>
          <w:szCs w:val="24"/>
          <w:lang w:val="en-US"/>
        </w:rPr>
        <w:t>Thémis</w:t>
      </w:r>
      <w:proofErr w:type="spellEnd"/>
      <w:r w:rsidRPr="00C55BF3">
        <w:rPr>
          <w:szCs w:val="24"/>
          <w:lang w:val="en-US"/>
        </w:rPr>
        <w:t>, 2012.</w:t>
      </w:r>
    </w:p>
    <w:p w:rsidR="00692A84" w:rsidRPr="00C55BF3" w:rsidRDefault="005C1080" w:rsidP="009F1072">
      <w:pPr>
        <w:pStyle w:val="SCCNormalDoubleSpacing"/>
        <w:spacing w:after="240" w:line="240" w:lineRule="auto"/>
        <w:ind w:left="539" w:hanging="539"/>
        <w:rPr>
          <w:szCs w:val="24"/>
          <w:lang w:val="fr-CA"/>
        </w:rPr>
      </w:pPr>
      <w:r w:rsidRPr="00C55BF3">
        <w:rPr>
          <w:szCs w:val="24"/>
        </w:rPr>
        <w:t xml:space="preserve">Roach, Kent.  </w:t>
      </w:r>
      <w:proofErr w:type="gramStart"/>
      <w:r w:rsidRPr="00C55BF3">
        <w:rPr>
          <w:szCs w:val="24"/>
        </w:rPr>
        <w:t xml:space="preserve">“Terrorism Offences and the Charter:  A Comment on R. v. </w:t>
      </w:r>
      <w:proofErr w:type="spellStart"/>
      <w:r w:rsidRPr="00C55BF3">
        <w:rPr>
          <w:szCs w:val="24"/>
        </w:rPr>
        <w:t>Khawaja</w:t>
      </w:r>
      <w:proofErr w:type="spellEnd"/>
      <w:r w:rsidRPr="00C55BF3">
        <w:rPr>
          <w:szCs w:val="24"/>
        </w:rPr>
        <w:t xml:space="preserve">” (2007), 11 </w:t>
      </w:r>
      <w:r w:rsidRPr="00C55BF3">
        <w:rPr>
          <w:i/>
          <w:szCs w:val="24"/>
        </w:rPr>
        <w:t>Can. Crim. L.R.</w:t>
      </w:r>
      <w:r w:rsidRPr="00C55BF3">
        <w:rPr>
          <w:szCs w:val="24"/>
        </w:rPr>
        <w:t xml:space="preserve"> 271.</w:t>
      </w:r>
      <w:proofErr w:type="gramEnd"/>
    </w:p>
    <w:p w:rsidR="00C33D09" w:rsidRPr="00C55BF3" w:rsidRDefault="00C33D09" w:rsidP="009F1072">
      <w:pPr>
        <w:pStyle w:val="SCCNormalDoubleSpacing"/>
        <w:spacing w:after="240" w:line="240" w:lineRule="auto"/>
        <w:ind w:left="539" w:hanging="539"/>
        <w:rPr>
          <w:szCs w:val="24"/>
        </w:rPr>
      </w:pPr>
      <w:r w:rsidRPr="00C55BF3">
        <w:rPr>
          <w:szCs w:val="24"/>
        </w:rPr>
        <w:lastRenderedPageBreak/>
        <w:t xml:space="preserve">Roach, Kent.  </w:t>
      </w:r>
      <w:proofErr w:type="gramStart"/>
      <w:r w:rsidRPr="00C55BF3">
        <w:rPr>
          <w:szCs w:val="24"/>
        </w:rPr>
        <w:t>“The New Terrorism Offences and the Criminal Law”, in Ronald</w:t>
      </w:r>
      <w:r w:rsidR="009F1072" w:rsidRPr="00C55BF3">
        <w:rPr>
          <w:szCs w:val="24"/>
        </w:rPr>
        <w:t> </w:t>
      </w:r>
      <w:r w:rsidRPr="00C55BF3">
        <w:rPr>
          <w:szCs w:val="24"/>
        </w:rPr>
        <w:t xml:space="preserve">J. Daniels, Patrick </w:t>
      </w:r>
      <w:proofErr w:type="spellStart"/>
      <w:r w:rsidRPr="00C55BF3">
        <w:rPr>
          <w:szCs w:val="24"/>
        </w:rPr>
        <w:t>Macklem</w:t>
      </w:r>
      <w:proofErr w:type="spellEnd"/>
      <w:r w:rsidRPr="00C55BF3">
        <w:rPr>
          <w:szCs w:val="24"/>
        </w:rPr>
        <w:t xml:space="preserve"> and Kent Roach, eds., </w:t>
      </w:r>
      <w:r w:rsidRPr="00C55BF3">
        <w:rPr>
          <w:i/>
          <w:szCs w:val="24"/>
        </w:rPr>
        <w:t>The Security of Freedom:  Essays on Canada’s Anti</w:t>
      </w:r>
      <w:r w:rsidR="009F1072" w:rsidRPr="00C55BF3">
        <w:rPr>
          <w:i/>
          <w:szCs w:val="24"/>
        </w:rPr>
        <w:noBreakHyphen/>
      </w:r>
      <w:proofErr w:type="spellStart"/>
      <w:r w:rsidRPr="00C55BF3">
        <w:rPr>
          <w:i/>
          <w:szCs w:val="24"/>
        </w:rPr>
        <w:t>Terrorism</w:t>
      </w:r>
      <w:proofErr w:type="spellEnd"/>
      <w:r w:rsidRPr="00C55BF3">
        <w:rPr>
          <w:i/>
          <w:szCs w:val="24"/>
        </w:rPr>
        <w:t xml:space="preserve"> Bill</w:t>
      </w:r>
      <w:r w:rsidRPr="00C55BF3">
        <w:rPr>
          <w:szCs w:val="24"/>
        </w:rPr>
        <w:t>.</w:t>
      </w:r>
      <w:proofErr w:type="gramEnd"/>
      <w:r w:rsidRPr="00C55BF3">
        <w:rPr>
          <w:szCs w:val="24"/>
        </w:rPr>
        <w:t xml:space="preserve">  Toronto:  University of Toronto Press, 2001, 151. </w:t>
      </w:r>
    </w:p>
    <w:p w:rsidR="00A149DF" w:rsidRPr="00C55BF3" w:rsidRDefault="00D41D8D" w:rsidP="009153A7">
      <w:pPr>
        <w:pStyle w:val="SCCNormalDoubleSpacing"/>
        <w:spacing w:after="720" w:line="240" w:lineRule="auto"/>
        <w:ind w:left="540" w:hanging="540"/>
        <w:rPr>
          <w:szCs w:val="24"/>
        </w:rPr>
      </w:pPr>
      <w:proofErr w:type="gramStart"/>
      <w:r w:rsidRPr="00C55BF3">
        <w:rPr>
          <w:szCs w:val="24"/>
        </w:rPr>
        <w:t>United Nations.</w:t>
      </w:r>
      <w:proofErr w:type="gramEnd"/>
      <w:r w:rsidRPr="00C55BF3">
        <w:rPr>
          <w:szCs w:val="24"/>
        </w:rPr>
        <w:t xml:space="preserve">  </w:t>
      </w:r>
      <w:proofErr w:type="gramStart"/>
      <w:r w:rsidRPr="00C55BF3">
        <w:rPr>
          <w:szCs w:val="24"/>
        </w:rPr>
        <w:t>Security Council.</w:t>
      </w:r>
      <w:proofErr w:type="gramEnd"/>
      <w:r w:rsidRPr="00C55BF3">
        <w:rPr>
          <w:szCs w:val="24"/>
        </w:rPr>
        <w:t xml:space="preserve">  U.N. Doc</w:t>
      </w:r>
      <w:r w:rsidR="00FB3FF9" w:rsidRPr="00C55BF3">
        <w:rPr>
          <w:szCs w:val="24"/>
        </w:rPr>
        <w:t>.</w:t>
      </w:r>
      <w:r w:rsidR="004D0E9A">
        <w:rPr>
          <w:szCs w:val="24"/>
        </w:rPr>
        <w:t xml:space="preserve"> S/RES</w:t>
      </w:r>
      <w:r w:rsidR="009153A7" w:rsidRPr="00C55BF3">
        <w:rPr>
          <w:szCs w:val="24"/>
        </w:rPr>
        <w:t>/1373, September </w:t>
      </w:r>
      <w:r w:rsidRPr="00C55BF3">
        <w:rPr>
          <w:szCs w:val="24"/>
        </w:rPr>
        <w:t>28, 2001.</w:t>
      </w:r>
    </w:p>
    <w:p w:rsidR="00330B90" w:rsidRPr="00C55BF3" w:rsidRDefault="009B57B3" w:rsidP="009153A7">
      <w:pPr>
        <w:pStyle w:val="SCCNormalDoubleSpacing"/>
        <w:spacing w:after="480"/>
        <w:rPr>
          <w:szCs w:val="24"/>
        </w:rPr>
      </w:pPr>
      <w:r w:rsidRPr="00C55BF3">
        <w:rPr>
          <w:szCs w:val="24"/>
        </w:rPr>
        <w:tab/>
        <w:t xml:space="preserve">APPEAL from a judgment of the </w:t>
      </w:r>
      <w:r w:rsidR="00C92796" w:rsidRPr="00C55BF3">
        <w:rPr>
          <w:szCs w:val="24"/>
        </w:rPr>
        <w:t xml:space="preserve">Ontario Court of Appeal </w:t>
      </w:r>
      <w:r w:rsidR="009F64EE" w:rsidRPr="00C55BF3">
        <w:rPr>
          <w:szCs w:val="24"/>
        </w:rPr>
        <w:t>(</w:t>
      </w:r>
      <w:r w:rsidR="00503757" w:rsidRPr="00C55BF3">
        <w:rPr>
          <w:szCs w:val="24"/>
        </w:rPr>
        <w:fldChar w:fldCharType="begin"/>
      </w:r>
      <w:r w:rsidR="009F64EE" w:rsidRPr="00C55BF3">
        <w:rPr>
          <w:szCs w:val="24"/>
        </w:rPr>
        <w:instrText xml:space="preserve"> SEQ CHAPTER \h \r 1</w:instrText>
      </w:r>
      <w:r w:rsidR="00503757" w:rsidRPr="00C55BF3">
        <w:rPr>
          <w:szCs w:val="24"/>
        </w:rPr>
        <w:fldChar w:fldCharType="end"/>
      </w:r>
      <w:r w:rsidR="009F64EE" w:rsidRPr="00C55BF3">
        <w:rPr>
          <w:szCs w:val="24"/>
        </w:rPr>
        <w:t xml:space="preserve">Doherty, </w:t>
      </w:r>
      <w:proofErr w:type="spellStart"/>
      <w:r w:rsidR="009F64EE" w:rsidRPr="00C55BF3">
        <w:rPr>
          <w:szCs w:val="24"/>
        </w:rPr>
        <w:t>Moldaver</w:t>
      </w:r>
      <w:proofErr w:type="spellEnd"/>
      <w:r w:rsidR="009F64EE" w:rsidRPr="00C55BF3">
        <w:rPr>
          <w:szCs w:val="24"/>
        </w:rPr>
        <w:t xml:space="preserve"> and </w:t>
      </w:r>
      <w:proofErr w:type="spellStart"/>
      <w:r w:rsidR="009F64EE" w:rsidRPr="00C55BF3">
        <w:rPr>
          <w:szCs w:val="24"/>
        </w:rPr>
        <w:t>Cronk</w:t>
      </w:r>
      <w:proofErr w:type="spellEnd"/>
      <w:r w:rsidR="009153A7" w:rsidRPr="00C55BF3">
        <w:rPr>
          <w:szCs w:val="24"/>
        </w:rPr>
        <w:t> </w:t>
      </w:r>
      <w:r w:rsidR="009F64EE" w:rsidRPr="00C55BF3">
        <w:rPr>
          <w:szCs w:val="24"/>
        </w:rPr>
        <w:t xml:space="preserve">JJ.A.), 2010 ONCA 862, 103 O.R. (3d) 321, 271 O.A.C. 238, </w:t>
      </w:r>
      <w:r w:rsidR="004D0E9A" w:rsidRPr="00C55BF3">
        <w:rPr>
          <w:szCs w:val="24"/>
        </w:rPr>
        <w:t xml:space="preserve">273 C.C.C. (3d) 415, </w:t>
      </w:r>
      <w:r w:rsidR="009F64EE" w:rsidRPr="00C55BF3">
        <w:rPr>
          <w:szCs w:val="24"/>
        </w:rPr>
        <w:t xml:space="preserve">82 C.R. (6th) 122, [2010] O.J. </w:t>
      </w:r>
      <w:r w:rsidR="009F1072" w:rsidRPr="00C55BF3">
        <w:rPr>
          <w:szCs w:val="24"/>
        </w:rPr>
        <w:t>No. </w:t>
      </w:r>
      <w:r w:rsidR="009F64EE" w:rsidRPr="00C55BF3">
        <w:rPr>
          <w:szCs w:val="24"/>
        </w:rPr>
        <w:t xml:space="preserve">5471 (QL), 2010 </w:t>
      </w:r>
      <w:proofErr w:type="spellStart"/>
      <w:r w:rsidR="009F64EE" w:rsidRPr="00C55BF3">
        <w:rPr>
          <w:szCs w:val="24"/>
        </w:rPr>
        <w:t>CarswellOnt</w:t>
      </w:r>
      <w:proofErr w:type="spellEnd"/>
      <w:r w:rsidR="009F64EE" w:rsidRPr="00C55BF3">
        <w:rPr>
          <w:szCs w:val="24"/>
        </w:rPr>
        <w:t xml:space="preserve"> 9672, </w:t>
      </w:r>
      <w:r w:rsidR="007A0514" w:rsidRPr="00C55BF3">
        <w:rPr>
          <w:szCs w:val="24"/>
        </w:rPr>
        <w:t xml:space="preserve">overturning a constitutional ruling by </w:t>
      </w:r>
      <w:r w:rsidR="009153A7" w:rsidRPr="00C55BF3">
        <w:rPr>
          <w:szCs w:val="24"/>
        </w:rPr>
        <w:t>Rutherford </w:t>
      </w:r>
      <w:r w:rsidR="004824B2" w:rsidRPr="00C55BF3">
        <w:rPr>
          <w:szCs w:val="24"/>
        </w:rPr>
        <w:t>J.</w:t>
      </w:r>
      <w:r w:rsidR="007A0514" w:rsidRPr="00C55BF3">
        <w:rPr>
          <w:szCs w:val="24"/>
        </w:rPr>
        <w:t xml:space="preserve"> (2006), 214 C.C.C. (3d) 399, </w:t>
      </w:r>
      <w:r w:rsidR="00A05856" w:rsidRPr="00C55BF3">
        <w:rPr>
          <w:szCs w:val="24"/>
        </w:rPr>
        <w:t xml:space="preserve">42 C.R. (6th) 348, 147 C.R.R. (2d) 281, </w:t>
      </w:r>
      <w:r w:rsidR="004D0E9A">
        <w:rPr>
          <w:szCs w:val="24"/>
        </w:rPr>
        <w:t xml:space="preserve">2006 </w:t>
      </w:r>
      <w:proofErr w:type="spellStart"/>
      <w:r w:rsidR="004D0E9A">
        <w:rPr>
          <w:szCs w:val="24"/>
        </w:rPr>
        <w:t>CanLII</w:t>
      </w:r>
      <w:proofErr w:type="spellEnd"/>
      <w:r w:rsidR="004D0E9A">
        <w:rPr>
          <w:szCs w:val="24"/>
        </w:rPr>
        <w:t xml:space="preserve"> 63685, </w:t>
      </w:r>
      <w:r w:rsidR="00A05856" w:rsidRPr="00C55BF3">
        <w:rPr>
          <w:szCs w:val="24"/>
        </w:rPr>
        <w:t xml:space="preserve">[2006] O.J. </w:t>
      </w:r>
      <w:r w:rsidR="009F1072" w:rsidRPr="00C55BF3">
        <w:rPr>
          <w:szCs w:val="24"/>
        </w:rPr>
        <w:t>No. </w:t>
      </w:r>
      <w:r w:rsidR="00A05856" w:rsidRPr="00C55BF3">
        <w:rPr>
          <w:szCs w:val="24"/>
        </w:rPr>
        <w:t xml:space="preserve">4245 (QL), 2006 </w:t>
      </w:r>
      <w:proofErr w:type="spellStart"/>
      <w:r w:rsidR="00A05856" w:rsidRPr="00C55BF3">
        <w:rPr>
          <w:szCs w:val="24"/>
        </w:rPr>
        <w:t>CarswellOnt</w:t>
      </w:r>
      <w:proofErr w:type="spellEnd"/>
      <w:r w:rsidR="00A05856" w:rsidRPr="00C55BF3">
        <w:rPr>
          <w:szCs w:val="24"/>
        </w:rPr>
        <w:t xml:space="preserve"> 6551, </w:t>
      </w:r>
      <w:r w:rsidR="007A0514" w:rsidRPr="00C55BF3">
        <w:rPr>
          <w:szCs w:val="24"/>
        </w:rPr>
        <w:t>affirming convictions entered by Rutherford J.</w:t>
      </w:r>
      <w:r w:rsidR="00330B90" w:rsidRPr="00C55BF3">
        <w:rPr>
          <w:szCs w:val="24"/>
        </w:rPr>
        <w:t xml:space="preserve"> </w:t>
      </w:r>
      <w:r w:rsidR="00E177CF" w:rsidRPr="00C55BF3">
        <w:rPr>
          <w:szCs w:val="24"/>
        </w:rPr>
        <w:t xml:space="preserve">(2008), </w:t>
      </w:r>
      <w:r w:rsidR="00330B90" w:rsidRPr="00C55BF3">
        <w:rPr>
          <w:szCs w:val="24"/>
        </w:rPr>
        <w:t xml:space="preserve">238 C.C.C. (3d) 114, </w:t>
      </w:r>
      <w:r w:rsidR="009153A7" w:rsidRPr="00C55BF3">
        <w:rPr>
          <w:szCs w:val="24"/>
        </w:rPr>
        <w:t xml:space="preserve">[2008] O.J. </w:t>
      </w:r>
      <w:r w:rsidR="009F1072" w:rsidRPr="00C55BF3">
        <w:rPr>
          <w:szCs w:val="24"/>
        </w:rPr>
        <w:t>No. </w:t>
      </w:r>
      <w:r w:rsidR="00330B90" w:rsidRPr="00C55BF3">
        <w:rPr>
          <w:szCs w:val="24"/>
        </w:rPr>
        <w:t xml:space="preserve">4244 (QL), 2008 </w:t>
      </w:r>
      <w:proofErr w:type="spellStart"/>
      <w:r w:rsidR="00330B90" w:rsidRPr="00C55BF3">
        <w:rPr>
          <w:szCs w:val="24"/>
        </w:rPr>
        <w:t>CarswellOnt</w:t>
      </w:r>
      <w:proofErr w:type="spellEnd"/>
      <w:r w:rsidR="00330B90" w:rsidRPr="00C55BF3">
        <w:rPr>
          <w:szCs w:val="24"/>
        </w:rPr>
        <w:t xml:space="preserve"> 6364</w:t>
      </w:r>
      <w:r w:rsidR="007A0514" w:rsidRPr="00C55BF3">
        <w:rPr>
          <w:szCs w:val="24"/>
        </w:rPr>
        <w:t>, and varying sentences imposed by Rutherford</w:t>
      </w:r>
      <w:r w:rsidR="00C81A27" w:rsidRPr="00C55BF3">
        <w:rPr>
          <w:szCs w:val="24"/>
        </w:rPr>
        <w:t> </w:t>
      </w:r>
      <w:r w:rsidR="004D0E9A">
        <w:rPr>
          <w:szCs w:val="24"/>
        </w:rPr>
        <w:t>J.</w:t>
      </w:r>
      <w:r w:rsidR="007A0514" w:rsidRPr="00C55BF3">
        <w:rPr>
          <w:szCs w:val="24"/>
        </w:rPr>
        <w:t xml:space="preserve"> (2009)</w:t>
      </w:r>
      <w:r w:rsidR="004D0E9A">
        <w:rPr>
          <w:szCs w:val="24"/>
        </w:rPr>
        <w:t>,</w:t>
      </w:r>
      <w:r w:rsidR="007A0514" w:rsidRPr="00C55BF3">
        <w:rPr>
          <w:szCs w:val="24"/>
        </w:rPr>
        <w:t xml:space="preserve"> 248 C.C.C. (3d) 233</w:t>
      </w:r>
      <w:r w:rsidR="00904D69" w:rsidRPr="00C55BF3">
        <w:rPr>
          <w:szCs w:val="24"/>
        </w:rPr>
        <w:t xml:space="preserve">, [2009] O.J. </w:t>
      </w:r>
      <w:r w:rsidR="009F1072" w:rsidRPr="00C55BF3">
        <w:rPr>
          <w:szCs w:val="24"/>
        </w:rPr>
        <w:t>No. </w:t>
      </w:r>
      <w:r w:rsidR="00904D69" w:rsidRPr="00C55BF3">
        <w:rPr>
          <w:szCs w:val="24"/>
        </w:rPr>
        <w:t>4279 (QL)</w:t>
      </w:r>
      <w:r w:rsidR="004D0E9A">
        <w:rPr>
          <w:szCs w:val="24"/>
        </w:rPr>
        <w:t xml:space="preserve">, 2009 </w:t>
      </w:r>
      <w:proofErr w:type="spellStart"/>
      <w:r w:rsidR="004D0E9A">
        <w:rPr>
          <w:szCs w:val="24"/>
        </w:rPr>
        <w:t>CarswellOnt</w:t>
      </w:r>
      <w:proofErr w:type="spellEnd"/>
      <w:r w:rsidR="004D0E9A">
        <w:rPr>
          <w:szCs w:val="24"/>
        </w:rPr>
        <w:t xml:space="preserve"> 6322</w:t>
      </w:r>
      <w:r w:rsidR="00330B90" w:rsidRPr="00C55BF3">
        <w:rPr>
          <w:szCs w:val="24"/>
        </w:rPr>
        <w:t>.  Appeal dismissed.</w:t>
      </w:r>
    </w:p>
    <w:p w:rsidR="006F7CC0" w:rsidRPr="00C55BF3" w:rsidRDefault="00C92796" w:rsidP="009153A7">
      <w:pPr>
        <w:pStyle w:val="SCCNormalDoubleSpacing"/>
        <w:spacing w:after="480"/>
        <w:rPr>
          <w:szCs w:val="24"/>
        </w:rPr>
      </w:pPr>
      <w:r w:rsidRPr="00C55BF3">
        <w:rPr>
          <w:i/>
          <w:szCs w:val="24"/>
        </w:rPr>
        <w:tab/>
      </w:r>
      <w:proofErr w:type="gramStart"/>
      <w:r w:rsidRPr="00C55BF3">
        <w:rPr>
          <w:i/>
          <w:szCs w:val="24"/>
        </w:rPr>
        <w:t xml:space="preserve">Lawrence </w:t>
      </w:r>
      <w:proofErr w:type="spellStart"/>
      <w:r w:rsidRPr="00C55BF3">
        <w:rPr>
          <w:i/>
          <w:szCs w:val="24"/>
        </w:rPr>
        <w:t>Greenspon</w:t>
      </w:r>
      <w:proofErr w:type="spellEnd"/>
      <w:r w:rsidRPr="00C55BF3">
        <w:rPr>
          <w:szCs w:val="24"/>
        </w:rPr>
        <w:t xml:space="preserve"> and </w:t>
      </w:r>
      <w:r w:rsidRPr="00C55BF3">
        <w:rPr>
          <w:i/>
          <w:szCs w:val="24"/>
        </w:rPr>
        <w:t>Eric Granger</w:t>
      </w:r>
      <w:r w:rsidRPr="00C55BF3">
        <w:rPr>
          <w:szCs w:val="24"/>
        </w:rPr>
        <w:t>, for the appellant.</w:t>
      </w:r>
      <w:proofErr w:type="gramEnd"/>
    </w:p>
    <w:p w:rsidR="006F7CC0" w:rsidRPr="00C55BF3" w:rsidRDefault="00C92796" w:rsidP="009153A7">
      <w:pPr>
        <w:pStyle w:val="SCCNormalDoubleSpacing"/>
        <w:spacing w:after="480"/>
        <w:rPr>
          <w:szCs w:val="24"/>
        </w:rPr>
      </w:pPr>
      <w:r w:rsidRPr="00C55BF3">
        <w:rPr>
          <w:i/>
          <w:szCs w:val="24"/>
        </w:rPr>
        <w:tab/>
      </w:r>
      <w:proofErr w:type="gramStart"/>
      <w:r w:rsidRPr="00C55BF3">
        <w:rPr>
          <w:i/>
          <w:szCs w:val="24"/>
        </w:rPr>
        <w:t xml:space="preserve">Croft </w:t>
      </w:r>
      <w:proofErr w:type="spellStart"/>
      <w:r w:rsidRPr="00C55BF3">
        <w:rPr>
          <w:i/>
          <w:szCs w:val="24"/>
        </w:rPr>
        <w:t>Michaelson</w:t>
      </w:r>
      <w:proofErr w:type="spellEnd"/>
      <w:r w:rsidRPr="00C55BF3">
        <w:rPr>
          <w:szCs w:val="24"/>
        </w:rPr>
        <w:t xml:space="preserve"> and </w:t>
      </w:r>
      <w:r w:rsidRPr="00C55BF3">
        <w:rPr>
          <w:i/>
          <w:szCs w:val="24"/>
        </w:rPr>
        <w:t>Ian Bell</w:t>
      </w:r>
      <w:r w:rsidRPr="00C55BF3">
        <w:rPr>
          <w:szCs w:val="24"/>
        </w:rPr>
        <w:t>, for the respondent.</w:t>
      </w:r>
      <w:proofErr w:type="gramEnd"/>
    </w:p>
    <w:p w:rsidR="006F7CC0" w:rsidRPr="00C55BF3" w:rsidRDefault="00C92796" w:rsidP="009153A7">
      <w:pPr>
        <w:pStyle w:val="SCCNormalDoubleSpacing"/>
        <w:spacing w:after="480"/>
        <w:rPr>
          <w:szCs w:val="24"/>
        </w:rPr>
      </w:pPr>
      <w:r w:rsidRPr="00C55BF3">
        <w:rPr>
          <w:i/>
          <w:szCs w:val="24"/>
        </w:rPr>
        <w:tab/>
      </w:r>
      <w:proofErr w:type="gramStart"/>
      <w:r w:rsidRPr="00C55BF3">
        <w:rPr>
          <w:i/>
          <w:szCs w:val="24"/>
        </w:rPr>
        <w:t>Michael Bernstein</w:t>
      </w:r>
      <w:r w:rsidRPr="00C55BF3">
        <w:rPr>
          <w:szCs w:val="24"/>
        </w:rPr>
        <w:t xml:space="preserve">, for the intervener </w:t>
      </w:r>
      <w:r w:rsidR="00873637" w:rsidRPr="00C55BF3">
        <w:rPr>
          <w:szCs w:val="24"/>
        </w:rPr>
        <w:t xml:space="preserve">the </w:t>
      </w:r>
      <w:r w:rsidRPr="00C55BF3">
        <w:rPr>
          <w:szCs w:val="24"/>
        </w:rPr>
        <w:t>Attorney General of Ontario.</w:t>
      </w:r>
      <w:proofErr w:type="gramEnd"/>
    </w:p>
    <w:p w:rsidR="006F7CC0" w:rsidRPr="00C55BF3" w:rsidRDefault="00C92796" w:rsidP="009153A7">
      <w:pPr>
        <w:pStyle w:val="SCCNormalDoubleSpacing"/>
        <w:spacing w:after="480"/>
        <w:rPr>
          <w:szCs w:val="24"/>
          <w:lang w:val="fr-CA"/>
        </w:rPr>
      </w:pPr>
      <w:r w:rsidRPr="00C55BF3">
        <w:rPr>
          <w:i/>
          <w:szCs w:val="24"/>
        </w:rPr>
        <w:tab/>
      </w:r>
      <w:r w:rsidRPr="00C55BF3">
        <w:rPr>
          <w:i/>
          <w:szCs w:val="24"/>
          <w:lang w:val="fr-CA"/>
        </w:rPr>
        <w:t>Yan Paquette</w:t>
      </w:r>
      <w:r w:rsidR="00873637" w:rsidRPr="00C55BF3">
        <w:rPr>
          <w:i/>
          <w:szCs w:val="24"/>
          <w:lang w:val="fr-CA"/>
        </w:rPr>
        <w:t xml:space="preserve"> </w:t>
      </w:r>
      <w:r w:rsidR="00873637" w:rsidRPr="00741271">
        <w:rPr>
          <w:szCs w:val="24"/>
          <w:lang w:val="fr-CA"/>
        </w:rPr>
        <w:t>and</w:t>
      </w:r>
      <w:r w:rsidR="00873637" w:rsidRPr="00C55BF3">
        <w:rPr>
          <w:i/>
          <w:szCs w:val="24"/>
          <w:lang w:val="fr-CA"/>
        </w:rPr>
        <w:t xml:space="preserve"> </w:t>
      </w:r>
      <w:proofErr w:type="spellStart"/>
      <w:r w:rsidR="00873637" w:rsidRPr="00C55BF3">
        <w:rPr>
          <w:i/>
          <w:szCs w:val="24"/>
          <w:lang w:val="fr-CA"/>
        </w:rPr>
        <w:t>Louis</w:t>
      </w:r>
      <w:r w:rsidR="009F1072" w:rsidRPr="00C55BF3">
        <w:rPr>
          <w:i/>
          <w:szCs w:val="24"/>
          <w:lang w:val="fr-CA"/>
        </w:rPr>
        <w:noBreakHyphen/>
      </w:r>
      <w:r w:rsidR="00873637" w:rsidRPr="00C55BF3">
        <w:rPr>
          <w:i/>
          <w:szCs w:val="24"/>
          <w:lang w:val="fr-CA"/>
        </w:rPr>
        <w:t>Philippe</w:t>
      </w:r>
      <w:proofErr w:type="spellEnd"/>
      <w:r w:rsidR="00873637" w:rsidRPr="00C55BF3">
        <w:rPr>
          <w:i/>
          <w:szCs w:val="24"/>
          <w:lang w:val="fr-CA"/>
        </w:rPr>
        <w:t xml:space="preserve"> Lampron</w:t>
      </w:r>
      <w:r w:rsidRPr="00C55BF3">
        <w:rPr>
          <w:szCs w:val="24"/>
          <w:lang w:val="fr-CA"/>
        </w:rPr>
        <w:t xml:space="preserve">, for the </w:t>
      </w:r>
      <w:proofErr w:type="spellStart"/>
      <w:r w:rsidRPr="00C55BF3">
        <w:rPr>
          <w:szCs w:val="24"/>
          <w:lang w:val="fr-CA"/>
        </w:rPr>
        <w:t>intervener</w:t>
      </w:r>
      <w:proofErr w:type="spellEnd"/>
      <w:r w:rsidRPr="00C55BF3">
        <w:rPr>
          <w:szCs w:val="24"/>
          <w:lang w:val="fr-CA"/>
        </w:rPr>
        <w:t xml:space="preserve"> Groupe d</w:t>
      </w:r>
      <w:r w:rsidR="009153A7" w:rsidRPr="00C55BF3">
        <w:rPr>
          <w:szCs w:val="24"/>
          <w:lang w:val="fr-CA"/>
        </w:rPr>
        <w:t>’</w:t>
      </w:r>
      <w:r w:rsidRPr="00C55BF3">
        <w:rPr>
          <w:szCs w:val="24"/>
          <w:lang w:val="fr-CA"/>
        </w:rPr>
        <w:t>étude en droits et libertés de la Faculté de droit de l</w:t>
      </w:r>
      <w:r w:rsidR="009153A7" w:rsidRPr="00C55BF3">
        <w:rPr>
          <w:szCs w:val="24"/>
          <w:lang w:val="fr-CA"/>
        </w:rPr>
        <w:t>’</w:t>
      </w:r>
      <w:r w:rsidRPr="00C55BF3">
        <w:rPr>
          <w:szCs w:val="24"/>
          <w:lang w:val="fr-CA"/>
        </w:rPr>
        <w:t>Université Laval.</w:t>
      </w:r>
    </w:p>
    <w:p w:rsidR="006F7CC0" w:rsidRPr="00C55BF3" w:rsidRDefault="00C92796" w:rsidP="009153A7">
      <w:pPr>
        <w:pStyle w:val="SCCNormalDoubleSpacing"/>
        <w:spacing w:after="480"/>
        <w:rPr>
          <w:szCs w:val="24"/>
        </w:rPr>
      </w:pPr>
      <w:r w:rsidRPr="00C55BF3">
        <w:rPr>
          <w:i/>
          <w:szCs w:val="24"/>
          <w:lang w:val="fr-CA"/>
        </w:rPr>
        <w:lastRenderedPageBreak/>
        <w:tab/>
      </w:r>
      <w:proofErr w:type="gramStart"/>
      <w:r w:rsidR="009153A7" w:rsidRPr="00C55BF3">
        <w:rPr>
          <w:i/>
          <w:szCs w:val="24"/>
        </w:rPr>
        <w:t>Anil </w:t>
      </w:r>
      <w:r w:rsidRPr="00C55BF3">
        <w:rPr>
          <w:i/>
          <w:szCs w:val="24"/>
        </w:rPr>
        <w:t xml:space="preserve">K. </w:t>
      </w:r>
      <w:proofErr w:type="spellStart"/>
      <w:r w:rsidRPr="00C55BF3">
        <w:rPr>
          <w:i/>
          <w:szCs w:val="24"/>
        </w:rPr>
        <w:t>Kapoor</w:t>
      </w:r>
      <w:proofErr w:type="spellEnd"/>
      <w:r w:rsidRPr="00C55BF3">
        <w:rPr>
          <w:szCs w:val="24"/>
        </w:rPr>
        <w:t xml:space="preserve"> and </w:t>
      </w:r>
      <w:r w:rsidR="009153A7" w:rsidRPr="00C55BF3">
        <w:rPr>
          <w:i/>
          <w:szCs w:val="24"/>
        </w:rPr>
        <w:t>Lindsay </w:t>
      </w:r>
      <w:r w:rsidRPr="00C55BF3">
        <w:rPr>
          <w:i/>
          <w:szCs w:val="24"/>
        </w:rPr>
        <w:t xml:space="preserve">L. </w:t>
      </w:r>
      <w:proofErr w:type="spellStart"/>
      <w:r w:rsidRPr="00C55BF3">
        <w:rPr>
          <w:i/>
          <w:szCs w:val="24"/>
        </w:rPr>
        <w:t>Daviau</w:t>
      </w:r>
      <w:proofErr w:type="spellEnd"/>
      <w:r w:rsidRPr="00C55BF3">
        <w:rPr>
          <w:szCs w:val="24"/>
        </w:rPr>
        <w:t>, for the intervener</w:t>
      </w:r>
      <w:r w:rsidR="00873637" w:rsidRPr="00C55BF3">
        <w:rPr>
          <w:szCs w:val="24"/>
        </w:rPr>
        <w:t xml:space="preserve"> the</w:t>
      </w:r>
      <w:r w:rsidRPr="00C55BF3">
        <w:rPr>
          <w:szCs w:val="24"/>
        </w:rPr>
        <w:t xml:space="preserve"> Canadian Civil Liberties Association.</w:t>
      </w:r>
      <w:proofErr w:type="gramEnd"/>
    </w:p>
    <w:p w:rsidR="00E267BC" w:rsidRDefault="00C92796" w:rsidP="00E267BC">
      <w:pPr>
        <w:pStyle w:val="SCCNormalDoubleSpacing"/>
        <w:spacing w:after="480"/>
        <w:rPr>
          <w:i/>
          <w:szCs w:val="24"/>
        </w:rPr>
      </w:pPr>
      <w:r w:rsidRPr="00C55BF3">
        <w:rPr>
          <w:i/>
          <w:szCs w:val="24"/>
        </w:rPr>
        <w:tab/>
      </w:r>
      <w:proofErr w:type="gramStart"/>
      <w:r w:rsidR="00E24978" w:rsidRPr="00C55BF3">
        <w:rPr>
          <w:i/>
          <w:szCs w:val="24"/>
        </w:rPr>
        <w:t xml:space="preserve">Kent Roach </w:t>
      </w:r>
      <w:r w:rsidR="00E24978" w:rsidRPr="00741271">
        <w:rPr>
          <w:szCs w:val="24"/>
        </w:rPr>
        <w:t>and</w:t>
      </w:r>
      <w:r w:rsidR="00E24978" w:rsidRPr="00C55BF3">
        <w:rPr>
          <w:i/>
          <w:szCs w:val="24"/>
        </w:rPr>
        <w:t xml:space="preserve"> </w:t>
      </w:r>
      <w:r w:rsidRPr="00C55BF3">
        <w:rPr>
          <w:i/>
          <w:szCs w:val="24"/>
        </w:rPr>
        <w:t xml:space="preserve">Michael </w:t>
      </w:r>
      <w:proofErr w:type="spellStart"/>
      <w:r w:rsidRPr="00C55BF3">
        <w:rPr>
          <w:i/>
          <w:szCs w:val="24"/>
        </w:rPr>
        <w:t>Fenrick</w:t>
      </w:r>
      <w:proofErr w:type="spellEnd"/>
      <w:r w:rsidRPr="00C55BF3">
        <w:rPr>
          <w:szCs w:val="24"/>
        </w:rPr>
        <w:t xml:space="preserve">, for the intervener </w:t>
      </w:r>
      <w:r w:rsidR="00AA6EDE" w:rsidRPr="00C55BF3">
        <w:rPr>
          <w:szCs w:val="24"/>
        </w:rPr>
        <w:t xml:space="preserve">the </w:t>
      </w:r>
      <w:r w:rsidRPr="00C55BF3">
        <w:rPr>
          <w:szCs w:val="24"/>
        </w:rPr>
        <w:t>British Columbia Civil Liberties Association.</w:t>
      </w:r>
      <w:proofErr w:type="gramEnd"/>
    </w:p>
    <w:p w:rsidR="00E267BC" w:rsidRPr="004D0E9A" w:rsidRDefault="004D0E9A" w:rsidP="00E267BC">
      <w:pPr>
        <w:pStyle w:val="JudgeJuge"/>
        <w:rPr>
          <w:smallCaps w:val="0"/>
        </w:rPr>
      </w:pPr>
      <w:r w:rsidRPr="004D0E9A">
        <w:rPr>
          <w:smallCaps w:val="0"/>
        </w:rPr>
        <w:tab/>
      </w:r>
      <w:r>
        <w:rPr>
          <w:smallCaps w:val="0"/>
        </w:rPr>
        <w:t>The judgment of the Court was delivered by</w:t>
      </w:r>
    </w:p>
    <w:p w:rsidR="00E267BC" w:rsidRPr="0038105B" w:rsidRDefault="00E267BC" w:rsidP="00E267BC">
      <w:pPr>
        <w:pStyle w:val="JudgeJuge"/>
      </w:pPr>
      <w:r w:rsidRPr="0038105B">
        <w:tab/>
        <w:t xml:space="preserve">The Chief Justice — </w:t>
      </w:r>
    </w:p>
    <w:p w:rsidR="00E267BC" w:rsidRPr="0038105B" w:rsidRDefault="00E267BC" w:rsidP="00E267BC">
      <w:pPr>
        <w:pStyle w:val="TitleTitre-AltT"/>
        <w:tabs>
          <w:tab w:val="clear" w:pos="360"/>
        </w:tabs>
        <w:ind w:left="720" w:hanging="720"/>
        <w:rPr>
          <w:rFonts w:cs="Times New Roman"/>
          <w:u w:val="single"/>
        </w:rPr>
      </w:pPr>
      <w:r w:rsidRPr="0038105B">
        <w:rPr>
          <w:rFonts w:cs="Times New Roman"/>
        </w:rPr>
        <w:t xml:space="preserve">I.  </w:t>
      </w:r>
      <w:r w:rsidRPr="0038105B">
        <w:rPr>
          <w:rFonts w:cs="Times New Roman"/>
          <w:u w:val="single"/>
        </w:rPr>
        <w:t>Introduction</w:t>
      </w:r>
    </w:p>
    <w:p w:rsidR="00E267BC" w:rsidRPr="0038105B" w:rsidRDefault="00E267BC" w:rsidP="00E267BC">
      <w:pPr>
        <w:pStyle w:val="ParaNoNdepar-AltN"/>
        <w:rPr>
          <w:rFonts w:cs="Times New Roman"/>
        </w:rPr>
      </w:pPr>
      <w:r w:rsidRPr="0038105B">
        <w:rPr>
          <w:rFonts w:cs="Times New Roman"/>
        </w:rPr>
        <w:t xml:space="preserve">The appellant, Mohammad </w:t>
      </w:r>
      <w:proofErr w:type="spellStart"/>
      <w:r w:rsidRPr="0038105B">
        <w:rPr>
          <w:rFonts w:cs="Times New Roman"/>
        </w:rPr>
        <w:t>Momin</w:t>
      </w:r>
      <w:proofErr w:type="spellEnd"/>
      <w:r w:rsidRPr="0038105B">
        <w:rPr>
          <w:rFonts w:cs="Times New Roman"/>
        </w:rPr>
        <w:t xml:space="preserve"> </w:t>
      </w:r>
      <w:proofErr w:type="spellStart"/>
      <w:r w:rsidRPr="0038105B">
        <w:rPr>
          <w:rFonts w:cs="Times New Roman"/>
        </w:rPr>
        <w:t>Khawaja</w:t>
      </w:r>
      <w:proofErr w:type="spellEnd"/>
      <w:r w:rsidRPr="0038105B">
        <w:rPr>
          <w:rFonts w:cs="Times New Roman"/>
        </w:rPr>
        <w:t xml:space="preserve">, was convicted of five offences under Part II.1 of the </w:t>
      </w:r>
      <w:r w:rsidRPr="0038105B">
        <w:rPr>
          <w:rFonts w:cs="Times New Roman"/>
          <w:i/>
        </w:rPr>
        <w:t>Criminal Code</w:t>
      </w:r>
      <w:r w:rsidRPr="0038105B">
        <w:rPr>
          <w:rFonts w:cs="Times New Roman"/>
        </w:rPr>
        <w:t xml:space="preserve">, R.S.C. 1985, </w:t>
      </w:r>
      <w:proofErr w:type="gramStart"/>
      <w:r w:rsidRPr="0038105B">
        <w:rPr>
          <w:rFonts w:cs="Times New Roman"/>
        </w:rPr>
        <w:t>c</w:t>
      </w:r>
      <w:proofErr w:type="gramEnd"/>
      <w:r w:rsidRPr="0038105B">
        <w:rPr>
          <w:rFonts w:cs="Times New Roman"/>
        </w:rPr>
        <w:t xml:space="preserve">. C-46, the Terrorism section. He faces a life sentence and a concurrent sentence of 24 years of imprisonment, with a 10-year period of parole ineligibility.  He appeals on a variety of grounds, which may be summarized as follows: (1) that the provisions in Part II.1 of the </w:t>
      </w:r>
      <w:r w:rsidRPr="0038105B">
        <w:rPr>
          <w:rFonts w:cs="Times New Roman"/>
          <w:i/>
        </w:rPr>
        <w:t xml:space="preserve">Criminal Code </w:t>
      </w:r>
      <w:r w:rsidRPr="0038105B">
        <w:rPr>
          <w:rFonts w:cs="Times New Roman"/>
        </w:rPr>
        <w:t xml:space="preserve">under which he was convicted violate the </w:t>
      </w:r>
      <w:r w:rsidRPr="0038105B">
        <w:rPr>
          <w:rFonts w:cs="Times New Roman"/>
          <w:i/>
        </w:rPr>
        <w:t xml:space="preserve">Canadian Charter of Rights and Freedoms </w:t>
      </w:r>
      <w:r w:rsidRPr="0038105B">
        <w:rPr>
          <w:rFonts w:cs="Times New Roman"/>
        </w:rPr>
        <w:t>and are unconstitutional; (2) that the provisions were misapplied or misinterpreted, resulting in an unfair trial or an unreasonable verdict; and (3) that the Ontario Court of Appeal erred in imposing his sentence.</w:t>
      </w:r>
    </w:p>
    <w:p w:rsidR="00E267BC" w:rsidRPr="0038105B" w:rsidRDefault="00E267BC" w:rsidP="00E267BC">
      <w:pPr>
        <w:pStyle w:val="ParaNoNdepar-AltN"/>
        <w:rPr>
          <w:rFonts w:cs="Times New Roman"/>
        </w:rPr>
      </w:pPr>
      <w:r w:rsidRPr="0038105B">
        <w:rPr>
          <w:rFonts w:cs="Times New Roman"/>
        </w:rPr>
        <w:t xml:space="preserve">For the reasons that follow, I would reject each of the contentions of the appellant.  The issues in this appeal overlap with some of the issues in the companion </w:t>
      </w:r>
      <w:r w:rsidRPr="0038105B">
        <w:rPr>
          <w:rFonts w:cs="Times New Roman"/>
        </w:rPr>
        <w:lastRenderedPageBreak/>
        <w:t xml:space="preserve">appeals of </w:t>
      </w:r>
      <w:proofErr w:type="spellStart"/>
      <w:r w:rsidRPr="0038105B">
        <w:rPr>
          <w:rFonts w:cs="Times New Roman"/>
        </w:rPr>
        <w:t>Sriskandarajah</w:t>
      </w:r>
      <w:proofErr w:type="spellEnd"/>
      <w:r w:rsidRPr="0038105B">
        <w:rPr>
          <w:rFonts w:cs="Times New Roman"/>
        </w:rPr>
        <w:t xml:space="preserve"> and </w:t>
      </w:r>
      <w:proofErr w:type="spellStart"/>
      <w:r w:rsidRPr="0038105B">
        <w:rPr>
          <w:rFonts w:cs="Times New Roman"/>
        </w:rPr>
        <w:t>Nadarajah</w:t>
      </w:r>
      <w:proofErr w:type="spellEnd"/>
      <w:r w:rsidRPr="0038105B">
        <w:rPr>
          <w:rFonts w:cs="Times New Roman"/>
          <w:i/>
        </w:rPr>
        <w:t xml:space="preserve"> </w:t>
      </w:r>
      <w:r w:rsidRPr="0038105B">
        <w:rPr>
          <w:rFonts w:cs="Times New Roman"/>
        </w:rPr>
        <w:t>(</w:t>
      </w:r>
      <w:proofErr w:type="spellStart"/>
      <w:r w:rsidRPr="0038105B">
        <w:rPr>
          <w:rFonts w:cs="Times New Roman"/>
          <w:i/>
        </w:rPr>
        <w:t>Sriskandarajah</w:t>
      </w:r>
      <w:proofErr w:type="spellEnd"/>
      <w:r w:rsidRPr="0038105B">
        <w:rPr>
          <w:rFonts w:cs="Times New Roman"/>
          <w:i/>
        </w:rPr>
        <w:t xml:space="preserve"> v. United States of America</w:t>
      </w:r>
      <w:r w:rsidRPr="0038105B">
        <w:rPr>
          <w:rFonts w:cs="Times New Roman"/>
        </w:rPr>
        <w:t>, 2012 SCC 70</w:t>
      </w:r>
      <w:r w:rsidR="004D0E9A">
        <w:rPr>
          <w:rFonts w:cs="Times New Roman"/>
        </w:rPr>
        <w:t xml:space="preserve">, [2012] 3 S.C.R. </w:t>
      </w:r>
      <w:r w:rsidR="00C2577D">
        <w:rPr>
          <w:rFonts w:cs="Times New Roman"/>
        </w:rPr>
        <w:t>609</w:t>
      </w:r>
      <w:r w:rsidRPr="0038105B">
        <w:rPr>
          <w:rFonts w:cs="Times New Roman"/>
        </w:rPr>
        <w:t>).  For convenience, I will consider all the constitutional issues in these reasons.</w:t>
      </w:r>
    </w:p>
    <w:p w:rsidR="00E267BC" w:rsidRPr="0038105B" w:rsidRDefault="00E267BC" w:rsidP="00E267BC">
      <w:pPr>
        <w:pStyle w:val="TitleTitre-AltT"/>
        <w:tabs>
          <w:tab w:val="clear" w:pos="360"/>
        </w:tabs>
        <w:ind w:left="720" w:hanging="720"/>
        <w:rPr>
          <w:rFonts w:cs="Times New Roman"/>
        </w:rPr>
      </w:pPr>
      <w:r w:rsidRPr="0038105B">
        <w:rPr>
          <w:rFonts w:cs="Times New Roman"/>
        </w:rPr>
        <w:t>II</w:t>
      </w:r>
      <w:proofErr w:type="gramStart"/>
      <w:r w:rsidRPr="0038105B">
        <w:rPr>
          <w:rFonts w:cs="Times New Roman"/>
        </w:rPr>
        <w:t xml:space="preserve">.  </w:t>
      </w:r>
      <w:r w:rsidRPr="0038105B">
        <w:rPr>
          <w:rFonts w:cs="Times New Roman"/>
          <w:u w:val="single"/>
        </w:rPr>
        <w:t>The</w:t>
      </w:r>
      <w:proofErr w:type="gramEnd"/>
      <w:r w:rsidRPr="0038105B">
        <w:rPr>
          <w:rFonts w:cs="Times New Roman"/>
          <w:u w:val="single"/>
        </w:rPr>
        <w:t xml:space="preserve"> Evidence</w:t>
      </w:r>
    </w:p>
    <w:p w:rsidR="00E267BC" w:rsidRPr="0038105B" w:rsidRDefault="00E267BC" w:rsidP="00E267BC">
      <w:pPr>
        <w:pStyle w:val="ParaNoNdepar-AltN"/>
        <w:rPr>
          <w:rFonts w:cs="Times New Roman"/>
        </w:rPr>
      </w:pPr>
      <w:r w:rsidRPr="0038105B">
        <w:rPr>
          <w:rFonts w:cs="Times New Roman"/>
        </w:rPr>
        <w:t xml:space="preserve">The facts underlying the offences were largely undisputed. </w:t>
      </w:r>
      <w:r w:rsidRPr="0038105B">
        <w:rPr>
          <w:rFonts w:cs="Times New Roman"/>
          <w:lang w:bidi="en-US"/>
        </w:rPr>
        <w:t>Voluminous email correspondence attested in graphic detail to the appellant’s ideological commitment to violent “</w:t>
      </w:r>
      <w:r w:rsidRPr="004D0E9A">
        <w:rPr>
          <w:rFonts w:cs="Times New Roman"/>
          <w:lang w:bidi="en-US"/>
        </w:rPr>
        <w:t>jihad</w:t>
      </w:r>
      <w:r w:rsidRPr="0038105B">
        <w:rPr>
          <w:rFonts w:cs="Times New Roman"/>
          <w:lang w:bidi="en-US"/>
        </w:rPr>
        <w:t xml:space="preserve">” and to his acts in Canada and elsewhere to further </w:t>
      </w:r>
      <w:r w:rsidRPr="004D0E9A">
        <w:rPr>
          <w:rFonts w:cs="Times New Roman"/>
          <w:lang w:bidi="en-US"/>
        </w:rPr>
        <w:t>jihad</w:t>
      </w:r>
      <w:r w:rsidRPr="0038105B">
        <w:rPr>
          <w:rFonts w:cs="Times New Roman"/>
          <w:lang w:bidi="en-US"/>
        </w:rPr>
        <w:t>-inspired terrorist activities.</w:t>
      </w:r>
    </w:p>
    <w:p w:rsidR="00E267BC" w:rsidRPr="0038105B" w:rsidRDefault="00E267BC" w:rsidP="00E267BC">
      <w:pPr>
        <w:pStyle w:val="ParaNoNdepar-AltN"/>
        <w:rPr>
          <w:rFonts w:cs="Times New Roman"/>
        </w:rPr>
      </w:pPr>
      <w:r w:rsidRPr="0038105B">
        <w:rPr>
          <w:rFonts w:cs="Times New Roman"/>
        </w:rPr>
        <w:t xml:space="preserve">While living with his siblings in Canada, the appellant became obsessed with Osama Bin Laden and his cause.  The appellant began communicating with other people committed to violence in the name of Islam, some of whom he referred to as “the bros”.  He entered into covert email correspondence with </w:t>
      </w:r>
      <w:proofErr w:type="spellStart"/>
      <w:r w:rsidRPr="0038105B">
        <w:rPr>
          <w:rFonts w:cs="Times New Roman"/>
        </w:rPr>
        <w:t>Junaid</w:t>
      </w:r>
      <w:proofErr w:type="spellEnd"/>
      <w:r w:rsidRPr="0038105B">
        <w:rPr>
          <w:rFonts w:cs="Times New Roman"/>
        </w:rPr>
        <w:t xml:space="preserve"> Babar, an American of Pakistani descent who eventually pled guilty in New York City to five counts of providing material support or resources to Al Qaeda.  He also communicated extensively with Omar </w:t>
      </w:r>
      <w:proofErr w:type="spellStart"/>
      <w:r w:rsidRPr="0038105B">
        <w:rPr>
          <w:rFonts w:cs="Times New Roman"/>
        </w:rPr>
        <w:t>Khyam</w:t>
      </w:r>
      <w:proofErr w:type="spellEnd"/>
      <w:r w:rsidRPr="0038105B">
        <w:rPr>
          <w:rFonts w:cs="Times New Roman"/>
        </w:rPr>
        <w:t xml:space="preserve">, the leader of a terrorist cell based in London, England, who was convicted along with several co-conspirators of a plot to bomb targets in the U.K. and elsewhere in Europe. </w:t>
      </w:r>
    </w:p>
    <w:p w:rsidR="00E267BC" w:rsidRPr="0038105B" w:rsidRDefault="00E267BC" w:rsidP="00E267BC">
      <w:pPr>
        <w:pStyle w:val="ParaNoNdepar-AltN"/>
        <w:rPr>
          <w:rFonts w:cs="Times New Roman"/>
        </w:rPr>
      </w:pPr>
      <w:r w:rsidRPr="0038105B">
        <w:rPr>
          <w:rFonts w:cs="Times New Roman"/>
        </w:rPr>
        <w:t xml:space="preserve">The appellant repeatedly offered </w:t>
      </w:r>
      <w:proofErr w:type="spellStart"/>
      <w:r w:rsidRPr="0038105B">
        <w:rPr>
          <w:rFonts w:cs="Times New Roman"/>
        </w:rPr>
        <w:t>Khyam</w:t>
      </w:r>
      <w:proofErr w:type="spellEnd"/>
      <w:r w:rsidRPr="0038105B">
        <w:rPr>
          <w:rFonts w:cs="Times New Roman"/>
        </w:rPr>
        <w:t xml:space="preserve"> and Babar support.  He gave </w:t>
      </w:r>
      <w:proofErr w:type="spellStart"/>
      <w:r w:rsidRPr="0038105B">
        <w:rPr>
          <w:rFonts w:cs="Times New Roman"/>
        </w:rPr>
        <w:t>Khyam</w:t>
      </w:r>
      <w:proofErr w:type="spellEnd"/>
      <w:r w:rsidRPr="0038105B">
        <w:rPr>
          <w:rFonts w:cs="Times New Roman"/>
        </w:rPr>
        <w:t xml:space="preserve"> money for an explosives operation in the United Kingdom or elsewhere in Europe. He gave Babar cash, supplies and SIM cards so that Babar could contact </w:t>
      </w:r>
      <w:proofErr w:type="spellStart"/>
      <w:r w:rsidRPr="0038105B">
        <w:rPr>
          <w:rFonts w:cs="Times New Roman"/>
        </w:rPr>
        <w:lastRenderedPageBreak/>
        <w:t>Khyam</w:t>
      </w:r>
      <w:proofErr w:type="spellEnd"/>
      <w:r w:rsidRPr="0038105B">
        <w:rPr>
          <w:rFonts w:cs="Times New Roman"/>
        </w:rPr>
        <w:t xml:space="preserve"> when transporting detonators to Europe.  He provided funds to support Babar, </w:t>
      </w:r>
      <w:proofErr w:type="spellStart"/>
      <w:r w:rsidRPr="0038105B">
        <w:rPr>
          <w:rFonts w:cs="Times New Roman"/>
        </w:rPr>
        <w:t>Khyam</w:t>
      </w:r>
      <w:proofErr w:type="spellEnd"/>
      <w:r w:rsidRPr="0038105B">
        <w:rPr>
          <w:rFonts w:cs="Times New Roman"/>
        </w:rPr>
        <w:t xml:space="preserve"> and “the bros” in their jihadist efforts.  He designed a remote arming device for explosives that he referred to as the “</w:t>
      </w:r>
      <w:proofErr w:type="spellStart"/>
      <w:r w:rsidRPr="0038105B">
        <w:rPr>
          <w:rFonts w:cs="Times New Roman"/>
        </w:rPr>
        <w:t>hifidigimonster</w:t>
      </w:r>
      <w:proofErr w:type="spellEnd"/>
      <w:r w:rsidRPr="0038105B">
        <w:rPr>
          <w:rFonts w:cs="Times New Roman"/>
        </w:rPr>
        <w:t>”, and offered to smuggle it into the U.K. and train the U.K. cell on its use.  He recruited a woman in Ottawa to facilitate transfers of money. He also offered to procure night goggles for use by the group.</w:t>
      </w:r>
    </w:p>
    <w:p w:rsidR="00E267BC" w:rsidRPr="0038105B" w:rsidRDefault="00E267BC" w:rsidP="00E267BC">
      <w:pPr>
        <w:pStyle w:val="ParaNoNdepar-AltN"/>
        <w:rPr>
          <w:rFonts w:cs="Times New Roman"/>
        </w:rPr>
      </w:pPr>
      <w:r w:rsidRPr="0038105B">
        <w:rPr>
          <w:rFonts w:cs="Times New Roman"/>
          <w:lang w:bidi="en-US"/>
        </w:rPr>
        <w:t xml:space="preserve">The appellant travelled to Pakistan alone and with </w:t>
      </w:r>
      <w:proofErr w:type="spellStart"/>
      <w:r w:rsidRPr="0038105B">
        <w:rPr>
          <w:rFonts w:cs="Times New Roman"/>
          <w:lang w:bidi="en-US"/>
        </w:rPr>
        <w:t>Khyam</w:t>
      </w:r>
      <w:proofErr w:type="spellEnd"/>
      <w:r w:rsidRPr="0038105B">
        <w:rPr>
          <w:rFonts w:cs="Times New Roman"/>
          <w:lang w:bidi="en-US"/>
        </w:rPr>
        <w:t xml:space="preserve">, and attended Babar’s small arms training camp. He made his parents’ home in Pakistan available to the “bros”.  </w:t>
      </w:r>
      <w:r w:rsidRPr="0038105B">
        <w:rPr>
          <w:rFonts w:cs="Times New Roman"/>
        </w:rPr>
        <w:t xml:space="preserve">He suggested members of the U.K. group travel to Canada for weapons training. He also proposed to </w:t>
      </w:r>
      <w:proofErr w:type="spellStart"/>
      <w:r w:rsidRPr="0038105B">
        <w:rPr>
          <w:rFonts w:cs="Times New Roman"/>
        </w:rPr>
        <w:t>Khyam</w:t>
      </w:r>
      <w:proofErr w:type="spellEnd"/>
      <w:r w:rsidRPr="0038105B">
        <w:rPr>
          <w:rFonts w:cs="Times New Roman"/>
        </w:rPr>
        <w:t xml:space="preserve"> via email that a supporter of the </w:t>
      </w:r>
      <w:proofErr w:type="spellStart"/>
      <w:r w:rsidRPr="0038105B">
        <w:rPr>
          <w:rFonts w:cs="Times New Roman"/>
        </w:rPr>
        <w:t>Khyam</w:t>
      </w:r>
      <w:proofErr w:type="spellEnd"/>
      <w:r w:rsidRPr="0038105B">
        <w:rPr>
          <w:rFonts w:cs="Times New Roman"/>
        </w:rPr>
        <w:t xml:space="preserve"> group be sent to Israel on a suicide mission.</w:t>
      </w:r>
    </w:p>
    <w:p w:rsidR="00E267BC" w:rsidRPr="0038105B" w:rsidRDefault="00E267BC" w:rsidP="00E267BC">
      <w:pPr>
        <w:pStyle w:val="ParaNoNdepar-AltN"/>
        <w:rPr>
          <w:rFonts w:cs="Times New Roman"/>
        </w:rPr>
      </w:pPr>
      <w:r w:rsidRPr="0038105B">
        <w:rPr>
          <w:rFonts w:cs="Times New Roman"/>
        </w:rPr>
        <w:t>On March 29, 2004, the RCMP arrested the appellant and searched his house in Orleans, Ottawa.  They seized the “</w:t>
      </w:r>
      <w:proofErr w:type="spellStart"/>
      <w:r w:rsidRPr="0038105B">
        <w:rPr>
          <w:rFonts w:cs="Times New Roman"/>
        </w:rPr>
        <w:t>hifidigimonster</w:t>
      </w:r>
      <w:proofErr w:type="spellEnd"/>
      <w:r w:rsidRPr="0038105B">
        <w:rPr>
          <w:rFonts w:cs="Times New Roman"/>
        </w:rPr>
        <w:t>”, electronic components and devices, parts suitable for constructing more remote arming devices, documents corroborating the assembly process for the device, instructional literature and tools, military calibre rifles and ammunition, other weapons, hard drives, $10,300 in one-hundred dollar bills, military books and</w:t>
      </w:r>
      <w:r w:rsidRPr="004D0E9A">
        <w:rPr>
          <w:rFonts w:cs="Times New Roman"/>
        </w:rPr>
        <w:t xml:space="preserve"> jihad</w:t>
      </w:r>
      <w:r w:rsidRPr="0038105B">
        <w:rPr>
          <w:rFonts w:cs="Times New Roman"/>
        </w:rPr>
        <w:t>-related books.  No blasting caps, other detonators or explosives components were discovered.</w:t>
      </w:r>
    </w:p>
    <w:p w:rsidR="00E267BC" w:rsidRPr="0038105B" w:rsidRDefault="00E267BC" w:rsidP="00E267BC">
      <w:pPr>
        <w:pStyle w:val="TitleTitre-AltT"/>
        <w:tabs>
          <w:tab w:val="clear" w:pos="360"/>
        </w:tabs>
        <w:ind w:left="720" w:hanging="720"/>
        <w:rPr>
          <w:rFonts w:cs="Times New Roman"/>
          <w:u w:val="single"/>
        </w:rPr>
      </w:pPr>
      <w:r w:rsidRPr="0038105B">
        <w:rPr>
          <w:rFonts w:cs="Times New Roman"/>
        </w:rPr>
        <w:t>III</w:t>
      </w:r>
      <w:proofErr w:type="gramStart"/>
      <w:r w:rsidRPr="0038105B">
        <w:rPr>
          <w:rFonts w:cs="Times New Roman"/>
        </w:rPr>
        <w:t xml:space="preserve">.  </w:t>
      </w:r>
      <w:r w:rsidRPr="0038105B">
        <w:rPr>
          <w:rFonts w:cs="Times New Roman"/>
          <w:u w:val="single"/>
        </w:rPr>
        <w:t>Judicial</w:t>
      </w:r>
      <w:proofErr w:type="gramEnd"/>
      <w:r w:rsidRPr="0038105B">
        <w:rPr>
          <w:rFonts w:cs="Times New Roman"/>
          <w:u w:val="single"/>
        </w:rPr>
        <w:t xml:space="preserve"> History</w:t>
      </w:r>
    </w:p>
    <w:p w:rsidR="00E267BC" w:rsidRPr="0038105B" w:rsidRDefault="00E267BC" w:rsidP="00E267BC">
      <w:pPr>
        <w:pStyle w:val="ParaNoNdepar-AltN"/>
        <w:rPr>
          <w:rFonts w:cs="Times New Roman"/>
        </w:rPr>
      </w:pPr>
      <w:r w:rsidRPr="0038105B">
        <w:rPr>
          <w:rFonts w:eastAsiaTheme="minorHAnsi" w:cs="Times New Roman"/>
        </w:rPr>
        <w:lastRenderedPageBreak/>
        <w:t xml:space="preserve">By direct indictment, the appellant was charged with seven offences under the Terrorism section of the </w:t>
      </w:r>
      <w:r w:rsidRPr="0038105B">
        <w:rPr>
          <w:rFonts w:eastAsiaTheme="minorHAnsi" w:cs="Times New Roman"/>
          <w:i/>
        </w:rPr>
        <w:t>Criminal Code</w:t>
      </w:r>
      <w:r w:rsidRPr="0038105B">
        <w:rPr>
          <w:rFonts w:eastAsiaTheme="minorHAnsi" w:cs="Times New Roman"/>
        </w:rPr>
        <w:t xml:space="preserve">.  The appellant brought a preliminary constitutional motion (allowed in part) and a motion for a directed verdict of acquittal (dismissed).  He elected to be tried by judge alone, and was convicted on five counts and found guilty of two included offences.  </w:t>
      </w:r>
    </w:p>
    <w:p w:rsidR="00E267BC" w:rsidRPr="0038105B" w:rsidRDefault="00E267BC" w:rsidP="00E267BC">
      <w:pPr>
        <w:pStyle w:val="TitleTitre-AltT"/>
        <w:tabs>
          <w:tab w:val="clear" w:pos="360"/>
        </w:tabs>
        <w:ind w:left="720" w:hanging="720"/>
        <w:rPr>
          <w:rFonts w:cs="Times New Roman"/>
        </w:rPr>
      </w:pPr>
      <w:r w:rsidRPr="0038105B">
        <w:rPr>
          <w:rFonts w:cs="Times New Roman"/>
        </w:rPr>
        <w:t xml:space="preserve">A.  </w:t>
      </w:r>
      <w:r w:rsidRPr="0038105B">
        <w:rPr>
          <w:rFonts w:cs="Times New Roman"/>
          <w:i/>
        </w:rPr>
        <w:t>The Pre-trial Charter Challenge (2006), 214 C.C.C. (3d) 399</w:t>
      </w:r>
    </w:p>
    <w:p w:rsidR="00E267BC" w:rsidRPr="0038105B" w:rsidRDefault="00E267BC" w:rsidP="00E267BC">
      <w:pPr>
        <w:pStyle w:val="ParaNoNdepar-AltN"/>
        <w:rPr>
          <w:rFonts w:cs="Times New Roman"/>
        </w:rPr>
      </w:pPr>
      <w:r w:rsidRPr="0038105B">
        <w:rPr>
          <w:rFonts w:cs="Times New Roman"/>
        </w:rPr>
        <w:t xml:space="preserve">Prior to trial, the appellant sought a declaration that several terrorism provisions of the </w:t>
      </w:r>
      <w:r w:rsidRPr="0038105B">
        <w:rPr>
          <w:rFonts w:cs="Times New Roman"/>
          <w:i/>
        </w:rPr>
        <w:t>Criminal Code</w:t>
      </w:r>
      <w:r w:rsidRPr="0038105B">
        <w:rPr>
          <w:rFonts w:cs="Times New Roman"/>
        </w:rPr>
        <w:t xml:space="preserve"> (ss. 83.01(1), 83.03(</w:t>
      </w:r>
      <w:r w:rsidRPr="0038105B">
        <w:rPr>
          <w:rFonts w:cs="Times New Roman"/>
          <w:i/>
        </w:rPr>
        <w:t>a</w:t>
      </w:r>
      <w:r w:rsidRPr="0038105B">
        <w:rPr>
          <w:rFonts w:cs="Times New Roman"/>
        </w:rPr>
        <w:t>), 83.18, 83.18(1), 83.18(3</w:t>
      </w:r>
      <w:proofErr w:type="gramStart"/>
      <w:r w:rsidRPr="0038105B">
        <w:rPr>
          <w:rFonts w:cs="Times New Roman"/>
        </w:rPr>
        <w:t>)(</w:t>
      </w:r>
      <w:proofErr w:type="gramEnd"/>
      <w:r w:rsidRPr="0038105B">
        <w:rPr>
          <w:rFonts w:cs="Times New Roman"/>
          <w:i/>
        </w:rPr>
        <w:t>a</w:t>
      </w:r>
      <w:r w:rsidRPr="0038105B">
        <w:rPr>
          <w:rFonts w:cs="Times New Roman"/>
        </w:rPr>
        <w:t>), 83.19, 83.2 and 83.21(1)) are unconstitutional.  The motion judge found that the impugned provisions are neither unconstitutionally vague nor overbroad.</w:t>
      </w:r>
    </w:p>
    <w:p w:rsidR="00E267BC" w:rsidRPr="0038105B" w:rsidRDefault="00E267BC" w:rsidP="00E267BC">
      <w:pPr>
        <w:pStyle w:val="ParaNoNdepar-AltN"/>
        <w:rPr>
          <w:rFonts w:cs="Times New Roman"/>
        </w:rPr>
      </w:pPr>
      <w:r w:rsidRPr="0038105B">
        <w:rPr>
          <w:rFonts w:cs="Times New Roman"/>
        </w:rPr>
        <w:t>However, the motion judge held that s. 83.01(1)(</w:t>
      </w:r>
      <w:r w:rsidRPr="0038105B">
        <w:rPr>
          <w:rFonts w:cs="Times New Roman"/>
          <w:i/>
        </w:rPr>
        <w:t>b</w:t>
      </w:r>
      <w:r w:rsidRPr="0038105B">
        <w:rPr>
          <w:rFonts w:cs="Times New Roman"/>
        </w:rPr>
        <w:t>)(</w:t>
      </w:r>
      <w:proofErr w:type="spellStart"/>
      <w:r w:rsidRPr="0038105B">
        <w:rPr>
          <w:rFonts w:cs="Times New Roman"/>
        </w:rPr>
        <w:t>i</w:t>
      </w:r>
      <w:proofErr w:type="spellEnd"/>
      <w:r w:rsidRPr="0038105B">
        <w:rPr>
          <w:rFonts w:cs="Times New Roman"/>
        </w:rPr>
        <w:t xml:space="preserve">)(A), which provides that a terrorist activity must be an act or omission committed in whole or in part “for a political, religious or ideological purpose, objective or cause” was a </w:t>
      </w:r>
      <w:r w:rsidRPr="0038105B">
        <w:rPr>
          <w:rFonts w:cs="Times New Roman"/>
          <w:i/>
        </w:rPr>
        <w:t>prima facie</w:t>
      </w:r>
      <w:r w:rsidRPr="0038105B">
        <w:rPr>
          <w:rFonts w:cs="Times New Roman"/>
        </w:rPr>
        <w:t xml:space="preserve"> infringement of s. 2(</w:t>
      </w:r>
      <w:r w:rsidRPr="0038105B">
        <w:rPr>
          <w:rFonts w:cs="Times New Roman"/>
          <w:i/>
        </w:rPr>
        <w:t>a</w:t>
      </w:r>
      <w:r w:rsidRPr="0038105B">
        <w:rPr>
          <w:rFonts w:cs="Times New Roman"/>
        </w:rPr>
        <w:t>), (</w:t>
      </w:r>
      <w:r w:rsidRPr="0038105B">
        <w:rPr>
          <w:rFonts w:cs="Times New Roman"/>
          <w:i/>
        </w:rPr>
        <w:t>b</w:t>
      </w:r>
      <w:r w:rsidRPr="0038105B">
        <w:rPr>
          <w:rFonts w:cs="Times New Roman"/>
        </w:rPr>
        <w:t>) and (</w:t>
      </w:r>
      <w:r w:rsidRPr="0038105B">
        <w:rPr>
          <w:rFonts w:cs="Times New Roman"/>
          <w:i/>
        </w:rPr>
        <w:t>d</w:t>
      </w:r>
      <w:r w:rsidRPr="0038105B">
        <w:rPr>
          <w:rFonts w:cs="Times New Roman"/>
        </w:rPr>
        <w:t xml:space="preserve">) of the </w:t>
      </w:r>
      <w:r w:rsidRPr="0038105B">
        <w:rPr>
          <w:rFonts w:cs="Times New Roman"/>
          <w:i/>
        </w:rPr>
        <w:t>Charter</w:t>
      </w:r>
      <w:r w:rsidRPr="0038105B">
        <w:rPr>
          <w:rFonts w:cs="Times New Roman"/>
        </w:rPr>
        <w:t>. He found that the effect of this “motive clause” would be “to focus investigative and prosecutorial scrutiny on the political, religious and ideological beliefs, opinions and expressions of persons and groups”, which in turn would produce a chilling effect on the expression of beliefs and opinions (</w:t>
      </w:r>
      <w:proofErr w:type="spellStart"/>
      <w:r w:rsidRPr="0038105B">
        <w:rPr>
          <w:rFonts w:cs="Times New Roman"/>
        </w:rPr>
        <w:t>para</w:t>
      </w:r>
      <w:proofErr w:type="spellEnd"/>
      <w:r w:rsidRPr="0038105B">
        <w:rPr>
          <w:rFonts w:cs="Times New Roman"/>
        </w:rPr>
        <w:t>. 58).  He found that the infringement could not be justified under s. 1 and accordingly severed the motive clause from s. 83.01(1).</w:t>
      </w:r>
    </w:p>
    <w:p w:rsidR="00E267BC" w:rsidRPr="0038105B" w:rsidRDefault="00A4495B" w:rsidP="00E267BC">
      <w:pPr>
        <w:pStyle w:val="TitleTitre-AltT"/>
        <w:tabs>
          <w:tab w:val="clear" w:pos="360"/>
        </w:tabs>
        <w:ind w:left="720" w:hanging="720"/>
        <w:rPr>
          <w:rFonts w:cs="Times New Roman"/>
          <w:i/>
        </w:rPr>
      </w:pPr>
      <w:r>
        <w:rPr>
          <w:rFonts w:cs="Times New Roman"/>
        </w:rPr>
        <w:t>B.</w:t>
      </w:r>
      <w:r>
        <w:rPr>
          <w:rFonts w:cs="Times New Roman"/>
        </w:rPr>
        <w:tab/>
      </w:r>
      <w:r w:rsidR="00E267BC" w:rsidRPr="0038105B">
        <w:rPr>
          <w:rFonts w:cs="Times New Roman"/>
          <w:i/>
        </w:rPr>
        <w:t>The Trial (2008), 238 C.C.C. (3d) 114</w:t>
      </w:r>
    </w:p>
    <w:p w:rsidR="00E267BC" w:rsidRPr="0038105B" w:rsidRDefault="00E267BC" w:rsidP="00E267BC">
      <w:pPr>
        <w:pStyle w:val="ParaNoNdepar-AltN"/>
        <w:rPr>
          <w:rFonts w:cs="Times New Roman"/>
        </w:rPr>
      </w:pPr>
      <w:r w:rsidRPr="0038105B">
        <w:rPr>
          <w:rFonts w:cs="Times New Roman"/>
        </w:rPr>
        <w:lastRenderedPageBreak/>
        <w:t>The trial proceeded on the basis that the motive clause was severed from the legislation.  The trial judge found the appellant guilty of seven offences.</w:t>
      </w:r>
    </w:p>
    <w:p w:rsidR="00E267BC" w:rsidRPr="0038105B" w:rsidRDefault="00E267BC" w:rsidP="00E267BC">
      <w:pPr>
        <w:pStyle w:val="ParaNoNdepar-AltN"/>
        <w:rPr>
          <w:rFonts w:cs="Times New Roman"/>
        </w:rPr>
      </w:pPr>
      <w:r w:rsidRPr="0038105B">
        <w:rPr>
          <w:rFonts w:cs="Times New Roman"/>
        </w:rPr>
        <w:t>The trial judge held that the first two counts (wanting to cause an explosion with specified consequences at the behest of a terrorist group and possessing an explosive substance with the intent of enabling a terrorist group to endanger others) required knowledge of the U.K. group’s bomb plot, which the Crown failed to establish beyond a reasonable doubt. Since defence counsel had admitted that there was evidence of lesser included offences, the trial judge found the appellant guilty of working on the development of a detonator contrary to s. 81(1)(</w:t>
      </w:r>
      <w:r w:rsidRPr="0038105B">
        <w:rPr>
          <w:rFonts w:cs="Times New Roman"/>
          <w:i/>
        </w:rPr>
        <w:t>a</w:t>
      </w:r>
      <w:r w:rsidRPr="0038105B">
        <w:rPr>
          <w:rFonts w:cs="Times New Roman"/>
        </w:rPr>
        <w:t xml:space="preserve">) of the </w:t>
      </w:r>
      <w:r w:rsidRPr="0038105B">
        <w:rPr>
          <w:rFonts w:cs="Times New Roman"/>
          <w:i/>
        </w:rPr>
        <w:t>Criminal Code</w:t>
      </w:r>
      <w:r w:rsidRPr="0038105B">
        <w:rPr>
          <w:rFonts w:cs="Times New Roman"/>
        </w:rPr>
        <w:t xml:space="preserve"> and keeping an explosive substance contrary to s. 81(1)(</w:t>
      </w:r>
      <w:r w:rsidRPr="0038105B">
        <w:rPr>
          <w:rFonts w:cs="Times New Roman"/>
          <w:i/>
        </w:rPr>
        <w:t>d</w:t>
      </w:r>
      <w:r w:rsidRPr="0038105B">
        <w:rPr>
          <w:rFonts w:cs="Times New Roman"/>
        </w:rPr>
        <w:t xml:space="preserve">). He conditionally stayed proceedings on the latter count, under the </w:t>
      </w:r>
      <w:proofErr w:type="spellStart"/>
      <w:r w:rsidRPr="0038105B">
        <w:rPr>
          <w:rFonts w:cs="Times New Roman"/>
          <w:i/>
        </w:rPr>
        <w:t>Kienapple</w:t>
      </w:r>
      <w:proofErr w:type="spellEnd"/>
      <w:r w:rsidRPr="0038105B">
        <w:rPr>
          <w:rFonts w:cs="Times New Roman"/>
          <w:i/>
        </w:rPr>
        <w:t xml:space="preserve"> </w:t>
      </w:r>
      <w:r w:rsidRPr="0038105B">
        <w:rPr>
          <w:rFonts w:cs="Times New Roman"/>
        </w:rPr>
        <w:t>principle (</w:t>
      </w:r>
      <w:proofErr w:type="spellStart"/>
      <w:r w:rsidRPr="0038105B">
        <w:rPr>
          <w:rFonts w:cs="Times New Roman"/>
          <w:i/>
        </w:rPr>
        <w:t>Kienapple</w:t>
      </w:r>
      <w:proofErr w:type="spellEnd"/>
      <w:r w:rsidRPr="0038105B">
        <w:rPr>
          <w:rFonts w:cs="Times New Roman"/>
          <w:i/>
        </w:rPr>
        <w:t xml:space="preserve"> v. The Queen</w:t>
      </w:r>
      <w:r w:rsidRPr="0038105B">
        <w:rPr>
          <w:rFonts w:cs="Times New Roman"/>
        </w:rPr>
        <w:t>, [1975] 1 S.C.R. 729).  He held that the remaining five counts were not restricted by a requirement that the appellant know the U.K. group was planning a bomb plot. His findings with respect to each count can be summarized as follows:</w:t>
      </w:r>
    </w:p>
    <w:p w:rsidR="00E267BC" w:rsidRPr="0038105B" w:rsidRDefault="00E267BC" w:rsidP="004D0E9A">
      <w:pPr>
        <w:pStyle w:val="ParaNoNdepar-AltN"/>
        <w:numPr>
          <w:ilvl w:val="0"/>
          <w:numId w:val="0"/>
        </w:numPr>
      </w:pPr>
      <w:r w:rsidRPr="0038105B">
        <w:t>Count 3: The appellant participated in a terrorist group by taking weapons training at the camp in northern Pakistan for the purpose of enhancing the ability of a terrorist group to facilitate or carry out a terrorist activity;</w:t>
      </w:r>
    </w:p>
    <w:p w:rsidR="00E267BC" w:rsidRPr="0038105B" w:rsidRDefault="00E267BC" w:rsidP="004D0E9A">
      <w:pPr>
        <w:pStyle w:val="ParaNoNdepar-AltN"/>
        <w:numPr>
          <w:ilvl w:val="0"/>
          <w:numId w:val="0"/>
        </w:numPr>
        <w:rPr>
          <w:rFonts w:cs="Times New Roman"/>
        </w:rPr>
      </w:pPr>
    </w:p>
    <w:p w:rsidR="00E267BC" w:rsidRPr="0038105B" w:rsidRDefault="00E267BC" w:rsidP="004D0E9A">
      <w:pPr>
        <w:pStyle w:val="ParaNoNdepar-AltN"/>
        <w:numPr>
          <w:ilvl w:val="0"/>
          <w:numId w:val="0"/>
        </w:numPr>
      </w:pPr>
      <w:r w:rsidRPr="0038105B">
        <w:lastRenderedPageBreak/>
        <w:t xml:space="preserve">Count 4: The appellant deceived a young woman into acting as a conduit to pass funds for the purpose of enhancing the ability of the </w:t>
      </w:r>
      <w:proofErr w:type="spellStart"/>
      <w:r w:rsidRPr="0038105B">
        <w:t>Khyam</w:t>
      </w:r>
      <w:proofErr w:type="spellEnd"/>
      <w:r w:rsidRPr="0038105B">
        <w:t xml:space="preserve"> group to facilitate or carry out a terrorist activity;</w:t>
      </w:r>
    </w:p>
    <w:p w:rsidR="00E267BC" w:rsidRPr="0038105B" w:rsidRDefault="00E267BC" w:rsidP="004D0E9A">
      <w:pPr>
        <w:pStyle w:val="ParaNoNdepar-AltN"/>
        <w:numPr>
          <w:ilvl w:val="0"/>
          <w:numId w:val="0"/>
        </w:numPr>
        <w:rPr>
          <w:rFonts w:cs="Times New Roman"/>
        </w:rPr>
      </w:pPr>
    </w:p>
    <w:p w:rsidR="00E267BC" w:rsidRPr="0038105B" w:rsidRDefault="00E267BC" w:rsidP="004D0E9A">
      <w:pPr>
        <w:pStyle w:val="ParaNoNdepar-AltN"/>
        <w:numPr>
          <w:ilvl w:val="0"/>
          <w:numId w:val="0"/>
        </w:numPr>
      </w:pPr>
      <w:r w:rsidRPr="0038105B">
        <w:t xml:space="preserve">Count 5: The appellant made his parents’ residence in Pakistan available for the use of the </w:t>
      </w:r>
      <w:proofErr w:type="spellStart"/>
      <w:r w:rsidRPr="0038105B">
        <w:t>Khyam</w:t>
      </w:r>
      <w:proofErr w:type="spellEnd"/>
      <w:r w:rsidRPr="0038105B">
        <w:t xml:space="preserve"> group in pursuit of a common objective of violent </w:t>
      </w:r>
      <w:r w:rsidRPr="004D0E9A">
        <w:t>jihad</w:t>
      </w:r>
      <w:r w:rsidRPr="0038105B">
        <w:t>, thereby making property available for the purpose of facilitating a terrorist activity or for the benefit of a terrorist group;</w:t>
      </w:r>
    </w:p>
    <w:p w:rsidR="00E267BC" w:rsidRPr="0038105B" w:rsidRDefault="00E267BC" w:rsidP="004D0E9A">
      <w:pPr>
        <w:pStyle w:val="ParaNoNdepar-AltN"/>
        <w:numPr>
          <w:ilvl w:val="0"/>
          <w:numId w:val="0"/>
        </w:numPr>
        <w:rPr>
          <w:rFonts w:cs="Times New Roman"/>
        </w:rPr>
      </w:pPr>
    </w:p>
    <w:p w:rsidR="00E267BC" w:rsidRPr="0038105B" w:rsidRDefault="00E267BC" w:rsidP="004D0E9A">
      <w:pPr>
        <w:pStyle w:val="ParaNoNdepar-AltN"/>
        <w:numPr>
          <w:ilvl w:val="0"/>
          <w:numId w:val="0"/>
        </w:numPr>
      </w:pPr>
      <w:r w:rsidRPr="004D0E9A">
        <w:t>Count 6: Everything the appellant did in relation to developing the remote</w:t>
      </w:r>
      <w:r w:rsidRPr="0038105B">
        <w:t xml:space="preserve"> detonator device amounted to participating in or contributing to the activity of a terrorist group for the purpose of enhancing the group’s ability to carry out a terrorist activity; and</w:t>
      </w:r>
    </w:p>
    <w:p w:rsidR="00E267BC" w:rsidRPr="0038105B" w:rsidRDefault="00E267BC" w:rsidP="004D0E9A">
      <w:pPr>
        <w:pStyle w:val="ParaNoNdepar-AltN"/>
        <w:numPr>
          <w:ilvl w:val="0"/>
          <w:numId w:val="0"/>
        </w:numPr>
        <w:rPr>
          <w:rFonts w:cs="Times New Roman"/>
        </w:rPr>
      </w:pPr>
    </w:p>
    <w:p w:rsidR="00E267BC" w:rsidRPr="0038105B" w:rsidRDefault="00E267BC" w:rsidP="004D0E9A">
      <w:pPr>
        <w:pStyle w:val="ParaNoNdepar-AltN"/>
        <w:numPr>
          <w:ilvl w:val="0"/>
          <w:numId w:val="0"/>
        </w:numPr>
      </w:pPr>
      <w:r w:rsidRPr="0038105B">
        <w:t xml:space="preserve">Count 7: The appellant knowingly facilitated terrorism by, </w:t>
      </w:r>
      <w:r w:rsidRPr="0038105B">
        <w:rPr>
          <w:i/>
        </w:rPr>
        <w:t>inter alia</w:t>
      </w:r>
      <w:r w:rsidRPr="0038105B">
        <w:t xml:space="preserve">, transporting money, a medical kit, SIM cards and invisible ink pens to Babar; offering to acquire equipment; suggesting that </w:t>
      </w:r>
      <w:proofErr w:type="spellStart"/>
      <w:r w:rsidRPr="0038105B">
        <w:t>Khyam</w:t>
      </w:r>
      <w:proofErr w:type="spellEnd"/>
      <w:r w:rsidRPr="0038105B">
        <w:t xml:space="preserve"> and another group member come to Canada for shooting practice; offering a course in electronics; suggesting that a third party be </w:t>
      </w:r>
      <w:r w:rsidRPr="0038105B">
        <w:lastRenderedPageBreak/>
        <w:t xml:space="preserve">sent on a suicide mission to Israel; discussing putting his computer skills to work to assist “the bros”. </w:t>
      </w:r>
    </w:p>
    <w:p w:rsidR="00E267BC" w:rsidRPr="0038105B" w:rsidRDefault="00E267BC" w:rsidP="00E267BC"/>
    <w:p w:rsidR="00E267BC" w:rsidRPr="0038105B" w:rsidRDefault="00E267BC" w:rsidP="00E267BC">
      <w:pPr>
        <w:pStyle w:val="ParaNoNdepar-AltN"/>
        <w:rPr>
          <w:rFonts w:cs="Times New Roman"/>
        </w:rPr>
      </w:pPr>
      <w:r w:rsidRPr="0038105B">
        <w:rPr>
          <w:rFonts w:cs="Times New Roman"/>
        </w:rPr>
        <w:t xml:space="preserve">The trial judge found that the U.K. cell qualified as a terrorist group within the meaning of the Terrorism section of the </w:t>
      </w:r>
      <w:r w:rsidRPr="0038105B">
        <w:rPr>
          <w:rFonts w:cs="Times New Roman"/>
          <w:i/>
        </w:rPr>
        <w:t>Criminal Code</w:t>
      </w:r>
      <w:r w:rsidRPr="0038105B">
        <w:rPr>
          <w:rFonts w:cs="Times New Roman"/>
        </w:rPr>
        <w:t xml:space="preserve">.  On the basis of judicial notice of facts available, </w:t>
      </w:r>
      <w:r w:rsidRPr="0038105B">
        <w:rPr>
          <w:rFonts w:cs="Times New Roman"/>
          <w:i/>
        </w:rPr>
        <w:t>inter alia</w:t>
      </w:r>
      <w:r w:rsidRPr="0038105B">
        <w:rPr>
          <w:rFonts w:cs="Times New Roman"/>
        </w:rPr>
        <w:t xml:space="preserve">, from documents on the United Nations website, he held that the insurgents’ conduct in Afghanistan is terrorist activity, because it results in death and destruction and it is intended to intimidate the Afghan population and diminish support for the legitimate government. Consequently, by preparing for and supporting the insurgency against the coalition forces in Afghanistan, the U.K. cell was facilitating terrorist activity and qualified as a terrorist group. The trial judge held that the appellant “knew he was dealing with a group whose objects and purposes included activity that meets the </w:t>
      </w:r>
      <w:r w:rsidRPr="0038105B">
        <w:rPr>
          <w:rFonts w:cs="Times New Roman"/>
          <w:i/>
        </w:rPr>
        <w:t xml:space="preserve">Code </w:t>
      </w:r>
      <w:r w:rsidRPr="0038105B">
        <w:rPr>
          <w:rFonts w:cs="Times New Roman"/>
        </w:rPr>
        <w:t>definition of terrorist activity” (</w:t>
      </w:r>
      <w:proofErr w:type="spellStart"/>
      <w:r w:rsidRPr="0038105B">
        <w:rPr>
          <w:rFonts w:cs="Times New Roman"/>
        </w:rPr>
        <w:t>para</w:t>
      </w:r>
      <w:proofErr w:type="spellEnd"/>
      <w:r w:rsidRPr="0038105B">
        <w:rPr>
          <w:rFonts w:cs="Times New Roman"/>
        </w:rPr>
        <w:t>. 131).</w:t>
      </w:r>
    </w:p>
    <w:p w:rsidR="00E267BC" w:rsidRDefault="00E267BC" w:rsidP="00E267BC">
      <w:pPr>
        <w:pStyle w:val="ParaNoNdepar-AltN"/>
        <w:rPr>
          <w:rFonts w:cs="Times New Roman"/>
        </w:rPr>
      </w:pPr>
      <w:r w:rsidRPr="0038105B">
        <w:rPr>
          <w:rFonts w:cs="Times New Roman"/>
        </w:rPr>
        <w:t>The trial judge refused to apply the exception for armed conflict in the definition of “ter</w:t>
      </w:r>
      <w:r w:rsidR="004D0E9A">
        <w:rPr>
          <w:rFonts w:cs="Times New Roman"/>
        </w:rPr>
        <w:t>rorist activity” in s. 83.01(1)</w:t>
      </w:r>
      <w:r w:rsidRPr="0038105B">
        <w:rPr>
          <w:rFonts w:cs="Times New Roman"/>
        </w:rPr>
        <w:t xml:space="preserve"> </w:t>
      </w:r>
      <w:r w:rsidRPr="0038105B">
        <w:rPr>
          <w:rFonts w:cs="Times New Roman"/>
          <w:i/>
        </w:rPr>
        <w:t>in fine</w:t>
      </w:r>
      <w:r w:rsidRPr="0038105B">
        <w:rPr>
          <w:rFonts w:cs="Times New Roman"/>
        </w:rPr>
        <w:t>.  Pursuant to that subsection, terrorist activity does not include acts or omissions committed during an armed conflict in accordance with international law.  The trial judge found</w:t>
      </w:r>
      <w:r w:rsidRPr="0038105B">
        <w:rPr>
          <w:rFonts w:cs="Times New Roman"/>
          <w:szCs w:val="24"/>
        </w:rPr>
        <w:t xml:space="preserve"> that </w:t>
      </w:r>
      <w:r w:rsidRPr="0038105B">
        <w:rPr>
          <w:rFonts w:cs="Times New Roman"/>
        </w:rPr>
        <w:t>neither the appellant nor any member of the U.K. cell was engaged in armed conflict.</w:t>
      </w:r>
    </w:p>
    <w:p w:rsidR="00E267BC" w:rsidRPr="0038105B" w:rsidRDefault="00E267BC" w:rsidP="00E267BC">
      <w:pPr>
        <w:pStyle w:val="ParaNoNdepar-AltN"/>
        <w:numPr>
          <w:ilvl w:val="0"/>
          <w:numId w:val="0"/>
        </w:numPr>
        <w:ind w:left="720" w:hanging="720"/>
        <w:rPr>
          <w:rFonts w:cs="Times New Roman"/>
          <w:i/>
        </w:rPr>
      </w:pPr>
      <w:r w:rsidRPr="0038105B">
        <w:rPr>
          <w:rFonts w:cs="Times New Roman"/>
        </w:rPr>
        <w:t xml:space="preserve">C.  </w:t>
      </w:r>
      <w:r w:rsidRPr="0038105B">
        <w:rPr>
          <w:rFonts w:cs="Times New Roman"/>
          <w:i/>
        </w:rPr>
        <w:t>The Sentence (2009)</w:t>
      </w:r>
      <w:r w:rsidR="004D0E9A">
        <w:rPr>
          <w:rFonts w:cs="Times New Roman"/>
          <w:i/>
        </w:rPr>
        <w:t>,</w:t>
      </w:r>
      <w:r w:rsidRPr="0038105B">
        <w:rPr>
          <w:rFonts w:cs="Times New Roman"/>
          <w:i/>
        </w:rPr>
        <w:t xml:space="preserve"> 248 C.C.C. (3d) 233</w:t>
      </w:r>
    </w:p>
    <w:p w:rsidR="00E267BC" w:rsidRPr="0038105B" w:rsidRDefault="00E267BC" w:rsidP="00E267BC">
      <w:pPr>
        <w:pStyle w:val="ParaNoNdepar-AltN"/>
        <w:rPr>
          <w:rFonts w:cs="Times New Roman"/>
        </w:rPr>
      </w:pPr>
      <w:r w:rsidRPr="0038105B">
        <w:rPr>
          <w:rFonts w:cs="Times New Roman"/>
        </w:rPr>
        <w:lastRenderedPageBreak/>
        <w:t>The trial judge took into account the mitigating personal circumstances raised by the appellant, but noted that there was no information available respecting his attitude or expected future behaviour, because he had refused to be interviewed for a pre-sentence report. The trial judge held that while terrorism sentencing must emphasize denunciation, deterrence and protection of the public, the potential for rehabilitation could not be overlooked.  He refused to order a life sentence similar to those given to the cell members in the U.K. because he was not persuaded that the appellant was a similar offender in similar circumstances, as opposed to just a willing helper and supporter.</w:t>
      </w:r>
    </w:p>
    <w:p w:rsidR="00E267BC" w:rsidRPr="0038105B" w:rsidRDefault="00E267BC" w:rsidP="00E267BC">
      <w:pPr>
        <w:pStyle w:val="ParaNoNdepar-AltN"/>
        <w:rPr>
          <w:rFonts w:cs="Times New Roman"/>
        </w:rPr>
      </w:pPr>
      <w:r w:rsidRPr="0038105B">
        <w:rPr>
          <w:rFonts w:cs="Times New Roman"/>
        </w:rPr>
        <w:t xml:space="preserve">The trial judge sentenced the appellant to 10 and </w:t>
      </w:r>
      <w:proofErr w:type="gramStart"/>
      <w:r w:rsidRPr="0038105B">
        <w:rPr>
          <w:rFonts w:cs="Times New Roman"/>
        </w:rPr>
        <w:t>a half</w:t>
      </w:r>
      <w:proofErr w:type="gramEnd"/>
      <w:r w:rsidRPr="0038105B">
        <w:rPr>
          <w:rFonts w:cs="Times New Roman"/>
        </w:rPr>
        <w:t xml:space="preserve"> years in a penitentiary.  He gave no credit for time served on the basis that that would be incompatible with a denunciatory sentence.  He set parole ineligibility at 5 years to reflect the absence of any evidence of remorse, willingness to make amends or commitment to future compliance with Canada’s laws and values.</w:t>
      </w:r>
    </w:p>
    <w:p w:rsidR="00E267BC" w:rsidRPr="0038105B" w:rsidRDefault="00E267BC" w:rsidP="00E267BC">
      <w:pPr>
        <w:pStyle w:val="TitleTitre-AltT"/>
        <w:rPr>
          <w:rFonts w:cs="Times New Roman"/>
          <w:i/>
        </w:rPr>
      </w:pPr>
      <w:r w:rsidRPr="0038105B">
        <w:rPr>
          <w:rFonts w:cs="Times New Roman"/>
        </w:rPr>
        <w:t xml:space="preserve">D.  </w:t>
      </w:r>
      <w:r w:rsidRPr="0038105B">
        <w:rPr>
          <w:rFonts w:cs="Times New Roman"/>
          <w:i/>
        </w:rPr>
        <w:t>The Court of Appeal, 2010 ONCA 862, 103 O.R. (3d) 321</w:t>
      </w:r>
    </w:p>
    <w:p w:rsidR="00E267BC" w:rsidRPr="0038105B" w:rsidRDefault="00E267BC" w:rsidP="00E267BC">
      <w:pPr>
        <w:pStyle w:val="ParaNoNdepar-AltN"/>
        <w:rPr>
          <w:rFonts w:cs="Times New Roman"/>
        </w:rPr>
      </w:pPr>
      <w:r w:rsidRPr="0038105B">
        <w:rPr>
          <w:rFonts w:cs="Times New Roman"/>
        </w:rPr>
        <w:t>The Court of Appeal dismissed the appellant’s conviction appeal. However, the Court of Appeal held that the trial judge had erred in finding the motive clause unconstitutional. It stated that expressive activity that takes the form of violence is not protected by s. 2(</w:t>
      </w:r>
      <w:r w:rsidRPr="0038105B">
        <w:rPr>
          <w:rFonts w:cs="Times New Roman"/>
          <w:i/>
        </w:rPr>
        <w:t>b</w:t>
      </w:r>
      <w:r w:rsidRPr="0038105B">
        <w:rPr>
          <w:rFonts w:cs="Times New Roman"/>
        </w:rPr>
        <w:t xml:space="preserve">) of the </w:t>
      </w:r>
      <w:r w:rsidRPr="0038105B">
        <w:rPr>
          <w:rFonts w:cs="Times New Roman"/>
          <w:i/>
        </w:rPr>
        <w:t>Charter</w:t>
      </w:r>
      <w:r w:rsidRPr="0038105B">
        <w:rPr>
          <w:rFonts w:cs="Times New Roman"/>
        </w:rPr>
        <w:t>, since violence is destructive of the very values that underlie the right to freedom of expression. For the same reason, threats of violence are not protected by s. 2(</w:t>
      </w:r>
      <w:r w:rsidRPr="0038105B">
        <w:rPr>
          <w:rFonts w:cs="Times New Roman"/>
          <w:i/>
        </w:rPr>
        <w:t>b</w:t>
      </w:r>
      <w:r w:rsidRPr="0038105B">
        <w:rPr>
          <w:rFonts w:cs="Times New Roman"/>
        </w:rPr>
        <w:t xml:space="preserve">). Thus, the legislation limits a form of </w:t>
      </w:r>
      <w:r w:rsidRPr="0038105B">
        <w:rPr>
          <w:rFonts w:cs="Times New Roman"/>
        </w:rPr>
        <w:lastRenderedPageBreak/>
        <w:t>expression that is destructive of the principles underlying freedom of expression and, consequently, cannot constitute an infringement of s. 2(</w:t>
      </w:r>
      <w:r w:rsidRPr="0038105B">
        <w:rPr>
          <w:rFonts w:cs="Times New Roman"/>
          <w:i/>
        </w:rPr>
        <w:t>b</w:t>
      </w:r>
      <w:r w:rsidRPr="0038105B">
        <w:rPr>
          <w:rFonts w:cs="Times New Roman"/>
        </w:rPr>
        <w:t>). Moreover, the Court of Appeal held that the trial judge’s conclusion that the impugned provisions had a chilling effect was founded entirely on speculation, rather than on evidence to the effect that members of the community actually felt constrained in the expression of their beliefs or opinions.</w:t>
      </w:r>
    </w:p>
    <w:p w:rsidR="00E267BC" w:rsidRPr="0038105B" w:rsidRDefault="00E267BC" w:rsidP="00E267BC">
      <w:pPr>
        <w:pStyle w:val="ParaNoNdepar-AltN"/>
        <w:rPr>
          <w:rFonts w:cs="Times New Roman"/>
        </w:rPr>
      </w:pPr>
      <w:r w:rsidRPr="0038105B">
        <w:rPr>
          <w:rFonts w:cs="Times New Roman"/>
        </w:rPr>
        <w:t xml:space="preserve">The Court of Appeal found, as had the trial judge, that the armed conflict exception did not apply to the appellant’s conduct. There was no evidence that the appellant or the insurgents in Afghanistan undertook armed conflict </w:t>
      </w:r>
      <w:r w:rsidRPr="0038105B">
        <w:rPr>
          <w:rFonts w:cs="Times New Roman"/>
          <w:i/>
        </w:rPr>
        <w:t>in accordance with international law</w:t>
      </w:r>
      <w:r w:rsidRPr="0038105B">
        <w:rPr>
          <w:rFonts w:cs="Times New Roman"/>
        </w:rPr>
        <w:t xml:space="preserve">. The record showed that the appellant himself viewed the violent </w:t>
      </w:r>
      <w:r w:rsidRPr="004D0E9A">
        <w:rPr>
          <w:rFonts w:cs="Times New Roman"/>
        </w:rPr>
        <w:t>jihad</w:t>
      </w:r>
      <w:r w:rsidRPr="0038105B">
        <w:rPr>
          <w:rFonts w:cs="Times New Roman"/>
        </w:rPr>
        <w:t xml:space="preserve"> he was committed to as unlawful. Moreover, the appellant’s actions were directed at supporting terrorist activities inside and outside of the forum of conflict in Afghanistan.</w:t>
      </w:r>
    </w:p>
    <w:p w:rsidR="00E267BC" w:rsidRPr="0038105B" w:rsidRDefault="00E267BC" w:rsidP="00E267BC">
      <w:pPr>
        <w:pStyle w:val="ParaNoNdepar-AltN"/>
        <w:rPr>
          <w:rFonts w:cs="Times New Roman"/>
        </w:rPr>
      </w:pPr>
      <w:r w:rsidRPr="0038105B">
        <w:rPr>
          <w:rFonts w:cs="Times New Roman"/>
        </w:rPr>
        <w:t>The Court of Appeal stated that the trial judge did not err in taking judicial notice of the nature of hostilities in Afghanistan. Further, the verdicts reached by the trial judge were amply supported by the record at trial and were reasonable.</w:t>
      </w:r>
    </w:p>
    <w:p w:rsidR="00E267BC" w:rsidRPr="0038105B" w:rsidRDefault="00E267BC" w:rsidP="00E267BC">
      <w:pPr>
        <w:pStyle w:val="ParaNoNdepar-AltN"/>
        <w:rPr>
          <w:rFonts w:cs="Times New Roman"/>
        </w:rPr>
      </w:pPr>
      <w:r w:rsidRPr="0038105B">
        <w:rPr>
          <w:rFonts w:cs="Times New Roman"/>
        </w:rPr>
        <w:t xml:space="preserve">Finally, the Court of Appeal dismissed the appellant’s appeal from the sentences, but allowed the Crown’s cross-appeal.  The Court substituted a sentence of life imprisonment on the conviction for building a detonator to cause a deadly explosion. Emphasizing the seriousness of the conduct, it substituted a total of 24 </w:t>
      </w:r>
      <w:r w:rsidRPr="0038105B">
        <w:rPr>
          <w:rFonts w:cs="Times New Roman"/>
        </w:rPr>
        <w:lastRenderedPageBreak/>
        <w:t>years of consecutive sentences for the remaining counts, to be served concurrently with the life sentence, and set parole ineligibility at 10 years instead of 5.</w:t>
      </w:r>
    </w:p>
    <w:p w:rsidR="00E267BC" w:rsidRPr="0038105B" w:rsidRDefault="00E267BC" w:rsidP="00E267BC">
      <w:pPr>
        <w:pStyle w:val="ParaNoNdepar-AltN"/>
        <w:numPr>
          <w:ilvl w:val="0"/>
          <w:numId w:val="0"/>
        </w:numPr>
        <w:tabs>
          <w:tab w:val="left" w:pos="720"/>
        </w:tabs>
        <w:rPr>
          <w:rFonts w:cs="Times New Roman"/>
          <w:b/>
        </w:rPr>
      </w:pPr>
      <w:r w:rsidRPr="0038105B">
        <w:rPr>
          <w:rFonts w:cs="Times New Roman"/>
        </w:rPr>
        <w:t>IV</w:t>
      </w:r>
      <w:proofErr w:type="gramStart"/>
      <w:r w:rsidRPr="0038105B">
        <w:rPr>
          <w:rFonts w:cs="Times New Roman"/>
        </w:rPr>
        <w:t>.</w:t>
      </w:r>
      <w:r w:rsidRPr="0038105B">
        <w:rPr>
          <w:rFonts w:cs="Times New Roman"/>
          <w:b/>
        </w:rPr>
        <w:t xml:space="preserve">  </w:t>
      </w:r>
      <w:r w:rsidRPr="0038105B">
        <w:rPr>
          <w:rFonts w:cs="Times New Roman"/>
          <w:u w:val="single"/>
        </w:rPr>
        <w:t>The</w:t>
      </w:r>
      <w:proofErr w:type="gramEnd"/>
      <w:r w:rsidRPr="0038105B">
        <w:rPr>
          <w:rFonts w:cs="Times New Roman"/>
          <w:u w:val="single"/>
        </w:rPr>
        <w:t xml:space="preserve"> Legislation</w:t>
      </w:r>
    </w:p>
    <w:p w:rsidR="00E267BC" w:rsidRPr="0038105B" w:rsidRDefault="00E267BC" w:rsidP="00E267BC">
      <w:pPr>
        <w:pStyle w:val="ParaNoNdepar-AltN"/>
        <w:rPr>
          <w:rFonts w:cs="Times New Roman"/>
        </w:rPr>
      </w:pPr>
      <w:r w:rsidRPr="0038105B">
        <w:rPr>
          <w:rFonts w:cs="Times New Roman"/>
        </w:rPr>
        <w:t xml:space="preserve">The </w:t>
      </w:r>
      <w:r w:rsidR="004D0E9A">
        <w:rPr>
          <w:rFonts w:cs="Times New Roman"/>
          <w:i/>
        </w:rPr>
        <w:t>Anti-t</w:t>
      </w:r>
      <w:r w:rsidRPr="0038105B">
        <w:rPr>
          <w:rFonts w:cs="Times New Roman"/>
          <w:i/>
        </w:rPr>
        <w:t>errorism Act</w:t>
      </w:r>
      <w:r w:rsidRPr="0038105B">
        <w:rPr>
          <w:rFonts w:cs="Times New Roman"/>
        </w:rPr>
        <w:t xml:space="preserve">, S.C. 2001, c. 41, part of which now forms Part II.1 of the </w:t>
      </w:r>
      <w:r w:rsidRPr="0038105B">
        <w:rPr>
          <w:rFonts w:cs="Times New Roman"/>
          <w:i/>
        </w:rPr>
        <w:t>Criminal Code</w:t>
      </w:r>
      <w:r w:rsidRPr="0038105B">
        <w:rPr>
          <w:rFonts w:cs="Times New Roman"/>
        </w:rPr>
        <w:t>, was passed in 2001, in the aftermath of the Al Qaeda attacks in the United States and Resolution 1373 of the United Nations Security Council, which called on member states to take steps to prevent and suppress ter</w:t>
      </w:r>
      <w:r w:rsidR="004D0E9A">
        <w:rPr>
          <w:rFonts w:cs="Times New Roman"/>
        </w:rPr>
        <w:t>rorist activity (U.N. Doc. S/RES</w:t>
      </w:r>
      <w:r w:rsidRPr="0038105B">
        <w:rPr>
          <w:rFonts w:cs="Times New Roman"/>
        </w:rPr>
        <w:t xml:space="preserve">/1373).  The purpose of the legislation is to provide a means by which terrorism may be prosecuted and prevented: </w:t>
      </w:r>
      <w:r w:rsidRPr="0038105B">
        <w:rPr>
          <w:rFonts w:cs="Times New Roman"/>
          <w:i/>
        </w:rPr>
        <w:t>Application under s. 83.28 of the Criminal Code (Re)</w:t>
      </w:r>
      <w:r w:rsidRPr="0038105B">
        <w:rPr>
          <w:rFonts w:cs="Times New Roman"/>
        </w:rPr>
        <w:t>,</w:t>
      </w:r>
      <w:r w:rsidRPr="0038105B">
        <w:rPr>
          <w:rFonts w:cs="Times New Roman"/>
          <w:i/>
        </w:rPr>
        <w:t xml:space="preserve"> </w:t>
      </w:r>
      <w:r w:rsidRPr="0038105B">
        <w:rPr>
          <w:rFonts w:cs="Times New Roman"/>
        </w:rPr>
        <w:t xml:space="preserve">2004 SCC 42, [2004] 2 S.C.R. 248. </w:t>
      </w:r>
    </w:p>
    <w:p w:rsidR="00E267BC" w:rsidRPr="0038105B" w:rsidRDefault="00E267BC" w:rsidP="00E267BC">
      <w:pPr>
        <w:pStyle w:val="ParaNoNdepar-AltN"/>
        <w:rPr>
          <w:rFonts w:cs="Times New Roman"/>
        </w:rPr>
      </w:pPr>
      <w:r w:rsidRPr="0038105B">
        <w:rPr>
          <w:rFonts w:cs="Times New Roman"/>
        </w:rPr>
        <w:t xml:space="preserve">While the immediate impetus for the legislation may have been concern following the terrorist attacks of September 11, 2001, the legislation has a much broader history and context.  As the recitals to the U.N. Resolution make clear, these events were part of an unfolding and escalating international problem.  Canada, which had experienced the Air India and Narita bombings, was no stranger to this problem.  The legislation is not emergency legislation, but a permanent part of the criminal law of this country:  </w:t>
      </w:r>
      <w:r w:rsidRPr="0038105B">
        <w:rPr>
          <w:rFonts w:cs="Times New Roman"/>
          <w:i/>
        </w:rPr>
        <w:t>Application under s. 83.28 of the Criminal Code (Re)</w:t>
      </w:r>
      <w:r w:rsidRPr="0038105B">
        <w:rPr>
          <w:rFonts w:cs="Times New Roman"/>
        </w:rPr>
        <w:t>,</w:t>
      </w:r>
      <w:r w:rsidRPr="0038105B">
        <w:rPr>
          <w:rFonts w:cs="Times New Roman"/>
          <w:i/>
        </w:rPr>
        <w:t xml:space="preserve"> </w:t>
      </w:r>
      <w:r w:rsidRPr="0038105B">
        <w:rPr>
          <w:rFonts w:cs="Times New Roman"/>
        </w:rPr>
        <w:t xml:space="preserve">at </w:t>
      </w:r>
      <w:proofErr w:type="spellStart"/>
      <w:r w:rsidRPr="0038105B">
        <w:rPr>
          <w:rFonts w:cs="Times New Roman"/>
        </w:rPr>
        <w:t>para</w:t>
      </w:r>
      <w:proofErr w:type="spellEnd"/>
      <w:r w:rsidRPr="0038105B">
        <w:rPr>
          <w:rFonts w:cs="Times New Roman"/>
        </w:rPr>
        <w:t>. 39.</w:t>
      </w:r>
    </w:p>
    <w:p w:rsidR="00E267BC" w:rsidRPr="0038105B" w:rsidRDefault="00E267BC" w:rsidP="00E267BC">
      <w:pPr>
        <w:pStyle w:val="ParaNoNdepar-AltN"/>
        <w:rPr>
          <w:rFonts w:cs="Times New Roman"/>
        </w:rPr>
      </w:pPr>
      <w:r w:rsidRPr="0038105B">
        <w:rPr>
          <w:rFonts w:cs="Times New Roman"/>
        </w:rPr>
        <w:t xml:space="preserve">The appellant says that the definition section of the legislation, s. 83.01(1), offends </w:t>
      </w:r>
      <w:r w:rsidRPr="0038105B">
        <w:rPr>
          <w:rFonts w:cs="Times New Roman"/>
          <w:i/>
        </w:rPr>
        <w:t>Charter</w:t>
      </w:r>
      <w:r w:rsidRPr="0038105B">
        <w:rPr>
          <w:rFonts w:cs="Times New Roman"/>
        </w:rPr>
        <w:t xml:space="preserve"> guarantees, notably freedom of religion and freedom of expression.  </w:t>
      </w:r>
      <w:r w:rsidRPr="0038105B">
        <w:rPr>
          <w:rFonts w:cs="Times New Roman"/>
          <w:lang w:bidi="en-US"/>
        </w:rPr>
        <w:t xml:space="preserve">I will at this point describe in general terms the definitions of “terrorist </w:t>
      </w:r>
      <w:r w:rsidRPr="0038105B">
        <w:rPr>
          <w:rFonts w:cs="Times New Roman"/>
          <w:lang w:bidi="en-US"/>
        </w:rPr>
        <w:lastRenderedPageBreak/>
        <w:t xml:space="preserve">activity” and “terrorist group”, and the offences that the provisions create. The full text of the relevant provisions is reproduced in the Appendix. </w:t>
      </w:r>
    </w:p>
    <w:p w:rsidR="00E267BC" w:rsidRPr="0038105B" w:rsidRDefault="00E267BC" w:rsidP="00E267BC">
      <w:pPr>
        <w:pStyle w:val="ParaNoNdepar-AltN"/>
        <w:rPr>
          <w:rFonts w:cs="Times New Roman"/>
        </w:rPr>
      </w:pPr>
      <w:r w:rsidRPr="0038105B">
        <w:rPr>
          <w:rFonts w:cs="Times New Roman"/>
        </w:rPr>
        <w:t>“Terrorist activity” is defined (</w:t>
      </w:r>
      <w:proofErr w:type="spellStart"/>
      <w:r w:rsidRPr="0038105B">
        <w:rPr>
          <w:rFonts w:cs="Times New Roman"/>
        </w:rPr>
        <w:t>i</w:t>
      </w:r>
      <w:proofErr w:type="spellEnd"/>
      <w:r w:rsidRPr="0038105B">
        <w:rPr>
          <w:rFonts w:cs="Times New Roman"/>
        </w:rPr>
        <w:t xml:space="preserve">) as an act or omission committed inside or outside Canada that, if committed inside Canada, would constitute one of the </w:t>
      </w:r>
      <w:r w:rsidRPr="0038105B">
        <w:rPr>
          <w:rFonts w:cs="Times New Roman"/>
          <w:i/>
        </w:rPr>
        <w:t xml:space="preserve">Criminal Code </w:t>
      </w:r>
      <w:r w:rsidRPr="0038105B">
        <w:rPr>
          <w:rFonts w:cs="Times New Roman"/>
        </w:rPr>
        <w:t>offences enumerated in s. 83.01(1)(</w:t>
      </w:r>
      <w:r w:rsidRPr="0038105B">
        <w:rPr>
          <w:rFonts w:cs="Times New Roman"/>
          <w:i/>
        </w:rPr>
        <w:t>a</w:t>
      </w:r>
      <w:r w:rsidRPr="0038105B">
        <w:rPr>
          <w:rFonts w:cs="Times New Roman"/>
        </w:rPr>
        <w:t>), or (ii) as an act or omission, a conspiracy, an attempt or threat to commit any act or omission, counselling an act or omission and being an accessory after the fact to an act or omission, that causes one of the consequences described in s. 83.01(1)(</w:t>
      </w:r>
      <w:r w:rsidRPr="0038105B">
        <w:rPr>
          <w:rFonts w:cs="Times New Roman"/>
          <w:i/>
        </w:rPr>
        <w:t>b</w:t>
      </w:r>
      <w:r w:rsidRPr="0038105B">
        <w:rPr>
          <w:rFonts w:cs="Times New Roman"/>
        </w:rPr>
        <w:t xml:space="preserve">)(ii)(A) to (E). These consequences are: causing death or serious bodily harm to a person by the use of violence (clause (A)); endangering a person’s life (clause (B)); causing a serious risk to the health or safety of the public or any segment thereof (clause (C)); causing substantial property damage, whether to public or private property, if causing such damage is likely to result in the conduct or harm referred to in </w:t>
      </w:r>
      <w:r w:rsidR="004D0E9A">
        <w:rPr>
          <w:rFonts w:cs="Times New Roman"/>
        </w:rPr>
        <w:t>clauses (A) to (C) (clause (D));</w:t>
      </w:r>
      <w:r w:rsidRPr="0038105B">
        <w:rPr>
          <w:rFonts w:cs="Times New Roman"/>
        </w:rPr>
        <w:t xml:space="preserve"> or causing serious interference with or serious disruption of an essential service, facility or system, whether public or private, other than as a result of advocacy, protest, dissent or stoppage of work that is not intended to result in the conduct or harm referred to in any of clauses (A) to (C) (clause (E)).  However, conduct otherwise captured by s. 83.01(1)(</w:t>
      </w:r>
      <w:r w:rsidRPr="0038105B">
        <w:rPr>
          <w:rFonts w:cs="Times New Roman"/>
          <w:i/>
        </w:rPr>
        <w:t>b</w:t>
      </w:r>
      <w:r w:rsidRPr="0038105B">
        <w:rPr>
          <w:rFonts w:cs="Times New Roman"/>
        </w:rPr>
        <w:t>)(ii)(A) to (E) does not constitute “terrorist activity” if it falls within the exception for armed conflict conducted in accordance with</w:t>
      </w:r>
      <w:r w:rsidR="004D0E9A">
        <w:rPr>
          <w:rFonts w:cs="Times New Roman"/>
        </w:rPr>
        <w:t xml:space="preserve"> international law (s. 83.01(1)</w:t>
      </w:r>
      <w:r w:rsidRPr="0038105B">
        <w:rPr>
          <w:rFonts w:cs="Times New Roman"/>
        </w:rPr>
        <w:t xml:space="preserve"> </w:t>
      </w:r>
      <w:r w:rsidRPr="0038105B">
        <w:rPr>
          <w:rFonts w:cs="Times New Roman"/>
          <w:i/>
        </w:rPr>
        <w:t>in fine</w:t>
      </w:r>
      <w:r w:rsidRPr="0038105B">
        <w:rPr>
          <w:rFonts w:cs="Times New Roman"/>
        </w:rPr>
        <w:t>).</w:t>
      </w:r>
    </w:p>
    <w:p w:rsidR="00E267BC" w:rsidRPr="0038105B" w:rsidRDefault="00E267BC" w:rsidP="00E267BC">
      <w:pPr>
        <w:pStyle w:val="ParaNoNdepar-AltN"/>
        <w:rPr>
          <w:rFonts w:cs="Times New Roman"/>
        </w:rPr>
      </w:pPr>
      <w:r w:rsidRPr="0038105B">
        <w:rPr>
          <w:rFonts w:cs="Times New Roman"/>
        </w:rPr>
        <w:lastRenderedPageBreak/>
        <w:t>Furthermore, the act or omission that causes one of the consequences enumerated in 83.01(1</w:t>
      </w:r>
      <w:proofErr w:type="gramStart"/>
      <w:r w:rsidRPr="0038105B">
        <w:rPr>
          <w:rFonts w:cs="Times New Roman"/>
        </w:rPr>
        <w:t>)(</w:t>
      </w:r>
      <w:proofErr w:type="gramEnd"/>
      <w:r w:rsidRPr="0038105B">
        <w:rPr>
          <w:rFonts w:cs="Times New Roman"/>
          <w:i/>
        </w:rPr>
        <w:t>b</w:t>
      </w:r>
      <w:r w:rsidRPr="0038105B">
        <w:rPr>
          <w:rFonts w:cs="Times New Roman"/>
        </w:rPr>
        <w:t>)(ii)(A) to (E) only constitutes “terrorist activity” if it is accompanied by the requisite mental state. The act or omission must be done with the intention of causing one of the enumerated consequences. In addition, the act or omission must be done with the ulterior intention of intimidating the public or a segment of the public as regards its security, or to compel a person, a government or an organization — whether inside or outside of Canada — to do or refrain from doing any act (s. 83.01(1)(</w:t>
      </w:r>
      <w:r w:rsidRPr="0038105B">
        <w:rPr>
          <w:rFonts w:cs="Times New Roman"/>
          <w:i/>
        </w:rPr>
        <w:t>b</w:t>
      </w:r>
      <w:r w:rsidRPr="0038105B">
        <w:rPr>
          <w:rFonts w:cs="Times New Roman"/>
        </w:rPr>
        <w:t>)(</w:t>
      </w:r>
      <w:proofErr w:type="spellStart"/>
      <w:r w:rsidRPr="0038105B">
        <w:rPr>
          <w:rFonts w:cs="Times New Roman"/>
        </w:rPr>
        <w:t>i</w:t>
      </w:r>
      <w:proofErr w:type="spellEnd"/>
      <w:r w:rsidRPr="0038105B">
        <w:rPr>
          <w:rFonts w:cs="Times New Roman"/>
        </w:rPr>
        <w:t>)(B)). Finally, the act or omission must be done in whole or in part for a political, religious or ideological purpose, objective or cause (s. 83.01(1</w:t>
      </w:r>
      <w:proofErr w:type="gramStart"/>
      <w:r w:rsidRPr="0038105B">
        <w:rPr>
          <w:rFonts w:cs="Times New Roman"/>
        </w:rPr>
        <w:t>)(</w:t>
      </w:r>
      <w:proofErr w:type="gramEnd"/>
      <w:r w:rsidRPr="0038105B">
        <w:rPr>
          <w:rFonts w:cs="Times New Roman"/>
          <w:i/>
        </w:rPr>
        <w:t>b</w:t>
      </w:r>
      <w:r w:rsidRPr="0038105B">
        <w:rPr>
          <w:rFonts w:cs="Times New Roman"/>
        </w:rPr>
        <w:t>)(</w:t>
      </w:r>
      <w:proofErr w:type="spellStart"/>
      <w:r w:rsidRPr="0038105B">
        <w:rPr>
          <w:rFonts w:cs="Times New Roman"/>
        </w:rPr>
        <w:t>i</w:t>
      </w:r>
      <w:proofErr w:type="spellEnd"/>
      <w:r w:rsidRPr="0038105B">
        <w:rPr>
          <w:rFonts w:cs="Times New Roman"/>
        </w:rPr>
        <w:t>)(A)).</w:t>
      </w:r>
    </w:p>
    <w:p w:rsidR="00E267BC" w:rsidRPr="0038105B" w:rsidRDefault="00E267BC" w:rsidP="00E267BC">
      <w:pPr>
        <w:pStyle w:val="ParaNoNdepar-AltN"/>
        <w:rPr>
          <w:rFonts w:cs="Times New Roman"/>
        </w:rPr>
      </w:pPr>
      <w:r w:rsidRPr="0038105B">
        <w:rPr>
          <w:rFonts w:cs="Times New Roman"/>
        </w:rPr>
        <w:t xml:space="preserve">“Terrorist group” is defined as a person or group that has as one of its purposes or activities the facilitation or carrying out of any “terrorist activity”, or a person or group identified in a regulation adopted under s. 83.05. </w:t>
      </w:r>
    </w:p>
    <w:p w:rsidR="00E267BC" w:rsidRPr="0038105B" w:rsidRDefault="00E267BC" w:rsidP="00E267BC">
      <w:pPr>
        <w:pStyle w:val="ParaNoNdepar-AltN"/>
        <w:rPr>
          <w:rFonts w:cs="Times New Roman"/>
        </w:rPr>
      </w:pPr>
      <w:r w:rsidRPr="0038105B">
        <w:rPr>
          <w:rFonts w:cs="Times New Roman"/>
        </w:rPr>
        <w:t>Based on these definitions, the legislation goes on to create a number of offences, including:</w:t>
      </w:r>
    </w:p>
    <w:p w:rsidR="00E267BC" w:rsidRPr="0038105B" w:rsidRDefault="00E267BC" w:rsidP="004D0E9A">
      <w:pPr>
        <w:pStyle w:val="Citation-AltC"/>
        <w:tabs>
          <w:tab w:val="left" w:pos="1170"/>
        </w:tabs>
        <w:spacing w:after="480" w:line="480" w:lineRule="auto"/>
        <w:ind w:left="1170" w:hanging="1170"/>
        <w:contextualSpacing w:val="0"/>
      </w:pPr>
      <w:r w:rsidRPr="0038105B">
        <w:t>-</w:t>
      </w:r>
      <w:r w:rsidRPr="0038105B">
        <w:tab/>
        <w:t>Providing or making available property or services for terrorist purposes (s. 83.03) (maximum term of imprisonment of 10 years);</w:t>
      </w:r>
    </w:p>
    <w:p w:rsidR="00E267BC" w:rsidRPr="0038105B" w:rsidRDefault="00E267BC" w:rsidP="004D0E9A">
      <w:pPr>
        <w:pStyle w:val="Citation-AltC"/>
        <w:tabs>
          <w:tab w:val="left" w:pos="1170"/>
        </w:tabs>
        <w:spacing w:after="480" w:line="480" w:lineRule="auto"/>
        <w:ind w:left="1170" w:hanging="1170"/>
        <w:contextualSpacing w:val="0"/>
      </w:pPr>
      <w:r w:rsidRPr="007A4B50">
        <w:t>-</w:t>
      </w:r>
      <w:r w:rsidRPr="007A4B50">
        <w:tab/>
        <w:t>Participating in or contributing to the activity of a terrorist group (s. 83.18)</w:t>
      </w:r>
      <w:r w:rsidRPr="0038105B">
        <w:t xml:space="preserve"> (maximum term of imprisonment of 10 years);</w:t>
      </w:r>
    </w:p>
    <w:p w:rsidR="00E267BC" w:rsidRPr="0038105B" w:rsidRDefault="00E267BC" w:rsidP="004D0E9A">
      <w:pPr>
        <w:pStyle w:val="Citation-AltC"/>
        <w:tabs>
          <w:tab w:val="left" w:pos="1170"/>
        </w:tabs>
        <w:spacing w:after="480" w:line="480" w:lineRule="auto"/>
        <w:ind w:left="1170" w:hanging="1170"/>
        <w:contextualSpacing w:val="0"/>
      </w:pPr>
      <w:r w:rsidRPr="0038105B">
        <w:lastRenderedPageBreak/>
        <w:t>-</w:t>
      </w:r>
      <w:r w:rsidRPr="0038105B">
        <w:tab/>
        <w:t>Facilitating a terrorist activity (s. 83.19) (maximum term of imprisonment of 14 years);</w:t>
      </w:r>
    </w:p>
    <w:p w:rsidR="00E267BC" w:rsidRPr="0038105B" w:rsidRDefault="00E267BC" w:rsidP="004D0E9A">
      <w:pPr>
        <w:pStyle w:val="Citation-AltC"/>
        <w:tabs>
          <w:tab w:val="left" w:pos="1170"/>
        </w:tabs>
        <w:spacing w:after="480" w:line="480" w:lineRule="auto"/>
        <w:ind w:left="1170" w:hanging="1170"/>
        <w:contextualSpacing w:val="0"/>
      </w:pPr>
      <w:r w:rsidRPr="0038105B">
        <w:t>-</w:t>
      </w:r>
      <w:r w:rsidRPr="0038105B">
        <w:tab/>
        <w:t xml:space="preserve">Instructing people to carry out an activity for a terrorist group (s. 83.21) (liable to imprisonment for life). </w:t>
      </w:r>
    </w:p>
    <w:p w:rsidR="00E267BC" w:rsidRPr="0038105B" w:rsidRDefault="00E267BC" w:rsidP="00E267BC">
      <w:pPr>
        <w:pStyle w:val="ParaNoNdepar-AltN"/>
        <w:rPr>
          <w:rFonts w:cs="Times New Roman"/>
        </w:rPr>
      </w:pPr>
      <w:r w:rsidRPr="0038105B">
        <w:rPr>
          <w:rFonts w:cs="Times New Roman"/>
        </w:rPr>
        <w:t xml:space="preserve">The counts on which the appellant was convicted variously engage all of these offences.  </w:t>
      </w:r>
    </w:p>
    <w:p w:rsidR="00E267BC" w:rsidRPr="0038105B" w:rsidRDefault="00E267BC" w:rsidP="00E267BC">
      <w:pPr>
        <w:pStyle w:val="ParaNoNdepar-AltN"/>
        <w:rPr>
          <w:rFonts w:cs="Times New Roman"/>
        </w:rPr>
      </w:pPr>
      <w:r w:rsidRPr="0038105B">
        <w:rPr>
          <w:rFonts w:cs="Times New Roman"/>
        </w:rPr>
        <w:t xml:space="preserve">The terrorism offences attract specific sentencing provisions. Pursuant to s. 83.26, sentences for terrorism offences must be served consecutively. Further, s. 718.2 provides that the commission of a terrorism offence is to be considered an aggravating factor for the purposes of sentencing. Finally, I set out the provisions of the </w:t>
      </w:r>
      <w:r w:rsidRPr="0038105B">
        <w:rPr>
          <w:rFonts w:cs="Times New Roman"/>
          <w:i/>
        </w:rPr>
        <w:t xml:space="preserve">Charter </w:t>
      </w:r>
      <w:r w:rsidRPr="0038105B">
        <w:rPr>
          <w:rFonts w:cs="Times New Roman"/>
        </w:rPr>
        <w:t xml:space="preserve">relevant to the appeal.  The </w:t>
      </w:r>
      <w:proofErr w:type="spellStart"/>
      <w:r w:rsidRPr="0038105B">
        <w:rPr>
          <w:rFonts w:cs="Times New Roman"/>
        </w:rPr>
        <w:t>overbreadth</w:t>
      </w:r>
      <w:proofErr w:type="spellEnd"/>
      <w:r w:rsidRPr="0038105B">
        <w:rPr>
          <w:rFonts w:cs="Times New Roman"/>
        </w:rPr>
        <w:t xml:space="preserve"> argument advanced in the companion appeals is grounded in s. 7 of the </w:t>
      </w:r>
      <w:r w:rsidRPr="0038105B">
        <w:rPr>
          <w:rFonts w:cs="Times New Roman"/>
          <w:i/>
        </w:rPr>
        <w:t>Charter</w:t>
      </w:r>
      <w:r w:rsidRPr="0038105B">
        <w:rPr>
          <w:rFonts w:cs="Times New Roman"/>
        </w:rPr>
        <w:t xml:space="preserve">: </w:t>
      </w:r>
    </w:p>
    <w:p w:rsidR="00E267BC" w:rsidRPr="0038105B" w:rsidRDefault="00E267BC" w:rsidP="00E267BC">
      <w:pPr>
        <w:pStyle w:val="Citation-AltC"/>
        <w:ind w:firstLine="274"/>
      </w:pPr>
      <w:r w:rsidRPr="0038105B">
        <w:rPr>
          <w:b/>
        </w:rPr>
        <w:t xml:space="preserve">7.  </w:t>
      </w:r>
      <w:r w:rsidRPr="0038105B">
        <w:t>Everyone has the right to life, liberty and security of the person and the right not to be deprived thereof except in accordance with the principles of fundamental justice.</w:t>
      </w:r>
    </w:p>
    <w:p w:rsidR="00E267BC" w:rsidRPr="0038105B" w:rsidRDefault="00E267BC" w:rsidP="00E267BC">
      <w:pPr>
        <w:pStyle w:val="ParaNoNdepar-AltN"/>
        <w:rPr>
          <w:rFonts w:cs="Times New Roman"/>
        </w:rPr>
      </w:pPr>
      <w:r w:rsidRPr="0038105B">
        <w:rPr>
          <w:rFonts w:cs="Times New Roman"/>
        </w:rPr>
        <w:t xml:space="preserve">The appellant in this appeal bases his argument that the provisions are unconstitutional on s. 2 of the </w:t>
      </w:r>
      <w:r w:rsidRPr="0038105B">
        <w:rPr>
          <w:rFonts w:cs="Times New Roman"/>
          <w:i/>
        </w:rPr>
        <w:t>Charter</w:t>
      </w:r>
      <w:r w:rsidRPr="0038105B">
        <w:rPr>
          <w:rFonts w:cs="Times New Roman"/>
        </w:rPr>
        <w:t>:</w:t>
      </w:r>
    </w:p>
    <w:p w:rsidR="00E267BC" w:rsidRPr="0038105B" w:rsidRDefault="00E267BC" w:rsidP="00E267BC">
      <w:pPr>
        <w:pStyle w:val="Citation-AltC"/>
        <w:ind w:firstLine="274"/>
      </w:pPr>
      <w:r w:rsidRPr="0038105B">
        <w:rPr>
          <w:b/>
        </w:rPr>
        <w:t xml:space="preserve">2. </w:t>
      </w:r>
      <w:r w:rsidRPr="0038105B">
        <w:t>Everyone has the following fundamental freedoms:</w:t>
      </w:r>
    </w:p>
    <w:p w:rsidR="00E267BC" w:rsidRPr="0038105B" w:rsidRDefault="00E267BC" w:rsidP="00E267BC">
      <w:pPr>
        <w:pStyle w:val="Citation-AltC"/>
      </w:pPr>
    </w:p>
    <w:p w:rsidR="00E267BC" w:rsidRPr="0038105B" w:rsidRDefault="00E267BC" w:rsidP="004D0E9A">
      <w:pPr>
        <w:pStyle w:val="Citation-AltC"/>
        <w:ind w:firstLine="274"/>
      </w:pPr>
      <w:r w:rsidRPr="0038105B">
        <w:t>(</w:t>
      </w:r>
      <w:r w:rsidRPr="0038105B">
        <w:rPr>
          <w:i/>
        </w:rPr>
        <w:t>a</w:t>
      </w:r>
      <w:r w:rsidRPr="0038105B">
        <w:t xml:space="preserve">) </w:t>
      </w:r>
      <w:proofErr w:type="gramStart"/>
      <w:r w:rsidRPr="0038105B">
        <w:t>freedom</w:t>
      </w:r>
      <w:proofErr w:type="gramEnd"/>
      <w:r w:rsidRPr="0038105B">
        <w:t xml:space="preserve"> of conscience and religion;</w:t>
      </w:r>
    </w:p>
    <w:p w:rsidR="00E267BC" w:rsidRPr="0038105B" w:rsidRDefault="00E267BC" w:rsidP="008063B3">
      <w:pPr>
        <w:pStyle w:val="Citation-AltC"/>
      </w:pPr>
    </w:p>
    <w:p w:rsidR="00E267BC" w:rsidRPr="0038105B" w:rsidRDefault="00E267BC" w:rsidP="004D0E9A">
      <w:pPr>
        <w:pStyle w:val="Citation-AltC"/>
        <w:ind w:left="1440"/>
      </w:pPr>
      <w:r w:rsidRPr="0038105B">
        <w:t>(</w:t>
      </w:r>
      <w:r w:rsidRPr="0038105B">
        <w:rPr>
          <w:i/>
        </w:rPr>
        <w:t>b</w:t>
      </w:r>
      <w:r w:rsidRPr="0038105B">
        <w:t xml:space="preserve">) </w:t>
      </w:r>
      <w:proofErr w:type="gramStart"/>
      <w:r w:rsidRPr="0038105B">
        <w:t>freedom</w:t>
      </w:r>
      <w:proofErr w:type="gramEnd"/>
      <w:r w:rsidRPr="0038105B">
        <w:t xml:space="preserve"> of thought, belief, opinion and expression, including freedom of the press and other media of communication;</w:t>
      </w:r>
    </w:p>
    <w:p w:rsidR="00E267BC" w:rsidRPr="0038105B" w:rsidRDefault="00E267BC" w:rsidP="008063B3">
      <w:pPr>
        <w:pStyle w:val="Citation-AltC"/>
      </w:pPr>
    </w:p>
    <w:p w:rsidR="00E267BC" w:rsidRPr="0038105B" w:rsidRDefault="00E267BC" w:rsidP="004D0E9A">
      <w:pPr>
        <w:pStyle w:val="Citation-AltC"/>
        <w:ind w:left="1440"/>
      </w:pPr>
      <w:r w:rsidRPr="0038105B">
        <w:t>(</w:t>
      </w:r>
      <w:r w:rsidRPr="004D0E9A">
        <w:t>c</w:t>
      </w:r>
      <w:r w:rsidRPr="0038105B">
        <w:t xml:space="preserve">) </w:t>
      </w:r>
      <w:proofErr w:type="gramStart"/>
      <w:r w:rsidRPr="0038105B">
        <w:t>freedom</w:t>
      </w:r>
      <w:proofErr w:type="gramEnd"/>
      <w:r w:rsidRPr="0038105B">
        <w:t xml:space="preserve"> of peaceful assembly; and</w:t>
      </w:r>
    </w:p>
    <w:p w:rsidR="00E267BC" w:rsidRPr="0038105B" w:rsidRDefault="00E267BC" w:rsidP="008063B3">
      <w:pPr>
        <w:pStyle w:val="Citation-AltC"/>
      </w:pPr>
    </w:p>
    <w:p w:rsidR="00E267BC" w:rsidRPr="0038105B" w:rsidRDefault="00E267BC" w:rsidP="004D0E9A">
      <w:pPr>
        <w:pStyle w:val="Citation-AltC"/>
        <w:ind w:left="1440"/>
      </w:pPr>
      <w:r w:rsidRPr="0038105B">
        <w:t>(</w:t>
      </w:r>
      <w:r w:rsidRPr="004D0E9A">
        <w:t>d</w:t>
      </w:r>
      <w:r w:rsidRPr="0038105B">
        <w:t xml:space="preserve">) </w:t>
      </w:r>
      <w:proofErr w:type="gramStart"/>
      <w:r w:rsidRPr="0038105B">
        <w:t>freedom</w:t>
      </w:r>
      <w:proofErr w:type="gramEnd"/>
      <w:r w:rsidRPr="0038105B">
        <w:t xml:space="preserve"> of association.</w:t>
      </w:r>
    </w:p>
    <w:p w:rsidR="00E267BC" w:rsidRPr="0038105B" w:rsidRDefault="00E267BC" w:rsidP="00E267BC">
      <w:pPr>
        <w:pStyle w:val="ParaNoNdepar-AltN"/>
        <w:rPr>
          <w:rFonts w:cs="Times New Roman"/>
        </w:rPr>
      </w:pPr>
      <w:r w:rsidRPr="0038105B">
        <w:rPr>
          <w:rFonts w:cs="Times New Roman"/>
        </w:rPr>
        <w:t xml:space="preserve">Breaches of </w:t>
      </w:r>
      <w:r w:rsidRPr="0038105B">
        <w:rPr>
          <w:rFonts w:cs="Times New Roman"/>
          <w:i/>
        </w:rPr>
        <w:t xml:space="preserve">Charter </w:t>
      </w:r>
      <w:r w:rsidRPr="0038105B">
        <w:rPr>
          <w:rFonts w:cs="Times New Roman"/>
        </w:rPr>
        <w:t>guarantees can be justified under s. 1, which provides:</w:t>
      </w:r>
    </w:p>
    <w:p w:rsidR="00E267BC" w:rsidRPr="0038105B" w:rsidRDefault="00E267BC" w:rsidP="00E267BC">
      <w:pPr>
        <w:pStyle w:val="Citation-AltC"/>
        <w:ind w:firstLine="274"/>
      </w:pPr>
      <w:r w:rsidRPr="0038105B">
        <w:rPr>
          <w:b/>
        </w:rPr>
        <w:t xml:space="preserve">1. </w:t>
      </w:r>
      <w:r w:rsidRPr="0038105B">
        <w:t xml:space="preserve">The </w:t>
      </w:r>
      <w:r w:rsidR="008063B3">
        <w:rPr>
          <w:i/>
        </w:rPr>
        <w:t>Canadian Charter of</w:t>
      </w:r>
      <w:r w:rsidRPr="0038105B">
        <w:rPr>
          <w:i/>
        </w:rPr>
        <w:t xml:space="preserve"> Rights and Freedoms </w:t>
      </w:r>
      <w:r w:rsidRPr="0038105B">
        <w:t>guarantees the rights and freedoms set out in it subject only to such reasonable limits prescribed by law as can be demonstrably justified in a free and democratic society.</w:t>
      </w:r>
    </w:p>
    <w:p w:rsidR="00E267BC" w:rsidRPr="0038105B" w:rsidRDefault="00E267BC" w:rsidP="00E267BC">
      <w:pPr>
        <w:pStyle w:val="TitleTitre-AltT"/>
        <w:tabs>
          <w:tab w:val="clear" w:pos="360"/>
        </w:tabs>
        <w:ind w:left="720" w:hanging="720"/>
        <w:rPr>
          <w:rFonts w:cs="Times New Roman"/>
          <w:u w:val="single"/>
        </w:rPr>
      </w:pPr>
      <w:r w:rsidRPr="0038105B">
        <w:rPr>
          <w:rFonts w:cs="Times New Roman"/>
        </w:rPr>
        <w:t xml:space="preserve">V.  </w:t>
      </w:r>
      <w:r w:rsidRPr="0038105B">
        <w:rPr>
          <w:rFonts w:cs="Times New Roman"/>
          <w:u w:val="single"/>
        </w:rPr>
        <w:t>Issues</w:t>
      </w:r>
    </w:p>
    <w:p w:rsidR="00BE1558" w:rsidRPr="0081745D" w:rsidRDefault="00BE1558" w:rsidP="00BE1558">
      <w:pPr>
        <w:pStyle w:val="ParaNoNdepar-AltN"/>
      </w:pPr>
      <w:r>
        <w:t>The issues are as follows:</w:t>
      </w:r>
    </w:p>
    <w:p w:rsidR="00BE1558" w:rsidRPr="0038105B" w:rsidRDefault="00BE1558" w:rsidP="0005483A">
      <w:pPr>
        <w:pStyle w:val="ParaNoNdepar-AltN"/>
        <w:numPr>
          <w:ilvl w:val="0"/>
          <w:numId w:val="0"/>
        </w:numPr>
        <w:tabs>
          <w:tab w:val="left" w:pos="540"/>
        </w:tabs>
      </w:pPr>
      <w:r w:rsidRPr="0038105B">
        <w:rPr>
          <w:rFonts w:eastAsiaTheme="minorHAnsi"/>
        </w:rPr>
        <w:t>A.</w:t>
      </w:r>
      <w:r w:rsidRPr="0038105B">
        <w:tab/>
      </w:r>
      <w:r>
        <w:t>Constitutionality of the p</w:t>
      </w:r>
      <w:r w:rsidRPr="0038105B">
        <w:t>rovisions</w:t>
      </w:r>
      <w:r>
        <w:t>;</w:t>
      </w:r>
    </w:p>
    <w:p w:rsidR="00BE1558" w:rsidRPr="0081745D" w:rsidRDefault="00BE1558" w:rsidP="0005483A">
      <w:pPr>
        <w:pStyle w:val="ParaNoNdepar-AltN"/>
        <w:numPr>
          <w:ilvl w:val="0"/>
          <w:numId w:val="0"/>
        </w:numPr>
        <w:tabs>
          <w:tab w:val="left" w:pos="540"/>
        </w:tabs>
        <w:rPr>
          <w:rFonts w:cs="Times New Roman"/>
        </w:rPr>
      </w:pPr>
      <w:r>
        <w:rPr>
          <w:rFonts w:eastAsiaTheme="minorHAnsi"/>
        </w:rPr>
        <w:t>1.</w:t>
      </w:r>
      <w:r>
        <w:rPr>
          <w:rFonts w:eastAsiaTheme="minorHAnsi"/>
        </w:rPr>
        <w:tab/>
        <w:t>Does s.</w:t>
      </w:r>
      <w:r w:rsidRPr="0081745D">
        <w:rPr>
          <w:rFonts w:eastAsiaTheme="minorHAnsi"/>
        </w:rPr>
        <w:t xml:space="preserve"> 83.18 of the </w:t>
      </w:r>
      <w:r w:rsidRPr="0081745D">
        <w:rPr>
          <w:rFonts w:eastAsiaTheme="minorHAnsi"/>
          <w:i/>
        </w:rPr>
        <w:t>Criminal Code</w:t>
      </w:r>
      <w:r>
        <w:rPr>
          <w:rFonts w:eastAsiaTheme="minorHAnsi"/>
        </w:rPr>
        <w:t xml:space="preserve"> v</w:t>
      </w:r>
      <w:r w:rsidRPr="0081745D">
        <w:rPr>
          <w:rFonts w:eastAsiaTheme="minorHAnsi"/>
        </w:rPr>
        <w:t xml:space="preserve">iolate </w:t>
      </w:r>
      <w:r>
        <w:rPr>
          <w:rFonts w:eastAsiaTheme="minorHAnsi"/>
        </w:rPr>
        <w:t>s.</w:t>
      </w:r>
      <w:r w:rsidRPr="0081745D">
        <w:rPr>
          <w:rFonts w:eastAsiaTheme="minorHAnsi"/>
        </w:rPr>
        <w:t xml:space="preserve"> 7 of the</w:t>
      </w:r>
      <w:r w:rsidRPr="0081745D">
        <w:rPr>
          <w:rFonts w:cs="Times New Roman"/>
        </w:rPr>
        <w:t xml:space="preserve"> </w:t>
      </w:r>
      <w:r w:rsidRPr="0081745D">
        <w:rPr>
          <w:rFonts w:cs="Times New Roman"/>
          <w:i/>
        </w:rPr>
        <w:t>Charter</w:t>
      </w:r>
      <w:r w:rsidRPr="0081745D">
        <w:rPr>
          <w:rFonts w:cs="Times New Roman"/>
        </w:rPr>
        <w:t>?</w:t>
      </w:r>
    </w:p>
    <w:p w:rsidR="00BE1558" w:rsidRPr="0038105B" w:rsidRDefault="00BE1558" w:rsidP="0005483A">
      <w:pPr>
        <w:pStyle w:val="ParaNoNdepar-AltN"/>
        <w:numPr>
          <w:ilvl w:val="0"/>
          <w:numId w:val="0"/>
        </w:numPr>
        <w:tabs>
          <w:tab w:val="left" w:pos="540"/>
          <w:tab w:val="left" w:pos="1170"/>
        </w:tabs>
        <w:rPr>
          <w:i/>
        </w:rPr>
      </w:pPr>
      <w:r>
        <w:tab/>
      </w:r>
      <w:r w:rsidRPr="0038105B">
        <w:t>(a)</w:t>
      </w:r>
      <w:r w:rsidRPr="0038105B">
        <w:tab/>
      </w:r>
      <w:r>
        <w:t>The t</w:t>
      </w:r>
      <w:r w:rsidRPr="0081745D">
        <w:t xml:space="preserve">est for </w:t>
      </w:r>
      <w:proofErr w:type="spellStart"/>
      <w:r>
        <w:t>o</w:t>
      </w:r>
      <w:r w:rsidRPr="0081745D">
        <w:t>verbreadth</w:t>
      </w:r>
      <w:proofErr w:type="spellEnd"/>
      <w:r>
        <w:t>;</w:t>
      </w:r>
    </w:p>
    <w:p w:rsidR="00BE1558" w:rsidRPr="0038105B" w:rsidRDefault="00BE1558" w:rsidP="0005483A">
      <w:pPr>
        <w:pStyle w:val="ParaNoNdepar-AltN"/>
        <w:numPr>
          <w:ilvl w:val="0"/>
          <w:numId w:val="0"/>
        </w:numPr>
        <w:tabs>
          <w:tab w:val="left" w:pos="540"/>
          <w:tab w:val="left" w:pos="1170"/>
        </w:tabs>
        <w:ind w:left="1170" w:hanging="1170"/>
      </w:pPr>
      <w:r>
        <w:tab/>
      </w:r>
      <w:r w:rsidRPr="0038105B">
        <w:t>(b)</w:t>
      </w:r>
      <w:r w:rsidRPr="0038105B">
        <w:tab/>
      </w:r>
      <w:r w:rsidRPr="0081745D">
        <w:t xml:space="preserve">The </w:t>
      </w:r>
      <w:r>
        <w:t>s</w:t>
      </w:r>
      <w:r w:rsidRPr="0081745D">
        <w:t xml:space="preserve">cope of the </w:t>
      </w:r>
      <w:r>
        <w:t>l</w:t>
      </w:r>
      <w:r w:rsidRPr="0081745D">
        <w:t>aw</w:t>
      </w:r>
      <w:r>
        <w:t>;</w:t>
      </w:r>
    </w:p>
    <w:p w:rsidR="00BE1558" w:rsidRPr="0038105B" w:rsidRDefault="00BE1558" w:rsidP="0005483A">
      <w:pPr>
        <w:pStyle w:val="ParaNoNdepar-AltN"/>
        <w:numPr>
          <w:ilvl w:val="0"/>
          <w:numId w:val="0"/>
        </w:numPr>
        <w:tabs>
          <w:tab w:val="left" w:pos="540"/>
          <w:tab w:val="left" w:pos="1170"/>
        </w:tabs>
        <w:ind w:left="1170" w:hanging="1170"/>
      </w:pPr>
      <w:r>
        <w:tab/>
      </w:r>
      <w:r w:rsidRPr="0038105B">
        <w:t>(c)</w:t>
      </w:r>
      <w:r w:rsidRPr="0038105B">
        <w:tab/>
      </w:r>
      <w:r w:rsidRPr="0081745D">
        <w:t xml:space="preserve">The </w:t>
      </w:r>
      <w:r>
        <w:t>o</w:t>
      </w:r>
      <w:r w:rsidRPr="0081745D">
        <w:t xml:space="preserve">bjective of the </w:t>
      </w:r>
      <w:r>
        <w:t>l</w:t>
      </w:r>
      <w:r w:rsidRPr="0081745D">
        <w:t>aw</w:t>
      </w:r>
      <w:r>
        <w:t>;</w:t>
      </w:r>
    </w:p>
    <w:p w:rsidR="00BE1558" w:rsidRPr="0038105B" w:rsidRDefault="00BE1558" w:rsidP="0005483A">
      <w:pPr>
        <w:pStyle w:val="ParaNoNdepar-AltN"/>
        <w:numPr>
          <w:ilvl w:val="0"/>
          <w:numId w:val="0"/>
        </w:numPr>
        <w:tabs>
          <w:tab w:val="left" w:pos="540"/>
          <w:tab w:val="left" w:pos="1170"/>
        </w:tabs>
        <w:ind w:left="1170" w:hanging="1170"/>
      </w:pPr>
      <w:r>
        <w:lastRenderedPageBreak/>
        <w:tab/>
      </w:r>
      <w:r w:rsidRPr="0038105B">
        <w:t>(</w:t>
      </w:r>
      <w:proofErr w:type="gramStart"/>
      <w:r w:rsidRPr="0038105B">
        <w:t>d</w:t>
      </w:r>
      <w:proofErr w:type="gramEnd"/>
      <w:r w:rsidRPr="0038105B">
        <w:t>)</w:t>
      </w:r>
      <w:r w:rsidRPr="0038105B">
        <w:tab/>
      </w:r>
      <w:r>
        <w:t>Are the impugned p</w:t>
      </w:r>
      <w:r w:rsidRPr="0081745D">
        <w:t xml:space="preserve">rovisions </w:t>
      </w:r>
      <w:r>
        <w:t>b</w:t>
      </w:r>
      <w:r w:rsidRPr="0081745D">
        <w:t xml:space="preserve">roader than </w:t>
      </w:r>
      <w:r>
        <w:t>necessary or is their impact d</w:t>
      </w:r>
      <w:r w:rsidRPr="0081745D">
        <w:t>isproportionate?</w:t>
      </w:r>
    </w:p>
    <w:p w:rsidR="00BE1558" w:rsidRPr="0081745D" w:rsidRDefault="00BE1558" w:rsidP="008E75F5">
      <w:pPr>
        <w:pStyle w:val="ParaNoNdepar-AltN"/>
        <w:numPr>
          <w:ilvl w:val="0"/>
          <w:numId w:val="0"/>
        </w:numPr>
        <w:tabs>
          <w:tab w:val="left" w:pos="540"/>
        </w:tabs>
        <w:ind w:left="540" w:hanging="540"/>
      </w:pPr>
      <w:r>
        <w:t>2.</w:t>
      </w:r>
      <w:r>
        <w:tab/>
      </w:r>
      <w:r w:rsidRPr="0081745D">
        <w:t xml:space="preserve">Does the </w:t>
      </w:r>
      <w:r>
        <w:t>l</w:t>
      </w:r>
      <w:r w:rsidRPr="0081745D">
        <w:t xml:space="preserve">aw, </w:t>
      </w:r>
      <w:r>
        <w:t>s</w:t>
      </w:r>
      <w:r w:rsidRPr="0081745D">
        <w:t xml:space="preserve">pecifically </w:t>
      </w:r>
      <w:r>
        <w:t>the motive clause</w:t>
      </w:r>
      <w:r w:rsidRPr="0081745D">
        <w:t xml:space="preserve">, </w:t>
      </w:r>
      <w:r>
        <w:t>i</w:t>
      </w:r>
      <w:r w:rsidRPr="0081745D">
        <w:t xml:space="preserve">nfringe </w:t>
      </w:r>
      <w:r>
        <w:t>s.</w:t>
      </w:r>
      <w:r w:rsidRPr="0081745D">
        <w:t xml:space="preserve"> 2 of the </w:t>
      </w:r>
      <w:r w:rsidRPr="0081745D">
        <w:rPr>
          <w:i/>
        </w:rPr>
        <w:t>Charter</w:t>
      </w:r>
      <w:r w:rsidRPr="0081745D">
        <w:t>?</w:t>
      </w:r>
    </w:p>
    <w:p w:rsidR="00BE1558" w:rsidRPr="0038105B" w:rsidRDefault="00BE1558" w:rsidP="0005483A">
      <w:pPr>
        <w:pStyle w:val="ParaNoNdepar-AltN"/>
        <w:numPr>
          <w:ilvl w:val="0"/>
          <w:numId w:val="0"/>
        </w:numPr>
        <w:tabs>
          <w:tab w:val="left" w:pos="540"/>
          <w:tab w:val="left" w:pos="1170"/>
        </w:tabs>
        <w:ind w:left="1170" w:hanging="1170"/>
      </w:pPr>
      <w:r>
        <w:tab/>
      </w:r>
      <w:r w:rsidRPr="0038105B">
        <w:t>(a)</w:t>
      </w:r>
      <w:r w:rsidRPr="0038105B">
        <w:tab/>
      </w:r>
      <w:r>
        <w:t>Unconstitutional purpose;</w:t>
      </w:r>
    </w:p>
    <w:p w:rsidR="00BE1558" w:rsidRPr="0038105B" w:rsidRDefault="00BE1558" w:rsidP="0005483A">
      <w:pPr>
        <w:pStyle w:val="ParaNoNdepar-AltN"/>
        <w:numPr>
          <w:ilvl w:val="0"/>
          <w:numId w:val="0"/>
        </w:numPr>
        <w:tabs>
          <w:tab w:val="left" w:pos="540"/>
          <w:tab w:val="left" w:pos="1170"/>
        </w:tabs>
        <w:ind w:left="1170" w:hanging="1170"/>
        <w:rPr>
          <w:i/>
        </w:rPr>
      </w:pPr>
      <w:r>
        <w:tab/>
      </w:r>
      <w:r w:rsidRPr="0038105B">
        <w:t>(b)</w:t>
      </w:r>
      <w:r w:rsidRPr="0038105B">
        <w:tab/>
      </w:r>
      <w:r>
        <w:t>Unconstitutional effect;</w:t>
      </w:r>
    </w:p>
    <w:p w:rsidR="00BE1558" w:rsidRDefault="00BE1558" w:rsidP="001D4802">
      <w:pPr>
        <w:pStyle w:val="ParaNoNdepar-AltN"/>
        <w:numPr>
          <w:ilvl w:val="0"/>
          <w:numId w:val="0"/>
        </w:numPr>
        <w:tabs>
          <w:tab w:val="left" w:pos="540"/>
        </w:tabs>
        <w:ind w:left="540" w:hanging="540"/>
        <w:rPr>
          <w:u w:val="single"/>
        </w:rPr>
      </w:pPr>
      <w:r>
        <w:t>3.</w:t>
      </w:r>
      <w:r>
        <w:tab/>
      </w:r>
      <w:r w:rsidRPr="0081745D">
        <w:t xml:space="preserve">Conclusion on the </w:t>
      </w:r>
      <w:r>
        <w:t>c</w:t>
      </w:r>
      <w:r w:rsidRPr="0081745D">
        <w:t xml:space="preserve">onstitutionality of the </w:t>
      </w:r>
      <w:r>
        <w:t>law;</w:t>
      </w:r>
    </w:p>
    <w:p w:rsidR="00BE1558" w:rsidRPr="0038105B" w:rsidRDefault="0005483A" w:rsidP="0005483A">
      <w:pPr>
        <w:pStyle w:val="ParaNoNdepar-AltN"/>
        <w:numPr>
          <w:ilvl w:val="0"/>
          <w:numId w:val="0"/>
        </w:numPr>
        <w:tabs>
          <w:tab w:val="left" w:pos="540"/>
        </w:tabs>
        <w:rPr>
          <w:rFonts w:cs="Times New Roman"/>
          <w:i/>
        </w:rPr>
      </w:pPr>
      <w:r>
        <w:rPr>
          <w:rFonts w:cs="Times New Roman"/>
        </w:rPr>
        <w:t>B.</w:t>
      </w:r>
      <w:r>
        <w:rPr>
          <w:rFonts w:cs="Times New Roman"/>
        </w:rPr>
        <w:tab/>
      </w:r>
      <w:r w:rsidR="00BE1558">
        <w:rPr>
          <w:rFonts w:cs="Times New Roman"/>
        </w:rPr>
        <w:t xml:space="preserve">Application of </w:t>
      </w:r>
      <w:r w:rsidR="00BE1558" w:rsidRPr="0005483A">
        <w:t>the</w:t>
      </w:r>
      <w:r w:rsidR="00BE1558">
        <w:rPr>
          <w:rFonts w:cs="Times New Roman"/>
        </w:rPr>
        <w:t xml:space="preserve"> provisions;</w:t>
      </w:r>
    </w:p>
    <w:p w:rsidR="00BE1558" w:rsidRPr="0038105B" w:rsidRDefault="00BE1558" w:rsidP="0005483A">
      <w:pPr>
        <w:pStyle w:val="ParaNoNdepar-AltN"/>
        <w:numPr>
          <w:ilvl w:val="0"/>
          <w:numId w:val="0"/>
        </w:numPr>
        <w:tabs>
          <w:tab w:val="left" w:pos="540"/>
        </w:tabs>
        <w:ind w:left="540" w:hanging="540"/>
        <w:rPr>
          <w:rFonts w:cs="Times New Roman"/>
          <w:u w:val="single"/>
        </w:rPr>
      </w:pPr>
      <w:r>
        <w:rPr>
          <w:rFonts w:cs="Times New Roman"/>
        </w:rPr>
        <w:t>1.</w:t>
      </w:r>
      <w:r>
        <w:rPr>
          <w:rFonts w:cs="Times New Roman"/>
        </w:rPr>
        <w:tab/>
        <w:t>Did the d</w:t>
      </w:r>
      <w:r w:rsidRPr="0081745D">
        <w:rPr>
          <w:rFonts w:cs="Times New Roman"/>
        </w:rPr>
        <w:t xml:space="preserve">eletion and </w:t>
      </w:r>
      <w:r w:rsidRPr="0005483A">
        <w:t>subsequent</w:t>
      </w:r>
      <w:r w:rsidRPr="0081745D">
        <w:rPr>
          <w:rFonts w:cs="Times New Roman"/>
        </w:rPr>
        <w:t xml:space="preserve"> </w:t>
      </w:r>
      <w:r>
        <w:rPr>
          <w:rFonts w:cs="Times New Roman"/>
        </w:rPr>
        <w:t>r</w:t>
      </w:r>
      <w:r w:rsidRPr="0081745D">
        <w:rPr>
          <w:rFonts w:cs="Times New Roman"/>
        </w:rPr>
        <w:t xml:space="preserve">e-insertion of the </w:t>
      </w:r>
      <w:r>
        <w:rPr>
          <w:rFonts w:cs="Times New Roman"/>
        </w:rPr>
        <w:t>m</w:t>
      </w:r>
      <w:r w:rsidRPr="0081745D">
        <w:rPr>
          <w:rFonts w:cs="Times New Roman"/>
        </w:rPr>
        <w:t xml:space="preserve">otive </w:t>
      </w:r>
      <w:r>
        <w:rPr>
          <w:rFonts w:cs="Times New Roman"/>
        </w:rPr>
        <w:t>clause make the t</w:t>
      </w:r>
      <w:r w:rsidRPr="0081745D">
        <w:rPr>
          <w:rFonts w:cs="Times New Roman"/>
        </w:rPr>
        <w:t xml:space="preserve">rial and </w:t>
      </w:r>
      <w:r>
        <w:rPr>
          <w:rFonts w:cs="Times New Roman"/>
        </w:rPr>
        <w:t>c</w:t>
      </w:r>
      <w:r w:rsidRPr="0081745D">
        <w:rPr>
          <w:rFonts w:cs="Times New Roman"/>
        </w:rPr>
        <w:t xml:space="preserve">onvictions </w:t>
      </w:r>
      <w:r>
        <w:rPr>
          <w:rFonts w:cs="Times New Roman"/>
        </w:rPr>
        <w:t>u</w:t>
      </w:r>
      <w:r w:rsidRPr="0081745D">
        <w:rPr>
          <w:rFonts w:cs="Times New Roman"/>
        </w:rPr>
        <w:t>nfair?</w:t>
      </w:r>
    </w:p>
    <w:p w:rsidR="00BE1558" w:rsidRPr="0038105B" w:rsidRDefault="00BE1558" w:rsidP="0005483A">
      <w:pPr>
        <w:pStyle w:val="ParaNoNdepar-AltN"/>
        <w:numPr>
          <w:ilvl w:val="0"/>
          <w:numId w:val="0"/>
        </w:numPr>
        <w:tabs>
          <w:tab w:val="left" w:pos="540"/>
        </w:tabs>
        <w:ind w:left="540" w:hanging="540"/>
        <w:rPr>
          <w:rFonts w:cs="Times New Roman"/>
          <w:u w:val="single"/>
        </w:rPr>
      </w:pPr>
      <w:r>
        <w:rPr>
          <w:rFonts w:cs="Times New Roman"/>
        </w:rPr>
        <w:t>2.</w:t>
      </w:r>
      <w:r>
        <w:rPr>
          <w:rFonts w:cs="Times New Roman"/>
        </w:rPr>
        <w:tab/>
      </w:r>
      <w:r w:rsidRPr="0081745D">
        <w:rPr>
          <w:rFonts w:cs="Times New Roman"/>
        </w:rPr>
        <w:t xml:space="preserve">Does the </w:t>
      </w:r>
      <w:r>
        <w:rPr>
          <w:rFonts w:cs="Times New Roman"/>
        </w:rPr>
        <w:t>a</w:t>
      </w:r>
      <w:r w:rsidRPr="0081745D">
        <w:rPr>
          <w:rFonts w:cs="Times New Roman"/>
        </w:rPr>
        <w:t xml:space="preserve">rmed </w:t>
      </w:r>
      <w:r w:rsidRPr="0005483A">
        <w:t>conflict</w:t>
      </w:r>
      <w:r w:rsidRPr="0081745D">
        <w:rPr>
          <w:rFonts w:cs="Times New Roman"/>
        </w:rPr>
        <w:t xml:space="preserve"> </w:t>
      </w:r>
      <w:r>
        <w:rPr>
          <w:rFonts w:cs="Times New Roman"/>
        </w:rPr>
        <w:t>e</w:t>
      </w:r>
      <w:r w:rsidRPr="0081745D">
        <w:rPr>
          <w:rFonts w:cs="Times New Roman"/>
        </w:rPr>
        <w:t xml:space="preserve">xception </w:t>
      </w:r>
      <w:r>
        <w:rPr>
          <w:rFonts w:cs="Times New Roman"/>
        </w:rPr>
        <w:t>a</w:t>
      </w:r>
      <w:r w:rsidRPr="0081745D">
        <w:rPr>
          <w:rFonts w:cs="Times New Roman"/>
        </w:rPr>
        <w:t>pply?</w:t>
      </w:r>
    </w:p>
    <w:p w:rsidR="00BE1558" w:rsidRPr="0038105B" w:rsidRDefault="00BE1558" w:rsidP="0005483A">
      <w:pPr>
        <w:pStyle w:val="ParaNoNdepar-AltN"/>
        <w:numPr>
          <w:ilvl w:val="0"/>
          <w:numId w:val="0"/>
        </w:numPr>
        <w:tabs>
          <w:tab w:val="left" w:pos="540"/>
        </w:tabs>
        <w:ind w:left="540" w:hanging="540"/>
        <w:rPr>
          <w:rFonts w:cs="Times New Roman"/>
        </w:rPr>
      </w:pPr>
      <w:r>
        <w:rPr>
          <w:rFonts w:cs="Times New Roman"/>
        </w:rPr>
        <w:t>3.</w:t>
      </w:r>
      <w:r>
        <w:rPr>
          <w:rFonts w:cs="Times New Roman"/>
        </w:rPr>
        <w:tab/>
      </w:r>
      <w:r w:rsidRPr="0081745D">
        <w:rPr>
          <w:rFonts w:cs="Times New Roman"/>
        </w:rPr>
        <w:t xml:space="preserve">Were the </w:t>
      </w:r>
      <w:r>
        <w:rPr>
          <w:rFonts w:cs="Times New Roman"/>
        </w:rPr>
        <w:t>v</w:t>
      </w:r>
      <w:r w:rsidRPr="0081745D">
        <w:rPr>
          <w:rFonts w:cs="Times New Roman"/>
        </w:rPr>
        <w:t xml:space="preserve">erdicts </w:t>
      </w:r>
      <w:r w:rsidRPr="0005483A">
        <w:t>unreasonable</w:t>
      </w:r>
      <w:r w:rsidRPr="0081745D">
        <w:rPr>
          <w:rFonts w:cs="Times New Roman"/>
        </w:rPr>
        <w:t>?</w:t>
      </w:r>
    </w:p>
    <w:p w:rsidR="00BE1558" w:rsidRPr="0038105B" w:rsidRDefault="00BE1558" w:rsidP="0005483A">
      <w:pPr>
        <w:pStyle w:val="ParaNoNdepar-AltN"/>
        <w:numPr>
          <w:ilvl w:val="0"/>
          <w:numId w:val="0"/>
        </w:numPr>
        <w:tabs>
          <w:tab w:val="left" w:pos="540"/>
        </w:tabs>
        <w:ind w:left="540" w:hanging="540"/>
        <w:rPr>
          <w:rFonts w:cs="Times New Roman"/>
        </w:rPr>
      </w:pPr>
      <w:r>
        <w:rPr>
          <w:rFonts w:cs="Times New Roman"/>
        </w:rPr>
        <w:t>C.</w:t>
      </w:r>
      <w:r>
        <w:rPr>
          <w:rFonts w:cs="Times New Roman"/>
        </w:rPr>
        <w:tab/>
      </w:r>
      <w:r w:rsidRPr="0081745D">
        <w:rPr>
          <w:rFonts w:cs="Times New Roman"/>
        </w:rPr>
        <w:t xml:space="preserve">Did the Court of Appeal </w:t>
      </w:r>
      <w:r>
        <w:rPr>
          <w:rFonts w:cs="Times New Roman"/>
        </w:rPr>
        <w:t>e</w:t>
      </w:r>
      <w:r w:rsidRPr="0081745D">
        <w:rPr>
          <w:rFonts w:cs="Times New Roman"/>
        </w:rPr>
        <w:t xml:space="preserve">rr in </w:t>
      </w:r>
      <w:r>
        <w:rPr>
          <w:rFonts w:cs="Times New Roman"/>
        </w:rPr>
        <w:t>o</w:t>
      </w:r>
      <w:r w:rsidRPr="0081745D">
        <w:rPr>
          <w:rFonts w:cs="Times New Roman"/>
        </w:rPr>
        <w:t xml:space="preserve">verturning the </w:t>
      </w:r>
      <w:r>
        <w:rPr>
          <w:rFonts w:cs="Times New Roman"/>
        </w:rPr>
        <w:t>s</w:t>
      </w:r>
      <w:r w:rsidRPr="0081745D">
        <w:rPr>
          <w:rFonts w:cs="Times New Roman"/>
        </w:rPr>
        <w:t xml:space="preserve">entence </w:t>
      </w:r>
      <w:r>
        <w:rPr>
          <w:rFonts w:cs="Times New Roman"/>
        </w:rPr>
        <w:t>imposed by the t</w:t>
      </w:r>
      <w:r w:rsidRPr="0081745D">
        <w:rPr>
          <w:rFonts w:cs="Times New Roman"/>
        </w:rPr>
        <w:t xml:space="preserve">rial </w:t>
      </w:r>
      <w:r>
        <w:rPr>
          <w:rFonts w:cs="Times New Roman"/>
        </w:rPr>
        <w:t>judge and substituting a t</w:t>
      </w:r>
      <w:r w:rsidRPr="0081745D">
        <w:rPr>
          <w:rFonts w:cs="Times New Roman"/>
        </w:rPr>
        <w:t xml:space="preserve">erm of </w:t>
      </w:r>
      <w:r>
        <w:rPr>
          <w:rFonts w:cs="Times New Roman"/>
        </w:rPr>
        <w:t>l</w:t>
      </w:r>
      <w:r w:rsidRPr="0081745D">
        <w:rPr>
          <w:rFonts w:cs="Times New Roman"/>
        </w:rPr>
        <w:t xml:space="preserve">ife </w:t>
      </w:r>
      <w:r>
        <w:rPr>
          <w:rFonts w:cs="Times New Roman"/>
        </w:rPr>
        <w:t>i</w:t>
      </w:r>
      <w:r w:rsidRPr="0081745D">
        <w:rPr>
          <w:rFonts w:cs="Times New Roman"/>
        </w:rPr>
        <w:t>mprisonment?</w:t>
      </w:r>
    </w:p>
    <w:p w:rsidR="00E267BC" w:rsidRPr="0038105B" w:rsidRDefault="00E267BC" w:rsidP="00E267BC">
      <w:pPr>
        <w:pStyle w:val="ParaNoNdepar-AltN"/>
        <w:rPr>
          <w:rFonts w:cs="Times New Roman"/>
        </w:rPr>
      </w:pPr>
      <w:r w:rsidRPr="0038105B">
        <w:rPr>
          <w:rFonts w:cs="Times New Roman"/>
        </w:rPr>
        <w:lastRenderedPageBreak/>
        <w:t xml:space="preserve">The appellant challenges the constitutionality of the legislation only on one ground: that its chilling effect violates s. 2 of the </w:t>
      </w:r>
      <w:r w:rsidRPr="0038105B">
        <w:rPr>
          <w:rFonts w:cs="Times New Roman"/>
          <w:i/>
        </w:rPr>
        <w:t>Charter</w:t>
      </w:r>
      <w:r w:rsidRPr="0038105B">
        <w:rPr>
          <w:rFonts w:cs="Times New Roman"/>
        </w:rPr>
        <w:t xml:space="preserve">.  The appellants in the companion appeals also allege a violation of s. 2 of the </w:t>
      </w:r>
      <w:r w:rsidRPr="0038105B">
        <w:rPr>
          <w:rFonts w:cs="Times New Roman"/>
          <w:i/>
        </w:rPr>
        <w:t>Charter</w:t>
      </w:r>
      <w:r w:rsidRPr="0038105B">
        <w:rPr>
          <w:rFonts w:cs="Times New Roman"/>
        </w:rPr>
        <w:t xml:space="preserve">, and additionally challenge the constitutionality of s. 83.18 for </w:t>
      </w:r>
      <w:proofErr w:type="spellStart"/>
      <w:r w:rsidRPr="0038105B">
        <w:rPr>
          <w:rFonts w:cs="Times New Roman"/>
        </w:rPr>
        <w:t>overbreadth</w:t>
      </w:r>
      <w:proofErr w:type="spellEnd"/>
      <w:r w:rsidRPr="0038105B">
        <w:rPr>
          <w:rFonts w:cs="Times New Roman"/>
        </w:rPr>
        <w:t xml:space="preserve"> pursuant to s. 7 of the </w:t>
      </w:r>
      <w:r w:rsidRPr="0038105B">
        <w:rPr>
          <w:rFonts w:cs="Times New Roman"/>
          <w:i/>
        </w:rPr>
        <w:t>Charter</w:t>
      </w:r>
      <w:r w:rsidRPr="0038105B">
        <w:rPr>
          <w:rFonts w:cs="Times New Roman"/>
        </w:rPr>
        <w:t xml:space="preserve">.  </w:t>
      </w:r>
    </w:p>
    <w:p w:rsidR="00E267BC" w:rsidRPr="0038105B" w:rsidRDefault="00E267BC" w:rsidP="007A1C58">
      <w:pPr>
        <w:pStyle w:val="ParaNoNdepar-AltN"/>
        <w:numPr>
          <w:ilvl w:val="0"/>
          <w:numId w:val="0"/>
        </w:numPr>
        <w:tabs>
          <w:tab w:val="left" w:pos="567"/>
        </w:tabs>
        <w:spacing w:after="720"/>
        <w:rPr>
          <w:rFonts w:cs="Times New Roman"/>
        </w:rPr>
      </w:pPr>
      <w:r w:rsidRPr="0038105B">
        <w:rPr>
          <w:rFonts w:cs="Times New Roman"/>
        </w:rPr>
        <w:t xml:space="preserve">VI.  </w:t>
      </w:r>
      <w:r w:rsidR="007A1C58">
        <w:rPr>
          <w:rFonts w:cs="Times New Roman"/>
        </w:rPr>
        <w:tab/>
      </w:r>
      <w:r w:rsidRPr="0038105B">
        <w:rPr>
          <w:rFonts w:cs="Times New Roman"/>
          <w:u w:val="single"/>
        </w:rPr>
        <w:t>Analysis</w:t>
      </w:r>
    </w:p>
    <w:p w:rsidR="00E267BC" w:rsidRPr="0038105B" w:rsidRDefault="00A4495B" w:rsidP="007A1C58">
      <w:pPr>
        <w:pStyle w:val="TitleTitre-AltT"/>
        <w:tabs>
          <w:tab w:val="clear" w:pos="360"/>
          <w:tab w:val="left" w:pos="567"/>
        </w:tabs>
        <w:spacing w:after="720"/>
        <w:ind w:left="567" w:hanging="567"/>
        <w:rPr>
          <w:rFonts w:cs="Times New Roman"/>
        </w:rPr>
      </w:pPr>
      <w:r>
        <w:rPr>
          <w:rFonts w:cs="Times New Roman"/>
        </w:rPr>
        <w:t>A.</w:t>
      </w:r>
      <w:r w:rsidR="007A1C58">
        <w:rPr>
          <w:rFonts w:cs="Times New Roman"/>
        </w:rPr>
        <w:tab/>
      </w:r>
      <w:r w:rsidR="00E267BC" w:rsidRPr="0038105B">
        <w:rPr>
          <w:rFonts w:cs="Times New Roman"/>
          <w:i/>
        </w:rPr>
        <w:t>Constitutionality of the Provisions</w:t>
      </w:r>
    </w:p>
    <w:p w:rsidR="00E267BC" w:rsidRPr="0038105B" w:rsidRDefault="009D1DBB" w:rsidP="009D1DBB">
      <w:pPr>
        <w:pStyle w:val="ParaNoNdepar-AltN"/>
        <w:numPr>
          <w:ilvl w:val="0"/>
          <w:numId w:val="0"/>
        </w:numPr>
        <w:tabs>
          <w:tab w:val="left" w:pos="540"/>
          <w:tab w:val="left" w:pos="1170"/>
        </w:tabs>
        <w:spacing w:before="0" w:after="720" w:line="240" w:lineRule="auto"/>
        <w:ind w:left="1170" w:hanging="1170"/>
        <w:rPr>
          <w:rFonts w:cs="Times New Roman"/>
        </w:rPr>
      </w:pPr>
      <w:r>
        <w:rPr>
          <w:rFonts w:cs="Times New Roman"/>
        </w:rPr>
        <w:tab/>
      </w:r>
      <w:r w:rsidR="00E267BC" w:rsidRPr="0038105B">
        <w:rPr>
          <w:rFonts w:cs="Times New Roman"/>
        </w:rPr>
        <w:t>1.</w:t>
      </w:r>
      <w:r w:rsidR="007A1C58">
        <w:rPr>
          <w:rFonts w:cs="Times New Roman"/>
        </w:rPr>
        <w:tab/>
      </w:r>
      <w:r w:rsidR="008063B3">
        <w:rPr>
          <w:rFonts w:cs="Times New Roman"/>
          <w:u w:val="single"/>
        </w:rPr>
        <w:t>Does Section</w:t>
      </w:r>
      <w:r w:rsidR="00E267BC" w:rsidRPr="0038105B">
        <w:rPr>
          <w:rFonts w:cs="Times New Roman"/>
          <w:u w:val="single"/>
        </w:rPr>
        <w:t xml:space="preserve"> 83.18 of the </w:t>
      </w:r>
      <w:r w:rsidR="00E267BC" w:rsidRPr="0038105B">
        <w:rPr>
          <w:rFonts w:cs="Times New Roman"/>
          <w:i/>
          <w:u w:val="single"/>
        </w:rPr>
        <w:t>Criminal Code</w:t>
      </w:r>
      <w:r w:rsidR="00E267BC" w:rsidRPr="0038105B">
        <w:rPr>
          <w:rFonts w:cs="Times New Roman"/>
          <w:u w:val="single"/>
        </w:rPr>
        <w:t xml:space="preserve"> Violate Section 7 of the </w:t>
      </w:r>
      <w:r w:rsidR="00E267BC" w:rsidRPr="0038105B">
        <w:rPr>
          <w:rFonts w:cs="Times New Roman"/>
          <w:i/>
          <w:u w:val="single"/>
        </w:rPr>
        <w:t>Charter</w:t>
      </w:r>
      <w:r w:rsidR="00E267BC" w:rsidRPr="0038105B">
        <w:rPr>
          <w:rFonts w:cs="Times New Roman"/>
          <w:u w:val="single"/>
        </w:rPr>
        <w:t>?</w:t>
      </w:r>
    </w:p>
    <w:p w:rsidR="00E267BC" w:rsidRPr="0038105B" w:rsidRDefault="00E267BC" w:rsidP="00E267BC">
      <w:pPr>
        <w:pStyle w:val="ParaNoNdepar-AltN"/>
        <w:rPr>
          <w:rFonts w:cs="Times New Roman"/>
        </w:rPr>
      </w:pPr>
      <w:r w:rsidRPr="0038105B">
        <w:rPr>
          <w:rFonts w:cs="Times New Roman"/>
        </w:rPr>
        <w:t xml:space="preserve">The appellant challenged the provisions under which he was charged as unconstitutional for vagueness and </w:t>
      </w:r>
      <w:proofErr w:type="spellStart"/>
      <w:r w:rsidRPr="0038105B">
        <w:rPr>
          <w:rFonts w:cs="Times New Roman"/>
        </w:rPr>
        <w:t>overbreadth</w:t>
      </w:r>
      <w:proofErr w:type="spellEnd"/>
      <w:r w:rsidRPr="0038105B">
        <w:rPr>
          <w:rFonts w:cs="Times New Roman"/>
        </w:rPr>
        <w:t xml:space="preserve"> on a pre-trial constitutional motion. The trial judge rejected this submission and the appellant does not pursue it before this Court.  However, s. 83.18 of the </w:t>
      </w:r>
      <w:r w:rsidRPr="0038105B">
        <w:rPr>
          <w:rFonts w:cs="Times New Roman"/>
          <w:i/>
        </w:rPr>
        <w:t xml:space="preserve">Criminal Code </w:t>
      </w:r>
      <w:r w:rsidRPr="0038105B">
        <w:rPr>
          <w:rFonts w:cs="Times New Roman"/>
        </w:rPr>
        <w:t xml:space="preserve">is challenged for </w:t>
      </w:r>
      <w:proofErr w:type="spellStart"/>
      <w:r w:rsidRPr="0038105B">
        <w:rPr>
          <w:rFonts w:cs="Times New Roman"/>
        </w:rPr>
        <w:t>overbreadth</w:t>
      </w:r>
      <w:proofErr w:type="spellEnd"/>
      <w:r w:rsidRPr="0038105B">
        <w:rPr>
          <w:rFonts w:cs="Times New Roman"/>
        </w:rPr>
        <w:t xml:space="preserve"> in the companion appeals.  Since all three cases depend on the ultimate constitutionality of the legislation, I propose to consider all the constitutional arguments, including </w:t>
      </w:r>
      <w:proofErr w:type="spellStart"/>
      <w:r w:rsidRPr="0038105B">
        <w:rPr>
          <w:rFonts w:cs="Times New Roman"/>
        </w:rPr>
        <w:t>overbreadth</w:t>
      </w:r>
      <w:proofErr w:type="spellEnd"/>
      <w:r w:rsidRPr="0038105B">
        <w:rPr>
          <w:rFonts w:cs="Times New Roman"/>
        </w:rPr>
        <w:t xml:space="preserve">, in these reasons.  </w:t>
      </w:r>
    </w:p>
    <w:p w:rsidR="00E267BC" w:rsidRPr="0038105B" w:rsidRDefault="00E267BC" w:rsidP="00E267BC">
      <w:pPr>
        <w:pStyle w:val="ParaNoNdepar-AltN"/>
        <w:rPr>
          <w:rFonts w:cs="Times New Roman"/>
        </w:rPr>
      </w:pPr>
      <w:r w:rsidRPr="0038105B">
        <w:rPr>
          <w:rFonts w:cs="Times New Roman"/>
          <w:lang w:bidi="en-US"/>
        </w:rPr>
        <w:t xml:space="preserve">It is a principle of fundamental justice that criminal laws not be overbroad. Pursuant to s. 7 of the </w:t>
      </w:r>
      <w:r w:rsidRPr="0038105B">
        <w:rPr>
          <w:rFonts w:cs="Times New Roman"/>
          <w:i/>
          <w:lang w:bidi="en-US"/>
        </w:rPr>
        <w:t>Charter</w:t>
      </w:r>
      <w:r w:rsidRPr="0038105B">
        <w:rPr>
          <w:rFonts w:cs="Times New Roman"/>
          <w:lang w:bidi="en-US"/>
        </w:rPr>
        <w:t xml:space="preserve">, laws that restrict the liberty of those to whom they apply must do so in accordance with principles of fundamental justice. </w:t>
      </w:r>
      <w:r w:rsidRPr="0038105B">
        <w:rPr>
          <w:rFonts w:cs="Times New Roman"/>
          <w:lang w:bidi="en-US"/>
        </w:rPr>
        <w:lastRenderedPageBreak/>
        <w:t xml:space="preserve">Criminal laws that restrict liberty more than is necessary to accomplish their goal violate principles of fundamental justice. Such laws are overbroad.  </w:t>
      </w:r>
      <w:r w:rsidRPr="0038105B">
        <w:rPr>
          <w:rFonts w:cs="Times New Roman"/>
        </w:rPr>
        <w:t xml:space="preserve">The appellants </w:t>
      </w:r>
      <w:proofErr w:type="spellStart"/>
      <w:r w:rsidRPr="0038105B">
        <w:rPr>
          <w:rFonts w:cs="Times New Roman"/>
        </w:rPr>
        <w:t>Nadarajah</w:t>
      </w:r>
      <w:proofErr w:type="spellEnd"/>
      <w:r w:rsidRPr="0038105B">
        <w:rPr>
          <w:rFonts w:cs="Times New Roman"/>
        </w:rPr>
        <w:t xml:space="preserve"> and </w:t>
      </w:r>
      <w:proofErr w:type="spellStart"/>
      <w:r w:rsidRPr="0038105B">
        <w:rPr>
          <w:rFonts w:cs="Times New Roman"/>
        </w:rPr>
        <w:t>Sriskandarajah</w:t>
      </w:r>
      <w:proofErr w:type="spellEnd"/>
      <w:r w:rsidRPr="0038105B">
        <w:rPr>
          <w:rFonts w:cs="Times New Roman"/>
        </w:rPr>
        <w:t xml:space="preserve"> say that the combined effect of the definition of terrorist activity (s. 83.01(1)) and of the provision prohibiting participation in terrorist activity (s. 83.18) results in </w:t>
      </w:r>
      <w:proofErr w:type="spellStart"/>
      <w:r w:rsidRPr="0038105B">
        <w:rPr>
          <w:rFonts w:cs="Times New Roman"/>
        </w:rPr>
        <w:t>overbreadth</w:t>
      </w:r>
      <w:proofErr w:type="spellEnd"/>
      <w:r w:rsidRPr="0038105B">
        <w:rPr>
          <w:rFonts w:cs="Times New Roman"/>
        </w:rPr>
        <w:t xml:space="preserve">, by criminalizing conduct that creates no risk of harm and is only tenuously connected to Parliament’s objective of preventing terrorist activity. </w:t>
      </w:r>
    </w:p>
    <w:p w:rsidR="00E267BC" w:rsidRPr="0038105B" w:rsidRDefault="00E267BC" w:rsidP="00E267BC">
      <w:pPr>
        <w:pStyle w:val="ParaNoNdepar-AltN"/>
        <w:rPr>
          <w:rFonts w:cs="Times New Roman"/>
        </w:rPr>
      </w:pPr>
      <w:r w:rsidRPr="0038105B">
        <w:rPr>
          <w:rFonts w:cs="Times New Roman"/>
        </w:rPr>
        <w:t xml:space="preserve">I will first review the legal test for </w:t>
      </w:r>
      <w:proofErr w:type="spellStart"/>
      <w:r w:rsidRPr="0038105B">
        <w:rPr>
          <w:rFonts w:cs="Times New Roman"/>
        </w:rPr>
        <w:t>overbreadth</w:t>
      </w:r>
      <w:proofErr w:type="spellEnd"/>
      <w:r w:rsidRPr="0038105B">
        <w:rPr>
          <w:rFonts w:cs="Times New Roman"/>
        </w:rPr>
        <w:t>.  I will then apply this test to the definition of terrorist activity and the prohibition of participation in terrorist activity.</w:t>
      </w:r>
    </w:p>
    <w:p w:rsidR="00E267BC" w:rsidRPr="0038105B" w:rsidRDefault="007A1C58" w:rsidP="007A1C58">
      <w:pPr>
        <w:pStyle w:val="TitleTitre-AltT"/>
        <w:tabs>
          <w:tab w:val="clear" w:pos="360"/>
          <w:tab w:val="left" w:pos="567"/>
          <w:tab w:val="left" w:pos="1134"/>
        </w:tabs>
        <w:ind w:left="1134" w:hanging="1134"/>
        <w:rPr>
          <w:rFonts w:cs="Times New Roman"/>
        </w:rPr>
      </w:pPr>
      <w:r>
        <w:rPr>
          <w:rFonts w:cs="Times New Roman"/>
        </w:rPr>
        <w:tab/>
      </w:r>
      <w:r w:rsidR="00E267BC" w:rsidRPr="0038105B">
        <w:rPr>
          <w:rFonts w:cs="Times New Roman"/>
        </w:rPr>
        <w:t>(a)</w:t>
      </w:r>
      <w:r w:rsidR="00E267BC" w:rsidRPr="0038105B">
        <w:rPr>
          <w:rFonts w:cs="Times New Roman"/>
        </w:rPr>
        <w:tab/>
      </w:r>
      <w:r w:rsidR="00E267BC" w:rsidRPr="0038105B">
        <w:rPr>
          <w:rFonts w:cs="Times New Roman"/>
          <w:i/>
        </w:rPr>
        <w:t xml:space="preserve">The Test for </w:t>
      </w:r>
      <w:proofErr w:type="spellStart"/>
      <w:r w:rsidR="00E267BC" w:rsidRPr="0038105B">
        <w:rPr>
          <w:rFonts w:cs="Times New Roman"/>
          <w:i/>
        </w:rPr>
        <w:t>Overbreadth</w:t>
      </w:r>
      <w:proofErr w:type="spellEnd"/>
    </w:p>
    <w:p w:rsidR="00E267BC" w:rsidRPr="0038105B" w:rsidRDefault="00E267BC" w:rsidP="00E267BC">
      <w:pPr>
        <w:pStyle w:val="ParaNoNdepar-AltN"/>
        <w:rPr>
          <w:rFonts w:cs="Times New Roman"/>
        </w:rPr>
      </w:pPr>
      <w:r w:rsidRPr="0038105B">
        <w:rPr>
          <w:rFonts w:cs="Times New Roman"/>
        </w:rPr>
        <w:t xml:space="preserve">In </w:t>
      </w:r>
      <w:r w:rsidRPr="0038105B">
        <w:rPr>
          <w:rFonts w:cs="Times New Roman"/>
          <w:i/>
        </w:rPr>
        <w:t>R. v. Heywood</w:t>
      </w:r>
      <w:r w:rsidRPr="0038105B">
        <w:rPr>
          <w:rFonts w:cs="Times New Roman"/>
        </w:rPr>
        <w:t xml:space="preserve">, [1994] 3 S.C.R. 761, this Court explained that a law is overbroad if the state, in pursuing a legitimate objective, uses means which are broader than is necessary to accomplish that objective.   </w:t>
      </w:r>
      <w:r w:rsidRPr="0038105B">
        <w:rPr>
          <w:rFonts w:cs="Times New Roman"/>
          <w:lang w:bidi="en-US"/>
        </w:rPr>
        <w:t xml:space="preserve">In determining </w:t>
      </w:r>
      <w:proofErr w:type="spellStart"/>
      <w:r w:rsidRPr="0038105B">
        <w:rPr>
          <w:rFonts w:cs="Times New Roman"/>
          <w:lang w:bidi="en-US"/>
        </w:rPr>
        <w:t>overbreadth</w:t>
      </w:r>
      <w:proofErr w:type="spellEnd"/>
      <w:r w:rsidRPr="0038105B">
        <w:rPr>
          <w:rFonts w:cs="Times New Roman"/>
          <w:lang w:bidi="en-US"/>
        </w:rPr>
        <w:t xml:space="preserve">, a measure of deference must be paid to the means selected by the legislator.    </w:t>
      </w:r>
    </w:p>
    <w:p w:rsidR="00E267BC" w:rsidRPr="0038105B" w:rsidRDefault="00E267BC" w:rsidP="00E267BC">
      <w:pPr>
        <w:pStyle w:val="ParaNoNdepar-AltN"/>
        <w:rPr>
          <w:rFonts w:cs="Times New Roman"/>
        </w:rPr>
      </w:pPr>
      <w:r w:rsidRPr="0038105B">
        <w:rPr>
          <w:rFonts w:cs="Times New Roman"/>
        </w:rPr>
        <w:t xml:space="preserve">The appellants argue that the law is overbroad because it is grossly disproportionate to the objective it seeks to achieve. The appellants conflate </w:t>
      </w:r>
      <w:proofErr w:type="spellStart"/>
      <w:r w:rsidRPr="0038105B">
        <w:rPr>
          <w:rFonts w:cs="Times New Roman"/>
        </w:rPr>
        <w:t>overbreadth</w:t>
      </w:r>
      <w:proofErr w:type="spellEnd"/>
      <w:r w:rsidRPr="0038105B">
        <w:rPr>
          <w:rFonts w:cs="Times New Roman"/>
        </w:rPr>
        <w:t xml:space="preserve"> and gross </w:t>
      </w:r>
      <w:proofErr w:type="spellStart"/>
      <w:r w:rsidRPr="0038105B">
        <w:rPr>
          <w:rFonts w:cs="Times New Roman"/>
        </w:rPr>
        <w:t>disproportionality</w:t>
      </w:r>
      <w:proofErr w:type="spellEnd"/>
      <w:r w:rsidRPr="0038105B">
        <w:rPr>
          <w:rFonts w:cs="Times New Roman"/>
        </w:rPr>
        <w:t xml:space="preserve">. </w:t>
      </w:r>
      <w:r w:rsidRPr="0038105B">
        <w:rPr>
          <w:rFonts w:cs="Times New Roman"/>
          <w:i/>
        </w:rPr>
        <w:t xml:space="preserve">Heywood </w:t>
      </w:r>
      <w:r w:rsidRPr="0038105B">
        <w:rPr>
          <w:rFonts w:cs="Times New Roman"/>
        </w:rPr>
        <w:t xml:space="preserve">suggested that gross </w:t>
      </w:r>
      <w:proofErr w:type="spellStart"/>
      <w:r w:rsidRPr="0038105B">
        <w:rPr>
          <w:rFonts w:cs="Times New Roman"/>
        </w:rPr>
        <w:t>disproportionality</w:t>
      </w:r>
      <w:proofErr w:type="spellEnd"/>
      <w:r w:rsidRPr="0038105B">
        <w:rPr>
          <w:rFonts w:cs="Times New Roman"/>
        </w:rPr>
        <w:t xml:space="preserve"> was a concept subsumed by </w:t>
      </w:r>
      <w:proofErr w:type="spellStart"/>
      <w:r w:rsidRPr="0038105B">
        <w:rPr>
          <w:rFonts w:cs="Times New Roman"/>
        </w:rPr>
        <w:t>overbreadth</w:t>
      </w:r>
      <w:proofErr w:type="spellEnd"/>
      <w:r w:rsidRPr="0038105B">
        <w:rPr>
          <w:rFonts w:cs="Times New Roman"/>
        </w:rPr>
        <w:t xml:space="preserve">: “The effect of </w:t>
      </w:r>
      <w:proofErr w:type="spellStart"/>
      <w:r w:rsidRPr="0038105B">
        <w:rPr>
          <w:rFonts w:cs="Times New Roman"/>
        </w:rPr>
        <w:t>overbreadth</w:t>
      </w:r>
      <w:proofErr w:type="spellEnd"/>
      <w:r w:rsidRPr="0038105B">
        <w:rPr>
          <w:rFonts w:cs="Times New Roman"/>
        </w:rPr>
        <w:t xml:space="preserve"> is that in some applications the law is arbitrary or disproportionate” (p. </w:t>
      </w:r>
      <w:r w:rsidRPr="0038105B">
        <w:rPr>
          <w:rFonts w:cs="Times New Roman"/>
        </w:rPr>
        <w:lastRenderedPageBreak/>
        <w:t xml:space="preserve">793). However, gross </w:t>
      </w:r>
      <w:proofErr w:type="spellStart"/>
      <w:r w:rsidRPr="0038105B">
        <w:rPr>
          <w:rFonts w:cs="Times New Roman"/>
        </w:rPr>
        <w:t>disproportionality</w:t>
      </w:r>
      <w:proofErr w:type="spellEnd"/>
      <w:r w:rsidRPr="0038105B">
        <w:rPr>
          <w:rFonts w:cs="Times New Roman"/>
        </w:rPr>
        <w:t xml:space="preserve"> seemed to be recognized as a distinct breach of principles of fundamental justice in the marihuana case </w:t>
      </w:r>
      <w:r w:rsidRPr="0038105B">
        <w:rPr>
          <w:rFonts w:cs="Times New Roman"/>
          <w:i/>
        </w:rPr>
        <w:t>R. v. Malmo-Levine</w:t>
      </w:r>
      <w:r w:rsidRPr="0038105B">
        <w:rPr>
          <w:rFonts w:cs="Times New Roman"/>
        </w:rPr>
        <w:t xml:space="preserve">, 2003 SCC 74, [2003] 3 S.C.R. 571.  Some confusion arises from the fact that </w:t>
      </w:r>
      <w:r w:rsidRPr="0038105B">
        <w:rPr>
          <w:rFonts w:cs="Times New Roman"/>
          <w:i/>
        </w:rPr>
        <w:t>Malmo-Levine</w:t>
      </w:r>
      <w:r w:rsidRPr="0038105B">
        <w:rPr>
          <w:rFonts w:cs="Times New Roman"/>
        </w:rPr>
        <w:t xml:space="preserve">’s companion case </w:t>
      </w:r>
      <w:r w:rsidRPr="0038105B">
        <w:rPr>
          <w:rFonts w:cs="Times New Roman"/>
          <w:i/>
        </w:rPr>
        <w:t>R. v. Clay</w:t>
      </w:r>
      <w:r w:rsidRPr="0038105B">
        <w:rPr>
          <w:rFonts w:cs="Times New Roman"/>
        </w:rPr>
        <w:t xml:space="preserve">, 2003 SCC 75, [2003] 3 S.C.R. 735, could be read as suggesting that gross </w:t>
      </w:r>
      <w:proofErr w:type="spellStart"/>
      <w:r w:rsidRPr="0038105B">
        <w:rPr>
          <w:rFonts w:cs="Times New Roman"/>
        </w:rPr>
        <w:t>disproportionality</w:t>
      </w:r>
      <w:proofErr w:type="spellEnd"/>
      <w:r w:rsidRPr="0038105B">
        <w:rPr>
          <w:rFonts w:cs="Times New Roman"/>
        </w:rPr>
        <w:t xml:space="preserve"> is simply the standard by which </w:t>
      </w:r>
      <w:proofErr w:type="spellStart"/>
      <w:r w:rsidRPr="0038105B">
        <w:rPr>
          <w:rFonts w:cs="Times New Roman"/>
        </w:rPr>
        <w:t>overbreadth</w:t>
      </w:r>
      <w:proofErr w:type="spellEnd"/>
      <w:r w:rsidRPr="0038105B">
        <w:rPr>
          <w:rFonts w:cs="Times New Roman"/>
        </w:rPr>
        <w:t xml:space="preserve"> is measured. Indeed, this Court wrote in </w:t>
      </w:r>
      <w:r w:rsidRPr="0038105B">
        <w:rPr>
          <w:rFonts w:cs="Times New Roman"/>
          <w:i/>
        </w:rPr>
        <w:t>Clay</w:t>
      </w:r>
      <w:r w:rsidRPr="0038105B">
        <w:rPr>
          <w:rFonts w:cs="Times New Roman"/>
        </w:rPr>
        <w:t xml:space="preserve"> that “[o]</w:t>
      </w:r>
      <w:proofErr w:type="spellStart"/>
      <w:r w:rsidRPr="0038105B">
        <w:rPr>
          <w:rFonts w:cs="Times New Roman"/>
        </w:rPr>
        <w:t>verbreadth</w:t>
      </w:r>
      <w:proofErr w:type="spellEnd"/>
      <w:r w:rsidRPr="0038105B">
        <w:rPr>
          <w:rFonts w:cs="Times New Roman"/>
        </w:rPr>
        <w:t xml:space="preserve"> .</w:t>
      </w:r>
      <w:r w:rsidR="008063B3">
        <w:t xml:space="preserve"> </w:t>
      </w:r>
      <w:r w:rsidRPr="0038105B">
        <w:rPr>
          <w:rFonts w:cs="Times New Roman"/>
        </w:rPr>
        <w:t>.</w:t>
      </w:r>
      <w:r w:rsidR="008063B3">
        <w:rPr>
          <w:rFonts w:cs="Times New Roman"/>
        </w:rPr>
        <w:t xml:space="preserve"> </w:t>
      </w:r>
      <w:r w:rsidRPr="0038105B">
        <w:rPr>
          <w:rFonts w:cs="Times New Roman"/>
        </w:rPr>
        <w:t xml:space="preserve">. addresses the potential infringement of fundamental justice where the adverse effect of a legislative measure on the individuals subject to its strictures is </w:t>
      </w:r>
      <w:r w:rsidRPr="0038105B">
        <w:rPr>
          <w:rFonts w:cs="Times New Roman"/>
          <w:i/>
        </w:rPr>
        <w:t xml:space="preserve">grossly </w:t>
      </w:r>
      <w:r w:rsidRPr="0038105B">
        <w:rPr>
          <w:rFonts w:cs="Times New Roman"/>
        </w:rPr>
        <w:t>disproportionate to the state interest the legislation seeks to protect” (</w:t>
      </w:r>
      <w:proofErr w:type="spellStart"/>
      <w:r w:rsidRPr="0038105B">
        <w:rPr>
          <w:rFonts w:cs="Times New Roman"/>
        </w:rPr>
        <w:t>para</w:t>
      </w:r>
      <w:proofErr w:type="spellEnd"/>
      <w:r w:rsidRPr="0038105B">
        <w:rPr>
          <w:rFonts w:cs="Times New Roman"/>
        </w:rPr>
        <w:t>. 38 (emphasis in original)).</w:t>
      </w:r>
    </w:p>
    <w:p w:rsidR="00E267BC" w:rsidRPr="0038105B" w:rsidRDefault="00E267BC" w:rsidP="00E267BC">
      <w:pPr>
        <w:pStyle w:val="ParaNoNdepar-AltN"/>
        <w:rPr>
          <w:rFonts w:cs="Times New Roman"/>
        </w:rPr>
      </w:pPr>
      <w:r w:rsidRPr="0038105B">
        <w:rPr>
          <w:rFonts w:cs="Times New Roman"/>
        </w:rPr>
        <w:t xml:space="preserve">The authorities continue to suggest that </w:t>
      </w:r>
      <w:proofErr w:type="spellStart"/>
      <w:r w:rsidRPr="0038105B">
        <w:rPr>
          <w:rFonts w:cs="Times New Roman"/>
        </w:rPr>
        <w:t>overbrea</w:t>
      </w:r>
      <w:r w:rsidR="008063B3">
        <w:rPr>
          <w:rFonts w:cs="Times New Roman"/>
        </w:rPr>
        <w:t>d</w:t>
      </w:r>
      <w:r w:rsidRPr="0038105B">
        <w:rPr>
          <w:rFonts w:cs="Times New Roman"/>
        </w:rPr>
        <w:t>th</w:t>
      </w:r>
      <w:proofErr w:type="spellEnd"/>
      <w:r w:rsidRPr="0038105B">
        <w:rPr>
          <w:rFonts w:cs="Times New Roman"/>
        </w:rPr>
        <w:t xml:space="preserve"> and gross </w:t>
      </w:r>
      <w:proofErr w:type="spellStart"/>
      <w:r w:rsidRPr="0038105B">
        <w:rPr>
          <w:rFonts w:cs="Times New Roman"/>
        </w:rPr>
        <w:t>disproportionality</w:t>
      </w:r>
      <w:proofErr w:type="spellEnd"/>
      <w:r w:rsidRPr="0038105B">
        <w:rPr>
          <w:rFonts w:cs="Times New Roman"/>
        </w:rPr>
        <w:t xml:space="preserve"> are </w:t>
      </w:r>
      <w:r w:rsidR="007A1C58">
        <w:rPr>
          <w:rFonts w:cs="Times New Roman"/>
        </w:rPr>
        <w:t>—</w:t>
      </w:r>
      <w:r w:rsidRPr="0038105B">
        <w:rPr>
          <w:rFonts w:cs="Times New Roman"/>
        </w:rPr>
        <w:t xml:space="preserve"> at least analytically </w:t>
      </w:r>
      <w:r w:rsidR="007A1C58">
        <w:rPr>
          <w:rFonts w:cs="Times New Roman"/>
        </w:rPr>
        <w:t>—</w:t>
      </w:r>
      <w:r w:rsidRPr="0038105B">
        <w:rPr>
          <w:rFonts w:cs="Times New Roman"/>
        </w:rPr>
        <w:t xml:space="preserve"> distinct. Indeed, Professor Hogg refers to gross </w:t>
      </w:r>
      <w:proofErr w:type="spellStart"/>
      <w:r w:rsidRPr="0038105B">
        <w:rPr>
          <w:rFonts w:cs="Times New Roman"/>
        </w:rPr>
        <w:t>disproportionality</w:t>
      </w:r>
      <w:proofErr w:type="spellEnd"/>
      <w:r w:rsidRPr="0038105B">
        <w:rPr>
          <w:rFonts w:cs="Times New Roman"/>
        </w:rPr>
        <w:t xml:space="preserve"> as the “sister” doctrine of </w:t>
      </w:r>
      <w:proofErr w:type="spellStart"/>
      <w:r w:rsidRPr="0038105B">
        <w:rPr>
          <w:rFonts w:cs="Times New Roman"/>
        </w:rPr>
        <w:t>overbreadth</w:t>
      </w:r>
      <w:proofErr w:type="spellEnd"/>
      <w:r w:rsidRPr="0038105B">
        <w:rPr>
          <w:rFonts w:cs="Times New Roman"/>
        </w:rPr>
        <w:t xml:space="preserve"> (P. W. Hogg, </w:t>
      </w:r>
      <w:r w:rsidRPr="0038105B">
        <w:rPr>
          <w:rFonts w:cs="Times New Roman"/>
          <w:i/>
        </w:rPr>
        <w:t>Constitutional Law of Canada</w:t>
      </w:r>
      <w:r w:rsidRPr="0038105B">
        <w:rPr>
          <w:rFonts w:cs="Times New Roman"/>
        </w:rPr>
        <w:t xml:space="preserve"> (5th ed. Supp.), vol. 2, at p. 47-58). Further, in </w:t>
      </w:r>
      <w:r w:rsidRPr="0038105B">
        <w:rPr>
          <w:rFonts w:cs="Times New Roman"/>
          <w:i/>
        </w:rPr>
        <w:t>Canada (Attorney General) v. PHS Community Services Society</w:t>
      </w:r>
      <w:r w:rsidRPr="0038105B">
        <w:rPr>
          <w:rFonts w:cs="Times New Roman"/>
        </w:rPr>
        <w:t>,</w:t>
      </w:r>
      <w:r w:rsidRPr="0038105B">
        <w:rPr>
          <w:rFonts w:cs="Times New Roman"/>
          <w:i/>
        </w:rPr>
        <w:t xml:space="preserve"> </w:t>
      </w:r>
      <w:r w:rsidRPr="0038105B">
        <w:rPr>
          <w:rFonts w:cs="Times New Roman"/>
        </w:rPr>
        <w:t>2011 SCC 44,</w:t>
      </w:r>
      <w:r w:rsidRPr="0038105B">
        <w:rPr>
          <w:rFonts w:cs="Times New Roman"/>
          <w:i/>
        </w:rPr>
        <w:t xml:space="preserve"> </w:t>
      </w:r>
      <w:r w:rsidRPr="0038105B">
        <w:rPr>
          <w:rFonts w:cs="Times New Roman"/>
        </w:rPr>
        <w:t xml:space="preserve">[2011] 3 S.C.R. 134, this Court considered </w:t>
      </w:r>
      <w:proofErr w:type="spellStart"/>
      <w:r w:rsidRPr="0038105B">
        <w:rPr>
          <w:rFonts w:cs="Times New Roman"/>
        </w:rPr>
        <w:t>overbreadth</w:t>
      </w:r>
      <w:proofErr w:type="spellEnd"/>
      <w:r w:rsidRPr="0038105B">
        <w:rPr>
          <w:rFonts w:cs="Times New Roman"/>
        </w:rPr>
        <w:t xml:space="preserve"> and gross </w:t>
      </w:r>
      <w:proofErr w:type="spellStart"/>
      <w:r w:rsidRPr="0038105B">
        <w:rPr>
          <w:rFonts w:cs="Times New Roman"/>
        </w:rPr>
        <w:t>disproportionality</w:t>
      </w:r>
      <w:proofErr w:type="spellEnd"/>
      <w:r w:rsidRPr="0038105B">
        <w:rPr>
          <w:rFonts w:cs="Times New Roman"/>
        </w:rPr>
        <w:t xml:space="preserve"> under separate headings (</w:t>
      </w:r>
      <w:proofErr w:type="spellStart"/>
      <w:r w:rsidRPr="0038105B">
        <w:rPr>
          <w:rFonts w:cs="Times New Roman"/>
        </w:rPr>
        <w:t>paras</w:t>
      </w:r>
      <w:proofErr w:type="spellEnd"/>
      <w:r w:rsidRPr="0038105B">
        <w:rPr>
          <w:rFonts w:cs="Times New Roman"/>
        </w:rPr>
        <w:t>. 133-35).</w:t>
      </w:r>
    </w:p>
    <w:p w:rsidR="00E267BC" w:rsidRPr="0038105B" w:rsidRDefault="00E267BC" w:rsidP="00E267BC">
      <w:pPr>
        <w:pStyle w:val="ParaNoNdepar-AltN"/>
        <w:tabs>
          <w:tab w:val="left" w:pos="90"/>
        </w:tabs>
        <w:rPr>
          <w:rFonts w:cs="Times New Roman"/>
        </w:rPr>
      </w:pPr>
      <w:r w:rsidRPr="0038105B">
        <w:rPr>
          <w:rFonts w:cs="Times New Roman"/>
        </w:rPr>
        <w:t xml:space="preserve">For the purposes of this appeal, I need not decide whether </w:t>
      </w:r>
      <w:proofErr w:type="spellStart"/>
      <w:r w:rsidRPr="0038105B">
        <w:rPr>
          <w:rFonts w:cs="Times New Roman"/>
        </w:rPr>
        <w:t>overbrea</w:t>
      </w:r>
      <w:r w:rsidR="008063B3">
        <w:rPr>
          <w:rFonts w:cs="Times New Roman"/>
        </w:rPr>
        <w:t>d</w:t>
      </w:r>
      <w:r w:rsidRPr="0038105B">
        <w:rPr>
          <w:rFonts w:cs="Times New Roman"/>
        </w:rPr>
        <w:t>th</w:t>
      </w:r>
      <w:proofErr w:type="spellEnd"/>
      <w:r w:rsidRPr="0038105B">
        <w:rPr>
          <w:rFonts w:cs="Times New Roman"/>
        </w:rPr>
        <w:t xml:space="preserve"> and gross </w:t>
      </w:r>
      <w:proofErr w:type="spellStart"/>
      <w:r w:rsidRPr="0038105B">
        <w:rPr>
          <w:rFonts w:cs="Times New Roman"/>
        </w:rPr>
        <w:t>disproportionality</w:t>
      </w:r>
      <w:proofErr w:type="spellEnd"/>
      <w:r w:rsidRPr="0038105B">
        <w:rPr>
          <w:rFonts w:cs="Times New Roman"/>
        </w:rPr>
        <w:t xml:space="preserve"> are distinct constitutional doctrines. Certainly, these concepts are interrelated, although they may simply offer different lenses through which to consider a single breach of the principles of fundamental justice. </w:t>
      </w:r>
      <w:proofErr w:type="spellStart"/>
      <w:r w:rsidRPr="0038105B">
        <w:rPr>
          <w:rFonts w:cs="Times New Roman"/>
        </w:rPr>
        <w:lastRenderedPageBreak/>
        <w:t>Overbreadth</w:t>
      </w:r>
      <w:proofErr w:type="spellEnd"/>
      <w:r w:rsidRPr="0038105B">
        <w:rPr>
          <w:rFonts w:cs="Times New Roman"/>
        </w:rPr>
        <w:t xml:space="preserve"> occurs when the means selected by the legislator are broader than necessary to achieve the state objective, and gross </w:t>
      </w:r>
      <w:proofErr w:type="spellStart"/>
      <w:r w:rsidRPr="0038105B">
        <w:rPr>
          <w:rFonts w:cs="Times New Roman"/>
        </w:rPr>
        <w:t>disproportionality</w:t>
      </w:r>
      <w:proofErr w:type="spellEnd"/>
      <w:r w:rsidRPr="0038105B">
        <w:rPr>
          <w:rFonts w:cs="Times New Roman"/>
        </w:rPr>
        <w:t xml:space="preserve"> occurs when state actions or legislative responses to a problem are “so extreme as to be disproportionate to any legitimate government interest”: </w:t>
      </w:r>
      <w:r w:rsidRPr="0038105B">
        <w:rPr>
          <w:rFonts w:cs="Times New Roman"/>
          <w:i/>
        </w:rPr>
        <w:t>PHS Community Services Society</w:t>
      </w:r>
      <w:r w:rsidR="008063B3">
        <w:rPr>
          <w:rFonts w:cs="Times New Roman"/>
        </w:rPr>
        <w:t xml:space="preserve">, at </w:t>
      </w:r>
      <w:proofErr w:type="spellStart"/>
      <w:r w:rsidR="008063B3">
        <w:rPr>
          <w:rFonts w:cs="Times New Roman"/>
        </w:rPr>
        <w:t>para</w:t>
      </w:r>
      <w:proofErr w:type="spellEnd"/>
      <w:r w:rsidR="008063B3">
        <w:rPr>
          <w:rFonts w:cs="Times New Roman"/>
        </w:rPr>
        <w:t>. 133</w:t>
      </w:r>
      <w:r w:rsidRPr="0038105B">
        <w:rPr>
          <w:rFonts w:cs="Times New Roman"/>
        </w:rPr>
        <w:t xml:space="preserve">; see also </w:t>
      </w:r>
      <w:r w:rsidRPr="0038105B">
        <w:rPr>
          <w:rFonts w:cs="Times New Roman"/>
          <w:i/>
        </w:rPr>
        <w:t>Malmo-Levine</w:t>
      </w:r>
      <w:r w:rsidRPr="0038105B">
        <w:rPr>
          <w:rFonts w:cs="Times New Roman"/>
        </w:rPr>
        <w:t xml:space="preserve">, at </w:t>
      </w:r>
      <w:proofErr w:type="spellStart"/>
      <w:r w:rsidRPr="0038105B">
        <w:rPr>
          <w:rFonts w:cs="Times New Roman"/>
        </w:rPr>
        <w:t>para</w:t>
      </w:r>
      <w:proofErr w:type="spellEnd"/>
      <w:r w:rsidRPr="0038105B">
        <w:rPr>
          <w:rFonts w:cs="Times New Roman"/>
        </w:rPr>
        <w:t>. 143.  In order to address the appellants’ s. 7 co</w:t>
      </w:r>
      <w:r w:rsidR="008063B3">
        <w:rPr>
          <w:rFonts w:cs="Times New Roman"/>
        </w:rPr>
        <w:t>nstitutional challenge, I will</w:t>
      </w:r>
      <w:r w:rsidRPr="0038105B">
        <w:rPr>
          <w:rFonts w:cs="Times New Roman"/>
        </w:rPr>
        <w:t xml:space="preserve"> (</w:t>
      </w:r>
      <w:r w:rsidR="008063B3">
        <w:rPr>
          <w:rFonts w:cs="Times New Roman"/>
        </w:rPr>
        <w:t>1) examine the scope of the law</w:t>
      </w:r>
      <w:r w:rsidRPr="0038105B">
        <w:rPr>
          <w:rFonts w:cs="Times New Roman"/>
        </w:rPr>
        <w:t xml:space="preserve"> (2) det</w:t>
      </w:r>
      <w:r w:rsidR="008063B3">
        <w:rPr>
          <w:rFonts w:cs="Times New Roman"/>
        </w:rPr>
        <w:t>ermine the objective of the law</w:t>
      </w:r>
      <w:r w:rsidRPr="0038105B">
        <w:rPr>
          <w:rFonts w:cs="Times New Roman"/>
        </w:rPr>
        <w:t xml:space="preserve"> and (3) ask whether the means selected by the law are broader than necessary to achieve the state objective and whether the impact of the law is grossly disproportionate to that objective</w:t>
      </w:r>
      <w:r w:rsidRPr="0038105B">
        <w:rPr>
          <w:rFonts w:cs="Times New Roman"/>
          <w:i/>
        </w:rPr>
        <w:t xml:space="preserve">. </w:t>
      </w:r>
      <w:r w:rsidRPr="0038105B">
        <w:rPr>
          <w:rFonts w:cs="Times New Roman"/>
        </w:rPr>
        <w:t xml:space="preserve">Thus, I will examine both </w:t>
      </w:r>
      <w:proofErr w:type="spellStart"/>
      <w:r w:rsidRPr="0038105B">
        <w:rPr>
          <w:rFonts w:cs="Times New Roman"/>
        </w:rPr>
        <w:t>overbreadth</w:t>
      </w:r>
      <w:proofErr w:type="spellEnd"/>
      <w:r w:rsidRPr="0038105B">
        <w:rPr>
          <w:rFonts w:cs="Times New Roman"/>
        </w:rPr>
        <w:t xml:space="preserve"> and gross </w:t>
      </w:r>
      <w:proofErr w:type="spellStart"/>
      <w:r w:rsidRPr="0038105B">
        <w:rPr>
          <w:rFonts w:cs="Times New Roman"/>
        </w:rPr>
        <w:t>disproportionality</w:t>
      </w:r>
      <w:proofErr w:type="spellEnd"/>
      <w:r w:rsidRPr="0038105B">
        <w:rPr>
          <w:rFonts w:cs="Times New Roman"/>
        </w:rPr>
        <w:t xml:space="preserve"> in a single step, without however deciding whether they are distinct constitutional doctrines.</w:t>
      </w:r>
    </w:p>
    <w:p w:rsidR="00E267BC" w:rsidRPr="0038105B" w:rsidRDefault="007A1C58" w:rsidP="007A1C58">
      <w:pPr>
        <w:pStyle w:val="ParaNoNdepar-AltN"/>
        <w:numPr>
          <w:ilvl w:val="0"/>
          <w:numId w:val="0"/>
        </w:numPr>
        <w:tabs>
          <w:tab w:val="left" w:pos="567"/>
          <w:tab w:val="left" w:pos="1134"/>
        </w:tabs>
        <w:ind w:left="1134" w:hanging="1134"/>
        <w:rPr>
          <w:rFonts w:cs="Times New Roman"/>
        </w:rPr>
      </w:pPr>
      <w:r>
        <w:rPr>
          <w:rFonts w:cs="Times New Roman"/>
        </w:rPr>
        <w:tab/>
      </w:r>
      <w:r w:rsidR="00E267BC" w:rsidRPr="0038105B">
        <w:rPr>
          <w:rFonts w:cs="Times New Roman"/>
        </w:rPr>
        <w:t>(b)</w:t>
      </w:r>
      <w:r w:rsidR="00E267BC" w:rsidRPr="0038105B">
        <w:rPr>
          <w:rFonts w:cs="Times New Roman"/>
        </w:rPr>
        <w:tab/>
      </w:r>
      <w:r w:rsidR="00E267BC" w:rsidRPr="0038105B">
        <w:rPr>
          <w:rFonts w:cs="Times New Roman"/>
          <w:i/>
        </w:rPr>
        <w:t>The Scope of the Law</w:t>
      </w:r>
    </w:p>
    <w:p w:rsidR="00E267BC" w:rsidRPr="0038105B" w:rsidRDefault="00E267BC" w:rsidP="00E267BC">
      <w:pPr>
        <w:pStyle w:val="ParaNoNdepar-AltN"/>
        <w:rPr>
          <w:rFonts w:cs="Times New Roman"/>
        </w:rPr>
      </w:pPr>
      <w:r w:rsidRPr="0038105B">
        <w:rPr>
          <w:rFonts w:cs="Times New Roman"/>
        </w:rPr>
        <w:t xml:space="preserve">Section 83.18(1) criminalizes participation in or contributions to the activities of a terrorist group.  It requires for conviction that the accused (a) knowingly (b) participate in or contribute to, (c) directly or indirectly, (d) any activity of a terrorist group, (e) for the purpose of enhancing the ability of any terrorist group to facilitate or carry out a terrorist activity.  Subsection (2) specifies that, in order to secure a conviction, the Crown does not have to prove that (a) the terrorist group actually facilitated or carried out a terrorist activity, that (b) the </w:t>
      </w:r>
      <w:proofErr w:type="spellStart"/>
      <w:r w:rsidRPr="0038105B">
        <w:rPr>
          <w:rFonts w:cs="Times New Roman"/>
        </w:rPr>
        <w:t>accused’s</w:t>
      </w:r>
      <w:proofErr w:type="spellEnd"/>
      <w:r w:rsidRPr="0038105B">
        <w:rPr>
          <w:rFonts w:cs="Times New Roman"/>
        </w:rPr>
        <w:t xml:space="preserve"> acts actually enhanced the ability of a terrorist group to do so, or that (c) the accused knew the specific nature of any terrorist activity facilitated or carried out by a terrorist </w:t>
      </w:r>
      <w:r w:rsidRPr="0038105B">
        <w:rPr>
          <w:rFonts w:cs="Times New Roman"/>
        </w:rPr>
        <w:lastRenderedPageBreak/>
        <w:t xml:space="preserve">group. As the Ontario Court of Appeal found in </w:t>
      </w:r>
      <w:r w:rsidRPr="0038105B">
        <w:rPr>
          <w:rFonts w:cs="Times New Roman"/>
          <w:i/>
        </w:rPr>
        <w:t xml:space="preserve">United States of America v. </w:t>
      </w:r>
      <w:proofErr w:type="spellStart"/>
      <w:r w:rsidRPr="0038105B">
        <w:rPr>
          <w:rFonts w:cs="Times New Roman"/>
          <w:i/>
        </w:rPr>
        <w:t>Nadarajah</w:t>
      </w:r>
      <w:proofErr w:type="spellEnd"/>
      <w:r w:rsidR="008063B3">
        <w:rPr>
          <w:rFonts w:cs="Times New Roman"/>
          <w:i/>
        </w:rPr>
        <w:t xml:space="preserve"> (No. 1)</w:t>
      </w:r>
      <w:r w:rsidRPr="0038105B">
        <w:rPr>
          <w:rFonts w:cs="Times New Roman"/>
        </w:rPr>
        <w:t>, 2010 ONCA 85</w:t>
      </w:r>
      <w:r w:rsidR="008063B3">
        <w:rPr>
          <w:rFonts w:cs="Times New Roman"/>
        </w:rPr>
        <w:t>9, 109 O.R. (3d) 662</w:t>
      </w:r>
      <w:r w:rsidRPr="0038105B">
        <w:rPr>
          <w:rFonts w:cs="Times New Roman"/>
        </w:rPr>
        <w:t>:</w:t>
      </w:r>
    </w:p>
    <w:p w:rsidR="00E267BC" w:rsidRPr="0038105B" w:rsidRDefault="009D1DBB" w:rsidP="00790A32">
      <w:pPr>
        <w:pStyle w:val="ParaNoNdepar-AltN"/>
        <w:numPr>
          <w:ilvl w:val="0"/>
          <w:numId w:val="0"/>
        </w:numPr>
        <w:tabs>
          <w:tab w:val="left" w:pos="1170"/>
          <w:tab w:val="left" w:pos="1620"/>
        </w:tabs>
        <w:spacing w:before="0" w:after="720" w:line="240" w:lineRule="auto"/>
        <w:ind w:left="1170" w:hanging="1170"/>
        <w:rPr>
          <w:rFonts w:cs="Times New Roman"/>
        </w:rPr>
      </w:pPr>
      <w:r>
        <w:rPr>
          <w:rFonts w:cs="Times New Roman"/>
        </w:rPr>
        <w:tab/>
      </w:r>
      <w:r w:rsidR="00790A32">
        <w:rPr>
          <w:rFonts w:cs="Times New Roman"/>
        </w:rPr>
        <w:tab/>
      </w:r>
      <w:r w:rsidR="008063B3">
        <w:rPr>
          <w:rFonts w:cs="Times New Roman"/>
        </w:rPr>
        <w:t xml:space="preserve">. . . </w:t>
      </w:r>
      <w:r w:rsidR="00E267BC" w:rsidRPr="0038105B">
        <w:rPr>
          <w:rFonts w:cs="Times New Roman"/>
        </w:rPr>
        <w:t>s. 83.18 applies to persons who, by their acts, contribute to or partici</w:t>
      </w:r>
      <w:r w:rsidR="008063B3">
        <w:rPr>
          <w:rFonts w:cs="Times New Roman"/>
        </w:rPr>
        <w:t xml:space="preserve">pate in what they know to be </w:t>
      </w:r>
      <w:r w:rsidR="00E267BC" w:rsidRPr="0038105B">
        <w:rPr>
          <w:rFonts w:cs="Times New Roman"/>
        </w:rPr>
        <w:t>activities of what they know to be a terrorist group.  In addition, those acts must be done for the specific purpose of enhancing the ability of that terrorist group to facilitate or carry out activity that falls within the definition of terrorist activity. [</w:t>
      </w:r>
      <w:proofErr w:type="spellStart"/>
      <w:r w:rsidR="00E267BC" w:rsidRPr="0038105B">
        <w:rPr>
          <w:rFonts w:cs="Times New Roman"/>
        </w:rPr>
        <w:t>para</w:t>
      </w:r>
      <w:proofErr w:type="spellEnd"/>
      <w:r w:rsidR="00E267BC" w:rsidRPr="0038105B">
        <w:rPr>
          <w:rFonts w:cs="Times New Roman"/>
        </w:rPr>
        <w:t>. 28]</w:t>
      </w:r>
    </w:p>
    <w:p w:rsidR="00E267BC" w:rsidRPr="0038105B" w:rsidRDefault="00E267BC" w:rsidP="00E267BC">
      <w:pPr>
        <w:pStyle w:val="ParaNoNdepar-AltN"/>
        <w:rPr>
          <w:rFonts w:cs="Times New Roman"/>
        </w:rPr>
      </w:pPr>
      <w:r w:rsidRPr="0038105B">
        <w:rPr>
          <w:rFonts w:cs="Times New Roman"/>
        </w:rPr>
        <w:t>The appellants argue that s. 83.18 is overbroad because it captures conduct that does not contribute materially to the creation of a risk of terrorism, such as direct and indirect participation in legitimate, innocent and charitable activities carried out by a terrorist group.  They contend that, “[</w:t>
      </w:r>
      <w:proofErr w:type="spellStart"/>
      <w:r w:rsidRPr="0038105B">
        <w:rPr>
          <w:rFonts w:cs="Times New Roman"/>
        </w:rPr>
        <w:t>i</w:t>
      </w:r>
      <w:proofErr w:type="spellEnd"/>
      <w:r w:rsidRPr="0038105B">
        <w:rPr>
          <w:rFonts w:cs="Times New Roman"/>
        </w:rPr>
        <w:t>]n the absence of some explicit di</w:t>
      </w:r>
      <w:r w:rsidR="008063B3">
        <w:rPr>
          <w:rFonts w:cs="Times New Roman"/>
        </w:rPr>
        <w:t>sa</w:t>
      </w:r>
      <w:r w:rsidRPr="0038105B">
        <w:rPr>
          <w:rFonts w:cs="Times New Roman"/>
        </w:rPr>
        <w:t xml:space="preserve">ssociation from the group’s terrorist ideology, participating in </w:t>
      </w:r>
      <w:r w:rsidRPr="0038105B">
        <w:rPr>
          <w:rFonts w:cs="Times New Roman"/>
          <w:u w:val="single"/>
        </w:rPr>
        <w:t>any activity</w:t>
      </w:r>
      <w:r w:rsidRPr="0038105B">
        <w:rPr>
          <w:rFonts w:cs="Times New Roman"/>
        </w:rPr>
        <w:t xml:space="preserve"> of the group could be viewed as intending to enhance the group’s abilities to carry out terrorist activities” (</w:t>
      </w:r>
      <w:proofErr w:type="spellStart"/>
      <w:r w:rsidRPr="0038105B">
        <w:rPr>
          <w:rFonts w:cs="Times New Roman"/>
        </w:rPr>
        <w:t>Nadarajah</w:t>
      </w:r>
      <w:proofErr w:type="spellEnd"/>
      <w:r w:rsidRPr="0038105B">
        <w:rPr>
          <w:rFonts w:cs="Times New Roman"/>
        </w:rPr>
        <w:t xml:space="preserve"> factum, at </w:t>
      </w:r>
      <w:proofErr w:type="spellStart"/>
      <w:r w:rsidRPr="0038105B">
        <w:rPr>
          <w:rFonts w:cs="Times New Roman"/>
        </w:rPr>
        <w:t>para</w:t>
      </w:r>
      <w:proofErr w:type="spellEnd"/>
      <w:r w:rsidRPr="0038105B">
        <w:rPr>
          <w:rFonts w:cs="Times New Roman"/>
        </w:rPr>
        <w:t xml:space="preserve">. 35 (emphasis added)).  Thus, innocent individuals, who may or may not sympathize with the cause of a terrorist group, could be convicted under s. 83.18 purely on the basis of attending a visibility-enhancing event held by the charitable arm of a group that also engages in terrorist activity. Professor Roach has opined that even lawyers and doctors who legitimately provide their professional services to a known terrorist could be convicted under s. 83.18:  see K. Roach, “The New Terrorism Offences and the Criminal Law”, in R. J. Daniels, P. </w:t>
      </w:r>
      <w:proofErr w:type="spellStart"/>
      <w:r w:rsidRPr="0038105B">
        <w:rPr>
          <w:rFonts w:cs="Times New Roman"/>
        </w:rPr>
        <w:t>Macklem</w:t>
      </w:r>
      <w:proofErr w:type="spellEnd"/>
      <w:r w:rsidRPr="0038105B">
        <w:rPr>
          <w:rFonts w:cs="Times New Roman"/>
        </w:rPr>
        <w:t xml:space="preserve"> and K. Roach, eds., </w:t>
      </w:r>
      <w:r w:rsidRPr="0038105B">
        <w:rPr>
          <w:rFonts w:cs="Times New Roman"/>
          <w:i/>
        </w:rPr>
        <w:t>The Security of Freedom:</w:t>
      </w:r>
      <w:r w:rsidRPr="0038105B">
        <w:rPr>
          <w:rFonts w:cs="Times New Roman"/>
        </w:rPr>
        <w:t xml:space="preserve"> </w:t>
      </w:r>
      <w:r w:rsidRPr="0038105B">
        <w:rPr>
          <w:rFonts w:cs="Times New Roman"/>
          <w:i/>
        </w:rPr>
        <w:t>Essays on Canada’s Anti-Terrorism Bill</w:t>
      </w:r>
      <w:r w:rsidRPr="0038105B">
        <w:rPr>
          <w:rFonts w:cs="Times New Roman"/>
        </w:rPr>
        <w:t xml:space="preserve"> (2001), 151, at p. 161. According to the appellants, these scenarios demonstrate that the law is overbroad.</w:t>
      </w:r>
    </w:p>
    <w:p w:rsidR="00E267BC" w:rsidRPr="0038105B" w:rsidRDefault="00E267BC" w:rsidP="00E267BC">
      <w:pPr>
        <w:pStyle w:val="ParaNoNdepar-AltN"/>
        <w:rPr>
          <w:rFonts w:cs="Times New Roman"/>
        </w:rPr>
      </w:pPr>
      <w:r w:rsidRPr="0038105B">
        <w:rPr>
          <w:rFonts w:cs="Times New Roman"/>
        </w:rPr>
        <w:lastRenderedPageBreak/>
        <w:t xml:space="preserve">The first step in assessing the validity of this argument is to interpret s. 83.18 to determine its true scope:  </w:t>
      </w:r>
      <w:r w:rsidRPr="0038105B">
        <w:rPr>
          <w:rFonts w:cs="Times New Roman"/>
          <w:i/>
        </w:rPr>
        <w:t>Ontario v. Canadian Pacific Ltd.</w:t>
      </w:r>
      <w:r w:rsidRPr="0038105B">
        <w:rPr>
          <w:rFonts w:cs="Times New Roman"/>
        </w:rPr>
        <w:t xml:space="preserve">, [1995] 2 S.C.R. 1031, </w:t>
      </w:r>
      <w:r w:rsidRPr="0038105B">
        <w:rPr>
          <w:rFonts w:cs="Times New Roman"/>
          <w:i/>
        </w:rPr>
        <w:t>per</w:t>
      </w:r>
      <w:r w:rsidRPr="0038105B">
        <w:rPr>
          <w:rFonts w:cs="Times New Roman"/>
        </w:rPr>
        <w:t xml:space="preserve"> Lamer C.J., at </w:t>
      </w:r>
      <w:proofErr w:type="spellStart"/>
      <w:r w:rsidRPr="0038105B">
        <w:rPr>
          <w:rFonts w:cs="Times New Roman"/>
        </w:rPr>
        <w:t>para</w:t>
      </w:r>
      <w:proofErr w:type="spellEnd"/>
      <w:r w:rsidRPr="0038105B">
        <w:rPr>
          <w:rFonts w:cs="Times New Roman"/>
        </w:rPr>
        <w:t>. 10.</w:t>
      </w:r>
    </w:p>
    <w:p w:rsidR="00E267BC" w:rsidRPr="0038105B" w:rsidRDefault="00E267BC" w:rsidP="00E267BC">
      <w:pPr>
        <w:pStyle w:val="ParaNoNdepar-AltN"/>
        <w:rPr>
          <w:rFonts w:eastAsia="Times New Roman" w:cs="Times New Roman"/>
          <w:szCs w:val="24"/>
          <w:lang w:eastAsia="en-CA"/>
        </w:rPr>
      </w:pPr>
      <w:r w:rsidRPr="0038105B">
        <w:rPr>
          <w:rFonts w:eastAsia="Times New Roman" w:cs="Times New Roman"/>
          <w:szCs w:val="24"/>
          <w:lang w:eastAsia="en-CA"/>
        </w:rPr>
        <w:t xml:space="preserve">The Terrorism section of the </w:t>
      </w:r>
      <w:r w:rsidRPr="0038105B">
        <w:rPr>
          <w:rFonts w:eastAsia="Times New Roman" w:cs="Times New Roman"/>
          <w:i/>
          <w:szCs w:val="24"/>
          <w:lang w:eastAsia="en-CA"/>
        </w:rPr>
        <w:t>Criminal Code</w:t>
      </w:r>
      <w:r w:rsidRPr="0038105B">
        <w:rPr>
          <w:rFonts w:eastAsia="Times New Roman" w:cs="Times New Roman"/>
          <w:szCs w:val="24"/>
          <w:lang w:eastAsia="en-CA"/>
        </w:rPr>
        <w:t>, like any statutory provision, must be interpreted with regard to its legislative purpose.  That purpose is “to provide means by which terrorism may be prosecuted and prevented” (</w:t>
      </w:r>
      <w:r w:rsidRPr="0038105B">
        <w:rPr>
          <w:rFonts w:eastAsia="Times New Roman" w:cs="Times New Roman"/>
          <w:i/>
          <w:szCs w:val="24"/>
          <w:lang w:val="en-GB" w:eastAsia="en-CA"/>
        </w:rPr>
        <w:t xml:space="preserve">Application under s. 83.28 of the </w:t>
      </w:r>
      <w:r w:rsidRPr="0038105B">
        <w:rPr>
          <w:rFonts w:eastAsia="Times New Roman" w:cs="Times New Roman"/>
          <w:i/>
          <w:iCs/>
          <w:szCs w:val="24"/>
          <w:lang w:val="en-GB" w:eastAsia="en-CA"/>
        </w:rPr>
        <w:t>Criminal Code</w:t>
      </w:r>
      <w:r w:rsidRPr="0038105B">
        <w:rPr>
          <w:rFonts w:eastAsia="Times New Roman" w:cs="Times New Roman"/>
          <w:i/>
          <w:szCs w:val="24"/>
          <w:lang w:val="en-GB" w:eastAsia="en-CA"/>
        </w:rPr>
        <w:t xml:space="preserve"> (Re)</w:t>
      </w:r>
      <w:r w:rsidRPr="0038105B">
        <w:rPr>
          <w:rFonts w:eastAsia="Times New Roman" w:cs="Times New Roman"/>
          <w:szCs w:val="24"/>
          <w:lang w:val="en-GB" w:eastAsia="en-CA"/>
        </w:rPr>
        <w:t xml:space="preserve">, </w:t>
      </w:r>
      <w:r w:rsidRPr="0038105B">
        <w:rPr>
          <w:rFonts w:eastAsia="Times New Roman" w:cs="Times New Roman"/>
          <w:szCs w:val="24"/>
          <w:lang w:eastAsia="en-CA"/>
        </w:rPr>
        <w:t xml:space="preserve">at </w:t>
      </w:r>
      <w:proofErr w:type="spellStart"/>
      <w:r w:rsidRPr="0038105B">
        <w:rPr>
          <w:rFonts w:eastAsia="Times New Roman" w:cs="Times New Roman"/>
          <w:szCs w:val="24"/>
          <w:lang w:eastAsia="en-CA"/>
        </w:rPr>
        <w:t>para</w:t>
      </w:r>
      <w:proofErr w:type="spellEnd"/>
      <w:r w:rsidRPr="0038105B">
        <w:rPr>
          <w:rFonts w:eastAsia="Times New Roman" w:cs="Times New Roman"/>
          <w:szCs w:val="24"/>
          <w:lang w:eastAsia="en-CA"/>
        </w:rPr>
        <w:t xml:space="preserve">. 39) — </w:t>
      </w:r>
      <w:r w:rsidRPr="0038105B">
        <w:rPr>
          <w:rFonts w:cs="Times New Roman"/>
          <w:i/>
        </w:rPr>
        <w:t>not</w:t>
      </w:r>
      <w:r w:rsidRPr="0038105B">
        <w:rPr>
          <w:rFonts w:cs="Times New Roman"/>
        </w:rPr>
        <w:t xml:space="preserve"> to punish individuals for innocent, socially useful or casual acts which, absent any intent, indirectly contribute to a terrorist activity.</w:t>
      </w:r>
    </w:p>
    <w:p w:rsidR="00E267BC" w:rsidRPr="0038105B" w:rsidRDefault="00E267BC" w:rsidP="00E267BC">
      <w:pPr>
        <w:pStyle w:val="ParaNoNdepar-AltN"/>
        <w:rPr>
          <w:rFonts w:cs="Times New Roman"/>
        </w:rPr>
      </w:pPr>
      <w:r w:rsidRPr="0038105B">
        <w:rPr>
          <w:rFonts w:cs="Times New Roman"/>
        </w:rPr>
        <w:t xml:space="preserve">This purpose commands a high </w:t>
      </w:r>
      <w:proofErr w:type="spellStart"/>
      <w:r w:rsidRPr="0038105B">
        <w:rPr>
          <w:rFonts w:cs="Times New Roman"/>
          <w:i/>
        </w:rPr>
        <w:t>mens</w:t>
      </w:r>
      <w:proofErr w:type="spellEnd"/>
      <w:r w:rsidRPr="0038105B">
        <w:rPr>
          <w:rFonts w:cs="Times New Roman"/>
          <w:i/>
        </w:rPr>
        <w:t xml:space="preserve"> </w:t>
      </w:r>
      <w:proofErr w:type="spellStart"/>
      <w:r w:rsidRPr="0038105B">
        <w:rPr>
          <w:rFonts w:cs="Times New Roman"/>
          <w:i/>
        </w:rPr>
        <w:t>rea</w:t>
      </w:r>
      <w:proofErr w:type="spellEnd"/>
      <w:r w:rsidRPr="0038105B">
        <w:rPr>
          <w:rFonts w:cs="Times New Roman"/>
          <w:i/>
        </w:rPr>
        <w:t xml:space="preserve"> </w:t>
      </w:r>
      <w:r w:rsidRPr="0038105B">
        <w:rPr>
          <w:rFonts w:cs="Times New Roman"/>
        </w:rPr>
        <w:t>threshold</w:t>
      </w:r>
      <w:r w:rsidRPr="0038105B">
        <w:rPr>
          <w:rFonts w:cs="Times New Roman"/>
          <w:i/>
        </w:rPr>
        <w:t>.</w:t>
      </w:r>
      <w:r w:rsidRPr="0038105B">
        <w:rPr>
          <w:rFonts w:cs="Times New Roman"/>
        </w:rPr>
        <w:t xml:space="preserve">  To be convicted, an individual must not only participate in or contribute to a terrorist activity “</w:t>
      </w:r>
      <w:r w:rsidRPr="0038105B">
        <w:rPr>
          <w:rFonts w:cs="Times New Roman"/>
          <w:i/>
        </w:rPr>
        <w:t>knowingly</w:t>
      </w:r>
      <w:r w:rsidR="008063B3">
        <w:rPr>
          <w:rFonts w:cs="Times New Roman"/>
        </w:rPr>
        <w:t>”,</w:t>
      </w:r>
      <w:r w:rsidRPr="0038105B">
        <w:rPr>
          <w:rFonts w:cs="Times New Roman"/>
        </w:rPr>
        <w:t xml:space="preserve"> his or her actions must also be undertaken “</w:t>
      </w:r>
      <w:r w:rsidRPr="0038105B">
        <w:rPr>
          <w:rFonts w:cs="Times New Roman"/>
          <w:i/>
        </w:rPr>
        <w:t>for the purpose</w:t>
      </w:r>
      <w:r w:rsidRPr="0038105B">
        <w:rPr>
          <w:rFonts w:cs="Times New Roman"/>
        </w:rPr>
        <w:t xml:space="preserve">” of enhancing the abilities of a terrorist group to facilitate or carry out a terrorist activity.  The use of the words “for the purpose of” in s. 83.18 may be interpreted as requiring a “higher subjective purpose of enhancing the ability of any terrorist group to carry out a terrorist activity”: K. Roach, “Terrorism Offences and the Charter: A Comment on R. v. </w:t>
      </w:r>
      <w:proofErr w:type="spellStart"/>
      <w:r w:rsidRPr="0038105B">
        <w:rPr>
          <w:rFonts w:cs="Times New Roman"/>
        </w:rPr>
        <w:t>Khawaja</w:t>
      </w:r>
      <w:proofErr w:type="spellEnd"/>
      <w:r w:rsidRPr="0038105B">
        <w:rPr>
          <w:rFonts w:cs="Times New Roman"/>
        </w:rPr>
        <w:t xml:space="preserve">” (2007), 11 </w:t>
      </w:r>
      <w:r w:rsidR="008063B3">
        <w:rPr>
          <w:rFonts w:cs="Times New Roman"/>
          <w:i/>
        </w:rPr>
        <w:t>Can. Crim. L.</w:t>
      </w:r>
      <w:r w:rsidRPr="0038105B">
        <w:rPr>
          <w:rFonts w:cs="Times New Roman"/>
          <w:i/>
        </w:rPr>
        <w:t>R.</w:t>
      </w:r>
      <w:r w:rsidRPr="0038105B">
        <w:rPr>
          <w:rFonts w:cs="Times New Roman"/>
        </w:rPr>
        <w:t xml:space="preserve"> 271, at p. 285.</w:t>
      </w:r>
    </w:p>
    <w:p w:rsidR="00E267BC" w:rsidRPr="0038105B" w:rsidRDefault="00E267BC" w:rsidP="00E267BC">
      <w:pPr>
        <w:pStyle w:val="ParaNoNdepar-AltN"/>
        <w:rPr>
          <w:rFonts w:cs="Times New Roman"/>
        </w:rPr>
      </w:pPr>
      <w:r w:rsidRPr="0038105B">
        <w:rPr>
          <w:rFonts w:cs="Times New Roman"/>
        </w:rPr>
        <w:t xml:space="preserve">To have the </w:t>
      </w:r>
      <w:r w:rsidRPr="0038105B">
        <w:rPr>
          <w:rFonts w:cs="Times New Roman"/>
          <w:i/>
        </w:rPr>
        <w:t>subjective</w:t>
      </w:r>
      <w:r w:rsidRPr="0038105B">
        <w:rPr>
          <w:rFonts w:cs="Times New Roman"/>
        </w:rPr>
        <w:t xml:space="preserve"> purpose of enhancing the ability of a terrorist group to facilitate or carry out a terrorist activity, the accused must </w:t>
      </w:r>
      <w:r w:rsidRPr="0038105B">
        <w:rPr>
          <w:rFonts w:cs="Times New Roman"/>
          <w:i/>
        </w:rPr>
        <w:t>specifically</w:t>
      </w:r>
      <w:r w:rsidRPr="0038105B">
        <w:rPr>
          <w:rFonts w:cs="Times New Roman"/>
        </w:rPr>
        <w:t xml:space="preserve"> </w:t>
      </w:r>
      <w:r w:rsidRPr="0038105B">
        <w:rPr>
          <w:rFonts w:cs="Times New Roman"/>
          <w:i/>
        </w:rPr>
        <w:t>intend</w:t>
      </w:r>
      <w:r w:rsidRPr="0038105B">
        <w:rPr>
          <w:rFonts w:cs="Times New Roman"/>
        </w:rPr>
        <w:t xml:space="preserve"> his actions to have this general effect. The specific nature of the terrorist activity, for example the death of a person from a bombing, need not be intended (s. 83.18(2</w:t>
      </w:r>
      <w:proofErr w:type="gramStart"/>
      <w:r w:rsidRPr="0038105B">
        <w:rPr>
          <w:rFonts w:cs="Times New Roman"/>
        </w:rPr>
        <w:t>)(</w:t>
      </w:r>
      <w:proofErr w:type="gramEnd"/>
      <w:r w:rsidRPr="0038105B">
        <w:rPr>
          <w:rFonts w:cs="Times New Roman"/>
          <w:i/>
        </w:rPr>
        <w:t>c</w:t>
      </w:r>
      <w:r w:rsidRPr="0038105B">
        <w:rPr>
          <w:rFonts w:cs="Times New Roman"/>
        </w:rPr>
        <w:t xml:space="preserve">)); </w:t>
      </w:r>
      <w:r w:rsidRPr="0038105B">
        <w:rPr>
          <w:rFonts w:cs="Times New Roman"/>
        </w:rPr>
        <w:lastRenderedPageBreak/>
        <w:t>all that need be intended is that his action will enhance the ability of the terrorist group to carry out or facilitate a terrorist activity.</w:t>
      </w:r>
    </w:p>
    <w:p w:rsidR="00E267BC" w:rsidRPr="0038105B" w:rsidRDefault="00E267BC" w:rsidP="00E267BC">
      <w:pPr>
        <w:pStyle w:val="ParaNoNdepar-AltN"/>
        <w:rPr>
          <w:rFonts w:cs="Times New Roman"/>
        </w:rPr>
      </w:pPr>
      <w:r w:rsidRPr="0038105B">
        <w:rPr>
          <w:rFonts w:cs="Times New Roman"/>
        </w:rPr>
        <w:t xml:space="preserve">The effect of this heightened </w:t>
      </w:r>
      <w:proofErr w:type="spellStart"/>
      <w:r w:rsidRPr="0038105B">
        <w:rPr>
          <w:rFonts w:cs="Times New Roman"/>
          <w:i/>
        </w:rPr>
        <w:t>mens</w:t>
      </w:r>
      <w:proofErr w:type="spellEnd"/>
      <w:r w:rsidRPr="0038105B">
        <w:rPr>
          <w:rFonts w:cs="Times New Roman"/>
          <w:i/>
        </w:rPr>
        <w:t xml:space="preserve"> </w:t>
      </w:r>
      <w:proofErr w:type="spellStart"/>
      <w:r w:rsidRPr="0038105B">
        <w:rPr>
          <w:rFonts w:cs="Times New Roman"/>
          <w:i/>
        </w:rPr>
        <w:t>rea</w:t>
      </w:r>
      <w:proofErr w:type="spellEnd"/>
      <w:r w:rsidRPr="0038105B">
        <w:rPr>
          <w:rFonts w:cs="Times New Roman"/>
        </w:rPr>
        <w:t xml:space="preserve"> is to exempt those who may unwittingly assist terrorists or who do so for a valid reason. Social and professional contact with terrorists — for example, such as occurs in normal interactions with friends and family members — will not, absent the specific intent to enhance the abilities of a terrorist group, permit a conviction under s. 83.18. The provision requires subjective fault, as opposed to mere negligent failure to take reasonable steps to avoid unwittingly assisting terrorists:  see K. Roach, “Terrorism Offences and the Charter: A Comment </w:t>
      </w:r>
      <w:r w:rsidRPr="008063B3">
        <w:rPr>
          <w:rFonts w:cs="Times New Roman"/>
        </w:rPr>
        <w:t xml:space="preserve">on R. v. </w:t>
      </w:r>
      <w:proofErr w:type="spellStart"/>
      <w:r w:rsidRPr="008063B3">
        <w:rPr>
          <w:rFonts w:cs="Times New Roman"/>
        </w:rPr>
        <w:t>Khawaja</w:t>
      </w:r>
      <w:proofErr w:type="spellEnd"/>
      <w:r w:rsidRPr="0038105B">
        <w:rPr>
          <w:rFonts w:cs="Times New Roman"/>
        </w:rPr>
        <w:t>”, at p. 285.  For example, a lawyer who represents a known terrorist may know that, if successful at trial, his client will thereafter pursue his contributions to terrorism. However, the lawyer could only be convicted under s. 83.18 if his intent was specifically to enable the client to pursue further terrorist activities, as opposed to simply affording his client a full defence at law.</w:t>
      </w:r>
    </w:p>
    <w:p w:rsidR="00E267BC" w:rsidRPr="0038105B" w:rsidRDefault="00E267BC" w:rsidP="00E267BC">
      <w:pPr>
        <w:pStyle w:val="ParaNoNdepar-AltN"/>
        <w:rPr>
          <w:rFonts w:cs="Times New Roman"/>
        </w:rPr>
      </w:pPr>
      <w:r w:rsidRPr="0038105B">
        <w:rPr>
          <w:rFonts w:cs="Times New Roman"/>
        </w:rPr>
        <w:t>To convict under s. 83.18, the judge must be satisfied beyond a reasonable doubt that the accused intended to enhance the ability of a terrorist group to facilitate or carry out a terrorist activity.  There may be direct evidence of this intention. Or the intention may be inferred from evidence of the knowledge of the accused and the nature of his actions.</w:t>
      </w:r>
    </w:p>
    <w:p w:rsidR="00E267BC" w:rsidRPr="0038105B" w:rsidRDefault="00E267BC" w:rsidP="00E267BC">
      <w:pPr>
        <w:pStyle w:val="ParaNoNdepar-AltN"/>
        <w:rPr>
          <w:rFonts w:cs="Times New Roman"/>
        </w:rPr>
      </w:pPr>
      <w:r w:rsidRPr="0038105B">
        <w:rPr>
          <w:rFonts w:cs="Times New Roman"/>
        </w:rPr>
        <w:lastRenderedPageBreak/>
        <w:t xml:space="preserve">The appellants argue that, even if the scope of s. 83.18 is narrowed by the high </w:t>
      </w:r>
      <w:proofErr w:type="spellStart"/>
      <w:r w:rsidRPr="0038105B">
        <w:rPr>
          <w:rFonts w:cs="Times New Roman"/>
          <w:i/>
        </w:rPr>
        <w:t>mens</w:t>
      </w:r>
      <w:proofErr w:type="spellEnd"/>
      <w:r w:rsidRPr="0038105B">
        <w:rPr>
          <w:rFonts w:cs="Times New Roman"/>
          <w:i/>
        </w:rPr>
        <w:t xml:space="preserve"> </w:t>
      </w:r>
      <w:proofErr w:type="spellStart"/>
      <w:r w:rsidRPr="0038105B">
        <w:rPr>
          <w:rFonts w:cs="Times New Roman"/>
          <w:i/>
        </w:rPr>
        <w:t>rea</w:t>
      </w:r>
      <w:proofErr w:type="spellEnd"/>
      <w:r w:rsidRPr="0038105B">
        <w:rPr>
          <w:rFonts w:cs="Times New Roman"/>
        </w:rPr>
        <w:t xml:space="preserve"> requirement, it is still overbroad because it captures conduct that, while perhaps animated by the intent to enhance the abilities of a terrorist group, is essentially harmless. For example, a person who marches in a non-violent rally held by the charitable arm of a terrorist group, with the specific intention of lending credibility to the group and thereby enhancing the group’s ability to carry out terrorist activities, is not necessarily contributing to terrorism in any meaningful way. Yet, on the basis of the plain meaning of s. 83.18, that person could be convicted for participating in terrorism.</w:t>
      </w:r>
    </w:p>
    <w:p w:rsidR="00E267BC" w:rsidRPr="0038105B" w:rsidRDefault="00E267BC" w:rsidP="00E267BC">
      <w:pPr>
        <w:pStyle w:val="ParaNoNdepar-AltN"/>
        <w:rPr>
          <w:rFonts w:cs="Times New Roman"/>
        </w:rPr>
      </w:pPr>
      <w:r w:rsidRPr="0038105B">
        <w:rPr>
          <w:rFonts w:cs="Times New Roman"/>
        </w:rPr>
        <w:t xml:space="preserve">This argument relies on an incorrect interpretation of s. 83.18.  The </w:t>
      </w:r>
      <w:proofErr w:type="spellStart"/>
      <w:r w:rsidRPr="0038105B">
        <w:rPr>
          <w:rFonts w:cs="Times New Roman"/>
          <w:i/>
        </w:rPr>
        <w:t>actus</w:t>
      </w:r>
      <w:proofErr w:type="spellEnd"/>
      <w:r w:rsidRPr="0038105B">
        <w:rPr>
          <w:rFonts w:cs="Times New Roman"/>
          <w:i/>
        </w:rPr>
        <w:t xml:space="preserve"> </w:t>
      </w:r>
      <w:proofErr w:type="spellStart"/>
      <w:proofErr w:type="gramStart"/>
      <w:r w:rsidRPr="0038105B">
        <w:rPr>
          <w:rFonts w:cs="Times New Roman"/>
          <w:i/>
        </w:rPr>
        <w:t>reus</w:t>
      </w:r>
      <w:proofErr w:type="spellEnd"/>
      <w:proofErr w:type="gramEnd"/>
      <w:r w:rsidRPr="0038105B">
        <w:rPr>
          <w:rFonts w:cs="Times New Roman"/>
          <w:i/>
        </w:rPr>
        <w:t xml:space="preserve"> </w:t>
      </w:r>
      <w:r w:rsidRPr="0038105B">
        <w:rPr>
          <w:rFonts w:cs="Times New Roman"/>
        </w:rPr>
        <w:t>of s. 83.18 does not capture conduct that discloses, at most, a negligible risk of enhancing the abilities of a terrorist group to facilitate or carry out a terrorist activity. Although s. 83.18(1) punishes an individual who “participates in or contributes to .</w:t>
      </w:r>
      <w:r w:rsidR="008063B3">
        <w:rPr>
          <w:rFonts w:cs="Times New Roman"/>
        </w:rPr>
        <w:t xml:space="preserve"> </w:t>
      </w:r>
      <w:r w:rsidRPr="0038105B">
        <w:rPr>
          <w:rFonts w:cs="Times New Roman"/>
        </w:rPr>
        <w:t>.</w:t>
      </w:r>
      <w:r w:rsidR="008063B3">
        <w:rPr>
          <w:rFonts w:cs="Times New Roman"/>
        </w:rPr>
        <w:t xml:space="preserve"> </w:t>
      </w:r>
      <w:r w:rsidRPr="0038105B">
        <w:rPr>
          <w:rFonts w:cs="Times New Roman"/>
        </w:rPr>
        <w:t xml:space="preserve">. </w:t>
      </w:r>
      <w:r w:rsidRPr="0038105B">
        <w:rPr>
          <w:rFonts w:cs="Times New Roman"/>
          <w:u w:val="single"/>
        </w:rPr>
        <w:t>any activity</w:t>
      </w:r>
      <w:r w:rsidRPr="0038105B">
        <w:rPr>
          <w:rFonts w:cs="Times New Roman"/>
        </w:rPr>
        <w:t xml:space="preserve"> of a terrorist group”, the context makes clear that Parliament did not intend for the provision to capture conduct that creates no risk or a negligible risk of harm. Indeed, the offence carries with it a </w:t>
      </w:r>
      <w:r>
        <w:rPr>
          <w:rFonts w:cs="Times New Roman"/>
        </w:rPr>
        <w:t xml:space="preserve">sentence </w:t>
      </w:r>
      <w:r w:rsidRPr="0038105B">
        <w:rPr>
          <w:rFonts w:cs="Times New Roman"/>
        </w:rPr>
        <w:t xml:space="preserve">of up to </w:t>
      </w:r>
      <w:r w:rsidR="008063B3">
        <w:rPr>
          <w:rFonts w:cs="Times New Roman"/>
        </w:rPr>
        <w:t>10</w:t>
      </w:r>
      <w:r w:rsidRPr="0038105B">
        <w:rPr>
          <w:rFonts w:cs="Times New Roman"/>
        </w:rPr>
        <w:t xml:space="preserve"> years of imprisonment and significant stigma.  This provision</w:t>
      </w:r>
      <w:r>
        <w:rPr>
          <w:rFonts w:cs="Times New Roman"/>
        </w:rPr>
        <w:t xml:space="preserve"> </w:t>
      </w:r>
      <w:r w:rsidRPr="0038105B">
        <w:rPr>
          <w:rFonts w:cs="Times New Roman"/>
        </w:rPr>
        <w:t>is meant to criminalize conduct that presents a real risk for Canadian society.</w:t>
      </w:r>
    </w:p>
    <w:p w:rsidR="00E267BC" w:rsidRPr="0038105B" w:rsidRDefault="00E267BC" w:rsidP="00E267BC">
      <w:pPr>
        <w:pStyle w:val="ParaNoNdepar-AltN"/>
        <w:rPr>
          <w:rFonts w:cs="Times New Roman"/>
        </w:rPr>
      </w:pPr>
      <w:r w:rsidRPr="0038105B">
        <w:rPr>
          <w:rFonts w:cs="Times New Roman"/>
        </w:rPr>
        <w:t>A purposive and contextual reading of the provision confines “</w:t>
      </w:r>
      <w:proofErr w:type="spellStart"/>
      <w:proofErr w:type="gramStart"/>
      <w:r w:rsidRPr="0038105B">
        <w:rPr>
          <w:rFonts w:cs="Times New Roman"/>
        </w:rPr>
        <w:t>participat</w:t>
      </w:r>
      <w:proofErr w:type="spellEnd"/>
      <w:r w:rsidRPr="0038105B">
        <w:rPr>
          <w:rFonts w:cs="Times New Roman"/>
        </w:rPr>
        <w:t>[</w:t>
      </w:r>
      <w:proofErr w:type="gramEnd"/>
      <w:r w:rsidRPr="0038105B">
        <w:rPr>
          <w:rFonts w:cs="Times New Roman"/>
        </w:rPr>
        <w:t>ion] in” and “</w:t>
      </w:r>
      <w:proofErr w:type="spellStart"/>
      <w:r w:rsidRPr="0038105B">
        <w:rPr>
          <w:rFonts w:cs="Times New Roman"/>
        </w:rPr>
        <w:t>contribut</w:t>
      </w:r>
      <w:proofErr w:type="spellEnd"/>
      <w:r w:rsidRPr="0038105B">
        <w:rPr>
          <w:rFonts w:cs="Times New Roman"/>
        </w:rPr>
        <w:t xml:space="preserve">[ion] to” a terrorist activity to conduct that creates a risk of harm that rises beyond a </w:t>
      </w:r>
      <w:r w:rsidRPr="0038105B">
        <w:rPr>
          <w:rFonts w:cs="Times New Roman"/>
          <w:i/>
        </w:rPr>
        <w:t xml:space="preserve">de </w:t>
      </w:r>
      <w:proofErr w:type="spellStart"/>
      <w:r w:rsidRPr="0038105B">
        <w:rPr>
          <w:rFonts w:cs="Times New Roman"/>
          <w:i/>
        </w:rPr>
        <w:t>minimis</w:t>
      </w:r>
      <w:proofErr w:type="spellEnd"/>
      <w:r w:rsidRPr="0038105B">
        <w:rPr>
          <w:rFonts w:cs="Times New Roman"/>
          <w:i/>
        </w:rPr>
        <w:t xml:space="preserve"> </w:t>
      </w:r>
      <w:r w:rsidRPr="0038105B">
        <w:rPr>
          <w:rFonts w:cs="Times New Roman"/>
        </w:rPr>
        <w:t xml:space="preserve">threshold. While nearly every interaction </w:t>
      </w:r>
      <w:r w:rsidRPr="0038105B">
        <w:rPr>
          <w:rFonts w:cs="Times New Roman"/>
        </w:rPr>
        <w:lastRenderedPageBreak/>
        <w:t xml:space="preserve">with a terrorist group carries some risk of indirectly enhancing the abilities of the group, the scope of s. 83.18 excludes conduct that a reasonable person would not view as capable of materially enhancing the abilities of a terrorist group </w:t>
      </w:r>
      <w:r w:rsidRPr="0038105B">
        <w:rPr>
          <w:rFonts w:cs="Times New Roman"/>
          <w:i/>
        </w:rPr>
        <w:t>to facilitate or carry out a terrorist activity</w:t>
      </w:r>
      <w:r w:rsidRPr="0038105B">
        <w:rPr>
          <w:rFonts w:cs="Times New Roman"/>
        </w:rPr>
        <w:t xml:space="preserve">. </w:t>
      </w:r>
    </w:p>
    <w:p w:rsidR="00E267BC" w:rsidRPr="0038105B" w:rsidRDefault="00E267BC" w:rsidP="00E267BC">
      <w:pPr>
        <w:pStyle w:val="ParaNoNdepar-AltN"/>
        <w:rPr>
          <w:rFonts w:cs="Times New Roman"/>
        </w:rPr>
      </w:pPr>
      <w:r w:rsidRPr="0038105B">
        <w:rPr>
          <w:rFonts w:cs="Times New Roman"/>
        </w:rPr>
        <w:t>The determination of whether a reasonable person would view conduct as capable of materially enhancing the abilities of a terrorist group to</w:t>
      </w:r>
      <w:r w:rsidRPr="0038105B">
        <w:rPr>
          <w:rFonts w:cs="Times New Roman"/>
          <w:i/>
        </w:rPr>
        <w:t xml:space="preserve"> </w:t>
      </w:r>
      <w:r w:rsidRPr="0038105B">
        <w:rPr>
          <w:rFonts w:cs="Times New Roman"/>
        </w:rPr>
        <w:t>facilitate or carry out a</w:t>
      </w:r>
      <w:r w:rsidRPr="0038105B">
        <w:rPr>
          <w:rFonts w:cs="Times New Roman"/>
          <w:i/>
        </w:rPr>
        <w:t xml:space="preserve"> </w:t>
      </w:r>
      <w:r w:rsidRPr="0038105B">
        <w:rPr>
          <w:rFonts w:cs="Times New Roman"/>
        </w:rPr>
        <w:t>terrorist activity hinges on the nature of the conduct and the relevant circumstances. For example, the conduct of a restaurant owner who cooks a single meal for a known terrorist is not of a nature to materially enhance the abilities of a terrorist group to facilitate or carry out a terrorist activity: K. E. Davis, “Cutting off the Flow of Funds to Terrorists: Whose Funds? Which Funds? Who Decides?</w:t>
      </w:r>
      <w:proofErr w:type="gramStart"/>
      <w:r w:rsidRPr="0038105B">
        <w:rPr>
          <w:rFonts w:cs="Times New Roman"/>
        </w:rPr>
        <w:t>”,</w:t>
      </w:r>
      <w:proofErr w:type="gramEnd"/>
      <w:r w:rsidRPr="0038105B">
        <w:rPr>
          <w:rFonts w:cs="Times New Roman"/>
        </w:rPr>
        <w:t xml:space="preserve"> in </w:t>
      </w:r>
      <w:r w:rsidR="00890DBB">
        <w:rPr>
          <w:rFonts w:cs="Times New Roman"/>
          <w:i/>
        </w:rPr>
        <w:t>The Security of Freedom: Essays on Canada’s Anti-Terrorism Bill</w:t>
      </w:r>
      <w:r w:rsidRPr="0038105B">
        <w:rPr>
          <w:rFonts w:cs="Times New Roman"/>
        </w:rPr>
        <w:t xml:space="preserve">, 299, at p. 301. By contrast, giving flight lessons to a known terrorist is clearly conduct of a nature to materially enhance the abilities of a terrorist group to facilitate or carry out a terrorist activity: </w:t>
      </w:r>
      <w:r w:rsidRPr="0038105B">
        <w:rPr>
          <w:rFonts w:cs="Times New Roman"/>
          <w:i/>
        </w:rPr>
        <w:t>House of Commons Debates</w:t>
      </w:r>
      <w:r w:rsidRPr="0038105B">
        <w:rPr>
          <w:rFonts w:cs="Times New Roman"/>
        </w:rPr>
        <w:t>, vol. 137, No. 95, 1</w:t>
      </w:r>
      <w:r w:rsidRPr="008063B3">
        <w:rPr>
          <w:rFonts w:cs="Times New Roman"/>
        </w:rPr>
        <w:t>st</w:t>
      </w:r>
      <w:r w:rsidRPr="0038105B">
        <w:rPr>
          <w:rFonts w:cs="Times New Roman"/>
        </w:rPr>
        <w:t xml:space="preserve"> Sess.,  37th Parl., October 16, 2001, at p. 6165 (Hon. Anne </w:t>
      </w:r>
      <w:proofErr w:type="spellStart"/>
      <w:r w:rsidRPr="0038105B">
        <w:rPr>
          <w:rFonts w:cs="Times New Roman"/>
        </w:rPr>
        <w:t>McLellan</w:t>
      </w:r>
      <w:proofErr w:type="spellEnd"/>
      <w:r w:rsidRPr="0038105B">
        <w:rPr>
          <w:rFonts w:cs="Times New Roman"/>
        </w:rPr>
        <w:t>).</w:t>
      </w:r>
    </w:p>
    <w:p w:rsidR="00E267BC" w:rsidRPr="0038105B" w:rsidRDefault="00E267BC" w:rsidP="00E267BC">
      <w:pPr>
        <w:pStyle w:val="ParaNoNdepar-AltN"/>
        <w:rPr>
          <w:rFonts w:cs="Times New Roman"/>
        </w:rPr>
      </w:pPr>
      <w:r w:rsidRPr="0038105B">
        <w:rPr>
          <w:rFonts w:cs="Times New Roman"/>
        </w:rPr>
        <w:t xml:space="preserve">I conclude that a purposive interpretation of the </w:t>
      </w:r>
      <w:proofErr w:type="spellStart"/>
      <w:r w:rsidRPr="0038105B">
        <w:rPr>
          <w:rFonts w:cs="Times New Roman"/>
          <w:i/>
        </w:rPr>
        <w:t>actus</w:t>
      </w:r>
      <w:proofErr w:type="spellEnd"/>
      <w:r w:rsidRPr="0038105B">
        <w:rPr>
          <w:rFonts w:cs="Times New Roman"/>
          <w:i/>
        </w:rPr>
        <w:t xml:space="preserve"> </w:t>
      </w:r>
      <w:proofErr w:type="spellStart"/>
      <w:r w:rsidRPr="0038105B">
        <w:rPr>
          <w:rFonts w:cs="Times New Roman"/>
          <w:i/>
        </w:rPr>
        <w:t>reus</w:t>
      </w:r>
      <w:proofErr w:type="spellEnd"/>
      <w:r w:rsidRPr="0038105B">
        <w:rPr>
          <w:rFonts w:cs="Times New Roman"/>
          <w:i/>
        </w:rPr>
        <w:t xml:space="preserve"> </w:t>
      </w:r>
      <w:r w:rsidRPr="0038105B">
        <w:rPr>
          <w:rFonts w:cs="Times New Roman"/>
        </w:rPr>
        <w:t xml:space="preserve">and </w:t>
      </w:r>
      <w:proofErr w:type="spellStart"/>
      <w:r w:rsidRPr="0038105B">
        <w:rPr>
          <w:rFonts w:cs="Times New Roman"/>
          <w:i/>
        </w:rPr>
        <w:t>mens</w:t>
      </w:r>
      <w:proofErr w:type="spellEnd"/>
      <w:r w:rsidRPr="0038105B">
        <w:rPr>
          <w:rFonts w:cs="Times New Roman"/>
          <w:i/>
        </w:rPr>
        <w:t xml:space="preserve"> </w:t>
      </w:r>
      <w:proofErr w:type="spellStart"/>
      <w:r w:rsidRPr="0038105B">
        <w:rPr>
          <w:rFonts w:cs="Times New Roman"/>
          <w:i/>
        </w:rPr>
        <w:t>rea</w:t>
      </w:r>
      <w:proofErr w:type="spellEnd"/>
      <w:r w:rsidRPr="0038105B">
        <w:rPr>
          <w:rFonts w:cs="Times New Roman"/>
          <w:i/>
        </w:rPr>
        <w:t xml:space="preserve"> </w:t>
      </w:r>
      <w:r w:rsidRPr="0038105B">
        <w:rPr>
          <w:rFonts w:cs="Times New Roman"/>
        </w:rPr>
        <w:t>requirements of s. 83.18 excludes convictions (</w:t>
      </w:r>
      <w:proofErr w:type="spellStart"/>
      <w:r w:rsidRPr="0038105B">
        <w:rPr>
          <w:rFonts w:cs="Times New Roman"/>
        </w:rPr>
        <w:t>i</w:t>
      </w:r>
      <w:proofErr w:type="spellEnd"/>
      <w:r w:rsidRPr="0038105B">
        <w:rPr>
          <w:rFonts w:cs="Times New Roman"/>
        </w:rPr>
        <w:t xml:space="preserve">) for innocent or socially useful conduct that is undertaken absent any intent to enhance the abilities of a terrorist group to facilitate or carry out a terrorist activity, and (ii) </w:t>
      </w:r>
      <w:r w:rsidR="00890DBB">
        <w:rPr>
          <w:rFonts w:cs="Times New Roman"/>
        </w:rPr>
        <w:t xml:space="preserve">for </w:t>
      </w:r>
      <w:r w:rsidRPr="0038105B">
        <w:rPr>
          <w:rFonts w:cs="Times New Roman"/>
        </w:rPr>
        <w:t xml:space="preserve">conduct that a </w:t>
      </w:r>
      <w:r w:rsidRPr="0038105B">
        <w:rPr>
          <w:rFonts w:cs="Times New Roman"/>
        </w:rPr>
        <w:lastRenderedPageBreak/>
        <w:t>reasonable person would not view as capable of materially enhancing the abilities of a terrorist group to facilitate or carry out a terrorist activity.</w:t>
      </w:r>
    </w:p>
    <w:p w:rsidR="00E267BC" w:rsidRPr="0038105B" w:rsidRDefault="00E267BC" w:rsidP="00E267BC">
      <w:pPr>
        <w:pStyle w:val="ParaNoNdepar-AltN"/>
        <w:rPr>
          <w:rFonts w:cs="Times New Roman"/>
        </w:rPr>
      </w:pPr>
      <w:r w:rsidRPr="0038105B">
        <w:rPr>
          <w:rFonts w:cs="Times New Roman"/>
        </w:rPr>
        <w:t>Having determined that the scope of the law is narrower than was argued by the appellants, I turn to the second step of the analysis, the objective of the law.</w:t>
      </w:r>
    </w:p>
    <w:p w:rsidR="00E267BC" w:rsidRPr="0038105B" w:rsidRDefault="00E267BC" w:rsidP="00E267BC">
      <w:pPr>
        <w:pStyle w:val="ParaNoNdepar-AltN"/>
        <w:numPr>
          <w:ilvl w:val="0"/>
          <w:numId w:val="0"/>
        </w:numPr>
        <w:tabs>
          <w:tab w:val="left" w:pos="720"/>
        </w:tabs>
        <w:rPr>
          <w:rFonts w:cs="Times New Roman"/>
        </w:rPr>
      </w:pPr>
      <w:r w:rsidRPr="0038105B">
        <w:rPr>
          <w:rFonts w:cs="Times New Roman"/>
        </w:rPr>
        <w:tab/>
        <w:t>(c)</w:t>
      </w:r>
      <w:r w:rsidRPr="0038105B">
        <w:rPr>
          <w:rFonts w:cs="Times New Roman"/>
        </w:rPr>
        <w:tab/>
      </w:r>
      <w:r w:rsidRPr="0038105B">
        <w:rPr>
          <w:rFonts w:cs="Times New Roman"/>
          <w:i/>
        </w:rPr>
        <w:t>The Objective of the Law</w:t>
      </w:r>
    </w:p>
    <w:p w:rsidR="00E267BC" w:rsidRPr="0038105B" w:rsidRDefault="00E267BC" w:rsidP="00E267BC">
      <w:pPr>
        <w:pStyle w:val="ParaNoNdepar-AltN"/>
        <w:rPr>
          <w:rFonts w:cs="Times New Roman"/>
        </w:rPr>
      </w:pPr>
      <w:r w:rsidRPr="0038105B">
        <w:rPr>
          <w:rFonts w:cs="Times New Roman"/>
        </w:rPr>
        <w:t xml:space="preserve">The parties agree that the objective of the terrorism provisions is to prosecute </w:t>
      </w:r>
      <w:r w:rsidRPr="0038105B">
        <w:rPr>
          <w:rFonts w:cs="Times New Roman"/>
          <w:i/>
        </w:rPr>
        <w:t>and prevent</w:t>
      </w:r>
      <w:r w:rsidRPr="0038105B">
        <w:rPr>
          <w:rFonts w:cs="Times New Roman"/>
        </w:rPr>
        <w:t xml:space="preserve"> terrorism.  The need to prosecute acts that support or assist terrorist activity that may never materialize into acts of terrorism flows from the great harm resulting from terrorism offences, the Crown contends.  The appellants agree that it is legitimate for the state to prevent terrorist acts from taking place.</w:t>
      </w:r>
    </w:p>
    <w:p w:rsidR="00E267BC" w:rsidRPr="0038105B" w:rsidRDefault="00E267BC" w:rsidP="007A1C58">
      <w:pPr>
        <w:pStyle w:val="ParaNoNdepar-AltN"/>
        <w:numPr>
          <w:ilvl w:val="0"/>
          <w:numId w:val="0"/>
        </w:numPr>
        <w:tabs>
          <w:tab w:val="left" w:pos="720"/>
        </w:tabs>
        <w:spacing w:after="720" w:line="240" w:lineRule="auto"/>
        <w:ind w:left="1440" w:hanging="1440"/>
        <w:rPr>
          <w:rFonts w:cs="Times New Roman"/>
        </w:rPr>
      </w:pPr>
      <w:r w:rsidRPr="0038105B">
        <w:rPr>
          <w:rFonts w:cs="Times New Roman"/>
        </w:rPr>
        <w:tab/>
        <w:t>(d)</w:t>
      </w:r>
      <w:r w:rsidRPr="0038105B">
        <w:rPr>
          <w:rFonts w:cs="Times New Roman"/>
        </w:rPr>
        <w:tab/>
      </w:r>
      <w:r w:rsidRPr="0038105B">
        <w:rPr>
          <w:rFonts w:cs="Times New Roman"/>
          <w:i/>
        </w:rPr>
        <w:t>Are t</w:t>
      </w:r>
      <w:r w:rsidR="00890DBB">
        <w:rPr>
          <w:rFonts w:cs="Times New Roman"/>
          <w:i/>
        </w:rPr>
        <w:t>he Impugned Provisions Broader T</w:t>
      </w:r>
      <w:r w:rsidRPr="0038105B">
        <w:rPr>
          <w:rFonts w:cs="Times New Roman"/>
          <w:i/>
        </w:rPr>
        <w:t>han Necessary o</w:t>
      </w:r>
      <w:r w:rsidR="00890DBB">
        <w:rPr>
          <w:rFonts w:cs="Times New Roman"/>
          <w:i/>
        </w:rPr>
        <w:t>r I</w:t>
      </w:r>
      <w:r w:rsidRPr="0038105B">
        <w:rPr>
          <w:rFonts w:cs="Times New Roman"/>
          <w:i/>
        </w:rPr>
        <w:t>s Their Impact Disproportionate?</w:t>
      </w:r>
    </w:p>
    <w:p w:rsidR="00E267BC" w:rsidRPr="0038105B" w:rsidRDefault="00E267BC" w:rsidP="00E267BC">
      <w:pPr>
        <w:pStyle w:val="ParaNoNdepar-AltN"/>
        <w:rPr>
          <w:rFonts w:cs="Times New Roman"/>
        </w:rPr>
      </w:pPr>
      <w:r w:rsidRPr="0038105B">
        <w:rPr>
          <w:rFonts w:cs="Times New Roman"/>
        </w:rPr>
        <w:t xml:space="preserve">Finally, I must ask whether the impugned provisions are broader than necessary to prevent and prosecute terrorism, or have an impact that is grossly disproportionate to that objective.  </w:t>
      </w:r>
    </w:p>
    <w:p w:rsidR="00E267BC" w:rsidRPr="0038105B" w:rsidRDefault="00E267BC" w:rsidP="00E267BC">
      <w:pPr>
        <w:pStyle w:val="ParaNoNdepar-AltN"/>
        <w:rPr>
          <w:rFonts w:cs="Times New Roman"/>
        </w:rPr>
      </w:pPr>
      <w:r w:rsidRPr="0038105B">
        <w:rPr>
          <w:rFonts w:cs="Times New Roman"/>
        </w:rPr>
        <w:t>The appellants argue that, in relation to its objective, s. 83.18 is broader than necessary and has a grossly disproportionate impa</w:t>
      </w:r>
      <w:r w:rsidR="00890DBB">
        <w:rPr>
          <w:rFonts w:cs="Times New Roman"/>
        </w:rPr>
        <w:t>ct because it criminalizes acts</w:t>
      </w:r>
      <w:r w:rsidRPr="0038105B">
        <w:rPr>
          <w:rFonts w:cs="Times New Roman"/>
        </w:rPr>
        <w:t xml:space="preserve"> (1) which</w:t>
      </w:r>
      <w:r w:rsidR="00890DBB">
        <w:rPr>
          <w:rFonts w:cs="Times New Roman"/>
        </w:rPr>
        <w:t xml:space="preserve"> do not disclose a risk of harm,</w:t>
      </w:r>
      <w:r w:rsidRPr="0038105B">
        <w:rPr>
          <w:rFonts w:cs="Times New Roman"/>
        </w:rPr>
        <w:t xml:space="preserve"> (2) which are not connected to a rea</w:t>
      </w:r>
      <w:r w:rsidR="00890DBB">
        <w:rPr>
          <w:rFonts w:cs="Times New Roman"/>
        </w:rPr>
        <w:t xml:space="preserve">l or </w:t>
      </w:r>
      <w:r w:rsidR="00890DBB">
        <w:rPr>
          <w:rFonts w:cs="Times New Roman"/>
        </w:rPr>
        <w:lastRenderedPageBreak/>
        <w:t>contemplated terrorist act,</w:t>
      </w:r>
      <w:r w:rsidRPr="0038105B">
        <w:rPr>
          <w:rFonts w:cs="Times New Roman"/>
        </w:rPr>
        <w:t xml:space="preserve"> and (3) which are preliminary to the commission of an inchoate offence.  The first two arguments are answered by the limited scope of s. 83.18.  As we have seen, co</w:t>
      </w:r>
      <w:r w:rsidR="00890DBB">
        <w:rPr>
          <w:rFonts w:cs="Times New Roman"/>
        </w:rPr>
        <w:t xml:space="preserve">nviction under s. 83.18 </w:t>
      </w:r>
      <w:proofErr w:type="gramStart"/>
      <w:r w:rsidR="00890DBB">
        <w:rPr>
          <w:rFonts w:cs="Times New Roman"/>
        </w:rPr>
        <w:t>entails</w:t>
      </w:r>
      <w:r w:rsidRPr="0038105B">
        <w:rPr>
          <w:rFonts w:cs="Times New Roman"/>
        </w:rPr>
        <w:t xml:space="preserve">  (</w:t>
      </w:r>
      <w:proofErr w:type="gramEnd"/>
      <w:r w:rsidRPr="0038105B">
        <w:rPr>
          <w:rFonts w:cs="Times New Roman"/>
        </w:rPr>
        <w:t xml:space="preserve">1) an </w:t>
      </w:r>
      <w:proofErr w:type="spellStart"/>
      <w:r w:rsidRPr="0038105B">
        <w:rPr>
          <w:rFonts w:cs="Times New Roman"/>
          <w:i/>
        </w:rPr>
        <w:t>actus</w:t>
      </w:r>
      <w:proofErr w:type="spellEnd"/>
      <w:r w:rsidRPr="0038105B">
        <w:rPr>
          <w:rFonts w:cs="Times New Roman"/>
          <w:i/>
        </w:rPr>
        <w:t xml:space="preserve"> </w:t>
      </w:r>
      <w:proofErr w:type="spellStart"/>
      <w:r w:rsidRPr="0038105B">
        <w:rPr>
          <w:rFonts w:cs="Times New Roman"/>
          <w:i/>
        </w:rPr>
        <w:t>reus</w:t>
      </w:r>
      <w:proofErr w:type="spellEnd"/>
      <w:r w:rsidRPr="0038105B">
        <w:rPr>
          <w:rFonts w:cs="Times New Roman"/>
          <w:i/>
        </w:rPr>
        <w:t xml:space="preserve"> </w:t>
      </w:r>
      <w:r w:rsidRPr="0038105B">
        <w:rPr>
          <w:rFonts w:cs="Times New Roman"/>
        </w:rPr>
        <w:t xml:space="preserve">that excludes conduct that a reasonable person would not view as capable of materially enhancing the abilities of a terrorist group to facilitate or carry out a terrorist activity, and (2) a high </w:t>
      </w:r>
      <w:proofErr w:type="spellStart"/>
      <w:r w:rsidRPr="0038105B">
        <w:rPr>
          <w:rFonts w:cs="Times New Roman"/>
          <w:i/>
        </w:rPr>
        <w:t>mens</w:t>
      </w:r>
      <w:proofErr w:type="spellEnd"/>
      <w:r w:rsidRPr="0038105B">
        <w:rPr>
          <w:rFonts w:cs="Times New Roman"/>
          <w:i/>
        </w:rPr>
        <w:t xml:space="preserve"> </w:t>
      </w:r>
      <w:proofErr w:type="spellStart"/>
      <w:r w:rsidRPr="0038105B">
        <w:rPr>
          <w:rFonts w:cs="Times New Roman"/>
          <w:i/>
        </w:rPr>
        <w:t>rea</w:t>
      </w:r>
      <w:proofErr w:type="spellEnd"/>
      <w:r w:rsidRPr="0038105B">
        <w:rPr>
          <w:rFonts w:cs="Times New Roman"/>
        </w:rPr>
        <w:t xml:space="preserve"> (specific intent to enhance the abilities of a terrorist group to facilitate or carry out a terrorist activity).  The Crown must prove both these elements beyond a reasonable doubt. Conduct that meets both these requirements discloses a non-negligible risk of harm and is sufficiently connected to real or contemplated terrorist activity.</w:t>
      </w:r>
    </w:p>
    <w:p w:rsidR="00E267BC" w:rsidRPr="0038105B" w:rsidRDefault="00E267BC" w:rsidP="00E267BC">
      <w:pPr>
        <w:pStyle w:val="ParaNoNdepar-AltN"/>
        <w:rPr>
          <w:rFonts w:cs="Times New Roman"/>
        </w:rPr>
      </w:pPr>
      <w:r w:rsidRPr="0038105B">
        <w:rPr>
          <w:rFonts w:cs="Times New Roman"/>
        </w:rPr>
        <w:t xml:space="preserve">As stated above, the appellants’ third argument is that the impact of s. 83.18 is grossly disproportionate to Parliament’s objective of curbing terrorism because it criminalizes acts that are preliminary to the commission of an inchoate offence.  The appellants agree that stopping a terrorist act before it takes place is a legitimate legislative objective.  However, they argue that the existing crimes of conspiracy and attempt are sufficient to achieve this objective, and that it is unnecessary and disproportionate to reach back further and criminalize activity that is preliminary or ancillary to those preparatory acts. </w:t>
      </w:r>
    </w:p>
    <w:p w:rsidR="00E267BC" w:rsidRPr="0038105B" w:rsidRDefault="00E267BC" w:rsidP="00E267BC">
      <w:pPr>
        <w:pStyle w:val="ParaNoNdepar-AltN"/>
        <w:rPr>
          <w:rFonts w:cs="Times New Roman"/>
        </w:rPr>
      </w:pPr>
      <w:r w:rsidRPr="0038105B">
        <w:rPr>
          <w:rFonts w:cs="Times New Roman"/>
        </w:rPr>
        <w:t xml:space="preserve">The appellants rely on this Court’s statement in </w:t>
      </w:r>
      <w:r w:rsidRPr="0038105B">
        <w:rPr>
          <w:rFonts w:cs="Times New Roman"/>
          <w:i/>
        </w:rPr>
        <w:t xml:space="preserve">R. v. </w:t>
      </w:r>
      <w:proofErr w:type="spellStart"/>
      <w:r w:rsidRPr="0038105B">
        <w:rPr>
          <w:rFonts w:cs="Times New Roman"/>
          <w:i/>
        </w:rPr>
        <w:t>Déry</w:t>
      </w:r>
      <w:proofErr w:type="spellEnd"/>
      <w:r w:rsidRPr="0038105B">
        <w:rPr>
          <w:rFonts w:cs="Times New Roman"/>
        </w:rPr>
        <w:t xml:space="preserve">, 2006 SCC 53, [2006] 2 S.C.R. 669, </w:t>
      </w:r>
      <w:r w:rsidRPr="0038105B">
        <w:rPr>
          <w:rFonts w:cs="Times New Roman"/>
          <w:i/>
        </w:rPr>
        <w:t>per</w:t>
      </w:r>
      <w:r w:rsidRPr="0038105B">
        <w:rPr>
          <w:rFonts w:cs="Times New Roman"/>
        </w:rPr>
        <w:t xml:space="preserve"> Fish J., that criminal liability does not attach “</w:t>
      </w:r>
      <w:r w:rsidRPr="0038105B">
        <w:rPr>
          <w:rFonts w:cs="Times New Roman"/>
          <w:lang w:bidi="en-US"/>
        </w:rPr>
        <w:t xml:space="preserve">to fruitless discussions in contemplation of a substantive crime that is never committed, nor even </w:t>
      </w:r>
      <w:r w:rsidRPr="0038105B">
        <w:rPr>
          <w:rFonts w:cs="Times New Roman"/>
          <w:lang w:bidi="en-US"/>
        </w:rPr>
        <w:lastRenderedPageBreak/>
        <w:t>attempted, by any of the parties to the discussions</w:t>
      </w:r>
      <w:r w:rsidRPr="0038105B">
        <w:rPr>
          <w:rFonts w:cs="Times New Roman"/>
        </w:rPr>
        <w:t>” (</w:t>
      </w:r>
      <w:proofErr w:type="spellStart"/>
      <w:r w:rsidRPr="0038105B">
        <w:rPr>
          <w:rFonts w:cs="Times New Roman"/>
        </w:rPr>
        <w:t>para</w:t>
      </w:r>
      <w:proofErr w:type="spellEnd"/>
      <w:r w:rsidRPr="0038105B">
        <w:rPr>
          <w:rFonts w:cs="Times New Roman"/>
        </w:rPr>
        <w:t>. 37).  They argue that s. 83.18 goes even further and criminalizes “indirect and fruitless contributions to non-terrorist activities where the intention is to enhance the ability of a group to commit such preliminary acts as conspiring or counselling, even where no terrorist act is facilitated or carried out and the accused is unaware of the specific nature of the act contemplated” (</w:t>
      </w:r>
      <w:proofErr w:type="spellStart"/>
      <w:r w:rsidRPr="0038105B">
        <w:rPr>
          <w:rFonts w:cs="Times New Roman"/>
        </w:rPr>
        <w:t>Nadarajah</w:t>
      </w:r>
      <w:proofErr w:type="spellEnd"/>
      <w:r w:rsidRPr="0038105B">
        <w:rPr>
          <w:rFonts w:cs="Times New Roman"/>
        </w:rPr>
        <w:t xml:space="preserve"> factum, at </w:t>
      </w:r>
      <w:proofErr w:type="spellStart"/>
      <w:r w:rsidRPr="0038105B">
        <w:rPr>
          <w:rFonts w:cs="Times New Roman"/>
        </w:rPr>
        <w:t>para</w:t>
      </w:r>
      <w:proofErr w:type="spellEnd"/>
      <w:r w:rsidRPr="0038105B">
        <w:rPr>
          <w:rFonts w:cs="Times New Roman"/>
        </w:rPr>
        <w:t>. 43).</w:t>
      </w:r>
    </w:p>
    <w:p w:rsidR="00E267BC" w:rsidRPr="0038105B" w:rsidRDefault="00E267BC" w:rsidP="00E267BC">
      <w:pPr>
        <w:pStyle w:val="ParaNoNdepar-AltN"/>
        <w:rPr>
          <w:rFonts w:cs="Times New Roman"/>
        </w:rPr>
      </w:pPr>
      <w:r w:rsidRPr="0038105B">
        <w:rPr>
          <w:rFonts w:cs="Times New Roman"/>
        </w:rPr>
        <w:t xml:space="preserve">In my opinion, </w:t>
      </w:r>
      <w:proofErr w:type="spellStart"/>
      <w:r w:rsidRPr="0038105B">
        <w:rPr>
          <w:rFonts w:cs="Times New Roman"/>
          <w:i/>
        </w:rPr>
        <w:t>Déry</w:t>
      </w:r>
      <w:proofErr w:type="spellEnd"/>
      <w:r w:rsidRPr="0038105B">
        <w:rPr>
          <w:rFonts w:cs="Times New Roman"/>
        </w:rPr>
        <w:t xml:space="preserve"> does not assist the appellants.  First, </w:t>
      </w:r>
      <w:proofErr w:type="spellStart"/>
      <w:r w:rsidRPr="0038105B">
        <w:rPr>
          <w:rFonts w:cs="Times New Roman"/>
          <w:i/>
        </w:rPr>
        <w:t>Déry</w:t>
      </w:r>
      <w:proofErr w:type="spellEnd"/>
      <w:r w:rsidRPr="0038105B">
        <w:rPr>
          <w:rFonts w:cs="Times New Roman"/>
        </w:rPr>
        <w:t xml:space="preserve"> was concerned with interpretation, not constitutional boundaries.  Indeed, the reasons contemplate that Parliament could, if it wished, create an offence of attempted conspiracy:  “Recognition of attempted conspiracy as a crime might well capture cases of feigned agreement, but this sort of change in the law is best left to Parliament” (</w:t>
      </w:r>
      <w:proofErr w:type="spellStart"/>
      <w:r w:rsidRPr="0038105B">
        <w:rPr>
          <w:rFonts w:cs="Times New Roman"/>
        </w:rPr>
        <w:t>para</w:t>
      </w:r>
      <w:proofErr w:type="spellEnd"/>
      <w:r w:rsidRPr="0038105B">
        <w:rPr>
          <w:rFonts w:cs="Times New Roman"/>
        </w:rPr>
        <w:t xml:space="preserve">. 36). </w:t>
      </w:r>
    </w:p>
    <w:p w:rsidR="00E267BC" w:rsidRPr="0038105B" w:rsidRDefault="00E267BC" w:rsidP="00E267BC">
      <w:pPr>
        <w:pStyle w:val="ParaNoNdepar-AltN"/>
        <w:rPr>
          <w:rFonts w:cs="Times New Roman"/>
        </w:rPr>
      </w:pPr>
      <w:r w:rsidRPr="0038105B">
        <w:rPr>
          <w:rFonts w:cs="Times New Roman"/>
        </w:rPr>
        <w:t xml:space="preserve">Second, the reason given in </w:t>
      </w:r>
      <w:proofErr w:type="spellStart"/>
      <w:r w:rsidRPr="0038105B">
        <w:rPr>
          <w:rFonts w:cs="Times New Roman"/>
          <w:i/>
        </w:rPr>
        <w:t>Déry</w:t>
      </w:r>
      <w:proofErr w:type="spellEnd"/>
      <w:r w:rsidRPr="0038105B">
        <w:rPr>
          <w:rFonts w:cs="Times New Roman"/>
          <w:i/>
        </w:rPr>
        <w:t xml:space="preserve"> </w:t>
      </w:r>
      <w:r w:rsidRPr="0038105B">
        <w:rPr>
          <w:rFonts w:cs="Times New Roman"/>
        </w:rPr>
        <w:t xml:space="preserve">for not punishing acts preceding the commission of an inchoate offence is that such acts would not be sufficiently proximate to a substantive offence and the harmful conduct that it seeks to address (see </w:t>
      </w:r>
      <w:proofErr w:type="spellStart"/>
      <w:r w:rsidRPr="0038105B">
        <w:rPr>
          <w:rFonts w:cs="Times New Roman"/>
        </w:rPr>
        <w:t>paras</w:t>
      </w:r>
      <w:proofErr w:type="spellEnd"/>
      <w:r w:rsidRPr="0038105B">
        <w:rPr>
          <w:rFonts w:cs="Times New Roman"/>
        </w:rPr>
        <w:t>. 43-46).  Here, there is no problem of remoteness from a substantive offence because Parliament has defined the substantive offence, not as a terrorist act, but as acting in ways that enhance the ability of a terrorist group to carry out a terrorist activity.</w:t>
      </w:r>
    </w:p>
    <w:p w:rsidR="00E267BC" w:rsidRPr="0038105B" w:rsidRDefault="00E267BC" w:rsidP="00E267BC">
      <w:pPr>
        <w:pStyle w:val="ParaNoNdepar-AltN"/>
        <w:rPr>
          <w:rFonts w:cs="Times New Roman"/>
        </w:rPr>
      </w:pPr>
      <w:r w:rsidRPr="0038105B">
        <w:rPr>
          <w:rFonts w:cs="Times New Roman"/>
        </w:rPr>
        <w:t>I re</w:t>
      </w:r>
      <w:r w:rsidR="00890DBB">
        <w:rPr>
          <w:rFonts w:cs="Times New Roman"/>
        </w:rPr>
        <w:t>turn to the central question:  I</w:t>
      </w:r>
      <w:r w:rsidRPr="0038105B">
        <w:rPr>
          <w:rFonts w:cs="Times New Roman"/>
        </w:rPr>
        <w:t xml:space="preserve">s s. 83.18 broader than necessary or does it have a grossly disproportionate impact, considering that the state objective is the </w:t>
      </w:r>
      <w:r w:rsidRPr="0038105B">
        <w:rPr>
          <w:rFonts w:cs="Times New Roman"/>
        </w:rPr>
        <w:lastRenderedPageBreak/>
        <w:t>prevention and prosecution of terrorism?  It is true that s. 83.18 captures a wide range of conduct.  However, as we have seen, the scope of that conduct is reduced by the requirement of specific intent and the exclusion of conduct that a reasonable person would not view as capable of materially enhancing the abilities of a terrorist group to facilitate or carry out a terrorist activity.  On the other side of the scale lies the objective of preventing the devastating harm that may result from terrorist activity.  When the tailored reach of the section is weighed against the objective, it cannot be said that the selected means are broader than necessary or that the impact of the section is disproportionate.</w:t>
      </w:r>
    </w:p>
    <w:p w:rsidR="00E267BC" w:rsidRPr="0038105B" w:rsidRDefault="00E267BC" w:rsidP="00E267BC">
      <w:pPr>
        <w:pStyle w:val="ParaNoNdepar-AltN"/>
        <w:rPr>
          <w:rFonts w:cs="Times New Roman"/>
        </w:rPr>
      </w:pPr>
      <w:r w:rsidRPr="0038105B">
        <w:rPr>
          <w:rFonts w:cs="Times New Roman"/>
        </w:rPr>
        <w:t xml:space="preserve">I add this.  The breadth of the impugned provisions reflects Parliament’s determination that “there is substantive harm inherent in all aspects of preparation for a terrorist act because of the great harm that flows from the completion of terrorist acts”:  </w:t>
      </w:r>
      <w:r w:rsidRPr="0038105B">
        <w:rPr>
          <w:rFonts w:cs="Times New Roman"/>
          <w:i/>
        </w:rPr>
        <w:t>R. v. Ahmad</w:t>
      </w:r>
      <w:r w:rsidRPr="0038105B">
        <w:rPr>
          <w:rFonts w:cs="Times New Roman"/>
        </w:rPr>
        <w:t xml:space="preserve"> (2009), 257 C.C.C. (3d) 199 (Ont. S.C.J.), at </w:t>
      </w:r>
      <w:proofErr w:type="spellStart"/>
      <w:r w:rsidRPr="0038105B">
        <w:rPr>
          <w:rFonts w:cs="Times New Roman"/>
        </w:rPr>
        <w:t>para</w:t>
      </w:r>
      <w:proofErr w:type="spellEnd"/>
      <w:r w:rsidRPr="0038105B">
        <w:rPr>
          <w:rFonts w:cs="Times New Roman"/>
        </w:rPr>
        <w:t xml:space="preserve">. 60.  In the context of the present analysis, it is appropriate to exhibit due deference to this determination. The criminalization under s. 83.18 of a broad range of interactions that have the potential </w:t>
      </w:r>
      <w:r w:rsidR="00890DBB">
        <w:rPr>
          <w:rFonts w:cs="Times New Roman"/>
        </w:rPr>
        <w:t xml:space="preserve">to </w:t>
      </w:r>
      <w:r w:rsidRPr="0038105B">
        <w:rPr>
          <w:rFonts w:cs="Times New Roman"/>
        </w:rPr>
        <w:t>— and are intended to — materially enhance the abilities of terrorist groups is not grossly disproportionate nor overbroad in relation to the objective of prosecuting and, in particular, of preventing terrorism.</w:t>
      </w:r>
    </w:p>
    <w:p w:rsidR="00E267BC" w:rsidRPr="0038105B" w:rsidRDefault="00E267BC" w:rsidP="00E267BC">
      <w:pPr>
        <w:pStyle w:val="ParaNoNdepar-AltN"/>
        <w:rPr>
          <w:rFonts w:cs="Times New Roman"/>
          <w:i/>
        </w:rPr>
      </w:pPr>
      <w:r w:rsidRPr="0038105B">
        <w:rPr>
          <w:rFonts w:cs="Times New Roman"/>
        </w:rPr>
        <w:t xml:space="preserve">For the foregoing reasons, I conclude that s. 83.18 does not violate s. 7 of the </w:t>
      </w:r>
      <w:r w:rsidRPr="0038105B">
        <w:rPr>
          <w:rFonts w:cs="Times New Roman"/>
          <w:i/>
        </w:rPr>
        <w:t>Charter</w:t>
      </w:r>
      <w:r w:rsidRPr="0038105B">
        <w:rPr>
          <w:rFonts w:cs="Times New Roman"/>
        </w:rPr>
        <w:t xml:space="preserve">. </w:t>
      </w:r>
    </w:p>
    <w:p w:rsidR="00E267BC" w:rsidRPr="0038105B" w:rsidRDefault="00E267BC" w:rsidP="002542E8">
      <w:pPr>
        <w:pStyle w:val="ParaNoNdepar-AltN"/>
        <w:numPr>
          <w:ilvl w:val="0"/>
          <w:numId w:val="0"/>
        </w:numPr>
        <w:spacing w:after="720" w:line="240" w:lineRule="auto"/>
        <w:ind w:left="1440" w:hanging="720"/>
        <w:rPr>
          <w:rFonts w:cs="Times New Roman"/>
          <w:i/>
        </w:rPr>
      </w:pPr>
      <w:r w:rsidRPr="0038105B">
        <w:rPr>
          <w:rFonts w:cs="Times New Roman"/>
        </w:rPr>
        <w:lastRenderedPageBreak/>
        <w:t>2.</w:t>
      </w:r>
      <w:r w:rsidRPr="0038105B">
        <w:rPr>
          <w:rFonts w:cs="Times New Roman"/>
        </w:rPr>
        <w:tab/>
      </w:r>
      <w:r w:rsidR="00890DBB">
        <w:rPr>
          <w:rFonts w:cs="Times New Roman"/>
          <w:u w:val="single"/>
        </w:rPr>
        <w:t>Does the Law, Specifically Section</w:t>
      </w:r>
      <w:r w:rsidRPr="0038105B">
        <w:rPr>
          <w:rFonts w:cs="Times New Roman"/>
          <w:u w:val="single"/>
        </w:rPr>
        <w:t xml:space="preserve"> 83.01(1</w:t>
      </w:r>
      <w:proofErr w:type="gramStart"/>
      <w:r w:rsidRPr="0038105B">
        <w:rPr>
          <w:rFonts w:cs="Times New Roman"/>
          <w:u w:val="single"/>
        </w:rPr>
        <w:t>)(</w:t>
      </w:r>
      <w:proofErr w:type="gramEnd"/>
      <w:r w:rsidRPr="0038105B">
        <w:rPr>
          <w:rFonts w:cs="Times New Roman"/>
          <w:i/>
          <w:u w:val="single"/>
        </w:rPr>
        <w:t>b</w:t>
      </w:r>
      <w:r w:rsidRPr="0038105B">
        <w:rPr>
          <w:rFonts w:cs="Times New Roman"/>
          <w:u w:val="single"/>
        </w:rPr>
        <w:t>)(</w:t>
      </w:r>
      <w:proofErr w:type="spellStart"/>
      <w:r w:rsidRPr="0038105B">
        <w:rPr>
          <w:rFonts w:cs="Times New Roman"/>
          <w:u w:val="single"/>
        </w:rPr>
        <w:t>i</w:t>
      </w:r>
      <w:proofErr w:type="spellEnd"/>
      <w:r w:rsidRPr="0038105B">
        <w:rPr>
          <w:rFonts w:cs="Times New Roman"/>
          <w:u w:val="single"/>
        </w:rPr>
        <w:t xml:space="preserve">)(A), Infringe Section 2 of the </w:t>
      </w:r>
      <w:r w:rsidRPr="0038105B">
        <w:rPr>
          <w:rFonts w:cs="Times New Roman"/>
          <w:i/>
          <w:u w:val="single"/>
        </w:rPr>
        <w:t>Charter</w:t>
      </w:r>
      <w:r w:rsidRPr="0038105B">
        <w:rPr>
          <w:rFonts w:cs="Times New Roman"/>
          <w:u w:val="single"/>
        </w:rPr>
        <w:t>?</w:t>
      </w:r>
    </w:p>
    <w:p w:rsidR="00E267BC" w:rsidRPr="0038105B" w:rsidRDefault="00E267BC" w:rsidP="00E267BC">
      <w:pPr>
        <w:pStyle w:val="ParaNoNdepar-AltN"/>
        <w:numPr>
          <w:ilvl w:val="0"/>
          <w:numId w:val="0"/>
        </w:numPr>
        <w:ind w:firstLine="720"/>
        <w:rPr>
          <w:rFonts w:cs="Times New Roman"/>
        </w:rPr>
      </w:pPr>
      <w:r w:rsidRPr="0038105B">
        <w:rPr>
          <w:rFonts w:eastAsiaTheme="minorHAnsi" w:cs="Times New Roman"/>
        </w:rPr>
        <w:t>(a)</w:t>
      </w:r>
      <w:r w:rsidRPr="0038105B">
        <w:rPr>
          <w:rFonts w:cs="Times New Roman"/>
        </w:rPr>
        <w:tab/>
      </w:r>
      <w:r w:rsidRPr="0038105B">
        <w:rPr>
          <w:rFonts w:cs="Times New Roman"/>
          <w:i/>
        </w:rPr>
        <w:t xml:space="preserve">Does the </w:t>
      </w:r>
      <w:r w:rsidRPr="0038105B">
        <w:rPr>
          <w:rFonts w:cs="Times New Roman"/>
          <w:i/>
          <w:u w:val="single"/>
        </w:rPr>
        <w:t>Purpose</w:t>
      </w:r>
      <w:r w:rsidRPr="0038105B">
        <w:rPr>
          <w:rFonts w:cs="Times New Roman"/>
          <w:i/>
        </w:rPr>
        <w:t xml:space="preserve"> of the Law Violate Freedom of Expression?</w:t>
      </w:r>
    </w:p>
    <w:p w:rsidR="00E267BC" w:rsidRPr="0038105B" w:rsidRDefault="00E267BC" w:rsidP="00E267BC">
      <w:pPr>
        <w:pStyle w:val="ParaNoNdepar-AltN"/>
        <w:rPr>
          <w:rFonts w:cs="Times New Roman"/>
        </w:rPr>
      </w:pPr>
      <w:r w:rsidRPr="0038105B">
        <w:rPr>
          <w:rFonts w:cs="Times New Roman"/>
        </w:rPr>
        <w:t xml:space="preserve">The appellants in the companion appeals argue that Part II.1 of the </w:t>
      </w:r>
      <w:r w:rsidRPr="0038105B">
        <w:rPr>
          <w:rFonts w:cs="Times New Roman"/>
          <w:i/>
        </w:rPr>
        <w:t xml:space="preserve">Criminal Code </w:t>
      </w:r>
      <w:r w:rsidRPr="0038105B">
        <w:rPr>
          <w:rFonts w:cs="Times New Roman"/>
        </w:rPr>
        <w:t xml:space="preserve">criminalizes expressive activity and therefore infringes the s. 2 guarantees of freedom of expression, freedom of religion and freedom of association. A law may limit, or infringe, a right either by its purpose or by its effect.  The appellants contend that the terrorism legislation, by its very purpose, limits the rights guaranteed by s. 2 of the </w:t>
      </w:r>
      <w:r w:rsidRPr="0038105B">
        <w:rPr>
          <w:rFonts w:cs="Times New Roman"/>
          <w:i/>
        </w:rPr>
        <w:t>Charter.</w:t>
      </w:r>
      <w:r w:rsidRPr="0038105B">
        <w:rPr>
          <w:rFonts w:cs="Times New Roman"/>
        </w:rPr>
        <w:t xml:space="preserve">  </w:t>
      </w:r>
    </w:p>
    <w:p w:rsidR="00E267BC" w:rsidRPr="0038105B" w:rsidRDefault="00E267BC" w:rsidP="00E267BC">
      <w:pPr>
        <w:pStyle w:val="ParaNoNdepar-AltN"/>
        <w:rPr>
          <w:rFonts w:cs="Times New Roman"/>
        </w:rPr>
      </w:pPr>
      <w:r w:rsidRPr="0038105B">
        <w:rPr>
          <w:rFonts w:cs="Times New Roman"/>
        </w:rPr>
        <w:t>The critical right at issue is freedom of expression, because the s. 2(</w:t>
      </w:r>
      <w:r w:rsidRPr="0038105B">
        <w:rPr>
          <w:rFonts w:cs="Times New Roman"/>
          <w:i/>
        </w:rPr>
        <w:t>b</w:t>
      </w:r>
      <w:r w:rsidRPr="0038105B">
        <w:rPr>
          <w:rFonts w:cs="Times New Roman"/>
        </w:rPr>
        <w:t xml:space="preserve">) argument as framed is the broadest of the </w:t>
      </w:r>
      <w:r w:rsidRPr="0038105B">
        <w:rPr>
          <w:rFonts w:cs="Times New Roman"/>
          <w:i/>
        </w:rPr>
        <w:t xml:space="preserve">Charter </w:t>
      </w:r>
      <w:r w:rsidRPr="0038105B">
        <w:rPr>
          <w:rFonts w:cs="Times New Roman"/>
        </w:rPr>
        <w:t>infringement claims.  If freedom of expression is not infringed, on the facts of this case there is no basis to contend that freedom of religion and association are infringed, as the Court of Appeal observed in this appeal (</w:t>
      </w:r>
      <w:proofErr w:type="spellStart"/>
      <w:r w:rsidRPr="0038105B">
        <w:rPr>
          <w:rFonts w:cs="Times New Roman"/>
        </w:rPr>
        <w:t>para</w:t>
      </w:r>
      <w:proofErr w:type="spellEnd"/>
      <w:r w:rsidRPr="0038105B">
        <w:rPr>
          <w:rFonts w:cs="Times New Roman"/>
        </w:rPr>
        <w:t>. 96).</w:t>
      </w:r>
    </w:p>
    <w:p w:rsidR="00E267BC" w:rsidRPr="0038105B" w:rsidRDefault="00E267BC" w:rsidP="00E267BC">
      <w:pPr>
        <w:pStyle w:val="ParaNoNdepar-AltN"/>
        <w:rPr>
          <w:rFonts w:cs="Times New Roman"/>
        </w:rPr>
      </w:pPr>
      <w:r w:rsidRPr="0038105B">
        <w:rPr>
          <w:rFonts w:cs="Times New Roman"/>
        </w:rPr>
        <w:t xml:space="preserve">The activities targeted by the legislation — committing a terrorist activity, assisting in the commission of a terrorist activity, enhancing the ability of others to commit a terrorist activity and instructing others in the commission of a terrorist activity — are </w:t>
      </w:r>
      <w:proofErr w:type="gramStart"/>
      <w:r w:rsidRPr="0038105B">
        <w:rPr>
          <w:rFonts w:cs="Times New Roman"/>
        </w:rPr>
        <w:t>in a sense expressive activities</w:t>
      </w:r>
      <w:proofErr w:type="gramEnd"/>
      <w:r w:rsidRPr="00890DBB">
        <w:rPr>
          <w:rFonts w:cs="Times New Roman"/>
        </w:rPr>
        <w:t>.</w:t>
      </w:r>
      <w:r w:rsidRPr="0038105B">
        <w:rPr>
          <w:rFonts w:cs="Times New Roman"/>
          <w:i/>
        </w:rPr>
        <w:t xml:space="preserve"> </w:t>
      </w:r>
      <w:r w:rsidRPr="0038105B">
        <w:rPr>
          <w:rFonts w:cs="Times New Roman"/>
        </w:rPr>
        <w:t xml:space="preserve"> However, violent activities are not protected by s. 2(</w:t>
      </w:r>
      <w:r w:rsidRPr="0038105B">
        <w:rPr>
          <w:rFonts w:cs="Times New Roman"/>
          <w:i/>
        </w:rPr>
        <w:t>b</w:t>
      </w:r>
      <w:r w:rsidRPr="0038105B">
        <w:rPr>
          <w:rFonts w:cs="Times New Roman"/>
        </w:rPr>
        <w:t xml:space="preserve">): </w:t>
      </w:r>
      <w:r w:rsidRPr="0038105B">
        <w:rPr>
          <w:rFonts w:cs="Times New Roman"/>
          <w:i/>
        </w:rPr>
        <w:t>Irwin Toy Ltd. v. Quebec (Attorney General)</w:t>
      </w:r>
      <w:r w:rsidRPr="0038105B">
        <w:rPr>
          <w:rFonts w:cs="Times New Roman"/>
        </w:rPr>
        <w:t>,</w:t>
      </w:r>
      <w:r w:rsidRPr="0038105B">
        <w:rPr>
          <w:rFonts w:cs="Times New Roman"/>
          <w:i/>
        </w:rPr>
        <w:t xml:space="preserve"> </w:t>
      </w:r>
      <w:r w:rsidRPr="0038105B">
        <w:rPr>
          <w:rFonts w:cs="Times New Roman"/>
        </w:rPr>
        <w:t>[1989] 1 S.C.R. 927</w:t>
      </w:r>
      <w:r w:rsidRPr="00002B7B">
        <w:rPr>
          <w:rFonts w:cs="Times New Roman"/>
        </w:rPr>
        <w:t>.</w:t>
      </w:r>
      <w:r w:rsidRPr="0038105B">
        <w:rPr>
          <w:rFonts w:cs="Times New Roman"/>
          <w:i/>
        </w:rPr>
        <w:t xml:space="preserve">  </w:t>
      </w:r>
      <w:r w:rsidRPr="0038105B">
        <w:rPr>
          <w:rFonts w:cs="Times New Roman"/>
        </w:rPr>
        <w:t xml:space="preserve">The Crown argues that this extends to all the conduct caught by the </w:t>
      </w:r>
      <w:r w:rsidRPr="0038105B">
        <w:rPr>
          <w:rFonts w:cs="Times New Roman"/>
        </w:rPr>
        <w:lastRenderedPageBreak/>
        <w:t xml:space="preserve">terrorism provisions of the </w:t>
      </w:r>
      <w:r w:rsidRPr="0038105B">
        <w:rPr>
          <w:rFonts w:cs="Times New Roman"/>
          <w:i/>
        </w:rPr>
        <w:t xml:space="preserve">Criminal Code </w:t>
      </w:r>
      <w:r w:rsidRPr="0038105B">
        <w:rPr>
          <w:rFonts w:cs="Times New Roman"/>
        </w:rPr>
        <w:t>and that consequently, s. 2(</w:t>
      </w:r>
      <w:r w:rsidRPr="0038105B">
        <w:rPr>
          <w:rFonts w:cs="Times New Roman"/>
          <w:i/>
        </w:rPr>
        <w:t>b</w:t>
      </w:r>
      <w:r w:rsidRPr="0038105B">
        <w:rPr>
          <w:rFonts w:cs="Times New Roman"/>
        </w:rPr>
        <w:t xml:space="preserve">) protections do not apply to Part II.1 of the </w:t>
      </w:r>
      <w:r w:rsidRPr="0038105B">
        <w:rPr>
          <w:rFonts w:cs="Times New Roman"/>
          <w:i/>
        </w:rPr>
        <w:t>Criminal Code</w:t>
      </w:r>
      <w:r w:rsidRPr="00002B7B">
        <w:rPr>
          <w:rFonts w:cs="Times New Roman"/>
        </w:rPr>
        <w:t>.</w:t>
      </w:r>
    </w:p>
    <w:p w:rsidR="00E267BC" w:rsidRPr="0038105B" w:rsidRDefault="00E267BC" w:rsidP="00E267BC">
      <w:pPr>
        <w:pStyle w:val="ParaNoNdepar-AltN"/>
        <w:rPr>
          <w:rFonts w:cs="Times New Roman"/>
        </w:rPr>
      </w:pPr>
      <w:r w:rsidRPr="0038105B">
        <w:rPr>
          <w:rFonts w:cs="Times New Roman"/>
        </w:rPr>
        <w:t>The appellants accept that activity that takes the form of violence is not protected by s. 2(</w:t>
      </w:r>
      <w:r w:rsidRPr="0038105B">
        <w:rPr>
          <w:rFonts w:cs="Times New Roman"/>
          <w:i/>
        </w:rPr>
        <w:t>b</w:t>
      </w:r>
      <w:r w:rsidRPr="0038105B">
        <w:rPr>
          <w:rFonts w:cs="Times New Roman"/>
        </w:rPr>
        <w:t>).  However, they argue that the Court of Appeal noted that this Court has not yet set out “the exact parameters of the violence exception to the broad meaning of expressive activity protected by s. 2(</w:t>
      </w:r>
      <w:r w:rsidRPr="0038105B">
        <w:rPr>
          <w:rFonts w:cs="Times New Roman"/>
          <w:i/>
        </w:rPr>
        <w:t>b</w:t>
      </w:r>
      <w:r w:rsidRPr="0038105B">
        <w:rPr>
          <w:rFonts w:cs="Times New Roman"/>
        </w:rPr>
        <w:t xml:space="preserve">)” (C.A. </w:t>
      </w:r>
      <w:proofErr w:type="spellStart"/>
      <w:r w:rsidRPr="0038105B">
        <w:rPr>
          <w:rFonts w:cs="Times New Roman"/>
          <w:i/>
        </w:rPr>
        <w:t>Khawaja</w:t>
      </w:r>
      <w:proofErr w:type="spellEnd"/>
      <w:r w:rsidRPr="0038105B">
        <w:rPr>
          <w:rFonts w:cs="Times New Roman"/>
        </w:rPr>
        <w:t xml:space="preserve">, at </w:t>
      </w:r>
      <w:proofErr w:type="spellStart"/>
      <w:r w:rsidRPr="0038105B">
        <w:rPr>
          <w:rFonts w:cs="Times New Roman"/>
        </w:rPr>
        <w:t>para</w:t>
      </w:r>
      <w:proofErr w:type="spellEnd"/>
      <w:r w:rsidRPr="0038105B">
        <w:rPr>
          <w:rFonts w:cs="Times New Roman"/>
        </w:rPr>
        <w:t>. 102).</w:t>
      </w:r>
      <w:r w:rsidRPr="0038105B">
        <w:rPr>
          <w:rFonts w:cs="Times New Roman"/>
          <w:i/>
        </w:rPr>
        <w:t xml:space="preserve"> </w:t>
      </w:r>
      <w:r w:rsidRPr="0038105B">
        <w:rPr>
          <w:rFonts w:cs="Times New Roman"/>
        </w:rPr>
        <w:t xml:space="preserve">  The violence exception, it is argued, should be construed narrowly to exclude from s. 2(</w:t>
      </w:r>
      <w:r w:rsidRPr="0038105B">
        <w:rPr>
          <w:rFonts w:cs="Times New Roman"/>
          <w:i/>
        </w:rPr>
        <w:t>b</w:t>
      </w:r>
      <w:r w:rsidRPr="0038105B">
        <w:rPr>
          <w:rFonts w:cs="Times New Roman"/>
        </w:rPr>
        <w:t>) protection only expressive activity that involves actual physical violence.</w:t>
      </w:r>
    </w:p>
    <w:p w:rsidR="00E267BC" w:rsidRPr="0038105B" w:rsidRDefault="00E267BC" w:rsidP="00E267BC">
      <w:pPr>
        <w:pStyle w:val="ParaNoNdepar-AltN"/>
        <w:rPr>
          <w:rFonts w:cs="Times New Roman"/>
        </w:rPr>
      </w:pPr>
      <w:r w:rsidRPr="0038105B">
        <w:rPr>
          <w:rFonts w:cs="Times New Roman"/>
        </w:rPr>
        <w:t xml:space="preserve">The trial judge in the companion cases, </w:t>
      </w:r>
      <w:proofErr w:type="spellStart"/>
      <w:r w:rsidRPr="0038105B">
        <w:rPr>
          <w:rFonts w:cs="Times New Roman"/>
        </w:rPr>
        <w:t>Pattillo</w:t>
      </w:r>
      <w:proofErr w:type="spellEnd"/>
      <w:r w:rsidRPr="0038105B">
        <w:rPr>
          <w:rFonts w:cs="Times New Roman"/>
        </w:rPr>
        <w:t xml:space="preserve"> J., held that the violence exception extends to threats and other acts supporting violent activity.  The Court of Appeal in this case found it unnecessary to decide the issue, holding that even if conduct captured by the definition of “terrorist activity” fell within s. 2(</w:t>
      </w:r>
      <w:r w:rsidRPr="0038105B">
        <w:rPr>
          <w:rFonts w:cs="Times New Roman"/>
          <w:i/>
        </w:rPr>
        <w:t>b</w:t>
      </w:r>
      <w:r w:rsidRPr="0038105B">
        <w:rPr>
          <w:rFonts w:cs="Times New Roman"/>
        </w:rPr>
        <w:t>), the conduct would nevertheless not be protected because it undermines the values underlying the right to freedom of expression — the pursuit of truth, participation in society and individual self-fulfillment.</w:t>
      </w:r>
    </w:p>
    <w:p w:rsidR="00E267BC" w:rsidRPr="0038105B" w:rsidRDefault="00E267BC" w:rsidP="00E267BC">
      <w:pPr>
        <w:pStyle w:val="ParaNoNdepar-AltN"/>
        <w:rPr>
          <w:rFonts w:cs="Times New Roman"/>
        </w:rPr>
      </w:pPr>
      <w:r w:rsidRPr="0038105B">
        <w:rPr>
          <w:rFonts w:cs="Times New Roman"/>
        </w:rPr>
        <w:t>This Court’s jurisprudence supports the proposition that the exclusion of violence from the s. 2(</w:t>
      </w:r>
      <w:r w:rsidRPr="0038105B">
        <w:rPr>
          <w:rFonts w:cs="Times New Roman"/>
          <w:i/>
        </w:rPr>
        <w:t>b</w:t>
      </w:r>
      <w:r w:rsidRPr="0038105B">
        <w:rPr>
          <w:rFonts w:cs="Times New Roman"/>
        </w:rPr>
        <w:t xml:space="preserve">) guarantee of free expression extends to threats of violence: </w:t>
      </w:r>
      <w:r w:rsidRPr="0038105B">
        <w:rPr>
          <w:rFonts w:cs="Times New Roman"/>
          <w:i/>
        </w:rPr>
        <w:t xml:space="preserve">Greater Vancouver Transportation Authority v. Canadian Federation of Students </w:t>
      </w:r>
      <w:r w:rsidR="002542E8">
        <w:rPr>
          <w:rFonts w:cs="Times New Roman"/>
          <w:i/>
          <w:szCs w:val="24"/>
        </w:rPr>
        <w:t>—</w:t>
      </w:r>
      <w:r w:rsidR="00002B7B" w:rsidRPr="00C55BF3">
        <w:rPr>
          <w:i/>
          <w:szCs w:val="24"/>
        </w:rPr>
        <w:t xml:space="preserve"> </w:t>
      </w:r>
      <w:r w:rsidRPr="0038105B">
        <w:rPr>
          <w:rFonts w:cs="Times New Roman"/>
          <w:i/>
        </w:rPr>
        <w:t>British Columbia Component</w:t>
      </w:r>
      <w:r w:rsidRPr="0038105B">
        <w:rPr>
          <w:rFonts w:cs="Times New Roman"/>
        </w:rPr>
        <w:t>, 2009 SCC 31,</w:t>
      </w:r>
      <w:r w:rsidRPr="0038105B">
        <w:rPr>
          <w:rFonts w:cs="Times New Roman"/>
          <w:i/>
        </w:rPr>
        <w:t xml:space="preserve"> </w:t>
      </w:r>
      <w:r w:rsidRPr="0038105B">
        <w:rPr>
          <w:rFonts w:cs="Times New Roman"/>
        </w:rPr>
        <w:t xml:space="preserve">[2009] 2 S.C.R. 295, at </w:t>
      </w:r>
      <w:proofErr w:type="spellStart"/>
      <w:r w:rsidRPr="0038105B">
        <w:rPr>
          <w:rFonts w:cs="Times New Roman"/>
        </w:rPr>
        <w:t>para</w:t>
      </w:r>
      <w:proofErr w:type="spellEnd"/>
      <w:r w:rsidRPr="0038105B">
        <w:rPr>
          <w:rFonts w:cs="Times New Roman"/>
        </w:rPr>
        <w:t xml:space="preserve">. 28; </w:t>
      </w:r>
      <w:r w:rsidRPr="0038105B">
        <w:rPr>
          <w:rFonts w:cs="Times New Roman"/>
          <w:i/>
        </w:rPr>
        <w:t>Suresh v. Canada (Minister of Citizenship and Immigration)</w:t>
      </w:r>
      <w:r w:rsidRPr="0038105B">
        <w:rPr>
          <w:rFonts w:cs="Times New Roman"/>
        </w:rPr>
        <w:t>, 2002 SCC 1, [2002] 1 S.C.R. 3,</w:t>
      </w:r>
      <w:r w:rsidRPr="0038105B">
        <w:rPr>
          <w:rFonts w:cs="Times New Roman"/>
          <w:i/>
        </w:rPr>
        <w:t xml:space="preserve"> </w:t>
      </w:r>
      <w:r w:rsidRPr="0038105B">
        <w:rPr>
          <w:rFonts w:cs="Times New Roman"/>
        </w:rPr>
        <w:t xml:space="preserve">at </w:t>
      </w:r>
      <w:proofErr w:type="spellStart"/>
      <w:r w:rsidRPr="0038105B">
        <w:rPr>
          <w:rFonts w:cs="Times New Roman"/>
        </w:rPr>
        <w:t>para</w:t>
      </w:r>
      <w:proofErr w:type="spellEnd"/>
      <w:r w:rsidRPr="0038105B">
        <w:rPr>
          <w:rFonts w:cs="Times New Roman"/>
        </w:rPr>
        <w:t xml:space="preserve">. 107; </w:t>
      </w:r>
      <w:r w:rsidRPr="0038105B">
        <w:rPr>
          <w:rFonts w:cs="Times New Roman"/>
          <w:i/>
          <w:iCs/>
          <w:lang w:bidi="en-US"/>
        </w:rPr>
        <w:t>RWDSU v. Dolphin Delivery Ltd.</w:t>
      </w:r>
      <w:r w:rsidRPr="0038105B">
        <w:rPr>
          <w:rFonts w:cs="Times New Roman"/>
          <w:lang w:bidi="en-US"/>
        </w:rPr>
        <w:t>, [1986] 2 S.C.R. 573, at p. 588</w:t>
      </w:r>
      <w:r w:rsidRPr="0038105B">
        <w:rPr>
          <w:rFonts w:cs="Times New Roman"/>
        </w:rPr>
        <w:t xml:space="preserve">. As this </w:t>
      </w:r>
      <w:r w:rsidRPr="0038105B">
        <w:rPr>
          <w:rFonts w:cs="Times New Roman"/>
        </w:rPr>
        <w:lastRenderedPageBreak/>
        <w:t xml:space="preserve">Court held in </w:t>
      </w:r>
      <w:r w:rsidRPr="0038105B">
        <w:rPr>
          <w:rFonts w:cs="Times New Roman"/>
          <w:i/>
        </w:rPr>
        <w:t>Greater Vancouver Transportation Authority</w:t>
      </w:r>
      <w:r w:rsidRPr="0038105B">
        <w:rPr>
          <w:rFonts w:cs="Times New Roman"/>
        </w:rPr>
        <w:t xml:space="preserve">, “violent expression </w:t>
      </w:r>
      <w:r w:rsidRPr="0038105B">
        <w:rPr>
          <w:rFonts w:cs="Times New Roman"/>
          <w:u w:val="single"/>
        </w:rPr>
        <w:t>or threats of violence</w:t>
      </w:r>
      <w:r w:rsidRPr="0038105B">
        <w:rPr>
          <w:rFonts w:cs="Times New Roman"/>
        </w:rPr>
        <w:t xml:space="preserve"> fall outside the scope of the s. 2(</w:t>
      </w:r>
      <w:r w:rsidRPr="0038105B">
        <w:rPr>
          <w:rFonts w:cs="Times New Roman"/>
          <w:i/>
        </w:rPr>
        <w:t>b</w:t>
      </w:r>
      <w:r w:rsidRPr="0038105B">
        <w:rPr>
          <w:rFonts w:cs="Times New Roman"/>
        </w:rPr>
        <w:t>) guarantee” (</w:t>
      </w:r>
      <w:proofErr w:type="spellStart"/>
      <w:r w:rsidRPr="0038105B">
        <w:rPr>
          <w:rFonts w:cs="Times New Roman"/>
        </w:rPr>
        <w:t>para</w:t>
      </w:r>
      <w:proofErr w:type="spellEnd"/>
      <w:r w:rsidRPr="0038105B">
        <w:rPr>
          <w:rFonts w:cs="Times New Roman"/>
        </w:rPr>
        <w:t>. 28 (emphasis added)).  It makes little sense to exclude acts of violence from the ambit of s. 2(</w:t>
      </w:r>
      <w:r w:rsidRPr="0038105B">
        <w:rPr>
          <w:rFonts w:cs="Times New Roman"/>
          <w:i/>
        </w:rPr>
        <w:t>b</w:t>
      </w:r>
      <w:r w:rsidRPr="0038105B">
        <w:rPr>
          <w:rFonts w:cs="Times New Roman"/>
        </w:rPr>
        <w:t xml:space="preserve">), but to confer protection on threats of violence.  Neither are worthy of protection. Threats of violence, like violence, undermine the rule of law. As I wrote in dissent in </w:t>
      </w:r>
      <w:r w:rsidRPr="0038105B">
        <w:rPr>
          <w:rFonts w:cs="Times New Roman"/>
          <w:i/>
        </w:rPr>
        <w:t>R. v.</w:t>
      </w:r>
      <w:r w:rsidRPr="0038105B">
        <w:rPr>
          <w:rFonts w:cs="Times New Roman"/>
        </w:rPr>
        <w:t xml:space="preserve"> </w:t>
      </w:r>
      <w:proofErr w:type="spellStart"/>
      <w:r w:rsidRPr="0038105B">
        <w:rPr>
          <w:rFonts w:cs="Times New Roman"/>
          <w:i/>
        </w:rPr>
        <w:t>Keegstra</w:t>
      </w:r>
      <w:proofErr w:type="spellEnd"/>
      <w:r w:rsidRPr="0038105B">
        <w:rPr>
          <w:rFonts w:cs="Times New Roman"/>
        </w:rPr>
        <w:t>,</w:t>
      </w:r>
      <w:r w:rsidRPr="0038105B">
        <w:rPr>
          <w:rFonts w:cs="Times New Roman"/>
          <w:i/>
        </w:rPr>
        <w:t xml:space="preserve"> </w:t>
      </w:r>
      <w:r w:rsidRPr="0038105B">
        <w:rPr>
          <w:rFonts w:cs="Times New Roman"/>
        </w:rPr>
        <w:t>[1990] 3 S.C.R. 697, threats of violence take away free choice and undermine freedom of action. They undermine the very values and social conditions that are necessary for the continued existence of freedom of expression (</w:t>
      </w:r>
      <w:r w:rsidR="00002B7B">
        <w:rPr>
          <w:rFonts w:cs="Times New Roman"/>
        </w:rPr>
        <w:t>pp. 830-</w:t>
      </w:r>
      <w:r w:rsidRPr="0038105B">
        <w:rPr>
          <w:rFonts w:cs="Times New Roman"/>
        </w:rPr>
        <w:t>31).  I therefore reject that the violence exception to s. 2(</w:t>
      </w:r>
      <w:r w:rsidRPr="0038105B">
        <w:rPr>
          <w:rFonts w:cs="Times New Roman"/>
          <w:i/>
        </w:rPr>
        <w:t>b</w:t>
      </w:r>
      <w:r w:rsidRPr="0038105B">
        <w:rPr>
          <w:rFonts w:cs="Times New Roman"/>
        </w:rPr>
        <w:t>) is confined to actual physical violence, without however deciding the precise ambit of the exception. Threats of violence fall outside the s. 2(</w:t>
      </w:r>
      <w:r w:rsidRPr="0038105B">
        <w:rPr>
          <w:rFonts w:cs="Times New Roman"/>
          <w:i/>
        </w:rPr>
        <w:t>b</w:t>
      </w:r>
      <w:r w:rsidRPr="0038105B">
        <w:rPr>
          <w:rFonts w:cs="Times New Roman"/>
        </w:rPr>
        <w:t xml:space="preserve">) guarantee of free expression. </w:t>
      </w:r>
    </w:p>
    <w:p w:rsidR="00E267BC" w:rsidRPr="0038105B" w:rsidRDefault="00E267BC" w:rsidP="00E267BC">
      <w:pPr>
        <w:pStyle w:val="ParaNoNdepar-AltN"/>
        <w:rPr>
          <w:rFonts w:cs="Times New Roman"/>
        </w:rPr>
      </w:pPr>
      <w:r w:rsidRPr="0038105B">
        <w:rPr>
          <w:rFonts w:cs="Times New Roman"/>
        </w:rPr>
        <w:t>Most of the conduct caught by the terrorism provisions in Part II.1 of the</w:t>
      </w:r>
      <w:r w:rsidRPr="0038105B">
        <w:rPr>
          <w:rFonts w:cs="Times New Roman"/>
          <w:i/>
        </w:rPr>
        <w:t xml:space="preserve"> Criminal Code</w:t>
      </w:r>
      <w:r w:rsidRPr="0038105B">
        <w:rPr>
          <w:rFonts w:cs="Times New Roman"/>
        </w:rPr>
        <w:t xml:space="preserve"> concerns acts of violence or threats of violence.  As such, the conduct falls outside the protection of s. 2(</w:t>
      </w:r>
      <w:r w:rsidRPr="0038105B">
        <w:rPr>
          <w:rFonts w:cs="Times New Roman"/>
          <w:i/>
        </w:rPr>
        <w:t>b</w:t>
      </w:r>
      <w:r w:rsidRPr="0038105B">
        <w:rPr>
          <w:rFonts w:cs="Times New Roman"/>
        </w:rPr>
        <w:t>) of the</w:t>
      </w:r>
      <w:r w:rsidRPr="0038105B">
        <w:rPr>
          <w:rFonts w:cs="Times New Roman"/>
          <w:i/>
        </w:rPr>
        <w:t xml:space="preserve"> Charter</w:t>
      </w:r>
      <w:r w:rsidRPr="0038105B">
        <w:rPr>
          <w:rFonts w:cs="Times New Roman"/>
        </w:rPr>
        <w:t xml:space="preserve">.  The violent nature of the conduct targeted is clear.  Part II.1 prohibits acts of serious violence and threats of such acts, which go beyond the scope of protected expressive activity.  A “terrorist activity” is defined as an act or an omission that “intentionally” “causes death or serious bodily harm”, “endangers a person’s life”, “causes a serious risk to the health or safety of the public”, or “causes substantial property </w:t>
      </w:r>
      <w:proofErr w:type="gramStart"/>
      <w:r w:rsidRPr="0038105B">
        <w:rPr>
          <w:rFonts w:cs="Times New Roman"/>
        </w:rPr>
        <w:t>damage .</w:t>
      </w:r>
      <w:proofErr w:type="gramEnd"/>
      <w:r w:rsidRPr="0038105B">
        <w:rPr>
          <w:rFonts w:cs="Times New Roman"/>
        </w:rPr>
        <w:t> . . likely to result” in these bodi</w:t>
      </w:r>
      <w:r w:rsidR="00002B7B">
        <w:rPr>
          <w:rFonts w:cs="Times New Roman"/>
        </w:rPr>
        <w:t xml:space="preserve">ly harms: </w:t>
      </w:r>
      <w:r w:rsidRPr="0038105B">
        <w:rPr>
          <w:rFonts w:cs="Times New Roman"/>
        </w:rPr>
        <w:t>s. 83.01(1)(</w:t>
      </w:r>
      <w:r w:rsidRPr="0038105B">
        <w:rPr>
          <w:rFonts w:cs="Times New Roman"/>
          <w:i/>
        </w:rPr>
        <w:t>b</w:t>
      </w:r>
      <w:r w:rsidRPr="0038105B">
        <w:rPr>
          <w:rFonts w:cs="Times New Roman"/>
        </w:rPr>
        <w:t>)(ii)(A), (B), (C) and (D).  These acts, and threats to commit them, constitute serious violence or threats of serious violence, and hence are not protected by s. 2(</w:t>
      </w:r>
      <w:r w:rsidRPr="0038105B">
        <w:rPr>
          <w:rFonts w:cs="Times New Roman"/>
          <w:i/>
        </w:rPr>
        <w:t>b</w:t>
      </w:r>
      <w:r w:rsidRPr="0038105B">
        <w:rPr>
          <w:rFonts w:cs="Times New Roman"/>
        </w:rPr>
        <w:t xml:space="preserve">). The provision also captures counselling, conspiracy and </w:t>
      </w:r>
      <w:r w:rsidRPr="0038105B">
        <w:rPr>
          <w:rFonts w:cs="Times New Roman"/>
        </w:rPr>
        <w:lastRenderedPageBreak/>
        <w:t>being an accessory after the fact in relation to conduct enumerated in s. 83.01(1</w:t>
      </w:r>
      <w:proofErr w:type="gramStart"/>
      <w:r w:rsidRPr="0038105B">
        <w:rPr>
          <w:rFonts w:cs="Times New Roman"/>
        </w:rPr>
        <w:t>)(</w:t>
      </w:r>
      <w:proofErr w:type="gramEnd"/>
      <w:r w:rsidRPr="0038105B">
        <w:rPr>
          <w:rFonts w:cs="Times New Roman"/>
          <w:i/>
        </w:rPr>
        <w:t>b</w:t>
      </w:r>
      <w:r w:rsidRPr="0038105B">
        <w:rPr>
          <w:rFonts w:cs="Times New Roman"/>
        </w:rPr>
        <w:t>)(ii)(A), (B), (C) and (D). I need not decide whether counselling, conspiracy or being an accessory after the fact fall within the violence exception to the free expression guarantee</w:t>
      </w:r>
      <w:r w:rsidRPr="0038105B">
        <w:rPr>
          <w:rFonts w:cs="Times New Roman"/>
          <w:i/>
        </w:rPr>
        <w:t xml:space="preserve"> as a general matter</w:t>
      </w:r>
      <w:r w:rsidRPr="0038105B">
        <w:rPr>
          <w:rFonts w:cs="Times New Roman"/>
        </w:rPr>
        <w:t>.  In the case of the impugned terrorism provisions, howe</w:t>
      </w:r>
      <w:r w:rsidR="00002B7B">
        <w:rPr>
          <w:rFonts w:cs="Times New Roman"/>
        </w:rPr>
        <w:t xml:space="preserve">ver, the conduct enumerated in </w:t>
      </w:r>
      <w:r w:rsidRPr="0038105B">
        <w:rPr>
          <w:rFonts w:cs="Times New Roman"/>
        </w:rPr>
        <w:t>s. 83.01(1)(</w:t>
      </w:r>
      <w:r w:rsidRPr="0038105B">
        <w:rPr>
          <w:rFonts w:cs="Times New Roman"/>
          <w:i/>
        </w:rPr>
        <w:t>b</w:t>
      </w:r>
      <w:r w:rsidRPr="0038105B">
        <w:rPr>
          <w:rFonts w:cs="Times New Roman"/>
        </w:rPr>
        <w:t>)(ii)(A), (B), (C) and (D) rises to a high level of gravity. The particular nature of the enumerated conduct justifies treating counselling, conspiracy or being an accessory after the fact to that conduct as being intimately connected to violence — and to the danger to Canadian society that such violence represents. Consequently, counselling, conspiracy or being an accessory after the</w:t>
      </w:r>
      <w:r w:rsidR="00002B7B">
        <w:rPr>
          <w:rFonts w:cs="Times New Roman"/>
        </w:rPr>
        <w:t xml:space="preserve"> fact to conduct enumerated in </w:t>
      </w:r>
      <w:r w:rsidRPr="0038105B">
        <w:rPr>
          <w:rFonts w:cs="Times New Roman"/>
        </w:rPr>
        <w:t>s. 83.01(1)(</w:t>
      </w:r>
      <w:r w:rsidRPr="0038105B">
        <w:rPr>
          <w:rFonts w:cs="Times New Roman"/>
          <w:i/>
        </w:rPr>
        <w:t>b</w:t>
      </w:r>
      <w:r w:rsidRPr="0038105B">
        <w:rPr>
          <w:rFonts w:cs="Times New Roman"/>
        </w:rPr>
        <w:t>)(ii)(A), (B), (C) and (D) can find no protection under s. 2(</w:t>
      </w:r>
      <w:r w:rsidRPr="0038105B">
        <w:rPr>
          <w:rFonts w:cs="Times New Roman"/>
          <w:i/>
        </w:rPr>
        <w:t>b</w:t>
      </w:r>
      <w:r w:rsidRPr="0038105B">
        <w:rPr>
          <w:rFonts w:cs="Times New Roman"/>
        </w:rPr>
        <w:t>).</w:t>
      </w:r>
    </w:p>
    <w:p w:rsidR="00E267BC" w:rsidRPr="0038105B" w:rsidRDefault="00E267BC" w:rsidP="00E267BC">
      <w:pPr>
        <w:pStyle w:val="ParaNoNdepar-AltN"/>
        <w:rPr>
          <w:rFonts w:cs="Times New Roman"/>
        </w:rPr>
      </w:pPr>
      <w:r w:rsidRPr="0038105B">
        <w:rPr>
          <w:rFonts w:cs="Times New Roman"/>
        </w:rPr>
        <w:t>More problematic is the extension of the meaning of “terrorist activity”  in s. 83.01(1)(</w:t>
      </w:r>
      <w:r w:rsidRPr="0038105B">
        <w:rPr>
          <w:rFonts w:cs="Times New Roman"/>
          <w:i/>
        </w:rPr>
        <w:t>b</w:t>
      </w:r>
      <w:r w:rsidR="00002B7B">
        <w:rPr>
          <w:rFonts w:cs="Times New Roman"/>
        </w:rPr>
        <w:t>)(ii)(E), which catches</w:t>
      </w:r>
      <w:r w:rsidRPr="0038105B">
        <w:rPr>
          <w:rFonts w:cs="Times New Roman"/>
        </w:rPr>
        <w:t xml:space="preserve"> “an act or omission .</w:t>
      </w:r>
      <w:r w:rsidR="00002B7B">
        <w:rPr>
          <w:rFonts w:cs="Times New Roman"/>
        </w:rPr>
        <w:t xml:space="preserve"> </w:t>
      </w:r>
      <w:r w:rsidRPr="0038105B">
        <w:rPr>
          <w:rFonts w:cs="Times New Roman"/>
        </w:rPr>
        <w:t>.</w:t>
      </w:r>
      <w:r w:rsidR="00002B7B">
        <w:rPr>
          <w:rFonts w:cs="Times New Roman"/>
        </w:rPr>
        <w:t xml:space="preserve"> </w:t>
      </w:r>
      <w:r w:rsidRPr="0038105B">
        <w:rPr>
          <w:rFonts w:cs="Times New Roman"/>
        </w:rPr>
        <w:t>. that .</w:t>
      </w:r>
      <w:r w:rsidR="00002B7B">
        <w:rPr>
          <w:rFonts w:cs="Times New Roman"/>
        </w:rPr>
        <w:t xml:space="preserve"> </w:t>
      </w:r>
      <w:r w:rsidRPr="0038105B">
        <w:rPr>
          <w:rFonts w:cs="Times New Roman"/>
        </w:rPr>
        <w:t>.</w:t>
      </w:r>
      <w:r w:rsidR="00002B7B">
        <w:rPr>
          <w:rFonts w:cs="Times New Roman"/>
        </w:rPr>
        <w:t xml:space="preserve"> </w:t>
      </w:r>
      <w:r w:rsidRPr="0038105B">
        <w:rPr>
          <w:rFonts w:cs="Times New Roman"/>
        </w:rPr>
        <w:t xml:space="preserve">. causes </w:t>
      </w:r>
      <w:r w:rsidRPr="0038105B">
        <w:rPr>
          <w:rFonts w:cs="Times New Roman"/>
          <w:u w:val="single"/>
        </w:rPr>
        <w:t>serious interference</w:t>
      </w:r>
      <w:r w:rsidRPr="0038105B">
        <w:rPr>
          <w:rFonts w:cs="Times New Roman"/>
        </w:rPr>
        <w:t xml:space="preserve"> with or </w:t>
      </w:r>
      <w:r w:rsidRPr="0038105B">
        <w:rPr>
          <w:rFonts w:cs="Times New Roman"/>
          <w:u w:val="single"/>
        </w:rPr>
        <w:t>serious disruption</w:t>
      </w:r>
      <w:r w:rsidRPr="0038105B">
        <w:rPr>
          <w:rFonts w:cs="Times New Roman"/>
        </w:rPr>
        <w:t xml:space="preserve"> of an essential service, facility or system, whether public or private, other than as a result of advocacy, protest, dissent or stoppage of work that is not intended to result in the conduct or harm referred to in any of clauses (A) to (C)”.  This provision, it is argued, captures “interference” and “disruption” that involve neither violence nor threats of violence, and that thus may be protected by the free expression guarantee of s. 2(</w:t>
      </w:r>
      <w:r w:rsidRPr="0038105B">
        <w:rPr>
          <w:rFonts w:cs="Times New Roman"/>
          <w:i/>
        </w:rPr>
        <w:t>b</w:t>
      </w:r>
      <w:r w:rsidRPr="0038105B">
        <w:rPr>
          <w:rFonts w:cs="Times New Roman"/>
        </w:rPr>
        <w:t xml:space="preserve">) of the </w:t>
      </w:r>
      <w:r w:rsidRPr="0038105B">
        <w:rPr>
          <w:rFonts w:cs="Times New Roman"/>
          <w:i/>
        </w:rPr>
        <w:t>Charter.</w:t>
      </w:r>
    </w:p>
    <w:p w:rsidR="00E267BC" w:rsidRPr="0038105B" w:rsidRDefault="00E267BC" w:rsidP="00E267BC">
      <w:pPr>
        <w:pStyle w:val="ParaNoNdepar-AltN"/>
        <w:rPr>
          <w:rFonts w:cs="Times New Roman"/>
        </w:rPr>
      </w:pPr>
      <w:r w:rsidRPr="0038105B">
        <w:rPr>
          <w:rFonts w:cs="Times New Roman"/>
        </w:rPr>
        <w:t>Read as a whole and purposively, s. 83.01(1</w:t>
      </w:r>
      <w:proofErr w:type="gramStart"/>
      <w:r w:rsidRPr="0038105B">
        <w:rPr>
          <w:rFonts w:cs="Times New Roman"/>
        </w:rPr>
        <w:t>)(</w:t>
      </w:r>
      <w:proofErr w:type="gramEnd"/>
      <w:r w:rsidRPr="0038105B">
        <w:rPr>
          <w:rFonts w:cs="Times New Roman"/>
          <w:i/>
        </w:rPr>
        <w:t>b</w:t>
      </w:r>
      <w:r w:rsidRPr="0038105B">
        <w:rPr>
          <w:rFonts w:cs="Times New Roman"/>
        </w:rPr>
        <w:t xml:space="preserve">)(ii)(E) is confined to the realm of acts of violence and threats of violence. </w:t>
      </w:r>
      <w:r w:rsidRPr="0038105B">
        <w:rPr>
          <w:rFonts w:cs="Times New Roman"/>
          <w:i/>
        </w:rPr>
        <w:t xml:space="preserve"> </w:t>
      </w:r>
      <w:r w:rsidRPr="0038105B">
        <w:rPr>
          <w:rFonts w:cs="Times New Roman"/>
        </w:rPr>
        <w:t xml:space="preserve">The </w:t>
      </w:r>
      <w:r w:rsidR="00002B7B">
        <w:rPr>
          <w:rFonts w:cs="Times New Roman"/>
        </w:rPr>
        <w:t xml:space="preserve">clause </w:t>
      </w:r>
      <w:r w:rsidRPr="0038105B">
        <w:rPr>
          <w:rFonts w:cs="Times New Roman"/>
        </w:rPr>
        <w:t xml:space="preserve">is directed to acts that </w:t>
      </w:r>
      <w:r w:rsidRPr="0038105B">
        <w:rPr>
          <w:rFonts w:cs="Times New Roman"/>
        </w:rPr>
        <w:lastRenderedPageBreak/>
        <w:t xml:space="preserve">intentionally interfere with essential infrastructure, upon which people depend, and without which life may be seriously disrupted and public health threatened.  First, clause (E) is confined to “serious interference” and “serious disruption”.  Second, this disruption must be to an “essential service, facility or system”.  Third, the </w:t>
      </w:r>
      <w:r w:rsidR="00002B7B">
        <w:rPr>
          <w:rFonts w:cs="Times New Roman"/>
        </w:rPr>
        <w:t xml:space="preserve">clause </w:t>
      </w:r>
      <w:r w:rsidRPr="0038105B">
        <w:rPr>
          <w:rFonts w:cs="Times New Roman"/>
        </w:rPr>
        <w:t xml:space="preserve">specifically excludes “advocacy, protest, dissent or stoppage of work that is not intended to result in the conduct or harm referred to in any of clauses (A) to (C)”.  Clauses (A) to (C) respectively target death or bodily harm by violence, endangering a person’s life and serious risk to the health or safety of the public.  This removes from the ambit of clause (E) a large slice of expressive activity, provided it is not aimed at the violent, dangerous ends contemplated in clauses (A) to (C). </w:t>
      </w:r>
    </w:p>
    <w:p w:rsidR="00E267BC" w:rsidRPr="0038105B" w:rsidRDefault="00E267BC" w:rsidP="00E267BC">
      <w:pPr>
        <w:pStyle w:val="ParaNoNdepar-AltN"/>
        <w:rPr>
          <w:rFonts w:cs="Times New Roman"/>
        </w:rPr>
      </w:pPr>
      <w:r w:rsidRPr="0038105B">
        <w:rPr>
          <w:rFonts w:cs="Times New Roman"/>
        </w:rPr>
        <w:t>I am not persuaded on the submissions before us that the activities targeted by s. 83.01(1</w:t>
      </w:r>
      <w:proofErr w:type="gramStart"/>
      <w:r w:rsidRPr="0038105B">
        <w:rPr>
          <w:rFonts w:cs="Times New Roman"/>
        </w:rPr>
        <w:t>)(</w:t>
      </w:r>
      <w:proofErr w:type="gramEnd"/>
      <w:r w:rsidRPr="0038105B">
        <w:rPr>
          <w:rFonts w:cs="Times New Roman"/>
          <w:i/>
        </w:rPr>
        <w:t>b</w:t>
      </w:r>
      <w:r w:rsidRPr="0038105B">
        <w:rPr>
          <w:rFonts w:cs="Times New Roman"/>
        </w:rPr>
        <w:t>)(ii)(E) fall within the protected zone of free expression.  This said, I would not rule out the possibility that s. 83.01(1</w:t>
      </w:r>
      <w:proofErr w:type="gramStart"/>
      <w:r w:rsidRPr="0038105B">
        <w:rPr>
          <w:rFonts w:cs="Times New Roman"/>
        </w:rPr>
        <w:t>)(</w:t>
      </w:r>
      <w:proofErr w:type="gramEnd"/>
      <w:r w:rsidRPr="0038105B">
        <w:rPr>
          <w:rFonts w:cs="Times New Roman"/>
          <w:i/>
        </w:rPr>
        <w:t>b</w:t>
      </w:r>
      <w:r w:rsidRPr="0038105B">
        <w:rPr>
          <w:rFonts w:cs="Times New Roman"/>
        </w:rPr>
        <w:t xml:space="preserve">)(ii)(E) might in some future case be found to capture protected activity.  In such a case, the issue would be whether the incursion on free expression is justified under s. 1 of the </w:t>
      </w:r>
      <w:r w:rsidRPr="0038105B">
        <w:rPr>
          <w:rFonts w:cs="Times New Roman"/>
          <w:i/>
        </w:rPr>
        <w:t>Charter</w:t>
      </w:r>
      <w:r w:rsidRPr="0038105B">
        <w:rPr>
          <w:rFonts w:cs="Times New Roman"/>
        </w:rPr>
        <w:t>.</w:t>
      </w:r>
    </w:p>
    <w:p w:rsidR="00E267BC" w:rsidRPr="0038105B" w:rsidRDefault="00E267BC" w:rsidP="00E267BC">
      <w:pPr>
        <w:pStyle w:val="ParaNoNdepar-AltN"/>
        <w:rPr>
          <w:rFonts w:cs="Times New Roman"/>
        </w:rPr>
      </w:pPr>
      <w:r w:rsidRPr="0038105B">
        <w:rPr>
          <w:rFonts w:cs="Times New Roman"/>
        </w:rPr>
        <w:t>I conclude that the purpose of the law does not infringe freedom of expression.</w:t>
      </w:r>
    </w:p>
    <w:p w:rsidR="00E267BC" w:rsidRPr="0038105B" w:rsidRDefault="00E267BC" w:rsidP="00E267BC">
      <w:pPr>
        <w:pStyle w:val="TitleTitre-AltT"/>
        <w:tabs>
          <w:tab w:val="clear" w:pos="360"/>
        </w:tabs>
        <w:ind w:left="1440" w:hanging="720"/>
        <w:rPr>
          <w:rFonts w:cs="Times New Roman"/>
          <w:i/>
        </w:rPr>
      </w:pPr>
      <w:r w:rsidRPr="0038105B">
        <w:rPr>
          <w:rFonts w:cs="Times New Roman"/>
        </w:rPr>
        <w:t xml:space="preserve">(b)  </w:t>
      </w:r>
      <w:r w:rsidRPr="0038105B">
        <w:rPr>
          <w:rFonts w:cs="Times New Roman"/>
          <w:i/>
        </w:rPr>
        <w:t xml:space="preserve">Does the </w:t>
      </w:r>
      <w:r w:rsidRPr="0038105B">
        <w:rPr>
          <w:rFonts w:cs="Times New Roman"/>
          <w:i/>
          <w:u w:val="single"/>
        </w:rPr>
        <w:t>Effect</w:t>
      </w:r>
      <w:r w:rsidRPr="0038105B">
        <w:rPr>
          <w:rFonts w:cs="Times New Roman"/>
          <w:i/>
        </w:rPr>
        <w:t xml:space="preserve"> of the Law Violate Freedom of Expression?</w:t>
      </w:r>
    </w:p>
    <w:p w:rsidR="00E267BC" w:rsidRPr="0038105B" w:rsidRDefault="00E267BC" w:rsidP="00E267BC">
      <w:pPr>
        <w:pStyle w:val="ParaNoNdepar-AltN"/>
        <w:rPr>
          <w:rFonts w:cs="Times New Roman"/>
        </w:rPr>
      </w:pPr>
      <w:r w:rsidRPr="0038105B">
        <w:rPr>
          <w:rFonts w:cs="Times New Roman"/>
        </w:rPr>
        <w:t>The appellants all argue that s. 83.01(1)(</w:t>
      </w:r>
      <w:r w:rsidRPr="0038105B">
        <w:rPr>
          <w:rFonts w:cs="Times New Roman"/>
          <w:i/>
        </w:rPr>
        <w:t>b</w:t>
      </w:r>
      <w:r w:rsidRPr="0038105B">
        <w:rPr>
          <w:rFonts w:cs="Times New Roman"/>
        </w:rPr>
        <w:t>)(</w:t>
      </w:r>
      <w:proofErr w:type="spellStart"/>
      <w:r w:rsidRPr="0038105B">
        <w:rPr>
          <w:rFonts w:cs="Times New Roman"/>
        </w:rPr>
        <w:t>i</w:t>
      </w:r>
      <w:proofErr w:type="spellEnd"/>
      <w:r w:rsidRPr="0038105B">
        <w:rPr>
          <w:rFonts w:cs="Times New Roman"/>
        </w:rPr>
        <w:t xml:space="preserve">)(A), the motive clause, is unconstitutional because (1) it has the effect of chilling the exercise of freedom of </w:t>
      </w:r>
      <w:r w:rsidRPr="0038105B">
        <w:rPr>
          <w:rFonts w:cs="Times New Roman"/>
        </w:rPr>
        <w:lastRenderedPageBreak/>
        <w:t>expression, freedom of religion and freedom of association; and (2) it would legitimize law enforcement action aimed at scrutinizing individuals based on their religious, political or ideological beliefs.  The trial judge in this case accepted this argument and severed the motive clause; the Court of Appeal disagreed and restored it.</w:t>
      </w:r>
    </w:p>
    <w:p w:rsidR="00E267BC" w:rsidRPr="0038105B" w:rsidRDefault="00E267BC" w:rsidP="00E267BC">
      <w:pPr>
        <w:pStyle w:val="ParaNoNdepar-AltN"/>
        <w:rPr>
          <w:rFonts w:cs="Times New Roman"/>
        </w:rPr>
      </w:pPr>
      <w:r w:rsidRPr="0038105B">
        <w:rPr>
          <w:rFonts w:cs="Times New Roman"/>
        </w:rPr>
        <w:t>The Crown responds that there is no evidence of a chilling effect on expression or of illegitimate targeting.  The respondent further argues that the conduct caught by the provisions is not protected by the s. 2(</w:t>
      </w:r>
      <w:r w:rsidRPr="0038105B">
        <w:rPr>
          <w:rFonts w:cs="Times New Roman"/>
          <w:i/>
        </w:rPr>
        <w:t>b</w:t>
      </w:r>
      <w:r w:rsidRPr="0038105B">
        <w:rPr>
          <w:rFonts w:cs="Times New Roman"/>
        </w:rPr>
        <w:t xml:space="preserve">) guarantee, as it amounts to violence or threats of violence and does not fall within the purposes that underlie the guarantee.  If there is no chilling effect with respect to the exercise of freedom of expression, there can be none with respect to freedom of religion or association. </w:t>
      </w:r>
    </w:p>
    <w:p w:rsidR="00E267BC" w:rsidRPr="0038105B" w:rsidRDefault="00E267BC" w:rsidP="00E267BC">
      <w:pPr>
        <w:pStyle w:val="ParaNoNdepar-AltN"/>
        <w:rPr>
          <w:rFonts w:cs="Times New Roman"/>
        </w:rPr>
      </w:pPr>
      <w:r w:rsidRPr="0038105B">
        <w:rPr>
          <w:rFonts w:cs="Times New Roman"/>
        </w:rPr>
        <w:t>The first question is what sort of evidentiary basis is required to establish that legislation has a chilling effect on the exercise of s. 2 freedoms.  The appellants say that a chilling effect can be inferred on the basis of logic, common sense and the academic literature, as the trial judge did.  The respondent says that there must be proof of a chilling effect in the form of credible empirical or anecdotal evidence, as the Court of Appeal held.</w:t>
      </w:r>
    </w:p>
    <w:p w:rsidR="00E267BC" w:rsidRPr="0038105B" w:rsidRDefault="00E267BC" w:rsidP="00E267BC">
      <w:pPr>
        <w:pStyle w:val="ParaNoNdepar-AltN"/>
        <w:rPr>
          <w:rFonts w:cs="Times New Roman"/>
        </w:rPr>
      </w:pPr>
      <w:r w:rsidRPr="0038105B">
        <w:rPr>
          <w:rFonts w:cs="Times New Roman"/>
        </w:rPr>
        <w:t xml:space="preserve">In some situations, a chilling effect can be inferred from known facts and experience.  For example, no reasonable person would dispute that a law that makes the press liable in damages for responsible reporting on political figures will probably have a chilling effect on what the press says.  In such a case, it may be unnecessary to </w:t>
      </w:r>
      <w:r w:rsidRPr="0038105B">
        <w:rPr>
          <w:rFonts w:cs="Times New Roman"/>
        </w:rPr>
        <w:lastRenderedPageBreak/>
        <w:t xml:space="preserve">call evidence of a chilling effect.  Therefore, if the Court of Appeal is understood as suggesting that a claimant under s. 2 of the </w:t>
      </w:r>
      <w:r w:rsidRPr="0038105B">
        <w:rPr>
          <w:rFonts w:cs="Times New Roman"/>
          <w:i/>
        </w:rPr>
        <w:t>Charter</w:t>
      </w:r>
      <w:r w:rsidRPr="0038105B">
        <w:rPr>
          <w:rFonts w:cs="Times New Roman"/>
        </w:rPr>
        <w:t xml:space="preserve"> must always call evidence of a chilling effect, I could not agree. </w:t>
      </w:r>
    </w:p>
    <w:p w:rsidR="00E267BC" w:rsidRPr="0038105B" w:rsidRDefault="00E267BC" w:rsidP="00E267BC">
      <w:pPr>
        <w:pStyle w:val="ParaNoNdepar-AltN"/>
        <w:rPr>
          <w:rFonts w:cs="Times New Roman"/>
        </w:rPr>
      </w:pPr>
      <w:r w:rsidRPr="0038105B">
        <w:rPr>
          <w:rFonts w:cs="Times New Roman"/>
        </w:rPr>
        <w:t xml:space="preserve">However, in this case, it is impossible to infer, without evidence, that the motive clause will have a chilling effect on the exercise of s. 2 freedoms by people holding religious or ideological views similar to those held by some terrorists.  The reasons of the Court of Appeal detail why such an inference cannot be made.  </w:t>
      </w:r>
    </w:p>
    <w:p w:rsidR="00E267BC" w:rsidRPr="0038105B" w:rsidRDefault="00E267BC" w:rsidP="00E267BC">
      <w:pPr>
        <w:pStyle w:val="ParaNoNdepar-AltN"/>
        <w:rPr>
          <w:rFonts w:cs="Times New Roman"/>
        </w:rPr>
      </w:pPr>
      <w:r w:rsidRPr="0038105B">
        <w:rPr>
          <w:rFonts w:cs="Times New Roman"/>
        </w:rPr>
        <w:t>First, a causal connection between the motive clause and the chilling of expression of religious or ideological views has not been demonstrated. The chill in the expression of religious and ideological views referred to by the trial judge flowed from the post-“9/11” climate of suspicion, not from the motive clause in the terrorism legislation.</w:t>
      </w:r>
    </w:p>
    <w:p w:rsidR="00E267BC" w:rsidRPr="0038105B" w:rsidRDefault="00E267BC" w:rsidP="00E267BC">
      <w:pPr>
        <w:pStyle w:val="ParaNoNdepar-AltN"/>
        <w:rPr>
          <w:rFonts w:cs="Times New Roman"/>
        </w:rPr>
      </w:pPr>
      <w:r w:rsidRPr="0038105B">
        <w:rPr>
          <w:rFonts w:cs="Times New Roman"/>
        </w:rPr>
        <w:t xml:space="preserve">Second, a chilling effect that results from a patently incorrect understanding of a provision cannot ground a finding of unconstitutionality. Indeed, the motive clause would only have a chilling effect on individuals who have cursory or incomplete knowledge of s. 83.01. Anyone who reads the entire provision will take notice of s. 83.01(1.1), which expressly declares that “terrorist activity” within the meaning of the </w:t>
      </w:r>
      <w:r w:rsidRPr="0038105B">
        <w:rPr>
          <w:rFonts w:cs="Times New Roman"/>
          <w:i/>
        </w:rPr>
        <w:t>Criminal Code</w:t>
      </w:r>
      <w:r w:rsidRPr="0038105B">
        <w:rPr>
          <w:rFonts w:cs="Times New Roman"/>
        </w:rPr>
        <w:t xml:space="preserve"> does not include the non-violent expression of a political, religious or ideological thought, belief or opinion. Only individuals who go well beyond the legitimate expression of a political, religious or ideological thought, belief or opinion, and instead engage in one of the serious forms of violence — or </w:t>
      </w:r>
      <w:r w:rsidRPr="0038105B">
        <w:rPr>
          <w:rFonts w:cs="Times New Roman"/>
        </w:rPr>
        <w:lastRenderedPageBreak/>
        <w:t>threaten one of the serious forms of violence — listed in s. 83.01(1)(</w:t>
      </w:r>
      <w:r w:rsidRPr="0038105B">
        <w:rPr>
          <w:rFonts w:cs="Times New Roman"/>
          <w:i/>
        </w:rPr>
        <w:t>b</w:t>
      </w:r>
      <w:r w:rsidRPr="0038105B">
        <w:rPr>
          <w:rFonts w:cs="Times New Roman"/>
        </w:rPr>
        <w:t>)(</w:t>
      </w:r>
      <w:r w:rsidRPr="00E342E4">
        <w:rPr>
          <w:rFonts w:cs="Times New Roman"/>
        </w:rPr>
        <w:t>ii</w:t>
      </w:r>
      <w:r w:rsidRPr="0038105B">
        <w:rPr>
          <w:rFonts w:cs="Times New Roman"/>
        </w:rPr>
        <w:t xml:space="preserve">) need fear liability under the terrorism provisions of the </w:t>
      </w:r>
      <w:r w:rsidRPr="0038105B">
        <w:rPr>
          <w:rFonts w:cs="Times New Roman"/>
          <w:i/>
        </w:rPr>
        <w:t>Criminal Code</w:t>
      </w:r>
      <w:r w:rsidRPr="0038105B">
        <w:rPr>
          <w:rFonts w:cs="Times New Roman"/>
        </w:rPr>
        <w:t>.</w:t>
      </w:r>
    </w:p>
    <w:p w:rsidR="00E267BC" w:rsidRPr="0038105B" w:rsidRDefault="00E267BC" w:rsidP="00E267BC">
      <w:pPr>
        <w:pStyle w:val="ParaNoNdepar-AltN"/>
        <w:rPr>
          <w:rFonts w:cs="Times New Roman"/>
        </w:rPr>
      </w:pPr>
      <w:r w:rsidRPr="0038105B">
        <w:rPr>
          <w:rFonts w:cs="Times New Roman"/>
        </w:rPr>
        <w:t xml:space="preserve">Third, any chilling effect that results from police misconduct, such as profiling based exclusively on ethnicity or religious belief, is not a chill created by the terrorism legislation. I agree with the following statement made by the Court of Appeal, at </w:t>
      </w:r>
      <w:proofErr w:type="spellStart"/>
      <w:r w:rsidRPr="0038105B">
        <w:rPr>
          <w:rFonts w:cs="Times New Roman"/>
        </w:rPr>
        <w:t>para</w:t>
      </w:r>
      <w:proofErr w:type="spellEnd"/>
      <w:r w:rsidRPr="0038105B">
        <w:rPr>
          <w:rFonts w:cs="Times New Roman"/>
        </w:rPr>
        <w:t>. 134:</w:t>
      </w:r>
    </w:p>
    <w:p w:rsidR="00E267BC" w:rsidRPr="0038105B" w:rsidRDefault="00E267BC" w:rsidP="00E267BC">
      <w:pPr>
        <w:pStyle w:val="Citation-AltC"/>
      </w:pPr>
      <w:r w:rsidRPr="0038105B">
        <w:t xml:space="preserve">Nor can improper conduct by the state actors charged with enforcing legislation render what is otherwise constitutional legislation unconstitutional. Where the problem lies with the enforcement of a constitutionally valid statute, the solution is to remedy that improper enforcement, not to declare the statute unconstitutional: </w:t>
      </w:r>
      <w:r w:rsidRPr="0038105B">
        <w:rPr>
          <w:i/>
        </w:rPr>
        <w:t>Little Sisters Book and Art Emporium v. Canada (Minister of Justice)</w:t>
      </w:r>
      <w:r w:rsidRPr="0038105B">
        <w:t xml:space="preserve">, </w:t>
      </w:r>
      <w:r w:rsidR="00002B7B">
        <w:t>[</w:t>
      </w:r>
      <w:r w:rsidRPr="0038105B">
        <w:t>2000 SCC 69,</w:t>
      </w:r>
      <w:r w:rsidR="00002B7B">
        <w:t>]</w:t>
      </w:r>
      <w:r w:rsidRPr="0038105B">
        <w:t xml:space="preserve"> [2000] 2 S.C.R. </w:t>
      </w:r>
      <w:proofErr w:type="gramStart"/>
      <w:r w:rsidRPr="0038105B">
        <w:t xml:space="preserve">1120, </w:t>
      </w:r>
      <w:r w:rsidR="00002B7B">
        <w:t>.</w:t>
      </w:r>
      <w:r w:rsidR="002542E8">
        <w:t xml:space="preserve"> .</w:t>
      </w:r>
      <w:r w:rsidR="00002B7B">
        <w:t xml:space="preserve"> .</w:t>
      </w:r>
      <w:proofErr w:type="gramEnd"/>
      <w:r w:rsidR="00002B7B">
        <w:t xml:space="preserve"> </w:t>
      </w:r>
      <w:r w:rsidRPr="0038105B">
        <w:t xml:space="preserve">at </w:t>
      </w:r>
      <w:proofErr w:type="spellStart"/>
      <w:r w:rsidRPr="0038105B">
        <w:t>paras</w:t>
      </w:r>
      <w:proofErr w:type="spellEnd"/>
      <w:r w:rsidRPr="0038105B">
        <w:t xml:space="preserve">. </w:t>
      </w:r>
      <w:proofErr w:type="gramStart"/>
      <w:r w:rsidRPr="0038105B">
        <w:t>133-35.</w:t>
      </w:r>
      <w:proofErr w:type="gramEnd"/>
      <w:r w:rsidRPr="0038105B">
        <w:t xml:space="preserve"> </w:t>
      </w:r>
    </w:p>
    <w:p w:rsidR="00E267BC" w:rsidRPr="0038105B" w:rsidRDefault="00E267BC" w:rsidP="00E267BC">
      <w:pPr>
        <w:pStyle w:val="Citation-AltC"/>
      </w:pPr>
    </w:p>
    <w:p w:rsidR="00E267BC" w:rsidRPr="0038105B" w:rsidRDefault="00E267BC" w:rsidP="00E267BC">
      <w:pPr>
        <w:pStyle w:val="ContinueParaSuitedupar-AltP"/>
        <w:rPr>
          <w:rFonts w:cs="Times New Roman"/>
        </w:rPr>
      </w:pPr>
      <w:r w:rsidRPr="0038105B">
        <w:rPr>
          <w:rFonts w:cs="Times New Roman"/>
        </w:rPr>
        <w:t>Criminal liability should not be based on a person’s political, religious or ideological views.  Police should not target people as potential suspects solely because they hold or express particular views.  Nor should the justice system employ improper stereotyping as a tool in legislation, investigation or prosecution. In the present case, the impugned provision is clearly drafted in a manner respectful of diversity, as it allows for the non-violent expression of political, religious or ideological views. It raises no concerns with respect to improper stereotyping.</w:t>
      </w:r>
    </w:p>
    <w:p w:rsidR="00E267BC" w:rsidRPr="0038105B" w:rsidRDefault="00E267BC" w:rsidP="00E267BC">
      <w:pPr>
        <w:pStyle w:val="ParaNoNdepar-AltN"/>
        <w:rPr>
          <w:rFonts w:cs="Times New Roman"/>
        </w:rPr>
      </w:pPr>
      <w:r w:rsidRPr="0038105B">
        <w:rPr>
          <w:rFonts w:cs="Times New Roman"/>
        </w:rPr>
        <w:t xml:space="preserve">For these reasons, I agree with the Court of Appeal that the appellants have not established that the motive clause has a chilling effect on the exercise of s. 2 </w:t>
      </w:r>
      <w:r w:rsidRPr="0038105B">
        <w:rPr>
          <w:rFonts w:cs="Times New Roman"/>
        </w:rPr>
        <w:lastRenderedPageBreak/>
        <w:t xml:space="preserve">liberties and results in an infringement of s. 2 of the </w:t>
      </w:r>
      <w:r w:rsidRPr="0038105B">
        <w:rPr>
          <w:rFonts w:cs="Times New Roman"/>
          <w:i/>
        </w:rPr>
        <w:t>Charter</w:t>
      </w:r>
      <w:r w:rsidRPr="0038105B">
        <w:rPr>
          <w:rFonts w:cs="Times New Roman"/>
        </w:rPr>
        <w:t>.  The motive clause is constitutional and need not be excised from the law, as the trial judge held.  This is not altered by the fact that terrorist legislation in some countries does not contain a motive clause, or by the argument that the clause is unnecessary to the Canadian legislative scheme.</w:t>
      </w:r>
    </w:p>
    <w:p w:rsidR="00E267BC" w:rsidRPr="0038105B" w:rsidRDefault="00E267BC" w:rsidP="00002B7B">
      <w:pPr>
        <w:pStyle w:val="ParaNoNdepar-AltN"/>
        <w:numPr>
          <w:ilvl w:val="0"/>
          <w:numId w:val="0"/>
        </w:numPr>
        <w:ind w:firstLine="720"/>
        <w:rPr>
          <w:rFonts w:cs="Times New Roman"/>
        </w:rPr>
      </w:pPr>
      <w:r w:rsidRPr="0038105B">
        <w:rPr>
          <w:rFonts w:cs="Times New Roman"/>
        </w:rPr>
        <w:t>3.</w:t>
      </w:r>
      <w:r w:rsidRPr="0038105B">
        <w:rPr>
          <w:rFonts w:cs="Times New Roman"/>
        </w:rPr>
        <w:tab/>
      </w:r>
      <w:r w:rsidRPr="0038105B">
        <w:rPr>
          <w:rFonts w:cs="Times New Roman"/>
          <w:u w:val="single"/>
        </w:rPr>
        <w:t>Conclusion on the Constitutionality of the Law</w:t>
      </w:r>
    </w:p>
    <w:p w:rsidR="00E267BC" w:rsidRPr="0038105B" w:rsidRDefault="00E267BC" w:rsidP="00E267BC">
      <w:pPr>
        <w:pStyle w:val="ParaNoNdepar-AltN"/>
        <w:rPr>
          <w:rFonts w:cs="Times New Roman"/>
          <w:i/>
        </w:rPr>
      </w:pPr>
      <w:r w:rsidRPr="0038105B">
        <w:rPr>
          <w:rFonts w:cs="Times New Roman"/>
        </w:rPr>
        <w:t xml:space="preserve">I conclude that the impugned provisions do not infringe s. 7 or s. 2 of the </w:t>
      </w:r>
      <w:r w:rsidRPr="0038105B">
        <w:rPr>
          <w:rFonts w:cs="Times New Roman"/>
          <w:i/>
        </w:rPr>
        <w:t>Charter</w:t>
      </w:r>
      <w:r w:rsidRPr="0038105B">
        <w:rPr>
          <w:rFonts w:cs="Times New Roman"/>
        </w:rPr>
        <w:t>.</w:t>
      </w:r>
      <w:r w:rsidRPr="0038105B">
        <w:rPr>
          <w:rFonts w:cs="Times New Roman"/>
          <w:i/>
        </w:rPr>
        <w:t xml:space="preserve">  </w:t>
      </w:r>
      <w:r w:rsidRPr="0038105B">
        <w:rPr>
          <w:rFonts w:cs="Times New Roman"/>
        </w:rPr>
        <w:t xml:space="preserve">It is therefore unnecessary to consider s. 1 of the </w:t>
      </w:r>
      <w:r w:rsidRPr="0038105B">
        <w:rPr>
          <w:rFonts w:cs="Times New Roman"/>
          <w:i/>
        </w:rPr>
        <w:t>Charter</w:t>
      </w:r>
      <w:r w:rsidRPr="0038105B">
        <w:rPr>
          <w:rFonts w:cs="Times New Roman"/>
        </w:rPr>
        <w:t>.</w:t>
      </w:r>
    </w:p>
    <w:p w:rsidR="00E267BC" w:rsidRPr="0038105B" w:rsidRDefault="00E267BC" w:rsidP="00E267BC">
      <w:pPr>
        <w:pStyle w:val="TitleTitre-AltT"/>
        <w:tabs>
          <w:tab w:val="clear" w:pos="360"/>
        </w:tabs>
        <w:ind w:left="0" w:firstLine="0"/>
        <w:rPr>
          <w:rFonts w:cs="Times New Roman"/>
          <w:i/>
        </w:rPr>
      </w:pPr>
      <w:r w:rsidRPr="0038105B">
        <w:rPr>
          <w:rFonts w:cs="Times New Roman"/>
        </w:rPr>
        <w:t xml:space="preserve">B.  </w:t>
      </w:r>
      <w:r w:rsidRPr="0038105B">
        <w:rPr>
          <w:rFonts w:cs="Times New Roman"/>
          <w:i/>
        </w:rPr>
        <w:t>Was the Law Correctly Applied?</w:t>
      </w:r>
    </w:p>
    <w:p w:rsidR="00E267BC" w:rsidRPr="0038105B" w:rsidRDefault="00E267BC" w:rsidP="00002B7B">
      <w:pPr>
        <w:pStyle w:val="ParaNoNdepar-AltN"/>
        <w:numPr>
          <w:ilvl w:val="0"/>
          <w:numId w:val="0"/>
        </w:numPr>
        <w:spacing w:line="240" w:lineRule="auto"/>
        <w:ind w:left="1170" w:hanging="450"/>
        <w:rPr>
          <w:rFonts w:cs="Times New Roman"/>
        </w:rPr>
      </w:pPr>
      <w:r w:rsidRPr="0038105B">
        <w:rPr>
          <w:rFonts w:cs="Times New Roman"/>
        </w:rPr>
        <w:t xml:space="preserve">1. </w:t>
      </w:r>
      <w:r w:rsidRPr="0038105B">
        <w:rPr>
          <w:rFonts w:cs="Times New Roman"/>
        </w:rPr>
        <w:tab/>
      </w:r>
      <w:r w:rsidRPr="0038105B">
        <w:rPr>
          <w:rFonts w:cs="Times New Roman"/>
          <w:u w:val="single"/>
        </w:rPr>
        <w:t>Did the Deletion and Subsequent Re-insertion of the Motive Clause Make the Trial and Convictions Unfair?</w:t>
      </w:r>
    </w:p>
    <w:p w:rsidR="00E267BC" w:rsidRPr="0038105B" w:rsidRDefault="00E267BC" w:rsidP="00E267BC">
      <w:pPr>
        <w:pStyle w:val="ParaNoNdepar-AltN"/>
        <w:rPr>
          <w:rFonts w:cs="Times New Roman"/>
        </w:rPr>
      </w:pPr>
      <w:r w:rsidRPr="0038105B">
        <w:rPr>
          <w:rFonts w:cs="Times New Roman"/>
        </w:rPr>
        <w:t xml:space="preserve">The trial judge found the motive clause unconstitutional and severed it.  The trial proceeded on the basis that this clause was removed from the legislation, and the accused was convicted on the charges from which he appeals.  The Court of Appeal held that the motive clause is constitutional and should not have been severed. It nevertheless upheld the convictions under the curative proviso of the </w:t>
      </w:r>
      <w:r w:rsidRPr="0038105B">
        <w:rPr>
          <w:rFonts w:cs="Times New Roman"/>
          <w:i/>
        </w:rPr>
        <w:t>Criminal Code</w:t>
      </w:r>
      <w:r w:rsidRPr="0038105B">
        <w:rPr>
          <w:rFonts w:cs="Times New Roman"/>
        </w:rPr>
        <w:t>, s. 686(1</w:t>
      </w:r>
      <w:proofErr w:type="gramStart"/>
      <w:r w:rsidRPr="0038105B">
        <w:rPr>
          <w:rFonts w:cs="Times New Roman"/>
        </w:rPr>
        <w:t>)(</w:t>
      </w:r>
      <w:proofErr w:type="gramEnd"/>
      <w:r w:rsidRPr="0038105B">
        <w:rPr>
          <w:rFonts w:cs="Times New Roman"/>
          <w:i/>
        </w:rPr>
        <w:t>b</w:t>
      </w:r>
      <w:r w:rsidRPr="0038105B">
        <w:rPr>
          <w:rFonts w:cs="Times New Roman"/>
        </w:rPr>
        <w:t>)(iii), on the ground that the trial judge concluded that motive had been proven in any event.</w:t>
      </w:r>
    </w:p>
    <w:p w:rsidR="00E267BC" w:rsidRPr="0038105B" w:rsidRDefault="00E267BC" w:rsidP="00E267BC">
      <w:pPr>
        <w:pStyle w:val="ParaNoNdepar-AltN"/>
        <w:rPr>
          <w:rFonts w:cs="Times New Roman"/>
        </w:rPr>
      </w:pPr>
      <w:r w:rsidRPr="0038105B">
        <w:rPr>
          <w:rFonts w:cs="Times New Roman"/>
        </w:rPr>
        <w:lastRenderedPageBreak/>
        <w:t>The appellant argues that the removal and later re-insertion of the motive clause made his trial and the convictions unfair.  He argues that he has been convicted of different crimes on appeal than those he faced at trial.  The curative proviso cannot be applied, he argues, to errors committed by a trial judge that compromise the fairness of the trial.  By convicting the appellant of different charges (i.e. under different provisions) than he faced at trial, the Court of Appeal ran afoul of this principle.  The appellant says that had motive been an essential element of the offence at trial, he would have testified in his own defence to raise a reasonable doubt.</w:t>
      </w:r>
    </w:p>
    <w:p w:rsidR="00E267BC" w:rsidRPr="0038105B" w:rsidRDefault="00E267BC" w:rsidP="00E267BC">
      <w:pPr>
        <w:pStyle w:val="ParaNoNdepar-AltN"/>
        <w:rPr>
          <w:rFonts w:cs="Times New Roman"/>
        </w:rPr>
      </w:pPr>
      <w:r w:rsidRPr="0038105B">
        <w:rPr>
          <w:rFonts w:cs="Times New Roman"/>
        </w:rPr>
        <w:t xml:space="preserve">I cannot accept the appellant’s submissions.  First, the trial judge made a specific factual finding that the motive component of the definition of terrorist activity had been proved beyond a reasonable doubt, which suffices to fully support the motive requirement of the convictions.  At </w:t>
      </w:r>
      <w:proofErr w:type="spellStart"/>
      <w:r w:rsidRPr="0038105B">
        <w:rPr>
          <w:rFonts w:cs="Times New Roman"/>
        </w:rPr>
        <w:t>para</w:t>
      </w:r>
      <w:proofErr w:type="spellEnd"/>
      <w:r w:rsidRPr="0038105B">
        <w:rPr>
          <w:rFonts w:cs="Times New Roman"/>
        </w:rPr>
        <w:t>. 89, he stated:</w:t>
      </w:r>
    </w:p>
    <w:p w:rsidR="00E267BC" w:rsidRPr="0038105B" w:rsidRDefault="002542E8" w:rsidP="002542E8">
      <w:pPr>
        <w:pStyle w:val="Citation-AltC"/>
        <w:tabs>
          <w:tab w:val="left" w:pos="1701"/>
        </w:tabs>
      </w:pPr>
      <w:r>
        <w:tab/>
      </w:r>
      <w:r w:rsidR="00002B7B">
        <w:t>. . .</w:t>
      </w:r>
      <w:r w:rsidR="00E267BC" w:rsidRPr="0038105B">
        <w:t xml:space="preserve"> I consider my pre-trial ruling [concerning the constitutionality of the motive clause] to have no real effect on the case.  I say that because there is such an abundance of evidence that what was being done by </w:t>
      </w:r>
      <w:proofErr w:type="spellStart"/>
      <w:r w:rsidR="00E267BC" w:rsidRPr="0038105B">
        <w:t>Khawaja</w:t>
      </w:r>
      <w:proofErr w:type="spellEnd"/>
      <w:r w:rsidR="00E267BC" w:rsidRPr="0038105B">
        <w:t xml:space="preserve">, Babar, </w:t>
      </w:r>
      <w:proofErr w:type="spellStart"/>
      <w:r w:rsidR="00E267BC" w:rsidRPr="0038105B">
        <w:t>Khyam</w:t>
      </w:r>
      <w:proofErr w:type="spellEnd"/>
      <w:r w:rsidR="00E267BC" w:rsidRPr="0038105B">
        <w:t xml:space="preserve">, and his associates was clearly motivated “in whole or in part for a political, religious or ideological purpose, objective or cause.” </w:t>
      </w:r>
      <w:r w:rsidR="00E267BC" w:rsidRPr="0038105B">
        <w:rPr>
          <w:u w:val="single"/>
        </w:rPr>
        <w:t>Whether that is an essential ingredient of these offences or not, it has been abundantly proven.</w:t>
      </w:r>
      <w:r w:rsidR="00E267BC" w:rsidRPr="0038105B">
        <w:t xml:space="preserve"> [Emphasis added.]</w:t>
      </w:r>
    </w:p>
    <w:p w:rsidR="00E267BC" w:rsidRPr="0038105B" w:rsidRDefault="00E267BC" w:rsidP="00E267BC">
      <w:pPr>
        <w:pStyle w:val="Citation-AltC"/>
      </w:pPr>
    </w:p>
    <w:p w:rsidR="00E267BC" w:rsidRPr="0038105B" w:rsidRDefault="00E267BC" w:rsidP="00E267BC">
      <w:pPr>
        <w:pStyle w:val="ParaNoNdepar-AltN"/>
        <w:rPr>
          <w:rFonts w:cs="Times New Roman"/>
        </w:rPr>
      </w:pPr>
      <w:r w:rsidRPr="0038105B">
        <w:rPr>
          <w:rFonts w:cs="Times New Roman"/>
        </w:rPr>
        <w:t xml:space="preserve">Second, the evidence of motive and the appellant’s knowledge that the motive was shared by him and the </w:t>
      </w:r>
      <w:proofErr w:type="spellStart"/>
      <w:r w:rsidRPr="0038105B">
        <w:rPr>
          <w:rFonts w:cs="Times New Roman"/>
        </w:rPr>
        <w:t>Khyam</w:t>
      </w:r>
      <w:proofErr w:type="spellEnd"/>
      <w:r w:rsidRPr="0038105B">
        <w:rPr>
          <w:rFonts w:cs="Times New Roman"/>
        </w:rPr>
        <w:t xml:space="preserve"> terrorist cell was overwhelming and essentially undisputed.  The appellant’s extremist religious ideology suffused his actions and emails.  He literally describes dedicating his life to violent </w:t>
      </w:r>
      <w:r w:rsidRPr="00002B7B">
        <w:rPr>
          <w:rFonts w:cs="Times New Roman"/>
        </w:rPr>
        <w:t>jihad.</w:t>
      </w:r>
      <w:r w:rsidRPr="0038105B">
        <w:rPr>
          <w:rFonts w:cs="Times New Roman"/>
        </w:rPr>
        <w:t xml:space="preserve">  His own </w:t>
      </w:r>
      <w:r w:rsidRPr="0038105B">
        <w:rPr>
          <w:rFonts w:cs="Times New Roman"/>
        </w:rPr>
        <w:lastRenderedPageBreak/>
        <w:t xml:space="preserve">correspondence established beyond dispute that his religious motive was shared by </w:t>
      </w:r>
      <w:proofErr w:type="spellStart"/>
      <w:r w:rsidRPr="0038105B">
        <w:rPr>
          <w:rFonts w:cs="Times New Roman"/>
        </w:rPr>
        <w:t>Khyam</w:t>
      </w:r>
      <w:proofErr w:type="spellEnd"/>
      <w:r w:rsidRPr="0038105B">
        <w:rPr>
          <w:rFonts w:cs="Times New Roman"/>
        </w:rPr>
        <w:t xml:space="preserve"> and the other “bros” in the terrorist cell, and that the appellant was aware of that fact.  The appellant’s motives were, simply put, beyond reasonable doubt.</w:t>
      </w:r>
    </w:p>
    <w:p w:rsidR="00E267BC" w:rsidRPr="0038105B" w:rsidRDefault="00E267BC" w:rsidP="00E267BC">
      <w:pPr>
        <w:pStyle w:val="ParaNoNdepar-AltN"/>
        <w:rPr>
          <w:rFonts w:cs="Times New Roman"/>
        </w:rPr>
      </w:pPr>
      <w:r w:rsidRPr="0038105B">
        <w:rPr>
          <w:rFonts w:cs="Times New Roman"/>
        </w:rPr>
        <w:t xml:space="preserve">Third, there is no air of reality to the appellant’s statement that he could have taken the stand and testified to raise a reasonable doubt on motive, had the clause not been struck.  The facts just recited completely undermine the idea that it would have been possible for the appellant to offer testimony putting in doubt his knowledge that the </w:t>
      </w:r>
      <w:proofErr w:type="spellStart"/>
      <w:r w:rsidRPr="0038105B">
        <w:rPr>
          <w:rFonts w:cs="Times New Roman"/>
        </w:rPr>
        <w:t>Khyam</w:t>
      </w:r>
      <w:proofErr w:type="spellEnd"/>
      <w:r w:rsidRPr="0038105B">
        <w:rPr>
          <w:rFonts w:cs="Times New Roman"/>
        </w:rPr>
        <w:t xml:space="preserve"> terrorist cell shared his religious motivation and commitment to violent </w:t>
      </w:r>
      <w:r w:rsidRPr="00002B7B">
        <w:rPr>
          <w:rFonts w:cs="Times New Roman"/>
        </w:rPr>
        <w:t>jihad</w:t>
      </w:r>
      <w:r w:rsidRPr="0038105B">
        <w:rPr>
          <w:rFonts w:cs="Times New Roman"/>
        </w:rPr>
        <w:t xml:space="preserve">. </w:t>
      </w:r>
    </w:p>
    <w:p w:rsidR="00E267BC" w:rsidRPr="0038105B" w:rsidRDefault="00E267BC" w:rsidP="00E267BC">
      <w:pPr>
        <w:pStyle w:val="ParaNoNdepar-AltN"/>
        <w:rPr>
          <w:rFonts w:cs="Times New Roman"/>
        </w:rPr>
      </w:pPr>
      <w:r w:rsidRPr="0038105B">
        <w:rPr>
          <w:rFonts w:cs="Times New Roman"/>
        </w:rPr>
        <w:t>Fourth, it is disingenuous of the appellant to claim that, but for the pre-trial ruling on the constitutionality of the motive clause, he would have made different tactical decisions during the course of his trial. Although the pre-trial ruling removed motive as a legal issue, motive remained a live factual issue. Crown evidence regarding motive had the potential to ground inferences with respect to the legal issues of knowledge and intent to enhance the abilities of a terrorist group to carry on or facilitate a terrorist activity. There is simply no credible basis on which to conclude that the appellant’s defence would have been conducted differently absent pre-trial severance of the motive clause.</w:t>
      </w:r>
    </w:p>
    <w:p w:rsidR="00E267BC" w:rsidRPr="0038105B" w:rsidRDefault="00E267BC" w:rsidP="00E267BC">
      <w:pPr>
        <w:pStyle w:val="ParaNoNdepar-AltN"/>
        <w:rPr>
          <w:rFonts w:cs="Times New Roman"/>
        </w:rPr>
      </w:pPr>
      <w:r w:rsidRPr="0038105B">
        <w:rPr>
          <w:rFonts w:cs="Times New Roman"/>
        </w:rPr>
        <w:t xml:space="preserve">In essence, this is a case where no prejudice flowed from the re-insertion of an essential element of the offence on appeal.  It is abundantly clear that the trial judge would have convicted with or without the motive clause, and it is irrational to </w:t>
      </w:r>
      <w:r w:rsidRPr="0038105B">
        <w:rPr>
          <w:rFonts w:cs="Times New Roman"/>
        </w:rPr>
        <w:lastRenderedPageBreak/>
        <w:t xml:space="preserve">suppose that the overwhelming evidence of religious, political and ideological motivation could have been challenged. </w:t>
      </w:r>
    </w:p>
    <w:p w:rsidR="00E267BC" w:rsidRPr="0038105B" w:rsidRDefault="00E267BC" w:rsidP="00E267BC">
      <w:pPr>
        <w:pStyle w:val="ParaNoNdepar-AltN"/>
        <w:rPr>
          <w:rFonts w:cs="Times New Roman"/>
        </w:rPr>
      </w:pPr>
      <w:r w:rsidRPr="0038105B">
        <w:rPr>
          <w:rFonts w:cs="Times New Roman"/>
        </w:rPr>
        <w:t>This is an exceptional result, appropriate in the exceptional circumstances of this case.  Generally speaking, if an appellate court finds that the offence for which an appellant was convicted includes an additional essential element, fairness would require ordering a new or directed trial.  In this particular case, however, this Court can be confident that the appellant suffered no prejudice deserving of a new trial only because the evidence on the additional element of the offence was overwhelming, as indeed the trial judge found, and it is plain that the appellant’s strategy would not have changed had the element been recognized at trial.</w:t>
      </w:r>
    </w:p>
    <w:p w:rsidR="00E267BC" w:rsidRPr="0038105B" w:rsidRDefault="00E267BC" w:rsidP="00E267BC">
      <w:pPr>
        <w:pStyle w:val="ParaNoNdepar-AltN"/>
        <w:rPr>
          <w:rFonts w:cs="Times New Roman"/>
        </w:rPr>
      </w:pPr>
      <w:r w:rsidRPr="0038105B">
        <w:rPr>
          <w:rFonts w:cs="Times New Roman"/>
        </w:rPr>
        <w:t xml:space="preserve">I would dismiss the argument that the Court of Appeal erred in applying the curative proviso and upholding the convictions. </w:t>
      </w:r>
    </w:p>
    <w:p w:rsidR="00E267BC" w:rsidRPr="0038105B" w:rsidRDefault="00002B7B" w:rsidP="00E267BC">
      <w:pPr>
        <w:pStyle w:val="ParaNoNdepar-AltN"/>
        <w:numPr>
          <w:ilvl w:val="0"/>
          <w:numId w:val="0"/>
        </w:numPr>
        <w:tabs>
          <w:tab w:val="left" w:pos="1170"/>
        </w:tabs>
        <w:rPr>
          <w:rFonts w:cs="Times New Roman"/>
          <w:u w:val="single"/>
        </w:rPr>
      </w:pPr>
      <w:r>
        <w:rPr>
          <w:rFonts w:cs="Times New Roman"/>
        </w:rPr>
        <w:tab/>
      </w:r>
      <w:r w:rsidR="00E267BC" w:rsidRPr="0038105B">
        <w:rPr>
          <w:rFonts w:cs="Times New Roman"/>
        </w:rPr>
        <w:t>2.</w:t>
      </w:r>
      <w:r w:rsidR="00E267BC" w:rsidRPr="0038105B">
        <w:rPr>
          <w:rFonts w:cs="Times New Roman"/>
        </w:rPr>
        <w:tab/>
      </w:r>
      <w:r w:rsidR="00E267BC" w:rsidRPr="0038105B">
        <w:rPr>
          <w:rFonts w:cs="Times New Roman"/>
          <w:u w:val="single"/>
        </w:rPr>
        <w:t>Does the Armed Conflict Exception Apply?</w:t>
      </w:r>
    </w:p>
    <w:p w:rsidR="00E267BC" w:rsidRPr="0038105B" w:rsidRDefault="00E267BC" w:rsidP="00E267BC">
      <w:pPr>
        <w:pStyle w:val="ParaNoNdepar-AltN"/>
        <w:rPr>
          <w:rFonts w:cs="Times New Roman"/>
        </w:rPr>
      </w:pPr>
      <w:r w:rsidRPr="0038105B">
        <w:rPr>
          <w:rFonts w:cs="Times New Roman"/>
        </w:rPr>
        <w:t>Counts 3 to 7 arguably dealt with insurgent activities in relation to Afghanistan.  The appellant claims that to the extent that his involvement with these activities was shown, he fell within the armed conflict exception to the definition of terrorist activity.  The appellant contends that the onus was on the Crown to prove beyond a reasonable doubt that he did not fall within the armed conflict exception, and that the Crown did not do this.</w:t>
      </w:r>
    </w:p>
    <w:p w:rsidR="00E267BC" w:rsidRPr="0038105B" w:rsidRDefault="00E267BC" w:rsidP="00E267BC">
      <w:pPr>
        <w:pStyle w:val="ParaNoNdepar-AltN"/>
        <w:rPr>
          <w:rFonts w:cs="Times New Roman"/>
        </w:rPr>
      </w:pPr>
      <w:r w:rsidRPr="0038105B">
        <w:rPr>
          <w:rFonts w:cs="Times New Roman"/>
        </w:rPr>
        <w:lastRenderedPageBreak/>
        <w:t>The trial judge held that the appellant was not engaged in armed conflict, because his conduct did not fall within the definition of the term, and because there was no armed conflict underway in Canada, Pakistan and the United Kingdom, where the alleged acts were carried out.  He took judicial notice of the conflict in Afghanistan and of the counter-insurgency against the government and the civilian population.  The Court of Appeal affirmed the propriety of taking judicial notice and the finding that the alleged activities did not fall within the armed conflict exception.  However, it held that the trial judge erred in holding that the armed conflict exception is restricted to acts or omissions carried out within the territorial limits of an area of armed conflict.</w:t>
      </w:r>
    </w:p>
    <w:p w:rsidR="00E267BC" w:rsidRPr="0038105B" w:rsidRDefault="00E267BC" w:rsidP="00E267BC">
      <w:pPr>
        <w:pStyle w:val="ParaNoNdepar-AltN"/>
        <w:rPr>
          <w:rFonts w:cs="Times New Roman"/>
        </w:rPr>
      </w:pPr>
      <w:r w:rsidRPr="0038105B">
        <w:rPr>
          <w:rFonts w:cs="Times New Roman"/>
        </w:rPr>
        <w:t xml:space="preserve">A number of sub-issues emerge.  The first is whether the Crown must prove beyond a reasonable doubt that the armed conflict exception is inapplicable.  The second concerns the use of judicial notice to decide whether the alleged acts fall within a particular armed conflict or not.  The third is the scope of the armed conflict exception to the definition of terrorist activity.  </w:t>
      </w:r>
    </w:p>
    <w:p w:rsidR="00E267BC" w:rsidRPr="0038105B" w:rsidRDefault="00E267BC" w:rsidP="00E267BC">
      <w:pPr>
        <w:pStyle w:val="ParaNoNdepar-AltN"/>
        <w:rPr>
          <w:rFonts w:cs="Times New Roman"/>
        </w:rPr>
      </w:pPr>
      <w:r w:rsidRPr="0038105B">
        <w:rPr>
          <w:rFonts w:cs="Times New Roman"/>
        </w:rPr>
        <w:t xml:space="preserve">On the burden of proof, the Crown bears the burden of proving beyond a reasonable doubt that the acts alleged against an accused fall within the definition of terrorist activity.  The ultimate burden of showing this is on the Crown, and any reasonable doubt must be resolved in the </w:t>
      </w:r>
      <w:proofErr w:type="spellStart"/>
      <w:r w:rsidRPr="0038105B">
        <w:rPr>
          <w:rFonts w:cs="Times New Roman"/>
        </w:rPr>
        <w:t>accused’s</w:t>
      </w:r>
      <w:proofErr w:type="spellEnd"/>
      <w:r w:rsidRPr="0038105B">
        <w:rPr>
          <w:rFonts w:cs="Times New Roman"/>
        </w:rPr>
        <w:t xml:space="preserve"> favour. However, the armed conflict exception functions as a defence. The accused must raise the exception and make a </w:t>
      </w:r>
      <w:r w:rsidRPr="0038105B">
        <w:rPr>
          <w:rFonts w:cs="Times New Roman"/>
          <w:i/>
        </w:rPr>
        <w:t xml:space="preserve">prima facie </w:t>
      </w:r>
      <w:r w:rsidRPr="0038105B">
        <w:rPr>
          <w:rFonts w:cs="Times New Roman"/>
        </w:rPr>
        <w:t xml:space="preserve">case that it applies. In the present appeal, the accused could not </w:t>
      </w:r>
      <w:r w:rsidRPr="0038105B">
        <w:rPr>
          <w:rFonts w:cs="Times New Roman"/>
        </w:rPr>
        <w:lastRenderedPageBreak/>
        <w:t xml:space="preserve">make a </w:t>
      </w:r>
      <w:r w:rsidRPr="0038105B">
        <w:rPr>
          <w:rFonts w:cs="Times New Roman"/>
          <w:i/>
        </w:rPr>
        <w:t xml:space="preserve">prima facie </w:t>
      </w:r>
      <w:r w:rsidRPr="0038105B">
        <w:rPr>
          <w:rFonts w:cs="Times New Roman"/>
        </w:rPr>
        <w:t>case that the exception applied, as there was no evidential foundation to support its applicability. There was simply no air of reality to the claim that the armed conflict exception applied.</w:t>
      </w:r>
    </w:p>
    <w:p w:rsidR="00E267BC" w:rsidRPr="0038105B" w:rsidRDefault="00E267BC" w:rsidP="00E267BC">
      <w:pPr>
        <w:pStyle w:val="ParaNoNdepar-AltN"/>
        <w:rPr>
          <w:rFonts w:cs="Times New Roman"/>
        </w:rPr>
      </w:pPr>
      <w:r w:rsidRPr="0038105B">
        <w:rPr>
          <w:rFonts w:cs="Times New Roman"/>
        </w:rPr>
        <w:t>On the second issue, I agree with the courts below that judicial notice could be taken of the ongoing war in Afghanistan and the counter-insurgency acts in that country which, subject to the armed conflict exception, meet the definition of terrorist activity.  These facts were beyond contestation, and thus meet the test for judicial notice.</w:t>
      </w:r>
    </w:p>
    <w:p w:rsidR="00E267BC" w:rsidRPr="0038105B" w:rsidRDefault="00E267BC" w:rsidP="00E267BC">
      <w:pPr>
        <w:pStyle w:val="ParaNoNdepar-AltN"/>
        <w:rPr>
          <w:rFonts w:cs="Times New Roman"/>
        </w:rPr>
      </w:pPr>
      <w:r w:rsidRPr="0038105B">
        <w:rPr>
          <w:rFonts w:cs="Times New Roman"/>
        </w:rPr>
        <w:t xml:space="preserve">The critical question in this case is whether the conduct of the appellant, as found by the trial judge, falls within the scope of the armed conflict exception.  Like the courts below, I conclude that it did not.  The purpose of the armed conflict exception is to exempt conduct taken during an armed conflict in accordance with applicable international law. There is no evidential foundation for the application of this exception in the present case: the conduct cannot be said to have been taken solely in support of an armed conflict, nor was it in accordance with applicable international law. </w:t>
      </w:r>
    </w:p>
    <w:p w:rsidR="00E267BC" w:rsidRPr="0038105B" w:rsidRDefault="00E267BC" w:rsidP="00E267BC">
      <w:pPr>
        <w:pStyle w:val="ParaNoNdepar-AltN"/>
        <w:rPr>
          <w:rFonts w:cs="Times New Roman"/>
        </w:rPr>
      </w:pPr>
      <w:r w:rsidRPr="0038105B">
        <w:rPr>
          <w:rFonts w:cs="Times New Roman"/>
        </w:rPr>
        <w:t xml:space="preserve">First, the trial judge expressly found that the appellant knew that the </w:t>
      </w:r>
      <w:proofErr w:type="spellStart"/>
      <w:r w:rsidRPr="0038105B">
        <w:rPr>
          <w:rFonts w:cs="Times New Roman"/>
        </w:rPr>
        <w:t>Khyam</w:t>
      </w:r>
      <w:proofErr w:type="spellEnd"/>
      <w:r w:rsidRPr="0038105B">
        <w:rPr>
          <w:rFonts w:cs="Times New Roman"/>
        </w:rPr>
        <w:t xml:space="preserve"> group’s terrorist activities extended beyond the armed conflict in Afghanistan, and supported these terrorist objectives (</w:t>
      </w:r>
      <w:proofErr w:type="spellStart"/>
      <w:r w:rsidRPr="0038105B">
        <w:rPr>
          <w:rFonts w:cs="Times New Roman"/>
        </w:rPr>
        <w:t>paras</w:t>
      </w:r>
      <w:proofErr w:type="spellEnd"/>
      <w:r w:rsidRPr="0038105B">
        <w:rPr>
          <w:rFonts w:cs="Times New Roman"/>
        </w:rPr>
        <w:t xml:space="preserve">. 130-31).  Thus, the appellant’s actions were not “directed solely at supporting the insurgency in Afghanistan” (C.A., at </w:t>
      </w:r>
      <w:proofErr w:type="spellStart"/>
      <w:r w:rsidRPr="0038105B">
        <w:rPr>
          <w:rFonts w:cs="Times New Roman"/>
        </w:rPr>
        <w:t>para</w:t>
      </w:r>
      <w:proofErr w:type="spellEnd"/>
      <w:r w:rsidRPr="0038105B">
        <w:rPr>
          <w:rFonts w:cs="Times New Roman"/>
        </w:rPr>
        <w:t xml:space="preserve">. 168).  Even if the appellant’s efforts with respect to </w:t>
      </w:r>
      <w:r w:rsidRPr="0038105B">
        <w:rPr>
          <w:rFonts w:cs="Times New Roman"/>
        </w:rPr>
        <w:lastRenderedPageBreak/>
        <w:t>Afghanistan could be considered part of an armed conflict governed by international law, the verdicts would stand.</w:t>
      </w:r>
    </w:p>
    <w:p w:rsidR="00E267BC" w:rsidRPr="0038105B" w:rsidRDefault="00E267BC" w:rsidP="00E267BC">
      <w:pPr>
        <w:pStyle w:val="ParaNoNdepar-AltN"/>
        <w:rPr>
          <w:rFonts w:cs="Times New Roman"/>
        </w:rPr>
      </w:pPr>
      <w:r w:rsidRPr="0038105B">
        <w:rPr>
          <w:rFonts w:cs="Times New Roman"/>
        </w:rPr>
        <w:t xml:space="preserve">Second, the evidence is overwhelmingly contrary to the proposition that the appellant’s acts were part of an armed conflict governed by international law.  There is no air of reality to the suggestion that the appellant believed that the </w:t>
      </w:r>
      <w:proofErr w:type="spellStart"/>
      <w:r w:rsidRPr="0038105B">
        <w:rPr>
          <w:rFonts w:cs="Times New Roman"/>
        </w:rPr>
        <w:t>Khyam</w:t>
      </w:r>
      <w:proofErr w:type="spellEnd"/>
      <w:r w:rsidRPr="0038105B">
        <w:rPr>
          <w:rFonts w:cs="Times New Roman"/>
        </w:rPr>
        <w:t xml:space="preserve"> group intended to act in compliance with international law, or that he cared if it did.  The evidence showed only that “the appellant was a fervent purveyor of hatred, anti-Semitism, religious bigotry and adulation for mass atrocities, who was making detonators, and providing ot</w:t>
      </w:r>
      <w:r w:rsidR="00002B7B">
        <w:rPr>
          <w:rFonts w:cs="Times New Roman"/>
        </w:rPr>
        <w:t>her support, for ‘amazing bros . . .</w:t>
      </w:r>
      <w:r w:rsidRPr="0038105B">
        <w:rPr>
          <w:rFonts w:cs="Times New Roman"/>
        </w:rPr>
        <w:t xml:space="preserve"> who felt the same way’” (R.F., at </w:t>
      </w:r>
      <w:proofErr w:type="spellStart"/>
      <w:r w:rsidRPr="0038105B">
        <w:rPr>
          <w:rFonts w:cs="Times New Roman"/>
        </w:rPr>
        <w:t>para</w:t>
      </w:r>
      <w:proofErr w:type="spellEnd"/>
      <w:r w:rsidRPr="0038105B">
        <w:rPr>
          <w:rFonts w:cs="Times New Roman"/>
        </w:rPr>
        <w:t xml:space="preserve">. 39). The violent </w:t>
      </w:r>
      <w:r w:rsidRPr="00002B7B">
        <w:rPr>
          <w:rFonts w:cs="Times New Roman"/>
        </w:rPr>
        <w:t xml:space="preserve">jihadist </w:t>
      </w:r>
      <w:r w:rsidRPr="0038105B">
        <w:rPr>
          <w:rFonts w:cs="Times New Roman"/>
        </w:rPr>
        <w:t xml:space="preserve">ideology espoused by the appellant in his numerous communications is fundamentally incompatible with international law.  The Geneva Conventions prohibit acts aimed at spreading terror amongst civilian populations, which are considered war crimes.  The appellant, by contrast, did what he did in support of a group whose credo was to take arms against whoever supports non-Islamic regimes and that recognized that suicide attacks on civilians may sometimes be justified by the ends of </w:t>
      </w:r>
      <w:r w:rsidRPr="00002B7B">
        <w:rPr>
          <w:rFonts w:cs="Times New Roman"/>
        </w:rPr>
        <w:t>jihad.</w:t>
      </w:r>
    </w:p>
    <w:p w:rsidR="00E267BC" w:rsidRPr="0038105B" w:rsidRDefault="00E267BC" w:rsidP="00E267BC">
      <w:pPr>
        <w:pStyle w:val="ParaNoNdepar-AltN"/>
        <w:rPr>
          <w:rFonts w:cs="Times New Roman"/>
        </w:rPr>
      </w:pPr>
      <w:r w:rsidRPr="0038105B">
        <w:rPr>
          <w:rFonts w:cs="Times New Roman"/>
        </w:rPr>
        <w:t xml:space="preserve">This was the evidence before the trial judge.  </w:t>
      </w:r>
      <w:proofErr w:type="spellStart"/>
      <w:r w:rsidRPr="0038105B">
        <w:rPr>
          <w:rFonts w:cs="Times New Roman"/>
        </w:rPr>
        <w:t>Uncontradicted</w:t>
      </w:r>
      <w:proofErr w:type="spellEnd"/>
      <w:r w:rsidRPr="0038105B">
        <w:rPr>
          <w:rFonts w:cs="Times New Roman"/>
        </w:rPr>
        <w:t>, it established beyond a reasonable doubt that the appellant’s conduct did not fall within the armed conflict exception to the definition of terrorist activity.</w:t>
      </w:r>
    </w:p>
    <w:p w:rsidR="00E267BC" w:rsidRPr="0038105B" w:rsidRDefault="00002B7B" w:rsidP="00E267BC">
      <w:pPr>
        <w:pStyle w:val="ParaNoNdepar-AltN"/>
        <w:numPr>
          <w:ilvl w:val="0"/>
          <w:numId w:val="0"/>
        </w:numPr>
        <w:tabs>
          <w:tab w:val="left" w:pos="1170"/>
        </w:tabs>
        <w:rPr>
          <w:rFonts w:cs="Times New Roman"/>
          <w:u w:val="single"/>
        </w:rPr>
      </w:pPr>
      <w:r>
        <w:rPr>
          <w:rFonts w:cs="Times New Roman"/>
        </w:rPr>
        <w:tab/>
      </w:r>
      <w:r w:rsidR="00E267BC" w:rsidRPr="0038105B">
        <w:rPr>
          <w:rFonts w:cs="Times New Roman"/>
        </w:rPr>
        <w:t>3.</w:t>
      </w:r>
      <w:r w:rsidR="00E267BC" w:rsidRPr="0038105B">
        <w:rPr>
          <w:rFonts w:cs="Times New Roman"/>
        </w:rPr>
        <w:tab/>
      </w:r>
      <w:r w:rsidR="00E267BC" w:rsidRPr="0038105B">
        <w:rPr>
          <w:rFonts w:cs="Times New Roman"/>
          <w:u w:val="single"/>
        </w:rPr>
        <w:t>Were the Verdicts Unreasonable?</w:t>
      </w:r>
    </w:p>
    <w:p w:rsidR="00E267BC" w:rsidRPr="0038105B" w:rsidRDefault="00E267BC" w:rsidP="00E267BC">
      <w:pPr>
        <w:pStyle w:val="ParaNoNdepar-AltN"/>
        <w:rPr>
          <w:rFonts w:cs="Times New Roman"/>
        </w:rPr>
      </w:pPr>
      <w:r w:rsidRPr="0038105B">
        <w:rPr>
          <w:rFonts w:cs="Times New Roman"/>
        </w:rPr>
        <w:lastRenderedPageBreak/>
        <w:t xml:space="preserve">The appellant contends that the convictions for counts 3 to 7 are unreasonable for three reasons: (1) the Crown failed to establish his knowledge of the U.K. bomb plot; (2) there is no evidence that he knew that the </w:t>
      </w:r>
      <w:proofErr w:type="spellStart"/>
      <w:r w:rsidRPr="0038105B">
        <w:rPr>
          <w:rFonts w:cs="Times New Roman"/>
        </w:rPr>
        <w:t>Khyam</w:t>
      </w:r>
      <w:proofErr w:type="spellEnd"/>
      <w:r w:rsidRPr="0038105B">
        <w:rPr>
          <w:rFonts w:cs="Times New Roman"/>
        </w:rPr>
        <w:t xml:space="preserve"> group was a terrorist group; and (3) the Crown failed to prove the necessary particulars of these counts.</w:t>
      </w:r>
    </w:p>
    <w:p w:rsidR="00E267BC" w:rsidRPr="0038105B" w:rsidRDefault="00E267BC" w:rsidP="00E267BC">
      <w:pPr>
        <w:pStyle w:val="ParaNoNdepar-AltN"/>
        <w:rPr>
          <w:rFonts w:cs="Times New Roman"/>
        </w:rPr>
      </w:pPr>
      <w:r w:rsidRPr="0038105B">
        <w:rPr>
          <w:rFonts w:cs="Times New Roman"/>
        </w:rPr>
        <w:t xml:space="preserve">These submissions are without merit.  Counts 3 to 7 were not confined to the U.K. bomb plot.  The trial judge appropriately convicted the appellant only of included offences of making an explosive with respect to the U.K. plot (counts 1 and 2).  Second, the trial judge, amply supported by the evidence, expressly found that the </w:t>
      </w:r>
      <w:proofErr w:type="spellStart"/>
      <w:r w:rsidRPr="0038105B">
        <w:rPr>
          <w:rFonts w:cs="Times New Roman"/>
        </w:rPr>
        <w:t>Khyam</w:t>
      </w:r>
      <w:proofErr w:type="spellEnd"/>
      <w:r w:rsidRPr="0038105B">
        <w:rPr>
          <w:rFonts w:cs="Times New Roman"/>
        </w:rPr>
        <w:t xml:space="preserve"> group was a terrorist group within the definition in the </w:t>
      </w:r>
      <w:r w:rsidRPr="0038105B">
        <w:rPr>
          <w:rFonts w:cs="Times New Roman"/>
          <w:i/>
        </w:rPr>
        <w:t>Criminal Code</w:t>
      </w:r>
      <w:r w:rsidRPr="0038105B">
        <w:rPr>
          <w:rFonts w:cs="Times New Roman"/>
        </w:rPr>
        <w:t xml:space="preserve"> and that the appellant was aware of the terrorist objectives and knowingly supported and participated in them.  Finally, much of the argument on unreasonable verdict is premised on the armed conflict exception, which cannot succeed for the reasons discussed above.</w:t>
      </w:r>
    </w:p>
    <w:p w:rsidR="00E267BC" w:rsidRPr="0038105B" w:rsidRDefault="00E267BC" w:rsidP="00E267BC">
      <w:pPr>
        <w:pStyle w:val="ParaNoNdepar-AltN"/>
        <w:numPr>
          <w:ilvl w:val="0"/>
          <w:numId w:val="0"/>
        </w:numPr>
        <w:spacing w:line="240" w:lineRule="auto"/>
        <w:ind w:left="360" w:hanging="360"/>
        <w:rPr>
          <w:rFonts w:cs="Times New Roman"/>
          <w:i/>
        </w:rPr>
      </w:pPr>
      <w:r w:rsidRPr="0038105B">
        <w:rPr>
          <w:rFonts w:cs="Times New Roman"/>
        </w:rPr>
        <w:t xml:space="preserve">C.  </w:t>
      </w:r>
      <w:r w:rsidRPr="0038105B">
        <w:rPr>
          <w:rFonts w:cs="Times New Roman"/>
          <w:i/>
        </w:rPr>
        <w:t>Did the Court of Appeal Err in Overturning the Sentence Imposed by the Trial Judge and Substituting a Term of Life Imprisonment?</w:t>
      </w:r>
    </w:p>
    <w:p w:rsidR="00E267BC" w:rsidRPr="0038105B" w:rsidRDefault="00E267BC" w:rsidP="00E267BC">
      <w:pPr>
        <w:pStyle w:val="ParaNoNdepar-AltN"/>
        <w:numPr>
          <w:ilvl w:val="0"/>
          <w:numId w:val="0"/>
        </w:numPr>
        <w:rPr>
          <w:rFonts w:cs="Times New Roman"/>
        </w:rPr>
      </w:pPr>
      <w:r w:rsidRPr="0038105B">
        <w:rPr>
          <w:rFonts w:cs="Times New Roman"/>
          <w:i/>
        </w:rPr>
        <w:tab/>
      </w:r>
      <w:r w:rsidRPr="0038105B">
        <w:rPr>
          <w:rFonts w:cs="Times New Roman"/>
        </w:rPr>
        <w:t>1.</w:t>
      </w:r>
      <w:r w:rsidRPr="0038105B">
        <w:rPr>
          <w:rFonts w:cs="Times New Roman"/>
          <w:i/>
        </w:rPr>
        <w:tab/>
      </w:r>
      <w:r w:rsidRPr="0038105B">
        <w:rPr>
          <w:rFonts w:cs="Times New Roman"/>
          <w:u w:val="single"/>
        </w:rPr>
        <w:t>The Trial Judge’s Sentence</w:t>
      </w:r>
    </w:p>
    <w:p w:rsidR="00E267BC" w:rsidRPr="0038105B" w:rsidRDefault="00E267BC" w:rsidP="00E267BC">
      <w:pPr>
        <w:pStyle w:val="ParaNoNdepar-AltN"/>
        <w:rPr>
          <w:rFonts w:cs="Times New Roman"/>
        </w:rPr>
      </w:pPr>
      <w:r w:rsidRPr="0038105B">
        <w:rPr>
          <w:rFonts w:cs="Times New Roman"/>
        </w:rPr>
        <w:t xml:space="preserve">The trial judge found the appellant guilty of seven offences.  On the first two counts, he held that the appellant’s knowledge of the U.K. bomb plot was not proved and convicted him only for acts related to the development of the </w:t>
      </w:r>
      <w:r w:rsidRPr="0038105B">
        <w:rPr>
          <w:rFonts w:cs="Times New Roman"/>
        </w:rPr>
        <w:lastRenderedPageBreak/>
        <w:t>“</w:t>
      </w:r>
      <w:proofErr w:type="spellStart"/>
      <w:r w:rsidRPr="0038105B">
        <w:rPr>
          <w:rFonts w:cs="Times New Roman"/>
        </w:rPr>
        <w:t>hifidigimonster</w:t>
      </w:r>
      <w:proofErr w:type="spellEnd"/>
      <w:r w:rsidRPr="0038105B">
        <w:rPr>
          <w:rFonts w:cs="Times New Roman"/>
        </w:rPr>
        <w:t xml:space="preserve">” for unspecified bombings.  On counts 3 to 7, he convicted the appellant for various acts related to the </w:t>
      </w:r>
      <w:proofErr w:type="spellStart"/>
      <w:r w:rsidRPr="0038105B">
        <w:rPr>
          <w:rFonts w:cs="Times New Roman"/>
        </w:rPr>
        <w:t>Khyam</w:t>
      </w:r>
      <w:proofErr w:type="spellEnd"/>
      <w:r w:rsidRPr="0038105B">
        <w:rPr>
          <w:rFonts w:cs="Times New Roman"/>
        </w:rPr>
        <w:t xml:space="preserve"> group’s terrorist activity.</w:t>
      </w:r>
    </w:p>
    <w:p w:rsidR="00E267BC" w:rsidRPr="0038105B" w:rsidRDefault="00E267BC" w:rsidP="00E267BC">
      <w:pPr>
        <w:pStyle w:val="ParaNoNdepar-AltN"/>
        <w:rPr>
          <w:rFonts w:cs="Times New Roman"/>
        </w:rPr>
      </w:pPr>
      <w:r w:rsidRPr="0038105B">
        <w:rPr>
          <w:rFonts w:cs="Times New Roman"/>
        </w:rPr>
        <w:t xml:space="preserve">The trial judge sentenced the appellant to 10 and </w:t>
      </w:r>
      <w:proofErr w:type="gramStart"/>
      <w:r w:rsidRPr="0038105B">
        <w:rPr>
          <w:rFonts w:cs="Times New Roman"/>
        </w:rPr>
        <w:t>a half</w:t>
      </w:r>
      <w:proofErr w:type="gramEnd"/>
      <w:r w:rsidRPr="0038105B">
        <w:rPr>
          <w:rFonts w:cs="Times New Roman"/>
        </w:rPr>
        <w:t xml:space="preserve"> years of imprisonment in addition to the 5 years he had already served in custody.  He held that the appellant should be sentenced in respect of only one of the offences included in counts 1 and 2 on the </w:t>
      </w:r>
      <w:proofErr w:type="spellStart"/>
      <w:r w:rsidRPr="0038105B">
        <w:rPr>
          <w:rFonts w:cs="Times New Roman"/>
          <w:i/>
        </w:rPr>
        <w:t>Kienapple</w:t>
      </w:r>
      <w:proofErr w:type="spellEnd"/>
      <w:r w:rsidRPr="0038105B">
        <w:rPr>
          <w:rFonts w:cs="Times New Roman"/>
        </w:rPr>
        <w:t xml:space="preserve"> principle, since both related to the same acts — development of the “</w:t>
      </w:r>
      <w:proofErr w:type="spellStart"/>
      <w:r w:rsidRPr="0038105B">
        <w:rPr>
          <w:rFonts w:cs="Times New Roman"/>
        </w:rPr>
        <w:t>hifidigimonster</w:t>
      </w:r>
      <w:proofErr w:type="spellEnd"/>
      <w:r w:rsidRPr="0038105B">
        <w:rPr>
          <w:rFonts w:cs="Times New Roman"/>
        </w:rPr>
        <w:t xml:space="preserve">”. </w:t>
      </w:r>
    </w:p>
    <w:p w:rsidR="00E267BC" w:rsidRPr="0038105B" w:rsidRDefault="00E267BC" w:rsidP="00E267BC">
      <w:pPr>
        <w:pStyle w:val="ParaNoNdepar-AltN"/>
        <w:rPr>
          <w:rFonts w:cs="Times New Roman"/>
        </w:rPr>
      </w:pPr>
      <w:r w:rsidRPr="0038105B">
        <w:rPr>
          <w:rFonts w:cs="Times New Roman"/>
        </w:rPr>
        <w:t xml:space="preserve">The trial judge reviewed the principles and purposes of sentencing and stated that in terrorism cases, denunciation, general deterrence and public protection should be emphasized over personal deterrence and rehabilitation.  He concluded that in the absence of any evidence bearing on rehabilitation, this factor did not attract weight, and noted the gravity of the offences and the aggravating effect of the appellant’s motivation. </w:t>
      </w:r>
    </w:p>
    <w:p w:rsidR="00E267BC" w:rsidRPr="0038105B" w:rsidRDefault="00E267BC" w:rsidP="00E267BC">
      <w:pPr>
        <w:pStyle w:val="ParaNoNdepar-AltN"/>
        <w:rPr>
          <w:rFonts w:cs="Times New Roman"/>
        </w:rPr>
      </w:pPr>
      <w:r w:rsidRPr="0038105B">
        <w:rPr>
          <w:rFonts w:cs="Times New Roman"/>
        </w:rPr>
        <w:t xml:space="preserve">The trial judge rejected the Crown’s argument that the appellant should receive the same sentence imposed in the U.K. on </w:t>
      </w:r>
      <w:proofErr w:type="spellStart"/>
      <w:r w:rsidRPr="0038105B">
        <w:rPr>
          <w:rFonts w:cs="Times New Roman"/>
        </w:rPr>
        <w:t>Khyam</w:t>
      </w:r>
      <w:proofErr w:type="spellEnd"/>
      <w:r w:rsidRPr="0038105B">
        <w:rPr>
          <w:rFonts w:cs="Times New Roman"/>
        </w:rPr>
        <w:t>, one of the leaders of the London bomb plot, because the appellant’s participation was at a lower level and did not merit life imprisonment.  The trial judge referred, in his reasons for sentence, to the “amateurish effort</w:t>
      </w:r>
      <w:r w:rsidR="00002B7B">
        <w:rPr>
          <w:rFonts w:cs="Times New Roman"/>
        </w:rPr>
        <w:t>[</w:t>
      </w:r>
      <w:r w:rsidRPr="0038105B">
        <w:rPr>
          <w:rFonts w:cs="Times New Roman"/>
        </w:rPr>
        <w:t>s</w:t>
      </w:r>
      <w:r w:rsidR="00002B7B">
        <w:rPr>
          <w:rFonts w:cs="Times New Roman"/>
        </w:rPr>
        <w:t>]” of the appellant (</w:t>
      </w:r>
      <w:proofErr w:type="spellStart"/>
      <w:r w:rsidRPr="0038105B">
        <w:rPr>
          <w:rFonts w:cs="Times New Roman"/>
        </w:rPr>
        <w:t>para</w:t>
      </w:r>
      <w:proofErr w:type="spellEnd"/>
      <w:r w:rsidRPr="0038105B">
        <w:rPr>
          <w:rFonts w:cs="Times New Roman"/>
        </w:rPr>
        <w:t xml:space="preserve">. 33), and found that </w:t>
      </w:r>
      <w:proofErr w:type="spellStart"/>
      <w:r w:rsidRPr="0038105B">
        <w:rPr>
          <w:rFonts w:cs="Times New Roman"/>
        </w:rPr>
        <w:t>Khyam</w:t>
      </w:r>
      <w:proofErr w:type="spellEnd"/>
      <w:r w:rsidRPr="0038105B">
        <w:rPr>
          <w:rFonts w:cs="Times New Roman"/>
        </w:rPr>
        <w:t xml:space="preserve"> and his associates “were away out in front” of the appellant, who was but “a willing helper and supporter” (</w:t>
      </w:r>
      <w:proofErr w:type="spellStart"/>
      <w:r w:rsidRPr="0038105B">
        <w:rPr>
          <w:rFonts w:cs="Times New Roman"/>
        </w:rPr>
        <w:t>para</w:t>
      </w:r>
      <w:proofErr w:type="spellEnd"/>
      <w:r w:rsidRPr="0038105B">
        <w:rPr>
          <w:rFonts w:cs="Times New Roman"/>
        </w:rPr>
        <w:t>. 37).</w:t>
      </w:r>
    </w:p>
    <w:p w:rsidR="00E267BC" w:rsidRPr="0038105B" w:rsidRDefault="00E267BC" w:rsidP="00E267BC">
      <w:pPr>
        <w:pStyle w:val="ParaNoNdepar-AltN"/>
        <w:rPr>
          <w:rFonts w:cs="Times New Roman"/>
        </w:rPr>
      </w:pPr>
      <w:r w:rsidRPr="0038105B">
        <w:rPr>
          <w:rFonts w:cs="Times New Roman"/>
        </w:rPr>
        <w:lastRenderedPageBreak/>
        <w:t xml:space="preserve">The trial judge noted that s. 83.26 of the </w:t>
      </w:r>
      <w:r w:rsidRPr="0038105B">
        <w:rPr>
          <w:rFonts w:cs="Times New Roman"/>
          <w:i/>
        </w:rPr>
        <w:t>Criminal Code</w:t>
      </w:r>
      <w:r w:rsidRPr="0038105B">
        <w:rPr>
          <w:rFonts w:cs="Times New Roman"/>
        </w:rPr>
        <w:t xml:space="preserve"> requires that consecutive sentences be imposed for terrorism offences.  However, he held that this was subject to the “totality principle” that the combined sentence should not be unduly long or harsh and should not exceed the overall culpability of the offender. </w:t>
      </w:r>
    </w:p>
    <w:p w:rsidR="00E267BC" w:rsidRPr="0038105B" w:rsidRDefault="00E267BC" w:rsidP="00E267BC">
      <w:pPr>
        <w:pStyle w:val="ParaNoNdepar-AltN"/>
        <w:rPr>
          <w:rFonts w:cs="Times New Roman"/>
        </w:rPr>
      </w:pPr>
      <w:r w:rsidRPr="0038105B">
        <w:rPr>
          <w:rFonts w:cs="Times New Roman"/>
        </w:rPr>
        <w:t xml:space="preserve">The trial judge declined to give the appellant strict “two for one” credit for time served, in view of the need to denounce the conduct.  However, he took into account generally the fact that the appellant had already spent five years confined to a detention centre not suited to long-term imprisonment.  Similarly, without adopting a precise mathematical formula, he gave some credit for the appellant’s admissions at trial.  </w:t>
      </w:r>
    </w:p>
    <w:p w:rsidR="00E267BC" w:rsidRPr="0038105B" w:rsidRDefault="00E267BC" w:rsidP="00E267BC">
      <w:pPr>
        <w:pStyle w:val="ParaNoNdepar-AltN"/>
        <w:rPr>
          <w:rFonts w:cs="Times New Roman"/>
        </w:rPr>
      </w:pPr>
      <w:r w:rsidRPr="0038105B">
        <w:rPr>
          <w:rFonts w:cs="Times New Roman"/>
        </w:rPr>
        <w:t xml:space="preserve">In conclusion, the trial judge imposed the following sentence amounting to a total of 10 and </w:t>
      </w:r>
      <w:proofErr w:type="gramStart"/>
      <w:r w:rsidRPr="0038105B">
        <w:rPr>
          <w:rFonts w:cs="Times New Roman"/>
        </w:rPr>
        <w:t>a half</w:t>
      </w:r>
      <w:proofErr w:type="gramEnd"/>
      <w:r w:rsidRPr="0038105B">
        <w:rPr>
          <w:rFonts w:cs="Times New Roman"/>
        </w:rPr>
        <w:t xml:space="preserve"> years </w:t>
      </w:r>
      <w:r w:rsidR="00002B7B">
        <w:rPr>
          <w:rFonts w:cs="Times New Roman"/>
        </w:rPr>
        <w:t xml:space="preserve">of </w:t>
      </w:r>
      <w:r w:rsidRPr="0038105B">
        <w:rPr>
          <w:rFonts w:cs="Times New Roman"/>
        </w:rPr>
        <w:t xml:space="preserve">imprisonment:  4 years for count 1; 2 years for count 3; 2 years for count 4; 2 years for count 5; and 3 months for each of counts 6 and 7.  He added the following terms: no parole eligibility for 5 years; a mandatory DNA order (stayed pending appeal); and a lifetime order prohibiting possession of firearms.  </w:t>
      </w:r>
    </w:p>
    <w:p w:rsidR="00E267BC" w:rsidRPr="0038105B" w:rsidRDefault="00E267BC" w:rsidP="00E267BC">
      <w:pPr>
        <w:pStyle w:val="ParaNoNdepar-AltN"/>
        <w:numPr>
          <w:ilvl w:val="0"/>
          <w:numId w:val="0"/>
        </w:numPr>
        <w:ind w:firstLine="720"/>
        <w:rPr>
          <w:rFonts w:cs="Times New Roman"/>
        </w:rPr>
      </w:pPr>
      <w:r w:rsidRPr="0038105B">
        <w:rPr>
          <w:rFonts w:cs="Times New Roman"/>
        </w:rPr>
        <w:t>2.</w:t>
      </w:r>
      <w:r w:rsidRPr="0038105B">
        <w:rPr>
          <w:rFonts w:cs="Times New Roman"/>
        </w:rPr>
        <w:tab/>
      </w:r>
      <w:r w:rsidRPr="0038105B">
        <w:rPr>
          <w:rFonts w:cs="Times New Roman"/>
          <w:u w:val="single"/>
        </w:rPr>
        <w:t>The Court of Appeal’s Sentence</w:t>
      </w:r>
    </w:p>
    <w:p w:rsidR="00E267BC" w:rsidRPr="0038105B" w:rsidRDefault="00E267BC" w:rsidP="00E267BC">
      <w:pPr>
        <w:pStyle w:val="ParaNoNdepar-AltN"/>
        <w:rPr>
          <w:rFonts w:cs="Times New Roman"/>
        </w:rPr>
      </w:pPr>
      <w:r w:rsidRPr="0038105B">
        <w:rPr>
          <w:rFonts w:cs="Times New Roman"/>
        </w:rPr>
        <w:t>The Court of Appeal found three errors of principle in the trial judge’s sentencing and increased the sentence to life imprisonment for count 1 and consecutive terms of imprisonment totalling 24 years for the remaining counts.</w:t>
      </w:r>
    </w:p>
    <w:p w:rsidR="00E267BC" w:rsidRPr="0038105B" w:rsidRDefault="00E267BC" w:rsidP="00E267BC">
      <w:pPr>
        <w:pStyle w:val="ParaNoNdepar-AltN"/>
        <w:rPr>
          <w:rFonts w:cs="Times New Roman"/>
        </w:rPr>
      </w:pPr>
      <w:r w:rsidRPr="0038105B">
        <w:rPr>
          <w:rFonts w:cs="Times New Roman"/>
        </w:rPr>
        <w:lastRenderedPageBreak/>
        <w:t xml:space="preserve">The first error was the trial judge’s finding that the appellant’s level of involvement was of a low order, compared to </w:t>
      </w:r>
      <w:proofErr w:type="spellStart"/>
      <w:r w:rsidRPr="0038105B">
        <w:rPr>
          <w:rFonts w:cs="Times New Roman"/>
        </w:rPr>
        <w:t>Khyam</w:t>
      </w:r>
      <w:proofErr w:type="spellEnd"/>
      <w:r w:rsidRPr="0038105B">
        <w:rPr>
          <w:rFonts w:cs="Times New Roman"/>
        </w:rPr>
        <w:t xml:space="preserve"> and his associates who were “away out in front” of him.  The Court of Appeal held that this conclusion was unreasonable on the basis of all the evidence.  The second error was in not treating the absence of evidence on rehabilitation prospects as an important factor in sentencing.  The third error was in not imposing consecutive sentences, which was contrary to the requirement of s. 83.26</w:t>
      </w:r>
      <w:r w:rsidR="00002B7B">
        <w:rPr>
          <w:rFonts w:cs="Times New Roman"/>
        </w:rPr>
        <w:t>.</w:t>
      </w:r>
    </w:p>
    <w:p w:rsidR="00E267BC" w:rsidRPr="0038105B" w:rsidRDefault="00E267BC" w:rsidP="00E267BC">
      <w:pPr>
        <w:pStyle w:val="ParaNoNdepar-AltN"/>
        <w:numPr>
          <w:ilvl w:val="0"/>
          <w:numId w:val="0"/>
        </w:numPr>
        <w:ind w:firstLine="720"/>
        <w:rPr>
          <w:rFonts w:cs="Times New Roman"/>
        </w:rPr>
      </w:pPr>
      <w:r w:rsidRPr="0038105B">
        <w:rPr>
          <w:rFonts w:cs="Times New Roman"/>
        </w:rPr>
        <w:t>3.</w:t>
      </w:r>
      <w:r w:rsidRPr="0038105B">
        <w:rPr>
          <w:rFonts w:cs="Times New Roman"/>
        </w:rPr>
        <w:tab/>
      </w:r>
      <w:r w:rsidRPr="0038105B">
        <w:rPr>
          <w:rFonts w:cs="Times New Roman"/>
          <w:u w:val="single"/>
        </w:rPr>
        <w:t>Analysis</w:t>
      </w:r>
    </w:p>
    <w:p w:rsidR="00E267BC" w:rsidRPr="0038105B" w:rsidRDefault="00E267BC" w:rsidP="00E267BC">
      <w:pPr>
        <w:pStyle w:val="ParaNoNdepar-AltN"/>
        <w:rPr>
          <w:rFonts w:cs="Times New Roman"/>
        </w:rPr>
      </w:pPr>
      <w:r w:rsidRPr="0038105B">
        <w:rPr>
          <w:rFonts w:cs="Times New Roman"/>
        </w:rPr>
        <w:t xml:space="preserve">At the outset, I wish to underscore that the temptation to fashion rigid sentencing principles applicable to terrorism offences as a distinct class of offences should be avoided, subject to the provisions in the </w:t>
      </w:r>
      <w:r w:rsidRPr="0038105B">
        <w:rPr>
          <w:rFonts w:cs="Times New Roman"/>
          <w:i/>
        </w:rPr>
        <w:t xml:space="preserve">Criminal Code </w:t>
      </w:r>
      <w:r w:rsidRPr="0038105B">
        <w:rPr>
          <w:rFonts w:cs="Times New Roman"/>
        </w:rPr>
        <w:t>that specifically pertain to those offences. The general principles of sentencing, including the totality principle, apply to terrorism offences.</w:t>
      </w:r>
    </w:p>
    <w:p w:rsidR="00E267BC" w:rsidRPr="0038105B" w:rsidRDefault="00E267BC" w:rsidP="00E267BC">
      <w:pPr>
        <w:pStyle w:val="ParaNoNdepar-AltN"/>
        <w:rPr>
          <w:rFonts w:cs="Times New Roman"/>
        </w:rPr>
      </w:pPr>
      <w:r w:rsidRPr="0038105B">
        <w:rPr>
          <w:rFonts w:cs="Times New Roman"/>
        </w:rPr>
        <w:t>As regards the sentences imposed on the appellant, I agree with the Court of Appeal that the trial judge made critical errors in sentencing.</w:t>
      </w:r>
    </w:p>
    <w:p w:rsidR="00E267BC" w:rsidRPr="0038105B" w:rsidRDefault="00E267BC" w:rsidP="00E267BC">
      <w:pPr>
        <w:pStyle w:val="ParaNoNdepar-AltN"/>
        <w:rPr>
          <w:rFonts w:cs="Times New Roman"/>
        </w:rPr>
      </w:pPr>
      <w:r w:rsidRPr="0038105B">
        <w:rPr>
          <w:rFonts w:cs="Times New Roman"/>
        </w:rPr>
        <w:t xml:space="preserve">The first error identified by the Court of Appeal was the trial judge’s unreasonable devaluation of the seriousness of the appellant’s conduct.  The Court of Appeal interpreted the trial judge’s comments in this regard as concluding that the appellant was less morally blameworthy than </w:t>
      </w:r>
      <w:proofErr w:type="spellStart"/>
      <w:r w:rsidRPr="0038105B">
        <w:rPr>
          <w:rFonts w:cs="Times New Roman"/>
        </w:rPr>
        <w:t>Khyam</w:t>
      </w:r>
      <w:proofErr w:type="spellEnd"/>
      <w:r w:rsidRPr="0038105B">
        <w:rPr>
          <w:rFonts w:cs="Times New Roman"/>
        </w:rPr>
        <w:t xml:space="preserve"> and other associates.  The trial judge’s comments might also be interpreted as merely concluding that the appellant </w:t>
      </w:r>
      <w:r w:rsidRPr="0038105B">
        <w:rPr>
          <w:rFonts w:cs="Times New Roman"/>
        </w:rPr>
        <w:lastRenderedPageBreak/>
        <w:t>was not as directly involved in terrorist activities as others.  On either view, however, it appears that the trial judge effectively devalued the seriousness of the appellant’s conduct in a way that was inconsistent with the evidence.</w:t>
      </w:r>
    </w:p>
    <w:p w:rsidR="00E267BC" w:rsidRPr="0038105B" w:rsidRDefault="00E267BC" w:rsidP="00E267BC">
      <w:pPr>
        <w:pStyle w:val="ParaNoNdepar-AltN"/>
        <w:rPr>
          <w:rFonts w:cs="Times New Roman"/>
        </w:rPr>
      </w:pPr>
      <w:r w:rsidRPr="0038105B">
        <w:rPr>
          <w:rFonts w:cs="Times New Roman"/>
        </w:rPr>
        <w:t>The evidence, in br</w:t>
      </w:r>
      <w:r w:rsidR="00002B7B">
        <w:rPr>
          <w:rFonts w:cs="Times New Roman"/>
        </w:rPr>
        <w:t>ief, showed that the appellant</w:t>
      </w:r>
      <w:r w:rsidRPr="0038105B">
        <w:rPr>
          <w:rFonts w:cs="Times New Roman"/>
        </w:rPr>
        <w:t xml:space="preserve"> was determined to help the </w:t>
      </w:r>
      <w:proofErr w:type="spellStart"/>
      <w:r w:rsidRPr="0038105B">
        <w:rPr>
          <w:rFonts w:cs="Times New Roman"/>
        </w:rPr>
        <w:t>Khyam</w:t>
      </w:r>
      <w:proofErr w:type="spellEnd"/>
      <w:r w:rsidRPr="0038105B">
        <w:rPr>
          <w:rFonts w:cs="Times New Roman"/>
        </w:rPr>
        <w:t xml:space="preserve"> group perpetrate a number of acts of mass violence against civilian and military targets; helped finance the </w:t>
      </w:r>
      <w:proofErr w:type="spellStart"/>
      <w:r w:rsidRPr="0038105B">
        <w:rPr>
          <w:rFonts w:cs="Times New Roman"/>
        </w:rPr>
        <w:t>Khyam</w:t>
      </w:r>
      <w:proofErr w:type="spellEnd"/>
      <w:r w:rsidRPr="0038105B">
        <w:rPr>
          <w:rFonts w:cs="Times New Roman"/>
        </w:rPr>
        <w:t xml:space="preserve"> group; offered training in electronics to </w:t>
      </w:r>
      <w:proofErr w:type="spellStart"/>
      <w:r w:rsidRPr="0038105B">
        <w:rPr>
          <w:rFonts w:cs="Times New Roman"/>
        </w:rPr>
        <w:t>Khyam</w:t>
      </w:r>
      <w:proofErr w:type="spellEnd"/>
      <w:r w:rsidRPr="0038105B">
        <w:rPr>
          <w:rFonts w:cs="Times New Roman"/>
        </w:rPr>
        <w:t>; built devices intended to serve as remote triggers for improvised explosive devices (the “</w:t>
      </w:r>
      <w:proofErr w:type="spellStart"/>
      <w:r w:rsidRPr="0038105B">
        <w:rPr>
          <w:rFonts w:cs="Times New Roman"/>
        </w:rPr>
        <w:t>hifidigimonster</w:t>
      </w:r>
      <w:proofErr w:type="spellEnd"/>
      <w:r w:rsidRPr="0038105B">
        <w:rPr>
          <w:rFonts w:cs="Times New Roman"/>
        </w:rPr>
        <w:t>”); and went to Pakistan to train for “combat” in Afghanistan.  His emails showed that he encouraged and applauded violent</w:t>
      </w:r>
      <w:r w:rsidRPr="00002B7B">
        <w:rPr>
          <w:rFonts w:cs="Times New Roman"/>
        </w:rPr>
        <w:t xml:space="preserve"> jihad</w:t>
      </w:r>
      <w:r w:rsidRPr="0038105B">
        <w:rPr>
          <w:rFonts w:cs="Times New Roman"/>
        </w:rPr>
        <w:t xml:space="preserve">. Particularly chilling is his email speaking in positive terms of using a troublesome person as a suicide bomber in an Israeli nightclub. </w:t>
      </w:r>
    </w:p>
    <w:p w:rsidR="00E267BC" w:rsidRPr="0038105B" w:rsidRDefault="00E267BC" w:rsidP="00E267BC">
      <w:pPr>
        <w:pStyle w:val="ParaNoNdepar-AltN"/>
        <w:rPr>
          <w:rFonts w:cs="Times New Roman"/>
        </w:rPr>
      </w:pPr>
      <w:r w:rsidRPr="0038105B">
        <w:rPr>
          <w:rFonts w:cs="Times New Roman"/>
        </w:rPr>
        <w:t xml:space="preserve">A typical message gives the flavour of the emails the appellant sent: </w:t>
      </w:r>
    </w:p>
    <w:p w:rsidR="00E267BC" w:rsidRPr="0038105B" w:rsidRDefault="00E267BC" w:rsidP="00E267BC">
      <w:pPr>
        <w:pStyle w:val="Citation-AltC"/>
      </w:pPr>
      <w:r w:rsidRPr="0038105B">
        <w:t xml:space="preserve">Ok </w:t>
      </w:r>
      <w:proofErr w:type="spellStart"/>
      <w:r w:rsidRPr="0038105B">
        <w:t>nigga</w:t>
      </w:r>
      <w:proofErr w:type="spellEnd"/>
      <w:r w:rsidRPr="0038105B">
        <w:t xml:space="preserve">, </w:t>
      </w:r>
      <w:proofErr w:type="spellStart"/>
      <w:r w:rsidRPr="0038105B">
        <w:t>i’ll</w:t>
      </w:r>
      <w:proofErr w:type="spellEnd"/>
      <w:r w:rsidRPr="0038105B">
        <w:t xml:space="preserve"> make a booking now, </w:t>
      </w:r>
      <w:proofErr w:type="spellStart"/>
      <w:r w:rsidRPr="0038105B">
        <w:t>InshaAllah</w:t>
      </w:r>
      <w:proofErr w:type="spellEnd"/>
      <w:r w:rsidRPr="0038105B">
        <w:t xml:space="preserve"> </w:t>
      </w:r>
      <w:proofErr w:type="spellStart"/>
      <w:r w:rsidRPr="0038105B">
        <w:t>i’m</w:t>
      </w:r>
      <w:proofErr w:type="spellEnd"/>
      <w:r w:rsidRPr="0038105B">
        <w:t xml:space="preserve"> thinking of </w:t>
      </w:r>
      <w:proofErr w:type="spellStart"/>
      <w:r w:rsidRPr="0038105B">
        <w:t>comin</w:t>
      </w:r>
      <w:proofErr w:type="spellEnd"/>
      <w:r w:rsidRPr="0038105B">
        <w:t xml:space="preserve"> down on the February 20th or around then. </w:t>
      </w:r>
      <w:proofErr w:type="spellStart"/>
      <w:r w:rsidRPr="0038105B">
        <w:t>Lemme</w:t>
      </w:r>
      <w:proofErr w:type="spellEnd"/>
      <w:r w:rsidRPr="0038105B">
        <w:t xml:space="preserve"> know if that’s good with u. also let me know soon how you want the device. I just want to do a demo of it and show you how it works and stuff, it</w:t>
      </w:r>
      <w:r w:rsidR="00002B7B">
        <w:t>’s range, and other things,</w:t>
      </w:r>
      <w:r w:rsidRPr="0038105B">
        <w:t xml:space="preserve"> so we </w:t>
      </w:r>
      <w:proofErr w:type="spellStart"/>
      <w:r w:rsidRPr="0038105B">
        <w:t>gotta</w:t>
      </w:r>
      <w:proofErr w:type="spellEnd"/>
      <w:r w:rsidRPr="0038105B">
        <w:t xml:space="preserve"> find a way we can get it into UK, maybe </w:t>
      </w:r>
      <w:proofErr w:type="spellStart"/>
      <w:r w:rsidRPr="0038105B">
        <w:t>i</w:t>
      </w:r>
      <w:proofErr w:type="spellEnd"/>
      <w:r w:rsidRPr="0038105B">
        <w:t xml:space="preserve"> can courier it over, </w:t>
      </w:r>
      <w:proofErr w:type="spellStart"/>
      <w:r w:rsidRPr="0038105B">
        <w:t>i</w:t>
      </w:r>
      <w:proofErr w:type="spellEnd"/>
      <w:r w:rsidRPr="0038105B">
        <w:t xml:space="preserve"> don’t know if UK customs will grab it or not. </w:t>
      </w:r>
      <w:proofErr w:type="gramStart"/>
      <w:r w:rsidRPr="0038105B">
        <w:t>pray</w:t>
      </w:r>
      <w:proofErr w:type="gramEnd"/>
      <w:r w:rsidRPr="0038105B">
        <w:t xml:space="preserve"> to the most high, he’ll find us a way. we’re </w:t>
      </w:r>
      <w:proofErr w:type="spellStart"/>
      <w:r w:rsidRPr="0038105B">
        <w:t>startin</w:t>
      </w:r>
      <w:proofErr w:type="spellEnd"/>
      <w:r w:rsidRPr="0038105B">
        <w:t xml:space="preserve"> to work on a few other much more sophisticated projects that can be of great benefit to the J</w:t>
      </w:r>
      <w:r w:rsidR="00002B7B">
        <w:t>.</w:t>
      </w:r>
      <w:r w:rsidRPr="0038105B">
        <w:t xml:space="preserve"> </w:t>
      </w:r>
      <w:proofErr w:type="spellStart"/>
      <w:r w:rsidRPr="0038105B">
        <w:t>i’ll</w:t>
      </w:r>
      <w:proofErr w:type="spellEnd"/>
      <w:r w:rsidRPr="0038105B">
        <w:t xml:space="preserve"> speak to you about them when we meet .</w:t>
      </w:r>
      <w:r w:rsidR="00002B7B">
        <w:t xml:space="preserve"> . .</w:t>
      </w:r>
      <w:r w:rsidRPr="0038105B">
        <w:t xml:space="preserve"> </w:t>
      </w:r>
      <w:r w:rsidR="00C2577D">
        <w:t xml:space="preserve">. </w:t>
      </w:r>
      <w:r w:rsidRPr="0038105B">
        <w:t xml:space="preserve">[Trial judgment, at </w:t>
      </w:r>
      <w:proofErr w:type="spellStart"/>
      <w:r w:rsidRPr="0038105B">
        <w:t>para</w:t>
      </w:r>
      <w:proofErr w:type="spellEnd"/>
      <w:r w:rsidRPr="0038105B">
        <w:t>. 42</w:t>
      </w:r>
      <w:r w:rsidR="0021239D">
        <w:t>.</w:t>
      </w:r>
      <w:r w:rsidRPr="0038105B">
        <w:t>]</w:t>
      </w:r>
    </w:p>
    <w:p w:rsidR="00E267BC" w:rsidRPr="0038105B" w:rsidRDefault="00E267BC" w:rsidP="00E267BC">
      <w:pPr>
        <w:pStyle w:val="ParaNoNdepar-AltN"/>
        <w:rPr>
          <w:rFonts w:cs="Times New Roman"/>
        </w:rPr>
      </w:pPr>
      <w:r w:rsidRPr="0038105B">
        <w:rPr>
          <w:rFonts w:cs="Times New Roman"/>
        </w:rPr>
        <w:t xml:space="preserve">Indeed, the trial judge was clear that </w:t>
      </w:r>
      <w:proofErr w:type="spellStart"/>
      <w:r w:rsidRPr="0038105B">
        <w:rPr>
          <w:rFonts w:cs="Times New Roman"/>
        </w:rPr>
        <w:t>Khawaja</w:t>
      </w:r>
      <w:proofErr w:type="spellEnd"/>
      <w:r w:rsidRPr="0038105B">
        <w:rPr>
          <w:rFonts w:cs="Times New Roman"/>
        </w:rPr>
        <w:t xml:space="preserve"> was “fully responsible for his actions” (reasons for sentence, at </w:t>
      </w:r>
      <w:proofErr w:type="spellStart"/>
      <w:r w:rsidRPr="0038105B">
        <w:rPr>
          <w:rFonts w:cs="Times New Roman"/>
        </w:rPr>
        <w:t>para</w:t>
      </w:r>
      <w:proofErr w:type="spellEnd"/>
      <w:r w:rsidRPr="0038105B">
        <w:rPr>
          <w:rFonts w:cs="Times New Roman"/>
        </w:rPr>
        <w:t>. 31).</w:t>
      </w:r>
      <w:r w:rsidR="00002B7B">
        <w:rPr>
          <w:rFonts w:cs="Times New Roman"/>
        </w:rPr>
        <w:t xml:space="preserve">  As the trial judge explained</w:t>
      </w:r>
      <w:r w:rsidR="002542E8">
        <w:rPr>
          <w:rFonts w:cs="Times New Roman"/>
        </w:rPr>
        <w:t>,</w:t>
      </w:r>
      <w:r w:rsidR="00002B7B">
        <w:rPr>
          <w:rFonts w:cs="Times New Roman"/>
        </w:rPr>
        <w:t xml:space="preserve"> at </w:t>
      </w:r>
      <w:proofErr w:type="spellStart"/>
      <w:r w:rsidR="00002B7B">
        <w:rPr>
          <w:rFonts w:cs="Times New Roman"/>
        </w:rPr>
        <w:t>para</w:t>
      </w:r>
      <w:proofErr w:type="spellEnd"/>
      <w:r w:rsidR="00002B7B">
        <w:rPr>
          <w:rFonts w:cs="Times New Roman"/>
        </w:rPr>
        <w:t>. 31</w:t>
      </w:r>
      <w:r w:rsidRPr="0038105B">
        <w:rPr>
          <w:rFonts w:cs="Times New Roman"/>
        </w:rPr>
        <w:t>:</w:t>
      </w:r>
    </w:p>
    <w:p w:rsidR="00E267BC" w:rsidRPr="0038105B" w:rsidRDefault="00002B7B" w:rsidP="00E267BC">
      <w:pPr>
        <w:pStyle w:val="Citation-AltC"/>
      </w:pPr>
      <w:r>
        <w:lastRenderedPageBreak/>
        <w:t xml:space="preserve">. . . </w:t>
      </w:r>
      <w:proofErr w:type="gramStart"/>
      <w:r w:rsidR="00E267BC" w:rsidRPr="0038105B">
        <w:t>he</w:t>
      </w:r>
      <w:proofErr w:type="gramEnd"/>
      <w:r w:rsidR="00E267BC" w:rsidRPr="0038105B">
        <w:t xml:space="preserve"> went far out of his way, from his home, from his country and from his gainful employment to engage with the </w:t>
      </w:r>
      <w:proofErr w:type="spellStart"/>
      <w:r w:rsidR="00E267BC" w:rsidRPr="0038105B">
        <w:t>Khyam</w:t>
      </w:r>
      <w:proofErr w:type="spellEnd"/>
      <w:r w:rsidR="00E267BC" w:rsidRPr="0038105B">
        <w:t xml:space="preserve"> group and participate as he did in and to the group’s endeavors. This is not a case of a vulnerable young person being lured or beguiled into criminal misconduct in which he was not inclined to participate. </w:t>
      </w:r>
      <w:proofErr w:type="spellStart"/>
      <w:r w:rsidR="00E267BC" w:rsidRPr="0038105B">
        <w:rPr>
          <w:u w:val="single"/>
        </w:rPr>
        <w:t>Khawaja</w:t>
      </w:r>
      <w:proofErr w:type="spellEnd"/>
      <w:r w:rsidR="00E267BC" w:rsidRPr="0038105B">
        <w:rPr>
          <w:u w:val="single"/>
        </w:rPr>
        <w:t xml:space="preserve"> was a willing and </w:t>
      </w:r>
      <w:r w:rsidR="00E267BC" w:rsidRPr="0038105B">
        <w:rPr>
          <w:i/>
          <w:u w:val="single"/>
        </w:rPr>
        <w:t xml:space="preserve">eager </w:t>
      </w:r>
      <w:r w:rsidR="00E267BC" w:rsidRPr="0038105B">
        <w:rPr>
          <w:u w:val="single"/>
        </w:rPr>
        <w:t>participan</w:t>
      </w:r>
      <w:r>
        <w:rPr>
          <w:u w:val="single"/>
        </w:rPr>
        <w:t>t</w:t>
      </w:r>
      <w:r>
        <w:t xml:space="preserve"> . . . .</w:t>
      </w:r>
      <w:r w:rsidR="002542E8">
        <w:t xml:space="preserve"> </w:t>
      </w:r>
      <w:r w:rsidR="00E267BC" w:rsidRPr="0038105B">
        <w:t>[Emphasis added.]</w:t>
      </w:r>
    </w:p>
    <w:p w:rsidR="00E267BC" w:rsidRPr="0038105B" w:rsidRDefault="00E267BC" w:rsidP="00E267BC">
      <w:pPr>
        <w:pStyle w:val="ParaNoNdepar-AltN"/>
        <w:rPr>
          <w:rFonts w:cs="Times New Roman"/>
        </w:rPr>
      </w:pPr>
      <w:r w:rsidRPr="0038105B">
        <w:rPr>
          <w:rFonts w:cs="Times New Roman"/>
        </w:rPr>
        <w:t>In short, the appellant’s subjective “determination to bring death, destruction and</w:t>
      </w:r>
      <w:r w:rsidR="00002B7B">
        <w:rPr>
          <w:rFonts w:cs="Times New Roman"/>
        </w:rPr>
        <w:t xml:space="preserve"> terror to innocent people” (</w:t>
      </w:r>
      <w:proofErr w:type="spellStart"/>
      <w:r w:rsidRPr="0038105B">
        <w:rPr>
          <w:rFonts w:cs="Times New Roman"/>
        </w:rPr>
        <w:t>para</w:t>
      </w:r>
      <w:proofErr w:type="spellEnd"/>
      <w:r w:rsidRPr="0038105B">
        <w:rPr>
          <w:rFonts w:cs="Times New Roman"/>
        </w:rPr>
        <w:t xml:space="preserve">. 37) appears to have been strong — indeed, as strong as that of other members of the </w:t>
      </w:r>
      <w:proofErr w:type="spellStart"/>
      <w:r w:rsidRPr="0038105B">
        <w:rPr>
          <w:rFonts w:cs="Times New Roman"/>
        </w:rPr>
        <w:t>Khyam</w:t>
      </w:r>
      <w:proofErr w:type="spellEnd"/>
      <w:r w:rsidRPr="0038105B">
        <w:rPr>
          <w:rFonts w:cs="Times New Roman"/>
        </w:rPr>
        <w:t xml:space="preserve"> group.  </w:t>
      </w:r>
    </w:p>
    <w:p w:rsidR="00E267BC" w:rsidRPr="0038105B" w:rsidRDefault="00E267BC" w:rsidP="00E267BC">
      <w:pPr>
        <w:pStyle w:val="ParaNoNdepar-AltN"/>
        <w:rPr>
          <w:rFonts w:cs="Times New Roman"/>
        </w:rPr>
      </w:pPr>
      <w:r w:rsidRPr="0038105B">
        <w:rPr>
          <w:rFonts w:cs="Times New Roman"/>
        </w:rPr>
        <w:t>The second</w:t>
      </w:r>
      <w:r w:rsidRPr="0038105B">
        <w:rPr>
          <w:rFonts w:cs="Times New Roman"/>
          <w:b/>
        </w:rPr>
        <w:t xml:space="preserve"> </w:t>
      </w:r>
      <w:r w:rsidRPr="0038105B">
        <w:rPr>
          <w:rFonts w:cs="Times New Roman"/>
        </w:rPr>
        <w:t>error identified by the Court of Appeal is that the trial judge failed to treat the absence of evidence of the appellant’s rehabilitative prospects as an important factor in sentencing. I agree that the absence of information on the likelihood of the appellant re-offending was relevant to sentencing, particularly in regard to s. 718(</w:t>
      </w:r>
      <w:r w:rsidRPr="0038105B">
        <w:rPr>
          <w:rFonts w:cs="Times New Roman"/>
          <w:i/>
        </w:rPr>
        <w:t>c</w:t>
      </w:r>
      <w:r w:rsidRPr="0038105B">
        <w:rPr>
          <w:rFonts w:cs="Times New Roman"/>
        </w:rPr>
        <w:t xml:space="preserve">) and to the need to separate offenders from society, where necessary. Indeed, as O’Connor J. wrote in </w:t>
      </w:r>
      <w:r w:rsidRPr="0038105B">
        <w:rPr>
          <w:rFonts w:cs="Times New Roman"/>
          <w:i/>
        </w:rPr>
        <w:t>R. v. Downey</w:t>
      </w:r>
      <w:r w:rsidRPr="0038105B">
        <w:rPr>
          <w:rFonts w:cs="Times New Roman"/>
        </w:rPr>
        <w:t>, 2010 ONSC 1531 (</w:t>
      </w:r>
      <w:proofErr w:type="spellStart"/>
      <w:r w:rsidRPr="0038105B">
        <w:rPr>
          <w:rFonts w:cs="Times New Roman"/>
        </w:rPr>
        <w:t>CanLII</w:t>
      </w:r>
      <w:proofErr w:type="spellEnd"/>
      <w:r w:rsidRPr="0038105B">
        <w:rPr>
          <w:rFonts w:cs="Times New Roman"/>
        </w:rPr>
        <w:t xml:space="preserve">), at </w:t>
      </w:r>
      <w:proofErr w:type="spellStart"/>
      <w:r w:rsidRPr="0038105B">
        <w:rPr>
          <w:rFonts w:cs="Times New Roman"/>
        </w:rPr>
        <w:t>para</w:t>
      </w:r>
      <w:proofErr w:type="spellEnd"/>
      <w:r w:rsidRPr="0038105B">
        <w:rPr>
          <w:rFonts w:cs="Times New Roman"/>
        </w:rPr>
        <w:t>. 31:</w:t>
      </w:r>
    </w:p>
    <w:p w:rsidR="00E267BC" w:rsidRPr="0038105B" w:rsidRDefault="00E267BC" w:rsidP="00E267BC">
      <w:pPr>
        <w:pStyle w:val="Citation-AltC"/>
        <w:ind w:firstLine="274"/>
      </w:pPr>
      <w:r w:rsidRPr="0038105B">
        <w:t>Where it is apparent that the offender is a dangerous person, who is likely to compromise public safety if released, he should be detained for a period of time sufficient to reasonably conclude that such danger has subsided.  The duration of the sentence must be sufficient to give the correctional authorities the necessary time to properly treat the offender and for the National Parole Board to assess the risk of his reoffending.</w:t>
      </w:r>
    </w:p>
    <w:p w:rsidR="00E267BC" w:rsidRPr="0038105B" w:rsidRDefault="00E267BC" w:rsidP="00E267BC">
      <w:pPr>
        <w:pStyle w:val="ParaNoNdepar-AltN"/>
        <w:rPr>
          <w:rFonts w:cs="Times New Roman"/>
        </w:rPr>
      </w:pPr>
      <w:r w:rsidRPr="0038105B">
        <w:rPr>
          <w:rFonts w:cs="Times New Roman"/>
        </w:rPr>
        <w:t xml:space="preserve">The absence of evidence on the appellant’s likelihood of re-offending gave the trial judge no assurance that he was no longer committed to violent </w:t>
      </w:r>
      <w:r w:rsidRPr="00002B7B">
        <w:rPr>
          <w:rFonts w:cs="Times New Roman"/>
        </w:rPr>
        <w:t xml:space="preserve">jihad </w:t>
      </w:r>
      <w:r w:rsidRPr="0038105B">
        <w:rPr>
          <w:rFonts w:cs="Times New Roman"/>
        </w:rPr>
        <w:t xml:space="preserve">and terrorism, or that there was any chance that, over time, he could change and be </w:t>
      </w:r>
      <w:r w:rsidRPr="0038105B">
        <w:rPr>
          <w:rFonts w:cs="Times New Roman"/>
        </w:rPr>
        <w:lastRenderedPageBreak/>
        <w:t xml:space="preserve">released from state control without undue risk of harm to the population.  The lack of information on a person’s probability of re-offending, in the face of compelling evidence of dangerousness, is sufficient to justify a stiffer sentence. </w:t>
      </w:r>
    </w:p>
    <w:p w:rsidR="00E267BC" w:rsidRPr="0038105B" w:rsidRDefault="00E267BC" w:rsidP="00E267BC">
      <w:pPr>
        <w:pStyle w:val="ParaNoNdepar-AltN"/>
        <w:rPr>
          <w:rFonts w:cs="Times New Roman"/>
        </w:rPr>
      </w:pPr>
      <w:r w:rsidRPr="0038105B">
        <w:rPr>
          <w:rFonts w:cs="Times New Roman"/>
        </w:rPr>
        <w:t xml:space="preserve">I cannot accept the broad proposition that “the import of rehabilitation as a mitigating circumstance is significantly reduced in [the] context [of terrorism] given the unique nature of the crime </w:t>
      </w:r>
      <w:r w:rsidR="00002B7B">
        <w:rPr>
          <w:rFonts w:cs="Times New Roman"/>
        </w:rPr>
        <w:t xml:space="preserve">. . . </w:t>
      </w:r>
      <w:r w:rsidRPr="0038105B">
        <w:rPr>
          <w:rFonts w:cs="Times New Roman"/>
        </w:rPr>
        <w:t>and the grave and far-reaching threat that it poses to the foundat</w:t>
      </w:r>
      <w:r w:rsidR="00002B7B">
        <w:rPr>
          <w:rFonts w:cs="Times New Roman"/>
        </w:rPr>
        <w:t>ions of our democratic society”</w:t>
      </w:r>
      <w:r w:rsidRPr="0038105B">
        <w:rPr>
          <w:rFonts w:cs="Times New Roman"/>
        </w:rPr>
        <w:t xml:space="preserve">  (C.A</w:t>
      </w:r>
      <w:r w:rsidRPr="00002B7B">
        <w:rPr>
          <w:rFonts w:cs="Times New Roman"/>
        </w:rPr>
        <w:t>.,</w:t>
      </w:r>
      <w:r w:rsidRPr="0038105B">
        <w:rPr>
          <w:rFonts w:cs="Times New Roman"/>
        </w:rPr>
        <w:t xml:space="preserve"> at </w:t>
      </w:r>
      <w:proofErr w:type="spellStart"/>
      <w:r w:rsidRPr="0038105B">
        <w:rPr>
          <w:rFonts w:cs="Times New Roman"/>
        </w:rPr>
        <w:t>para</w:t>
      </w:r>
      <w:proofErr w:type="spellEnd"/>
      <w:r w:rsidRPr="0038105B">
        <w:rPr>
          <w:rFonts w:cs="Times New Roman"/>
        </w:rPr>
        <w:t xml:space="preserve">. 201).   The terrorism provisions catch a very wide variety of conduct, suggesting that the weight to be given to rehabilitation in a given case is best left to the reasoned discretion of trial judges on a case-by-case basis. This does not, however, negate the fact that on the evidence in this case, the absence of evidence on rehabilitation prospects justified a stiffer sentence than otherwise might have been appropriate.  </w:t>
      </w:r>
    </w:p>
    <w:p w:rsidR="00E267BC" w:rsidRPr="0038105B" w:rsidRDefault="00E267BC" w:rsidP="00E267BC">
      <w:pPr>
        <w:pStyle w:val="ParaNoNdepar-AltN"/>
        <w:rPr>
          <w:rFonts w:cs="Times New Roman"/>
        </w:rPr>
      </w:pPr>
      <w:r w:rsidRPr="0038105B">
        <w:rPr>
          <w:rFonts w:cs="Times New Roman"/>
        </w:rPr>
        <w:t>The third</w:t>
      </w:r>
      <w:r w:rsidRPr="0038105B">
        <w:rPr>
          <w:rFonts w:cs="Times New Roman"/>
          <w:b/>
        </w:rPr>
        <w:t xml:space="preserve"> </w:t>
      </w:r>
      <w:r w:rsidRPr="0038105B">
        <w:rPr>
          <w:rFonts w:cs="Times New Roman"/>
        </w:rPr>
        <w:t>error identified by the Court of Appeal is that the trial judge erred in interpreting s. 83.26, which provides that convictions under ss. 83.02 to 83.04 and 83.18 to 83.23 require consecutive sentences. The Court of Appeal took the view that the “totality principle”, which requires that the cumulative sentence rendered for multiple offences not exceed the overall culpability of the offender, should be moderated or altered in the case of terrorism offences so that “the customary upper range [of 15 to 20 years] for consecutive fixed-term sentences will not be applicable” (</w:t>
      </w:r>
      <w:proofErr w:type="spellStart"/>
      <w:r w:rsidRPr="0038105B">
        <w:rPr>
          <w:rFonts w:cs="Times New Roman"/>
        </w:rPr>
        <w:t>para</w:t>
      </w:r>
      <w:proofErr w:type="spellEnd"/>
      <w:r w:rsidRPr="0038105B">
        <w:rPr>
          <w:rFonts w:cs="Times New Roman"/>
        </w:rPr>
        <w:t xml:space="preserve">. 210). </w:t>
      </w:r>
    </w:p>
    <w:p w:rsidR="00E267BC" w:rsidRPr="0038105B" w:rsidRDefault="00E267BC" w:rsidP="00E267BC">
      <w:pPr>
        <w:pStyle w:val="ParaNoNdepar-AltN"/>
        <w:rPr>
          <w:rFonts w:cs="Times New Roman"/>
        </w:rPr>
      </w:pPr>
      <w:r w:rsidRPr="0038105B">
        <w:rPr>
          <w:rFonts w:cs="Times New Roman"/>
        </w:rPr>
        <w:lastRenderedPageBreak/>
        <w:t xml:space="preserve">While I agree with the Court of Appeal that s. 83.26 requires that sentences for terrorist offences be served consecutively, I do not agree that this result is inconsistent with the totality principle on the evidence in this case.  The only restriction imposed by the totality principle is that the </w:t>
      </w:r>
      <w:proofErr w:type="gramStart"/>
      <w:r w:rsidRPr="0038105B">
        <w:rPr>
          <w:rFonts w:cs="Times New Roman"/>
        </w:rPr>
        <w:t>sentence not exceed</w:t>
      </w:r>
      <w:proofErr w:type="gramEnd"/>
      <w:r w:rsidRPr="0038105B">
        <w:rPr>
          <w:rFonts w:cs="Times New Roman"/>
        </w:rPr>
        <w:t xml:space="preserve"> the overall culpability of the offender. While the practice in Canadian courts is to impose sentences of between 15 to 20 years if a life sentence is not appropriate, this practice is not binding and is </w:t>
      </w:r>
      <w:r w:rsidRPr="0038105B">
        <w:rPr>
          <w:rFonts w:cs="Times New Roman"/>
          <w:i/>
        </w:rPr>
        <w:t>not</w:t>
      </w:r>
      <w:r w:rsidRPr="0038105B">
        <w:rPr>
          <w:rFonts w:cs="Times New Roman"/>
        </w:rPr>
        <w:t xml:space="preserve"> part of the totality principle:  see </w:t>
      </w:r>
      <w:r w:rsidRPr="0038105B">
        <w:rPr>
          <w:rFonts w:cs="Times New Roman"/>
          <w:i/>
        </w:rPr>
        <w:t>R. v. M. (C.A.)</w:t>
      </w:r>
      <w:r w:rsidRPr="0038105B">
        <w:rPr>
          <w:rFonts w:cs="Times New Roman"/>
        </w:rPr>
        <w:t xml:space="preserve">, [1996] 1 S.C.R. 500, </w:t>
      </w:r>
      <w:r w:rsidR="00002B7B" w:rsidRPr="0038105B">
        <w:rPr>
          <w:rFonts w:cs="Times New Roman"/>
          <w:i/>
        </w:rPr>
        <w:t>per</w:t>
      </w:r>
      <w:r w:rsidR="00002B7B">
        <w:rPr>
          <w:rFonts w:cs="Times New Roman"/>
        </w:rPr>
        <w:t xml:space="preserve"> Lamer C.J., </w:t>
      </w:r>
      <w:r w:rsidRPr="0038105B">
        <w:rPr>
          <w:rFonts w:cs="Times New Roman"/>
        </w:rPr>
        <w:t xml:space="preserve">at </w:t>
      </w:r>
      <w:proofErr w:type="spellStart"/>
      <w:r w:rsidRPr="0038105B">
        <w:rPr>
          <w:rFonts w:cs="Times New Roman"/>
        </w:rPr>
        <w:t>para</w:t>
      </w:r>
      <w:proofErr w:type="spellEnd"/>
      <w:r w:rsidRPr="0038105B">
        <w:rPr>
          <w:rFonts w:cs="Times New Roman"/>
        </w:rPr>
        <w:t xml:space="preserve">. 56.  The fact that sentences of over 20 years may be imposed more often in terrorism cases is not inconsistent with the totality principle. It merely attests to the particular gravity of terrorist offences and the moral culpability of those who commit them.  I conclude that the heightened gravity of the terrorism offences at issue in this case was sufficient to justify imposition of consecutive sentences running over 20 years, without violating the totality principle. </w:t>
      </w:r>
    </w:p>
    <w:p w:rsidR="00E267BC" w:rsidRPr="0038105B" w:rsidRDefault="00E267BC" w:rsidP="00E267BC">
      <w:pPr>
        <w:pStyle w:val="ParaNoNdepar-AltN"/>
        <w:rPr>
          <w:rFonts w:cs="Times New Roman"/>
        </w:rPr>
      </w:pPr>
      <w:r w:rsidRPr="0038105B">
        <w:rPr>
          <w:rFonts w:cs="Times New Roman"/>
        </w:rPr>
        <w:t xml:space="preserve">After reviewing the three errors committed by the trial judge, the Court of Appeal went on to state that the sentence he imposed failed to adequately reflect three critical matters. </w:t>
      </w:r>
    </w:p>
    <w:p w:rsidR="00E267BC" w:rsidRPr="0038105B" w:rsidRDefault="00E267BC" w:rsidP="00E267BC">
      <w:pPr>
        <w:pStyle w:val="ParaNoNdepar-AltN"/>
        <w:rPr>
          <w:rFonts w:cs="Times New Roman"/>
        </w:rPr>
      </w:pPr>
      <w:r w:rsidRPr="0038105B">
        <w:rPr>
          <w:rFonts w:cs="Times New Roman"/>
        </w:rPr>
        <w:t xml:space="preserve">First, the sentence imposed did not reflect the gravity of the appellant’s actions.  I agree.  The appellant was a willing participant in a terrorist group.  He was committed to bringing death on all those opposed to his extremist ideology and took many steps to provide support to the group.  The bomb detonators he attempted to </w:t>
      </w:r>
      <w:r w:rsidRPr="0038105B">
        <w:rPr>
          <w:rFonts w:cs="Times New Roman"/>
        </w:rPr>
        <w:lastRenderedPageBreak/>
        <w:t xml:space="preserve">build would have killed many civilians had his plan succeeded. A sentence of 10 and </w:t>
      </w:r>
      <w:proofErr w:type="gramStart"/>
      <w:r w:rsidRPr="0038105B">
        <w:rPr>
          <w:rFonts w:cs="Times New Roman"/>
        </w:rPr>
        <w:t>a half</w:t>
      </w:r>
      <w:proofErr w:type="gramEnd"/>
      <w:r w:rsidRPr="0038105B">
        <w:rPr>
          <w:rFonts w:cs="Times New Roman"/>
        </w:rPr>
        <w:t xml:space="preserve"> years does not approach an adequate sentence for such acts.</w:t>
      </w:r>
    </w:p>
    <w:p w:rsidR="00E267BC" w:rsidRPr="0038105B" w:rsidRDefault="00E267BC" w:rsidP="00E267BC">
      <w:pPr>
        <w:pStyle w:val="ParaNoNdepar-AltN"/>
        <w:rPr>
          <w:rFonts w:cs="Times New Roman"/>
        </w:rPr>
      </w:pPr>
      <w:r w:rsidRPr="0038105B">
        <w:rPr>
          <w:rFonts w:cs="Times New Roman"/>
        </w:rPr>
        <w:t>Second, the Court of Appeal found that the sentence did not reflect the continuing danger this committed and apparently remorseless man would pose to society on release.  For the reasons discussed earlier, I agree.  The trial judge’s sentence failed to give adequate weight to the ongoing danger the appellant posed to society.</w:t>
      </w:r>
    </w:p>
    <w:p w:rsidR="00E267BC" w:rsidRPr="0038105B" w:rsidRDefault="00E267BC" w:rsidP="00E267BC">
      <w:pPr>
        <w:pStyle w:val="ParaNoNdepar-AltN"/>
        <w:rPr>
          <w:rFonts w:cs="Times New Roman"/>
        </w:rPr>
      </w:pPr>
      <w:r w:rsidRPr="0038105B">
        <w:rPr>
          <w:rFonts w:cs="Times New Roman"/>
        </w:rPr>
        <w:t>Finally, the Court of Appeal faulted the trial judge’s sentence for failing to send a “clear and unmistakable message that terrorism is reprehensible and those who choose to engage in it [in Canada] will pay a very heavy price” (</w:t>
      </w:r>
      <w:proofErr w:type="spellStart"/>
      <w:r w:rsidRPr="0038105B">
        <w:rPr>
          <w:rFonts w:cs="Times New Roman"/>
        </w:rPr>
        <w:t>para</w:t>
      </w:r>
      <w:proofErr w:type="spellEnd"/>
      <w:r w:rsidRPr="0038105B">
        <w:rPr>
          <w:rFonts w:cs="Times New Roman"/>
        </w:rPr>
        <w:t>. 246). Without suggesting that terrorism offences attract special sentencing rules or goals, I agree that denunciation and deterrence, both specific and general, are important principles in the sentencing of terrorism offences, given their seriousness:  see s. 718.2(</w:t>
      </w:r>
      <w:r w:rsidRPr="0038105B">
        <w:rPr>
          <w:rFonts w:cs="Times New Roman"/>
          <w:i/>
        </w:rPr>
        <w:t>a</w:t>
      </w:r>
      <w:r w:rsidRPr="0038105B">
        <w:rPr>
          <w:rFonts w:cs="Times New Roman"/>
        </w:rPr>
        <w:t xml:space="preserve">)(v) of the </w:t>
      </w:r>
      <w:r w:rsidRPr="0038105B">
        <w:rPr>
          <w:rFonts w:cs="Times New Roman"/>
          <w:i/>
        </w:rPr>
        <w:t>Criminal Code</w:t>
      </w:r>
      <w:r w:rsidRPr="0038105B">
        <w:rPr>
          <w:rFonts w:cs="Times New Roman"/>
        </w:rPr>
        <w:t xml:space="preserve">; H. Parent and J. </w:t>
      </w:r>
      <w:proofErr w:type="spellStart"/>
      <w:r w:rsidRPr="0038105B">
        <w:rPr>
          <w:rFonts w:cs="Times New Roman"/>
        </w:rPr>
        <w:t>Desrosiers</w:t>
      </w:r>
      <w:proofErr w:type="spellEnd"/>
      <w:r w:rsidRPr="0038105B">
        <w:rPr>
          <w:rFonts w:cs="Times New Roman"/>
        </w:rPr>
        <w:t>,</w:t>
      </w:r>
      <w:r w:rsidRPr="0038105B">
        <w:rPr>
          <w:rFonts w:cs="Times New Roman"/>
          <w:i/>
        </w:rPr>
        <w:t xml:space="preserve"> </w:t>
      </w:r>
      <w:proofErr w:type="spellStart"/>
      <w:r w:rsidRPr="0038105B">
        <w:rPr>
          <w:rFonts w:cs="Times New Roman"/>
          <w:i/>
        </w:rPr>
        <w:t>Traité</w:t>
      </w:r>
      <w:proofErr w:type="spellEnd"/>
      <w:r w:rsidRPr="0038105B">
        <w:rPr>
          <w:rFonts w:cs="Times New Roman"/>
          <w:i/>
        </w:rPr>
        <w:t xml:space="preserve"> de </w:t>
      </w:r>
      <w:proofErr w:type="spellStart"/>
      <w:r w:rsidRPr="0038105B">
        <w:rPr>
          <w:rFonts w:cs="Times New Roman"/>
          <w:i/>
        </w:rPr>
        <w:t>droit</w:t>
      </w:r>
      <w:proofErr w:type="spellEnd"/>
      <w:r w:rsidRPr="0038105B">
        <w:rPr>
          <w:rFonts w:cs="Times New Roman"/>
          <w:i/>
        </w:rPr>
        <w:t xml:space="preserve"> </w:t>
      </w:r>
      <w:proofErr w:type="spellStart"/>
      <w:r w:rsidRPr="0038105B">
        <w:rPr>
          <w:rFonts w:cs="Times New Roman"/>
          <w:i/>
        </w:rPr>
        <w:t>criminel</w:t>
      </w:r>
      <w:proofErr w:type="spellEnd"/>
      <w:r w:rsidRPr="0038105B">
        <w:rPr>
          <w:rFonts w:cs="Times New Roman"/>
        </w:rPr>
        <w:t xml:space="preserve">, vol. 3, </w:t>
      </w:r>
      <w:r w:rsidRPr="0038105B">
        <w:rPr>
          <w:rFonts w:cs="Times New Roman"/>
          <w:i/>
        </w:rPr>
        <w:t xml:space="preserve">La </w:t>
      </w:r>
      <w:proofErr w:type="spellStart"/>
      <w:r w:rsidRPr="0038105B">
        <w:rPr>
          <w:rFonts w:cs="Times New Roman"/>
          <w:i/>
        </w:rPr>
        <w:t>peine</w:t>
      </w:r>
      <w:proofErr w:type="spellEnd"/>
      <w:r w:rsidR="00002B7B" w:rsidRPr="0038105B">
        <w:rPr>
          <w:rFonts w:cs="Times New Roman"/>
          <w:i/>
        </w:rPr>
        <w:t xml:space="preserve"> </w:t>
      </w:r>
      <w:r w:rsidR="00002B7B" w:rsidRPr="0038105B">
        <w:rPr>
          <w:rFonts w:cs="Times New Roman"/>
        </w:rPr>
        <w:t>(2012)</w:t>
      </w:r>
      <w:r w:rsidRPr="0038105B">
        <w:rPr>
          <w:rFonts w:cs="Times New Roman"/>
        </w:rPr>
        <w:t xml:space="preserve">, at pp. 76-78. </w:t>
      </w:r>
    </w:p>
    <w:p w:rsidR="00E267BC" w:rsidRPr="0038105B" w:rsidRDefault="00E267BC" w:rsidP="00E267BC">
      <w:pPr>
        <w:pStyle w:val="ParaNoNdepar-AltN"/>
        <w:rPr>
          <w:rFonts w:cs="Times New Roman"/>
        </w:rPr>
      </w:pPr>
      <w:r w:rsidRPr="0038105B">
        <w:rPr>
          <w:rFonts w:cs="Times New Roman"/>
        </w:rPr>
        <w:t>For these reasons, I would dismiss the appeal from sentence.</w:t>
      </w:r>
    </w:p>
    <w:p w:rsidR="00E267BC" w:rsidRPr="0038105B" w:rsidRDefault="00E267BC" w:rsidP="00E267BC">
      <w:pPr>
        <w:pStyle w:val="ParaNoNdepar-AltN"/>
        <w:numPr>
          <w:ilvl w:val="0"/>
          <w:numId w:val="0"/>
        </w:numPr>
        <w:rPr>
          <w:rFonts w:cs="Times New Roman"/>
        </w:rPr>
      </w:pPr>
      <w:r w:rsidRPr="0038105B">
        <w:rPr>
          <w:rFonts w:cs="Times New Roman"/>
        </w:rPr>
        <w:t>VII.</w:t>
      </w:r>
      <w:r w:rsidRPr="0038105B">
        <w:rPr>
          <w:rFonts w:cs="Times New Roman"/>
        </w:rPr>
        <w:tab/>
      </w:r>
      <w:r w:rsidRPr="0038105B">
        <w:rPr>
          <w:rFonts w:cs="Times New Roman"/>
          <w:u w:val="single"/>
        </w:rPr>
        <w:t>Conclusion</w:t>
      </w:r>
    </w:p>
    <w:p w:rsidR="00E267BC" w:rsidRDefault="00E267BC" w:rsidP="00E267BC">
      <w:pPr>
        <w:pStyle w:val="ParaNoNdepar-AltN"/>
        <w:rPr>
          <w:rFonts w:cs="Times New Roman"/>
        </w:rPr>
      </w:pPr>
      <w:r w:rsidRPr="0038105B">
        <w:rPr>
          <w:rFonts w:cs="Times New Roman"/>
        </w:rPr>
        <w:t>I would dismiss the appeal and affirm the convictions and the sentence imposed by the Court of Appeal.</w:t>
      </w:r>
    </w:p>
    <w:p w:rsidR="00E267BC" w:rsidRPr="0038105B" w:rsidRDefault="00E267BC" w:rsidP="000E3C15">
      <w:pPr>
        <w:pStyle w:val="TitleTitre-AltT"/>
        <w:spacing w:before="240" w:after="240"/>
        <w:jc w:val="center"/>
        <w:rPr>
          <w:rFonts w:cs="Times New Roman"/>
          <w:b/>
          <w:lang w:val="fr-CA"/>
        </w:rPr>
      </w:pPr>
      <w:r w:rsidRPr="0038105B">
        <w:rPr>
          <w:rFonts w:cs="Times New Roman"/>
          <w:b/>
          <w:lang w:val="fr-CA"/>
        </w:rPr>
        <w:lastRenderedPageBreak/>
        <w:t>APPENDIX</w:t>
      </w:r>
    </w:p>
    <w:p w:rsidR="00E267BC" w:rsidRPr="0038105B" w:rsidRDefault="00E267BC" w:rsidP="000E3C15">
      <w:pPr>
        <w:pStyle w:val="TitleTitre-AltT"/>
        <w:rPr>
          <w:lang w:val="fr-CA"/>
        </w:rPr>
      </w:pPr>
      <w:proofErr w:type="spellStart"/>
      <w:r w:rsidRPr="0038105B">
        <w:rPr>
          <w:i/>
          <w:lang w:val="fr-CA"/>
        </w:rPr>
        <w:t>Criminal</w:t>
      </w:r>
      <w:proofErr w:type="spellEnd"/>
      <w:r w:rsidRPr="0038105B">
        <w:rPr>
          <w:i/>
          <w:lang w:val="fr-CA"/>
        </w:rPr>
        <w:t xml:space="preserve"> Code</w:t>
      </w:r>
      <w:r w:rsidRPr="0038105B">
        <w:rPr>
          <w:lang w:val="fr-CA"/>
        </w:rPr>
        <w:t>, R.S.C. 1985, c. C-46</w:t>
      </w:r>
    </w:p>
    <w:p w:rsidR="00E267BC" w:rsidRPr="0038105B" w:rsidRDefault="000E3C15" w:rsidP="000E3C15">
      <w:pPr>
        <w:pStyle w:val="Citation-AltC"/>
        <w:tabs>
          <w:tab w:val="left" w:pos="1170"/>
        </w:tabs>
        <w:spacing w:after="240"/>
        <w:ind w:hanging="1166"/>
        <w:contextualSpacing w:val="0"/>
        <w:rPr>
          <w:w w:val="112"/>
          <w:lang w:val="en-US"/>
        </w:rPr>
      </w:pPr>
      <w:r w:rsidRPr="0026195C">
        <w:rPr>
          <w:b/>
          <w:w w:val="112"/>
          <w:lang w:val="fr-CA"/>
        </w:rPr>
        <w:tab/>
      </w:r>
      <w:r w:rsidR="00E267BC" w:rsidRPr="0038105B">
        <w:rPr>
          <w:b/>
          <w:w w:val="112"/>
          <w:lang w:val="en-US"/>
        </w:rPr>
        <w:t>83.01</w:t>
      </w:r>
      <w:r w:rsidR="00002B7B">
        <w:rPr>
          <w:w w:val="112"/>
          <w:lang w:val="en-US"/>
        </w:rPr>
        <w:t xml:space="preserve"> (1) . . . </w:t>
      </w:r>
    </w:p>
    <w:p w:rsidR="00E267BC" w:rsidRDefault="00A52C6C" w:rsidP="000E3C15">
      <w:pPr>
        <w:pStyle w:val="Citation-AltC"/>
        <w:tabs>
          <w:tab w:val="left" w:pos="540"/>
        </w:tabs>
        <w:spacing w:after="240"/>
        <w:ind w:hanging="1166"/>
        <w:contextualSpacing w:val="0"/>
        <w:rPr>
          <w:w w:val="112"/>
          <w:lang w:val="en-US"/>
        </w:rPr>
      </w:pPr>
      <w:r>
        <w:rPr>
          <w:w w:val="112"/>
          <w:lang w:val="en-US"/>
        </w:rPr>
        <w:tab/>
      </w:r>
      <w:r w:rsidR="00E267BC" w:rsidRPr="0038105B">
        <w:rPr>
          <w:w w:val="112"/>
          <w:lang w:val="en-US"/>
        </w:rPr>
        <w:t>“</w:t>
      </w:r>
      <w:proofErr w:type="gramStart"/>
      <w:r w:rsidR="00E267BC" w:rsidRPr="00A52C6C">
        <w:rPr>
          <w:lang w:val="en-US"/>
        </w:rPr>
        <w:t>terrorist</w:t>
      </w:r>
      <w:proofErr w:type="gramEnd"/>
      <w:r w:rsidR="00E267BC" w:rsidRPr="0038105B">
        <w:rPr>
          <w:spacing w:val="36"/>
          <w:w w:val="112"/>
          <w:lang w:val="en-US"/>
        </w:rPr>
        <w:t xml:space="preserve"> </w:t>
      </w:r>
      <w:r w:rsidR="00E267BC" w:rsidRPr="0038105B">
        <w:rPr>
          <w:w w:val="112"/>
          <w:lang w:val="en-US"/>
        </w:rPr>
        <w:t>activity”</w:t>
      </w:r>
      <w:r w:rsidR="00E267BC" w:rsidRPr="0038105B">
        <w:rPr>
          <w:spacing w:val="16"/>
          <w:w w:val="112"/>
          <w:lang w:val="en-US"/>
        </w:rPr>
        <w:t xml:space="preserve"> </w:t>
      </w:r>
      <w:r w:rsidR="00E267BC" w:rsidRPr="0038105B">
        <w:rPr>
          <w:w w:val="112"/>
          <w:lang w:val="en-US"/>
        </w:rPr>
        <w:t>means</w:t>
      </w:r>
    </w:p>
    <w:p w:rsidR="00002B7B" w:rsidRPr="0038105B" w:rsidRDefault="00002B7B" w:rsidP="000E3C15">
      <w:pPr>
        <w:pStyle w:val="Citation-AltC"/>
        <w:spacing w:after="240"/>
        <w:contextualSpacing w:val="0"/>
        <w:jc w:val="center"/>
        <w:rPr>
          <w:w w:val="112"/>
          <w:lang w:val="en-US"/>
        </w:rPr>
      </w:pPr>
      <w:r>
        <w:rPr>
          <w:w w:val="112"/>
          <w:lang w:val="en-US"/>
        </w:rPr>
        <w:t>. . .</w:t>
      </w:r>
    </w:p>
    <w:p w:rsidR="00E267BC" w:rsidRPr="0038105B" w:rsidRDefault="00A52C6C" w:rsidP="00A52C6C">
      <w:pPr>
        <w:tabs>
          <w:tab w:val="left" w:pos="1170"/>
          <w:tab w:val="left" w:pos="1620"/>
          <w:tab w:val="left" w:pos="1890"/>
        </w:tabs>
        <w:spacing w:after="240"/>
        <w:ind w:left="1166" w:hanging="1166"/>
        <w:jc w:val="both"/>
        <w:rPr>
          <w:szCs w:val="24"/>
          <w:lang w:val="en-US"/>
        </w:rPr>
      </w:pPr>
      <w:r>
        <w:rPr>
          <w:iCs/>
          <w:w w:val="129"/>
          <w:szCs w:val="24"/>
          <w:lang w:val="en-US"/>
        </w:rPr>
        <w:tab/>
      </w:r>
      <w:r w:rsidR="00E267BC" w:rsidRPr="0038105B">
        <w:rPr>
          <w:iCs/>
          <w:w w:val="129"/>
          <w:szCs w:val="24"/>
          <w:lang w:val="en-US"/>
        </w:rPr>
        <w:t>(</w:t>
      </w:r>
      <w:r w:rsidR="00E267BC" w:rsidRPr="0038105B">
        <w:rPr>
          <w:i/>
          <w:iCs/>
          <w:w w:val="129"/>
          <w:szCs w:val="24"/>
          <w:lang w:val="en-US"/>
        </w:rPr>
        <w:t>b</w:t>
      </w:r>
      <w:r w:rsidR="00E267BC" w:rsidRPr="0038105B">
        <w:rPr>
          <w:iCs/>
          <w:w w:val="129"/>
          <w:szCs w:val="24"/>
          <w:lang w:val="en-US"/>
        </w:rPr>
        <w:t>)</w:t>
      </w:r>
      <w:r>
        <w:rPr>
          <w:iCs/>
          <w:w w:val="129"/>
          <w:szCs w:val="24"/>
          <w:lang w:val="en-US"/>
        </w:rPr>
        <w:tab/>
      </w:r>
      <w:proofErr w:type="gramStart"/>
      <w:r w:rsidR="00E267BC" w:rsidRPr="0038105B">
        <w:rPr>
          <w:szCs w:val="24"/>
          <w:lang w:val="en-US"/>
        </w:rPr>
        <w:t>an</w:t>
      </w:r>
      <w:proofErr w:type="gramEnd"/>
      <w:r w:rsidR="00E267BC" w:rsidRPr="0038105B">
        <w:rPr>
          <w:spacing w:val="30"/>
          <w:szCs w:val="24"/>
          <w:lang w:val="en-US"/>
        </w:rPr>
        <w:t xml:space="preserve"> </w:t>
      </w:r>
      <w:r w:rsidR="00E267BC" w:rsidRPr="0038105B">
        <w:rPr>
          <w:szCs w:val="24"/>
          <w:lang w:val="en-US"/>
        </w:rPr>
        <w:t>act</w:t>
      </w:r>
      <w:r w:rsidR="00E267BC" w:rsidRPr="0038105B">
        <w:rPr>
          <w:spacing w:val="37"/>
          <w:szCs w:val="24"/>
          <w:lang w:val="en-US"/>
        </w:rPr>
        <w:t xml:space="preserve"> </w:t>
      </w:r>
      <w:r w:rsidR="00E267BC" w:rsidRPr="0038105B">
        <w:rPr>
          <w:szCs w:val="24"/>
          <w:lang w:val="en-US"/>
        </w:rPr>
        <w:t>or</w:t>
      </w:r>
      <w:r w:rsidR="00E267BC" w:rsidRPr="0038105B">
        <w:rPr>
          <w:spacing w:val="32"/>
          <w:szCs w:val="24"/>
          <w:lang w:val="en-US"/>
        </w:rPr>
        <w:t xml:space="preserve"> </w:t>
      </w:r>
      <w:r w:rsidR="00E267BC" w:rsidRPr="00A52C6C">
        <w:rPr>
          <w:szCs w:val="24"/>
          <w:lang w:val="en-US"/>
        </w:rPr>
        <w:t>omission</w:t>
      </w:r>
      <w:r w:rsidR="00E267BC" w:rsidRPr="0038105B">
        <w:rPr>
          <w:szCs w:val="24"/>
          <w:lang w:val="en-US"/>
        </w:rPr>
        <w:t>,</w:t>
      </w:r>
      <w:r w:rsidR="00E267BC" w:rsidRPr="0038105B">
        <w:rPr>
          <w:spacing w:val="47"/>
          <w:szCs w:val="24"/>
          <w:lang w:val="en-US"/>
        </w:rPr>
        <w:t xml:space="preserve"> </w:t>
      </w:r>
      <w:r w:rsidR="00E267BC" w:rsidRPr="0038105B">
        <w:rPr>
          <w:szCs w:val="24"/>
          <w:lang w:val="en-US"/>
        </w:rPr>
        <w:t>in</w:t>
      </w:r>
      <w:r w:rsidR="00E267BC" w:rsidRPr="0038105B">
        <w:rPr>
          <w:spacing w:val="37"/>
          <w:szCs w:val="24"/>
          <w:lang w:val="en-US"/>
        </w:rPr>
        <w:t xml:space="preserve"> </w:t>
      </w:r>
      <w:r w:rsidR="00E267BC" w:rsidRPr="0038105B">
        <w:rPr>
          <w:szCs w:val="24"/>
          <w:lang w:val="en-US"/>
        </w:rPr>
        <w:t>or</w:t>
      </w:r>
      <w:r w:rsidR="00E267BC" w:rsidRPr="0038105B">
        <w:rPr>
          <w:spacing w:val="33"/>
          <w:szCs w:val="24"/>
          <w:lang w:val="en-US"/>
        </w:rPr>
        <w:t xml:space="preserve"> </w:t>
      </w:r>
      <w:r w:rsidR="00E267BC" w:rsidRPr="0038105B">
        <w:rPr>
          <w:w w:val="108"/>
          <w:szCs w:val="24"/>
          <w:lang w:val="en-US"/>
        </w:rPr>
        <w:t xml:space="preserve">outside </w:t>
      </w:r>
      <w:r w:rsidR="00E267BC" w:rsidRPr="0038105B">
        <w:rPr>
          <w:w w:val="103"/>
          <w:szCs w:val="24"/>
          <w:lang w:val="en-US"/>
        </w:rPr>
        <w:t>Canada,</w:t>
      </w:r>
    </w:p>
    <w:p w:rsidR="00E267BC" w:rsidRPr="0038105B" w:rsidRDefault="00A52C6C" w:rsidP="00A52C6C">
      <w:pPr>
        <w:tabs>
          <w:tab w:val="left" w:pos="1170"/>
          <w:tab w:val="left" w:pos="1620"/>
          <w:tab w:val="left" w:pos="2070"/>
        </w:tabs>
        <w:spacing w:after="240"/>
        <w:ind w:left="1166" w:hanging="1166"/>
        <w:jc w:val="both"/>
        <w:rPr>
          <w:szCs w:val="24"/>
          <w:lang w:val="en-US"/>
        </w:rPr>
      </w:pPr>
      <w:r>
        <w:rPr>
          <w:szCs w:val="24"/>
          <w:lang w:val="en-US"/>
        </w:rPr>
        <w:tab/>
      </w:r>
      <w:r>
        <w:rPr>
          <w:szCs w:val="24"/>
          <w:lang w:val="en-US"/>
        </w:rPr>
        <w:tab/>
      </w:r>
      <w:r>
        <w:rPr>
          <w:szCs w:val="24"/>
          <w:lang w:val="en-US"/>
        </w:rPr>
        <w:tab/>
        <w:t>(</w:t>
      </w:r>
      <w:proofErr w:type="spellStart"/>
      <w:proofErr w:type="gramStart"/>
      <w:r>
        <w:rPr>
          <w:szCs w:val="24"/>
          <w:lang w:val="en-US"/>
        </w:rPr>
        <w:t>i</w:t>
      </w:r>
      <w:proofErr w:type="spellEnd"/>
      <w:proofErr w:type="gramEnd"/>
      <w:r>
        <w:rPr>
          <w:szCs w:val="24"/>
          <w:lang w:val="en-US"/>
        </w:rPr>
        <w:t>)</w:t>
      </w:r>
      <w:r>
        <w:rPr>
          <w:szCs w:val="24"/>
          <w:lang w:val="en-US"/>
        </w:rPr>
        <w:tab/>
      </w:r>
      <w:r w:rsidR="00E267BC" w:rsidRPr="0038105B">
        <w:rPr>
          <w:szCs w:val="24"/>
          <w:lang w:val="en-US"/>
        </w:rPr>
        <w:t>that is</w:t>
      </w:r>
      <w:r w:rsidR="00E267BC" w:rsidRPr="0038105B">
        <w:rPr>
          <w:spacing w:val="23"/>
          <w:szCs w:val="24"/>
          <w:lang w:val="en-US"/>
        </w:rPr>
        <w:t xml:space="preserve"> </w:t>
      </w:r>
      <w:r w:rsidR="00E267BC" w:rsidRPr="00A52C6C">
        <w:rPr>
          <w:szCs w:val="24"/>
          <w:lang w:val="en-US"/>
        </w:rPr>
        <w:t>committed</w:t>
      </w:r>
    </w:p>
    <w:p w:rsidR="00E267BC" w:rsidRPr="0038105B" w:rsidRDefault="00A52C6C" w:rsidP="00A52C6C">
      <w:pPr>
        <w:tabs>
          <w:tab w:val="left" w:pos="1170"/>
          <w:tab w:val="left" w:pos="1440"/>
          <w:tab w:val="left" w:pos="2070"/>
          <w:tab w:val="left" w:pos="2700"/>
        </w:tabs>
        <w:spacing w:after="240"/>
        <w:ind w:left="2070" w:hanging="2070"/>
        <w:jc w:val="both"/>
        <w:rPr>
          <w:szCs w:val="24"/>
          <w:lang w:val="en-US"/>
        </w:rPr>
      </w:pPr>
      <w:r>
        <w:rPr>
          <w:szCs w:val="24"/>
          <w:lang w:val="en-US"/>
        </w:rPr>
        <w:tab/>
      </w:r>
      <w:r>
        <w:rPr>
          <w:szCs w:val="24"/>
          <w:lang w:val="en-US"/>
        </w:rPr>
        <w:tab/>
      </w:r>
      <w:r>
        <w:rPr>
          <w:szCs w:val="24"/>
          <w:lang w:val="en-US"/>
        </w:rPr>
        <w:tab/>
      </w:r>
      <w:r w:rsidR="00E267BC" w:rsidRPr="0038105B">
        <w:rPr>
          <w:szCs w:val="24"/>
          <w:lang w:val="en-US"/>
        </w:rPr>
        <w:t>(A)</w:t>
      </w:r>
      <w:r>
        <w:rPr>
          <w:spacing w:val="45"/>
          <w:szCs w:val="24"/>
          <w:lang w:val="en-US"/>
        </w:rPr>
        <w:tab/>
      </w:r>
      <w:proofErr w:type="gramStart"/>
      <w:r w:rsidR="00E267BC" w:rsidRPr="0038105B">
        <w:rPr>
          <w:szCs w:val="24"/>
          <w:lang w:val="en-US"/>
        </w:rPr>
        <w:t>in</w:t>
      </w:r>
      <w:proofErr w:type="gramEnd"/>
      <w:r w:rsidR="00E267BC" w:rsidRPr="0038105B">
        <w:rPr>
          <w:spacing w:val="43"/>
          <w:szCs w:val="24"/>
          <w:lang w:val="en-US"/>
        </w:rPr>
        <w:t xml:space="preserve"> </w:t>
      </w:r>
      <w:r w:rsidR="00E267BC" w:rsidRPr="0038105B">
        <w:rPr>
          <w:szCs w:val="24"/>
          <w:lang w:val="en-US"/>
        </w:rPr>
        <w:t>whole</w:t>
      </w:r>
      <w:r w:rsidR="00E267BC" w:rsidRPr="0038105B">
        <w:rPr>
          <w:spacing w:val="47"/>
          <w:szCs w:val="24"/>
          <w:lang w:val="en-US"/>
        </w:rPr>
        <w:t xml:space="preserve"> </w:t>
      </w:r>
      <w:r w:rsidR="00E267BC" w:rsidRPr="0038105B">
        <w:rPr>
          <w:szCs w:val="24"/>
          <w:lang w:val="en-US"/>
        </w:rPr>
        <w:t>or</w:t>
      </w:r>
      <w:r w:rsidR="00E267BC" w:rsidRPr="0038105B">
        <w:rPr>
          <w:spacing w:val="30"/>
          <w:szCs w:val="24"/>
          <w:lang w:val="en-US"/>
        </w:rPr>
        <w:t xml:space="preserve"> </w:t>
      </w:r>
      <w:r w:rsidR="00E267BC" w:rsidRPr="0038105B">
        <w:rPr>
          <w:szCs w:val="24"/>
          <w:lang w:val="en-US"/>
        </w:rPr>
        <w:t>in</w:t>
      </w:r>
      <w:r w:rsidR="00E267BC" w:rsidRPr="0038105B">
        <w:rPr>
          <w:spacing w:val="34"/>
          <w:szCs w:val="24"/>
          <w:lang w:val="en-US"/>
        </w:rPr>
        <w:t xml:space="preserve"> </w:t>
      </w:r>
      <w:r w:rsidR="00E267BC" w:rsidRPr="0038105B">
        <w:rPr>
          <w:szCs w:val="24"/>
          <w:lang w:val="en-US"/>
        </w:rPr>
        <w:t>part for</w:t>
      </w:r>
      <w:r w:rsidR="00E267BC" w:rsidRPr="0038105B">
        <w:rPr>
          <w:spacing w:val="41"/>
          <w:szCs w:val="24"/>
          <w:lang w:val="en-US"/>
        </w:rPr>
        <w:t xml:space="preserve"> </w:t>
      </w:r>
      <w:r w:rsidR="00E267BC" w:rsidRPr="0038105B">
        <w:rPr>
          <w:szCs w:val="24"/>
          <w:lang w:val="en-US"/>
        </w:rPr>
        <w:t xml:space="preserve">a </w:t>
      </w:r>
      <w:r w:rsidR="00E267BC" w:rsidRPr="0038105B">
        <w:rPr>
          <w:w w:val="109"/>
          <w:szCs w:val="24"/>
          <w:lang w:val="en-US"/>
        </w:rPr>
        <w:t>political,</w:t>
      </w:r>
      <w:r w:rsidR="00E267BC" w:rsidRPr="0038105B">
        <w:rPr>
          <w:spacing w:val="-19"/>
          <w:w w:val="109"/>
          <w:szCs w:val="24"/>
          <w:lang w:val="en-US"/>
        </w:rPr>
        <w:t xml:space="preserve"> </w:t>
      </w:r>
      <w:r w:rsidR="00E267BC" w:rsidRPr="0038105B">
        <w:rPr>
          <w:w w:val="109"/>
          <w:szCs w:val="24"/>
          <w:lang w:val="en-US"/>
        </w:rPr>
        <w:t>religious</w:t>
      </w:r>
      <w:r w:rsidR="00E267BC" w:rsidRPr="0038105B">
        <w:rPr>
          <w:spacing w:val="9"/>
          <w:w w:val="109"/>
          <w:szCs w:val="24"/>
          <w:lang w:val="en-US"/>
        </w:rPr>
        <w:t xml:space="preserve"> </w:t>
      </w:r>
      <w:r w:rsidR="00E267BC" w:rsidRPr="0038105B">
        <w:rPr>
          <w:szCs w:val="24"/>
          <w:lang w:val="en-US"/>
        </w:rPr>
        <w:t>or</w:t>
      </w:r>
      <w:r w:rsidR="00E267BC" w:rsidRPr="0038105B">
        <w:rPr>
          <w:spacing w:val="25"/>
          <w:szCs w:val="24"/>
          <w:lang w:val="en-US"/>
        </w:rPr>
        <w:t xml:space="preserve"> </w:t>
      </w:r>
      <w:r w:rsidR="00E267BC" w:rsidRPr="0038105B">
        <w:rPr>
          <w:w w:val="107"/>
          <w:szCs w:val="24"/>
          <w:lang w:val="en-US"/>
        </w:rPr>
        <w:t xml:space="preserve">ideological </w:t>
      </w:r>
      <w:r w:rsidR="00E267BC" w:rsidRPr="0038105B">
        <w:rPr>
          <w:szCs w:val="24"/>
          <w:lang w:val="en-US"/>
        </w:rPr>
        <w:t>purpose,</w:t>
      </w:r>
      <w:r w:rsidR="00E267BC" w:rsidRPr="0038105B">
        <w:rPr>
          <w:spacing w:val="52"/>
          <w:szCs w:val="24"/>
          <w:lang w:val="en-US"/>
        </w:rPr>
        <w:t xml:space="preserve"> </w:t>
      </w:r>
      <w:r w:rsidR="00E267BC" w:rsidRPr="0038105B">
        <w:rPr>
          <w:w w:val="109"/>
          <w:szCs w:val="24"/>
          <w:lang w:val="en-US"/>
        </w:rPr>
        <w:t>objective</w:t>
      </w:r>
      <w:r w:rsidR="00E267BC" w:rsidRPr="0038105B">
        <w:rPr>
          <w:spacing w:val="9"/>
          <w:w w:val="109"/>
          <w:szCs w:val="24"/>
          <w:lang w:val="en-US"/>
        </w:rPr>
        <w:t xml:space="preserve"> </w:t>
      </w:r>
      <w:r w:rsidR="00E267BC" w:rsidRPr="0038105B">
        <w:rPr>
          <w:szCs w:val="24"/>
          <w:lang w:val="en-US"/>
        </w:rPr>
        <w:t>or</w:t>
      </w:r>
      <w:r w:rsidR="00E267BC" w:rsidRPr="0038105B">
        <w:rPr>
          <w:spacing w:val="26"/>
          <w:szCs w:val="24"/>
          <w:lang w:val="en-US"/>
        </w:rPr>
        <w:t xml:space="preserve"> </w:t>
      </w:r>
      <w:r w:rsidR="00E267BC" w:rsidRPr="0038105B">
        <w:rPr>
          <w:szCs w:val="24"/>
          <w:lang w:val="en-US"/>
        </w:rPr>
        <w:t>cause,</w:t>
      </w:r>
      <w:r w:rsidR="00E267BC" w:rsidRPr="0038105B">
        <w:rPr>
          <w:spacing w:val="10"/>
          <w:szCs w:val="24"/>
          <w:lang w:val="en-US"/>
        </w:rPr>
        <w:t xml:space="preserve"> </w:t>
      </w:r>
      <w:r w:rsidR="00E267BC" w:rsidRPr="0038105B">
        <w:rPr>
          <w:w w:val="106"/>
          <w:szCs w:val="24"/>
          <w:lang w:val="en-US"/>
        </w:rPr>
        <w:t>and</w:t>
      </w:r>
    </w:p>
    <w:p w:rsidR="00E267BC" w:rsidRPr="0038105B" w:rsidRDefault="00A52C6C" w:rsidP="00A52C6C">
      <w:pPr>
        <w:tabs>
          <w:tab w:val="left" w:pos="1170"/>
          <w:tab w:val="left" w:pos="1440"/>
          <w:tab w:val="left" w:pos="2070"/>
          <w:tab w:val="left" w:pos="2700"/>
        </w:tabs>
        <w:spacing w:after="240"/>
        <w:ind w:left="2070" w:hanging="2070"/>
        <w:jc w:val="both"/>
        <w:rPr>
          <w:szCs w:val="24"/>
          <w:lang w:val="en-US"/>
        </w:rPr>
      </w:pPr>
      <w:r>
        <w:rPr>
          <w:szCs w:val="24"/>
          <w:lang w:val="en-US"/>
        </w:rPr>
        <w:tab/>
      </w:r>
      <w:r>
        <w:rPr>
          <w:szCs w:val="24"/>
          <w:lang w:val="en-US"/>
        </w:rPr>
        <w:tab/>
      </w:r>
      <w:r>
        <w:rPr>
          <w:szCs w:val="24"/>
          <w:lang w:val="en-US"/>
        </w:rPr>
        <w:tab/>
      </w:r>
      <w:r w:rsidR="00E267BC" w:rsidRPr="0038105B">
        <w:rPr>
          <w:szCs w:val="24"/>
          <w:lang w:val="en-US"/>
        </w:rPr>
        <w:t>(B)</w:t>
      </w:r>
      <w:r>
        <w:rPr>
          <w:spacing w:val="46"/>
          <w:szCs w:val="24"/>
          <w:lang w:val="en-US"/>
        </w:rPr>
        <w:tab/>
      </w:r>
      <w:r w:rsidR="00E267BC" w:rsidRPr="0038105B">
        <w:rPr>
          <w:szCs w:val="24"/>
          <w:lang w:val="en-US"/>
        </w:rPr>
        <w:t>in</w:t>
      </w:r>
      <w:r w:rsidR="00E267BC" w:rsidRPr="0038105B">
        <w:rPr>
          <w:spacing w:val="44"/>
          <w:szCs w:val="24"/>
          <w:lang w:val="en-US"/>
        </w:rPr>
        <w:t xml:space="preserve"> </w:t>
      </w:r>
      <w:r w:rsidR="00E267BC" w:rsidRPr="0038105B">
        <w:rPr>
          <w:szCs w:val="24"/>
          <w:lang w:val="en-US"/>
        </w:rPr>
        <w:t>whole</w:t>
      </w:r>
      <w:r w:rsidR="00E267BC" w:rsidRPr="0038105B">
        <w:rPr>
          <w:spacing w:val="42"/>
          <w:szCs w:val="24"/>
          <w:lang w:val="en-US"/>
        </w:rPr>
        <w:t xml:space="preserve"> </w:t>
      </w:r>
      <w:r w:rsidR="00E267BC" w:rsidRPr="0038105B">
        <w:rPr>
          <w:szCs w:val="24"/>
          <w:lang w:val="en-US"/>
        </w:rPr>
        <w:t>or</w:t>
      </w:r>
      <w:r w:rsidR="00E267BC" w:rsidRPr="0038105B">
        <w:rPr>
          <w:spacing w:val="30"/>
          <w:szCs w:val="24"/>
          <w:lang w:val="en-US"/>
        </w:rPr>
        <w:t xml:space="preserve"> </w:t>
      </w:r>
      <w:r w:rsidR="00E267BC" w:rsidRPr="0038105B">
        <w:rPr>
          <w:szCs w:val="24"/>
          <w:lang w:val="en-US"/>
        </w:rPr>
        <w:t>in</w:t>
      </w:r>
      <w:r w:rsidR="00E267BC" w:rsidRPr="0038105B">
        <w:rPr>
          <w:spacing w:val="39"/>
          <w:szCs w:val="24"/>
          <w:lang w:val="en-US"/>
        </w:rPr>
        <w:t xml:space="preserve"> </w:t>
      </w:r>
      <w:r w:rsidR="00E267BC" w:rsidRPr="0038105B">
        <w:rPr>
          <w:szCs w:val="24"/>
          <w:lang w:val="en-US"/>
        </w:rPr>
        <w:t>part with</w:t>
      </w:r>
      <w:r w:rsidR="00E267BC" w:rsidRPr="0038105B">
        <w:rPr>
          <w:spacing w:val="61"/>
          <w:szCs w:val="24"/>
          <w:lang w:val="en-US"/>
        </w:rPr>
        <w:t xml:space="preserve"> </w:t>
      </w:r>
      <w:r w:rsidR="00E267BC" w:rsidRPr="0038105B">
        <w:rPr>
          <w:w w:val="110"/>
          <w:szCs w:val="24"/>
          <w:lang w:val="en-US"/>
        </w:rPr>
        <w:t xml:space="preserve">the </w:t>
      </w:r>
      <w:r w:rsidR="00E267BC" w:rsidRPr="0038105B">
        <w:rPr>
          <w:w w:val="111"/>
          <w:szCs w:val="24"/>
          <w:lang w:val="en-US"/>
        </w:rPr>
        <w:t>intention</w:t>
      </w:r>
      <w:r w:rsidR="00E267BC" w:rsidRPr="0038105B">
        <w:rPr>
          <w:spacing w:val="8"/>
          <w:w w:val="111"/>
          <w:szCs w:val="24"/>
          <w:lang w:val="en-US"/>
        </w:rPr>
        <w:t xml:space="preserve"> </w:t>
      </w:r>
      <w:r w:rsidR="00E267BC" w:rsidRPr="0038105B">
        <w:rPr>
          <w:szCs w:val="24"/>
          <w:lang w:val="en-US"/>
        </w:rPr>
        <w:t>of</w:t>
      </w:r>
      <w:r w:rsidR="00E267BC" w:rsidRPr="0038105B">
        <w:rPr>
          <w:spacing w:val="27"/>
          <w:szCs w:val="24"/>
          <w:lang w:val="en-US"/>
        </w:rPr>
        <w:t xml:space="preserve"> </w:t>
      </w:r>
      <w:r w:rsidR="00E267BC" w:rsidRPr="0038105B">
        <w:rPr>
          <w:w w:val="112"/>
          <w:szCs w:val="24"/>
          <w:lang w:val="en-US"/>
        </w:rPr>
        <w:t>intimidating</w:t>
      </w:r>
      <w:r w:rsidR="00E267BC" w:rsidRPr="0038105B">
        <w:rPr>
          <w:spacing w:val="5"/>
          <w:w w:val="112"/>
          <w:szCs w:val="24"/>
          <w:lang w:val="en-US"/>
        </w:rPr>
        <w:t xml:space="preserve"> </w:t>
      </w:r>
      <w:r w:rsidR="00E267BC" w:rsidRPr="0038105B">
        <w:rPr>
          <w:w w:val="112"/>
          <w:szCs w:val="24"/>
          <w:lang w:val="en-US"/>
        </w:rPr>
        <w:t xml:space="preserve">the </w:t>
      </w:r>
      <w:r w:rsidR="00E267BC" w:rsidRPr="0038105B">
        <w:rPr>
          <w:szCs w:val="24"/>
          <w:lang w:val="en-US"/>
        </w:rPr>
        <w:t>public,</w:t>
      </w:r>
      <w:r w:rsidR="00E267BC" w:rsidRPr="0038105B">
        <w:rPr>
          <w:spacing w:val="31"/>
          <w:szCs w:val="24"/>
          <w:lang w:val="en-US"/>
        </w:rPr>
        <w:t xml:space="preserve"> </w:t>
      </w:r>
      <w:r w:rsidR="00E267BC" w:rsidRPr="0038105B">
        <w:rPr>
          <w:szCs w:val="24"/>
          <w:lang w:val="en-US"/>
        </w:rPr>
        <w:t>or</w:t>
      </w:r>
      <w:r w:rsidR="00E267BC" w:rsidRPr="0038105B">
        <w:rPr>
          <w:spacing w:val="27"/>
          <w:szCs w:val="24"/>
          <w:lang w:val="en-US"/>
        </w:rPr>
        <w:t xml:space="preserve"> </w:t>
      </w:r>
      <w:r w:rsidR="00E267BC" w:rsidRPr="0038105B">
        <w:rPr>
          <w:szCs w:val="24"/>
          <w:lang w:val="en-US"/>
        </w:rPr>
        <w:t>a</w:t>
      </w:r>
      <w:r w:rsidR="00E267BC" w:rsidRPr="0038105B">
        <w:rPr>
          <w:spacing w:val="19"/>
          <w:szCs w:val="24"/>
          <w:lang w:val="en-US"/>
        </w:rPr>
        <w:t xml:space="preserve"> </w:t>
      </w:r>
      <w:r w:rsidR="00E267BC" w:rsidRPr="0038105B">
        <w:rPr>
          <w:szCs w:val="24"/>
          <w:lang w:val="en-US"/>
        </w:rPr>
        <w:t>segment of</w:t>
      </w:r>
      <w:r w:rsidR="00E267BC" w:rsidRPr="0038105B">
        <w:rPr>
          <w:spacing w:val="28"/>
          <w:szCs w:val="24"/>
          <w:lang w:val="en-US"/>
        </w:rPr>
        <w:t xml:space="preserve"> </w:t>
      </w:r>
      <w:r w:rsidR="00E267BC" w:rsidRPr="0038105B">
        <w:rPr>
          <w:w w:val="112"/>
          <w:szCs w:val="24"/>
          <w:lang w:val="en-US"/>
        </w:rPr>
        <w:t xml:space="preserve">the </w:t>
      </w:r>
      <w:r w:rsidR="00E267BC" w:rsidRPr="0038105B">
        <w:rPr>
          <w:szCs w:val="24"/>
          <w:lang w:val="en-US"/>
        </w:rPr>
        <w:t>public,</w:t>
      </w:r>
      <w:r w:rsidR="00E267BC" w:rsidRPr="0038105B">
        <w:rPr>
          <w:spacing w:val="45"/>
          <w:szCs w:val="24"/>
          <w:lang w:val="en-US"/>
        </w:rPr>
        <w:t xml:space="preserve"> </w:t>
      </w:r>
      <w:r w:rsidR="00E267BC" w:rsidRPr="0038105B">
        <w:rPr>
          <w:szCs w:val="24"/>
          <w:lang w:val="en-US"/>
        </w:rPr>
        <w:t>with</w:t>
      </w:r>
      <w:r w:rsidR="00E267BC" w:rsidRPr="0038105B">
        <w:rPr>
          <w:spacing w:val="57"/>
          <w:szCs w:val="24"/>
          <w:lang w:val="en-US"/>
        </w:rPr>
        <w:t xml:space="preserve"> </w:t>
      </w:r>
      <w:r w:rsidR="00E267BC" w:rsidRPr="0038105B">
        <w:rPr>
          <w:szCs w:val="24"/>
          <w:lang w:val="en-US"/>
        </w:rPr>
        <w:t>regard to</w:t>
      </w:r>
      <w:r w:rsidR="00E267BC" w:rsidRPr="0038105B">
        <w:rPr>
          <w:spacing w:val="44"/>
          <w:szCs w:val="24"/>
          <w:lang w:val="en-US"/>
        </w:rPr>
        <w:t xml:space="preserve"> </w:t>
      </w:r>
      <w:r w:rsidR="00E267BC" w:rsidRPr="0038105B">
        <w:rPr>
          <w:w w:val="114"/>
          <w:szCs w:val="24"/>
          <w:lang w:val="en-US"/>
        </w:rPr>
        <w:t xml:space="preserve">its </w:t>
      </w:r>
      <w:r w:rsidR="00E267BC" w:rsidRPr="0038105B">
        <w:rPr>
          <w:w w:val="109"/>
          <w:szCs w:val="24"/>
          <w:lang w:val="en-US"/>
        </w:rPr>
        <w:t>security,</w:t>
      </w:r>
      <w:r w:rsidR="00E267BC" w:rsidRPr="0038105B">
        <w:rPr>
          <w:spacing w:val="-14"/>
          <w:w w:val="109"/>
          <w:szCs w:val="24"/>
          <w:lang w:val="en-US"/>
        </w:rPr>
        <w:t xml:space="preserve"> </w:t>
      </w:r>
      <w:r w:rsidR="00E267BC" w:rsidRPr="0038105B">
        <w:rPr>
          <w:w w:val="109"/>
          <w:szCs w:val="24"/>
          <w:lang w:val="en-US"/>
        </w:rPr>
        <w:t>including</w:t>
      </w:r>
      <w:r w:rsidR="00E267BC" w:rsidRPr="0038105B">
        <w:rPr>
          <w:spacing w:val="3"/>
          <w:w w:val="109"/>
          <w:szCs w:val="24"/>
          <w:lang w:val="en-US"/>
        </w:rPr>
        <w:t xml:space="preserve"> </w:t>
      </w:r>
      <w:r w:rsidR="00E267BC" w:rsidRPr="0038105B">
        <w:rPr>
          <w:szCs w:val="24"/>
          <w:lang w:val="en-US"/>
        </w:rPr>
        <w:t>its</w:t>
      </w:r>
      <w:r w:rsidR="00E267BC" w:rsidRPr="0038105B">
        <w:rPr>
          <w:spacing w:val="50"/>
          <w:szCs w:val="24"/>
          <w:lang w:val="en-US"/>
        </w:rPr>
        <w:t xml:space="preserve"> </w:t>
      </w:r>
      <w:r w:rsidR="00E267BC" w:rsidRPr="0038105B">
        <w:rPr>
          <w:w w:val="105"/>
          <w:szCs w:val="24"/>
          <w:lang w:val="en-US"/>
        </w:rPr>
        <w:t xml:space="preserve">economic </w:t>
      </w:r>
      <w:r w:rsidR="00E267BC" w:rsidRPr="0038105B">
        <w:rPr>
          <w:w w:val="109"/>
          <w:szCs w:val="24"/>
          <w:lang w:val="en-US"/>
        </w:rPr>
        <w:t>security,</w:t>
      </w:r>
      <w:r w:rsidR="00E267BC" w:rsidRPr="0038105B">
        <w:rPr>
          <w:spacing w:val="-12"/>
          <w:w w:val="109"/>
          <w:szCs w:val="24"/>
          <w:lang w:val="en-US"/>
        </w:rPr>
        <w:t xml:space="preserve"> </w:t>
      </w:r>
      <w:r w:rsidR="00E267BC" w:rsidRPr="0038105B">
        <w:rPr>
          <w:szCs w:val="24"/>
          <w:lang w:val="en-US"/>
        </w:rPr>
        <w:t>or</w:t>
      </w:r>
      <w:r w:rsidR="00E267BC" w:rsidRPr="0038105B">
        <w:rPr>
          <w:spacing w:val="31"/>
          <w:szCs w:val="24"/>
          <w:lang w:val="en-US"/>
        </w:rPr>
        <w:t xml:space="preserve"> </w:t>
      </w:r>
      <w:r w:rsidR="00E267BC" w:rsidRPr="0038105B">
        <w:rPr>
          <w:w w:val="107"/>
          <w:szCs w:val="24"/>
          <w:lang w:val="en-US"/>
        </w:rPr>
        <w:t>compelling</w:t>
      </w:r>
      <w:r w:rsidR="00E267BC" w:rsidRPr="0038105B">
        <w:rPr>
          <w:spacing w:val="12"/>
          <w:w w:val="107"/>
          <w:szCs w:val="24"/>
          <w:lang w:val="en-US"/>
        </w:rPr>
        <w:t xml:space="preserve"> </w:t>
      </w:r>
      <w:r w:rsidR="00E267BC" w:rsidRPr="0038105B">
        <w:rPr>
          <w:szCs w:val="24"/>
          <w:lang w:val="en-US"/>
        </w:rPr>
        <w:t>a</w:t>
      </w:r>
      <w:r w:rsidR="00E267BC" w:rsidRPr="0038105B">
        <w:rPr>
          <w:spacing w:val="21"/>
          <w:szCs w:val="24"/>
          <w:lang w:val="en-US"/>
        </w:rPr>
        <w:t xml:space="preserve"> </w:t>
      </w:r>
      <w:r w:rsidR="00E267BC" w:rsidRPr="0038105B">
        <w:rPr>
          <w:w w:val="107"/>
          <w:szCs w:val="24"/>
          <w:lang w:val="en-US"/>
        </w:rPr>
        <w:t xml:space="preserve">person, </w:t>
      </w:r>
      <w:r w:rsidR="00E267BC" w:rsidRPr="0038105B">
        <w:rPr>
          <w:szCs w:val="24"/>
          <w:lang w:val="en-US"/>
        </w:rPr>
        <w:t>a</w:t>
      </w:r>
      <w:r w:rsidR="00E267BC" w:rsidRPr="0038105B">
        <w:rPr>
          <w:spacing w:val="14"/>
          <w:szCs w:val="24"/>
          <w:lang w:val="en-US"/>
        </w:rPr>
        <w:t xml:space="preserve"> </w:t>
      </w:r>
      <w:r w:rsidR="00E267BC" w:rsidRPr="0038105B">
        <w:rPr>
          <w:w w:val="109"/>
          <w:szCs w:val="24"/>
          <w:lang w:val="en-US"/>
        </w:rPr>
        <w:t>government</w:t>
      </w:r>
      <w:r w:rsidR="00E267BC" w:rsidRPr="0038105B">
        <w:rPr>
          <w:spacing w:val="19"/>
          <w:w w:val="109"/>
          <w:szCs w:val="24"/>
          <w:lang w:val="en-US"/>
        </w:rPr>
        <w:t xml:space="preserve"> </w:t>
      </w:r>
      <w:r w:rsidR="00E267BC" w:rsidRPr="0038105B">
        <w:rPr>
          <w:szCs w:val="24"/>
          <w:lang w:val="en-US"/>
        </w:rPr>
        <w:t>or</w:t>
      </w:r>
      <w:r w:rsidR="00E267BC" w:rsidRPr="0038105B">
        <w:rPr>
          <w:spacing w:val="29"/>
          <w:szCs w:val="24"/>
          <w:lang w:val="en-US"/>
        </w:rPr>
        <w:t xml:space="preserve"> </w:t>
      </w:r>
      <w:r w:rsidR="00E267BC" w:rsidRPr="0038105B">
        <w:rPr>
          <w:szCs w:val="24"/>
          <w:lang w:val="en-US"/>
        </w:rPr>
        <w:t>a</w:t>
      </w:r>
      <w:r w:rsidR="00E267BC" w:rsidRPr="0038105B">
        <w:rPr>
          <w:spacing w:val="14"/>
          <w:szCs w:val="24"/>
          <w:lang w:val="en-US"/>
        </w:rPr>
        <w:t xml:space="preserve"> </w:t>
      </w:r>
      <w:r w:rsidR="00E267BC" w:rsidRPr="0038105B">
        <w:rPr>
          <w:szCs w:val="24"/>
          <w:lang w:val="en-US"/>
        </w:rPr>
        <w:t xml:space="preserve">domestic </w:t>
      </w:r>
      <w:r w:rsidR="00E267BC" w:rsidRPr="0038105B">
        <w:rPr>
          <w:w w:val="108"/>
          <w:szCs w:val="24"/>
          <w:lang w:val="en-US"/>
        </w:rPr>
        <w:t xml:space="preserve">or </w:t>
      </w:r>
      <w:r w:rsidR="00E267BC" w:rsidRPr="0038105B">
        <w:rPr>
          <w:w w:val="104"/>
          <w:szCs w:val="24"/>
          <w:lang w:val="en-US"/>
        </w:rPr>
        <w:t>an</w:t>
      </w:r>
      <w:r w:rsidR="00E267BC" w:rsidRPr="0038105B">
        <w:rPr>
          <w:spacing w:val="13"/>
          <w:szCs w:val="24"/>
          <w:lang w:val="en-US"/>
        </w:rPr>
        <w:t xml:space="preserve"> </w:t>
      </w:r>
      <w:r w:rsidR="00E267BC" w:rsidRPr="0038105B">
        <w:rPr>
          <w:w w:val="109"/>
          <w:szCs w:val="24"/>
          <w:lang w:val="en-US"/>
        </w:rPr>
        <w:t>international</w:t>
      </w:r>
      <w:r w:rsidR="00E267BC" w:rsidRPr="0038105B">
        <w:rPr>
          <w:spacing w:val="17"/>
          <w:w w:val="109"/>
          <w:szCs w:val="24"/>
          <w:lang w:val="en-US"/>
        </w:rPr>
        <w:t xml:space="preserve"> </w:t>
      </w:r>
      <w:r w:rsidR="00E267BC" w:rsidRPr="0038105B">
        <w:rPr>
          <w:w w:val="109"/>
          <w:szCs w:val="24"/>
          <w:lang w:val="en-US"/>
        </w:rPr>
        <w:t>organization</w:t>
      </w:r>
      <w:r w:rsidR="00E267BC" w:rsidRPr="0038105B">
        <w:rPr>
          <w:spacing w:val="-3"/>
          <w:w w:val="109"/>
          <w:szCs w:val="24"/>
          <w:lang w:val="en-US"/>
        </w:rPr>
        <w:t xml:space="preserve"> </w:t>
      </w:r>
      <w:r w:rsidR="00E267BC" w:rsidRPr="0038105B">
        <w:rPr>
          <w:w w:val="111"/>
          <w:szCs w:val="24"/>
          <w:lang w:val="en-US"/>
        </w:rPr>
        <w:t xml:space="preserve">to </w:t>
      </w:r>
      <w:r w:rsidR="00E267BC" w:rsidRPr="0038105B">
        <w:rPr>
          <w:w w:val="103"/>
          <w:szCs w:val="24"/>
          <w:lang w:val="en-US"/>
        </w:rPr>
        <w:t>do</w:t>
      </w:r>
      <w:r w:rsidR="00E267BC" w:rsidRPr="0038105B">
        <w:rPr>
          <w:spacing w:val="21"/>
          <w:szCs w:val="24"/>
          <w:lang w:val="en-US"/>
        </w:rPr>
        <w:t xml:space="preserve"> </w:t>
      </w:r>
      <w:r w:rsidR="00E267BC" w:rsidRPr="0038105B">
        <w:rPr>
          <w:szCs w:val="24"/>
          <w:lang w:val="en-US"/>
        </w:rPr>
        <w:t>or</w:t>
      </w:r>
      <w:r w:rsidR="00E267BC" w:rsidRPr="0038105B">
        <w:rPr>
          <w:spacing w:val="27"/>
          <w:szCs w:val="24"/>
          <w:lang w:val="en-US"/>
        </w:rPr>
        <w:t xml:space="preserve"> </w:t>
      </w:r>
      <w:r w:rsidR="00E267BC" w:rsidRPr="0038105B">
        <w:rPr>
          <w:szCs w:val="24"/>
          <w:lang w:val="en-US"/>
        </w:rPr>
        <w:t>to</w:t>
      </w:r>
      <w:r w:rsidR="00E267BC" w:rsidRPr="0038105B">
        <w:rPr>
          <w:spacing w:val="39"/>
          <w:szCs w:val="24"/>
          <w:lang w:val="en-US"/>
        </w:rPr>
        <w:t xml:space="preserve"> </w:t>
      </w:r>
      <w:r w:rsidR="00E267BC" w:rsidRPr="0038105B">
        <w:rPr>
          <w:szCs w:val="24"/>
          <w:lang w:val="en-US"/>
        </w:rPr>
        <w:t>refrain from doing</w:t>
      </w:r>
      <w:r w:rsidR="00E267BC" w:rsidRPr="0038105B">
        <w:rPr>
          <w:spacing w:val="54"/>
          <w:szCs w:val="24"/>
          <w:lang w:val="en-US"/>
        </w:rPr>
        <w:t xml:space="preserve"> </w:t>
      </w:r>
      <w:r w:rsidR="00E267BC" w:rsidRPr="0038105B">
        <w:rPr>
          <w:w w:val="107"/>
          <w:szCs w:val="24"/>
          <w:lang w:val="en-US"/>
        </w:rPr>
        <w:t xml:space="preserve">any </w:t>
      </w:r>
      <w:r w:rsidR="00E267BC" w:rsidRPr="00002B7B">
        <w:rPr>
          <w:iCs/>
          <w:szCs w:val="24"/>
          <w:lang w:val="en-US"/>
        </w:rPr>
        <w:t>act</w:t>
      </w:r>
      <w:r w:rsidR="00E267BC" w:rsidRPr="0038105B">
        <w:rPr>
          <w:iCs/>
          <w:szCs w:val="24"/>
          <w:lang w:val="en-US"/>
        </w:rPr>
        <w:t>,</w:t>
      </w:r>
      <w:r w:rsidR="00E267BC" w:rsidRPr="0038105B">
        <w:rPr>
          <w:i/>
          <w:iCs/>
          <w:spacing w:val="42"/>
          <w:szCs w:val="24"/>
          <w:lang w:val="en-US"/>
        </w:rPr>
        <w:t xml:space="preserve"> </w:t>
      </w:r>
      <w:r w:rsidR="00E267BC" w:rsidRPr="0038105B">
        <w:rPr>
          <w:szCs w:val="24"/>
          <w:lang w:val="en-US"/>
        </w:rPr>
        <w:t>whether the</w:t>
      </w:r>
      <w:r w:rsidR="00E267BC" w:rsidRPr="0038105B">
        <w:rPr>
          <w:spacing w:val="43"/>
          <w:szCs w:val="24"/>
          <w:lang w:val="en-US"/>
        </w:rPr>
        <w:t xml:space="preserve"> </w:t>
      </w:r>
      <w:r w:rsidR="00E267BC" w:rsidRPr="0038105B">
        <w:rPr>
          <w:szCs w:val="24"/>
          <w:lang w:val="en-US"/>
        </w:rPr>
        <w:t>public or</w:t>
      </w:r>
      <w:r w:rsidR="00E267BC" w:rsidRPr="0038105B">
        <w:rPr>
          <w:spacing w:val="31"/>
          <w:szCs w:val="24"/>
          <w:lang w:val="en-US"/>
        </w:rPr>
        <w:t xml:space="preserve"> </w:t>
      </w:r>
      <w:r w:rsidR="00E267BC" w:rsidRPr="0038105B">
        <w:rPr>
          <w:w w:val="110"/>
          <w:szCs w:val="24"/>
          <w:lang w:val="en-US"/>
        </w:rPr>
        <w:t xml:space="preserve">the </w:t>
      </w:r>
      <w:r w:rsidR="00E267BC" w:rsidRPr="0038105B">
        <w:rPr>
          <w:szCs w:val="24"/>
          <w:lang w:val="en-US"/>
        </w:rPr>
        <w:t>person,</w:t>
      </w:r>
      <w:r w:rsidR="00E267BC" w:rsidRPr="0038105B">
        <w:rPr>
          <w:spacing w:val="32"/>
          <w:szCs w:val="24"/>
          <w:lang w:val="en-US"/>
        </w:rPr>
        <w:t xml:space="preserve"> </w:t>
      </w:r>
      <w:r w:rsidR="00E267BC" w:rsidRPr="0038105B">
        <w:rPr>
          <w:w w:val="113"/>
          <w:szCs w:val="24"/>
          <w:lang w:val="en-US"/>
        </w:rPr>
        <w:t>government</w:t>
      </w:r>
      <w:r w:rsidR="00E267BC" w:rsidRPr="0038105B">
        <w:rPr>
          <w:spacing w:val="-29"/>
          <w:w w:val="113"/>
          <w:szCs w:val="24"/>
          <w:lang w:val="en-US"/>
        </w:rPr>
        <w:t xml:space="preserve"> </w:t>
      </w:r>
      <w:r w:rsidR="00E267BC" w:rsidRPr="0038105B">
        <w:rPr>
          <w:w w:val="113"/>
          <w:szCs w:val="24"/>
          <w:lang w:val="en-US"/>
        </w:rPr>
        <w:t xml:space="preserve">or </w:t>
      </w:r>
      <w:r w:rsidR="00E267BC" w:rsidRPr="0038105B">
        <w:rPr>
          <w:w w:val="107"/>
          <w:szCs w:val="24"/>
          <w:lang w:val="en-US"/>
        </w:rPr>
        <w:t>organization</w:t>
      </w:r>
      <w:r w:rsidR="00E267BC" w:rsidRPr="0038105B">
        <w:rPr>
          <w:spacing w:val="10"/>
          <w:w w:val="107"/>
          <w:szCs w:val="24"/>
          <w:lang w:val="en-US"/>
        </w:rPr>
        <w:t xml:space="preserve"> </w:t>
      </w:r>
      <w:r w:rsidR="00E267BC" w:rsidRPr="0038105B">
        <w:rPr>
          <w:szCs w:val="24"/>
          <w:lang w:val="en-US"/>
        </w:rPr>
        <w:t>is</w:t>
      </w:r>
      <w:r w:rsidR="00E267BC" w:rsidRPr="0038105B">
        <w:rPr>
          <w:spacing w:val="23"/>
          <w:szCs w:val="24"/>
          <w:lang w:val="en-US"/>
        </w:rPr>
        <w:t xml:space="preserve"> </w:t>
      </w:r>
      <w:r w:rsidR="00E267BC" w:rsidRPr="0038105B">
        <w:rPr>
          <w:szCs w:val="24"/>
          <w:lang w:val="en-US"/>
        </w:rPr>
        <w:t>inside</w:t>
      </w:r>
      <w:r w:rsidR="00E267BC" w:rsidRPr="0038105B">
        <w:rPr>
          <w:spacing w:val="53"/>
          <w:szCs w:val="24"/>
          <w:lang w:val="en-US"/>
        </w:rPr>
        <w:t xml:space="preserve"> </w:t>
      </w:r>
      <w:r w:rsidR="00E267BC" w:rsidRPr="0038105B">
        <w:rPr>
          <w:szCs w:val="24"/>
          <w:lang w:val="en-US"/>
        </w:rPr>
        <w:t>or</w:t>
      </w:r>
      <w:r w:rsidR="00E267BC" w:rsidRPr="0038105B">
        <w:rPr>
          <w:spacing w:val="33"/>
          <w:szCs w:val="24"/>
          <w:lang w:val="en-US"/>
        </w:rPr>
        <w:t xml:space="preserve"> </w:t>
      </w:r>
      <w:r w:rsidR="00E267BC" w:rsidRPr="0038105B">
        <w:rPr>
          <w:w w:val="107"/>
          <w:szCs w:val="24"/>
          <w:lang w:val="en-US"/>
        </w:rPr>
        <w:t xml:space="preserve">outside </w:t>
      </w:r>
      <w:r w:rsidR="00E267BC" w:rsidRPr="0038105B">
        <w:rPr>
          <w:szCs w:val="24"/>
          <w:lang w:val="en-US"/>
        </w:rPr>
        <w:t>Canada,</w:t>
      </w:r>
      <w:r w:rsidR="00E267BC" w:rsidRPr="0038105B">
        <w:rPr>
          <w:spacing w:val="13"/>
          <w:szCs w:val="24"/>
          <w:lang w:val="en-US"/>
        </w:rPr>
        <w:t xml:space="preserve"> </w:t>
      </w:r>
      <w:r w:rsidR="00E267BC" w:rsidRPr="0038105B">
        <w:rPr>
          <w:w w:val="106"/>
          <w:szCs w:val="24"/>
          <w:lang w:val="en-US"/>
        </w:rPr>
        <w:t>and</w:t>
      </w:r>
    </w:p>
    <w:p w:rsidR="00E267BC" w:rsidRPr="0038105B" w:rsidRDefault="00A52C6C" w:rsidP="00A52C6C">
      <w:pPr>
        <w:tabs>
          <w:tab w:val="left" w:pos="1170"/>
          <w:tab w:val="left" w:pos="1620"/>
          <w:tab w:val="left" w:pos="2070"/>
        </w:tabs>
        <w:spacing w:after="240"/>
        <w:ind w:left="1166" w:hanging="1166"/>
        <w:jc w:val="both"/>
        <w:rPr>
          <w:szCs w:val="24"/>
          <w:lang w:val="en-US"/>
        </w:rPr>
      </w:pPr>
      <w:r>
        <w:rPr>
          <w:szCs w:val="24"/>
          <w:lang w:val="en-US"/>
        </w:rPr>
        <w:tab/>
      </w:r>
      <w:r>
        <w:rPr>
          <w:szCs w:val="24"/>
          <w:lang w:val="en-US"/>
        </w:rPr>
        <w:tab/>
      </w:r>
      <w:r>
        <w:rPr>
          <w:szCs w:val="24"/>
          <w:lang w:val="en-US"/>
        </w:rPr>
        <w:tab/>
        <w:t>(ii)</w:t>
      </w:r>
      <w:r>
        <w:rPr>
          <w:szCs w:val="24"/>
          <w:lang w:val="en-US"/>
        </w:rPr>
        <w:tab/>
      </w:r>
      <w:proofErr w:type="gramStart"/>
      <w:r w:rsidR="00E267BC" w:rsidRPr="0038105B">
        <w:rPr>
          <w:szCs w:val="24"/>
          <w:lang w:val="en-US"/>
        </w:rPr>
        <w:t>that</w:t>
      </w:r>
      <w:proofErr w:type="gramEnd"/>
      <w:r w:rsidR="00E267BC" w:rsidRPr="0038105B">
        <w:rPr>
          <w:szCs w:val="24"/>
          <w:lang w:val="en-US"/>
        </w:rPr>
        <w:t xml:space="preserve"> </w:t>
      </w:r>
      <w:r w:rsidR="00E267BC" w:rsidRPr="0038105B">
        <w:rPr>
          <w:w w:val="110"/>
          <w:szCs w:val="24"/>
          <w:lang w:val="en-US"/>
        </w:rPr>
        <w:t>intentionally</w:t>
      </w:r>
    </w:p>
    <w:p w:rsidR="00E267BC" w:rsidRPr="0038105B" w:rsidRDefault="00A52C6C" w:rsidP="00A52C6C">
      <w:pPr>
        <w:tabs>
          <w:tab w:val="left" w:pos="1170"/>
          <w:tab w:val="left" w:pos="1440"/>
          <w:tab w:val="left" w:pos="2070"/>
          <w:tab w:val="left" w:pos="2700"/>
        </w:tabs>
        <w:spacing w:after="240"/>
        <w:ind w:left="2070" w:hanging="2070"/>
        <w:jc w:val="both"/>
        <w:rPr>
          <w:szCs w:val="24"/>
          <w:lang w:val="en-US"/>
        </w:rPr>
      </w:pPr>
      <w:r>
        <w:rPr>
          <w:szCs w:val="24"/>
          <w:lang w:val="en-US"/>
        </w:rPr>
        <w:tab/>
      </w:r>
      <w:r>
        <w:rPr>
          <w:szCs w:val="24"/>
          <w:lang w:val="en-US"/>
        </w:rPr>
        <w:tab/>
      </w:r>
      <w:r>
        <w:rPr>
          <w:szCs w:val="24"/>
          <w:lang w:val="en-US"/>
        </w:rPr>
        <w:tab/>
      </w:r>
      <w:r w:rsidR="00E267BC" w:rsidRPr="0038105B">
        <w:rPr>
          <w:szCs w:val="24"/>
          <w:lang w:val="en-US"/>
        </w:rPr>
        <w:t>(A)</w:t>
      </w:r>
      <w:r>
        <w:rPr>
          <w:spacing w:val="42"/>
          <w:szCs w:val="24"/>
          <w:lang w:val="en-US"/>
        </w:rPr>
        <w:tab/>
      </w:r>
      <w:proofErr w:type="gramStart"/>
      <w:r w:rsidR="00E267BC" w:rsidRPr="0038105B">
        <w:rPr>
          <w:szCs w:val="24"/>
          <w:lang w:val="en-US"/>
        </w:rPr>
        <w:t>causes</w:t>
      </w:r>
      <w:proofErr w:type="gramEnd"/>
      <w:r w:rsidR="00E267BC" w:rsidRPr="0038105B">
        <w:rPr>
          <w:spacing w:val="29"/>
          <w:szCs w:val="24"/>
          <w:lang w:val="en-US"/>
        </w:rPr>
        <w:t xml:space="preserve"> </w:t>
      </w:r>
      <w:r w:rsidR="00E267BC" w:rsidRPr="0038105B">
        <w:rPr>
          <w:szCs w:val="24"/>
          <w:lang w:val="en-US"/>
        </w:rPr>
        <w:t>death</w:t>
      </w:r>
      <w:r w:rsidR="00E267BC" w:rsidRPr="0038105B">
        <w:rPr>
          <w:spacing w:val="53"/>
          <w:szCs w:val="24"/>
          <w:lang w:val="en-US"/>
        </w:rPr>
        <w:t xml:space="preserve"> </w:t>
      </w:r>
      <w:r w:rsidR="00E267BC" w:rsidRPr="0038105B">
        <w:rPr>
          <w:szCs w:val="24"/>
          <w:lang w:val="en-US"/>
        </w:rPr>
        <w:t>or</w:t>
      </w:r>
      <w:r w:rsidR="00E267BC" w:rsidRPr="0038105B">
        <w:rPr>
          <w:spacing w:val="28"/>
          <w:szCs w:val="24"/>
          <w:lang w:val="en-US"/>
        </w:rPr>
        <w:t xml:space="preserve"> </w:t>
      </w:r>
      <w:r w:rsidR="00E267BC" w:rsidRPr="0038105B">
        <w:rPr>
          <w:w w:val="107"/>
          <w:szCs w:val="24"/>
          <w:lang w:val="en-US"/>
        </w:rPr>
        <w:t xml:space="preserve">serious </w:t>
      </w:r>
      <w:r w:rsidR="00E267BC" w:rsidRPr="0038105B">
        <w:rPr>
          <w:szCs w:val="24"/>
          <w:lang w:val="en-US"/>
        </w:rPr>
        <w:t>bodily</w:t>
      </w:r>
      <w:r w:rsidR="00E267BC" w:rsidRPr="0038105B">
        <w:rPr>
          <w:spacing w:val="2"/>
          <w:szCs w:val="24"/>
          <w:lang w:val="en-US"/>
        </w:rPr>
        <w:t xml:space="preserve"> </w:t>
      </w:r>
      <w:r w:rsidR="00E267BC" w:rsidRPr="0038105B">
        <w:rPr>
          <w:szCs w:val="24"/>
          <w:lang w:val="en-US"/>
        </w:rPr>
        <w:t>harm</w:t>
      </w:r>
      <w:r w:rsidR="00E267BC" w:rsidRPr="0038105B">
        <w:rPr>
          <w:spacing w:val="4"/>
          <w:szCs w:val="24"/>
          <w:lang w:val="en-US"/>
        </w:rPr>
        <w:t xml:space="preserve"> </w:t>
      </w:r>
      <w:r w:rsidR="00E267BC" w:rsidRPr="0038105B">
        <w:rPr>
          <w:szCs w:val="24"/>
          <w:lang w:val="en-US"/>
        </w:rPr>
        <w:t>to</w:t>
      </w:r>
      <w:r w:rsidR="00E267BC" w:rsidRPr="0038105B">
        <w:rPr>
          <w:spacing w:val="40"/>
          <w:szCs w:val="24"/>
          <w:lang w:val="en-US"/>
        </w:rPr>
        <w:t xml:space="preserve"> </w:t>
      </w:r>
      <w:r w:rsidR="00E267BC" w:rsidRPr="0038105B">
        <w:rPr>
          <w:szCs w:val="24"/>
          <w:lang w:val="en-US"/>
        </w:rPr>
        <w:t>a</w:t>
      </w:r>
      <w:r w:rsidR="00E267BC" w:rsidRPr="0038105B">
        <w:rPr>
          <w:spacing w:val="11"/>
          <w:szCs w:val="24"/>
          <w:lang w:val="en-US"/>
        </w:rPr>
        <w:t xml:space="preserve"> </w:t>
      </w:r>
      <w:r w:rsidR="00E267BC" w:rsidRPr="0038105B">
        <w:rPr>
          <w:szCs w:val="24"/>
          <w:lang w:val="en-US"/>
        </w:rPr>
        <w:t>person</w:t>
      </w:r>
      <w:r w:rsidR="00E267BC" w:rsidRPr="0038105B">
        <w:rPr>
          <w:spacing w:val="2"/>
          <w:szCs w:val="24"/>
          <w:lang w:val="en-US"/>
        </w:rPr>
        <w:t xml:space="preserve"> </w:t>
      </w:r>
      <w:r w:rsidR="00E267BC" w:rsidRPr="0038105B">
        <w:rPr>
          <w:szCs w:val="24"/>
          <w:lang w:val="en-US"/>
        </w:rPr>
        <w:t>by</w:t>
      </w:r>
      <w:r w:rsidR="00E267BC" w:rsidRPr="0038105B">
        <w:rPr>
          <w:spacing w:val="35"/>
          <w:szCs w:val="24"/>
          <w:lang w:val="en-US"/>
        </w:rPr>
        <w:t xml:space="preserve"> </w:t>
      </w:r>
      <w:r w:rsidR="00E267BC" w:rsidRPr="0038105B">
        <w:rPr>
          <w:w w:val="110"/>
          <w:szCs w:val="24"/>
          <w:lang w:val="en-US"/>
        </w:rPr>
        <w:t xml:space="preserve">the </w:t>
      </w:r>
      <w:r w:rsidR="00E267BC" w:rsidRPr="0038105B">
        <w:rPr>
          <w:szCs w:val="24"/>
          <w:lang w:val="en-US"/>
        </w:rPr>
        <w:t>use of violence,</w:t>
      </w:r>
    </w:p>
    <w:p w:rsidR="00E267BC" w:rsidRPr="0038105B" w:rsidRDefault="00A52C6C" w:rsidP="00A52C6C">
      <w:pPr>
        <w:tabs>
          <w:tab w:val="left" w:pos="1170"/>
          <w:tab w:val="left" w:pos="1440"/>
          <w:tab w:val="left" w:pos="2070"/>
          <w:tab w:val="left" w:pos="2700"/>
        </w:tabs>
        <w:spacing w:after="240"/>
        <w:ind w:left="2070" w:hanging="2070"/>
        <w:jc w:val="both"/>
        <w:rPr>
          <w:szCs w:val="24"/>
          <w:lang w:val="en-US"/>
        </w:rPr>
      </w:pPr>
      <w:r>
        <w:rPr>
          <w:szCs w:val="24"/>
          <w:lang w:val="en-US"/>
        </w:rPr>
        <w:tab/>
      </w:r>
      <w:r>
        <w:rPr>
          <w:szCs w:val="24"/>
          <w:lang w:val="en-US"/>
        </w:rPr>
        <w:tab/>
      </w:r>
      <w:r>
        <w:rPr>
          <w:szCs w:val="24"/>
          <w:lang w:val="en-US"/>
        </w:rPr>
        <w:tab/>
      </w:r>
      <w:r w:rsidR="00E267BC" w:rsidRPr="0038105B">
        <w:rPr>
          <w:szCs w:val="24"/>
          <w:lang w:val="en-US"/>
        </w:rPr>
        <w:t>(B)</w:t>
      </w:r>
      <w:r>
        <w:rPr>
          <w:szCs w:val="24"/>
          <w:lang w:val="en-US"/>
        </w:rPr>
        <w:tab/>
      </w:r>
      <w:r w:rsidR="00E267BC" w:rsidRPr="00A52C6C">
        <w:rPr>
          <w:szCs w:val="24"/>
          <w:lang w:val="en-US"/>
        </w:rPr>
        <w:t>endangers</w:t>
      </w:r>
      <w:r w:rsidR="00E267BC" w:rsidRPr="0038105B">
        <w:rPr>
          <w:szCs w:val="24"/>
          <w:lang w:val="en-US"/>
        </w:rPr>
        <w:t xml:space="preserve"> a person’s life, </w:t>
      </w:r>
    </w:p>
    <w:p w:rsidR="00E267BC" w:rsidRPr="0038105B" w:rsidRDefault="00A52C6C" w:rsidP="00A52C6C">
      <w:pPr>
        <w:tabs>
          <w:tab w:val="left" w:pos="1170"/>
          <w:tab w:val="left" w:pos="1440"/>
          <w:tab w:val="left" w:pos="2070"/>
          <w:tab w:val="left" w:pos="2700"/>
        </w:tabs>
        <w:spacing w:after="240"/>
        <w:ind w:left="2070" w:hanging="2070"/>
        <w:jc w:val="both"/>
        <w:rPr>
          <w:szCs w:val="24"/>
          <w:lang w:val="en-US"/>
        </w:rPr>
      </w:pPr>
      <w:r>
        <w:rPr>
          <w:szCs w:val="24"/>
          <w:lang w:val="en-US"/>
        </w:rPr>
        <w:tab/>
      </w:r>
      <w:r>
        <w:rPr>
          <w:szCs w:val="24"/>
          <w:lang w:val="en-US"/>
        </w:rPr>
        <w:tab/>
      </w:r>
      <w:r>
        <w:rPr>
          <w:szCs w:val="24"/>
          <w:lang w:val="en-US"/>
        </w:rPr>
        <w:tab/>
        <w:t>(C)</w:t>
      </w:r>
      <w:r>
        <w:rPr>
          <w:szCs w:val="24"/>
          <w:lang w:val="en-US"/>
        </w:rPr>
        <w:tab/>
      </w:r>
      <w:r w:rsidR="00E267BC" w:rsidRPr="0038105B">
        <w:rPr>
          <w:szCs w:val="24"/>
          <w:lang w:val="en-US"/>
        </w:rPr>
        <w:t xml:space="preserve">causes a serious risk to the health or safety of the public or any segment of the public, </w:t>
      </w:r>
    </w:p>
    <w:p w:rsidR="00E267BC" w:rsidRPr="0038105B" w:rsidRDefault="00A52C6C" w:rsidP="00A52C6C">
      <w:pPr>
        <w:tabs>
          <w:tab w:val="left" w:pos="1170"/>
          <w:tab w:val="left" w:pos="1440"/>
          <w:tab w:val="left" w:pos="2070"/>
          <w:tab w:val="left" w:pos="2700"/>
        </w:tabs>
        <w:spacing w:after="240"/>
        <w:ind w:left="2070" w:hanging="2070"/>
        <w:jc w:val="both"/>
        <w:rPr>
          <w:szCs w:val="24"/>
          <w:lang w:val="en-US"/>
        </w:rPr>
      </w:pPr>
      <w:r>
        <w:rPr>
          <w:szCs w:val="24"/>
          <w:lang w:val="en-US"/>
        </w:rPr>
        <w:tab/>
      </w:r>
      <w:r>
        <w:rPr>
          <w:szCs w:val="24"/>
          <w:lang w:val="en-US"/>
        </w:rPr>
        <w:tab/>
      </w:r>
      <w:r>
        <w:rPr>
          <w:szCs w:val="24"/>
          <w:lang w:val="en-US"/>
        </w:rPr>
        <w:tab/>
        <w:t>(D)</w:t>
      </w:r>
      <w:r>
        <w:rPr>
          <w:szCs w:val="24"/>
          <w:lang w:val="en-US"/>
        </w:rPr>
        <w:tab/>
      </w:r>
      <w:r w:rsidR="00E267BC" w:rsidRPr="0038105B">
        <w:rPr>
          <w:szCs w:val="24"/>
          <w:lang w:val="en-US"/>
        </w:rPr>
        <w:t xml:space="preserve">causes substantial property damage, whether to public or private property, if causing such damage is likely to result in the conduct or harm referred to in any of clauses (A) to (C), or </w:t>
      </w:r>
    </w:p>
    <w:p w:rsidR="00E267BC" w:rsidRPr="0038105B" w:rsidRDefault="00A52C6C" w:rsidP="00A52C6C">
      <w:pPr>
        <w:tabs>
          <w:tab w:val="left" w:pos="1170"/>
          <w:tab w:val="left" w:pos="1440"/>
          <w:tab w:val="left" w:pos="2070"/>
          <w:tab w:val="left" w:pos="2700"/>
        </w:tabs>
        <w:spacing w:after="240"/>
        <w:ind w:left="2070" w:hanging="2070"/>
        <w:jc w:val="both"/>
        <w:rPr>
          <w:szCs w:val="24"/>
          <w:lang w:val="en-US"/>
        </w:rPr>
      </w:pPr>
      <w:r>
        <w:rPr>
          <w:szCs w:val="24"/>
          <w:lang w:val="en-US"/>
        </w:rPr>
        <w:tab/>
      </w:r>
      <w:r>
        <w:rPr>
          <w:szCs w:val="24"/>
          <w:lang w:val="en-US"/>
        </w:rPr>
        <w:tab/>
      </w:r>
      <w:r>
        <w:rPr>
          <w:szCs w:val="24"/>
          <w:lang w:val="en-US"/>
        </w:rPr>
        <w:tab/>
      </w:r>
      <w:r w:rsidR="00E267BC" w:rsidRPr="0038105B">
        <w:rPr>
          <w:szCs w:val="24"/>
          <w:lang w:val="en-US"/>
        </w:rPr>
        <w:t>(E)</w:t>
      </w:r>
      <w:r>
        <w:rPr>
          <w:szCs w:val="24"/>
          <w:lang w:val="en-US"/>
        </w:rPr>
        <w:tab/>
      </w:r>
      <w:r w:rsidR="00E267BC" w:rsidRPr="0038105B">
        <w:rPr>
          <w:szCs w:val="24"/>
          <w:lang w:val="en-US"/>
        </w:rPr>
        <w:t>causes serious interference with or serious disruption of an essential service, facility or system, whether public</w:t>
      </w:r>
      <w:r w:rsidR="00002B7B">
        <w:rPr>
          <w:szCs w:val="24"/>
          <w:lang w:val="en-US"/>
        </w:rPr>
        <w:t xml:space="preserve"> or</w:t>
      </w:r>
      <w:r w:rsidR="00E267BC" w:rsidRPr="0038105B">
        <w:rPr>
          <w:szCs w:val="24"/>
          <w:lang w:val="en-US"/>
        </w:rPr>
        <w:t xml:space="preserve"> private, other than as a result of advocacy, protest, dissent or stoppage of work that is not intended to result in the conduct or harm referred to in any of clauses (A) to (C), </w:t>
      </w:r>
    </w:p>
    <w:p w:rsidR="00E267BC" w:rsidRPr="0038105B" w:rsidRDefault="00A52C6C" w:rsidP="00A52C6C">
      <w:pPr>
        <w:tabs>
          <w:tab w:val="left" w:pos="1170"/>
          <w:tab w:val="left" w:pos="1440"/>
          <w:tab w:val="left" w:pos="1890"/>
        </w:tabs>
        <w:spacing w:after="240"/>
        <w:ind w:left="1166" w:hanging="1166"/>
        <w:jc w:val="both"/>
        <w:rPr>
          <w:szCs w:val="24"/>
        </w:rPr>
      </w:pPr>
      <w:r>
        <w:rPr>
          <w:szCs w:val="24"/>
          <w:lang w:val="en-US"/>
        </w:rPr>
        <w:lastRenderedPageBreak/>
        <w:tab/>
      </w:r>
      <w:r w:rsidR="00E267BC" w:rsidRPr="0038105B">
        <w:rPr>
          <w:szCs w:val="24"/>
          <w:lang w:val="en-US"/>
        </w:rPr>
        <w:t xml:space="preserve">and includes a </w:t>
      </w:r>
      <w:r w:rsidR="00E267BC" w:rsidRPr="00A52C6C">
        <w:rPr>
          <w:szCs w:val="24"/>
          <w:lang w:val="en-US"/>
        </w:rPr>
        <w:t>conspiracy</w:t>
      </w:r>
      <w:r w:rsidR="00E267BC" w:rsidRPr="0038105B">
        <w:rPr>
          <w:szCs w:val="24"/>
          <w:lang w:val="en-US"/>
        </w:rPr>
        <w:t xml:space="preserve">, attempt or threat to commit any such act or omission, or being an accessory after the fact or </w:t>
      </w:r>
      <w:proofErr w:type="spellStart"/>
      <w:r w:rsidR="00E267BC" w:rsidRPr="0038105B">
        <w:rPr>
          <w:szCs w:val="24"/>
          <w:lang w:val="en-US"/>
        </w:rPr>
        <w:t>counselling</w:t>
      </w:r>
      <w:proofErr w:type="spellEnd"/>
      <w:r w:rsidR="00E267BC" w:rsidRPr="0038105B">
        <w:rPr>
          <w:szCs w:val="24"/>
          <w:lang w:val="en-US"/>
        </w:rPr>
        <w:t xml:space="preserve"> in relation to any such act or omission, but, for greater certainty, does not include an act or omission that is committed during an armed conflict and that, at the time and in the place of its commission, is in accordance with customary international law or conventional international law applicable to the conflict, or the activities undertaken by military forces of a state in the exercise of their official duties, to the extent that those activities are governed by other rules of international law.</w:t>
      </w:r>
    </w:p>
    <w:p w:rsidR="00E267BC" w:rsidRPr="0038105B" w:rsidRDefault="00A52C6C" w:rsidP="00A52C6C">
      <w:pPr>
        <w:tabs>
          <w:tab w:val="left" w:pos="720"/>
          <w:tab w:val="left" w:pos="1440"/>
          <w:tab w:val="left" w:pos="1890"/>
        </w:tabs>
        <w:spacing w:after="240"/>
        <w:ind w:left="1166" w:hanging="1166"/>
        <w:jc w:val="both"/>
        <w:rPr>
          <w:w w:val="112"/>
          <w:szCs w:val="24"/>
          <w:lang w:val="en-US"/>
        </w:rPr>
      </w:pPr>
      <w:r>
        <w:rPr>
          <w:w w:val="112"/>
          <w:szCs w:val="24"/>
          <w:lang w:val="en-US"/>
        </w:rPr>
        <w:tab/>
      </w:r>
      <w:r w:rsidR="00E267BC" w:rsidRPr="0038105B">
        <w:rPr>
          <w:w w:val="112"/>
          <w:szCs w:val="24"/>
          <w:lang w:val="en-US"/>
        </w:rPr>
        <w:t>“</w:t>
      </w:r>
      <w:proofErr w:type="gramStart"/>
      <w:r w:rsidR="00E267BC" w:rsidRPr="0038105B">
        <w:rPr>
          <w:w w:val="112"/>
          <w:szCs w:val="24"/>
          <w:lang w:val="en-US"/>
        </w:rPr>
        <w:t>terrorist</w:t>
      </w:r>
      <w:proofErr w:type="gramEnd"/>
      <w:r w:rsidR="00E267BC" w:rsidRPr="0038105B">
        <w:rPr>
          <w:w w:val="112"/>
          <w:szCs w:val="24"/>
          <w:lang w:val="en-US"/>
        </w:rPr>
        <w:t xml:space="preserve"> group” means</w:t>
      </w:r>
    </w:p>
    <w:p w:rsidR="00E267BC" w:rsidRPr="0038105B" w:rsidRDefault="00A52C6C" w:rsidP="00A52C6C">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a</w:t>
      </w:r>
      <w:r>
        <w:rPr>
          <w:szCs w:val="24"/>
        </w:rPr>
        <w:t>)</w:t>
      </w:r>
      <w:r>
        <w:rPr>
          <w:szCs w:val="24"/>
        </w:rPr>
        <w:tab/>
      </w:r>
      <w:proofErr w:type="gramStart"/>
      <w:r w:rsidR="00E267BC" w:rsidRPr="0038105B">
        <w:rPr>
          <w:szCs w:val="24"/>
        </w:rPr>
        <w:t>an</w:t>
      </w:r>
      <w:proofErr w:type="gramEnd"/>
      <w:r w:rsidR="00E267BC" w:rsidRPr="0038105B">
        <w:rPr>
          <w:szCs w:val="24"/>
        </w:rPr>
        <w:t xml:space="preserve"> entity </w:t>
      </w:r>
      <w:r w:rsidR="00E267BC" w:rsidRPr="00A52C6C">
        <w:rPr>
          <w:szCs w:val="24"/>
          <w:lang w:val="en-US"/>
        </w:rPr>
        <w:t>that</w:t>
      </w:r>
      <w:r w:rsidR="00E267BC" w:rsidRPr="0038105B">
        <w:rPr>
          <w:szCs w:val="24"/>
        </w:rPr>
        <w:t xml:space="preserve"> has as one of its purposes or activities facilitating or carrying out any terrorist activity, or</w:t>
      </w:r>
    </w:p>
    <w:p w:rsidR="00E267BC" w:rsidRPr="0038105B" w:rsidRDefault="00A52C6C" w:rsidP="00A52C6C">
      <w:pPr>
        <w:tabs>
          <w:tab w:val="left" w:pos="1170"/>
          <w:tab w:val="left" w:pos="1620"/>
          <w:tab w:val="left" w:pos="1890"/>
        </w:tabs>
        <w:spacing w:after="240"/>
        <w:ind w:left="1166" w:hanging="1166"/>
        <w:jc w:val="both"/>
        <w:rPr>
          <w:szCs w:val="24"/>
          <w:lang w:val="en-US"/>
        </w:rPr>
      </w:pPr>
      <w:r>
        <w:rPr>
          <w:iCs/>
          <w:szCs w:val="24"/>
          <w:lang w:val="en-US"/>
        </w:rPr>
        <w:tab/>
      </w:r>
      <w:r w:rsidR="00E267BC" w:rsidRPr="0038105B">
        <w:rPr>
          <w:iCs/>
          <w:szCs w:val="24"/>
          <w:lang w:val="en-US"/>
        </w:rPr>
        <w:t>(</w:t>
      </w:r>
      <w:r w:rsidR="00E267BC" w:rsidRPr="0038105B">
        <w:rPr>
          <w:i/>
          <w:iCs/>
          <w:szCs w:val="24"/>
          <w:lang w:val="en-US"/>
        </w:rPr>
        <w:t>b</w:t>
      </w:r>
      <w:r w:rsidR="00E267BC" w:rsidRPr="0038105B">
        <w:rPr>
          <w:iCs/>
          <w:szCs w:val="24"/>
          <w:lang w:val="en-US"/>
        </w:rPr>
        <w:t>)</w:t>
      </w:r>
      <w:r>
        <w:rPr>
          <w:i/>
          <w:iCs/>
          <w:szCs w:val="24"/>
          <w:lang w:val="en-US"/>
        </w:rPr>
        <w:tab/>
      </w:r>
      <w:proofErr w:type="gramStart"/>
      <w:r w:rsidR="00E267BC" w:rsidRPr="0038105B">
        <w:rPr>
          <w:szCs w:val="24"/>
          <w:lang w:val="en-US"/>
        </w:rPr>
        <w:t>a</w:t>
      </w:r>
      <w:proofErr w:type="gramEnd"/>
      <w:r w:rsidR="00E267BC" w:rsidRPr="0038105B">
        <w:rPr>
          <w:szCs w:val="24"/>
          <w:lang w:val="en-US"/>
        </w:rPr>
        <w:t xml:space="preserve"> listed entity,</w:t>
      </w:r>
    </w:p>
    <w:p w:rsidR="00E267BC" w:rsidRPr="0038105B" w:rsidRDefault="00A52C6C" w:rsidP="00A52C6C">
      <w:pPr>
        <w:tabs>
          <w:tab w:val="left" w:pos="720"/>
          <w:tab w:val="left" w:pos="1440"/>
          <w:tab w:val="left" w:pos="1890"/>
        </w:tabs>
        <w:spacing w:after="240"/>
        <w:ind w:left="720" w:hanging="720"/>
        <w:jc w:val="both"/>
        <w:rPr>
          <w:szCs w:val="24"/>
          <w:lang w:val="en-US"/>
        </w:rPr>
      </w:pPr>
      <w:r>
        <w:rPr>
          <w:szCs w:val="24"/>
          <w:lang w:val="en-US"/>
        </w:rPr>
        <w:tab/>
      </w:r>
      <w:proofErr w:type="gramStart"/>
      <w:r w:rsidR="00E267BC" w:rsidRPr="0038105B">
        <w:rPr>
          <w:szCs w:val="24"/>
          <w:lang w:val="en-US"/>
        </w:rPr>
        <w:t>and</w:t>
      </w:r>
      <w:proofErr w:type="gramEnd"/>
      <w:r w:rsidR="00E267BC" w:rsidRPr="0038105B">
        <w:rPr>
          <w:szCs w:val="24"/>
          <w:lang w:val="en-US"/>
        </w:rPr>
        <w:t xml:space="preserve"> </w:t>
      </w:r>
      <w:r w:rsidR="00E267BC" w:rsidRPr="0026195C">
        <w:rPr>
          <w:szCs w:val="24"/>
          <w:lang w:val="en-US"/>
        </w:rPr>
        <w:t>includes</w:t>
      </w:r>
      <w:r w:rsidR="00E267BC" w:rsidRPr="0038105B">
        <w:rPr>
          <w:szCs w:val="24"/>
          <w:lang w:val="en-US"/>
        </w:rPr>
        <w:t xml:space="preserve"> a</w:t>
      </w:r>
      <w:r w:rsidR="00E267BC" w:rsidRPr="0026195C">
        <w:rPr>
          <w:szCs w:val="24"/>
          <w:lang w:val="en-US"/>
        </w:rPr>
        <w:t>n</w:t>
      </w:r>
      <w:r w:rsidR="00E267BC" w:rsidRPr="0038105B">
        <w:rPr>
          <w:szCs w:val="24"/>
          <w:lang w:val="en-US"/>
        </w:rPr>
        <w:t xml:space="preserve"> association of such entities.</w:t>
      </w:r>
    </w:p>
    <w:p w:rsidR="00E267BC" w:rsidRPr="0038105B" w:rsidRDefault="00A52C6C" w:rsidP="00A52C6C">
      <w:pPr>
        <w:tabs>
          <w:tab w:val="left" w:pos="720"/>
          <w:tab w:val="left" w:pos="1170"/>
          <w:tab w:val="left" w:pos="1710"/>
          <w:tab w:val="left" w:pos="1890"/>
        </w:tabs>
        <w:spacing w:after="240"/>
        <w:ind w:left="720" w:hanging="1166"/>
        <w:jc w:val="both"/>
        <w:rPr>
          <w:szCs w:val="24"/>
          <w:lang w:bidi="en-US"/>
        </w:rPr>
      </w:pPr>
      <w:r>
        <w:rPr>
          <w:szCs w:val="24"/>
          <w:lang w:val="en-US"/>
        </w:rPr>
        <w:tab/>
      </w:r>
      <w:r>
        <w:rPr>
          <w:szCs w:val="24"/>
          <w:lang w:val="en-US"/>
        </w:rPr>
        <w:tab/>
      </w:r>
      <w:r w:rsidR="00E267BC" w:rsidRPr="0038105B">
        <w:rPr>
          <w:szCs w:val="24"/>
          <w:lang w:val="en-US"/>
        </w:rPr>
        <w:t xml:space="preserve">(1.1) For </w:t>
      </w:r>
      <w:r w:rsidR="00E267BC" w:rsidRPr="00A52C6C">
        <w:rPr>
          <w:szCs w:val="24"/>
          <w:lang w:val="en-US"/>
        </w:rPr>
        <w:t>greater</w:t>
      </w:r>
      <w:r w:rsidR="00E267BC" w:rsidRPr="0038105B">
        <w:rPr>
          <w:szCs w:val="24"/>
          <w:lang w:val="en-US"/>
        </w:rPr>
        <w:t xml:space="preserve"> certainty, the expression of a political, religious or ideological thought, belief or opinion does not come within paragraph </w:t>
      </w:r>
      <w:r w:rsidR="00E267BC" w:rsidRPr="0038105B">
        <w:rPr>
          <w:iCs/>
          <w:szCs w:val="24"/>
          <w:lang w:val="en-US"/>
        </w:rPr>
        <w:t>(</w:t>
      </w:r>
      <w:r w:rsidR="00E267BC" w:rsidRPr="0038105B">
        <w:rPr>
          <w:i/>
          <w:iCs/>
          <w:szCs w:val="24"/>
          <w:lang w:val="en-US"/>
        </w:rPr>
        <w:t>b</w:t>
      </w:r>
      <w:r w:rsidR="00E267BC" w:rsidRPr="0038105B">
        <w:rPr>
          <w:iCs/>
          <w:szCs w:val="24"/>
          <w:lang w:val="en-US"/>
        </w:rPr>
        <w:t>)</w:t>
      </w:r>
      <w:r w:rsidR="00E267BC" w:rsidRPr="0038105B">
        <w:rPr>
          <w:i/>
          <w:iCs/>
          <w:szCs w:val="24"/>
          <w:lang w:val="en-US"/>
        </w:rPr>
        <w:t xml:space="preserve"> </w:t>
      </w:r>
      <w:r w:rsidR="00E267BC" w:rsidRPr="0038105B">
        <w:rPr>
          <w:szCs w:val="24"/>
          <w:lang w:val="en-US"/>
        </w:rPr>
        <w:t xml:space="preserve">of the definition “terrorist activity” in subsection (1) unless it constitutes an act or omission that satisfies the </w:t>
      </w:r>
      <w:r w:rsidR="00E267BC" w:rsidRPr="00A52C6C">
        <w:rPr>
          <w:szCs w:val="24"/>
          <w:lang w:val="en-US"/>
        </w:rPr>
        <w:t>criteria</w:t>
      </w:r>
      <w:r w:rsidR="00E267BC" w:rsidRPr="0038105B">
        <w:rPr>
          <w:szCs w:val="24"/>
          <w:lang w:bidi="en-US"/>
        </w:rPr>
        <w:t xml:space="preserve"> of that paragraph.</w:t>
      </w:r>
    </w:p>
    <w:p w:rsidR="00E267BC" w:rsidRPr="0038105B" w:rsidRDefault="00A52C6C" w:rsidP="00A52C6C">
      <w:pPr>
        <w:tabs>
          <w:tab w:val="left" w:pos="720"/>
          <w:tab w:val="left" w:pos="1170"/>
          <w:tab w:val="left" w:pos="1710"/>
          <w:tab w:val="left" w:pos="1890"/>
        </w:tabs>
        <w:spacing w:after="240"/>
        <w:ind w:left="720" w:hanging="1166"/>
        <w:jc w:val="both"/>
        <w:rPr>
          <w:szCs w:val="24"/>
        </w:rPr>
      </w:pPr>
      <w:r>
        <w:rPr>
          <w:b/>
          <w:szCs w:val="24"/>
        </w:rPr>
        <w:tab/>
      </w:r>
      <w:r>
        <w:rPr>
          <w:b/>
          <w:szCs w:val="24"/>
        </w:rPr>
        <w:tab/>
      </w:r>
      <w:r w:rsidR="00E267BC" w:rsidRPr="0038105B">
        <w:rPr>
          <w:b/>
          <w:szCs w:val="24"/>
        </w:rPr>
        <w:t>83.18</w:t>
      </w:r>
      <w:r w:rsidR="00E267BC" w:rsidRPr="0038105B">
        <w:rPr>
          <w:szCs w:val="24"/>
        </w:rPr>
        <w:t xml:space="preserve"> (1) </w:t>
      </w:r>
      <w:proofErr w:type="spellStart"/>
      <w:r w:rsidR="00E267BC" w:rsidRPr="0038105B">
        <w:rPr>
          <w:szCs w:val="24"/>
        </w:rPr>
        <w:t>Every one</w:t>
      </w:r>
      <w:proofErr w:type="spellEnd"/>
      <w:r w:rsidR="00E267BC" w:rsidRPr="0038105B">
        <w:rPr>
          <w:szCs w:val="24"/>
        </w:rPr>
        <w:t xml:space="preserve"> who knowingly participates in or contributes to, directly or indirectly, any </w:t>
      </w:r>
      <w:r w:rsidR="00E267BC" w:rsidRPr="00A52C6C">
        <w:rPr>
          <w:szCs w:val="24"/>
          <w:lang w:val="en-US"/>
        </w:rPr>
        <w:t>activity</w:t>
      </w:r>
      <w:r w:rsidR="00E267BC" w:rsidRPr="0038105B">
        <w:rPr>
          <w:szCs w:val="24"/>
        </w:rPr>
        <w:t xml:space="preserve"> of a terrorist group for the purpose of enhancing the ability of any terrorist group to facilitate or carry out a terrorist activity is guilty of an indictable offence and liable to imprisonment for a term not exceeding ten years.</w:t>
      </w:r>
    </w:p>
    <w:p w:rsidR="00E267BC" w:rsidRPr="0038105B" w:rsidRDefault="00E267BC" w:rsidP="00A52C6C">
      <w:pPr>
        <w:tabs>
          <w:tab w:val="left" w:pos="720"/>
          <w:tab w:val="left" w:pos="1170"/>
          <w:tab w:val="left" w:pos="1620"/>
          <w:tab w:val="left" w:pos="1890"/>
        </w:tabs>
        <w:spacing w:after="240"/>
        <w:ind w:left="720" w:hanging="1168"/>
        <w:jc w:val="both"/>
        <w:rPr>
          <w:szCs w:val="24"/>
        </w:rPr>
      </w:pPr>
      <w:r w:rsidRPr="0038105B">
        <w:rPr>
          <w:szCs w:val="24"/>
        </w:rPr>
        <w:t xml:space="preserve"> </w:t>
      </w:r>
      <w:r w:rsidRPr="0038105B">
        <w:rPr>
          <w:szCs w:val="24"/>
        </w:rPr>
        <w:tab/>
      </w:r>
      <w:r w:rsidR="00A52C6C">
        <w:rPr>
          <w:szCs w:val="24"/>
        </w:rPr>
        <w:tab/>
        <w:t>(2)</w:t>
      </w:r>
      <w:r w:rsidR="00A52C6C">
        <w:rPr>
          <w:szCs w:val="24"/>
        </w:rPr>
        <w:tab/>
      </w:r>
      <w:r w:rsidRPr="0038105B">
        <w:rPr>
          <w:szCs w:val="24"/>
        </w:rPr>
        <w:t xml:space="preserve">An </w:t>
      </w:r>
      <w:r w:rsidRPr="0026195C">
        <w:rPr>
          <w:szCs w:val="24"/>
          <w:lang w:val="en-US"/>
        </w:rPr>
        <w:t>offence</w:t>
      </w:r>
      <w:r w:rsidRPr="0038105B">
        <w:rPr>
          <w:szCs w:val="24"/>
        </w:rPr>
        <w:t xml:space="preserve"> may be committed under subsection (1) whether or not</w:t>
      </w:r>
    </w:p>
    <w:p w:rsidR="00E267BC" w:rsidRDefault="00A52C6C" w:rsidP="00A52C6C">
      <w:pPr>
        <w:tabs>
          <w:tab w:val="left" w:pos="1170"/>
          <w:tab w:val="left" w:pos="1620"/>
          <w:tab w:val="left" w:pos="1890"/>
        </w:tabs>
        <w:spacing w:after="240"/>
        <w:ind w:left="1166" w:hanging="1166"/>
        <w:jc w:val="both"/>
        <w:rPr>
          <w:szCs w:val="24"/>
        </w:rPr>
      </w:pPr>
      <w:r>
        <w:rPr>
          <w:szCs w:val="24"/>
        </w:rPr>
        <w:tab/>
      </w:r>
      <w:r>
        <w:rPr>
          <w:szCs w:val="24"/>
        </w:rPr>
        <w:tab/>
      </w:r>
      <w:r w:rsidR="00E267BC" w:rsidRPr="0038105B">
        <w:rPr>
          <w:szCs w:val="24"/>
        </w:rPr>
        <w:t>(</w:t>
      </w:r>
      <w:r w:rsidR="00E267BC" w:rsidRPr="0038105B">
        <w:rPr>
          <w:i/>
          <w:szCs w:val="24"/>
        </w:rPr>
        <w:t>a</w:t>
      </w:r>
      <w:r>
        <w:rPr>
          <w:szCs w:val="24"/>
        </w:rPr>
        <w:t>)</w:t>
      </w:r>
      <w:r>
        <w:rPr>
          <w:szCs w:val="24"/>
        </w:rPr>
        <w:tab/>
      </w:r>
      <w:proofErr w:type="gramStart"/>
      <w:r w:rsidR="00E267BC" w:rsidRPr="0038105B">
        <w:rPr>
          <w:szCs w:val="24"/>
        </w:rPr>
        <w:t>a</w:t>
      </w:r>
      <w:proofErr w:type="gramEnd"/>
      <w:r w:rsidR="00E267BC" w:rsidRPr="0038105B">
        <w:rPr>
          <w:szCs w:val="24"/>
        </w:rPr>
        <w:t xml:space="preserve"> </w:t>
      </w:r>
      <w:r w:rsidR="00E267BC" w:rsidRPr="00A52C6C">
        <w:rPr>
          <w:szCs w:val="24"/>
          <w:lang w:val="en-US"/>
        </w:rPr>
        <w:t>terrorist</w:t>
      </w:r>
      <w:r w:rsidR="00E267BC" w:rsidRPr="0038105B">
        <w:rPr>
          <w:szCs w:val="24"/>
        </w:rPr>
        <w:t xml:space="preserve"> </w:t>
      </w:r>
      <w:r w:rsidR="00E267BC" w:rsidRPr="00A52C6C">
        <w:rPr>
          <w:szCs w:val="24"/>
          <w:lang w:val="en-US"/>
        </w:rPr>
        <w:t>g</w:t>
      </w:r>
      <w:r w:rsidR="00E267BC" w:rsidRPr="0026195C">
        <w:rPr>
          <w:szCs w:val="24"/>
          <w:lang w:val="en-US"/>
        </w:rPr>
        <w:t>r</w:t>
      </w:r>
      <w:r w:rsidR="00E267BC" w:rsidRPr="00A52C6C">
        <w:rPr>
          <w:szCs w:val="24"/>
          <w:lang w:val="en-US"/>
        </w:rPr>
        <w:t>oup</w:t>
      </w:r>
      <w:r w:rsidR="00E267BC" w:rsidRPr="0038105B">
        <w:rPr>
          <w:szCs w:val="24"/>
        </w:rPr>
        <w:t xml:space="preserve"> actually facilitates or carries out a terrorist activity;</w:t>
      </w:r>
    </w:p>
    <w:p w:rsidR="00E267BC" w:rsidRDefault="00A52C6C" w:rsidP="00A52C6C">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b</w:t>
      </w:r>
      <w:r>
        <w:rPr>
          <w:szCs w:val="24"/>
        </w:rPr>
        <w:t>)</w:t>
      </w:r>
      <w:r>
        <w:rPr>
          <w:szCs w:val="24"/>
        </w:rPr>
        <w:tab/>
      </w:r>
      <w:proofErr w:type="gramStart"/>
      <w:r w:rsidR="00E267BC" w:rsidRPr="0038105B">
        <w:rPr>
          <w:szCs w:val="24"/>
        </w:rPr>
        <w:t>the</w:t>
      </w:r>
      <w:proofErr w:type="gramEnd"/>
      <w:r w:rsidR="00E267BC" w:rsidRPr="0038105B">
        <w:rPr>
          <w:szCs w:val="24"/>
        </w:rPr>
        <w:t xml:space="preserve"> participation or </w:t>
      </w:r>
      <w:r w:rsidR="00E267BC" w:rsidRPr="00A52C6C">
        <w:rPr>
          <w:szCs w:val="24"/>
          <w:lang w:val="en-US"/>
        </w:rPr>
        <w:t>contribution</w:t>
      </w:r>
      <w:r w:rsidR="00E267BC" w:rsidRPr="0038105B">
        <w:rPr>
          <w:szCs w:val="24"/>
        </w:rPr>
        <w:t xml:space="preserve"> of the accused actually enhances the ability of a terrorist </w:t>
      </w:r>
      <w:r w:rsidR="00E267BC" w:rsidRPr="00A52C6C">
        <w:rPr>
          <w:szCs w:val="24"/>
          <w:lang w:val="en-US"/>
        </w:rPr>
        <w:t>group</w:t>
      </w:r>
      <w:r w:rsidR="00E267BC" w:rsidRPr="0038105B">
        <w:rPr>
          <w:szCs w:val="24"/>
        </w:rPr>
        <w:t xml:space="preserve"> to facilitate or carry out a terrorist activity; or</w:t>
      </w:r>
    </w:p>
    <w:p w:rsidR="00E267BC" w:rsidRPr="0038105B" w:rsidRDefault="00A52C6C" w:rsidP="00A52C6C">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c</w:t>
      </w:r>
      <w:r w:rsidR="00E267BC" w:rsidRPr="00002B7B">
        <w:rPr>
          <w:szCs w:val="24"/>
        </w:rPr>
        <w:t>)</w:t>
      </w:r>
      <w:r>
        <w:rPr>
          <w:szCs w:val="24"/>
        </w:rPr>
        <w:tab/>
      </w:r>
      <w:proofErr w:type="gramStart"/>
      <w:r w:rsidR="00E267BC" w:rsidRPr="0038105B">
        <w:rPr>
          <w:szCs w:val="24"/>
        </w:rPr>
        <w:t>the</w:t>
      </w:r>
      <w:proofErr w:type="gramEnd"/>
      <w:r w:rsidR="00E267BC" w:rsidRPr="0038105B">
        <w:rPr>
          <w:szCs w:val="24"/>
        </w:rPr>
        <w:t xml:space="preserve"> accused knows the specific nature of any terrorist activity that may be facilitated or carried out by a terrorist group.</w:t>
      </w:r>
    </w:p>
    <w:p w:rsidR="00E267BC" w:rsidRDefault="00A52C6C" w:rsidP="00A52C6C">
      <w:pPr>
        <w:tabs>
          <w:tab w:val="left" w:pos="720"/>
          <w:tab w:val="left" w:pos="1170"/>
          <w:tab w:val="left" w:pos="1620"/>
          <w:tab w:val="left" w:pos="1890"/>
        </w:tabs>
        <w:spacing w:after="240"/>
        <w:ind w:left="720" w:hanging="1168"/>
        <w:jc w:val="both"/>
        <w:rPr>
          <w:szCs w:val="24"/>
        </w:rPr>
      </w:pPr>
      <w:r>
        <w:rPr>
          <w:szCs w:val="24"/>
        </w:rPr>
        <w:tab/>
      </w:r>
      <w:r>
        <w:rPr>
          <w:szCs w:val="24"/>
        </w:rPr>
        <w:tab/>
        <w:t>(3)</w:t>
      </w:r>
      <w:r>
        <w:rPr>
          <w:szCs w:val="24"/>
        </w:rPr>
        <w:tab/>
      </w:r>
      <w:r w:rsidR="00E267BC" w:rsidRPr="00A52C6C">
        <w:rPr>
          <w:szCs w:val="24"/>
          <w:lang w:val="en-US"/>
        </w:rPr>
        <w:t>Participating</w:t>
      </w:r>
      <w:r w:rsidR="00E267BC" w:rsidRPr="0038105B">
        <w:rPr>
          <w:szCs w:val="24"/>
        </w:rPr>
        <w:t xml:space="preserve"> in or contributing to an activity of a terrorist group includes</w:t>
      </w:r>
    </w:p>
    <w:p w:rsidR="00E267BC" w:rsidRPr="0038105B" w:rsidRDefault="00A52C6C" w:rsidP="00A52C6C">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a</w:t>
      </w:r>
      <w:r>
        <w:rPr>
          <w:szCs w:val="24"/>
        </w:rPr>
        <w:t>)</w:t>
      </w:r>
      <w:r>
        <w:rPr>
          <w:szCs w:val="24"/>
        </w:rPr>
        <w:tab/>
      </w:r>
      <w:proofErr w:type="gramStart"/>
      <w:r w:rsidR="00E267BC" w:rsidRPr="0038105B">
        <w:rPr>
          <w:szCs w:val="24"/>
        </w:rPr>
        <w:t>providing</w:t>
      </w:r>
      <w:proofErr w:type="gramEnd"/>
      <w:r w:rsidR="00E267BC" w:rsidRPr="0038105B">
        <w:rPr>
          <w:szCs w:val="24"/>
        </w:rPr>
        <w:t xml:space="preserve">, </w:t>
      </w:r>
      <w:r w:rsidR="00E267BC" w:rsidRPr="00A52C6C">
        <w:rPr>
          <w:szCs w:val="24"/>
          <w:lang w:val="en-US"/>
        </w:rPr>
        <w:t>receiving</w:t>
      </w:r>
      <w:r w:rsidR="00E267BC" w:rsidRPr="0038105B">
        <w:rPr>
          <w:szCs w:val="24"/>
        </w:rPr>
        <w:t xml:space="preserve"> or recruiting a person to receive training;</w:t>
      </w:r>
    </w:p>
    <w:p w:rsidR="00E267BC" w:rsidRPr="0038105B" w:rsidRDefault="00A52C6C" w:rsidP="00A52C6C">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b</w:t>
      </w:r>
      <w:r>
        <w:rPr>
          <w:szCs w:val="24"/>
        </w:rPr>
        <w:t>)</w:t>
      </w:r>
      <w:r>
        <w:rPr>
          <w:szCs w:val="24"/>
        </w:rPr>
        <w:tab/>
      </w:r>
      <w:proofErr w:type="gramStart"/>
      <w:r w:rsidR="00E267BC" w:rsidRPr="0038105B">
        <w:rPr>
          <w:szCs w:val="24"/>
        </w:rPr>
        <w:t>providing</w:t>
      </w:r>
      <w:proofErr w:type="gramEnd"/>
      <w:r w:rsidR="00E267BC" w:rsidRPr="0038105B">
        <w:rPr>
          <w:szCs w:val="24"/>
        </w:rPr>
        <w:t xml:space="preserve"> or </w:t>
      </w:r>
      <w:r w:rsidR="00E267BC" w:rsidRPr="00A52C6C">
        <w:rPr>
          <w:szCs w:val="24"/>
          <w:lang w:val="en-US"/>
        </w:rPr>
        <w:t>offering</w:t>
      </w:r>
      <w:r w:rsidR="00E267BC" w:rsidRPr="0038105B">
        <w:rPr>
          <w:szCs w:val="24"/>
        </w:rPr>
        <w:t xml:space="preserve"> to provide a skill or an expertise for the benefit of, at the direction of or in association with a terrorist group;</w:t>
      </w:r>
    </w:p>
    <w:p w:rsidR="00E267BC" w:rsidRDefault="00A52C6C" w:rsidP="00A52C6C">
      <w:pPr>
        <w:tabs>
          <w:tab w:val="left" w:pos="1170"/>
          <w:tab w:val="left" w:pos="1620"/>
          <w:tab w:val="left" w:pos="1890"/>
        </w:tabs>
        <w:spacing w:after="240"/>
        <w:ind w:left="1166" w:hanging="1166"/>
        <w:jc w:val="both"/>
        <w:rPr>
          <w:szCs w:val="24"/>
        </w:rPr>
      </w:pPr>
      <w:r>
        <w:rPr>
          <w:szCs w:val="24"/>
        </w:rPr>
        <w:lastRenderedPageBreak/>
        <w:tab/>
      </w:r>
      <w:r w:rsidR="00E267BC" w:rsidRPr="0038105B">
        <w:rPr>
          <w:szCs w:val="24"/>
        </w:rPr>
        <w:t>(</w:t>
      </w:r>
      <w:r w:rsidR="00E267BC" w:rsidRPr="0038105B">
        <w:rPr>
          <w:i/>
          <w:szCs w:val="24"/>
        </w:rPr>
        <w:t>c</w:t>
      </w:r>
      <w:r w:rsidRPr="0071087D">
        <w:rPr>
          <w:szCs w:val="24"/>
        </w:rPr>
        <w:t>)</w:t>
      </w:r>
      <w:r>
        <w:rPr>
          <w:szCs w:val="24"/>
        </w:rPr>
        <w:tab/>
      </w:r>
      <w:proofErr w:type="gramStart"/>
      <w:r w:rsidR="00E267BC" w:rsidRPr="0038105B">
        <w:rPr>
          <w:szCs w:val="24"/>
        </w:rPr>
        <w:t>recruiting</w:t>
      </w:r>
      <w:proofErr w:type="gramEnd"/>
      <w:r w:rsidR="00E267BC" w:rsidRPr="0038105B">
        <w:rPr>
          <w:szCs w:val="24"/>
        </w:rPr>
        <w:t xml:space="preserve"> a </w:t>
      </w:r>
      <w:r w:rsidR="00E267BC" w:rsidRPr="00A52C6C">
        <w:rPr>
          <w:szCs w:val="24"/>
          <w:lang w:val="en-US"/>
        </w:rPr>
        <w:t>person</w:t>
      </w:r>
      <w:r w:rsidR="00E267BC" w:rsidRPr="0038105B">
        <w:rPr>
          <w:szCs w:val="24"/>
        </w:rPr>
        <w:t xml:space="preserve"> in order to facilitate or commit</w:t>
      </w:r>
    </w:p>
    <w:p w:rsidR="00E267BC" w:rsidRDefault="0071087D" w:rsidP="00731822">
      <w:pPr>
        <w:tabs>
          <w:tab w:val="left" w:pos="1170"/>
          <w:tab w:val="left" w:pos="1620"/>
          <w:tab w:val="left" w:pos="2070"/>
        </w:tabs>
        <w:spacing w:after="240"/>
        <w:ind w:left="1620" w:hanging="1620"/>
        <w:jc w:val="both"/>
        <w:rPr>
          <w:szCs w:val="24"/>
        </w:rPr>
      </w:pPr>
      <w:r>
        <w:rPr>
          <w:szCs w:val="24"/>
        </w:rPr>
        <w:tab/>
      </w:r>
      <w:r w:rsidR="00731822">
        <w:rPr>
          <w:szCs w:val="24"/>
        </w:rPr>
        <w:tab/>
        <w:t>(</w:t>
      </w:r>
      <w:proofErr w:type="spellStart"/>
      <w:r w:rsidR="00731822">
        <w:rPr>
          <w:szCs w:val="24"/>
        </w:rPr>
        <w:t>i</w:t>
      </w:r>
      <w:proofErr w:type="spellEnd"/>
      <w:r w:rsidR="00731822">
        <w:rPr>
          <w:szCs w:val="24"/>
        </w:rPr>
        <w:t>)</w:t>
      </w:r>
      <w:r w:rsidR="00731822">
        <w:rPr>
          <w:szCs w:val="24"/>
        </w:rPr>
        <w:tab/>
      </w:r>
      <w:r w:rsidR="00E267BC" w:rsidRPr="0038105B">
        <w:rPr>
          <w:szCs w:val="24"/>
        </w:rPr>
        <w:t xml:space="preserve">a </w:t>
      </w:r>
      <w:r w:rsidR="00E267BC" w:rsidRPr="00731822">
        <w:rPr>
          <w:szCs w:val="24"/>
        </w:rPr>
        <w:t>terrorism</w:t>
      </w:r>
      <w:r w:rsidR="00E267BC" w:rsidRPr="0038105B">
        <w:rPr>
          <w:szCs w:val="24"/>
        </w:rPr>
        <w:t xml:space="preserve"> </w:t>
      </w:r>
      <w:r w:rsidR="00E267BC" w:rsidRPr="0071087D">
        <w:rPr>
          <w:szCs w:val="24"/>
          <w:lang w:val="en-US"/>
        </w:rPr>
        <w:t>offence</w:t>
      </w:r>
      <w:r w:rsidR="00E267BC" w:rsidRPr="0038105B">
        <w:rPr>
          <w:szCs w:val="24"/>
        </w:rPr>
        <w:t>, or</w:t>
      </w:r>
    </w:p>
    <w:p w:rsidR="00E267BC" w:rsidRPr="0038105B" w:rsidRDefault="0071087D" w:rsidP="0071087D">
      <w:pPr>
        <w:tabs>
          <w:tab w:val="left" w:pos="1170"/>
          <w:tab w:val="left" w:pos="1620"/>
          <w:tab w:val="left" w:pos="2070"/>
        </w:tabs>
        <w:spacing w:after="240"/>
        <w:ind w:left="1620" w:hanging="1620"/>
        <w:jc w:val="both"/>
        <w:rPr>
          <w:szCs w:val="24"/>
        </w:rPr>
      </w:pPr>
      <w:r>
        <w:rPr>
          <w:szCs w:val="24"/>
        </w:rPr>
        <w:tab/>
      </w:r>
      <w:r>
        <w:rPr>
          <w:szCs w:val="24"/>
        </w:rPr>
        <w:tab/>
      </w:r>
      <w:r w:rsidR="00E267BC" w:rsidRPr="0038105B">
        <w:rPr>
          <w:szCs w:val="24"/>
        </w:rPr>
        <w:t>(ii)</w:t>
      </w:r>
      <w:r>
        <w:rPr>
          <w:szCs w:val="24"/>
        </w:rPr>
        <w:tab/>
      </w:r>
      <w:proofErr w:type="gramStart"/>
      <w:r w:rsidR="00E267BC" w:rsidRPr="0038105B">
        <w:rPr>
          <w:szCs w:val="24"/>
        </w:rPr>
        <w:t>an</w:t>
      </w:r>
      <w:proofErr w:type="gramEnd"/>
      <w:r w:rsidR="00E267BC" w:rsidRPr="0038105B">
        <w:rPr>
          <w:szCs w:val="24"/>
        </w:rPr>
        <w:t xml:space="preserve"> </w:t>
      </w:r>
      <w:r w:rsidR="00E267BC" w:rsidRPr="0071087D">
        <w:rPr>
          <w:szCs w:val="24"/>
          <w:lang w:val="en-US"/>
        </w:rPr>
        <w:t>act</w:t>
      </w:r>
      <w:r w:rsidR="00E267BC" w:rsidRPr="0038105B">
        <w:rPr>
          <w:szCs w:val="24"/>
        </w:rPr>
        <w:t xml:space="preserve"> </w:t>
      </w:r>
      <w:r w:rsidR="00E267BC" w:rsidRPr="0071087D">
        <w:rPr>
          <w:w w:val="110"/>
          <w:szCs w:val="24"/>
          <w:lang w:val="en-US"/>
        </w:rPr>
        <w:t>or</w:t>
      </w:r>
      <w:r w:rsidR="00E267BC" w:rsidRPr="0038105B">
        <w:rPr>
          <w:szCs w:val="24"/>
        </w:rPr>
        <w:t xml:space="preserve"> </w:t>
      </w:r>
      <w:r w:rsidR="00E267BC" w:rsidRPr="0071087D">
        <w:rPr>
          <w:w w:val="110"/>
          <w:szCs w:val="24"/>
          <w:lang w:val="en-US"/>
        </w:rPr>
        <w:t>omission</w:t>
      </w:r>
      <w:r w:rsidR="00E267BC" w:rsidRPr="0038105B">
        <w:rPr>
          <w:szCs w:val="24"/>
        </w:rPr>
        <w:t xml:space="preserve"> </w:t>
      </w:r>
      <w:r w:rsidR="00E267BC" w:rsidRPr="0071087D">
        <w:rPr>
          <w:szCs w:val="24"/>
          <w:lang w:val="en-US"/>
        </w:rPr>
        <w:t>outside</w:t>
      </w:r>
      <w:r w:rsidR="00E267BC" w:rsidRPr="0038105B">
        <w:rPr>
          <w:szCs w:val="24"/>
        </w:rPr>
        <w:t xml:space="preserve"> Canada that, if committed in Canada, would be a terrorism offence;</w:t>
      </w:r>
    </w:p>
    <w:p w:rsidR="00E267BC" w:rsidRPr="0038105B" w:rsidRDefault="0071087D" w:rsidP="0071087D">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d</w:t>
      </w:r>
      <w:r>
        <w:rPr>
          <w:szCs w:val="24"/>
        </w:rPr>
        <w:t>)</w:t>
      </w:r>
      <w:r>
        <w:rPr>
          <w:szCs w:val="24"/>
        </w:rPr>
        <w:tab/>
      </w:r>
      <w:proofErr w:type="gramStart"/>
      <w:r w:rsidR="00E267BC" w:rsidRPr="0038105B">
        <w:rPr>
          <w:szCs w:val="24"/>
        </w:rPr>
        <w:t>entering</w:t>
      </w:r>
      <w:proofErr w:type="gramEnd"/>
      <w:r w:rsidR="00E267BC" w:rsidRPr="0038105B">
        <w:rPr>
          <w:szCs w:val="24"/>
        </w:rPr>
        <w:t xml:space="preserve"> or remaining in any country for the benefit of, at the direction of or in association with a terrorist group; and</w:t>
      </w:r>
    </w:p>
    <w:p w:rsidR="00E267BC" w:rsidRPr="0038105B" w:rsidRDefault="0071087D" w:rsidP="0071087D">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e</w:t>
      </w:r>
      <w:r w:rsidR="00E267BC" w:rsidRPr="0038105B">
        <w:rPr>
          <w:szCs w:val="24"/>
        </w:rPr>
        <w:t>)</w:t>
      </w:r>
      <w:r>
        <w:rPr>
          <w:szCs w:val="24"/>
        </w:rPr>
        <w:tab/>
      </w:r>
      <w:proofErr w:type="gramStart"/>
      <w:r w:rsidR="00E267BC" w:rsidRPr="0038105B">
        <w:rPr>
          <w:szCs w:val="24"/>
        </w:rPr>
        <w:t>making</w:t>
      </w:r>
      <w:proofErr w:type="gramEnd"/>
      <w:r w:rsidR="00E267BC" w:rsidRPr="0038105B">
        <w:rPr>
          <w:szCs w:val="24"/>
        </w:rPr>
        <w:t xml:space="preserve"> oneself, in response to instructions from any of the persons who constitute a terrorist group, available to facilitate or commit</w:t>
      </w:r>
    </w:p>
    <w:p w:rsidR="00E267BC" w:rsidRPr="0038105B" w:rsidRDefault="0071087D" w:rsidP="0071087D">
      <w:pPr>
        <w:tabs>
          <w:tab w:val="left" w:pos="1170"/>
          <w:tab w:val="left" w:pos="1620"/>
          <w:tab w:val="left" w:pos="2070"/>
        </w:tabs>
        <w:spacing w:after="240"/>
        <w:ind w:left="1620" w:hanging="1620"/>
        <w:jc w:val="both"/>
        <w:rPr>
          <w:szCs w:val="24"/>
        </w:rPr>
      </w:pPr>
      <w:r>
        <w:rPr>
          <w:szCs w:val="24"/>
        </w:rPr>
        <w:tab/>
      </w:r>
      <w:r>
        <w:rPr>
          <w:szCs w:val="24"/>
        </w:rPr>
        <w:tab/>
        <w:t>(</w:t>
      </w:r>
      <w:proofErr w:type="spellStart"/>
      <w:r>
        <w:rPr>
          <w:szCs w:val="24"/>
        </w:rPr>
        <w:t>i</w:t>
      </w:r>
      <w:proofErr w:type="spellEnd"/>
      <w:r>
        <w:rPr>
          <w:szCs w:val="24"/>
        </w:rPr>
        <w:t>)</w:t>
      </w:r>
      <w:r>
        <w:rPr>
          <w:szCs w:val="24"/>
        </w:rPr>
        <w:tab/>
      </w:r>
      <w:proofErr w:type="gramStart"/>
      <w:r w:rsidR="00E267BC" w:rsidRPr="0038105B">
        <w:rPr>
          <w:szCs w:val="24"/>
        </w:rPr>
        <w:t>a</w:t>
      </w:r>
      <w:proofErr w:type="gramEnd"/>
      <w:r w:rsidR="00E267BC" w:rsidRPr="0038105B">
        <w:rPr>
          <w:szCs w:val="24"/>
        </w:rPr>
        <w:t xml:space="preserve"> terrorism </w:t>
      </w:r>
      <w:r w:rsidR="00E267BC" w:rsidRPr="0071087D">
        <w:rPr>
          <w:w w:val="110"/>
          <w:szCs w:val="24"/>
          <w:lang w:val="en-US"/>
        </w:rPr>
        <w:t>offence</w:t>
      </w:r>
      <w:r w:rsidR="00E267BC" w:rsidRPr="0038105B">
        <w:rPr>
          <w:szCs w:val="24"/>
        </w:rPr>
        <w:t>, or</w:t>
      </w:r>
    </w:p>
    <w:p w:rsidR="0071087D" w:rsidRDefault="0071087D" w:rsidP="0071087D">
      <w:pPr>
        <w:tabs>
          <w:tab w:val="left" w:pos="1170"/>
          <w:tab w:val="left" w:pos="1620"/>
          <w:tab w:val="left" w:pos="2070"/>
        </w:tabs>
        <w:spacing w:after="240"/>
        <w:ind w:left="1620" w:hanging="1620"/>
        <w:jc w:val="both"/>
        <w:rPr>
          <w:szCs w:val="24"/>
        </w:rPr>
      </w:pPr>
      <w:r>
        <w:rPr>
          <w:szCs w:val="24"/>
        </w:rPr>
        <w:tab/>
      </w:r>
      <w:r>
        <w:rPr>
          <w:szCs w:val="24"/>
        </w:rPr>
        <w:tab/>
        <w:t>(ii)</w:t>
      </w:r>
      <w:r>
        <w:rPr>
          <w:szCs w:val="24"/>
        </w:rPr>
        <w:tab/>
      </w:r>
      <w:proofErr w:type="gramStart"/>
      <w:r w:rsidR="00E267BC" w:rsidRPr="0038105B">
        <w:rPr>
          <w:szCs w:val="24"/>
        </w:rPr>
        <w:t>an</w:t>
      </w:r>
      <w:proofErr w:type="gramEnd"/>
      <w:r w:rsidR="00E267BC" w:rsidRPr="0038105B">
        <w:rPr>
          <w:szCs w:val="24"/>
        </w:rPr>
        <w:t xml:space="preserve"> act or </w:t>
      </w:r>
      <w:r w:rsidR="00E267BC" w:rsidRPr="0071087D">
        <w:rPr>
          <w:w w:val="110"/>
          <w:szCs w:val="24"/>
          <w:lang w:val="en-US"/>
        </w:rPr>
        <w:t>omission</w:t>
      </w:r>
      <w:r w:rsidR="00E267BC" w:rsidRPr="0038105B">
        <w:rPr>
          <w:szCs w:val="24"/>
        </w:rPr>
        <w:t xml:space="preserve"> outside Canada that, if committed in Canada, would be a terrorism offence.</w:t>
      </w:r>
    </w:p>
    <w:p w:rsidR="00E267BC" w:rsidRPr="0038105B" w:rsidRDefault="0071087D" w:rsidP="0071087D">
      <w:pPr>
        <w:tabs>
          <w:tab w:val="left" w:pos="720"/>
          <w:tab w:val="left" w:pos="1170"/>
          <w:tab w:val="left" w:pos="1620"/>
          <w:tab w:val="left" w:pos="1890"/>
        </w:tabs>
        <w:spacing w:after="240"/>
        <w:ind w:left="720" w:hanging="1168"/>
        <w:jc w:val="both"/>
        <w:rPr>
          <w:szCs w:val="24"/>
        </w:rPr>
      </w:pPr>
      <w:r>
        <w:rPr>
          <w:szCs w:val="24"/>
        </w:rPr>
        <w:tab/>
      </w:r>
      <w:r>
        <w:rPr>
          <w:szCs w:val="24"/>
        </w:rPr>
        <w:tab/>
        <w:t>(4)</w:t>
      </w:r>
      <w:r>
        <w:rPr>
          <w:szCs w:val="24"/>
        </w:rPr>
        <w:tab/>
      </w:r>
      <w:r w:rsidR="00E267BC" w:rsidRPr="0038105B">
        <w:rPr>
          <w:szCs w:val="24"/>
        </w:rPr>
        <w:t>In determining whether an accused participates in or contributes to any activity of a terrorist group, the court may consider, among other factors, whether the accused</w:t>
      </w:r>
    </w:p>
    <w:p w:rsidR="00E267BC" w:rsidRPr="0038105B" w:rsidRDefault="0071087D" w:rsidP="0071087D">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a</w:t>
      </w:r>
      <w:r w:rsidR="00E267BC" w:rsidRPr="0038105B">
        <w:rPr>
          <w:szCs w:val="24"/>
        </w:rPr>
        <w:t>)</w:t>
      </w:r>
      <w:r>
        <w:rPr>
          <w:szCs w:val="24"/>
        </w:rPr>
        <w:tab/>
      </w:r>
      <w:proofErr w:type="gramStart"/>
      <w:r w:rsidR="00E267BC" w:rsidRPr="0038105B">
        <w:rPr>
          <w:szCs w:val="24"/>
        </w:rPr>
        <w:t>uses</w:t>
      </w:r>
      <w:proofErr w:type="gramEnd"/>
      <w:r w:rsidR="00E267BC" w:rsidRPr="0038105B">
        <w:rPr>
          <w:szCs w:val="24"/>
        </w:rPr>
        <w:t xml:space="preserve"> a name, word, symbol or other representation that identifies, or is associated with, the terrorist group;</w:t>
      </w:r>
    </w:p>
    <w:p w:rsidR="00E267BC" w:rsidRPr="0038105B" w:rsidRDefault="0071087D" w:rsidP="0071087D">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b</w:t>
      </w:r>
      <w:r>
        <w:rPr>
          <w:szCs w:val="24"/>
        </w:rPr>
        <w:t>)</w:t>
      </w:r>
      <w:r>
        <w:rPr>
          <w:szCs w:val="24"/>
        </w:rPr>
        <w:tab/>
      </w:r>
      <w:proofErr w:type="gramStart"/>
      <w:r w:rsidR="00E267BC" w:rsidRPr="0038105B">
        <w:rPr>
          <w:szCs w:val="24"/>
        </w:rPr>
        <w:t>frequently</w:t>
      </w:r>
      <w:proofErr w:type="gramEnd"/>
      <w:r w:rsidR="00E267BC" w:rsidRPr="0038105B">
        <w:rPr>
          <w:szCs w:val="24"/>
        </w:rPr>
        <w:t xml:space="preserve"> associates with any of the persons who constitute the terrorist group;</w:t>
      </w:r>
    </w:p>
    <w:p w:rsidR="00E267BC" w:rsidRPr="0038105B" w:rsidRDefault="0071087D" w:rsidP="0071087D">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c</w:t>
      </w:r>
      <w:r w:rsidR="00E267BC" w:rsidRPr="0038105B">
        <w:rPr>
          <w:szCs w:val="24"/>
        </w:rPr>
        <w:t>)</w:t>
      </w:r>
      <w:r>
        <w:rPr>
          <w:szCs w:val="24"/>
        </w:rPr>
        <w:tab/>
      </w:r>
      <w:proofErr w:type="gramStart"/>
      <w:r w:rsidR="00E267BC" w:rsidRPr="0038105B">
        <w:rPr>
          <w:szCs w:val="24"/>
        </w:rPr>
        <w:t>receives</w:t>
      </w:r>
      <w:proofErr w:type="gramEnd"/>
      <w:r w:rsidR="00E267BC" w:rsidRPr="0038105B">
        <w:rPr>
          <w:szCs w:val="24"/>
        </w:rPr>
        <w:t xml:space="preserve"> any benefit from the terrorist group; or</w:t>
      </w:r>
    </w:p>
    <w:p w:rsidR="00E267BC" w:rsidRPr="0038105B" w:rsidRDefault="0071087D" w:rsidP="0071087D">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d</w:t>
      </w:r>
      <w:r>
        <w:rPr>
          <w:szCs w:val="24"/>
        </w:rPr>
        <w:t>)</w:t>
      </w:r>
      <w:r>
        <w:rPr>
          <w:szCs w:val="24"/>
        </w:rPr>
        <w:tab/>
      </w:r>
      <w:proofErr w:type="gramStart"/>
      <w:r w:rsidR="00E267BC" w:rsidRPr="0038105B">
        <w:rPr>
          <w:szCs w:val="24"/>
        </w:rPr>
        <w:t>repeatedly</w:t>
      </w:r>
      <w:proofErr w:type="gramEnd"/>
      <w:r w:rsidR="00E267BC" w:rsidRPr="0038105B">
        <w:rPr>
          <w:szCs w:val="24"/>
        </w:rPr>
        <w:t xml:space="preserve"> engages in activities at the instruction of any of the persons who constitute the terrorist group.</w:t>
      </w:r>
    </w:p>
    <w:p w:rsidR="00E267BC" w:rsidRPr="0038105B" w:rsidRDefault="0071087D" w:rsidP="0071087D">
      <w:pPr>
        <w:tabs>
          <w:tab w:val="left" w:pos="720"/>
          <w:tab w:val="left" w:pos="1170"/>
          <w:tab w:val="left" w:pos="1620"/>
          <w:tab w:val="left" w:pos="1890"/>
        </w:tabs>
        <w:spacing w:after="240"/>
        <w:ind w:left="720" w:hanging="1168"/>
        <w:jc w:val="both"/>
        <w:rPr>
          <w:szCs w:val="24"/>
        </w:rPr>
      </w:pPr>
      <w:r>
        <w:rPr>
          <w:b/>
          <w:szCs w:val="24"/>
        </w:rPr>
        <w:tab/>
      </w:r>
      <w:r>
        <w:rPr>
          <w:b/>
          <w:szCs w:val="24"/>
        </w:rPr>
        <w:tab/>
      </w:r>
      <w:r w:rsidR="00E267BC" w:rsidRPr="0038105B">
        <w:rPr>
          <w:b/>
          <w:szCs w:val="24"/>
        </w:rPr>
        <w:t>83.26</w:t>
      </w:r>
      <w:r w:rsidR="00E267BC" w:rsidRPr="0038105B">
        <w:rPr>
          <w:szCs w:val="24"/>
        </w:rPr>
        <w:t xml:space="preserve"> A sentence, other than one of life imprisonment, imposed on a person for an offence under any of sections 83.02 to 83.04 and 83.18 to 83.23 shall be served consecutively to </w:t>
      </w:r>
    </w:p>
    <w:p w:rsidR="00E267BC" w:rsidRPr="0038105B" w:rsidRDefault="0071087D" w:rsidP="0071087D">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a</w:t>
      </w:r>
      <w:r>
        <w:rPr>
          <w:szCs w:val="24"/>
        </w:rPr>
        <w:t>)</w:t>
      </w:r>
      <w:r>
        <w:rPr>
          <w:szCs w:val="24"/>
        </w:rPr>
        <w:tab/>
      </w:r>
      <w:r w:rsidR="00E267BC" w:rsidRPr="0038105B">
        <w:rPr>
          <w:szCs w:val="24"/>
        </w:rPr>
        <w:t>any other punishment imposed on the person, other than a sentence of life imprisonment, for an offence arising out of the same event or series of events; and</w:t>
      </w:r>
    </w:p>
    <w:p w:rsidR="00E267BC" w:rsidRPr="0038105B" w:rsidRDefault="0071087D" w:rsidP="0071087D">
      <w:pPr>
        <w:tabs>
          <w:tab w:val="left" w:pos="1170"/>
          <w:tab w:val="left" w:pos="1620"/>
          <w:tab w:val="left" w:pos="1890"/>
        </w:tabs>
        <w:spacing w:after="240"/>
        <w:ind w:left="1166" w:hanging="1166"/>
        <w:jc w:val="both"/>
        <w:rPr>
          <w:szCs w:val="24"/>
        </w:rPr>
      </w:pPr>
      <w:r>
        <w:rPr>
          <w:szCs w:val="24"/>
        </w:rPr>
        <w:tab/>
      </w:r>
      <w:r w:rsidR="00E267BC" w:rsidRPr="0038105B">
        <w:rPr>
          <w:szCs w:val="24"/>
        </w:rPr>
        <w:t>(</w:t>
      </w:r>
      <w:r w:rsidR="00E267BC" w:rsidRPr="0038105B">
        <w:rPr>
          <w:i/>
          <w:szCs w:val="24"/>
        </w:rPr>
        <w:t>b</w:t>
      </w:r>
      <w:r>
        <w:rPr>
          <w:szCs w:val="24"/>
        </w:rPr>
        <w:t>)</w:t>
      </w:r>
      <w:r>
        <w:rPr>
          <w:szCs w:val="24"/>
        </w:rPr>
        <w:tab/>
      </w:r>
      <w:proofErr w:type="gramStart"/>
      <w:r w:rsidR="00E267BC" w:rsidRPr="0038105B">
        <w:rPr>
          <w:szCs w:val="24"/>
        </w:rPr>
        <w:t>any</w:t>
      </w:r>
      <w:proofErr w:type="gramEnd"/>
      <w:r w:rsidR="00E267BC" w:rsidRPr="0038105B">
        <w:rPr>
          <w:szCs w:val="24"/>
        </w:rPr>
        <w:t xml:space="preserve"> other sentence, other than one of life imprisonment, to which the person is subject at the time the sentence is imposed on the person for an offence under any of those sections.</w:t>
      </w:r>
    </w:p>
    <w:p w:rsidR="00E267BC" w:rsidRPr="0038105B" w:rsidRDefault="0071087D" w:rsidP="0071087D">
      <w:pPr>
        <w:tabs>
          <w:tab w:val="left" w:pos="720"/>
          <w:tab w:val="left" w:pos="1170"/>
          <w:tab w:val="left" w:pos="1620"/>
          <w:tab w:val="left" w:pos="1890"/>
        </w:tabs>
        <w:spacing w:after="240"/>
        <w:ind w:left="720" w:hanging="1168"/>
        <w:jc w:val="both"/>
        <w:rPr>
          <w:szCs w:val="24"/>
        </w:rPr>
      </w:pPr>
      <w:r>
        <w:rPr>
          <w:b/>
          <w:szCs w:val="24"/>
        </w:rPr>
        <w:tab/>
      </w:r>
      <w:r>
        <w:rPr>
          <w:b/>
          <w:szCs w:val="24"/>
        </w:rPr>
        <w:tab/>
      </w:r>
      <w:r w:rsidR="00E267BC" w:rsidRPr="0038105B">
        <w:rPr>
          <w:b/>
          <w:szCs w:val="24"/>
        </w:rPr>
        <w:t>718.2</w:t>
      </w:r>
      <w:r>
        <w:rPr>
          <w:szCs w:val="24"/>
        </w:rPr>
        <w:tab/>
      </w:r>
      <w:r w:rsidR="00E267BC" w:rsidRPr="0038105B">
        <w:rPr>
          <w:szCs w:val="24"/>
        </w:rPr>
        <w:t>A court that imposes a sentence shall also take into consideration the following principles:</w:t>
      </w:r>
    </w:p>
    <w:p w:rsidR="00E267BC" w:rsidRPr="0038105B" w:rsidRDefault="0071087D" w:rsidP="0071087D">
      <w:pPr>
        <w:tabs>
          <w:tab w:val="left" w:pos="1170"/>
          <w:tab w:val="left" w:pos="1620"/>
          <w:tab w:val="left" w:pos="1890"/>
        </w:tabs>
        <w:spacing w:after="240"/>
        <w:ind w:left="1166" w:hanging="1166"/>
        <w:jc w:val="both"/>
        <w:rPr>
          <w:szCs w:val="24"/>
        </w:rPr>
      </w:pPr>
      <w:r>
        <w:rPr>
          <w:szCs w:val="24"/>
        </w:rPr>
        <w:lastRenderedPageBreak/>
        <w:tab/>
      </w:r>
      <w:r w:rsidR="00E267BC" w:rsidRPr="0038105B">
        <w:rPr>
          <w:szCs w:val="24"/>
        </w:rPr>
        <w:t>(</w:t>
      </w:r>
      <w:r w:rsidR="00E267BC" w:rsidRPr="0038105B">
        <w:rPr>
          <w:i/>
          <w:szCs w:val="24"/>
        </w:rPr>
        <w:t>a</w:t>
      </w:r>
      <w:r>
        <w:rPr>
          <w:szCs w:val="24"/>
        </w:rPr>
        <w:t>)</w:t>
      </w:r>
      <w:r>
        <w:rPr>
          <w:szCs w:val="24"/>
        </w:rPr>
        <w:tab/>
      </w:r>
      <w:r w:rsidR="00E267BC" w:rsidRPr="0038105B">
        <w:rPr>
          <w:szCs w:val="24"/>
        </w:rPr>
        <w:t>a sentence should be increased or reduced to account for any relevant aggravating or mitigating circumstances relating to the offence or the offender, and, without limiting the generality of the foregoing,</w:t>
      </w:r>
    </w:p>
    <w:p w:rsidR="00E267BC" w:rsidRPr="0038105B" w:rsidRDefault="00E267BC" w:rsidP="0071087D">
      <w:pPr>
        <w:pStyle w:val="Citation-AltC"/>
        <w:spacing w:after="240"/>
        <w:contextualSpacing w:val="0"/>
        <w:jc w:val="center"/>
        <w:rPr>
          <w:szCs w:val="24"/>
        </w:rPr>
      </w:pPr>
      <w:r w:rsidRPr="0038105B">
        <w:rPr>
          <w:szCs w:val="24"/>
        </w:rPr>
        <w:t>.</w:t>
      </w:r>
      <w:r w:rsidR="00182E01">
        <w:rPr>
          <w:szCs w:val="24"/>
        </w:rPr>
        <w:t xml:space="preserve"> </w:t>
      </w:r>
      <w:r w:rsidRPr="0038105B">
        <w:rPr>
          <w:szCs w:val="24"/>
        </w:rPr>
        <w:t>.</w:t>
      </w:r>
      <w:r w:rsidR="00182E01">
        <w:rPr>
          <w:szCs w:val="24"/>
        </w:rPr>
        <w:t xml:space="preserve"> </w:t>
      </w:r>
      <w:r w:rsidRPr="0038105B">
        <w:rPr>
          <w:szCs w:val="24"/>
        </w:rPr>
        <w:t>.</w:t>
      </w:r>
    </w:p>
    <w:p w:rsidR="00E267BC" w:rsidRDefault="0071087D" w:rsidP="0071087D">
      <w:pPr>
        <w:tabs>
          <w:tab w:val="left" w:pos="1170"/>
          <w:tab w:val="left" w:pos="1620"/>
          <w:tab w:val="left" w:pos="2070"/>
        </w:tabs>
        <w:spacing w:after="240"/>
        <w:ind w:left="1620" w:hanging="1620"/>
        <w:jc w:val="both"/>
        <w:rPr>
          <w:szCs w:val="24"/>
        </w:rPr>
      </w:pPr>
      <w:r>
        <w:rPr>
          <w:szCs w:val="24"/>
        </w:rPr>
        <w:tab/>
      </w:r>
      <w:r>
        <w:rPr>
          <w:szCs w:val="24"/>
        </w:rPr>
        <w:tab/>
      </w:r>
      <w:r w:rsidR="00E267BC" w:rsidRPr="0038105B">
        <w:rPr>
          <w:szCs w:val="24"/>
        </w:rPr>
        <w:t>(v)</w:t>
      </w:r>
      <w:r>
        <w:rPr>
          <w:szCs w:val="24"/>
        </w:rPr>
        <w:tab/>
      </w:r>
      <w:proofErr w:type="gramStart"/>
      <w:r w:rsidR="00E267BC" w:rsidRPr="0038105B">
        <w:rPr>
          <w:szCs w:val="24"/>
        </w:rPr>
        <w:t>evidence</w:t>
      </w:r>
      <w:proofErr w:type="gramEnd"/>
      <w:r w:rsidR="00E267BC" w:rsidRPr="0038105B">
        <w:rPr>
          <w:szCs w:val="24"/>
        </w:rPr>
        <w:t xml:space="preserve"> that </w:t>
      </w:r>
      <w:r w:rsidR="00E267BC" w:rsidRPr="0071087D">
        <w:rPr>
          <w:szCs w:val="24"/>
          <w:lang w:val="en-US"/>
        </w:rPr>
        <w:t>the</w:t>
      </w:r>
      <w:r w:rsidR="00E267BC" w:rsidRPr="0038105B">
        <w:rPr>
          <w:szCs w:val="24"/>
        </w:rPr>
        <w:t xml:space="preserve"> offence was a terrorism offence</w:t>
      </w:r>
    </w:p>
    <w:p w:rsidR="002542E8" w:rsidRPr="0038105B" w:rsidRDefault="002542E8" w:rsidP="00245279">
      <w:pPr>
        <w:pStyle w:val="Citation-AltC"/>
        <w:spacing w:after="240"/>
        <w:jc w:val="center"/>
        <w:rPr>
          <w:szCs w:val="24"/>
        </w:rPr>
      </w:pPr>
      <w:r w:rsidRPr="0038105B">
        <w:rPr>
          <w:szCs w:val="24"/>
        </w:rPr>
        <w:t>.</w:t>
      </w:r>
      <w:r>
        <w:rPr>
          <w:szCs w:val="24"/>
        </w:rPr>
        <w:t xml:space="preserve"> </w:t>
      </w:r>
      <w:r w:rsidRPr="0038105B">
        <w:rPr>
          <w:szCs w:val="24"/>
        </w:rPr>
        <w:t>.</w:t>
      </w:r>
      <w:r>
        <w:rPr>
          <w:szCs w:val="24"/>
        </w:rPr>
        <w:t xml:space="preserve"> </w:t>
      </w:r>
      <w:r w:rsidRPr="0038105B">
        <w:rPr>
          <w:szCs w:val="24"/>
        </w:rPr>
        <w:t>.</w:t>
      </w:r>
    </w:p>
    <w:p w:rsidR="00E267BC" w:rsidRPr="0038105B" w:rsidRDefault="0071087D" w:rsidP="0071087D">
      <w:pPr>
        <w:tabs>
          <w:tab w:val="left" w:pos="720"/>
          <w:tab w:val="left" w:pos="1170"/>
          <w:tab w:val="left" w:pos="1620"/>
          <w:tab w:val="left" w:pos="1890"/>
        </w:tabs>
        <w:spacing w:after="240"/>
        <w:ind w:left="720" w:hanging="1168"/>
        <w:jc w:val="both"/>
        <w:rPr>
          <w:szCs w:val="24"/>
        </w:rPr>
      </w:pPr>
      <w:r>
        <w:rPr>
          <w:b/>
          <w:szCs w:val="24"/>
        </w:rPr>
        <w:tab/>
      </w:r>
      <w:r>
        <w:rPr>
          <w:b/>
          <w:szCs w:val="24"/>
        </w:rPr>
        <w:tab/>
      </w:r>
      <w:r w:rsidR="00E267BC" w:rsidRPr="0038105B">
        <w:rPr>
          <w:b/>
          <w:szCs w:val="24"/>
        </w:rPr>
        <w:t xml:space="preserve">719. </w:t>
      </w:r>
      <w:r w:rsidR="00E267BC" w:rsidRPr="0038105B">
        <w:rPr>
          <w:szCs w:val="24"/>
        </w:rPr>
        <w:t xml:space="preserve">(1) A sentence commences when it is imposed, except where a relevant enactment otherwise provides. </w:t>
      </w:r>
    </w:p>
    <w:p w:rsidR="00E267BC" w:rsidRPr="0038105B" w:rsidRDefault="00E267BC" w:rsidP="00245279">
      <w:pPr>
        <w:pStyle w:val="Citation-AltC"/>
        <w:spacing w:after="240"/>
        <w:contextualSpacing w:val="0"/>
        <w:jc w:val="center"/>
        <w:rPr>
          <w:szCs w:val="24"/>
        </w:rPr>
      </w:pPr>
      <w:r w:rsidRPr="0038105B">
        <w:rPr>
          <w:szCs w:val="24"/>
        </w:rPr>
        <w:t>. . .</w:t>
      </w:r>
    </w:p>
    <w:p w:rsidR="00E267BC" w:rsidRPr="0038105B" w:rsidRDefault="00245279" w:rsidP="00245279">
      <w:pPr>
        <w:tabs>
          <w:tab w:val="left" w:pos="720"/>
          <w:tab w:val="left" w:pos="1170"/>
          <w:tab w:val="left" w:pos="1620"/>
          <w:tab w:val="left" w:pos="1890"/>
        </w:tabs>
        <w:spacing w:after="720"/>
        <w:ind w:left="720" w:hanging="1166"/>
        <w:jc w:val="both"/>
        <w:rPr>
          <w:szCs w:val="24"/>
        </w:rPr>
      </w:pPr>
      <w:r>
        <w:rPr>
          <w:szCs w:val="24"/>
        </w:rPr>
        <w:tab/>
      </w:r>
      <w:r>
        <w:rPr>
          <w:szCs w:val="24"/>
        </w:rPr>
        <w:tab/>
      </w:r>
      <w:r w:rsidR="00E267BC" w:rsidRPr="0038105B">
        <w:rPr>
          <w:szCs w:val="24"/>
        </w:rPr>
        <w:t>(3)</w:t>
      </w:r>
      <w:r>
        <w:rPr>
          <w:szCs w:val="24"/>
        </w:rPr>
        <w:tab/>
      </w:r>
      <w:r w:rsidR="00E267BC" w:rsidRPr="0038105B">
        <w:rPr>
          <w:szCs w:val="24"/>
        </w:rPr>
        <w:t>In determining the sentence to be imposed on a person convicted of an offence, a court may take into account any time spent in custody by the person as a result of the offence.</w:t>
      </w:r>
    </w:p>
    <w:p w:rsidR="00A149DF" w:rsidRPr="00C55BF3" w:rsidRDefault="009B57B3" w:rsidP="00E267BC">
      <w:pPr>
        <w:pStyle w:val="SCCNormalDoubleSpacing"/>
        <w:spacing w:after="480"/>
        <w:rPr>
          <w:szCs w:val="24"/>
        </w:rPr>
      </w:pPr>
      <w:r w:rsidRPr="00C55BF3">
        <w:rPr>
          <w:szCs w:val="24"/>
        </w:rPr>
        <w:tab/>
      </w:r>
      <w:r w:rsidR="00656313" w:rsidRPr="00C55BF3">
        <w:rPr>
          <w:i/>
          <w:szCs w:val="24"/>
        </w:rPr>
        <w:t>Appeal</w:t>
      </w:r>
      <w:r w:rsidR="00266738" w:rsidRPr="00C55BF3">
        <w:rPr>
          <w:i/>
          <w:szCs w:val="24"/>
        </w:rPr>
        <w:t xml:space="preserve"> dismissed.</w:t>
      </w:r>
    </w:p>
    <w:p w:rsidR="00266738" w:rsidRPr="00C55BF3" w:rsidRDefault="00266738" w:rsidP="009153A7">
      <w:pPr>
        <w:pStyle w:val="SCCLawFirm"/>
        <w:spacing w:after="480"/>
        <w:rPr>
          <w:szCs w:val="24"/>
        </w:rPr>
      </w:pPr>
      <w:r w:rsidRPr="00C55BF3">
        <w:rPr>
          <w:szCs w:val="24"/>
        </w:rPr>
        <w:tab/>
      </w:r>
      <w:r w:rsidR="009153A7" w:rsidRPr="00C55BF3">
        <w:rPr>
          <w:szCs w:val="24"/>
        </w:rPr>
        <w:t>Solicitors for the appellant:  </w:t>
      </w:r>
      <w:proofErr w:type="spellStart"/>
      <w:r w:rsidRPr="00C55BF3">
        <w:rPr>
          <w:szCs w:val="24"/>
        </w:rPr>
        <w:t>Greenspon</w:t>
      </w:r>
      <w:proofErr w:type="spellEnd"/>
      <w:r w:rsidRPr="00C55BF3">
        <w:rPr>
          <w:szCs w:val="24"/>
        </w:rPr>
        <w:t>, Brown &amp; Associates, Ottawa.</w:t>
      </w:r>
    </w:p>
    <w:p w:rsidR="00266738" w:rsidRPr="00C55BF3" w:rsidRDefault="009153A7" w:rsidP="009153A7">
      <w:pPr>
        <w:pStyle w:val="SCCLawFirm"/>
        <w:spacing w:after="480"/>
        <w:rPr>
          <w:szCs w:val="24"/>
        </w:rPr>
      </w:pPr>
      <w:r w:rsidRPr="00C55BF3">
        <w:rPr>
          <w:szCs w:val="24"/>
        </w:rPr>
        <w:tab/>
        <w:t>Solicitor for the respondent:  </w:t>
      </w:r>
      <w:r w:rsidR="00266738" w:rsidRPr="00C55BF3">
        <w:rPr>
          <w:szCs w:val="24"/>
        </w:rPr>
        <w:t>Public Prosecution Service of Canada, Toronto.</w:t>
      </w:r>
    </w:p>
    <w:p w:rsidR="00266738" w:rsidRPr="00C55BF3" w:rsidRDefault="00266738" w:rsidP="009153A7">
      <w:pPr>
        <w:pStyle w:val="SCCLawFirm"/>
        <w:spacing w:after="480"/>
        <w:rPr>
          <w:szCs w:val="24"/>
        </w:rPr>
      </w:pPr>
      <w:r w:rsidRPr="00C55BF3">
        <w:rPr>
          <w:szCs w:val="24"/>
        </w:rPr>
        <w:tab/>
        <w:t>Solicitor for the intervener th</w:t>
      </w:r>
      <w:r w:rsidR="009153A7" w:rsidRPr="00C55BF3">
        <w:rPr>
          <w:szCs w:val="24"/>
        </w:rPr>
        <w:t>e Attorney General of Ontario:  </w:t>
      </w:r>
      <w:r w:rsidRPr="00C55BF3">
        <w:rPr>
          <w:szCs w:val="24"/>
        </w:rPr>
        <w:t>Attorney General of Ontario, Toronto.</w:t>
      </w:r>
    </w:p>
    <w:p w:rsidR="00266738" w:rsidRPr="00C55BF3" w:rsidRDefault="00266738" w:rsidP="009153A7">
      <w:pPr>
        <w:pStyle w:val="SCCLawFirm"/>
        <w:spacing w:after="480"/>
        <w:rPr>
          <w:szCs w:val="24"/>
          <w:lang w:val="fr-CA"/>
        </w:rPr>
      </w:pPr>
      <w:r w:rsidRPr="00C55BF3">
        <w:rPr>
          <w:szCs w:val="24"/>
        </w:rPr>
        <w:tab/>
      </w:r>
      <w:r w:rsidRPr="00C55BF3">
        <w:rPr>
          <w:szCs w:val="24"/>
          <w:lang w:val="fr-CA"/>
        </w:rPr>
        <w:t xml:space="preserve">Solicitors for the </w:t>
      </w:r>
      <w:proofErr w:type="spellStart"/>
      <w:r w:rsidRPr="00C55BF3">
        <w:rPr>
          <w:szCs w:val="24"/>
          <w:lang w:val="fr-CA"/>
        </w:rPr>
        <w:t>intervener</w:t>
      </w:r>
      <w:proofErr w:type="spellEnd"/>
      <w:r w:rsidRPr="00C55BF3">
        <w:rPr>
          <w:szCs w:val="24"/>
          <w:lang w:val="fr-CA"/>
        </w:rPr>
        <w:t xml:space="preserve"> Groupe d</w:t>
      </w:r>
      <w:r w:rsidR="009153A7" w:rsidRPr="00C55BF3">
        <w:rPr>
          <w:szCs w:val="24"/>
          <w:lang w:val="fr-CA"/>
        </w:rPr>
        <w:t>’</w:t>
      </w:r>
      <w:r w:rsidRPr="00C55BF3">
        <w:rPr>
          <w:szCs w:val="24"/>
          <w:lang w:val="fr-CA"/>
        </w:rPr>
        <w:t>étude en droits et libertés de la Faculté de droit de l</w:t>
      </w:r>
      <w:r w:rsidR="009153A7" w:rsidRPr="00C55BF3">
        <w:rPr>
          <w:szCs w:val="24"/>
          <w:lang w:val="fr-CA"/>
        </w:rPr>
        <w:t>’Université Laval:</w:t>
      </w:r>
      <w:proofErr w:type="gramStart"/>
      <w:r w:rsidR="009153A7" w:rsidRPr="00C55BF3">
        <w:rPr>
          <w:szCs w:val="24"/>
          <w:lang w:val="fr-CA"/>
        </w:rPr>
        <w:t>  </w:t>
      </w:r>
      <w:r w:rsidRPr="00C55BF3">
        <w:rPr>
          <w:szCs w:val="24"/>
          <w:lang w:val="fr-CA"/>
        </w:rPr>
        <w:t>Langlois</w:t>
      </w:r>
      <w:proofErr w:type="gramEnd"/>
      <w:r w:rsidRPr="00C55BF3">
        <w:rPr>
          <w:szCs w:val="24"/>
          <w:lang w:val="fr-CA"/>
        </w:rPr>
        <w:t xml:space="preserve"> </w:t>
      </w:r>
      <w:proofErr w:type="spellStart"/>
      <w:r w:rsidRPr="00C55BF3">
        <w:rPr>
          <w:szCs w:val="24"/>
          <w:lang w:val="fr-CA"/>
        </w:rPr>
        <w:t>Kronström</w:t>
      </w:r>
      <w:proofErr w:type="spellEnd"/>
      <w:r w:rsidRPr="00C55BF3">
        <w:rPr>
          <w:szCs w:val="24"/>
          <w:lang w:val="fr-CA"/>
        </w:rPr>
        <w:t xml:space="preserve"> Desjardins, Québec.</w:t>
      </w:r>
    </w:p>
    <w:p w:rsidR="00266738" w:rsidRPr="00C55BF3" w:rsidRDefault="00266738" w:rsidP="009153A7">
      <w:pPr>
        <w:pStyle w:val="SCCLawFirm"/>
        <w:spacing w:after="480"/>
        <w:rPr>
          <w:szCs w:val="24"/>
        </w:rPr>
      </w:pPr>
      <w:r w:rsidRPr="00C55BF3">
        <w:rPr>
          <w:szCs w:val="24"/>
          <w:lang w:val="fr-CA"/>
        </w:rPr>
        <w:lastRenderedPageBreak/>
        <w:tab/>
      </w:r>
      <w:r w:rsidRPr="00C55BF3">
        <w:rPr>
          <w:szCs w:val="24"/>
        </w:rPr>
        <w:t>Solicitors for the intervener the Canadia</w:t>
      </w:r>
      <w:r w:rsidR="009153A7" w:rsidRPr="00C55BF3">
        <w:rPr>
          <w:szCs w:val="24"/>
        </w:rPr>
        <w:t>n Civil Liberties Association:  </w:t>
      </w:r>
      <w:proofErr w:type="spellStart"/>
      <w:r w:rsidRPr="00C55BF3">
        <w:rPr>
          <w:szCs w:val="24"/>
        </w:rPr>
        <w:t>Kapoor</w:t>
      </w:r>
      <w:proofErr w:type="spellEnd"/>
      <w:r w:rsidRPr="00C55BF3">
        <w:rPr>
          <w:szCs w:val="24"/>
        </w:rPr>
        <w:t xml:space="preserve"> Barristers, Toronto.</w:t>
      </w:r>
    </w:p>
    <w:p w:rsidR="00B93489" w:rsidRDefault="00266738" w:rsidP="00E267BC">
      <w:pPr>
        <w:pStyle w:val="SCCLawFirm"/>
        <w:rPr>
          <w:b/>
          <w:i w:val="0"/>
          <w:szCs w:val="24"/>
        </w:rPr>
      </w:pPr>
      <w:r w:rsidRPr="00C55BF3">
        <w:rPr>
          <w:szCs w:val="24"/>
        </w:rPr>
        <w:tab/>
        <w:t>Solicitors for the intervener the British Columbi</w:t>
      </w:r>
      <w:r w:rsidR="009153A7" w:rsidRPr="00C55BF3">
        <w:rPr>
          <w:szCs w:val="24"/>
        </w:rPr>
        <w:t>a Civil Liberties Association:  </w:t>
      </w:r>
      <w:proofErr w:type="spellStart"/>
      <w:r w:rsidRPr="00C55BF3">
        <w:rPr>
          <w:szCs w:val="24"/>
        </w:rPr>
        <w:t>Paliare</w:t>
      </w:r>
      <w:proofErr w:type="spellEnd"/>
      <w:r w:rsidRPr="00C55BF3">
        <w:rPr>
          <w:szCs w:val="24"/>
        </w:rPr>
        <w:t>, Roland, Rosenberg, Rothstein, Toronto.</w:t>
      </w:r>
    </w:p>
    <w:p w:rsidR="00E267BC" w:rsidRPr="00E267BC" w:rsidRDefault="00E267BC" w:rsidP="00E267BC">
      <w:pPr>
        <w:pStyle w:val="SCCNormalDoubleSpacing"/>
      </w:pPr>
    </w:p>
    <w:sectPr w:rsidR="00E267BC" w:rsidRPr="00E267BC" w:rsidSect="0026195C">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87D" w:rsidRDefault="0071087D">
      <w:r>
        <w:separator/>
      </w:r>
    </w:p>
  </w:endnote>
  <w:endnote w:type="continuationSeparator" w:id="0">
    <w:p w:rsidR="0071087D" w:rsidRDefault="007108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87D" w:rsidRDefault="0071087D">
      <w:r>
        <w:separator/>
      </w:r>
    </w:p>
  </w:footnote>
  <w:footnote w:type="continuationSeparator" w:id="0">
    <w:p w:rsidR="0071087D" w:rsidRDefault="00710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73251"/>
      <w:docPartObj>
        <w:docPartGallery w:val="Page Numbers (Top of Page)"/>
        <w:docPartUnique/>
      </w:docPartObj>
    </w:sdtPr>
    <w:sdtContent>
      <w:p w:rsidR="0026195C" w:rsidRDefault="0026195C">
        <w:pPr>
          <w:pStyle w:val="Header"/>
          <w:jc w:val="center"/>
        </w:pPr>
        <w:r>
          <w:t xml:space="preserve">- </w:t>
        </w:r>
        <w:fldSimple w:instr=" PAGE   \* MERGEFORMAT ">
          <w:r w:rsidR="00953AC6">
            <w:rPr>
              <w:noProof/>
            </w:rPr>
            <w:t>2</w:t>
          </w:r>
        </w:fldSimple>
        <w:r>
          <w:t xml:space="preserve"> -</w:t>
        </w:r>
      </w:p>
    </w:sdtContent>
  </w:sdt>
  <w:p w:rsidR="0026195C" w:rsidRDefault="002619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A3430AE"/>
    <w:multiLevelType w:val="multilevel"/>
    <w:tmpl w:val="9BAA7908"/>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E16204D"/>
    <w:multiLevelType w:val="hybridMultilevel"/>
    <w:tmpl w:val="45EE3C3E"/>
    <w:lvl w:ilvl="0" w:tplc="FEB8922C">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43428"/>
    <w:multiLevelType w:val="hybridMultilevel"/>
    <w:tmpl w:val="2C3ECD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3680B79"/>
    <w:multiLevelType w:val="hybridMultilevel"/>
    <w:tmpl w:val="811A3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F4849"/>
    <w:multiLevelType w:val="multilevel"/>
    <w:tmpl w:val="9BAA7908"/>
    <w:lvl w:ilvl="0">
      <w:start w:val="1"/>
      <w:numFmt w:val="bullet"/>
      <w:lvlText w:val=""/>
      <w:lvlJc w:val="left"/>
      <w:pPr>
        <w:tabs>
          <w:tab w:val="num" w:pos="1152"/>
        </w:tabs>
        <w:ind w:left="0" w:firstLine="0"/>
      </w:pPr>
      <w:rPr>
        <w:rFonts w:ascii="Symbol" w:hAnsi="Symbo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946AE"/>
    <w:multiLevelType w:val="hybridMultilevel"/>
    <w:tmpl w:val="9A86AE34"/>
    <w:lvl w:ilvl="0" w:tplc="1009000F">
      <w:start w:val="1"/>
      <w:numFmt w:val="decimal"/>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4283EE8"/>
    <w:multiLevelType w:val="multilevel"/>
    <w:tmpl w:val="7E4A5646"/>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B6919CE"/>
    <w:multiLevelType w:val="hybridMultilevel"/>
    <w:tmpl w:val="7654F8E4"/>
    <w:lvl w:ilvl="0" w:tplc="623AE6FC">
      <w:start w:val="1"/>
      <w:numFmt w:val="lowerLetter"/>
      <w:lvlText w:val="(%1)"/>
      <w:lvlJc w:val="left"/>
      <w:pPr>
        <w:ind w:left="693" w:hanging="405"/>
      </w:pPr>
      <w:rPr>
        <w:rFonts w:hint="default"/>
      </w:rPr>
    </w:lvl>
    <w:lvl w:ilvl="1" w:tplc="F65CC0CC">
      <w:start w:val="1"/>
      <w:numFmt w:val="lowerRoman"/>
      <w:lvlText w:val="(%2)"/>
      <w:lvlJc w:val="left"/>
      <w:pPr>
        <w:ind w:left="1728" w:hanging="720"/>
      </w:pPr>
      <w:rPr>
        <w:rFonts w:hint="default"/>
      </w:r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5EDB4C48"/>
    <w:multiLevelType w:val="hybridMultilevel"/>
    <w:tmpl w:val="7598D3CC"/>
    <w:lvl w:ilvl="0" w:tplc="9118DCD0">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60B53FD"/>
    <w:multiLevelType w:val="hybridMultilevel"/>
    <w:tmpl w:val="F06CEE8E"/>
    <w:lvl w:ilvl="0" w:tplc="9D2C3634">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AE3B8D"/>
    <w:multiLevelType w:val="hybridMultilevel"/>
    <w:tmpl w:val="A8903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4"/>
  </w:num>
  <w:num w:numId="4">
    <w:abstractNumId w:val="11"/>
  </w:num>
  <w:num w:numId="5">
    <w:abstractNumId w:val="19"/>
  </w:num>
  <w:num w:numId="6">
    <w:abstractNumId w:val="20"/>
  </w:num>
  <w:num w:numId="7">
    <w:abstractNumId w:val="22"/>
  </w:num>
  <w:num w:numId="8">
    <w:abstractNumId w:val="25"/>
  </w:num>
  <w:num w:numId="9">
    <w:abstractNumId w:val="12"/>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0"/>
  </w:num>
  <w:num w:numId="23">
    <w:abstractNumId w:val="13"/>
  </w:num>
  <w:num w:numId="24">
    <w:abstractNumId w:val="23"/>
  </w:num>
  <w:num w:numId="25">
    <w:abstractNumId w:val="18"/>
  </w:num>
  <w:num w:numId="26">
    <w:abstractNumId w:val="26"/>
  </w:num>
  <w:num w:numId="27">
    <w:abstractNumId w:val="15"/>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rsids>
    <w:rsidRoot w:val="0031414C"/>
    <w:rsid w:val="00000D29"/>
    <w:rsid w:val="00000ED4"/>
    <w:rsid w:val="00002590"/>
    <w:rsid w:val="00002B7B"/>
    <w:rsid w:val="000035AF"/>
    <w:rsid w:val="00025198"/>
    <w:rsid w:val="00045B83"/>
    <w:rsid w:val="0005483A"/>
    <w:rsid w:val="000578A3"/>
    <w:rsid w:val="000648CC"/>
    <w:rsid w:val="000663C3"/>
    <w:rsid w:val="00091B96"/>
    <w:rsid w:val="000A5F6E"/>
    <w:rsid w:val="000C59B8"/>
    <w:rsid w:val="000C6AF0"/>
    <w:rsid w:val="000E3C15"/>
    <w:rsid w:val="000E6B4C"/>
    <w:rsid w:val="001000C1"/>
    <w:rsid w:val="00104F33"/>
    <w:rsid w:val="00111DE2"/>
    <w:rsid w:val="00116B38"/>
    <w:rsid w:val="001208D7"/>
    <w:rsid w:val="0012411C"/>
    <w:rsid w:val="001267B9"/>
    <w:rsid w:val="00135406"/>
    <w:rsid w:val="00135972"/>
    <w:rsid w:val="001426A9"/>
    <w:rsid w:val="00154D7C"/>
    <w:rsid w:val="00156F30"/>
    <w:rsid w:val="001570B0"/>
    <w:rsid w:val="0015752C"/>
    <w:rsid w:val="00157737"/>
    <w:rsid w:val="00165277"/>
    <w:rsid w:val="00170592"/>
    <w:rsid w:val="00182E01"/>
    <w:rsid w:val="0018609E"/>
    <w:rsid w:val="00186351"/>
    <w:rsid w:val="00195D83"/>
    <w:rsid w:val="001A00C1"/>
    <w:rsid w:val="001B33E0"/>
    <w:rsid w:val="001B4573"/>
    <w:rsid w:val="001C23C0"/>
    <w:rsid w:val="001C779F"/>
    <w:rsid w:val="001D2AC1"/>
    <w:rsid w:val="001D4802"/>
    <w:rsid w:val="001D4E88"/>
    <w:rsid w:val="00204DF0"/>
    <w:rsid w:val="0021239D"/>
    <w:rsid w:val="00220FC2"/>
    <w:rsid w:val="002222F4"/>
    <w:rsid w:val="00224FC0"/>
    <w:rsid w:val="00225EA4"/>
    <w:rsid w:val="00226EAF"/>
    <w:rsid w:val="00231F3A"/>
    <w:rsid w:val="00234199"/>
    <w:rsid w:val="002406EE"/>
    <w:rsid w:val="00243EC8"/>
    <w:rsid w:val="00245279"/>
    <w:rsid w:val="002542E8"/>
    <w:rsid w:val="0026195C"/>
    <w:rsid w:val="00266738"/>
    <w:rsid w:val="00270D93"/>
    <w:rsid w:val="002745CC"/>
    <w:rsid w:val="002B7924"/>
    <w:rsid w:val="002D2032"/>
    <w:rsid w:val="002D28C3"/>
    <w:rsid w:val="002D39A4"/>
    <w:rsid w:val="002D7423"/>
    <w:rsid w:val="002E6705"/>
    <w:rsid w:val="00301D08"/>
    <w:rsid w:val="0030329A"/>
    <w:rsid w:val="0031086F"/>
    <w:rsid w:val="00310B1D"/>
    <w:rsid w:val="003120C5"/>
    <w:rsid w:val="0031414C"/>
    <w:rsid w:val="00314E01"/>
    <w:rsid w:val="003207F9"/>
    <w:rsid w:val="0032089D"/>
    <w:rsid w:val="00330B90"/>
    <w:rsid w:val="003310DE"/>
    <w:rsid w:val="003323B0"/>
    <w:rsid w:val="0033486C"/>
    <w:rsid w:val="00336B07"/>
    <w:rsid w:val="00340F25"/>
    <w:rsid w:val="003505BE"/>
    <w:rsid w:val="0035169A"/>
    <w:rsid w:val="0035259D"/>
    <w:rsid w:val="003540A6"/>
    <w:rsid w:val="00354EDA"/>
    <w:rsid w:val="00364B18"/>
    <w:rsid w:val="003861E4"/>
    <w:rsid w:val="00395856"/>
    <w:rsid w:val="003A125D"/>
    <w:rsid w:val="003A4C70"/>
    <w:rsid w:val="003B215F"/>
    <w:rsid w:val="003C799C"/>
    <w:rsid w:val="003D0399"/>
    <w:rsid w:val="003E1C71"/>
    <w:rsid w:val="003E69CC"/>
    <w:rsid w:val="003F327B"/>
    <w:rsid w:val="00406166"/>
    <w:rsid w:val="0040704B"/>
    <w:rsid w:val="00410A55"/>
    <w:rsid w:val="00411300"/>
    <w:rsid w:val="00415417"/>
    <w:rsid w:val="00426659"/>
    <w:rsid w:val="00445C54"/>
    <w:rsid w:val="00450352"/>
    <w:rsid w:val="0045468B"/>
    <w:rsid w:val="00454BDB"/>
    <w:rsid w:val="00464800"/>
    <w:rsid w:val="00465132"/>
    <w:rsid w:val="00472D14"/>
    <w:rsid w:val="004751F0"/>
    <w:rsid w:val="004757FE"/>
    <w:rsid w:val="00480C90"/>
    <w:rsid w:val="004824B2"/>
    <w:rsid w:val="0048396F"/>
    <w:rsid w:val="00493C18"/>
    <w:rsid w:val="004A600C"/>
    <w:rsid w:val="004A6118"/>
    <w:rsid w:val="004A6644"/>
    <w:rsid w:val="004B7569"/>
    <w:rsid w:val="004C478D"/>
    <w:rsid w:val="004D0E9A"/>
    <w:rsid w:val="004D5907"/>
    <w:rsid w:val="004E2C26"/>
    <w:rsid w:val="004E64C1"/>
    <w:rsid w:val="004F36FF"/>
    <w:rsid w:val="00503757"/>
    <w:rsid w:val="00506F9A"/>
    <w:rsid w:val="0051062D"/>
    <w:rsid w:val="005125A8"/>
    <w:rsid w:val="005155B9"/>
    <w:rsid w:val="00517A84"/>
    <w:rsid w:val="00521AE8"/>
    <w:rsid w:val="005258EC"/>
    <w:rsid w:val="00527180"/>
    <w:rsid w:val="00535073"/>
    <w:rsid w:val="0054201E"/>
    <w:rsid w:val="00555291"/>
    <w:rsid w:val="00566AD1"/>
    <w:rsid w:val="00582C4B"/>
    <w:rsid w:val="00583EDE"/>
    <w:rsid w:val="00587612"/>
    <w:rsid w:val="005A6079"/>
    <w:rsid w:val="005C1080"/>
    <w:rsid w:val="005D50E9"/>
    <w:rsid w:val="005E07FD"/>
    <w:rsid w:val="005E4698"/>
    <w:rsid w:val="005E776D"/>
    <w:rsid w:val="00601F97"/>
    <w:rsid w:val="006076E2"/>
    <w:rsid w:val="00610539"/>
    <w:rsid w:val="00613969"/>
    <w:rsid w:val="00625C35"/>
    <w:rsid w:val="00631ACE"/>
    <w:rsid w:val="00651621"/>
    <w:rsid w:val="00656313"/>
    <w:rsid w:val="006565F4"/>
    <w:rsid w:val="00670A1F"/>
    <w:rsid w:val="00670B1F"/>
    <w:rsid w:val="00681716"/>
    <w:rsid w:val="00682B3A"/>
    <w:rsid w:val="00684EEA"/>
    <w:rsid w:val="00692A84"/>
    <w:rsid w:val="0069689B"/>
    <w:rsid w:val="006A1551"/>
    <w:rsid w:val="006B42FC"/>
    <w:rsid w:val="006B5FF5"/>
    <w:rsid w:val="006E772B"/>
    <w:rsid w:val="006F30AF"/>
    <w:rsid w:val="006F4DD7"/>
    <w:rsid w:val="006F7CC0"/>
    <w:rsid w:val="00701759"/>
    <w:rsid w:val="00705C15"/>
    <w:rsid w:val="0071087D"/>
    <w:rsid w:val="0071369F"/>
    <w:rsid w:val="0071600E"/>
    <w:rsid w:val="007208D1"/>
    <w:rsid w:val="00731822"/>
    <w:rsid w:val="00741271"/>
    <w:rsid w:val="00747288"/>
    <w:rsid w:val="00747DD3"/>
    <w:rsid w:val="007549C8"/>
    <w:rsid w:val="00754A0B"/>
    <w:rsid w:val="00766D14"/>
    <w:rsid w:val="00767A0F"/>
    <w:rsid w:val="00790A32"/>
    <w:rsid w:val="007A0514"/>
    <w:rsid w:val="007A05F6"/>
    <w:rsid w:val="007A1C58"/>
    <w:rsid w:val="007A4B50"/>
    <w:rsid w:val="007B6F4A"/>
    <w:rsid w:val="007E1C47"/>
    <w:rsid w:val="007E337A"/>
    <w:rsid w:val="007E5C70"/>
    <w:rsid w:val="007F2EB1"/>
    <w:rsid w:val="007F2FF5"/>
    <w:rsid w:val="007F3F08"/>
    <w:rsid w:val="007F720E"/>
    <w:rsid w:val="00804CC6"/>
    <w:rsid w:val="008063B3"/>
    <w:rsid w:val="00817190"/>
    <w:rsid w:val="00820EE5"/>
    <w:rsid w:val="008260E2"/>
    <w:rsid w:val="008322BD"/>
    <w:rsid w:val="00833E0A"/>
    <w:rsid w:val="00834F73"/>
    <w:rsid w:val="00846D04"/>
    <w:rsid w:val="00850084"/>
    <w:rsid w:val="00855616"/>
    <w:rsid w:val="00864CF8"/>
    <w:rsid w:val="00872819"/>
    <w:rsid w:val="00873637"/>
    <w:rsid w:val="00874914"/>
    <w:rsid w:val="00890DBB"/>
    <w:rsid w:val="00891122"/>
    <w:rsid w:val="00891422"/>
    <w:rsid w:val="00892E1A"/>
    <w:rsid w:val="008A3F29"/>
    <w:rsid w:val="008B660A"/>
    <w:rsid w:val="008C01DA"/>
    <w:rsid w:val="008D7334"/>
    <w:rsid w:val="008E2765"/>
    <w:rsid w:val="008E75F5"/>
    <w:rsid w:val="008F78E9"/>
    <w:rsid w:val="00904D69"/>
    <w:rsid w:val="00905FE6"/>
    <w:rsid w:val="00911989"/>
    <w:rsid w:val="00912A84"/>
    <w:rsid w:val="009153A7"/>
    <w:rsid w:val="009179F9"/>
    <w:rsid w:val="00933E5E"/>
    <w:rsid w:val="00935218"/>
    <w:rsid w:val="009403F3"/>
    <w:rsid w:val="0094336D"/>
    <w:rsid w:val="00953AC6"/>
    <w:rsid w:val="00953DBF"/>
    <w:rsid w:val="009555B7"/>
    <w:rsid w:val="009567AA"/>
    <w:rsid w:val="00967374"/>
    <w:rsid w:val="00976A13"/>
    <w:rsid w:val="009A343A"/>
    <w:rsid w:val="009B2F23"/>
    <w:rsid w:val="009B57B3"/>
    <w:rsid w:val="009C5B92"/>
    <w:rsid w:val="009D1DBB"/>
    <w:rsid w:val="009D2920"/>
    <w:rsid w:val="009D5AEB"/>
    <w:rsid w:val="009E1182"/>
    <w:rsid w:val="009E19BA"/>
    <w:rsid w:val="009F0E33"/>
    <w:rsid w:val="009F1072"/>
    <w:rsid w:val="009F1F71"/>
    <w:rsid w:val="009F64EE"/>
    <w:rsid w:val="00A030CE"/>
    <w:rsid w:val="00A05856"/>
    <w:rsid w:val="00A149DF"/>
    <w:rsid w:val="00A1755C"/>
    <w:rsid w:val="00A205DC"/>
    <w:rsid w:val="00A21B90"/>
    <w:rsid w:val="00A41805"/>
    <w:rsid w:val="00A42DCD"/>
    <w:rsid w:val="00A4495B"/>
    <w:rsid w:val="00A52AFB"/>
    <w:rsid w:val="00A52C6C"/>
    <w:rsid w:val="00A548CB"/>
    <w:rsid w:val="00A5521C"/>
    <w:rsid w:val="00A61EE4"/>
    <w:rsid w:val="00A643E7"/>
    <w:rsid w:val="00A73C38"/>
    <w:rsid w:val="00A87181"/>
    <w:rsid w:val="00AA6EDE"/>
    <w:rsid w:val="00AB670D"/>
    <w:rsid w:val="00AC3BB3"/>
    <w:rsid w:val="00AE7843"/>
    <w:rsid w:val="00AF03C5"/>
    <w:rsid w:val="00B000D8"/>
    <w:rsid w:val="00B00F75"/>
    <w:rsid w:val="00B03B00"/>
    <w:rsid w:val="00B145B6"/>
    <w:rsid w:val="00B171D1"/>
    <w:rsid w:val="00B21A67"/>
    <w:rsid w:val="00B279EB"/>
    <w:rsid w:val="00B345E3"/>
    <w:rsid w:val="00B36907"/>
    <w:rsid w:val="00B50C81"/>
    <w:rsid w:val="00B526A8"/>
    <w:rsid w:val="00B557F8"/>
    <w:rsid w:val="00B657BA"/>
    <w:rsid w:val="00B65E6F"/>
    <w:rsid w:val="00B801C4"/>
    <w:rsid w:val="00B815FC"/>
    <w:rsid w:val="00B93489"/>
    <w:rsid w:val="00B93FBC"/>
    <w:rsid w:val="00BA7DA0"/>
    <w:rsid w:val="00BB2EE4"/>
    <w:rsid w:val="00BC2108"/>
    <w:rsid w:val="00BC4E93"/>
    <w:rsid w:val="00BC73A9"/>
    <w:rsid w:val="00BD0E9E"/>
    <w:rsid w:val="00BD1BEC"/>
    <w:rsid w:val="00BD2523"/>
    <w:rsid w:val="00BD32FF"/>
    <w:rsid w:val="00BD3575"/>
    <w:rsid w:val="00BD763C"/>
    <w:rsid w:val="00BD7B9B"/>
    <w:rsid w:val="00BE1558"/>
    <w:rsid w:val="00C02092"/>
    <w:rsid w:val="00C0728A"/>
    <w:rsid w:val="00C24D91"/>
    <w:rsid w:val="00C2577D"/>
    <w:rsid w:val="00C33D09"/>
    <w:rsid w:val="00C53F14"/>
    <w:rsid w:val="00C55BF3"/>
    <w:rsid w:val="00C600CF"/>
    <w:rsid w:val="00C6084F"/>
    <w:rsid w:val="00C62A66"/>
    <w:rsid w:val="00C64E98"/>
    <w:rsid w:val="00C71458"/>
    <w:rsid w:val="00C77613"/>
    <w:rsid w:val="00C81A27"/>
    <w:rsid w:val="00C828E7"/>
    <w:rsid w:val="00C86719"/>
    <w:rsid w:val="00C921DD"/>
    <w:rsid w:val="00C92796"/>
    <w:rsid w:val="00C96574"/>
    <w:rsid w:val="00CA6391"/>
    <w:rsid w:val="00CB246A"/>
    <w:rsid w:val="00CC34BD"/>
    <w:rsid w:val="00CE161A"/>
    <w:rsid w:val="00CE3171"/>
    <w:rsid w:val="00CF1601"/>
    <w:rsid w:val="00CF38EA"/>
    <w:rsid w:val="00D01120"/>
    <w:rsid w:val="00D0172F"/>
    <w:rsid w:val="00D026D3"/>
    <w:rsid w:val="00D05F95"/>
    <w:rsid w:val="00D068A7"/>
    <w:rsid w:val="00D17476"/>
    <w:rsid w:val="00D32086"/>
    <w:rsid w:val="00D37A3F"/>
    <w:rsid w:val="00D417EF"/>
    <w:rsid w:val="00D41D8D"/>
    <w:rsid w:val="00D4431D"/>
    <w:rsid w:val="00D4667A"/>
    <w:rsid w:val="00D63A1C"/>
    <w:rsid w:val="00D7516F"/>
    <w:rsid w:val="00D8579F"/>
    <w:rsid w:val="00D95F8E"/>
    <w:rsid w:val="00DA0590"/>
    <w:rsid w:val="00DA3639"/>
    <w:rsid w:val="00DB2DD1"/>
    <w:rsid w:val="00DB5523"/>
    <w:rsid w:val="00DB7BEA"/>
    <w:rsid w:val="00DC1739"/>
    <w:rsid w:val="00DC1788"/>
    <w:rsid w:val="00DC3DAC"/>
    <w:rsid w:val="00DE319C"/>
    <w:rsid w:val="00DF0CA8"/>
    <w:rsid w:val="00DF2B48"/>
    <w:rsid w:val="00DF49A7"/>
    <w:rsid w:val="00E07EE2"/>
    <w:rsid w:val="00E07FD1"/>
    <w:rsid w:val="00E177CF"/>
    <w:rsid w:val="00E24573"/>
    <w:rsid w:val="00E24978"/>
    <w:rsid w:val="00E25E1E"/>
    <w:rsid w:val="00E267BC"/>
    <w:rsid w:val="00E27EE7"/>
    <w:rsid w:val="00E35404"/>
    <w:rsid w:val="00E45109"/>
    <w:rsid w:val="00E4785F"/>
    <w:rsid w:val="00E47B7A"/>
    <w:rsid w:val="00E56A44"/>
    <w:rsid w:val="00E60269"/>
    <w:rsid w:val="00E77932"/>
    <w:rsid w:val="00E97830"/>
    <w:rsid w:val="00EA22AD"/>
    <w:rsid w:val="00ED2967"/>
    <w:rsid w:val="00ED51D7"/>
    <w:rsid w:val="00EE2A98"/>
    <w:rsid w:val="00EE643C"/>
    <w:rsid w:val="00EF0683"/>
    <w:rsid w:val="00EF5717"/>
    <w:rsid w:val="00EF69D2"/>
    <w:rsid w:val="00EF766E"/>
    <w:rsid w:val="00F0070C"/>
    <w:rsid w:val="00F00EB7"/>
    <w:rsid w:val="00F16DC6"/>
    <w:rsid w:val="00F36AB6"/>
    <w:rsid w:val="00F37918"/>
    <w:rsid w:val="00F37A09"/>
    <w:rsid w:val="00F37D85"/>
    <w:rsid w:val="00F409CE"/>
    <w:rsid w:val="00F4379D"/>
    <w:rsid w:val="00F50D2D"/>
    <w:rsid w:val="00F56C8B"/>
    <w:rsid w:val="00F63B49"/>
    <w:rsid w:val="00F659CF"/>
    <w:rsid w:val="00F66810"/>
    <w:rsid w:val="00F72DA6"/>
    <w:rsid w:val="00F846D9"/>
    <w:rsid w:val="00F84DF4"/>
    <w:rsid w:val="00F85C97"/>
    <w:rsid w:val="00F90DE4"/>
    <w:rsid w:val="00FB37D2"/>
    <w:rsid w:val="00FB3FF9"/>
    <w:rsid w:val="00FC4EFB"/>
    <w:rsid w:val="00FD02F5"/>
    <w:rsid w:val="00FD068D"/>
    <w:rsid w:val="00FD4F28"/>
    <w:rsid w:val="00FE0CD1"/>
    <w:rsid w:val="00FE4BEB"/>
    <w:rsid w:val="00FE6784"/>
    <w:rsid w:val="00FF0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67B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E267B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267B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267B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267B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267B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267B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002590"/>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E267B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E267B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267B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267B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267B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267B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267B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E267BC"/>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E267BC"/>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E267BC"/>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E267B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E267BC"/>
    <w:rPr>
      <w:b/>
      <w:sz w:val="24"/>
    </w:rPr>
  </w:style>
  <w:style w:type="table" w:styleId="TableGrid">
    <w:name w:val="Table Grid"/>
    <w:basedOn w:val="TableNormal"/>
    <w:uiPriority w:val="59"/>
    <w:rsid w:val="00E267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E267B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267B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267BC"/>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E267BC"/>
    <w:pPr>
      <w:tabs>
        <w:tab w:val="left" w:pos="360"/>
      </w:tabs>
      <w:spacing w:before="480" w:after="480"/>
      <w:ind w:left="360" w:hanging="360"/>
      <w:jc w:val="both"/>
    </w:pPr>
    <w:rPr>
      <w:rFonts w:eastAsiaTheme="minorHAnsi" w:cstheme="minorBidi"/>
      <w:sz w:val="24"/>
      <w:szCs w:val="22"/>
      <w:lang w:eastAsia="en-US"/>
    </w:rPr>
  </w:style>
  <w:style w:type="paragraph" w:styleId="ListParagraph">
    <w:name w:val="List Paragraph"/>
    <w:basedOn w:val="Normal"/>
    <w:uiPriority w:val="34"/>
    <w:qFormat/>
    <w:rsid w:val="00E267BC"/>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E267BC"/>
    <w:rPr>
      <w:sz w:val="16"/>
      <w:szCs w:val="16"/>
    </w:rPr>
  </w:style>
  <w:style w:type="paragraph" w:styleId="CommentText">
    <w:name w:val="annotation text"/>
    <w:basedOn w:val="Normal"/>
    <w:link w:val="CommentTextChar"/>
    <w:uiPriority w:val="99"/>
    <w:semiHidden/>
    <w:unhideWhenUsed/>
    <w:rsid w:val="00E267B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E267B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E267BC"/>
    <w:rPr>
      <w:b/>
      <w:bCs/>
    </w:rPr>
  </w:style>
  <w:style w:type="character" w:customStyle="1" w:styleId="CommentSubjectChar">
    <w:name w:val="Comment Subject Char"/>
    <w:basedOn w:val="CommentTextChar"/>
    <w:link w:val="CommentSubject"/>
    <w:uiPriority w:val="99"/>
    <w:semiHidden/>
    <w:rsid w:val="00E267BC"/>
    <w:rPr>
      <w:b/>
      <w:bCs/>
    </w:rPr>
  </w:style>
  <w:style w:type="paragraph" w:customStyle="1" w:styleId="HeadingTitre-AltH">
    <w:name w:val="Heading / Titre - Alt H"/>
    <w:next w:val="Normal"/>
    <w:uiPriority w:val="3"/>
    <w:rsid w:val="00E267BC"/>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E267BC"/>
    <w:rPr>
      <w:smallCaps/>
      <w:sz w:val="24"/>
    </w:rPr>
  </w:style>
  <w:style w:type="paragraph" w:styleId="NoSpacing">
    <w:name w:val="No Spacing"/>
    <w:uiPriority w:val="1"/>
    <w:qFormat/>
    <w:rsid w:val="00E267BC"/>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E267B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E267B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qFormat/>
    <w:rsid w:val="00E267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267B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qFormat/>
    <w:rsid w:val="00E267B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267BC"/>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qFormat/>
    <w:rsid w:val="00E267BC"/>
    <w:rPr>
      <w:i/>
      <w:iCs/>
    </w:rPr>
  </w:style>
  <w:style w:type="paragraph" w:styleId="Quote">
    <w:name w:val="Quote"/>
    <w:basedOn w:val="Normal"/>
    <w:next w:val="Normal"/>
    <w:link w:val="QuoteChar"/>
    <w:uiPriority w:val="29"/>
    <w:qFormat/>
    <w:rsid w:val="00E267BC"/>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E267BC"/>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qFormat/>
    <w:rsid w:val="00E267B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267B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qFormat/>
    <w:rsid w:val="00E267BC"/>
    <w:rPr>
      <w:i/>
      <w:iCs/>
      <w:color w:val="808080" w:themeColor="text1" w:themeTint="7F"/>
    </w:rPr>
  </w:style>
  <w:style w:type="character" w:styleId="IntenseEmphasis">
    <w:name w:val="Intense Emphasis"/>
    <w:basedOn w:val="DefaultParagraphFont"/>
    <w:uiPriority w:val="21"/>
    <w:qFormat/>
    <w:rsid w:val="00E267BC"/>
    <w:rPr>
      <w:b/>
      <w:bCs/>
      <w:i/>
      <w:iCs/>
      <w:color w:val="4F81BD" w:themeColor="accent1"/>
    </w:rPr>
  </w:style>
  <w:style w:type="character" w:styleId="SubtleReference">
    <w:name w:val="Subtle Reference"/>
    <w:basedOn w:val="DefaultParagraphFont"/>
    <w:uiPriority w:val="31"/>
    <w:qFormat/>
    <w:rsid w:val="00E267BC"/>
    <w:rPr>
      <w:smallCaps/>
      <w:color w:val="C0504D" w:themeColor="accent2"/>
      <w:u w:val="single"/>
    </w:rPr>
  </w:style>
  <w:style w:type="character" w:styleId="IntenseReference">
    <w:name w:val="Intense Reference"/>
    <w:basedOn w:val="DefaultParagraphFont"/>
    <w:uiPriority w:val="32"/>
    <w:qFormat/>
    <w:rsid w:val="00E267BC"/>
    <w:rPr>
      <w:b/>
      <w:bCs/>
      <w:smallCaps/>
      <w:color w:val="C0504D" w:themeColor="accent2"/>
      <w:spacing w:val="5"/>
      <w:u w:val="single"/>
    </w:rPr>
  </w:style>
  <w:style w:type="character" w:styleId="BookTitle">
    <w:name w:val="Book Title"/>
    <w:basedOn w:val="DefaultParagraphFont"/>
    <w:uiPriority w:val="33"/>
    <w:qFormat/>
    <w:rsid w:val="00E267BC"/>
    <w:rPr>
      <w:b/>
      <w:bCs/>
      <w:smallCaps/>
      <w:spacing w:val="5"/>
    </w:rPr>
  </w:style>
  <w:style w:type="paragraph" w:styleId="Revision">
    <w:name w:val="Revision"/>
    <w:hidden/>
    <w:uiPriority w:val="99"/>
    <w:semiHidden/>
    <w:rsid w:val="00E267BC"/>
    <w:rPr>
      <w:rFonts w:eastAsiaTheme="minorHAnsi" w:cstheme="minorBidi"/>
      <w:sz w:val="24"/>
      <w:szCs w:val="22"/>
      <w:lang w:val="en-US" w:eastAsia="en-US" w:bidi="en-US"/>
    </w:rPr>
  </w:style>
  <w:style w:type="character" w:styleId="Hyperlink">
    <w:name w:val="Hyperlink"/>
    <w:basedOn w:val="DefaultParagraphFont"/>
    <w:uiPriority w:val="99"/>
    <w:unhideWhenUsed/>
    <w:rsid w:val="00E267BC"/>
    <w:rPr>
      <w:color w:val="0000FF" w:themeColor="hyperlink"/>
      <w:u w:val="single"/>
    </w:rPr>
  </w:style>
  <w:style w:type="paragraph" w:styleId="FootnoteText">
    <w:name w:val="footnote text"/>
    <w:basedOn w:val="Normal"/>
    <w:link w:val="FootnoteTextChar"/>
    <w:uiPriority w:val="99"/>
    <w:unhideWhenUsed/>
    <w:rsid w:val="00E267BC"/>
    <w:pPr>
      <w:jc w:val="both"/>
    </w:pPr>
    <w:rPr>
      <w:rFonts w:asciiTheme="minorHAnsi" w:eastAsiaTheme="minorEastAsia" w:hAnsiTheme="minorHAnsi" w:cstheme="minorBidi"/>
      <w:sz w:val="20"/>
      <w:lang w:val="fr-CA" w:eastAsia="en-US" w:bidi="en-US"/>
    </w:rPr>
  </w:style>
  <w:style w:type="character" w:customStyle="1" w:styleId="FootnoteTextChar">
    <w:name w:val="Footnote Text Char"/>
    <w:basedOn w:val="DefaultParagraphFont"/>
    <w:link w:val="FootnoteText"/>
    <w:uiPriority w:val="99"/>
    <w:rsid w:val="00E267BC"/>
    <w:rPr>
      <w:rFonts w:asciiTheme="minorHAnsi" w:eastAsiaTheme="minorEastAsia" w:hAnsiTheme="minorHAnsi" w:cstheme="minorBidi"/>
      <w:lang w:val="fr-CA" w:eastAsia="en-US" w:bidi="en-US"/>
    </w:rPr>
  </w:style>
  <w:style w:type="character" w:styleId="FootnoteReference">
    <w:name w:val="footnote reference"/>
    <w:basedOn w:val="DefaultParagraphFont"/>
    <w:uiPriority w:val="99"/>
    <w:semiHidden/>
    <w:unhideWhenUsed/>
    <w:rsid w:val="00E267BC"/>
    <w:rPr>
      <w:vertAlign w:val="superscript"/>
    </w:rPr>
  </w:style>
  <w:style w:type="character" w:customStyle="1" w:styleId="term01">
    <w:name w:val="term01"/>
    <w:basedOn w:val="DefaultParagraphFont"/>
    <w:rsid w:val="00E267BC"/>
    <w:rPr>
      <w:shd w:val="clear" w:color="auto" w:fill="B4D3FF"/>
    </w:rPr>
  </w:style>
  <w:style w:type="character" w:customStyle="1" w:styleId="term31">
    <w:name w:val="term31"/>
    <w:basedOn w:val="DefaultParagraphFont"/>
    <w:rsid w:val="00E267BC"/>
    <w:rPr>
      <w:shd w:val="clear" w:color="auto" w:fill="B4FFE7"/>
    </w:rPr>
  </w:style>
  <w:style w:type="paragraph" w:styleId="NormalWeb">
    <w:name w:val="Normal (Web)"/>
    <w:basedOn w:val="Normal"/>
    <w:uiPriority w:val="99"/>
    <w:semiHidden/>
    <w:unhideWhenUsed/>
    <w:rsid w:val="00E267BC"/>
    <w:pPr>
      <w:spacing w:after="288"/>
    </w:pPr>
    <w:rPr>
      <w:szCs w:val="24"/>
    </w:rPr>
  </w:style>
  <w:style w:type="table" w:customStyle="1" w:styleId="TableGrid1">
    <w:name w:val="Table Grid1"/>
    <w:basedOn w:val="TableNormal"/>
    <w:next w:val="TableGrid"/>
    <w:uiPriority w:val="59"/>
    <w:rsid w:val="00953AC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16398</Words>
  <Characters>84708</Characters>
  <Application>Microsoft Office Word</Application>
  <DocSecurity>0</DocSecurity>
  <Lines>705</Lines>
  <Paragraphs>201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2012-12-14T17:54:00Z</dcterms:created>
  <dcterms:modified xsi:type="dcterms:W3CDTF">2013-07-26T14:43:00Z</dcterms:modified>
</cp:coreProperties>
</file>