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89" w:rsidRPr="002E082B" w:rsidRDefault="003C3289" w:rsidP="003C3289">
      <w:pPr>
        <w:tabs>
          <w:tab w:val="center" w:pos="4680"/>
          <w:tab w:val="right" w:pos="9360"/>
        </w:tabs>
        <w:jc w:val="center"/>
        <w:rPr>
          <w:rFonts w:eastAsiaTheme="minorHAnsi" w:cstheme="minorBidi"/>
          <w:szCs w:val="24"/>
          <w:lang w:eastAsia="en-US"/>
        </w:rPr>
      </w:pPr>
      <w:r w:rsidRPr="002E082B">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36341536" r:id="rId9"/>
        </w:object>
      </w:r>
    </w:p>
    <w:p w:rsidR="003C3289" w:rsidRPr="002E082B" w:rsidRDefault="003C3289" w:rsidP="003C3289">
      <w:pPr>
        <w:tabs>
          <w:tab w:val="center" w:pos="4680"/>
          <w:tab w:val="right" w:pos="9360"/>
        </w:tabs>
        <w:rPr>
          <w:rFonts w:eastAsiaTheme="minorHAnsi" w:cstheme="minorBidi"/>
          <w:szCs w:val="24"/>
          <w:lang w:eastAsia="en-US"/>
        </w:rPr>
      </w:pPr>
    </w:p>
    <w:p w:rsidR="003C3289" w:rsidRPr="002E082B" w:rsidRDefault="003C3289" w:rsidP="003C3289">
      <w:pPr>
        <w:jc w:val="center"/>
        <w:rPr>
          <w:rFonts w:eastAsiaTheme="minorHAnsi" w:cstheme="minorBidi"/>
          <w:b/>
          <w:szCs w:val="24"/>
          <w:lang w:eastAsia="en-US"/>
        </w:rPr>
      </w:pPr>
      <w:r w:rsidRPr="002E082B">
        <w:rPr>
          <w:rFonts w:eastAsiaTheme="minorHAnsi" w:cstheme="minorBidi"/>
          <w:b/>
          <w:szCs w:val="24"/>
          <w:lang w:eastAsia="en-US"/>
        </w:rPr>
        <w:t>SUPREME COURT OF CANADA</w:t>
      </w:r>
    </w:p>
    <w:p w:rsidR="003C3289" w:rsidRPr="002E082B" w:rsidRDefault="003C3289" w:rsidP="003C328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C3289" w:rsidRPr="002E082B" w:rsidTr="00E567EE">
        <w:trPr>
          <w:cantSplit/>
        </w:trPr>
        <w:tc>
          <w:tcPr>
            <w:tcW w:w="6768" w:type="dxa"/>
          </w:tcPr>
          <w:p w:rsidR="003C3289" w:rsidRPr="002E082B" w:rsidRDefault="003C3289" w:rsidP="00E567EE">
            <w:pPr>
              <w:rPr>
                <w:lang w:val="fr-CA"/>
              </w:rPr>
            </w:pPr>
            <w:r w:rsidRPr="002E082B">
              <w:rPr>
                <w:b/>
                <w:smallCaps/>
                <w:lang w:val="fr-CA"/>
              </w:rPr>
              <w:t>Citation:</w:t>
            </w:r>
            <w:r w:rsidRPr="002E082B">
              <w:rPr>
                <w:lang w:val="fr-CA"/>
              </w:rPr>
              <w:t xml:space="preserve"> R. </w:t>
            </w:r>
            <w:r w:rsidRPr="002E082B">
              <w:rPr>
                <w:i/>
                <w:lang w:val="fr-CA"/>
              </w:rPr>
              <w:t>v.</w:t>
            </w:r>
            <w:r w:rsidRPr="002E082B">
              <w:rPr>
                <w:lang w:val="fr-CA"/>
              </w:rPr>
              <w:t xml:space="preserve"> </w:t>
            </w:r>
            <w:proofErr w:type="spellStart"/>
            <w:r w:rsidRPr="002E082B">
              <w:rPr>
                <w:lang w:val="fr-CA"/>
              </w:rPr>
              <w:t>Emms</w:t>
            </w:r>
            <w:proofErr w:type="spellEnd"/>
            <w:r w:rsidRPr="002E082B">
              <w:rPr>
                <w:lang w:val="fr-CA"/>
              </w:rPr>
              <w:t xml:space="preserve">, </w:t>
            </w:r>
            <w:r w:rsidRPr="003C3289">
              <w:rPr>
                <w:lang w:val="fr-CA"/>
              </w:rPr>
              <w:t>2012 SCC 74, [2012] 3 S.C.R. 810</w:t>
            </w:r>
          </w:p>
        </w:tc>
        <w:tc>
          <w:tcPr>
            <w:tcW w:w="2808" w:type="dxa"/>
          </w:tcPr>
          <w:p w:rsidR="003C3289" w:rsidRPr="002E082B" w:rsidRDefault="003C3289" w:rsidP="00E567EE">
            <w:r w:rsidRPr="002E082B">
              <w:rPr>
                <w:b/>
                <w:smallCaps/>
              </w:rPr>
              <w:t>Date:</w:t>
            </w:r>
            <w:r w:rsidRPr="002E082B">
              <w:t xml:space="preserve"> 20121221</w:t>
            </w:r>
          </w:p>
          <w:p w:rsidR="003C3289" w:rsidRPr="002E082B" w:rsidRDefault="003C3289" w:rsidP="00E567EE">
            <w:r w:rsidRPr="002E082B">
              <w:rPr>
                <w:b/>
                <w:smallCaps/>
              </w:rPr>
              <w:t>Docket:</w:t>
            </w:r>
            <w:r w:rsidRPr="002E082B">
              <w:t xml:space="preserve"> 34087</w:t>
            </w:r>
          </w:p>
        </w:tc>
      </w:tr>
    </w:tbl>
    <w:p w:rsidR="003C3289" w:rsidRPr="002E082B" w:rsidRDefault="003C3289" w:rsidP="003C3289">
      <w:pPr>
        <w:rPr>
          <w:rFonts w:eastAsiaTheme="minorHAnsi" w:cstheme="minorBidi"/>
          <w:szCs w:val="24"/>
          <w:lang w:eastAsia="en-US"/>
        </w:rPr>
      </w:pPr>
    </w:p>
    <w:p w:rsidR="003C3289" w:rsidRPr="002E082B" w:rsidRDefault="003C3289" w:rsidP="003C3289">
      <w:pPr>
        <w:rPr>
          <w:rFonts w:eastAsiaTheme="minorHAnsi" w:cstheme="minorBidi"/>
          <w:b/>
          <w:smallCaps/>
          <w:szCs w:val="24"/>
          <w:lang w:eastAsia="en-US"/>
        </w:rPr>
      </w:pPr>
      <w:r w:rsidRPr="002E082B">
        <w:rPr>
          <w:rFonts w:eastAsiaTheme="minorHAnsi" w:cstheme="minorBidi"/>
          <w:b/>
          <w:smallCaps/>
          <w:szCs w:val="24"/>
          <w:lang w:eastAsia="en-US"/>
        </w:rPr>
        <w:t>Between:</w:t>
      </w:r>
    </w:p>
    <w:p w:rsidR="003C3289" w:rsidRPr="002E082B" w:rsidRDefault="003C3289" w:rsidP="003C3289">
      <w:pPr>
        <w:jc w:val="center"/>
        <w:rPr>
          <w:rFonts w:eastAsiaTheme="minorHAnsi" w:cstheme="minorBidi"/>
          <w:b/>
          <w:szCs w:val="24"/>
          <w:lang w:eastAsia="en-US"/>
        </w:rPr>
      </w:pPr>
      <w:r w:rsidRPr="002E082B">
        <w:rPr>
          <w:rFonts w:eastAsiaTheme="minorHAnsi" w:cstheme="minorBidi"/>
          <w:b/>
          <w:szCs w:val="24"/>
          <w:lang w:eastAsia="en-US"/>
        </w:rPr>
        <w:t xml:space="preserve">James Peter </w:t>
      </w:r>
      <w:proofErr w:type="spellStart"/>
      <w:r w:rsidRPr="002E082B">
        <w:rPr>
          <w:rFonts w:eastAsiaTheme="minorHAnsi" w:cstheme="minorBidi"/>
          <w:b/>
          <w:szCs w:val="24"/>
          <w:lang w:eastAsia="en-US"/>
        </w:rPr>
        <w:t>Emms</w:t>
      </w:r>
      <w:proofErr w:type="spellEnd"/>
    </w:p>
    <w:p w:rsidR="003C3289" w:rsidRPr="002E082B" w:rsidRDefault="003C3289" w:rsidP="003C3289">
      <w:pPr>
        <w:jc w:val="center"/>
        <w:rPr>
          <w:rFonts w:eastAsiaTheme="minorHAnsi" w:cstheme="minorBidi"/>
          <w:szCs w:val="24"/>
          <w:lang w:eastAsia="en-US"/>
        </w:rPr>
      </w:pPr>
      <w:r w:rsidRPr="002E082B">
        <w:rPr>
          <w:rFonts w:eastAsiaTheme="minorHAnsi" w:cstheme="minorBidi"/>
          <w:szCs w:val="24"/>
          <w:lang w:eastAsia="en-US"/>
        </w:rPr>
        <w:t>Appellant</w:t>
      </w:r>
    </w:p>
    <w:p w:rsidR="003C3289" w:rsidRPr="002E082B" w:rsidRDefault="003C3289" w:rsidP="003C3289">
      <w:pPr>
        <w:jc w:val="center"/>
        <w:rPr>
          <w:rFonts w:eastAsiaTheme="minorHAnsi" w:cstheme="minorBidi"/>
          <w:szCs w:val="24"/>
          <w:lang w:eastAsia="en-US"/>
        </w:rPr>
      </w:pPr>
      <w:proofErr w:type="gramStart"/>
      <w:r w:rsidRPr="002E082B">
        <w:rPr>
          <w:rFonts w:eastAsiaTheme="minorHAnsi" w:cstheme="minorBidi"/>
          <w:szCs w:val="24"/>
          <w:lang w:eastAsia="en-US"/>
        </w:rPr>
        <w:t>and</w:t>
      </w:r>
      <w:proofErr w:type="gramEnd"/>
    </w:p>
    <w:p w:rsidR="003C3289" w:rsidRPr="002E082B" w:rsidRDefault="003C3289" w:rsidP="003C3289">
      <w:pPr>
        <w:jc w:val="center"/>
        <w:rPr>
          <w:rFonts w:eastAsiaTheme="minorHAnsi" w:cstheme="minorBidi"/>
          <w:b/>
          <w:szCs w:val="24"/>
          <w:lang w:eastAsia="en-US"/>
        </w:rPr>
      </w:pPr>
      <w:r w:rsidRPr="002E082B">
        <w:rPr>
          <w:rFonts w:eastAsiaTheme="minorHAnsi" w:cstheme="minorBidi"/>
          <w:b/>
          <w:szCs w:val="24"/>
          <w:lang w:eastAsia="en-US"/>
        </w:rPr>
        <w:t>Her Majesty the Queen</w:t>
      </w:r>
    </w:p>
    <w:p w:rsidR="003C3289" w:rsidRPr="002E082B" w:rsidRDefault="003C3289" w:rsidP="003C3289">
      <w:pPr>
        <w:jc w:val="center"/>
        <w:rPr>
          <w:rFonts w:eastAsiaTheme="minorHAnsi" w:cstheme="minorBidi"/>
          <w:szCs w:val="24"/>
          <w:lang w:eastAsia="en-US"/>
        </w:rPr>
      </w:pPr>
      <w:r w:rsidRPr="002E082B">
        <w:rPr>
          <w:rFonts w:eastAsiaTheme="minorHAnsi" w:cstheme="minorBidi"/>
          <w:szCs w:val="24"/>
          <w:lang w:eastAsia="en-US"/>
        </w:rPr>
        <w:t>Respondent</w:t>
      </w:r>
    </w:p>
    <w:p w:rsidR="003C3289" w:rsidRPr="002E082B" w:rsidRDefault="003C3289" w:rsidP="003C3289">
      <w:pPr>
        <w:jc w:val="center"/>
        <w:rPr>
          <w:rFonts w:eastAsiaTheme="minorHAnsi" w:cstheme="minorBidi"/>
          <w:szCs w:val="24"/>
          <w:lang w:eastAsia="en-US"/>
        </w:rPr>
      </w:pPr>
      <w:r w:rsidRPr="002E082B">
        <w:rPr>
          <w:rFonts w:eastAsiaTheme="minorHAnsi" w:cstheme="minorBidi"/>
          <w:szCs w:val="24"/>
          <w:lang w:eastAsia="en-US"/>
        </w:rPr>
        <w:t xml:space="preserve">- </w:t>
      </w:r>
      <w:proofErr w:type="gramStart"/>
      <w:r w:rsidRPr="002E082B">
        <w:rPr>
          <w:rFonts w:eastAsiaTheme="minorHAnsi" w:cstheme="minorBidi"/>
          <w:szCs w:val="24"/>
          <w:lang w:eastAsia="en-US"/>
        </w:rPr>
        <w:t>and</w:t>
      </w:r>
      <w:proofErr w:type="gramEnd"/>
      <w:r w:rsidRPr="002E082B">
        <w:rPr>
          <w:rFonts w:eastAsiaTheme="minorHAnsi" w:cstheme="minorBidi"/>
          <w:szCs w:val="24"/>
          <w:lang w:eastAsia="en-US"/>
        </w:rPr>
        <w:t xml:space="preserve"> -</w:t>
      </w:r>
    </w:p>
    <w:p w:rsidR="003C3289" w:rsidRPr="002E082B" w:rsidRDefault="003C3289" w:rsidP="003C3289">
      <w:pPr>
        <w:jc w:val="center"/>
        <w:rPr>
          <w:rFonts w:eastAsiaTheme="minorHAnsi" w:cstheme="minorBidi"/>
          <w:b/>
          <w:szCs w:val="24"/>
          <w:lang w:eastAsia="en-US"/>
        </w:rPr>
      </w:pPr>
      <w:r w:rsidRPr="002E082B">
        <w:rPr>
          <w:rFonts w:eastAsiaTheme="minorHAnsi" w:cstheme="minorBidi"/>
          <w:b/>
          <w:szCs w:val="24"/>
          <w:lang w:eastAsia="en-US"/>
        </w:rPr>
        <w:t xml:space="preserve">Canadian Civil Liberties Association, British Columbia Civil Liberties </w:t>
      </w:r>
    </w:p>
    <w:p w:rsidR="003C3289" w:rsidRPr="002E082B" w:rsidRDefault="003C3289" w:rsidP="003C3289">
      <w:pPr>
        <w:jc w:val="center"/>
        <w:rPr>
          <w:rFonts w:eastAsiaTheme="minorHAnsi" w:cstheme="minorBidi"/>
          <w:b/>
          <w:szCs w:val="24"/>
          <w:lang w:eastAsia="en-US"/>
        </w:rPr>
      </w:pPr>
      <w:r w:rsidRPr="002E082B">
        <w:rPr>
          <w:rFonts w:eastAsiaTheme="minorHAnsi" w:cstheme="minorBidi"/>
          <w:b/>
          <w:szCs w:val="24"/>
          <w:lang w:eastAsia="en-US"/>
        </w:rPr>
        <w:t xml:space="preserve">Association, Ontario Crown Attorneys’ Association, Information and </w:t>
      </w:r>
    </w:p>
    <w:p w:rsidR="003C3289" w:rsidRPr="002E082B" w:rsidRDefault="003C3289" w:rsidP="003C3289">
      <w:pPr>
        <w:jc w:val="center"/>
        <w:rPr>
          <w:rFonts w:eastAsiaTheme="minorHAnsi" w:cstheme="minorBidi"/>
          <w:b/>
          <w:szCs w:val="24"/>
          <w:lang w:eastAsia="en-US"/>
        </w:rPr>
      </w:pPr>
      <w:r w:rsidRPr="002E082B">
        <w:rPr>
          <w:rFonts w:eastAsiaTheme="minorHAnsi" w:cstheme="minorBidi"/>
          <w:b/>
          <w:szCs w:val="24"/>
          <w:lang w:eastAsia="en-US"/>
        </w:rPr>
        <w:t xml:space="preserve">Privacy Commissioner of Ontario, David </w:t>
      </w:r>
      <w:proofErr w:type="spellStart"/>
      <w:r w:rsidRPr="002E082B">
        <w:rPr>
          <w:rFonts w:eastAsiaTheme="minorHAnsi" w:cstheme="minorBidi"/>
          <w:b/>
          <w:szCs w:val="24"/>
          <w:lang w:eastAsia="en-US"/>
        </w:rPr>
        <w:t>Asper</w:t>
      </w:r>
      <w:proofErr w:type="spellEnd"/>
      <w:r w:rsidRPr="002E082B">
        <w:rPr>
          <w:rFonts w:eastAsiaTheme="minorHAnsi" w:cstheme="minorBidi"/>
          <w:b/>
          <w:szCs w:val="24"/>
          <w:lang w:eastAsia="en-US"/>
        </w:rPr>
        <w:t xml:space="preserve"> Centre for Constitutional </w:t>
      </w:r>
    </w:p>
    <w:p w:rsidR="003C3289" w:rsidRPr="002E082B" w:rsidRDefault="003C3289" w:rsidP="003C3289">
      <w:pPr>
        <w:jc w:val="center"/>
        <w:rPr>
          <w:rFonts w:eastAsiaTheme="minorHAnsi" w:cstheme="minorBidi"/>
          <w:b/>
          <w:szCs w:val="24"/>
          <w:lang w:eastAsia="en-US"/>
        </w:rPr>
      </w:pPr>
      <w:r w:rsidRPr="002E082B">
        <w:rPr>
          <w:rFonts w:eastAsiaTheme="minorHAnsi" w:cstheme="minorBidi"/>
          <w:b/>
          <w:szCs w:val="24"/>
          <w:lang w:eastAsia="en-US"/>
        </w:rPr>
        <w:t>Rights and Criminal Lawyers’ Association</w:t>
      </w:r>
    </w:p>
    <w:p w:rsidR="003C3289" w:rsidRPr="002E082B" w:rsidRDefault="003C3289" w:rsidP="003C3289">
      <w:pPr>
        <w:jc w:val="center"/>
        <w:rPr>
          <w:rFonts w:eastAsiaTheme="minorHAnsi" w:cstheme="minorBidi"/>
          <w:szCs w:val="24"/>
          <w:lang w:eastAsia="en-US"/>
        </w:rPr>
      </w:pPr>
      <w:r w:rsidRPr="002E082B">
        <w:rPr>
          <w:rFonts w:eastAsiaTheme="minorHAnsi" w:cstheme="minorBidi"/>
          <w:szCs w:val="24"/>
          <w:lang w:eastAsia="en-US"/>
        </w:rPr>
        <w:t>Interveners</w:t>
      </w:r>
      <w:r w:rsidRPr="002E082B">
        <w:rPr>
          <w:rFonts w:eastAsiaTheme="minorHAnsi" w:cstheme="minorBidi"/>
          <w:szCs w:val="24"/>
          <w:lang w:eastAsia="en-US"/>
        </w:rPr>
        <w:br/>
      </w:r>
    </w:p>
    <w:p w:rsidR="003C3289" w:rsidRPr="002E082B" w:rsidRDefault="003C3289" w:rsidP="003C3289">
      <w:pPr>
        <w:rPr>
          <w:rFonts w:eastAsiaTheme="minorHAnsi" w:cstheme="minorBidi"/>
          <w:szCs w:val="24"/>
          <w:lang w:eastAsia="en-US"/>
        </w:rPr>
      </w:pPr>
      <w:r w:rsidRPr="002E082B">
        <w:rPr>
          <w:rFonts w:eastAsiaTheme="minorHAnsi" w:cstheme="minorBidi"/>
          <w:b/>
          <w:smallCaps/>
          <w:szCs w:val="24"/>
          <w:lang w:eastAsia="en-US"/>
        </w:rPr>
        <w:t>Coram:</w:t>
      </w:r>
      <w:r w:rsidRPr="002E082B">
        <w:rPr>
          <w:rFonts w:eastAsiaTheme="minorHAnsi" w:cstheme="minorBidi"/>
          <w:szCs w:val="24"/>
          <w:lang w:eastAsia="en-US"/>
        </w:rPr>
        <w:t xml:space="preserve"> </w:t>
      </w:r>
      <w:proofErr w:type="spellStart"/>
      <w:r w:rsidRPr="002E082B">
        <w:rPr>
          <w:rFonts w:eastAsiaTheme="minorHAnsi" w:cstheme="minorBidi"/>
          <w:szCs w:val="24"/>
          <w:lang w:eastAsia="en-US"/>
        </w:rPr>
        <w:t>McLachlin</w:t>
      </w:r>
      <w:proofErr w:type="spellEnd"/>
      <w:r w:rsidRPr="002E082B">
        <w:rPr>
          <w:rFonts w:eastAsiaTheme="minorHAnsi" w:cstheme="minorBidi"/>
          <w:szCs w:val="24"/>
          <w:lang w:eastAsia="en-US"/>
        </w:rPr>
        <w:t xml:space="preserve"> C.J. and </w:t>
      </w:r>
      <w:proofErr w:type="spellStart"/>
      <w:r w:rsidRPr="002E082B">
        <w:rPr>
          <w:rFonts w:eastAsiaTheme="minorHAnsi" w:cstheme="minorBidi"/>
          <w:szCs w:val="24"/>
          <w:lang w:eastAsia="en-US"/>
        </w:rPr>
        <w:t>LeBel</w:t>
      </w:r>
      <w:proofErr w:type="spellEnd"/>
      <w:r w:rsidRPr="002E082B">
        <w:rPr>
          <w:rFonts w:eastAsiaTheme="minorHAnsi" w:cstheme="minorBidi"/>
          <w:szCs w:val="24"/>
          <w:lang w:eastAsia="en-US"/>
        </w:rPr>
        <w:t xml:space="preserve">, </w:t>
      </w:r>
      <w:proofErr w:type="spellStart"/>
      <w:r w:rsidRPr="002E082B">
        <w:rPr>
          <w:rFonts w:eastAsiaTheme="minorHAnsi" w:cstheme="minorBidi"/>
          <w:szCs w:val="24"/>
          <w:lang w:eastAsia="en-US"/>
        </w:rPr>
        <w:t>Deschamps</w:t>
      </w:r>
      <w:proofErr w:type="spellEnd"/>
      <w:r w:rsidRPr="002E082B">
        <w:rPr>
          <w:rFonts w:eastAsiaTheme="minorHAnsi" w:cstheme="minorBidi"/>
          <w:szCs w:val="24"/>
          <w:lang w:eastAsia="en-US"/>
        </w:rPr>
        <w:t xml:space="preserve">, Fish, </w:t>
      </w:r>
      <w:proofErr w:type="spellStart"/>
      <w:r w:rsidRPr="002E082B">
        <w:rPr>
          <w:rFonts w:eastAsiaTheme="minorHAnsi" w:cstheme="minorBidi"/>
          <w:szCs w:val="24"/>
          <w:lang w:eastAsia="en-US"/>
        </w:rPr>
        <w:t>Abella</w:t>
      </w:r>
      <w:proofErr w:type="spellEnd"/>
      <w:r w:rsidRPr="002E082B">
        <w:rPr>
          <w:rFonts w:eastAsiaTheme="minorHAnsi" w:cstheme="minorBidi"/>
          <w:szCs w:val="24"/>
          <w:lang w:eastAsia="en-US"/>
        </w:rPr>
        <w:t xml:space="preserve">, Rothstein, Cromwell, </w:t>
      </w:r>
      <w:proofErr w:type="spellStart"/>
      <w:r w:rsidRPr="002E082B">
        <w:rPr>
          <w:rFonts w:eastAsiaTheme="minorHAnsi" w:cstheme="minorBidi"/>
          <w:szCs w:val="24"/>
          <w:lang w:eastAsia="en-US"/>
        </w:rPr>
        <w:t>Moldaver</w:t>
      </w:r>
      <w:proofErr w:type="spellEnd"/>
      <w:r w:rsidRPr="002E082B">
        <w:rPr>
          <w:rFonts w:eastAsiaTheme="minorHAnsi" w:cstheme="minorBidi"/>
          <w:szCs w:val="24"/>
          <w:lang w:eastAsia="en-US"/>
        </w:rPr>
        <w:t xml:space="preserve"> and </w:t>
      </w:r>
      <w:proofErr w:type="spellStart"/>
      <w:r w:rsidRPr="002E082B">
        <w:rPr>
          <w:rFonts w:eastAsiaTheme="minorHAnsi" w:cstheme="minorBidi"/>
          <w:szCs w:val="24"/>
          <w:lang w:eastAsia="en-US"/>
        </w:rPr>
        <w:t>Karakatsanis</w:t>
      </w:r>
      <w:proofErr w:type="spellEnd"/>
      <w:r w:rsidRPr="002E082B">
        <w:rPr>
          <w:rFonts w:eastAsiaTheme="minorHAnsi" w:cstheme="minorBidi"/>
          <w:szCs w:val="24"/>
          <w:lang w:eastAsia="en-US"/>
        </w:rPr>
        <w:t> JJ.</w:t>
      </w:r>
    </w:p>
    <w:p w:rsidR="003C3289" w:rsidRPr="002E082B" w:rsidRDefault="003C3289" w:rsidP="003C328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C3289" w:rsidRPr="002E082B" w:rsidTr="00E567EE">
        <w:trPr>
          <w:cantSplit/>
        </w:trPr>
        <w:tc>
          <w:tcPr>
            <w:tcW w:w="3618" w:type="dxa"/>
          </w:tcPr>
          <w:p w:rsidR="003C3289" w:rsidRPr="002E082B" w:rsidRDefault="003C3289" w:rsidP="00E567EE">
            <w:pPr>
              <w:rPr>
                <w:b/>
                <w:smallCaps/>
              </w:rPr>
            </w:pPr>
            <w:r w:rsidRPr="002E082B">
              <w:rPr>
                <w:b/>
                <w:smallCaps/>
              </w:rPr>
              <w:t>Reasons for Judgment:</w:t>
            </w:r>
          </w:p>
          <w:p w:rsidR="003C3289" w:rsidRPr="002E082B" w:rsidRDefault="003C3289" w:rsidP="00E567EE">
            <w:r w:rsidRPr="002E082B">
              <w:t>(</w:t>
            </w:r>
            <w:proofErr w:type="spellStart"/>
            <w:r w:rsidRPr="002E082B">
              <w:t>paras</w:t>
            </w:r>
            <w:proofErr w:type="spellEnd"/>
            <w:r w:rsidRPr="002E082B">
              <w:t>. 1 to 51)</w:t>
            </w:r>
          </w:p>
        </w:tc>
        <w:tc>
          <w:tcPr>
            <w:tcW w:w="5958" w:type="dxa"/>
          </w:tcPr>
          <w:p w:rsidR="003C3289" w:rsidRPr="002E082B" w:rsidRDefault="003C3289" w:rsidP="00E567EE">
            <w:proofErr w:type="spellStart"/>
            <w:r w:rsidRPr="002E082B">
              <w:t>Moldaver</w:t>
            </w:r>
            <w:proofErr w:type="spellEnd"/>
            <w:r w:rsidRPr="002E082B">
              <w:t xml:space="preserve"> J. (</w:t>
            </w:r>
            <w:proofErr w:type="spellStart"/>
            <w:r w:rsidRPr="002E082B">
              <w:t>McLachlin</w:t>
            </w:r>
            <w:proofErr w:type="spellEnd"/>
            <w:r w:rsidRPr="002E082B">
              <w:t xml:space="preserve"> C.J. and </w:t>
            </w:r>
            <w:proofErr w:type="spellStart"/>
            <w:r w:rsidRPr="002E082B">
              <w:t>LeBel</w:t>
            </w:r>
            <w:proofErr w:type="spellEnd"/>
            <w:r w:rsidRPr="002E082B">
              <w:t xml:space="preserve">, </w:t>
            </w:r>
            <w:proofErr w:type="spellStart"/>
            <w:r w:rsidRPr="002E082B">
              <w:t>Deschamps</w:t>
            </w:r>
            <w:proofErr w:type="spellEnd"/>
            <w:r w:rsidRPr="002E082B">
              <w:t xml:space="preserve">, Fish, </w:t>
            </w:r>
            <w:proofErr w:type="spellStart"/>
            <w:r w:rsidRPr="002E082B">
              <w:t>Abella</w:t>
            </w:r>
            <w:proofErr w:type="spellEnd"/>
            <w:r w:rsidRPr="002E082B">
              <w:t xml:space="preserve">, Rothstein, Cromwell and </w:t>
            </w:r>
            <w:proofErr w:type="spellStart"/>
            <w:r w:rsidRPr="002E082B">
              <w:t>Karakatsanis</w:t>
            </w:r>
            <w:proofErr w:type="spellEnd"/>
            <w:r w:rsidRPr="002E082B">
              <w:t xml:space="preserve"> JJ. concurring)</w:t>
            </w:r>
          </w:p>
        </w:tc>
      </w:tr>
    </w:tbl>
    <w:p w:rsidR="003C3289" w:rsidRPr="002E082B" w:rsidRDefault="003C3289" w:rsidP="003C3289">
      <w:pPr>
        <w:rPr>
          <w:rFonts w:eastAsiaTheme="minorHAnsi" w:cstheme="minorBidi"/>
          <w:szCs w:val="24"/>
          <w:lang w:eastAsia="en-US"/>
        </w:rPr>
      </w:pPr>
    </w:p>
    <w:p w:rsidR="003C3289" w:rsidRPr="002E082B" w:rsidRDefault="003C3289" w:rsidP="003C3289">
      <w:pPr>
        <w:rPr>
          <w:rFonts w:eastAsiaTheme="minorHAnsi" w:cstheme="minorBidi"/>
          <w:szCs w:val="24"/>
          <w:lang w:eastAsia="en-US"/>
        </w:rPr>
      </w:pPr>
    </w:p>
    <w:p w:rsidR="003C3289" w:rsidRPr="002E082B" w:rsidRDefault="003C3289" w:rsidP="003C3289">
      <w:pPr>
        <w:rPr>
          <w:rFonts w:eastAsiaTheme="minorHAnsi" w:cstheme="minorBidi"/>
          <w:szCs w:val="24"/>
          <w:lang w:eastAsia="en-US"/>
        </w:rPr>
      </w:pPr>
      <w:r w:rsidRPr="0040707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C3289" w:rsidRPr="002E082B" w:rsidRDefault="003C3289" w:rsidP="003C3289">
      <w:pPr>
        <w:rPr>
          <w:smallCaps/>
        </w:rPr>
      </w:pPr>
      <w:r w:rsidRPr="002E082B">
        <w:rPr>
          <w:smallCaps/>
        </w:rPr>
        <w:br w:type="page"/>
      </w:r>
    </w:p>
    <w:p w:rsidR="0062201B" w:rsidRPr="003C3289" w:rsidRDefault="0062201B" w:rsidP="0062201B">
      <w:pPr>
        <w:spacing w:after="720"/>
        <w:jc w:val="both"/>
        <w:rPr>
          <w:lang w:val="fr-CA"/>
        </w:rPr>
      </w:pPr>
      <w:r w:rsidRPr="003C3289">
        <w:rPr>
          <w:lang w:val="fr-CA"/>
        </w:rPr>
        <w:lastRenderedPageBreak/>
        <w:t xml:space="preserve">R. </w:t>
      </w:r>
      <w:r w:rsidRPr="003C3289">
        <w:rPr>
          <w:i/>
          <w:lang w:val="fr-CA"/>
        </w:rPr>
        <w:t>v.</w:t>
      </w:r>
      <w:r w:rsidRPr="003C3289">
        <w:rPr>
          <w:lang w:val="fr-CA"/>
        </w:rPr>
        <w:t xml:space="preserve"> </w:t>
      </w:r>
      <w:proofErr w:type="spellStart"/>
      <w:r w:rsidRPr="003C3289">
        <w:rPr>
          <w:lang w:val="fr-CA"/>
        </w:rPr>
        <w:t>Emms</w:t>
      </w:r>
      <w:proofErr w:type="spellEnd"/>
      <w:r w:rsidRPr="003C3289">
        <w:rPr>
          <w:lang w:val="fr-CA"/>
        </w:rPr>
        <w:t>, 2012 SCC 74, [2012] 3 S.C.R. 810</w:t>
      </w:r>
    </w:p>
    <w:p w:rsidR="003B7FB6" w:rsidRPr="001A7187" w:rsidRDefault="008208DA" w:rsidP="0066740C">
      <w:pPr>
        <w:pStyle w:val="SCCLsocLastPartyInRole"/>
        <w:rPr>
          <w:lang w:val="fr-CA"/>
        </w:rPr>
      </w:pPr>
      <w:r w:rsidRPr="001A7187">
        <w:rPr>
          <w:lang w:val="fr-CA"/>
        </w:rPr>
        <w:t xml:space="preserve">James Peter </w:t>
      </w:r>
      <w:proofErr w:type="spellStart"/>
      <w:r w:rsidRPr="001A7187">
        <w:rPr>
          <w:lang w:val="fr-CA"/>
        </w:rPr>
        <w:t>Emms</w:t>
      </w:r>
      <w:proofErr w:type="spellEnd"/>
      <w:r w:rsidRPr="001A7187">
        <w:rPr>
          <w:rStyle w:val="SCCLsocPartyRole"/>
          <w:lang w:val="fr-CA"/>
        </w:rPr>
        <w:tab/>
      </w:r>
      <w:proofErr w:type="spellStart"/>
      <w:r w:rsidRPr="001A7187">
        <w:rPr>
          <w:rStyle w:val="SCCLsocPartyRole"/>
          <w:lang w:val="fr-CA"/>
        </w:rPr>
        <w:t>Appellant</w:t>
      </w:r>
      <w:proofErr w:type="spellEnd"/>
    </w:p>
    <w:p w:rsidR="003B7FB6" w:rsidRPr="003C3289" w:rsidRDefault="008208DA" w:rsidP="0066740C">
      <w:pPr>
        <w:pStyle w:val="SCCLsocVersus"/>
        <w:rPr>
          <w:lang w:val="fr-CA"/>
        </w:rPr>
      </w:pPr>
      <w:r w:rsidRPr="003C3289">
        <w:rPr>
          <w:lang w:val="fr-CA"/>
        </w:rPr>
        <w:t>v.</w:t>
      </w:r>
    </w:p>
    <w:p w:rsidR="003B7FB6" w:rsidRPr="001A7187" w:rsidRDefault="00252767" w:rsidP="0066740C">
      <w:pPr>
        <w:pStyle w:val="SCCLsocLastPartyInRole"/>
      </w:pPr>
      <w:r w:rsidRPr="001A7187">
        <w:t xml:space="preserve">Her Majesty </w:t>
      </w:r>
      <w:proofErr w:type="gramStart"/>
      <w:r w:rsidRPr="001A7187">
        <w:t>T</w:t>
      </w:r>
      <w:r w:rsidR="008208DA" w:rsidRPr="001A7187">
        <w:t>he</w:t>
      </w:r>
      <w:proofErr w:type="gramEnd"/>
      <w:r w:rsidR="008208DA" w:rsidRPr="001A7187">
        <w:t xml:space="preserve"> Queen</w:t>
      </w:r>
      <w:r w:rsidR="008208DA" w:rsidRPr="001A7187">
        <w:rPr>
          <w:rStyle w:val="SCCLsocPartyRole"/>
        </w:rPr>
        <w:tab/>
        <w:t>Respondent</w:t>
      </w:r>
    </w:p>
    <w:p w:rsidR="003B7FB6" w:rsidRPr="001A7187" w:rsidRDefault="008208DA" w:rsidP="0066740C">
      <w:pPr>
        <w:pStyle w:val="SCCLsocOtherPartySeparator"/>
      </w:pPr>
      <w:r w:rsidRPr="001A7187">
        <w:t>and</w:t>
      </w:r>
    </w:p>
    <w:p w:rsidR="00AA06FF" w:rsidRPr="001A7187" w:rsidRDefault="008208DA">
      <w:pPr>
        <w:pStyle w:val="SCCLsocParty"/>
      </w:pPr>
      <w:r w:rsidRPr="001A7187">
        <w:t>Canadian Civil Liberties Association,</w:t>
      </w:r>
      <w:r w:rsidR="00AA06FF" w:rsidRPr="001A7187">
        <w:t xml:space="preserve"> </w:t>
      </w:r>
      <w:r w:rsidRPr="001A7187">
        <w:t xml:space="preserve">British Columbia </w:t>
      </w:r>
    </w:p>
    <w:p w:rsidR="00AA06FF" w:rsidRPr="001A7187" w:rsidRDefault="008208DA">
      <w:pPr>
        <w:pStyle w:val="SCCLsocParty"/>
      </w:pPr>
      <w:r w:rsidRPr="001A7187">
        <w:t>Civil Liberties Association,</w:t>
      </w:r>
      <w:r w:rsidR="00AA06FF" w:rsidRPr="001A7187">
        <w:t xml:space="preserve"> </w:t>
      </w:r>
      <w:r w:rsidR="00816239" w:rsidRPr="001A7187">
        <w:t>Ontario Crown Attorneys’</w:t>
      </w:r>
      <w:r w:rsidRPr="001A7187">
        <w:t xml:space="preserve"> </w:t>
      </w:r>
    </w:p>
    <w:p w:rsidR="00AA06FF" w:rsidRPr="001A7187" w:rsidRDefault="008208DA">
      <w:pPr>
        <w:pStyle w:val="SCCLsocParty"/>
      </w:pPr>
      <w:r w:rsidRPr="001A7187">
        <w:t>Association,</w:t>
      </w:r>
      <w:r w:rsidR="00AA06FF" w:rsidRPr="001A7187">
        <w:t xml:space="preserve"> </w:t>
      </w:r>
      <w:r w:rsidRPr="001A7187">
        <w:t xml:space="preserve">Information and Privacy Commissioner </w:t>
      </w:r>
    </w:p>
    <w:p w:rsidR="00AA06FF" w:rsidRPr="001A7187" w:rsidRDefault="008208DA">
      <w:pPr>
        <w:pStyle w:val="SCCLsocParty"/>
      </w:pPr>
      <w:r w:rsidRPr="001A7187">
        <w:t>of Ontario,</w:t>
      </w:r>
      <w:r w:rsidR="00AA06FF" w:rsidRPr="001A7187">
        <w:t xml:space="preserve"> </w:t>
      </w:r>
      <w:r w:rsidRPr="001A7187">
        <w:t>David Asper C</w:t>
      </w:r>
      <w:r w:rsidR="00AE3CFA" w:rsidRPr="001A7187">
        <w:t xml:space="preserve">entre for Constitutional </w:t>
      </w:r>
    </w:p>
    <w:p w:rsidR="003B7FB6" w:rsidRPr="001A7187" w:rsidRDefault="00AE3CFA" w:rsidP="0066740C">
      <w:pPr>
        <w:pStyle w:val="SCCLsocParty"/>
        <w:spacing w:after="720"/>
        <w:rPr>
          <w:rStyle w:val="SCCLsocPartyRole"/>
        </w:rPr>
      </w:pPr>
      <w:r w:rsidRPr="001A7187">
        <w:t>Rights</w:t>
      </w:r>
      <w:r w:rsidR="00AA06FF" w:rsidRPr="001A7187">
        <w:t xml:space="preserve"> </w:t>
      </w:r>
      <w:r w:rsidRPr="001A7187">
        <w:t xml:space="preserve">and </w:t>
      </w:r>
      <w:r w:rsidR="00816239" w:rsidRPr="001A7187">
        <w:t>Criminal Lawyers’</w:t>
      </w:r>
      <w:r w:rsidR="008208DA" w:rsidRPr="001A7187">
        <w:t xml:space="preserve"> Association</w:t>
      </w:r>
      <w:r w:rsidR="008208DA" w:rsidRPr="001A7187">
        <w:rPr>
          <w:rStyle w:val="SCCLsocPartyRole"/>
        </w:rPr>
        <w:tab/>
        <w:t>Interveners</w:t>
      </w:r>
    </w:p>
    <w:p w:rsidR="00426659" w:rsidRPr="001A7187" w:rsidRDefault="00426659" w:rsidP="0066740C">
      <w:pPr>
        <w:spacing w:after="720"/>
        <w:jc w:val="both"/>
        <w:rPr>
          <w:b/>
        </w:rPr>
      </w:pPr>
      <w:r w:rsidRPr="001A7187">
        <w:rPr>
          <w:b/>
        </w:rPr>
        <w:t xml:space="preserve">Indexed as:  </w:t>
      </w:r>
      <w:r w:rsidR="008B1BFD" w:rsidRPr="001A7187">
        <w:rPr>
          <w:b/>
        </w:rPr>
        <w:t xml:space="preserve">R. </w:t>
      </w:r>
      <w:r w:rsidR="008B1BFD" w:rsidRPr="001A7187">
        <w:rPr>
          <w:b/>
          <w:i/>
        </w:rPr>
        <w:t>v.</w:t>
      </w:r>
      <w:r w:rsidR="008B1BFD" w:rsidRPr="001A7187">
        <w:rPr>
          <w:b/>
        </w:rPr>
        <w:t xml:space="preserve"> Emms</w:t>
      </w:r>
    </w:p>
    <w:p w:rsidR="00426659" w:rsidRPr="001A7187" w:rsidRDefault="004F36FF" w:rsidP="0066740C">
      <w:pPr>
        <w:pStyle w:val="SCCSystemYear"/>
        <w:spacing w:after="720"/>
        <w:jc w:val="both"/>
      </w:pPr>
      <w:r w:rsidRPr="001A7187">
        <w:t>2012</w:t>
      </w:r>
      <w:r w:rsidR="003D0399" w:rsidRPr="001A7187">
        <w:t xml:space="preserve"> </w:t>
      </w:r>
      <w:r w:rsidR="00141C92" w:rsidRPr="001A7187">
        <w:t>SCC 74</w:t>
      </w:r>
    </w:p>
    <w:p w:rsidR="008322BD" w:rsidRPr="001A7187" w:rsidRDefault="009B57B3" w:rsidP="0066740C">
      <w:pPr>
        <w:spacing w:after="720"/>
        <w:jc w:val="both"/>
      </w:pPr>
      <w:r w:rsidRPr="001A7187">
        <w:t>File No.:  34087.</w:t>
      </w:r>
    </w:p>
    <w:p w:rsidR="008322BD" w:rsidRPr="001A7187" w:rsidRDefault="0066740C" w:rsidP="0066740C">
      <w:pPr>
        <w:spacing w:after="720"/>
        <w:jc w:val="both"/>
      </w:pPr>
      <w:r w:rsidRPr="001A7187">
        <w:t>2012:  March </w:t>
      </w:r>
      <w:r w:rsidR="00E32587" w:rsidRPr="001A7187">
        <w:t xml:space="preserve">14 and </w:t>
      </w:r>
      <w:r w:rsidR="004F36FF" w:rsidRPr="001A7187">
        <w:t>15</w:t>
      </w:r>
      <w:r w:rsidR="009B57B3" w:rsidRPr="001A7187">
        <w:t xml:space="preserve">; </w:t>
      </w:r>
      <w:r w:rsidRPr="001A7187">
        <w:t>2012:  December </w:t>
      </w:r>
      <w:r w:rsidR="00141C92" w:rsidRPr="001A7187">
        <w:t>21</w:t>
      </w:r>
      <w:r w:rsidR="009B57B3" w:rsidRPr="001A7187">
        <w:t>.</w:t>
      </w:r>
    </w:p>
    <w:p w:rsidR="008322BD" w:rsidRPr="001A7187" w:rsidRDefault="009B57B3" w:rsidP="0066740C">
      <w:pPr>
        <w:spacing w:after="720"/>
        <w:jc w:val="both"/>
      </w:pPr>
      <w:r w:rsidRPr="001A7187">
        <w:t>Present:  McLachlin C.J. and LeBel, Deschamps, Fish, Abella, Rothstein, Cromwell, Moldaver and Karakatsanis JJ.</w:t>
      </w:r>
    </w:p>
    <w:p w:rsidR="008322BD" w:rsidRPr="001A7187" w:rsidRDefault="00656313" w:rsidP="0066740C">
      <w:pPr>
        <w:pStyle w:val="SCCLowerCourtNameLowercase"/>
        <w:spacing w:after="720" w:line="240" w:lineRule="auto"/>
      </w:pPr>
      <w:r w:rsidRPr="001A7187">
        <w:t>o</w:t>
      </w:r>
      <w:r w:rsidR="00170592" w:rsidRPr="001A7187">
        <w:t>n</w:t>
      </w:r>
      <w:r w:rsidR="00224FC0" w:rsidRPr="001A7187">
        <w:t xml:space="preserve"> </w:t>
      </w:r>
      <w:r w:rsidRPr="001A7187">
        <w:t>a</w:t>
      </w:r>
      <w:r w:rsidR="00170592" w:rsidRPr="001A7187">
        <w:t>ppeal</w:t>
      </w:r>
      <w:r w:rsidR="00224FC0" w:rsidRPr="001A7187">
        <w:t xml:space="preserve"> </w:t>
      </w:r>
      <w:r w:rsidR="00170592" w:rsidRPr="001A7187">
        <w:t>from</w:t>
      </w:r>
      <w:r w:rsidR="009567AA" w:rsidRPr="001A7187">
        <w:t xml:space="preserve"> the</w:t>
      </w:r>
      <w:r w:rsidR="00224FC0" w:rsidRPr="001A7187">
        <w:t xml:space="preserve"> </w:t>
      </w:r>
      <w:r w:rsidR="009B57B3" w:rsidRPr="001A7187">
        <w:t>court of appeal for ontario</w:t>
      </w:r>
    </w:p>
    <w:p w:rsidR="00A8273F" w:rsidRPr="001A7187" w:rsidRDefault="009B57B3" w:rsidP="00A8273F">
      <w:pPr>
        <w:pStyle w:val="SCCNormalDoubleSpacing"/>
        <w:spacing w:after="480"/>
        <w:rPr>
          <w:i/>
        </w:rPr>
      </w:pPr>
      <w:r w:rsidRPr="001A7187">
        <w:lastRenderedPageBreak/>
        <w:tab/>
      </w:r>
      <w:r w:rsidR="00A8273F" w:rsidRPr="001A7187">
        <w:rPr>
          <w:i/>
        </w:rPr>
        <w:t xml:space="preserve">Criminal law </w:t>
      </w:r>
      <w:r w:rsidR="0066740C" w:rsidRPr="001A7187">
        <w:rPr>
          <w:i/>
        </w:rPr>
        <w:t>—</w:t>
      </w:r>
      <w:r w:rsidR="00A8273F" w:rsidRPr="001A7187">
        <w:rPr>
          <w:i/>
        </w:rPr>
        <w:t xml:space="preserve"> Jurors </w:t>
      </w:r>
      <w:r w:rsidR="0066740C" w:rsidRPr="001A7187">
        <w:rPr>
          <w:i/>
        </w:rPr>
        <w:t>—</w:t>
      </w:r>
      <w:r w:rsidR="00A8273F" w:rsidRPr="001A7187">
        <w:rPr>
          <w:i/>
        </w:rPr>
        <w:t xml:space="preserve"> Selection </w:t>
      </w:r>
      <w:r w:rsidR="0066740C" w:rsidRPr="001A7187">
        <w:rPr>
          <w:i/>
        </w:rPr>
        <w:t>—</w:t>
      </w:r>
      <w:r w:rsidR="006A4741" w:rsidRPr="001A7187">
        <w:rPr>
          <w:i/>
        </w:rPr>
        <w:t xml:space="preserve"> Appellant</w:t>
      </w:r>
      <w:r w:rsidR="00A8273F" w:rsidRPr="001A7187">
        <w:rPr>
          <w:i/>
        </w:rPr>
        <w:t xml:space="preserve"> convicted of fraud </w:t>
      </w:r>
      <w:r w:rsidR="0066740C" w:rsidRPr="001A7187">
        <w:rPr>
          <w:i/>
        </w:rPr>
        <w:t>—</w:t>
      </w:r>
      <w:r w:rsidR="00A8273F" w:rsidRPr="001A7187">
        <w:rPr>
          <w:i/>
        </w:rPr>
        <w:t xml:space="preserve"> Prior to jury selection, Crown requesting that police conduct criminal record checks of prospective jurors and also provide comments on whether any prospective jurors were “disreputable persons” </w:t>
      </w:r>
      <w:r w:rsidR="0066740C" w:rsidRPr="001A7187">
        <w:rPr>
          <w:i/>
        </w:rPr>
        <w:t>—</w:t>
      </w:r>
      <w:r w:rsidR="00A8273F" w:rsidRPr="001A7187">
        <w:rPr>
          <w:i/>
        </w:rPr>
        <w:t xml:space="preserve"> None of the information received in response by Crown disclosed to defence </w:t>
      </w:r>
      <w:r w:rsidR="0066740C" w:rsidRPr="001A7187">
        <w:rPr>
          <w:i/>
        </w:rPr>
        <w:t>—</w:t>
      </w:r>
      <w:r w:rsidR="00A8273F" w:rsidRPr="001A7187">
        <w:rPr>
          <w:i/>
        </w:rPr>
        <w:t xml:space="preserve"> Whether it was appropriate to seek such information </w:t>
      </w:r>
      <w:r w:rsidR="0066740C" w:rsidRPr="001A7187">
        <w:rPr>
          <w:i/>
        </w:rPr>
        <w:t>—</w:t>
      </w:r>
      <w:r w:rsidR="00A8273F" w:rsidRPr="001A7187">
        <w:rPr>
          <w:i/>
        </w:rPr>
        <w:t xml:space="preserve"> Whether there should have been disclosure of same </w:t>
      </w:r>
      <w:r w:rsidR="0066740C" w:rsidRPr="001A7187">
        <w:rPr>
          <w:i/>
        </w:rPr>
        <w:t>—</w:t>
      </w:r>
      <w:r w:rsidR="00A8273F" w:rsidRPr="001A7187">
        <w:rPr>
          <w:i/>
        </w:rPr>
        <w:t xml:space="preserve"> Whether there is a reasonable possibility that such conduct affected trial fairness or gave rise to an appearance of unfairness, such that a miscarriage of justice occurred</w:t>
      </w:r>
      <w:r w:rsidR="00A8273F" w:rsidRPr="001A7187">
        <w:rPr>
          <w:i/>
          <w:iCs/>
        </w:rPr>
        <w:t>.</w:t>
      </w:r>
    </w:p>
    <w:p w:rsidR="00A8273F" w:rsidRPr="001A7187" w:rsidRDefault="00B7511D" w:rsidP="00A8273F">
      <w:pPr>
        <w:pStyle w:val="SCCNormalDoubleSpacing"/>
        <w:spacing w:after="480"/>
      </w:pPr>
      <w:r w:rsidRPr="001A7187">
        <w:tab/>
        <w:t xml:space="preserve">In 2008, following a trial in Barrie, Ontario, </w:t>
      </w:r>
      <w:r w:rsidR="00A8273F" w:rsidRPr="001A7187">
        <w:t xml:space="preserve">E was convicted of </w:t>
      </w:r>
      <w:r w:rsidRPr="001A7187">
        <w:t>three counts of fraud</w:t>
      </w:r>
      <w:r w:rsidR="00DF1046" w:rsidRPr="001A7187">
        <w:t xml:space="preserve">.  </w:t>
      </w:r>
      <w:r w:rsidRPr="001A7187">
        <w:t xml:space="preserve">His appeal from conviction </w:t>
      </w:r>
      <w:r w:rsidR="00A8273F" w:rsidRPr="001A7187">
        <w:t>alleged as one of the grounds of appeal that th</w:t>
      </w:r>
      <w:r w:rsidRPr="001A7187">
        <w:t xml:space="preserve">ere had been </w:t>
      </w:r>
      <w:r w:rsidR="00A8273F" w:rsidRPr="001A7187">
        <w:t>improper jury vetting by the Crown Attorney’</w:t>
      </w:r>
      <w:r w:rsidRPr="001A7187">
        <w:t>s office in conjunction with the police</w:t>
      </w:r>
      <w:r w:rsidR="00DF1046" w:rsidRPr="001A7187">
        <w:t xml:space="preserve">.  </w:t>
      </w:r>
      <w:r w:rsidRPr="001A7187">
        <w:t xml:space="preserve">Prior to the </w:t>
      </w:r>
      <w:r w:rsidR="00A8273F" w:rsidRPr="001A7187">
        <w:t>jury selection in E’s trial,</w:t>
      </w:r>
      <w:r w:rsidRPr="001A7187">
        <w:t xml:space="preserve"> the Crown Attorney’s office </w:t>
      </w:r>
      <w:r w:rsidR="00A8273F" w:rsidRPr="001A7187">
        <w:t>had requested that the police conduct inquiries as to whether potential jurors had a criminal record or whether they were otherwise “disreputable persons” who woul</w:t>
      </w:r>
      <w:r w:rsidRPr="001A7187">
        <w:t>d be undesirable as jurors</w:t>
      </w:r>
      <w:r w:rsidR="00DF1046" w:rsidRPr="001A7187">
        <w:t xml:space="preserve">.  </w:t>
      </w:r>
      <w:r w:rsidR="00A8273F" w:rsidRPr="001A7187">
        <w:t>Information ob</w:t>
      </w:r>
      <w:r w:rsidRPr="001A7187">
        <w:t xml:space="preserve">tained from these checks was </w:t>
      </w:r>
      <w:r w:rsidR="00A8273F" w:rsidRPr="001A7187">
        <w:t>pro</w:t>
      </w:r>
      <w:r w:rsidRPr="001A7187">
        <w:t xml:space="preserve">vided to Crown counsel, who used it </w:t>
      </w:r>
      <w:r w:rsidR="00A8273F" w:rsidRPr="001A7187">
        <w:t>when exercising peremptory challen</w:t>
      </w:r>
      <w:r w:rsidRPr="001A7187">
        <w:t>ges</w:t>
      </w:r>
      <w:r w:rsidR="00DF1046" w:rsidRPr="001A7187">
        <w:t xml:space="preserve">.  </w:t>
      </w:r>
      <w:r w:rsidR="00A8273F" w:rsidRPr="001A7187">
        <w:t>The information was not disclosed</w:t>
      </w:r>
      <w:r w:rsidRPr="001A7187">
        <w:t xml:space="preserve"> to the defence, despite a practice memorandum distributed to Crown offices in Ontario in 2006 directing that </w:t>
      </w:r>
      <w:r w:rsidR="00A8273F" w:rsidRPr="001A7187">
        <w:t xml:space="preserve">any jury vetting carried out by the police was to be restricted to criminal record checks and that any information obtained was to </w:t>
      </w:r>
      <w:r w:rsidRPr="001A7187">
        <w:t>be disclosed to the defence</w:t>
      </w:r>
      <w:r w:rsidR="00DF1046" w:rsidRPr="001A7187">
        <w:t xml:space="preserve">.  </w:t>
      </w:r>
      <w:r w:rsidR="00A8273F" w:rsidRPr="001A7187">
        <w:t>In dismissing E’s appeal, the Court of Appeal found that the Crown had failed to meet</w:t>
      </w:r>
      <w:r w:rsidRPr="001A7187">
        <w:t xml:space="preserve"> its disclosure obligations, but </w:t>
      </w:r>
      <w:r w:rsidR="00A8273F" w:rsidRPr="001A7187">
        <w:t xml:space="preserve">concluded that there was no reasonable possibility that the </w:t>
      </w:r>
      <w:r w:rsidR="00A8273F" w:rsidRPr="001A7187">
        <w:lastRenderedPageBreak/>
        <w:t>non</w:t>
      </w:r>
      <w:r w:rsidR="0066740C" w:rsidRPr="001A7187">
        <w:noBreakHyphen/>
      </w:r>
      <w:r w:rsidR="00A8273F" w:rsidRPr="001A7187">
        <w:t>disclosure had any impact on the partiality of t</w:t>
      </w:r>
      <w:r w:rsidRPr="001A7187">
        <w:t>he jury or on the verdict</w:t>
      </w:r>
      <w:r w:rsidR="00DF1046" w:rsidRPr="001A7187">
        <w:t xml:space="preserve">.  </w:t>
      </w:r>
      <w:r w:rsidRPr="001A7187">
        <w:t xml:space="preserve">The court was satisfied </w:t>
      </w:r>
      <w:r w:rsidR="00A8273F" w:rsidRPr="001A7187">
        <w:t>th</w:t>
      </w:r>
      <w:r w:rsidRPr="001A7187">
        <w:t xml:space="preserve">at the selection process had not </w:t>
      </w:r>
      <w:r w:rsidR="00A8273F" w:rsidRPr="001A7187">
        <w:t>compromised the ov</w:t>
      </w:r>
      <w:r w:rsidRPr="001A7187">
        <w:t>erall fairness of the tri</w:t>
      </w:r>
      <w:r w:rsidR="0066740C" w:rsidRPr="001A7187">
        <w:t>al</w:t>
      </w:r>
      <w:r w:rsidR="00DF1046" w:rsidRPr="001A7187">
        <w:t xml:space="preserve">.  </w:t>
      </w:r>
      <w:r w:rsidRPr="001A7187">
        <w:t xml:space="preserve">It also held </w:t>
      </w:r>
      <w:r w:rsidR="00A8273F" w:rsidRPr="001A7187">
        <w:t>that the conduct o</w:t>
      </w:r>
      <w:r w:rsidRPr="001A7187">
        <w:t xml:space="preserve">f the Crown and the police </w:t>
      </w:r>
      <w:r w:rsidR="00A8273F" w:rsidRPr="001A7187">
        <w:t xml:space="preserve">did not impact on the appearance of fairness of </w:t>
      </w:r>
      <w:r w:rsidRPr="001A7187">
        <w:t xml:space="preserve">the trial and therefore had not </w:t>
      </w:r>
      <w:r w:rsidR="00A8273F" w:rsidRPr="001A7187">
        <w:t>occasioned a miscarriage of justice.</w:t>
      </w:r>
    </w:p>
    <w:p w:rsidR="00A8273F" w:rsidRPr="001A7187" w:rsidRDefault="00A8273F" w:rsidP="0066740C">
      <w:pPr>
        <w:pStyle w:val="SCCNormalDoubleSpacing"/>
        <w:spacing w:after="480"/>
      </w:pPr>
      <w:r w:rsidRPr="001A7187">
        <w:tab/>
      </w:r>
      <w:r w:rsidRPr="001A7187">
        <w:rPr>
          <w:i/>
        </w:rPr>
        <w:t>Held</w:t>
      </w:r>
      <w:r w:rsidRPr="00CB52DE">
        <w:t xml:space="preserve">: </w:t>
      </w:r>
      <w:r w:rsidR="000F1E8F" w:rsidRPr="001A7187">
        <w:t xml:space="preserve"> </w:t>
      </w:r>
      <w:r w:rsidRPr="001A7187">
        <w:t>The appeal should be dismissed.</w:t>
      </w:r>
    </w:p>
    <w:p w:rsidR="00A8273F" w:rsidRPr="001A7187" w:rsidRDefault="006D4C4E" w:rsidP="0066740C">
      <w:pPr>
        <w:pStyle w:val="SCCNormalDoubleSpacing"/>
        <w:spacing w:after="480"/>
      </w:pPr>
      <w:r w:rsidRPr="001A7187">
        <w:tab/>
      </w:r>
      <w:r w:rsidR="00A8273F" w:rsidRPr="001A7187">
        <w:t xml:space="preserve">The principles governing the propriety of jury vetting and the use of police databases to check the criminal antecedents of prospective jurors have been canvassed in </w:t>
      </w:r>
      <w:r w:rsidR="00A8273F" w:rsidRPr="001A7187">
        <w:rPr>
          <w:i/>
        </w:rPr>
        <w:t xml:space="preserve">R. v. </w:t>
      </w:r>
      <w:proofErr w:type="spellStart"/>
      <w:r w:rsidR="00A8273F" w:rsidRPr="001A7187">
        <w:rPr>
          <w:i/>
        </w:rPr>
        <w:t>Yumnu</w:t>
      </w:r>
      <w:proofErr w:type="spellEnd"/>
      <w:r w:rsidRPr="001A7187">
        <w:t>, 2012 SCC 73</w:t>
      </w:r>
      <w:r w:rsidR="00CB52DE">
        <w:t xml:space="preserve">, [2012] </w:t>
      </w:r>
      <w:r w:rsidR="00ED367B">
        <w:t>3</w:t>
      </w:r>
      <w:r w:rsidR="00CB52DE">
        <w:t xml:space="preserve"> S.C.R. </w:t>
      </w:r>
      <w:r w:rsidR="005755CD">
        <w:t>828</w:t>
      </w:r>
      <w:r w:rsidRPr="001A7187">
        <w:t xml:space="preserve">. </w:t>
      </w:r>
      <w:r w:rsidR="00DF1046" w:rsidRPr="001A7187">
        <w:t xml:space="preserve"> </w:t>
      </w:r>
      <w:r w:rsidR="00A8273F" w:rsidRPr="001A7187">
        <w:t>They apply equa</w:t>
      </w:r>
      <w:r w:rsidRPr="001A7187">
        <w:t>lly to the present appe</w:t>
      </w:r>
      <w:r w:rsidR="0066740C" w:rsidRPr="001A7187">
        <w:t>al.</w:t>
      </w:r>
      <w:r w:rsidR="00DF1046" w:rsidRPr="001A7187">
        <w:t xml:space="preserve">  </w:t>
      </w:r>
      <w:r w:rsidR="00A8273F" w:rsidRPr="001A7187">
        <w:t>The Crown was entitled to have the police check the antecedents of prospective jurors for ineligibility and cha</w:t>
      </w:r>
      <w:r w:rsidRPr="001A7187">
        <w:t xml:space="preserve">llenge for cause purposes. </w:t>
      </w:r>
      <w:r w:rsidR="00DF1046" w:rsidRPr="001A7187">
        <w:t xml:space="preserve"> </w:t>
      </w:r>
      <w:r w:rsidR="00A8273F" w:rsidRPr="001A7187">
        <w:t>It was not entitled to have the police go further and use their databases to determine if a prospective juror was, or might be, a person of disreputable charac</w:t>
      </w:r>
      <w:r w:rsidRPr="001A7187">
        <w:t>ter, but</w:t>
      </w:r>
      <w:r w:rsidR="00A8273F" w:rsidRPr="001A7187">
        <w:t>, i</w:t>
      </w:r>
      <w:r w:rsidRPr="001A7187">
        <w:t xml:space="preserve">f information of that nature came </w:t>
      </w:r>
      <w:r w:rsidR="00A8273F" w:rsidRPr="001A7187">
        <w:t>to light during a vali</w:t>
      </w:r>
      <w:r w:rsidRPr="001A7187">
        <w:t xml:space="preserve">d criminal record search, it was to be brought to the Crown’s attention. </w:t>
      </w:r>
      <w:r w:rsidR="00DF1046" w:rsidRPr="001A7187">
        <w:t xml:space="preserve"> </w:t>
      </w:r>
      <w:r w:rsidR="00A8273F" w:rsidRPr="001A7187">
        <w:t>If the Crown considered it to be relevant to th</w:t>
      </w:r>
      <w:r w:rsidRPr="001A7187">
        <w:t xml:space="preserve">e jury selection process, it was </w:t>
      </w:r>
      <w:r w:rsidR="00A8273F" w:rsidRPr="001A7187">
        <w:t xml:space="preserve">obliged to disclose the information to the defence. </w:t>
      </w:r>
    </w:p>
    <w:p w:rsidR="00A8273F" w:rsidRPr="001A7187" w:rsidRDefault="00A8273F" w:rsidP="0066740C">
      <w:pPr>
        <w:pStyle w:val="SCCNormalDoubleSpacing"/>
        <w:spacing w:after="480"/>
      </w:pPr>
      <w:r w:rsidRPr="001A7187">
        <w:tab/>
        <w:t xml:space="preserve">With respect to trial fairness, as stated in </w:t>
      </w:r>
      <w:r w:rsidRPr="001A7187">
        <w:rPr>
          <w:i/>
        </w:rPr>
        <w:t>Yumnu</w:t>
      </w:r>
      <w:r w:rsidRPr="001A7187">
        <w:t xml:space="preserve">, persons seeking a new trial must establish, at a minimum, that: </w:t>
      </w:r>
      <w:r w:rsidR="00DF1046" w:rsidRPr="001A7187">
        <w:t xml:space="preserve"> (1) </w:t>
      </w:r>
      <w:r w:rsidRPr="001A7187">
        <w:t>the Crown failed to disclose information relevant to the selection process that it was obliged to disclose; and (2)</w:t>
      </w:r>
      <w:r w:rsidR="00DF1046" w:rsidRPr="001A7187">
        <w:t> </w:t>
      </w:r>
      <w:r w:rsidRPr="001A7187">
        <w:t>had the requisite disclosure been made, there is a reasonable possibility that the jury would have been differently constituted</w:t>
      </w:r>
      <w:r w:rsidR="00DF1046" w:rsidRPr="001A7187">
        <w:t xml:space="preserve">.  </w:t>
      </w:r>
      <w:r w:rsidRPr="001A7187">
        <w:t>In the case at bar, although</w:t>
      </w:r>
      <w:r w:rsidR="006D4C4E" w:rsidRPr="001A7187">
        <w:t xml:space="preserve"> </w:t>
      </w:r>
      <w:r w:rsidRPr="001A7187">
        <w:t xml:space="preserve">the Crown failed to </w:t>
      </w:r>
      <w:r w:rsidRPr="001A7187">
        <w:lastRenderedPageBreak/>
        <w:t>disclose information that was relevant to the defence</w:t>
      </w:r>
      <w:r w:rsidR="006D4C4E" w:rsidRPr="001A7187">
        <w:t xml:space="preserve"> in the selection process, </w:t>
      </w:r>
      <w:r w:rsidRPr="001A7187">
        <w:t>E has failed to show that there is a reasonable possibility that the jury would have been differently composed had the Crown met its disclosure obligations.</w:t>
      </w:r>
    </w:p>
    <w:p w:rsidR="00A8273F" w:rsidRPr="001A7187" w:rsidRDefault="006D4C4E" w:rsidP="0066740C">
      <w:pPr>
        <w:pStyle w:val="SCCNormalDoubleSpacing"/>
        <w:spacing w:after="480"/>
      </w:pPr>
      <w:r w:rsidRPr="001A7187">
        <w:tab/>
      </w:r>
      <w:r w:rsidR="00A8273F" w:rsidRPr="001A7187">
        <w:t>With respect to appear</w:t>
      </w:r>
      <w:r w:rsidRPr="001A7187">
        <w:t xml:space="preserve">ance of unfairness, </w:t>
      </w:r>
      <w:r w:rsidR="00A8273F" w:rsidRPr="001A7187">
        <w:t xml:space="preserve">this case is more troublesome than </w:t>
      </w:r>
      <w:r w:rsidR="00A8273F" w:rsidRPr="001A7187">
        <w:rPr>
          <w:i/>
        </w:rPr>
        <w:t>Yumnu</w:t>
      </w:r>
      <w:r w:rsidR="00A8273F" w:rsidRPr="001A7187">
        <w:t xml:space="preserve"> because at the time of E’s trial, all Crown offices across the Province of Ontario had rece</w:t>
      </w:r>
      <w:r w:rsidRPr="001A7187">
        <w:t xml:space="preserve">ived the practice memorandum </w:t>
      </w:r>
      <w:r w:rsidR="00A8273F" w:rsidRPr="001A7187">
        <w:t>on criminal r</w:t>
      </w:r>
      <w:r w:rsidRPr="001A7187">
        <w:t>ecord checks and disclosure</w:t>
      </w:r>
      <w:r w:rsidR="00DF1046" w:rsidRPr="001A7187">
        <w:t xml:space="preserve">.  </w:t>
      </w:r>
      <w:r w:rsidR="00A8273F" w:rsidRPr="001A7187">
        <w:t>However</w:t>
      </w:r>
      <w:r w:rsidRPr="001A7187">
        <w:t xml:space="preserve">, </w:t>
      </w:r>
      <w:r w:rsidR="00A8273F" w:rsidRPr="001A7187">
        <w:t xml:space="preserve">while the conduct of the police and the Crown was in some respects improper and should not be repeated, </w:t>
      </w:r>
      <w:r w:rsidRPr="001A7187">
        <w:t>t</w:t>
      </w:r>
      <w:r w:rsidR="00A8273F" w:rsidRPr="001A7187">
        <w:t>here is no basis for concluding that they conspire</w:t>
      </w:r>
      <w:r w:rsidRPr="001A7187">
        <w:t>d to obtain a favourable jury</w:t>
      </w:r>
      <w:r w:rsidR="00DF1046" w:rsidRPr="001A7187">
        <w:t xml:space="preserve">.  </w:t>
      </w:r>
      <w:r w:rsidR="00A8273F" w:rsidRPr="001A7187">
        <w:t>W</w:t>
      </w:r>
      <w:r w:rsidRPr="001A7187">
        <w:t xml:space="preserve">hat occurred did not constitute </w:t>
      </w:r>
      <w:r w:rsidR="00A8273F" w:rsidRPr="001A7187">
        <w:t>a serious interference with the administration of justice, nor was it so offensive to the community’s sense of fair play and decency that the proceedings should be set aside as a miscarriage of justice.</w:t>
      </w:r>
    </w:p>
    <w:p w:rsidR="007E1C47" w:rsidRPr="001A7187" w:rsidRDefault="002E6705" w:rsidP="0066740C">
      <w:pPr>
        <w:pStyle w:val="SCCNormalDoubleSpacing"/>
        <w:keepNext/>
        <w:keepLines/>
        <w:spacing w:after="720" w:line="240" w:lineRule="auto"/>
        <w:rPr>
          <w:b/>
        </w:rPr>
      </w:pPr>
      <w:r w:rsidRPr="001A7187">
        <w:rPr>
          <w:b/>
        </w:rPr>
        <w:t>Cases Cited</w:t>
      </w:r>
    </w:p>
    <w:p w:rsidR="00A149DF" w:rsidRPr="001A7187" w:rsidRDefault="002E6705" w:rsidP="0066740C">
      <w:pPr>
        <w:pStyle w:val="SCCNormalDoubleSpacing"/>
        <w:spacing w:after="480"/>
        <w:rPr>
          <w:i/>
          <w:lang w:val="en-US"/>
        </w:rPr>
      </w:pPr>
      <w:r w:rsidRPr="001A7187">
        <w:tab/>
      </w:r>
      <w:r w:rsidR="00EC055E" w:rsidRPr="001A7187">
        <w:rPr>
          <w:b/>
          <w:lang w:val="en-US"/>
        </w:rPr>
        <w:t>Applied</w:t>
      </w:r>
      <w:r w:rsidRPr="001A7187">
        <w:rPr>
          <w:b/>
          <w:lang w:val="en-US"/>
        </w:rPr>
        <w:t>:</w:t>
      </w:r>
      <w:r w:rsidR="00BD0E9E" w:rsidRPr="001A7187">
        <w:rPr>
          <w:lang w:val="en-US"/>
        </w:rPr>
        <w:t xml:space="preserve"> </w:t>
      </w:r>
      <w:r w:rsidR="00D91AF1" w:rsidRPr="001A7187">
        <w:rPr>
          <w:lang w:val="en-US"/>
        </w:rPr>
        <w:t xml:space="preserve"> </w:t>
      </w:r>
      <w:r w:rsidR="00D91AF1" w:rsidRPr="001A7187">
        <w:rPr>
          <w:i/>
          <w:lang w:val="en-US"/>
        </w:rPr>
        <w:t xml:space="preserve">R. v. </w:t>
      </w:r>
      <w:proofErr w:type="spellStart"/>
      <w:r w:rsidR="00D91AF1" w:rsidRPr="001A7187">
        <w:rPr>
          <w:i/>
          <w:lang w:val="en-US"/>
        </w:rPr>
        <w:t>Yumnu</w:t>
      </w:r>
      <w:proofErr w:type="spellEnd"/>
      <w:r w:rsidR="00EC055E" w:rsidRPr="001A7187">
        <w:rPr>
          <w:lang w:val="en-US"/>
        </w:rPr>
        <w:t>, 2012 SCC 73</w:t>
      </w:r>
      <w:r w:rsidR="00ED367B">
        <w:rPr>
          <w:lang w:val="en-US"/>
        </w:rPr>
        <w:t xml:space="preserve">, [2012] 3 S.C.R. </w:t>
      </w:r>
      <w:r w:rsidR="00F35444">
        <w:rPr>
          <w:lang w:val="en-US"/>
        </w:rPr>
        <w:t>777</w:t>
      </w:r>
      <w:r w:rsidR="00D91AF1" w:rsidRPr="001A7187">
        <w:rPr>
          <w:lang w:val="en-US"/>
        </w:rPr>
        <w:t>;</w:t>
      </w:r>
      <w:r w:rsidR="008203C9" w:rsidRPr="001A7187">
        <w:rPr>
          <w:lang w:val="en-US"/>
        </w:rPr>
        <w:t xml:space="preserve"> </w:t>
      </w:r>
      <w:r w:rsidR="00EC055E" w:rsidRPr="001A7187">
        <w:rPr>
          <w:b/>
          <w:lang w:val="en-US"/>
        </w:rPr>
        <w:t xml:space="preserve">distinguished: </w:t>
      </w:r>
      <w:r w:rsidR="008203C9" w:rsidRPr="001A7187">
        <w:rPr>
          <w:i/>
          <w:lang w:val="en-US"/>
        </w:rPr>
        <w:t>R. v. Latimer</w:t>
      </w:r>
      <w:r w:rsidR="008203C9" w:rsidRPr="001A7187">
        <w:rPr>
          <w:lang w:val="en-US"/>
        </w:rPr>
        <w:t>, [1997] 1 S.C.R. 217.</w:t>
      </w:r>
    </w:p>
    <w:p w:rsidR="003B215F" w:rsidRPr="001A7187" w:rsidRDefault="002E6705" w:rsidP="0066740C">
      <w:pPr>
        <w:pStyle w:val="SCCNormalDoubleSpacing"/>
        <w:keepNext/>
        <w:spacing w:after="720" w:line="240" w:lineRule="auto"/>
      </w:pPr>
      <w:r w:rsidRPr="001A7187">
        <w:rPr>
          <w:b/>
        </w:rPr>
        <w:t>Statutes and Regulations Cite</w:t>
      </w:r>
      <w:r w:rsidR="00A41805" w:rsidRPr="001A7187">
        <w:rPr>
          <w:b/>
        </w:rPr>
        <w:t>d</w:t>
      </w:r>
    </w:p>
    <w:p w:rsidR="000846B0" w:rsidRPr="003C3289" w:rsidRDefault="000846B0" w:rsidP="0066740C">
      <w:pPr>
        <w:pStyle w:val="SCCNormalDoubleSpacing"/>
        <w:spacing w:after="720" w:line="240" w:lineRule="auto"/>
        <w:ind w:left="540" w:hanging="540"/>
        <w:rPr>
          <w:lang w:val="fr-CA"/>
        </w:rPr>
      </w:pPr>
      <w:proofErr w:type="spellStart"/>
      <w:r w:rsidRPr="003C3289">
        <w:rPr>
          <w:i/>
          <w:lang w:val="fr-CA"/>
        </w:rPr>
        <w:t>Criminal</w:t>
      </w:r>
      <w:proofErr w:type="spellEnd"/>
      <w:r w:rsidRPr="003C3289">
        <w:rPr>
          <w:i/>
          <w:lang w:val="fr-CA"/>
        </w:rPr>
        <w:t xml:space="preserve"> Code</w:t>
      </w:r>
      <w:r w:rsidRPr="003C3289">
        <w:rPr>
          <w:lang w:val="fr-CA"/>
        </w:rPr>
        <w:t>, R.S.C. 1985, c.</w:t>
      </w:r>
      <w:r w:rsidR="0066740C" w:rsidRPr="003C3289">
        <w:rPr>
          <w:lang w:val="fr-CA"/>
        </w:rPr>
        <w:t> </w:t>
      </w:r>
      <w:r w:rsidRPr="003C3289">
        <w:rPr>
          <w:lang w:val="fr-CA"/>
        </w:rPr>
        <w:t>C</w:t>
      </w:r>
      <w:r w:rsidR="0066740C" w:rsidRPr="003C3289">
        <w:rPr>
          <w:lang w:val="fr-CA"/>
        </w:rPr>
        <w:noBreakHyphen/>
        <w:t>46, s. </w:t>
      </w:r>
      <w:r w:rsidRPr="003C3289">
        <w:rPr>
          <w:lang w:val="fr-CA"/>
        </w:rPr>
        <w:t>638(1</w:t>
      </w:r>
      <w:proofErr w:type="gramStart"/>
      <w:r w:rsidRPr="003C3289">
        <w:rPr>
          <w:lang w:val="fr-CA"/>
        </w:rPr>
        <w:t>)(</w:t>
      </w:r>
      <w:proofErr w:type="gramEnd"/>
      <w:r w:rsidRPr="003C3289">
        <w:rPr>
          <w:i/>
          <w:lang w:val="fr-CA"/>
        </w:rPr>
        <w:t>c</w:t>
      </w:r>
      <w:r w:rsidRPr="003C3289">
        <w:rPr>
          <w:lang w:val="fr-CA"/>
        </w:rPr>
        <w:t>).</w:t>
      </w:r>
    </w:p>
    <w:p w:rsidR="002E6705" w:rsidRPr="001A7187" w:rsidRDefault="002E6705" w:rsidP="0066740C">
      <w:pPr>
        <w:pStyle w:val="SCCNormalDoubleSpacing"/>
        <w:keepNext/>
        <w:spacing w:after="720" w:line="240" w:lineRule="auto"/>
        <w:rPr>
          <w:b/>
        </w:rPr>
      </w:pPr>
      <w:r w:rsidRPr="001A7187">
        <w:rPr>
          <w:b/>
        </w:rPr>
        <w:lastRenderedPageBreak/>
        <w:t>Authors Cited</w:t>
      </w:r>
    </w:p>
    <w:p w:rsidR="009C59AA" w:rsidRPr="001A7187" w:rsidRDefault="002E54DE" w:rsidP="007959BA">
      <w:pPr>
        <w:pStyle w:val="SCCNormalDoubleSpacing"/>
        <w:spacing w:after="240" w:line="240" w:lineRule="auto"/>
        <w:ind w:left="547" w:hanging="547"/>
        <w:rPr>
          <w:szCs w:val="24"/>
          <w:lang w:eastAsia="en-US"/>
        </w:rPr>
      </w:pPr>
      <w:r w:rsidRPr="001A7187">
        <w:t xml:space="preserve">Canadian Bar Association.  </w:t>
      </w:r>
      <w:r w:rsidRPr="001A7187">
        <w:rPr>
          <w:i/>
        </w:rPr>
        <w:t>Code of Professional Conduct</w:t>
      </w:r>
      <w:r w:rsidRPr="001A7187">
        <w:t>.  Ottawa:  The Association, 2009</w:t>
      </w:r>
      <w:r w:rsidR="009C59AA" w:rsidRPr="001A7187">
        <w:rPr>
          <w:lang w:val="en-GB"/>
        </w:rPr>
        <w:t xml:space="preserve"> </w:t>
      </w:r>
      <w:r w:rsidR="009C59AA" w:rsidRPr="001A7187">
        <w:rPr>
          <w:szCs w:val="24"/>
          <w:lang w:val="en-GB" w:eastAsia="en-US"/>
        </w:rPr>
        <w:t>(online:</w:t>
      </w:r>
      <w:r w:rsidR="00DF1046" w:rsidRPr="001A7187">
        <w:rPr>
          <w:szCs w:val="24"/>
          <w:lang w:val="en-GB" w:eastAsia="en-US"/>
        </w:rPr>
        <w:t xml:space="preserve"> </w:t>
      </w:r>
      <w:r w:rsidR="009C59AA" w:rsidRPr="001A7187">
        <w:rPr>
          <w:szCs w:val="24"/>
          <w:lang w:val="en-GB" w:eastAsia="en-US"/>
        </w:rPr>
        <w:t xml:space="preserve"> http://www.cba.org).</w:t>
      </w:r>
    </w:p>
    <w:p w:rsidR="00E6699E" w:rsidRPr="001A7187" w:rsidRDefault="00E6699E" w:rsidP="009C28A4">
      <w:pPr>
        <w:pStyle w:val="SCCNormalDoubleSpacing"/>
        <w:spacing w:after="240" w:line="240" w:lineRule="auto"/>
        <w:ind w:left="547" w:hanging="547"/>
      </w:pPr>
      <w:r w:rsidRPr="001A7187">
        <w:t xml:space="preserve">Law Society of Upper Canada.  </w:t>
      </w:r>
      <w:r w:rsidRPr="001A7187">
        <w:rPr>
          <w:i/>
        </w:rPr>
        <w:t>Rules of Professional Conduct</w:t>
      </w:r>
      <w:r w:rsidR="0066740C" w:rsidRPr="001A7187">
        <w:t>, updated April </w:t>
      </w:r>
      <w:r w:rsidR="001C2626">
        <w:t>26, 2012 (online: h</w:t>
      </w:r>
      <w:r w:rsidR="000E01A9" w:rsidRPr="001A7187">
        <w:t>ttp://www.lsuc.on.ca</w:t>
      </w:r>
      <w:r w:rsidRPr="001A7187">
        <w:t>).</w:t>
      </w:r>
    </w:p>
    <w:p w:rsidR="00A149DF" w:rsidRPr="001A7187" w:rsidRDefault="000846B0" w:rsidP="0066740C">
      <w:pPr>
        <w:pStyle w:val="SCCNormalDoubleSpacing"/>
        <w:spacing w:after="720" w:line="240" w:lineRule="auto"/>
        <w:ind w:left="547" w:hanging="547"/>
      </w:pPr>
      <w:r w:rsidRPr="001A7187">
        <w:t xml:space="preserve">Ontario.  Information and Privacy Commissioner.  </w:t>
      </w:r>
      <w:r w:rsidRPr="001A7187">
        <w:rPr>
          <w:i/>
        </w:rPr>
        <w:t>Excessive Background Checks Conducted on Prospective Jurors:  A Special Investigati</w:t>
      </w:r>
      <w:r w:rsidR="00527533" w:rsidRPr="001A7187">
        <w:rPr>
          <w:i/>
        </w:rPr>
        <w:t>on</w:t>
      </w:r>
      <w:r w:rsidRPr="001A7187">
        <w:rPr>
          <w:i/>
        </w:rPr>
        <w:t xml:space="preserve"> Report</w:t>
      </w:r>
      <w:r w:rsidRPr="001A7187">
        <w:t>.  Toronto:  The Commissioner, 2009.</w:t>
      </w:r>
    </w:p>
    <w:p w:rsidR="0090060A" w:rsidRPr="001A7187" w:rsidRDefault="008208DA" w:rsidP="0066740C">
      <w:pPr>
        <w:pStyle w:val="SCCNormalDoubleSpacing"/>
        <w:spacing w:after="480"/>
      </w:pPr>
      <w:r w:rsidRPr="001A7187">
        <w:tab/>
      </w:r>
      <w:r w:rsidR="009B57B3" w:rsidRPr="001A7187">
        <w:t xml:space="preserve">APPEAL from a judgment of the </w:t>
      </w:r>
      <w:r w:rsidRPr="001A7187">
        <w:t xml:space="preserve">Ontario </w:t>
      </w:r>
      <w:r w:rsidR="009B57B3" w:rsidRPr="001A7187">
        <w:t>Court of Appeal</w:t>
      </w:r>
      <w:r w:rsidR="00DF1046" w:rsidRPr="001A7187">
        <w:t xml:space="preserve"> (Rosenberg, Blair and Juriansz </w:t>
      </w:r>
      <w:r w:rsidRPr="001A7187">
        <w:t xml:space="preserve">JJ.A.), 2010 ONCA 817, </w:t>
      </w:r>
      <w:r w:rsidR="009504C4" w:rsidRPr="001A7187">
        <w:t>104 O.R. (3d) 201</w:t>
      </w:r>
      <w:r w:rsidR="006444F1" w:rsidRPr="001A7187">
        <w:t>,</w:t>
      </w:r>
      <w:r w:rsidR="009504C4" w:rsidRPr="001A7187">
        <w:t xml:space="preserve"> 264 C.C.C. (3d) 402, 81 C.R. (6th) 267</w:t>
      </w:r>
      <w:r w:rsidR="00047F80" w:rsidRPr="001A7187">
        <w:t>, 272 O.A.C. 248,</w:t>
      </w:r>
      <w:r w:rsidR="006444F1" w:rsidRPr="001A7187">
        <w:t xml:space="preserve"> [2010] O.J. </w:t>
      </w:r>
      <w:r w:rsidR="0066740C" w:rsidRPr="001A7187">
        <w:t>No. </w:t>
      </w:r>
      <w:r w:rsidR="006444F1" w:rsidRPr="001A7187">
        <w:t>5195</w:t>
      </w:r>
      <w:r w:rsidR="00F35444">
        <w:t xml:space="preserve"> (QL)</w:t>
      </w:r>
      <w:r w:rsidR="006444F1" w:rsidRPr="001A7187">
        <w:t xml:space="preserve">, 2010 </w:t>
      </w:r>
      <w:proofErr w:type="spellStart"/>
      <w:r w:rsidR="006444F1" w:rsidRPr="001A7187">
        <w:t>CarswellOnt</w:t>
      </w:r>
      <w:proofErr w:type="spellEnd"/>
      <w:r w:rsidR="006444F1" w:rsidRPr="001A7187">
        <w:t xml:space="preserve"> 9069, </w:t>
      </w:r>
      <w:r w:rsidR="00D81B66" w:rsidRPr="001A7187">
        <w:t>upholding the accused’s conviction on three counts of fraud</w:t>
      </w:r>
      <w:r w:rsidR="00AC127B" w:rsidRPr="001A7187">
        <w:t>.</w:t>
      </w:r>
      <w:r w:rsidR="006444F1" w:rsidRPr="001A7187">
        <w:t xml:space="preserve"> </w:t>
      </w:r>
      <w:r w:rsidR="008173B0" w:rsidRPr="001A7187">
        <w:t xml:space="preserve"> </w:t>
      </w:r>
      <w:r w:rsidR="006444F1" w:rsidRPr="001A7187">
        <w:t>Appea</w:t>
      </w:r>
      <w:r w:rsidR="0090060A" w:rsidRPr="001A7187">
        <w:t>l dismissed.</w:t>
      </w:r>
    </w:p>
    <w:p w:rsidR="003B7FB6" w:rsidRPr="001A7187" w:rsidRDefault="0066740C" w:rsidP="0066740C">
      <w:pPr>
        <w:pStyle w:val="SCCNormalDoubleSpacing"/>
        <w:spacing w:after="480"/>
      </w:pPr>
      <w:r w:rsidRPr="001A7187">
        <w:rPr>
          <w:i/>
        </w:rPr>
        <w:tab/>
        <w:t>Mark </w:t>
      </w:r>
      <w:r w:rsidR="008208DA" w:rsidRPr="001A7187">
        <w:rPr>
          <w:i/>
        </w:rPr>
        <w:t>C. Halfyard</w:t>
      </w:r>
      <w:r w:rsidR="004D2F98" w:rsidRPr="001C2626">
        <w:t xml:space="preserve"> and</w:t>
      </w:r>
      <w:r w:rsidR="004D2F98" w:rsidRPr="001A7187">
        <w:rPr>
          <w:i/>
        </w:rPr>
        <w:t xml:space="preserve"> Daniel Brown</w:t>
      </w:r>
      <w:r w:rsidR="004D2F98" w:rsidRPr="001A7187">
        <w:t>,</w:t>
      </w:r>
      <w:r w:rsidR="008208DA" w:rsidRPr="001A7187">
        <w:t xml:space="preserve"> for the appellant.</w:t>
      </w:r>
    </w:p>
    <w:p w:rsidR="003B7FB6" w:rsidRPr="001A7187" w:rsidRDefault="008208DA" w:rsidP="0066740C">
      <w:pPr>
        <w:pStyle w:val="SCCNormalDoubleSpacing"/>
        <w:spacing w:after="480"/>
      </w:pPr>
      <w:r w:rsidRPr="001A7187">
        <w:rPr>
          <w:i/>
        </w:rPr>
        <w:tab/>
      </w:r>
      <w:r w:rsidR="00613B70" w:rsidRPr="001A7187">
        <w:rPr>
          <w:i/>
        </w:rPr>
        <w:t>Michal Fairburn</w:t>
      </w:r>
      <w:r w:rsidR="00613B70" w:rsidRPr="001C2626">
        <w:t>,</w:t>
      </w:r>
      <w:r w:rsidR="00613B70" w:rsidRPr="001A7187">
        <w:rPr>
          <w:i/>
        </w:rPr>
        <w:t xml:space="preserve"> </w:t>
      </w:r>
      <w:r w:rsidRPr="001A7187">
        <w:rPr>
          <w:i/>
        </w:rPr>
        <w:t>Deborah Krick</w:t>
      </w:r>
      <w:r w:rsidRPr="001A7187">
        <w:t xml:space="preserve">, </w:t>
      </w:r>
      <w:r w:rsidR="0066740C" w:rsidRPr="001A7187">
        <w:rPr>
          <w:i/>
        </w:rPr>
        <w:t>John </w:t>
      </w:r>
      <w:r w:rsidR="00613B70" w:rsidRPr="001A7187">
        <w:rPr>
          <w:i/>
        </w:rPr>
        <w:t>S. McInnes</w:t>
      </w:r>
      <w:r w:rsidR="00613B70" w:rsidRPr="001C2626">
        <w:t xml:space="preserve"> and</w:t>
      </w:r>
      <w:r w:rsidR="00613B70" w:rsidRPr="001A7187">
        <w:rPr>
          <w:i/>
        </w:rPr>
        <w:t xml:space="preserve"> </w:t>
      </w:r>
      <w:r w:rsidRPr="001A7187">
        <w:rPr>
          <w:i/>
        </w:rPr>
        <w:t>Susan Magotiaux</w:t>
      </w:r>
      <w:r w:rsidR="00613B70" w:rsidRPr="001A7187">
        <w:t xml:space="preserve">, </w:t>
      </w:r>
      <w:r w:rsidRPr="001A7187">
        <w:t>for the respondent.</w:t>
      </w:r>
    </w:p>
    <w:p w:rsidR="003B7FB6" w:rsidRPr="001A7187" w:rsidRDefault="008208DA" w:rsidP="0066740C">
      <w:pPr>
        <w:pStyle w:val="SCCNormalDoubleSpacing"/>
        <w:spacing w:after="480"/>
      </w:pPr>
      <w:r w:rsidRPr="001A7187">
        <w:rPr>
          <w:i/>
        </w:rPr>
        <w:tab/>
        <w:t>Frank Addario</w:t>
      </w:r>
      <w:r w:rsidRPr="001A7187">
        <w:t>, for the intervener</w:t>
      </w:r>
      <w:r w:rsidR="005F207C" w:rsidRPr="001A7187">
        <w:t xml:space="preserve"> the</w:t>
      </w:r>
      <w:r w:rsidRPr="001A7187">
        <w:t xml:space="preserve"> Canadian Civil Liberties Association.</w:t>
      </w:r>
    </w:p>
    <w:p w:rsidR="003B7FB6" w:rsidRPr="001A7187" w:rsidRDefault="0066740C" w:rsidP="0066740C">
      <w:pPr>
        <w:pStyle w:val="SCCNormalDoubleSpacing"/>
        <w:spacing w:after="480"/>
      </w:pPr>
      <w:r w:rsidRPr="001A7187">
        <w:rPr>
          <w:i/>
        </w:rPr>
        <w:tab/>
        <w:t>Nader </w:t>
      </w:r>
      <w:r w:rsidR="008208DA" w:rsidRPr="001A7187">
        <w:rPr>
          <w:i/>
        </w:rPr>
        <w:t>R. Hasan</w:t>
      </w:r>
      <w:r w:rsidR="00B81031" w:rsidRPr="001A7187">
        <w:t xml:space="preserve"> and </w:t>
      </w:r>
      <w:r w:rsidR="00B81031" w:rsidRPr="001A7187">
        <w:rPr>
          <w:i/>
        </w:rPr>
        <w:t>Gerald Chan,</w:t>
      </w:r>
      <w:r w:rsidR="008208DA" w:rsidRPr="001A7187">
        <w:t xml:space="preserve"> for the intervener </w:t>
      </w:r>
      <w:r w:rsidR="005F207C" w:rsidRPr="001A7187">
        <w:t xml:space="preserve">the </w:t>
      </w:r>
      <w:r w:rsidR="008208DA" w:rsidRPr="001A7187">
        <w:t>British Columbia Civil Liberties Association.</w:t>
      </w:r>
    </w:p>
    <w:p w:rsidR="003B7FB6" w:rsidRPr="001A7187" w:rsidRDefault="0066740C" w:rsidP="0066740C">
      <w:pPr>
        <w:pStyle w:val="SCCNormalDoubleSpacing"/>
        <w:spacing w:after="480"/>
      </w:pPr>
      <w:r w:rsidRPr="001A7187">
        <w:rPr>
          <w:i/>
        </w:rPr>
        <w:lastRenderedPageBreak/>
        <w:tab/>
        <w:t>Paul </w:t>
      </w:r>
      <w:r w:rsidR="008208DA" w:rsidRPr="001A7187">
        <w:rPr>
          <w:i/>
        </w:rPr>
        <w:t>J.</w:t>
      </w:r>
      <w:r w:rsidRPr="001A7187">
        <w:rPr>
          <w:i/>
        </w:rPr>
        <w:t> </w:t>
      </w:r>
      <w:r w:rsidR="008208DA" w:rsidRPr="001A7187">
        <w:rPr>
          <w:i/>
        </w:rPr>
        <w:t>J. Cavalluzzo</w:t>
      </w:r>
      <w:r w:rsidR="008208DA" w:rsidRPr="001A7187">
        <w:t xml:space="preserve"> and </w:t>
      </w:r>
      <w:r w:rsidR="00703A67" w:rsidRPr="001A7187">
        <w:rPr>
          <w:i/>
        </w:rPr>
        <w:t>Shaun O</w:t>
      </w:r>
      <w:r w:rsidR="005F207C" w:rsidRPr="001A7187">
        <w:rPr>
          <w:i/>
        </w:rPr>
        <w:t>’</w:t>
      </w:r>
      <w:r w:rsidR="00703A67" w:rsidRPr="001A7187">
        <w:rPr>
          <w:i/>
        </w:rPr>
        <w:t>B</w:t>
      </w:r>
      <w:r w:rsidR="008208DA" w:rsidRPr="001A7187">
        <w:rPr>
          <w:i/>
        </w:rPr>
        <w:t>rien</w:t>
      </w:r>
      <w:r w:rsidR="008208DA" w:rsidRPr="001A7187">
        <w:t>, for the int</w:t>
      </w:r>
      <w:r w:rsidR="00B10260" w:rsidRPr="001A7187">
        <w:t xml:space="preserve">ervener </w:t>
      </w:r>
      <w:r w:rsidR="005F207C" w:rsidRPr="001A7187">
        <w:t xml:space="preserve">the </w:t>
      </w:r>
      <w:r w:rsidR="00B10260" w:rsidRPr="001A7187">
        <w:t>Ontario Crown Attorneys’</w:t>
      </w:r>
      <w:r w:rsidR="008208DA" w:rsidRPr="001A7187">
        <w:t xml:space="preserve"> Association.</w:t>
      </w:r>
    </w:p>
    <w:p w:rsidR="003B7FB6" w:rsidRPr="001A7187" w:rsidRDefault="0066740C" w:rsidP="0066740C">
      <w:pPr>
        <w:pStyle w:val="SCCNormalDoubleSpacing"/>
        <w:spacing w:after="480"/>
      </w:pPr>
      <w:r w:rsidRPr="001A7187">
        <w:rPr>
          <w:i/>
        </w:rPr>
        <w:tab/>
        <w:t>William </w:t>
      </w:r>
      <w:r w:rsidR="008208DA" w:rsidRPr="001A7187">
        <w:rPr>
          <w:i/>
        </w:rPr>
        <w:t>S. Challis</w:t>
      </w:r>
      <w:r w:rsidR="008208DA" w:rsidRPr="001A7187">
        <w:t xml:space="preserve"> and </w:t>
      </w:r>
      <w:r w:rsidR="008208DA" w:rsidRPr="001A7187">
        <w:rPr>
          <w:i/>
        </w:rPr>
        <w:t>Stephen McCammon</w:t>
      </w:r>
      <w:r w:rsidR="008208DA" w:rsidRPr="001A7187">
        <w:t xml:space="preserve">, for the intervener </w:t>
      </w:r>
      <w:r w:rsidR="005F207C" w:rsidRPr="001A7187">
        <w:t xml:space="preserve">the </w:t>
      </w:r>
      <w:r w:rsidR="008208DA" w:rsidRPr="001A7187">
        <w:t>Information and Privacy Commissioner of Ontario.</w:t>
      </w:r>
    </w:p>
    <w:p w:rsidR="003B7FB6" w:rsidRPr="001A7187" w:rsidRDefault="008208DA" w:rsidP="0066740C">
      <w:pPr>
        <w:pStyle w:val="SCCNormalDoubleSpacing"/>
        <w:spacing w:after="480"/>
      </w:pPr>
      <w:r w:rsidRPr="001A7187">
        <w:rPr>
          <w:i/>
        </w:rPr>
        <w:tab/>
        <w:t>Cheryl Milne</w:t>
      </w:r>
      <w:r w:rsidRPr="001A7187">
        <w:t xml:space="preserve"> and </w:t>
      </w:r>
      <w:r w:rsidRPr="001A7187">
        <w:rPr>
          <w:i/>
        </w:rPr>
        <w:t>Lisa Austin</w:t>
      </w:r>
      <w:r w:rsidRPr="001A7187">
        <w:t xml:space="preserve">, for the intervener </w:t>
      </w:r>
      <w:r w:rsidR="005F207C" w:rsidRPr="001A7187">
        <w:t xml:space="preserve">the </w:t>
      </w:r>
      <w:r w:rsidRPr="001A7187">
        <w:t>David Asper Centre for Constitutional Rights.</w:t>
      </w:r>
    </w:p>
    <w:p w:rsidR="001C2626" w:rsidRPr="001A7187" w:rsidRDefault="001C2626" w:rsidP="001C2626">
      <w:pPr>
        <w:pStyle w:val="SCCNormalDoubleSpacing"/>
        <w:spacing w:after="480"/>
      </w:pPr>
      <w:r w:rsidRPr="001A7187">
        <w:rPr>
          <w:i/>
        </w:rPr>
        <w:tab/>
        <w:t>Anthony Moustacalis</w:t>
      </w:r>
      <w:r w:rsidRPr="001C2626">
        <w:t xml:space="preserve"> and</w:t>
      </w:r>
      <w:r w:rsidRPr="001A7187">
        <w:rPr>
          <w:i/>
        </w:rPr>
        <w:t xml:space="preserve"> Peter Thorning</w:t>
      </w:r>
      <w:r w:rsidRPr="001A7187">
        <w:t>, for the intervener the Criminal Lawyers’ Association.</w:t>
      </w:r>
    </w:p>
    <w:p w:rsidR="00E361EC" w:rsidRPr="001C2626" w:rsidRDefault="001C2626" w:rsidP="00E361EC">
      <w:pPr>
        <w:pStyle w:val="JudgeJuge"/>
        <w:rPr>
          <w:smallCaps w:val="0"/>
        </w:rPr>
      </w:pPr>
      <w:r>
        <w:tab/>
      </w:r>
      <w:r w:rsidRPr="001C2626">
        <w:rPr>
          <w:smallCaps w:val="0"/>
        </w:rPr>
        <w:t>Th</w:t>
      </w:r>
      <w:r>
        <w:rPr>
          <w:smallCaps w:val="0"/>
        </w:rPr>
        <w:t>e judgment of the Court was delivered by</w:t>
      </w:r>
    </w:p>
    <w:p w:rsidR="00E361EC" w:rsidRPr="00CB3432" w:rsidRDefault="00E361EC" w:rsidP="00E361EC">
      <w:pPr>
        <w:pStyle w:val="JudgeJuge"/>
      </w:pPr>
      <w:r w:rsidRPr="00CB3432">
        <w:tab/>
        <w:t xml:space="preserve">Moldaver J. — </w:t>
      </w:r>
    </w:p>
    <w:p w:rsidR="00E361EC" w:rsidRPr="00CB3432" w:rsidRDefault="00E361EC" w:rsidP="00E361EC">
      <w:pPr>
        <w:pStyle w:val="TitleTitre-AltT"/>
        <w:tabs>
          <w:tab w:val="clear" w:pos="360"/>
        </w:tabs>
        <w:ind w:left="720" w:hanging="720"/>
        <w:rPr>
          <w:rFonts w:cs="Times New Roman"/>
          <w:u w:val="single"/>
        </w:rPr>
      </w:pPr>
      <w:r w:rsidRPr="00CB3432">
        <w:rPr>
          <w:rFonts w:cs="Times New Roman"/>
        </w:rPr>
        <w:t>I.</w:t>
      </w:r>
      <w:r w:rsidRPr="00CB3432">
        <w:rPr>
          <w:rFonts w:cs="Times New Roman"/>
        </w:rPr>
        <w:tab/>
      </w:r>
      <w:r w:rsidRPr="00CB3432">
        <w:rPr>
          <w:rFonts w:cs="Times New Roman"/>
          <w:u w:val="single"/>
        </w:rPr>
        <w:t>Introduction</w:t>
      </w:r>
    </w:p>
    <w:p w:rsidR="00E361EC" w:rsidRPr="00CB3432" w:rsidRDefault="00E361EC" w:rsidP="00E361EC">
      <w:pPr>
        <w:pStyle w:val="ParaNoNdepar-AltN"/>
        <w:rPr>
          <w:rFonts w:cs="Times New Roman"/>
        </w:rPr>
      </w:pPr>
      <w:r w:rsidRPr="00CB3432">
        <w:rPr>
          <w:rFonts w:cs="Times New Roman"/>
        </w:rPr>
        <w:t xml:space="preserve">On October </w:t>
      </w:r>
      <w:r>
        <w:rPr>
          <w:rFonts w:cs="Times New Roman"/>
        </w:rPr>
        <w:t>8</w:t>
      </w:r>
      <w:r w:rsidRPr="00CB3432">
        <w:rPr>
          <w:rFonts w:cs="Times New Roman"/>
        </w:rPr>
        <w:t xml:space="preserve">, 2008, following a </w:t>
      </w:r>
      <w:r w:rsidR="001C2626">
        <w:rPr>
          <w:rFonts w:cs="Times New Roman"/>
        </w:rPr>
        <w:t>10</w:t>
      </w:r>
      <w:r>
        <w:rPr>
          <w:rFonts w:cs="Times New Roman"/>
        </w:rPr>
        <w:t>-</w:t>
      </w:r>
      <w:r w:rsidRPr="00CB3432">
        <w:rPr>
          <w:rFonts w:cs="Times New Roman"/>
        </w:rPr>
        <w:t xml:space="preserve">day trial in the </w:t>
      </w:r>
      <w:r>
        <w:rPr>
          <w:rFonts w:cs="Times New Roman"/>
        </w:rPr>
        <w:t xml:space="preserve">Ontario </w:t>
      </w:r>
      <w:r w:rsidRPr="00CB3432">
        <w:rPr>
          <w:rFonts w:cs="Times New Roman"/>
        </w:rPr>
        <w:t xml:space="preserve">Superior Court of Justice before Salmers </w:t>
      </w:r>
      <w:r>
        <w:rPr>
          <w:rFonts w:cs="Times New Roman"/>
        </w:rPr>
        <w:t xml:space="preserve">J. </w:t>
      </w:r>
      <w:r w:rsidRPr="00CB3432">
        <w:rPr>
          <w:rFonts w:cs="Times New Roman"/>
        </w:rPr>
        <w:t>and a jury, the appellant</w:t>
      </w:r>
      <w:r>
        <w:rPr>
          <w:rFonts w:cs="Times New Roman"/>
        </w:rPr>
        <w:t>,</w:t>
      </w:r>
      <w:r w:rsidRPr="00CB3432">
        <w:rPr>
          <w:rFonts w:cs="Times New Roman"/>
        </w:rPr>
        <w:t xml:space="preserve"> James Emms</w:t>
      </w:r>
      <w:r>
        <w:rPr>
          <w:rFonts w:cs="Times New Roman"/>
        </w:rPr>
        <w:t>,</w:t>
      </w:r>
      <w:r w:rsidRPr="00CB3432">
        <w:rPr>
          <w:rFonts w:cs="Times New Roman"/>
        </w:rPr>
        <w:t xml:space="preserve"> was convicted of one count of fraud over </w:t>
      </w:r>
      <w:r>
        <w:rPr>
          <w:rFonts w:cs="Times New Roman"/>
        </w:rPr>
        <w:t>$5,000</w:t>
      </w:r>
      <w:r w:rsidRPr="00CB3432">
        <w:rPr>
          <w:rFonts w:cs="Times New Roman"/>
        </w:rPr>
        <w:t xml:space="preserve"> and two counts of fraud under </w:t>
      </w:r>
      <w:r>
        <w:rPr>
          <w:rFonts w:cs="Times New Roman"/>
        </w:rPr>
        <w:t>$5,000</w:t>
      </w:r>
      <w:r w:rsidRPr="00CB3432">
        <w:rPr>
          <w:rFonts w:cs="Times New Roman"/>
        </w:rPr>
        <w:t xml:space="preserve">.  His appeal from conviction was argued before the </w:t>
      </w:r>
      <w:r>
        <w:rPr>
          <w:rFonts w:cs="Times New Roman"/>
        </w:rPr>
        <w:t xml:space="preserve">Ontario </w:t>
      </w:r>
      <w:r w:rsidRPr="00CB3432">
        <w:rPr>
          <w:rFonts w:cs="Times New Roman"/>
        </w:rPr>
        <w:t>Court of Appeal (Rosenberg, Blair</w:t>
      </w:r>
      <w:r>
        <w:rPr>
          <w:rFonts w:cs="Times New Roman"/>
        </w:rPr>
        <w:t xml:space="preserve"> and</w:t>
      </w:r>
      <w:r w:rsidRPr="00CB3432">
        <w:rPr>
          <w:rFonts w:cs="Times New Roman"/>
        </w:rPr>
        <w:t xml:space="preserve"> Juriansz JJ.A.) on June 28 and 29, 2010.  The appellant raised one ground of appeal relating to an evidentiary ruling and a second ground alleging </w:t>
      </w:r>
      <w:r w:rsidRPr="00CB3432">
        <w:rPr>
          <w:rFonts w:cs="Times New Roman"/>
        </w:rPr>
        <w:lastRenderedPageBreak/>
        <w:t>improper jury vetting by the Crown Attorney’s office in Barrie, Ontario in conjunction with various police forces in the Judicial District of Simcoe</w:t>
      </w:r>
      <w:r>
        <w:rPr>
          <w:rFonts w:cs="Times New Roman"/>
        </w:rPr>
        <w:t xml:space="preserve"> County</w:t>
      </w:r>
      <w:r w:rsidRPr="00CB3432">
        <w:rPr>
          <w:rFonts w:cs="Times New Roman"/>
        </w:rPr>
        <w:t>.</w:t>
      </w:r>
    </w:p>
    <w:p w:rsidR="00E361EC" w:rsidRPr="00CB3432" w:rsidRDefault="00E361EC" w:rsidP="00E361EC">
      <w:pPr>
        <w:pStyle w:val="ParaNoNdepar-AltN"/>
        <w:rPr>
          <w:rFonts w:cs="Times New Roman"/>
        </w:rPr>
      </w:pPr>
      <w:r w:rsidRPr="00CB3432">
        <w:rPr>
          <w:rFonts w:cs="Times New Roman"/>
        </w:rPr>
        <w:t>On December 3, 2010, Rosenberg J.A., writing for the court, released detailed reasons for judgment dismissing the appeal</w:t>
      </w:r>
      <w:r>
        <w:rPr>
          <w:rFonts w:cs="Times New Roman"/>
        </w:rPr>
        <w:t xml:space="preserve"> (2010 ONCA 817, 104 O.R. (3d) 201)</w:t>
      </w:r>
      <w:r w:rsidRPr="00CB3432">
        <w:rPr>
          <w:rFonts w:cs="Times New Roman"/>
        </w:rPr>
        <w:t xml:space="preserve">.  </w:t>
      </w:r>
    </w:p>
    <w:p w:rsidR="00E361EC" w:rsidRPr="00CB3432" w:rsidRDefault="00E361EC" w:rsidP="00E361EC">
      <w:pPr>
        <w:pStyle w:val="ParaNoNdepar-AltN"/>
        <w:rPr>
          <w:rFonts w:cs="Times New Roman"/>
        </w:rPr>
      </w:pPr>
      <w:r w:rsidRPr="00CB3432">
        <w:rPr>
          <w:rFonts w:cs="Times New Roman"/>
        </w:rPr>
        <w:t xml:space="preserve">The appellant now appeals to this Court, solely in respect of the jury vetting issue.  In brief, he complains that the vetting of potential jurors by the Crown and the police subverted the jury selection process and resulted in a jury that, if not favourable to the Crown, might well have been differently composed had he known of the practice and been advised of the information obtained from it.  Second, he submits that even if his fair trial rights were not compromised, the conduct of the Crown and the police amounted to a gross interference with the administration of justice and resulted in a miscarriage of justice requiring a new trial.  </w:t>
      </w:r>
    </w:p>
    <w:p w:rsidR="00E361EC" w:rsidRPr="00CB3432" w:rsidRDefault="00E361EC" w:rsidP="00E361EC">
      <w:pPr>
        <w:pStyle w:val="ParaNoNdepar-AltN"/>
        <w:rPr>
          <w:rFonts w:cs="Times New Roman"/>
        </w:rPr>
      </w:pPr>
      <w:r w:rsidRPr="00CB3432">
        <w:rPr>
          <w:rFonts w:cs="Times New Roman"/>
        </w:rPr>
        <w:t xml:space="preserve">The appellant’s appeal was heard together with the </w:t>
      </w:r>
      <w:r>
        <w:rPr>
          <w:rFonts w:cs="Times New Roman"/>
        </w:rPr>
        <w:t xml:space="preserve">appeals of Mr. </w:t>
      </w:r>
      <w:r w:rsidRPr="00CB3432">
        <w:rPr>
          <w:rFonts w:cs="Times New Roman"/>
        </w:rPr>
        <w:t xml:space="preserve">Yumnu, </w:t>
      </w:r>
      <w:r>
        <w:rPr>
          <w:rFonts w:cs="Times New Roman"/>
        </w:rPr>
        <w:t xml:space="preserve">Mr. </w:t>
      </w:r>
      <w:r w:rsidRPr="00CB3432">
        <w:rPr>
          <w:rFonts w:cs="Times New Roman"/>
        </w:rPr>
        <w:t xml:space="preserve">Cardoso and </w:t>
      </w:r>
      <w:r>
        <w:rPr>
          <w:rFonts w:cs="Times New Roman"/>
        </w:rPr>
        <w:t xml:space="preserve">Mr. </w:t>
      </w:r>
      <w:r w:rsidRPr="00CB3432">
        <w:rPr>
          <w:rFonts w:cs="Times New Roman"/>
        </w:rPr>
        <w:t>Duong (</w:t>
      </w:r>
      <w:r>
        <w:rPr>
          <w:rFonts w:cs="Times New Roman"/>
          <w:i/>
        </w:rPr>
        <w:t xml:space="preserve">R. v. </w:t>
      </w:r>
      <w:proofErr w:type="spellStart"/>
      <w:r>
        <w:rPr>
          <w:rFonts w:cs="Times New Roman"/>
          <w:i/>
        </w:rPr>
        <w:t>Yumnu</w:t>
      </w:r>
      <w:proofErr w:type="spellEnd"/>
      <w:r w:rsidRPr="00CB3432">
        <w:rPr>
          <w:rFonts w:cs="Times New Roman"/>
        </w:rPr>
        <w:t>,</w:t>
      </w:r>
      <w:r>
        <w:rPr>
          <w:rFonts w:cs="Times New Roman"/>
          <w:i/>
        </w:rPr>
        <w:t xml:space="preserve"> </w:t>
      </w:r>
      <w:r>
        <w:rPr>
          <w:rFonts w:cs="Times New Roman"/>
        </w:rPr>
        <w:t>2012 SCC 73</w:t>
      </w:r>
      <w:r w:rsidR="001C2626">
        <w:rPr>
          <w:rFonts w:cs="Times New Roman"/>
        </w:rPr>
        <w:t xml:space="preserve">, [2012] 3 S.C.R. </w:t>
      </w:r>
      <w:r w:rsidR="00173BF7">
        <w:rPr>
          <w:rFonts w:cs="Times New Roman"/>
        </w:rPr>
        <w:t>777</w:t>
      </w:r>
      <w:r>
        <w:rPr>
          <w:rFonts w:cs="Times New Roman"/>
        </w:rPr>
        <w:t xml:space="preserve"> (</w:t>
      </w:r>
      <w:r w:rsidRPr="00CB3432">
        <w:rPr>
          <w:rFonts w:cs="Times New Roman"/>
        </w:rPr>
        <w:t xml:space="preserve">the </w:t>
      </w:r>
      <w:r>
        <w:rPr>
          <w:rFonts w:cs="Times New Roman"/>
        </w:rPr>
        <w:t>“</w:t>
      </w:r>
      <w:proofErr w:type="spellStart"/>
      <w:r w:rsidRPr="00CB3432">
        <w:rPr>
          <w:rFonts w:cs="Times New Roman"/>
          <w:i/>
        </w:rPr>
        <w:t>Yumnu</w:t>
      </w:r>
      <w:proofErr w:type="spellEnd"/>
      <w:r w:rsidRPr="00CB3432">
        <w:rPr>
          <w:rFonts w:cs="Times New Roman"/>
        </w:rPr>
        <w:t xml:space="preserve"> appeals</w:t>
      </w:r>
      <w:r>
        <w:rPr>
          <w:rFonts w:cs="Times New Roman"/>
        </w:rPr>
        <w:t>”</w:t>
      </w:r>
      <w:r w:rsidRPr="00CB3432">
        <w:rPr>
          <w:rFonts w:cs="Times New Roman"/>
        </w:rPr>
        <w:t>)</w:t>
      </w:r>
      <w:r>
        <w:rPr>
          <w:rFonts w:cs="Times New Roman"/>
        </w:rPr>
        <w:t>)</w:t>
      </w:r>
      <w:r w:rsidRPr="00CB3432">
        <w:rPr>
          <w:rFonts w:cs="Times New Roman"/>
        </w:rPr>
        <w:t xml:space="preserve">.  All four appeals emanate from the same jurisdiction and they raise common issues.  </w:t>
      </w:r>
    </w:p>
    <w:p w:rsidR="00E361EC" w:rsidRPr="00CB3432" w:rsidRDefault="00E361EC" w:rsidP="00E361EC">
      <w:pPr>
        <w:pStyle w:val="ParaNoNdepar-AltN"/>
        <w:rPr>
          <w:rFonts w:cs="Times New Roman"/>
        </w:rPr>
      </w:pPr>
      <w:r w:rsidRPr="00CB3432">
        <w:rPr>
          <w:rFonts w:cs="Times New Roman"/>
        </w:rPr>
        <w:t xml:space="preserve">The principles governing the propriety of jury vetting and the use of police databases to check the criminal antecedents of prospective jurors have been canvassed in the </w:t>
      </w:r>
      <w:bookmarkStart w:id="0" w:name="OLE_LINK1"/>
      <w:bookmarkStart w:id="1" w:name="OLE_LINK2"/>
      <w:r w:rsidRPr="00CB3432">
        <w:rPr>
          <w:rFonts w:cs="Times New Roman"/>
          <w:i/>
        </w:rPr>
        <w:t>Yumnu</w:t>
      </w:r>
      <w:r w:rsidRPr="00CB3432">
        <w:rPr>
          <w:rFonts w:cs="Times New Roman"/>
        </w:rPr>
        <w:t xml:space="preserve"> </w:t>
      </w:r>
      <w:bookmarkEnd w:id="0"/>
      <w:bookmarkEnd w:id="1"/>
      <w:r w:rsidRPr="00CB3432">
        <w:rPr>
          <w:rFonts w:cs="Times New Roman"/>
        </w:rPr>
        <w:t xml:space="preserve">appeals.  They apply equally to the present appeal.  What </w:t>
      </w:r>
      <w:r w:rsidRPr="00CB3432">
        <w:rPr>
          <w:rFonts w:cs="Times New Roman"/>
        </w:rPr>
        <w:lastRenderedPageBreak/>
        <w:t xml:space="preserve">separates this appeal from the </w:t>
      </w:r>
      <w:r w:rsidRPr="00CB3432">
        <w:rPr>
          <w:rFonts w:cs="Times New Roman"/>
          <w:i/>
        </w:rPr>
        <w:t>Yumnu</w:t>
      </w:r>
      <w:r w:rsidRPr="00CB3432">
        <w:rPr>
          <w:rFonts w:cs="Times New Roman"/>
        </w:rPr>
        <w:t xml:space="preserve"> appeals is the facts.  Specifically, the facts in this appeal are more favourable to the defence — and that makes this appeal more challenging for the Crown and more difficult to defend.  In the end, while I believe </w:t>
      </w:r>
      <w:r>
        <w:rPr>
          <w:rFonts w:cs="Times New Roman"/>
        </w:rPr>
        <w:t xml:space="preserve">that </w:t>
      </w:r>
      <w:r w:rsidRPr="00CB3432">
        <w:rPr>
          <w:rFonts w:cs="Times New Roman"/>
        </w:rPr>
        <w:t xml:space="preserve">this case is closer to the line than the </w:t>
      </w:r>
      <w:r w:rsidRPr="00CB3432">
        <w:rPr>
          <w:rFonts w:cs="Times New Roman"/>
          <w:i/>
        </w:rPr>
        <w:t>Yumnu</w:t>
      </w:r>
      <w:r w:rsidRPr="00CB3432">
        <w:rPr>
          <w:rFonts w:cs="Times New Roman"/>
        </w:rPr>
        <w:t xml:space="preserve"> appeals, I am not persuaded that the appellant was deprived of his right to a fair trial.  Nor am I satisfied that the conduct of the Crown and the police, though improper in some respects, can be said to have crossed the line and occasioned a miscarriage of justice.  Accordingly, I would dismiss the appeal. </w:t>
      </w:r>
    </w:p>
    <w:p w:rsidR="00E361EC" w:rsidRPr="00CB3432" w:rsidRDefault="00E361EC" w:rsidP="00F015F7">
      <w:pPr>
        <w:pStyle w:val="TitleTitre-AltT"/>
        <w:tabs>
          <w:tab w:val="clear" w:pos="360"/>
        </w:tabs>
        <w:ind w:left="540" w:hanging="540"/>
        <w:rPr>
          <w:rFonts w:cs="Times New Roman"/>
          <w:u w:val="single"/>
        </w:rPr>
      </w:pPr>
      <w:r w:rsidRPr="00CB3432">
        <w:rPr>
          <w:rFonts w:cs="Times New Roman"/>
        </w:rPr>
        <w:t>II.</w:t>
      </w:r>
      <w:r w:rsidRPr="00CB3432">
        <w:rPr>
          <w:rFonts w:cs="Times New Roman"/>
        </w:rPr>
        <w:tab/>
      </w:r>
      <w:r w:rsidRPr="00CB3432">
        <w:rPr>
          <w:rFonts w:cs="Times New Roman"/>
          <w:u w:val="single"/>
        </w:rPr>
        <w:t>Background</w:t>
      </w:r>
    </w:p>
    <w:p w:rsidR="00E361EC" w:rsidRPr="00CB3432" w:rsidRDefault="00E361EC" w:rsidP="00E361EC">
      <w:pPr>
        <w:pStyle w:val="ParaNoNdepar-AltN"/>
        <w:rPr>
          <w:rFonts w:cs="Times New Roman"/>
        </w:rPr>
      </w:pPr>
      <w:r w:rsidRPr="00CB3432">
        <w:rPr>
          <w:rFonts w:cs="Times New Roman"/>
        </w:rPr>
        <w:t>The facts surrounding the jury vetting issue were presented to the Court of Appeal by way of an Agreed Statement of Facts.  Various documents were appended to the Agreed Statement</w:t>
      </w:r>
      <w:r w:rsidR="00F015F7">
        <w:rPr>
          <w:rFonts w:cs="Times New Roman"/>
        </w:rPr>
        <w:t xml:space="preserve"> of Facts</w:t>
      </w:r>
      <w:r w:rsidRPr="00CB3432">
        <w:rPr>
          <w:rFonts w:cs="Times New Roman"/>
        </w:rPr>
        <w:t>, including memoranda from the Ministry of the Attorney General of Ontario on background juror checks, questionnaires completed by several Crown Attorneys in the Barrie Crown’s office, information about prospective jurors on a marked-up jury panel list used by the trial Crown during the selection process and evidence concerning the various data</w:t>
      </w:r>
      <w:r w:rsidR="0024011B">
        <w:rPr>
          <w:rFonts w:cs="Times New Roman"/>
        </w:rPr>
        <w:t xml:space="preserve">bases available to the police. </w:t>
      </w:r>
    </w:p>
    <w:p w:rsidR="00E361EC" w:rsidRPr="00CB3432" w:rsidRDefault="00E361EC" w:rsidP="00E361EC">
      <w:pPr>
        <w:pStyle w:val="ParaNoNdepar-AltN"/>
        <w:rPr>
          <w:rFonts w:cs="Times New Roman"/>
        </w:rPr>
      </w:pPr>
      <w:r w:rsidRPr="00CB3432">
        <w:rPr>
          <w:rFonts w:cs="Times New Roman"/>
        </w:rPr>
        <w:t xml:space="preserve">Jury selection in the appellant’s trial was scheduled to begin on September 22, 2008.  On September 4, 2008, someone in the Court Services Division of the </w:t>
      </w:r>
      <w:r>
        <w:rPr>
          <w:rFonts w:cs="Times New Roman"/>
        </w:rPr>
        <w:t xml:space="preserve">Ontario </w:t>
      </w:r>
      <w:r w:rsidRPr="00CB3432">
        <w:rPr>
          <w:rFonts w:cs="Times New Roman"/>
        </w:rPr>
        <w:t>Ministry of the Attorney General provided the Barrie Crown’s office with a copy of the jury panel list for</w:t>
      </w:r>
      <w:r>
        <w:rPr>
          <w:rFonts w:cs="Times New Roman"/>
        </w:rPr>
        <w:t xml:space="preserve"> the week of</w:t>
      </w:r>
      <w:r w:rsidRPr="00CB3432">
        <w:rPr>
          <w:rFonts w:cs="Times New Roman"/>
        </w:rPr>
        <w:t xml:space="preserve"> September 22.  On September 1</w:t>
      </w:r>
      <w:r>
        <w:rPr>
          <w:rFonts w:cs="Times New Roman"/>
        </w:rPr>
        <w:t>0</w:t>
      </w:r>
      <w:r w:rsidRPr="00CB3432">
        <w:rPr>
          <w:rFonts w:cs="Times New Roman"/>
        </w:rPr>
        <w:t xml:space="preserve">, an </w:t>
      </w:r>
      <w:r w:rsidRPr="00CB3432">
        <w:rPr>
          <w:rFonts w:cs="Times New Roman"/>
        </w:rPr>
        <w:lastRenderedPageBreak/>
        <w:t xml:space="preserve">administrative assistant in the Crown Attorney’s office </w:t>
      </w:r>
      <w:r>
        <w:rPr>
          <w:rFonts w:cs="Times New Roman"/>
        </w:rPr>
        <w:t>sent</w:t>
      </w:r>
      <w:r w:rsidRPr="00CB3432">
        <w:rPr>
          <w:rFonts w:cs="Times New Roman"/>
        </w:rPr>
        <w:t xml:space="preserve"> copies of the jury list to five local Ontario </w:t>
      </w:r>
      <w:r>
        <w:rPr>
          <w:rFonts w:cs="Times New Roman"/>
        </w:rPr>
        <w:t>P</w:t>
      </w:r>
      <w:r w:rsidRPr="00CB3432">
        <w:rPr>
          <w:rFonts w:cs="Times New Roman"/>
        </w:rPr>
        <w:t xml:space="preserve">rovincial </w:t>
      </w:r>
      <w:r>
        <w:rPr>
          <w:rFonts w:cs="Times New Roman"/>
        </w:rPr>
        <w:t>P</w:t>
      </w:r>
      <w:r w:rsidRPr="00CB3432">
        <w:rPr>
          <w:rFonts w:cs="Times New Roman"/>
        </w:rPr>
        <w:t xml:space="preserve">olice detachments and the Midland Police Service.  Accompanying each list was a memorandum dated September 10, requesting the police to provide the Crown with the same information the Crown’s office had sought in the </w:t>
      </w:r>
      <w:r w:rsidRPr="00CB3432">
        <w:rPr>
          <w:rFonts w:cs="Times New Roman"/>
          <w:i/>
        </w:rPr>
        <w:t>Yumnu</w:t>
      </w:r>
      <w:r w:rsidRPr="00CB3432">
        <w:rPr>
          <w:rFonts w:cs="Times New Roman"/>
        </w:rPr>
        <w:t xml:space="preserve"> </w:t>
      </w:r>
      <w:r>
        <w:rPr>
          <w:rFonts w:cs="Times New Roman"/>
        </w:rPr>
        <w:t xml:space="preserve">appeals </w:t>
      </w:r>
      <w:r w:rsidRPr="00CB3432">
        <w:rPr>
          <w:rFonts w:cs="Times New Roman"/>
        </w:rPr>
        <w:t>some four years earlier.  Among other things, the memorandum included the following request:</w:t>
      </w:r>
    </w:p>
    <w:p w:rsidR="00E361EC" w:rsidRPr="00CB3432" w:rsidRDefault="0024011B" w:rsidP="0024011B">
      <w:pPr>
        <w:pStyle w:val="Citation-AltC"/>
        <w:tabs>
          <w:tab w:val="left" w:pos="1170"/>
        </w:tabs>
        <w:spacing w:after="240"/>
        <w:ind w:hanging="1166"/>
        <w:contextualSpacing w:val="0"/>
      </w:pPr>
      <w:r>
        <w:tab/>
      </w:r>
      <w:r w:rsidR="00E361EC" w:rsidRPr="00CB3432">
        <w:t>Please check the attached jury panel list, for the persons listed in your locality, and advise if any of them have criminal records.  We are not able to provide dates of birth.</w:t>
      </w:r>
    </w:p>
    <w:p w:rsidR="00E361EC" w:rsidRPr="00CB3432" w:rsidRDefault="0024011B" w:rsidP="0024011B">
      <w:pPr>
        <w:pStyle w:val="Citation-AltC"/>
        <w:tabs>
          <w:tab w:val="left" w:pos="1170"/>
        </w:tabs>
        <w:ind w:hanging="1166"/>
      </w:pPr>
      <w:r>
        <w:tab/>
      </w:r>
      <w:r w:rsidR="00E361EC" w:rsidRPr="00CB3432">
        <w:t>It would also be helpful if comments could be made concerning any disreputable persons we would not want as a juror.  All we can ask is that you do your best considering the lack of information available to us.</w:t>
      </w:r>
    </w:p>
    <w:p w:rsidR="00E361EC" w:rsidRPr="00CB3432" w:rsidRDefault="00E361EC" w:rsidP="00E361EC">
      <w:pPr>
        <w:pStyle w:val="ParaNoNdepar-AltN"/>
        <w:rPr>
          <w:rFonts w:cs="Times New Roman"/>
        </w:rPr>
      </w:pPr>
      <w:r w:rsidRPr="00CB3432">
        <w:rPr>
          <w:rFonts w:cs="Times New Roman"/>
        </w:rPr>
        <w:t>Upon receiving the memorandum and the jury panel list, checks were carried out by the various police detachments using databases available only to the police.  These databases — mainly the Canadian Police Information Centre (</w:t>
      </w:r>
      <w:r>
        <w:rPr>
          <w:rFonts w:cs="Times New Roman"/>
        </w:rPr>
        <w:t>“</w:t>
      </w:r>
      <w:r w:rsidRPr="00CB3432">
        <w:rPr>
          <w:rFonts w:cs="Times New Roman"/>
        </w:rPr>
        <w:t>CPIC</w:t>
      </w:r>
      <w:r>
        <w:rPr>
          <w:rFonts w:cs="Times New Roman"/>
        </w:rPr>
        <w:t>”</w:t>
      </w:r>
      <w:r w:rsidRPr="00CB3432">
        <w:rPr>
          <w:rFonts w:cs="Times New Roman"/>
        </w:rPr>
        <w:t>) and Niche RMS — revealed the criminal records of prospective jurors, as well as other matters such as outstanding warrants, court orders, charges, police contacts, and investigations relating to individuals and locations.</w:t>
      </w:r>
    </w:p>
    <w:p w:rsidR="00E361EC" w:rsidRPr="00CB3432" w:rsidRDefault="00E361EC" w:rsidP="00E361EC">
      <w:pPr>
        <w:pStyle w:val="ParaNoNdepar-AltN"/>
        <w:rPr>
          <w:rFonts w:cs="Times New Roman"/>
        </w:rPr>
      </w:pPr>
      <w:r w:rsidRPr="00CB3432">
        <w:rPr>
          <w:rFonts w:cs="Times New Roman"/>
        </w:rPr>
        <w:t>Information obtained from these checks was sent to the Crown Attorney’s office in Barrie and turned over to the Crown with carriage of the trial.  As Rosenberg J.A. noted</w:t>
      </w:r>
      <w:r>
        <w:rPr>
          <w:rFonts w:cs="Times New Roman"/>
        </w:rPr>
        <w:t>,</w:t>
      </w:r>
      <w:r w:rsidRPr="00CB3432">
        <w:rPr>
          <w:rFonts w:cs="Times New Roman"/>
        </w:rPr>
        <w:t xml:space="preserve"> at para. 39</w:t>
      </w:r>
      <w:r>
        <w:rPr>
          <w:rFonts w:cs="Times New Roman"/>
        </w:rPr>
        <w:t>,</w:t>
      </w:r>
      <w:r w:rsidRPr="00CB3432">
        <w:rPr>
          <w:rFonts w:cs="Times New Roman"/>
        </w:rPr>
        <w:t xml:space="preserve"> the information in question was of limited value.  For the most part, it consisted of notations such as “</w:t>
      </w:r>
      <w:r>
        <w:rPr>
          <w:rFonts w:cs="Times New Roman"/>
        </w:rPr>
        <w:t>OK</w:t>
      </w:r>
      <w:r w:rsidRPr="00CB3432">
        <w:rPr>
          <w:rFonts w:cs="Times New Roman"/>
        </w:rPr>
        <w:t>”, “negative”, or “possible”.  Crown counsel took the words “</w:t>
      </w:r>
      <w:r>
        <w:rPr>
          <w:rFonts w:cs="Times New Roman"/>
        </w:rPr>
        <w:t>OK</w:t>
      </w:r>
      <w:r w:rsidRPr="00CB3432">
        <w:rPr>
          <w:rFonts w:cs="Times New Roman"/>
        </w:rPr>
        <w:t xml:space="preserve">” and “negative” to mean that the prospective </w:t>
      </w:r>
      <w:r w:rsidRPr="00CB3432">
        <w:rPr>
          <w:rFonts w:cs="Times New Roman"/>
        </w:rPr>
        <w:lastRenderedPageBreak/>
        <w:t xml:space="preserve">juror had no prior criminal record.  She took the word “possible” to mean that the </w:t>
      </w:r>
      <w:r>
        <w:rPr>
          <w:rFonts w:cs="Times New Roman"/>
        </w:rPr>
        <w:t xml:space="preserve">prospective </w:t>
      </w:r>
      <w:r w:rsidRPr="00CB3432">
        <w:rPr>
          <w:rFonts w:cs="Times New Roman"/>
        </w:rPr>
        <w:t>juror might have a criminal record.</w:t>
      </w:r>
    </w:p>
    <w:p w:rsidR="00E361EC" w:rsidRPr="00CB3432" w:rsidRDefault="00E361EC" w:rsidP="00E361EC">
      <w:pPr>
        <w:pStyle w:val="ParaNoNdepar-AltN"/>
        <w:rPr>
          <w:rFonts w:cs="Times New Roman"/>
        </w:rPr>
      </w:pPr>
      <w:r w:rsidRPr="00CB3432">
        <w:rPr>
          <w:rFonts w:cs="Times New Roman"/>
        </w:rPr>
        <w:t>In several instances, the notations suggested that the individual might have had some involvement with the criminal law, even though no convictions had been recorded.  For example, beside one prospective juror, the words “CNI [Criminal Name Index] 1995 Drugs no convictions” appeared.</w:t>
      </w:r>
    </w:p>
    <w:p w:rsidR="00E361EC" w:rsidRPr="00CB3432" w:rsidRDefault="00E361EC" w:rsidP="00E361EC">
      <w:pPr>
        <w:pStyle w:val="ParaNoNdepar-AltN"/>
        <w:rPr>
          <w:rFonts w:cs="Times New Roman"/>
        </w:rPr>
      </w:pPr>
      <w:r w:rsidRPr="00CB3432">
        <w:rPr>
          <w:rFonts w:cs="Times New Roman"/>
        </w:rPr>
        <w:t xml:space="preserve">None of the information obtained by the police and forwarded to the Crown was disclosed to the defence, either directly, or indirectly as had occurred in the </w:t>
      </w:r>
      <w:r w:rsidRPr="00CB3432">
        <w:rPr>
          <w:rFonts w:cs="Times New Roman"/>
          <w:i/>
        </w:rPr>
        <w:t>Yumnu</w:t>
      </w:r>
      <w:r w:rsidRPr="00CB3432">
        <w:rPr>
          <w:rFonts w:cs="Times New Roman"/>
        </w:rPr>
        <w:t xml:space="preserve"> appeals.  By the time the jury vetting was carried out in this case, all Crown offices across the </w:t>
      </w:r>
      <w:r>
        <w:rPr>
          <w:rFonts w:cs="Times New Roman"/>
        </w:rPr>
        <w:t>p</w:t>
      </w:r>
      <w:r w:rsidRPr="00CB3432">
        <w:rPr>
          <w:rFonts w:cs="Times New Roman"/>
        </w:rPr>
        <w:t>rovince of Ontario had received a Practice Memorandum dated March 31, 2006</w:t>
      </w:r>
      <w:r>
        <w:rPr>
          <w:rFonts w:cs="Times New Roman"/>
        </w:rPr>
        <w:t xml:space="preserve"> (PM [2005] No. 17)</w:t>
      </w:r>
      <w:r w:rsidRPr="00CB3432">
        <w:rPr>
          <w:rFonts w:cs="Times New Roman"/>
        </w:rPr>
        <w:t xml:space="preserve">, directing that criminal record checks, if done, and any concrete information provided by police to the Crown suggesting that an individual may not be impartial should be disclosed to the defence.  The same memorandum made it clear that apart from criminal record checks, Crown counsel were not to ask the police “to undertake an investigation into the list of jurors”, nor were they to “request police to conduct out-of-court investigations into private aspects of potential jurors’ lives”.  </w:t>
      </w:r>
    </w:p>
    <w:p w:rsidR="00E361EC" w:rsidRPr="00CB3432" w:rsidRDefault="00E361EC" w:rsidP="00E361EC">
      <w:pPr>
        <w:pStyle w:val="ParaNoNdepar-AltN"/>
        <w:rPr>
          <w:rFonts w:cs="Times New Roman"/>
        </w:rPr>
      </w:pPr>
      <w:r w:rsidRPr="00CB3432">
        <w:rPr>
          <w:rFonts w:cs="Times New Roman"/>
        </w:rPr>
        <w:t>As is apparent, the March 31, 2006 Practice Memorandum was not followed in this case.  Disclosure of relevant information was not made to the defence and the September 10</w:t>
      </w:r>
      <w:r>
        <w:rPr>
          <w:rFonts w:cs="Times New Roman"/>
        </w:rPr>
        <w:t>, 2008</w:t>
      </w:r>
      <w:r w:rsidRPr="00CB3432">
        <w:rPr>
          <w:rFonts w:cs="Times New Roman"/>
        </w:rPr>
        <w:t xml:space="preserve"> memorandum from the Crown’s office invited the police to go beyond criminal record checks and use their databases to provide </w:t>
      </w:r>
      <w:r w:rsidRPr="00CB3432">
        <w:rPr>
          <w:rFonts w:cs="Times New Roman"/>
        </w:rPr>
        <w:lastRenderedPageBreak/>
        <w:t>“comments .</w:t>
      </w:r>
      <w:r w:rsidRPr="00CB3432">
        <w:rPr>
          <w:rFonts w:cs="Times New Roman"/>
          <w:sz w:val="28"/>
        </w:rPr>
        <w:t> . .</w:t>
      </w:r>
      <w:r w:rsidRPr="00CB3432">
        <w:rPr>
          <w:rFonts w:cs="Times New Roman"/>
        </w:rPr>
        <w:t xml:space="preserve"> concerning any disreputable persons we would not want as a juror”.  I will have more to say about this in due course.  </w:t>
      </w:r>
    </w:p>
    <w:p w:rsidR="00E361EC" w:rsidRPr="00CB3432" w:rsidRDefault="00E361EC" w:rsidP="00E361EC">
      <w:pPr>
        <w:pStyle w:val="ParaNoNdepar-AltN"/>
        <w:rPr>
          <w:rFonts w:cs="Times New Roman"/>
        </w:rPr>
      </w:pPr>
      <w:r w:rsidRPr="00CB3432">
        <w:rPr>
          <w:rFonts w:cs="Times New Roman"/>
        </w:rPr>
        <w:t>During the jury selection process, Crown counsel used the information she had received from the police when exercising the</w:t>
      </w:r>
      <w:r w:rsidR="00322DCD">
        <w:rPr>
          <w:rFonts w:cs="Times New Roman"/>
        </w:rPr>
        <w:t xml:space="preserve"> 12</w:t>
      </w:r>
      <w:r w:rsidRPr="00CB3432">
        <w:rPr>
          <w:rFonts w:cs="Times New Roman"/>
        </w:rPr>
        <w:t xml:space="preserve"> peremptory challenges she had available to her.  Of the prospective jurors on the Crown’s master list who were shown as possibly having criminal antecedents, only four were called forward during the peremptory challenge phase of the selection process. Of those four, the Crown challenged two peremptorily and the defence challenged the other two (juror </w:t>
      </w:r>
      <w:r>
        <w:rPr>
          <w:rFonts w:cs="Times New Roman"/>
        </w:rPr>
        <w:t xml:space="preserve">roll nos. </w:t>
      </w:r>
      <w:r w:rsidRPr="00CB3432">
        <w:rPr>
          <w:rFonts w:cs="Times New Roman"/>
        </w:rPr>
        <w:t>5679 and 2818).</w:t>
      </w:r>
    </w:p>
    <w:p w:rsidR="00E361EC" w:rsidRPr="00CB3432" w:rsidRDefault="00E361EC" w:rsidP="00E361EC">
      <w:pPr>
        <w:pStyle w:val="ParaNoNdepar-AltN"/>
        <w:rPr>
          <w:rFonts w:cs="Times New Roman"/>
        </w:rPr>
      </w:pPr>
      <w:r w:rsidRPr="00CB3432">
        <w:rPr>
          <w:rFonts w:cs="Times New Roman"/>
        </w:rPr>
        <w:t xml:space="preserve">Given her pattern of challenging </w:t>
      </w:r>
      <w:r>
        <w:rPr>
          <w:rFonts w:cs="Times New Roman"/>
        </w:rPr>
        <w:t xml:space="preserve">prospective </w:t>
      </w:r>
      <w:r w:rsidRPr="00CB3432">
        <w:rPr>
          <w:rFonts w:cs="Times New Roman"/>
        </w:rPr>
        <w:t xml:space="preserve">jurors with possible criminal records, it is likely that Crown counsel would have challenged all four of the </w:t>
      </w:r>
      <w:r>
        <w:rPr>
          <w:rFonts w:cs="Times New Roman"/>
        </w:rPr>
        <w:t xml:space="preserve">prospective </w:t>
      </w:r>
      <w:r w:rsidRPr="00CB3432">
        <w:rPr>
          <w:rFonts w:cs="Times New Roman"/>
        </w:rPr>
        <w:t>jurors had defence counsel not challenged two of them.  In other words, the Crown probably gained two challenges by reason of its failure to make disclosure to the defence.  Conversely</w:t>
      </w:r>
      <w:r>
        <w:rPr>
          <w:rFonts w:cs="Times New Roman"/>
        </w:rPr>
        <w:t>,</w:t>
      </w:r>
      <w:r w:rsidRPr="00CB3432">
        <w:rPr>
          <w:rFonts w:cs="Times New Roman"/>
        </w:rPr>
        <w:t xml:space="preserve"> the defence likely lost two challenges.</w:t>
      </w:r>
    </w:p>
    <w:p w:rsidR="00E361EC" w:rsidRPr="00CB3432" w:rsidRDefault="00E361EC" w:rsidP="00E361EC">
      <w:pPr>
        <w:pStyle w:val="ParaNoNdepar-AltN"/>
        <w:rPr>
          <w:rFonts w:cs="Times New Roman"/>
        </w:rPr>
      </w:pPr>
      <w:r w:rsidRPr="00CB3432">
        <w:rPr>
          <w:rFonts w:cs="Times New Roman"/>
        </w:rPr>
        <w:t>As the record shows, at the completion of the selection process, the Crown had one challenge remaining.  But if the Crown had been required to use two challenges to remove the two</w:t>
      </w:r>
      <w:r>
        <w:rPr>
          <w:rFonts w:cs="Times New Roman"/>
        </w:rPr>
        <w:t xml:space="preserve"> prospective</w:t>
      </w:r>
      <w:r w:rsidRPr="00CB3432">
        <w:rPr>
          <w:rFonts w:cs="Times New Roman"/>
        </w:rPr>
        <w:t xml:space="preserve"> jurors the defence had challenged, it would have been one challenge over its allotted limit, and would not have been able to challenge</w:t>
      </w:r>
      <w:r>
        <w:rPr>
          <w:rFonts w:cs="Times New Roman"/>
        </w:rPr>
        <w:t xml:space="preserve"> prospective </w:t>
      </w:r>
      <w:r w:rsidRPr="00CB3432">
        <w:rPr>
          <w:rFonts w:cs="Times New Roman"/>
        </w:rPr>
        <w:t xml:space="preserve">juror </w:t>
      </w:r>
      <w:r>
        <w:rPr>
          <w:rFonts w:cs="Times New Roman"/>
        </w:rPr>
        <w:t xml:space="preserve">roll no. </w:t>
      </w:r>
      <w:r w:rsidRPr="00CB3432">
        <w:rPr>
          <w:rFonts w:cs="Times New Roman"/>
        </w:rPr>
        <w:t xml:space="preserve">2586 — the last </w:t>
      </w:r>
      <w:r>
        <w:rPr>
          <w:rFonts w:cs="Times New Roman"/>
        </w:rPr>
        <w:t xml:space="preserve">prospective </w:t>
      </w:r>
      <w:r w:rsidRPr="00CB3432">
        <w:rPr>
          <w:rFonts w:cs="Times New Roman"/>
        </w:rPr>
        <w:t>juror challenged by the Crown</w:t>
      </w:r>
      <w:r>
        <w:rPr>
          <w:rFonts w:cs="Times New Roman"/>
        </w:rPr>
        <w:t xml:space="preserve"> before the jury was completed</w:t>
      </w:r>
      <w:r w:rsidRPr="00CB3432">
        <w:rPr>
          <w:rFonts w:cs="Times New Roman"/>
        </w:rPr>
        <w:t>.</w:t>
      </w:r>
    </w:p>
    <w:p w:rsidR="00E361EC" w:rsidRPr="00CB3432" w:rsidRDefault="00E361EC" w:rsidP="00E361EC">
      <w:pPr>
        <w:pStyle w:val="TitleTitre-AltT"/>
        <w:tabs>
          <w:tab w:val="clear" w:pos="360"/>
        </w:tabs>
        <w:ind w:left="720" w:hanging="720"/>
        <w:rPr>
          <w:rFonts w:cs="Times New Roman"/>
          <w:u w:val="single"/>
        </w:rPr>
      </w:pPr>
      <w:r w:rsidRPr="00CB3432">
        <w:rPr>
          <w:rFonts w:cs="Times New Roman"/>
        </w:rPr>
        <w:lastRenderedPageBreak/>
        <w:t>III.</w:t>
      </w:r>
      <w:r w:rsidRPr="00CB3432">
        <w:rPr>
          <w:rFonts w:cs="Times New Roman"/>
        </w:rPr>
        <w:tab/>
      </w:r>
      <w:r w:rsidRPr="00CB3432">
        <w:rPr>
          <w:rFonts w:cs="Times New Roman"/>
          <w:u w:val="single"/>
        </w:rPr>
        <w:t>Findings of the Court of Appeal:  The Effect of Non-Disclosure on Trial Fairness</w:t>
      </w:r>
    </w:p>
    <w:p w:rsidR="00E361EC" w:rsidRPr="00CB3432" w:rsidRDefault="00E361EC" w:rsidP="00E361EC">
      <w:pPr>
        <w:pStyle w:val="ParaNoNdepar-AltN"/>
        <w:rPr>
          <w:rFonts w:cs="Times New Roman"/>
        </w:rPr>
      </w:pPr>
      <w:r w:rsidRPr="00CB3432">
        <w:rPr>
          <w:rFonts w:cs="Times New Roman"/>
        </w:rPr>
        <w:t xml:space="preserve">The Court of Appeal accepted that the Crown had failed to meet its disclosure obligations.  Information showing that a potential juror may have had some prior </w:t>
      </w:r>
      <w:r>
        <w:rPr>
          <w:rFonts w:cs="Times New Roman"/>
        </w:rPr>
        <w:t xml:space="preserve">criminal history </w:t>
      </w:r>
      <w:r w:rsidRPr="00CB3432">
        <w:rPr>
          <w:rFonts w:cs="Times New Roman"/>
        </w:rPr>
        <w:t xml:space="preserve">should have been turned over to the defence.  </w:t>
      </w:r>
    </w:p>
    <w:p w:rsidR="00E361EC" w:rsidRPr="00CB3432" w:rsidRDefault="00E361EC" w:rsidP="00E361EC">
      <w:pPr>
        <w:pStyle w:val="ParaNoNdepar-AltN"/>
        <w:rPr>
          <w:rFonts w:cs="Times New Roman"/>
        </w:rPr>
      </w:pPr>
      <w:r w:rsidRPr="00CB3432">
        <w:rPr>
          <w:rFonts w:cs="Times New Roman"/>
        </w:rPr>
        <w:t>That said, the court concluded that there was “no reasonable possibility that the non-disclosure had any impact on the partiality of the jury”</w:t>
      </w:r>
      <w:r>
        <w:rPr>
          <w:rFonts w:cs="Times New Roman"/>
        </w:rPr>
        <w:t xml:space="preserve"> (para. 49)</w:t>
      </w:r>
      <w:r w:rsidRPr="00CB3432">
        <w:rPr>
          <w:rFonts w:cs="Times New Roman"/>
        </w:rPr>
        <w:t>.  The court further found that there was “n</w:t>
      </w:r>
      <w:r>
        <w:rPr>
          <w:rFonts w:cs="Times New Roman"/>
        </w:rPr>
        <w:t>[</w:t>
      </w:r>
      <w:r w:rsidRPr="00CB3432">
        <w:rPr>
          <w:rFonts w:cs="Times New Roman"/>
        </w:rPr>
        <w:t>o</w:t>
      </w:r>
      <w:r>
        <w:rPr>
          <w:rFonts w:cs="Times New Roman"/>
        </w:rPr>
        <w:t>]</w:t>
      </w:r>
      <w:r w:rsidRPr="00CB3432">
        <w:rPr>
          <w:rFonts w:cs="Times New Roman"/>
        </w:rPr>
        <w:t xml:space="preserve"> reasonable possibility that the non-disclosure had any impact on the verdict since, one way or another, </w:t>
      </w:r>
      <w:r>
        <w:rPr>
          <w:rFonts w:cs="Times New Roman"/>
        </w:rPr>
        <w:t>j</w:t>
      </w:r>
      <w:r w:rsidRPr="00CB3432">
        <w:rPr>
          <w:rFonts w:cs="Times New Roman"/>
        </w:rPr>
        <w:t xml:space="preserve">urors 5679 and 2818 [the two </w:t>
      </w:r>
      <w:r>
        <w:rPr>
          <w:rFonts w:cs="Times New Roman"/>
        </w:rPr>
        <w:t xml:space="preserve">prospective </w:t>
      </w:r>
      <w:r w:rsidRPr="00CB3432">
        <w:rPr>
          <w:rFonts w:cs="Times New Roman"/>
        </w:rPr>
        <w:t>jurors with possible criminal antecedents whom the defence had challenged] were not going to be on that jury”</w:t>
      </w:r>
      <w:r>
        <w:rPr>
          <w:rFonts w:cs="Times New Roman"/>
        </w:rPr>
        <w:t xml:space="preserve"> (para. 50)</w:t>
      </w:r>
      <w:r w:rsidRPr="00CB3432">
        <w:rPr>
          <w:rFonts w:cs="Times New Roman"/>
        </w:rPr>
        <w:t>.</w:t>
      </w:r>
    </w:p>
    <w:p w:rsidR="00E361EC" w:rsidRPr="00CB3432" w:rsidRDefault="00E361EC" w:rsidP="00E361EC">
      <w:pPr>
        <w:pStyle w:val="ParaNoNdepar-AltN"/>
        <w:rPr>
          <w:rFonts w:cs="Times New Roman"/>
        </w:rPr>
      </w:pPr>
      <w:r w:rsidRPr="00CB3432">
        <w:rPr>
          <w:rFonts w:cs="Times New Roman"/>
        </w:rPr>
        <w:t>In my view, both findings were available to the court and I see no basis for interfering with them.  In arriving at the second finding, the court noted that at the end of the jury selection process, because defence counsel still had two peremptory challenges remaining, the fact that defence counsel “may have ‘wasted’ two challenges did not impact on the kind of jury he wanted to try the case”</w:t>
      </w:r>
      <w:r>
        <w:rPr>
          <w:rFonts w:cs="Times New Roman"/>
        </w:rPr>
        <w:t xml:space="preserve"> (para. 50)</w:t>
      </w:r>
      <w:r w:rsidRPr="00CB3432">
        <w:rPr>
          <w:rFonts w:cs="Times New Roman"/>
        </w:rPr>
        <w:t>.  I cannot say that the court was wrong in coming to that conclusion.</w:t>
      </w:r>
    </w:p>
    <w:p w:rsidR="00E361EC" w:rsidRPr="00CB3432" w:rsidRDefault="00E361EC" w:rsidP="00E361EC">
      <w:pPr>
        <w:pStyle w:val="ParaNoNdepar-AltN"/>
        <w:rPr>
          <w:rFonts w:cs="Times New Roman"/>
        </w:rPr>
      </w:pPr>
      <w:r w:rsidRPr="00CB3432">
        <w:rPr>
          <w:rFonts w:cs="Times New Roman"/>
        </w:rPr>
        <w:t>The more problematic issue is the one I mentioned earlier.  It hinges on the appellant’s submission that if the Crown had been required to use up two challenges on the two</w:t>
      </w:r>
      <w:r>
        <w:rPr>
          <w:rFonts w:cs="Times New Roman"/>
        </w:rPr>
        <w:t xml:space="preserve"> prospective</w:t>
      </w:r>
      <w:r w:rsidRPr="00CB3432">
        <w:rPr>
          <w:rFonts w:cs="Times New Roman"/>
        </w:rPr>
        <w:t xml:space="preserve"> jurors the defence challenged, it would have had no </w:t>
      </w:r>
      <w:r w:rsidRPr="00CB3432">
        <w:rPr>
          <w:rFonts w:cs="Times New Roman"/>
        </w:rPr>
        <w:lastRenderedPageBreak/>
        <w:t xml:space="preserve">challenges left for </w:t>
      </w:r>
      <w:r>
        <w:rPr>
          <w:rFonts w:cs="Times New Roman"/>
        </w:rPr>
        <w:t>j</w:t>
      </w:r>
      <w:r w:rsidRPr="00CB3432">
        <w:rPr>
          <w:rFonts w:cs="Times New Roman"/>
        </w:rPr>
        <w:t>uror</w:t>
      </w:r>
      <w:r>
        <w:rPr>
          <w:rFonts w:cs="Times New Roman"/>
        </w:rPr>
        <w:t xml:space="preserve"> roll no.</w:t>
      </w:r>
      <w:r w:rsidRPr="00CB3432">
        <w:rPr>
          <w:rFonts w:cs="Times New Roman"/>
        </w:rPr>
        <w:t xml:space="preserve"> 2586, the last </w:t>
      </w:r>
      <w:r>
        <w:rPr>
          <w:rFonts w:cs="Times New Roman"/>
        </w:rPr>
        <w:t xml:space="preserve">prospective </w:t>
      </w:r>
      <w:r w:rsidRPr="00CB3432">
        <w:rPr>
          <w:rFonts w:cs="Times New Roman"/>
        </w:rPr>
        <w:t xml:space="preserve">juror actually challenged by the Crown.  This was important, according to the appellant, because </w:t>
      </w:r>
      <w:r>
        <w:rPr>
          <w:rFonts w:cs="Times New Roman"/>
        </w:rPr>
        <w:t>j</w:t>
      </w:r>
      <w:r w:rsidRPr="00CB3432">
        <w:rPr>
          <w:rFonts w:cs="Times New Roman"/>
        </w:rPr>
        <w:t>uror</w:t>
      </w:r>
      <w:r>
        <w:rPr>
          <w:rFonts w:cs="Times New Roman"/>
        </w:rPr>
        <w:t> roll no. </w:t>
      </w:r>
      <w:r w:rsidRPr="00CB3432">
        <w:rPr>
          <w:rFonts w:cs="Times New Roman"/>
        </w:rPr>
        <w:t>2586 was a senior bankruptcy analyst and official receiver who, because of his background and training, would have appreciated the appellant’s defence that while he may have committed a civil wrong, he was not guilty of criminal fraud.</w:t>
      </w:r>
    </w:p>
    <w:p w:rsidR="00E361EC" w:rsidRPr="00CB3432" w:rsidRDefault="00E361EC" w:rsidP="00E361EC">
      <w:pPr>
        <w:pStyle w:val="ParaNoNdepar-AltN"/>
        <w:rPr>
          <w:rFonts w:cs="Times New Roman"/>
        </w:rPr>
      </w:pPr>
      <w:r w:rsidRPr="00CB3432">
        <w:rPr>
          <w:rFonts w:cs="Times New Roman"/>
        </w:rPr>
        <w:t xml:space="preserve">The Court of Appeal considered the appellant’s argument in relation to </w:t>
      </w:r>
      <w:r>
        <w:rPr>
          <w:rFonts w:cs="Times New Roman"/>
        </w:rPr>
        <w:t>j</w:t>
      </w:r>
      <w:r w:rsidRPr="00CB3432">
        <w:rPr>
          <w:rFonts w:cs="Times New Roman"/>
        </w:rPr>
        <w:t xml:space="preserve">uror </w:t>
      </w:r>
      <w:r>
        <w:rPr>
          <w:rFonts w:cs="Times New Roman"/>
        </w:rPr>
        <w:t xml:space="preserve">roll no. </w:t>
      </w:r>
      <w:r w:rsidRPr="00CB3432">
        <w:rPr>
          <w:rFonts w:cs="Times New Roman"/>
        </w:rPr>
        <w:t>2586 and rejected it for two reasons.</w:t>
      </w:r>
    </w:p>
    <w:p w:rsidR="00E361EC" w:rsidRPr="00CB3432" w:rsidRDefault="00E361EC" w:rsidP="00E361EC">
      <w:pPr>
        <w:pStyle w:val="ParaNoNdepar-AltN"/>
        <w:rPr>
          <w:rFonts w:cs="Times New Roman"/>
        </w:rPr>
      </w:pPr>
      <w:r w:rsidRPr="00CB3432">
        <w:rPr>
          <w:rFonts w:cs="Times New Roman"/>
        </w:rPr>
        <w:t xml:space="preserve">First, the court questioned the logic of the appellant’s reason for wanting </w:t>
      </w:r>
      <w:r>
        <w:rPr>
          <w:rFonts w:cs="Times New Roman"/>
        </w:rPr>
        <w:t>j</w:t>
      </w:r>
      <w:r w:rsidRPr="00CB3432">
        <w:rPr>
          <w:rFonts w:cs="Times New Roman"/>
        </w:rPr>
        <w:t xml:space="preserve">uror </w:t>
      </w:r>
      <w:r>
        <w:rPr>
          <w:rFonts w:cs="Times New Roman"/>
        </w:rPr>
        <w:t xml:space="preserve">roll no. </w:t>
      </w:r>
      <w:r w:rsidRPr="00CB3432">
        <w:rPr>
          <w:rFonts w:cs="Times New Roman"/>
        </w:rPr>
        <w:t xml:space="preserve">2586 on the jury and found it “hardly . . . likely” </w:t>
      </w:r>
      <w:r>
        <w:rPr>
          <w:rFonts w:cs="Times New Roman"/>
        </w:rPr>
        <w:t xml:space="preserve">(para. 52) </w:t>
      </w:r>
      <w:r w:rsidRPr="00CB3432">
        <w:rPr>
          <w:rFonts w:cs="Times New Roman"/>
        </w:rPr>
        <w:t>that a bankruptcy analyst and official receiver would have been helpful to his cause.  Second, the court concluded that “in any event, to suggest that the overall fairness of the trial process was impacted in those circumstances descends from the reasonably possible to mere speculation”</w:t>
      </w:r>
      <w:r>
        <w:rPr>
          <w:rFonts w:cs="Times New Roman"/>
        </w:rPr>
        <w:t xml:space="preserve"> (para. 52)</w:t>
      </w:r>
      <w:r w:rsidRPr="00CB3432">
        <w:rPr>
          <w:rFonts w:cs="Times New Roman"/>
        </w:rPr>
        <w:t>.  Ultimately, considering how the jury selection process had unfolded, the court was satisfied that there was no “actual impact on the jury selection”</w:t>
      </w:r>
      <w:r>
        <w:rPr>
          <w:rFonts w:cs="Times New Roman"/>
        </w:rPr>
        <w:t xml:space="preserve"> (para. 53)</w:t>
      </w:r>
      <w:r w:rsidRPr="00CB3432">
        <w:rPr>
          <w:rFonts w:cs="Times New Roman"/>
        </w:rPr>
        <w:t>.  Accordingly, it rejected the appellant’s submission that the selection process had compromised the overall fairness of the trial.</w:t>
      </w:r>
    </w:p>
    <w:p w:rsidR="00E361EC" w:rsidRPr="00CB3432" w:rsidRDefault="00E361EC" w:rsidP="00E361EC">
      <w:pPr>
        <w:pStyle w:val="TitleTitre-AltT"/>
        <w:tabs>
          <w:tab w:val="clear" w:pos="360"/>
        </w:tabs>
        <w:ind w:left="720" w:hanging="720"/>
        <w:rPr>
          <w:rFonts w:cs="Times New Roman"/>
        </w:rPr>
      </w:pPr>
      <w:r w:rsidRPr="00CB3432">
        <w:rPr>
          <w:rFonts w:cs="Times New Roman"/>
        </w:rPr>
        <w:t>IV.</w:t>
      </w:r>
      <w:r w:rsidRPr="00CB3432">
        <w:rPr>
          <w:rFonts w:cs="Times New Roman"/>
        </w:rPr>
        <w:tab/>
      </w:r>
      <w:r w:rsidRPr="00CB3432">
        <w:rPr>
          <w:rFonts w:cs="Times New Roman"/>
          <w:u w:val="single"/>
        </w:rPr>
        <w:t>Analysis: The Effect of Non-Disclosure on Trial Fairness</w:t>
      </w:r>
    </w:p>
    <w:p w:rsidR="00E361EC" w:rsidRPr="00CB3432" w:rsidRDefault="00E361EC" w:rsidP="00E361EC">
      <w:pPr>
        <w:pStyle w:val="ParaNoNdepar-AltN"/>
        <w:rPr>
          <w:rFonts w:cs="Times New Roman"/>
        </w:rPr>
      </w:pPr>
      <w:r w:rsidRPr="00CB3432">
        <w:rPr>
          <w:rFonts w:cs="Times New Roman"/>
        </w:rPr>
        <w:t xml:space="preserve">Applying the test set out in </w:t>
      </w:r>
      <w:r>
        <w:rPr>
          <w:rFonts w:cs="Times New Roman"/>
        </w:rPr>
        <w:t xml:space="preserve">the </w:t>
      </w:r>
      <w:r w:rsidRPr="00CB3432">
        <w:rPr>
          <w:rFonts w:cs="Times New Roman"/>
          <w:i/>
        </w:rPr>
        <w:t>Yumnu</w:t>
      </w:r>
      <w:r>
        <w:rPr>
          <w:rFonts w:cs="Times New Roman"/>
          <w:i/>
        </w:rPr>
        <w:t xml:space="preserve"> </w:t>
      </w:r>
      <w:r>
        <w:rPr>
          <w:rFonts w:cs="Times New Roman"/>
        </w:rPr>
        <w:t>appeals</w:t>
      </w:r>
      <w:r w:rsidRPr="00CB3432">
        <w:rPr>
          <w:rFonts w:cs="Times New Roman"/>
        </w:rPr>
        <w:t xml:space="preserve">, it is apparent that the first step is satisfied: the Crown failed to disclose information that was relevant to the </w:t>
      </w:r>
      <w:r w:rsidRPr="00CB3432">
        <w:rPr>
          <w:rFonts w:cs="Times New Roman"/>
        </w:rPr>
        <w:lastRenderedPageBreak/>
        <w:t>defence in the selection process.  However, the appellant has failed to show that there is a reasonable possibility that the jury would have been differently composed had the Crown met its disclosure obligations.</w:t>
      </w:r>
    </w:p>
    <w:p w:rsidR="00E361EC" w:rsidRPr="00CB3432" w:rsidRDefault="00E361EC" w:rsidP="00E361EC">
      <w:pPr>
        <w:pStyle w:val="ParaNoNdepar-AltN"/>
        <w:rPr>
          <w:rFonts w:cs="Times New Roman"/>
        </w:rPr>
      </w:pPr>
      <w:r w:rsidRPr="00CB3432">
        <w:rPr>
          <w:rFonts w:cs="Times New Roman"/>
        </w:rPr>
        <w:t>In so concluding, I recognize that whenever one attempts to put the pieces together after the event, there is bound to be a certain amount of speculation as to what might (or might not) have occurred had the aggrieved party been given the information to which it was entitled.</w:t>
      </w:r>
    </w:p>
    <w:p w:rsidR="00E361EC" w:rsidRPr="00CB3432" w:rsidRDefault="00E361EC" w:rsidP="00E361EC">
      <w:pPr>
        <w:pStyle w:val="ParaNoNdepar-AltN"/>
        <w:rPr>
          <w:rFonts w:cs="Times New Roman"/>
        </w:rPr>
      </w:pPr>
      <w:r w:rsidRPr="00CB3432">
        <w:rPr>
          <w:rFonts w:cs="Times New Roman"/>
        </w:rPr>
        <w:t xml:space="preserve">That said, in the instant case, I cannot accept the appellant’s premise that if the Crown had been required to challenge the two </w:t>
      </w:r>
      <w:r>
        <w:rPr>
          <w:rFonts w:cs="Times New Roman"/>
        </w:rPr>
        <w:t>prospective j</w:t>
      </w:r>
      <w:r w:rsidRPr="00CB3432">
        <w:rPr>
          <w:rFonts w:cs="Times New Roman"/>
        </w:rPr>
        <w:t xml:space="preserve">urors </w:t>
      </w:r>
      <w:r>
        <w:rPr>
          <w:rFonts w:cs="Times New Roman"/>
        </w:rPr>
        <w:t>(roll nos. </w:t>
      </w:r>
      <w:r w:rsidRPr="00CB3432">
        <w:rPr>
          <w:rFonts w:cs="Times New Roman"/>
        </w:rPr>
        <w:t>5679 and 2818</w:t>
      </w:r>
      <w:r>
        <w:rPr>
          <w:rFonts w:cs="Times New Roman"/>
        </w:rPr>
        <w:t>)</w:t>
      </w:r>
      <w:r w:rsidRPr="00CB3432">
        <w:rPr>
          <w:rFonts w:cs="Times New Roman"/>
        </w:rPr>
        <w:t xml:space="preserve"> whom the defence challenged, it would have had no challenges left for </w:t>
      </w:r>
      <w:r>
        <w:rPr>
          <w:rFonts w:cs="Times New Roman"/>
        </w:rPr>
        <w:t>j</w:t>
      </w:r>
      <w:r w:rsidRPr="00CB3432">
        <w:rPr>
          <w:rFonts w:cs="Times New Roman"/>
        </w:rPr>
        <w:t xml:space="preserve">uror </w:t>
      </w:r>
      <w:r>
        <w:rPr>
          <w:rFonts w:cs="Times New Roman"/>
        </w:rPr>
        <w:t xml:space="preserve">roll no. </w:t>
      </w:r>
      <w:r w:rsidRPr="00CB3432">
        <w:rPr>
          <w:rFonts w:cs="Times New Roman"/>
        </w:rPr>
        <w:t>2586 — the bankruptcy analyst and official receiver.  On the contrary, I am satisfied on balance that the Crown would not have been left in that position.</w:t>
      </w:r>
    </w:p>
    <w:p w:rsidR="00E361EC" w:rsidRPr="00CB3432" w:rsidRDefault="00E361EC" w:rsidP="00E361EC">
      <w:pPr>
        <w:pStyle w:val="ParaNoNdepar-AltN"/>
        <w:rPr>
          <w:rFonts w:cs="Times New Roman"/>
        </w:rPr>
      </w:pPr>
      <w:r w:rsidRPr="00CB3432">
        <w:rPr>
          <w:rFonts w:cs="Times New Roman"/>
        </w:rPr>
        <w:t xml:space="preserve">In exercising its peremptory challenges, the Crown challenged seven prospective jurors who had the notation “OK” beside their names.  I consider that important.  It provides context against which to measure the appellant’s submission that the Crown would have had no challenges left for </w:t>
      </w:r>
      <w:r>
        <w:rPr>
          <w:rFonts w:cs="Times New Roman"/>
        </w:rPr>
        <w:t>j</w:t>
      </w:r>
      <w:r w:rsidRPr="00CB3432">
        <w:rPr>
          <w:rFonts w:cs="Times New Roman"/>
        </w:rPr>
        <w:t xml:space="preserve">uror </w:t>
      </w:r>
      <w:r>
        <w:rPr>
          <w:rFonts w:cs="Times New Roman"/>
        </w:rPr>
        <w:t xml:space="preserve">roll no. </w:t>
      </w:r>
      <w:r w:rsidRPr="00CB3432">
        <w:rPr>
          <w:rFonts w:cs="Times New Roman"/>
        </w:rPr>
        <w:t>2586.</w:t>
      </w:r>
    </w:p>
    <w:p w:rsidR="00E361EC" w:rsidRPr="00CB3432" w:rsidRDefault="00E361EC" w:rsidP="00E361EC">
      <w:pPr>
        <w:pStyle w:val="ParaNoNdepar-AltN"/>
        <w:rPr>
          <w:rFonts w:cs="Times New Roman"/>
        </w:rPr>
      </w:pPr>
      <w:r w:rsidRPr="00CB3432">
        <w:rPr>
          <w:rFonts w:cs="Times New Roman"/>
        </w:rPr>
        <w:t xml:space="preserve">Had the Crown been forced to use two of its challenges on </w:t>
      </w:r>
      <w:r>
        <w:rPr>
          <w:rFonts w:cs="Times New Roman"/>
        </w:rPr>
        <w:t>j</w:t>
      </w:r>
      <w:r w:rsidRPr="00CB3432">
        <w:rPr>
          <w:rFonts w:cs="Times New Roman"/>
        </w:rPr>
        <w:t xml:space="preserve">uror </w:t>
      </w:r>
      <w:r>
        <w:rPr>
          <w:rFonts w:cs="Times New Roman"/>
        </w:rPr>
        <w:t xml:space="preserve">roll nos. </w:t>
      </w:r>
      <w:r w:rsidRPr="00CB3432">
        <w:rPr>
          <w:rFonts w:cs="Times New Roman"/>
        </w:rPr>
        <w:t>5679 and 2818, I believe it would have been more cautious in challenging the seven</w:t>
      </w:r>
      <w:r>
        <w:rPr>
          <w:rFonts w:cs="Times New Roman"/>
        </w:rPr>
        <w:t xml:space="preserve"> prospective</w:t>
      </w:r>
      <w:r w:rsidRPr="00CB3432">
        <w:rPr>
          <w:rFonts w:cs="Times New Roman"/>
        </w:rPr>
        <w:t xml:space="preserve"> jurors who were shown as being “OK” and thus record-free.  Refraining from challenging even one of those </w:t>
      </w:r>
      <w:r>
        <w:rPr>
          <w:rFonts w:cs="Times New Roman"/>
        </w:rPr>
        <w:t xml:space="preserve">prospective </w:t>
      </w:r>
      <w:r w:rsidRPr="00CB3432">
        <w:rPr>
          <w:rFonts w:cs="Times New Roman"/>
        </w:rPr>
        <w:t xml:space="preserve">jurors would have left the Crown </w:t>
      </w:r>
      <w:r w:rsidRPr="00CB3432">
        <w:rPr>
          <w:rFonts w:cs="Times New Roman"/>
        </w:rPr>
        <w:lastRenderedPageBreak/>
        <w:t xml:space="preserve">with the remaining challenge it needed to remove </w:t>
      </w:r>
      <w:r>
        <w:rPr>
          <w:rFonts w:cs="Times New Roman"/>
        </w:rPr>
        <w:t>j</w:t>
      </w:r>
      <w:r w:rsidRPr="00CB3432">
        <w:rPr>
          <w:rFonts w:cs="Times New Roman"/>
        </w:rPr>
        <w:t xml:space="preserve">uror </w:t>
      </w:r>
      <w:r>
        <w:rPr>
          <w:rFonts w:cs="Times New Roman"/>
        </w:rPr>
        <w:t xml:space="preserve">roll no. </w:t>
      </w:r>
      <w:r w:rsidRPr="00CB3432">
        <w:rPr>
          <w:rFonts w:cs="Times New Roman"/>
        </w:rPr>
        <w:t>2586 — and I am satisfied that the Crown would have followed that course.  I base that finding on the record and legitimate inferences that can be drawn from it.</w:t>
      </w:r>
    </w:p>
    <w:p w:rsidR="00E361EC" w:rsidRPr="00CB3432" w:rsidRDefault="00E361EC" w:rsidP="00E361EC">
      <w:pPr>
        <w:pStyle w:val="ParaNoNdepar-AltN"/>
        <w:rPr>
          <w:rFonts w:cs="Times New Roman"/>
        </w:rPr>
      </w:pPr>
      <w:r w:rsidRPr="00CB3432">
        <w:rPr>
          <w:rFonts w:cs="Times New Roman"/>
        </w:rPr>
        <w:t xml:space="preserve">On the appellant’s scenario, the Crown would have used up all of its challenges before </w:t>
      </w:r>
      <w:r>
        <w:rPr>
          <w:rFonts w:cs="Times New Roman"/>
        </w:rPr>
        <w:t>the twelfth j</w:t>
      </w:r>
      <w:r w:rsidRPr="00CB3432">
        <w:rPr>
          <w:rFonts w:cs="Times New Roman"/>
        </w:rPr>
        <w:t xml:space="preserve">uror had been selected, thereby leaving the defence with four free challenges and the opportunity to effectively hand-pick </w:t>
      </w:r>
      <w:r>
        <w:rPr>
          <w:rFonts w:cs="Times New Roman"/>
        </w:rPr>
        <w:t>the twelfth j</w:t>
      </w:r>
      <w:r w:rsidRPr="00CB3432">
        <w:rPr>
          <w:rFonts w:cs="Times New Roman"/>
        </w:rPr>
        <w:t>uror.</w:t>
      </w:r>
    </w:p>
    <w:p w:rsidR="00E361EC" w:rsidRPr="00CB3432" w:rsidRDefault="00E361EC" w:rsidP="00E361EC">
      <w:pPr>
        <w:pStyle w:val="ParaNoNdepar-AltN"/>
        <w:rPr>
          <w:rFonts w:cs="Times New Roman"/>
        </w:rPr>
      </w:pPr>
      <w:r w:rsidRPr="00CB3432">
        <w:rPr>
          <w:rFonts w:cs="Times New Roman"/>
        </w:rPr>
        <w:t xml:space="preserve">That is unrealistic.  The Crown was obviously keeping track of the peremptory challenges it was using.  It had one challenge remaining at the conclusion of the jury selection process.  I do not put that down to coincidence but to planning — the same planning that would have occurred had the Crown been required to use up two of its challenges on </w:t>
      </w:r>
      <w:r>
        <w:rPr>
          <w:rFonts w:cs="Times New Roman"/>
        </w:rPr>
        <w:t>j</w:t>
      </w:r>
      <w:r w:rsidRPr="00CB3432">
        <w:rPr>
          <w:rFonts w:cs="Times New Roman"/>
        </w:rPr>
        <w:t>uror</w:t>
      </w:r>
      <w:r>
        <w:rPr>
          <w:rFonts w:cs="Times New Roman"/>
        </w:rPr>
        <w:t xml:space="preserve"> roll nos.</w:t>
      </w:r>
      <w:r w:rsidRPr="00CB3432">
        <w:rPr>
          <w:rFonts w:cs="Times New Roman"/>
        </w:rPr>
        <w:t xml:space="preserve"> 5679 and 2818.  The Crown was not about to leave itself in the position of giving free reign to the defence to select </w:t>
      </w:r>
      <w:r>
        <w:rPr>
          <w:rFonts w:cs="Times New Roman"/>
        </w:rPr>
        <w:t>the twelfth juror</w:t>
      </w:r>
      <w:r w:rsidRPr="00CB3432">
        <w:rPr>
          <w:rFonts w:cs="Times New Roman"/>
        </w:rPr>
        <w:t xml:space="preserve"> — nor did it have to.  It could</w:t>
      </w:r>
      <w:r>
        <w:rPr>
          <w:rFonts w:cs="Times New Roman"/>
        </w:rPr>
        <w:t xml:space="preserve"> </w:t>
      </w:r>
      <w:r w:rsidRPr="00CB3432">
        <w:rPr>
          <w:rFonts w:cs="Times New Roman"/>
        </w:rPr>
        <w:t>and</w:t>
      </w:r>
      <w:r>
        <w:rPr>
          <w:rFonts w:cs="Times New Roman"/>
        </w:rPr>
        <w:t>,</w:t>
      </w:r>
      <w:r w:rsidRPr="00CB3432">
        <w:rPr>
          <w:rFonts w:cs="Times New Roman"/>
        </w:rPr>
        <w:t xml:space="preserve"> in my view</w:t>
      </w:r>
      <w:r>
        <w:rPr>
          <w:rFonts w:cs="Times New Roman"/>
        </w:rPr>
        <w:t>,</w:t>
      </w:r>
      <w:r w:rsidRPr="00CB3432">
        <w:rPr>
          <w:rFonts w:cs="Times New Roman"/>
        </w:rPr>
        <w:t xml:space="preserve"> would have refrained from challenging at least one of the </w:t>
      </w:r>
      <w:r>
        <w:rPr>
          <w:rFonts w:cs="Times New Roman"/>
        </w:rPr>
        <w:t xml:space="preserve">prospective </w:t>
      </w:r>
      <w:r w:rsidRPr="00CB3432">
        <w:rPr>
          <w:rFonts w:cs="Times New Roman"/>
        </w:rPr>
        <w:t>jurors noted as “OK” to avoid that situation.</w:t>
      </w:r>
    </w:p>
    <w:p w:rsidR="00E361EC" w:rsidRPr="00CB3432" w:rsidRDefault="00E361EC" w:rsidP="00E361EC">
      <w:pPr>
        <w:pStyle w:val="ParaNoNdepar-AltN"/>
        <w:rPr>
          <w:rFonts w:cs="Times New Roman"/>
        </w:rPr>
      </w:pPr>
      <w:r w:rsidRPr="00CB3432">
        <w:rPr>
          <w:rFonts w:cs="Times New Roman"/>
        </w:rPr>
        <w:t>Accordingly, the appellant has failed to show that there is a reasonable possibility that the jury would have been differently composed had the Crown complied with its disclosure obligations.</w:t>
      </w:r>
    </w:p>
    <w:p w:rsidR="00E361EC" w:rsidRPr="00CB3432" w:rsidRDefault="00E361EC" w:rsidP="00E361EC">
      <w:pPr>
        <w:pStyle w:val="ParaNoNdepar-AltN"/>
        <w:rPr>
          <w:rFonts w:cs="Times New Roman"/>
        </w:rPr>
      </w:pPr>
      <w:r w:rsidRPr="00CB3432">
        <w:rPr>
          <w:rFonts w:cs="Times New Roman"/>
        </w:rPr>
        <w:lastRenderedPageBreak/>
        <w:t>That brings me to the second issue in this appeal, namely, whether the conduct of the Crown and the police, which was improper in some respects, can be said to have crossed the line and occasioned a miscarriage of justice.</w:t>
      </w:r>
    </w:p>
    <w:p w:rsidR="00E361EC" w:rsidRPr="00CB3432" w:rsidRDefault="00E361EC" w:rsidP="008A3DC5">
      <w:pPr>
        <w:pStyle w:val="TitleTitre-AltT"/>
        <w:tabs>
          <w:tab w:val="clear" w:pos="360"/>
        </w:tabs>
        <w:ind w:left="540" w:hanging="540"/>
        <w:rPr>
          <w:rFonts w:cs="Times New Roman"/>
          <w:u w:val="single"/>
        </w:rPr>
      </w:pPr>
      <w:r w:rsidRPr="00CB3432">
        <w:rPr>
          <w:rFonts w:cs="Times New Roman"/>
        </w:rPr>
        <w:t>V.</w:t>
      </w:r>
      <w:r w:rsidRPr="00CB3432">
        <w:rPr>
          <w:rFonts w:cs="Times New Roman"/>
        </w:rPr>
        <w:tab/>
      </w:r>
      <w:r w:rsidRPr="00CB3432">
        <w:rPr>
          <w:rFonts w:cs="Times New Roman"/>
          <w:u w:val="single"/>
        </w:rPr>
        <w:t>Findings of the Court of Appeal:  Appearance of Unfairness</w:t>
      </w:r>
    </w:p>
    <w:p w:rsidR="00E361EC" w:rsidRPr="00CB3432" w:rsidRDefault="00E361EC" w:rsidP="00E361EC">
      <w:pPr>
        <w:pStyle w:val="ParaNoNdepar-AltN"/>
        <w:rPr>
          <w:rFonts w:cs="Times New Roman"/>
        </w:rPr>
      </w:pPr>
      <w:r w:rsidRPr="00CB3432">
        <w:rPr>
          <w:rFonts w:cs="Times New Roman"/>
        </w:rPr>
        <w:t>In considering whether the conduct of the Crown and the police occasioned a miscarriage of justice, the Court of Appeal considered the following five allegations of wrongdoing raised by the appellant: “</w:t>
      </w:r>
      <w:r w:rsidR="00C6310F">
        <w:rPr>
          <w:rFonts w:cs="Times New Roman"/>
        </w:rPr>
        <w:t xml:space="preserve">. . . </w:t>
      </w:r>
      <w:r w:rsidRPr="00CB3432">
        <w:rPr>
          <w:rFonts w:cs="Times New Roman"/>
        </w:rPr>
        <w:t xml:space="preserve">the non-disclosure, the violations of the </w:t>
      </w:r>
      <w:r w:rsidRPr="00CB3432">
        <w:rPr>
          <w:rFonts w:cs="Times New Roman"/>
          <w:i/>
        </w:rPr>
        <w:t>Juries Act</w:t>
      </w:r>
      <w:r w:rsidRPr="00CB3432">
        <w:rPr>
          <w:rFonts w:cs="Times New Roman"/>
        </w:rPr>
        <w:t xml:space="preserve"> and provincial privacy legislation, misuse of police databases and the wording of the [September 10</w:t>
      </w:r>
      <w:r>
        <w:rPr>
          <w:rFonts w:cs="Times New Roman"/>
        </w:rPr>
        <w:t>, 2008</w:t>
      </w:r>
      <w:r w:rsidRPr="00CB3432">
        <w:rPr>
          <w:rFonts w:cs="Times New Roman"/>
        </w:rPr>
        <w:t>] memo from the Crown Attorney”</w:t>
      </w:r>
      <w:r>
        <w:rPr>
          <w:rFonts w:cs="Times New Roman"/>
        </w:rPr>
        <w:t xml:space="preserve"> (para. 54)</w:t>
      </w:r>
      <w:r w:rsidRPr="00CB3432">
        <w:rPr>
          <w:rFonts w:cs="Times New Roman"/>
        </w:rPr>
        <w:t>.</w:t>
      </w:r>
    </w:p>
    <w:p w:rsidR="00E361EC" w:rsidRPr="00CB3432" w:rsidRDefault="00E361EC" w:rsidP="00E361EC">
      <w:pPr>
        <w:pStyle w:val="ParaNoNdepar-AltN"/>
        <w:rPr>
          <w:rFonts w:cs="Times New Roman"/>
        </w:rPr>
      </w:pPr>
      <w:r w:rsidRPr="00CB3432">
        <w:rPr>
          <w:rFonts w:cs="Times New Roman"/>
        </w:rPr>
        <w:t>Before addressing these matters, the court considered certain contextual elements, one being the process of having prospective jurors self-report on their criminal record status.</w:t>
      </w:r>
    </w:p>
    <w:p w:rsidR="00E361EC" w:rsidRPr="00CB3432" w:rsidRDefault="00E361EC" w:rsidP="00E361EC">
      <w:pPr>
        <w:pStyle w:val="ParaNoNdepar-AltN"/>
        <w:rPr>
          <w:rFonts w:cs="Times New Roman"/>
        </w:rPr>
      </w:pPr>
      <w:r w:rsidRPr="00CB3432">
        <w:rPr>
          <w:rFonts w:cs="Times New Roman"/>
        </w:rPr>
        <w:t xml:space="preserve">In a report prepared by the Information and Privacy Commissioner </w:t>
      </w:r>
      <w:r>
        <w:rPr>
          <w:rFonts w:cs="Times New Roman"/>
        </w:rPr>
        <w:t xml:space="preserve">of Ontario </w:t>
      </w:r>
      <w:r w:rsidRPr="00CB3432">
        <w:rPr>
          <w:rFonts w:cs="Times New Roman"/>
        </w:rPr>
        <w:t>following an investigation into the jury vetting practices of the Barrie Crown’s office and other Crown offices, the Commissioner found that the process of self-reporting by prospective jurors was “seriously flawed” (</w:t>
      </w:r>
      <w:r>
        <w:rPr>
          <w:rFonts w:cs="Times New Roman"/>
        </w:rPr>
        <w:t xml:space="preserve">see </w:t>
      </w:r>
      <w:r w:rsidRPr="00D951B9">
        <w:rPr>
          <w:rFonts w:cs="Times New Roman"/>
          <w:i/>
        </w:rPr>
        <w:t>Excessive Background Checks Conducted on Prospective Jurors: A Special Investigat</w:t>
      </w:r>
      <w:r>
        <w:rPr>
          <w:rFonts w:cs="Times New Roman"/>
          <w:i/>
        </w:rPr>
        <w:t>ion</w:t>
      </w:r>
      <w:r w:rsidRPr="00D951B9">
        <w:rPr>
          <w:rFonts w:cs="Times New Roman"/>
          <w:i/>
        </w:rPr>
        <w:t xml:space="preserve"> Report</w:t>
      </w:r>
      <w:r w:rsidRPr="00CB3432">
        <w:rPr>
          <w:rFonts w:cs="Times New Roman"/>
        </w:rPr>
        <w:t xml:space="preserve"> </w:t>
      </w:r>
      <w:r>
        <w:rPr>
          <w:rFonts w:cs="Times New Roman"/>
        </w:rPr>
        <w:t>(</w:t>
      </w:r>
      <w:r w:rsidRPr="00CB3432">
        <w:rPr>
          <w:rFonts w:cs="Times New Roman"/>
        </w:rPr>
        <w:t>2009</w:t>
      </w:r>
      <w:r>
        <w:rPr>
          <w:rFonts w:cs="Times New Roman"/>
        </w:rPr>
        <w:t>)</w:t>
      </w:r>
      <w:r w:rsidRPr="00CB3432">
        <w:rPr>
          <w:rFonts w:cs="Times New Roman"/>
        </w:rPr>
        <w:t>, at p. 141).</w:t>
      </w:r>
    </w:p>
    <w:p w:rsidR="00E361EC" w:rsidRPr="00CB3432" w:rsidRDefault="00E361EC" w:rsidP="00E361EC">
      <w:pPr>
        <w:pStyle w:val="ParaNoNdepar-AltN"/>
        <w:rPr>
          <w:rFonts w:cs="Times New Roman"/>
        </w:rPr>
      </w:pPr>
      <w:r w:rsidRPr="00CB3432">
        <w:rPr>
          <w:rFonts w:cs="Times New Roman"/>
        </w:rPr>
        <w:lastRenderedPageBreak/>
        <w:t>In that report</w:t>
      </w:r>
      <w:r>
        <w:rPr>
          <w:rFonts w:cs="Times New Roman"/>
        </w:rPr>
        <w:t>,</w:t>
      </w:r>
      <w:r w:rsidRPr="00CB3432">
        <w:rPr>
          <w:rFonts w:cs="Times New Roman"/>
        </w:rPr>
        <w:t xml:space="preserve"> at p. 127, the Commissioner determined that while it was acceptable for the police to disclose to Crown counsel criminal record information going to a </w:t>
      </w:r>
      <w:r>
        <w:rPr>
          <w:rFonts w:cs="Times New Roman"/>
        </w:rPr>
        <w:t xml:space="preserve">prospective </w:t>
      </w:r>
      <w:r w:rsidRPr="00CB3432">
        <w:rPr>
          <w:rFonts w:cs="Times New Roman"/>
        </w:rPr>
        <w:t>juror’s eligibility, it was a breach of provincial privacy legislation to provide other personal information relating to a prospective juror.</w:t>
      </w:r>
    </w:p>
    <w:p w:rsidR="00E361EC" w:rsidRPr="00CB3432" w:rsidRDefault="00E361EC" w:rsidP="00E361EC">
      <w:pPr>
        <w:pStyle w:val="ParaNoNdepar-AltN"/>
        <w:rPr>
          <w:rFonts w:cs="Times New Roman"/>
        </w:rPr>
      </w:pPr>
      <w:r w:rsidRPr="00CB3432">
        <w:rPr>
          <w:rFonts w:cs="Times New Roman"/>
        </w:rPr>
        <w:t xml:space="preserve">The Court </w:t>
      </w:r>
      <w:r>
        <w:rPr>
          <w:rFonts w:cs="Times New Roman"/>
        </w:rPr>
        <w:t xml:space="preserve">of Appeal </w:t>
      </w:r>
      <w:r w:rsidRPr="00CB3432">
        <w:rPr>
          <w:rFonts w:cs="Times New Roman"/>
        </w:rPr>
        <w:t>further noted that under the rules of professional conduct prepared by the Law Society of Upper Canada and the Canadian Bar Association</w:t>
      </w:r>
      <w:r>
        <w:rPr>
          <w:rFonts w:cs="Times New Roman"/>
        </w:rPr>
        <w:t>,</w:t>
      </w:r>
      <w:r w:rsidRPr="00CB3432">
        <w:rPr>
          <w:rFonts w:cs="Times New Roman"/>
        </w:rPr>
        <w:t xml:space="preserve"> inquiries made by the parties for the purpose of exercising a challenge for cause, including investigations about criminal records under s. 638(1)(</w:t>
      </w:r>
      <w:r w:rsidRPr="00D951B9">
        <w:rPr>
          <w:rFonts w:cs="Times New Roman"/>
          <w:i/>
        </w:rPr>
        <w:t>c</w:t>
      </w:r>
      <w:r w:rsidRPr="00CB3432">
        <w:rPr>
          <w:rFonts w:cs="Times New Roman"/>
        </w:rPr>
        <w:t xml:space="preserve">) of the </w:t>
      </w:r>
      <w:r>
        <w:rPr>
          <w:rFonts w:cs="Times New Roman"/>
          <w:i/>
        </w:rPr>
        <w:t xml:space="preserve">Criminal </w:t>
      </w:r>
      <w:r w:rsidRPr="00CB3432">
        <w:rPr>
          <w:rFonts w:cs="Times New Roman"/>
          <w:i/>
        </w:rPr>
        <w:t>Code</w:t>
      </w:r>
      <w:r w:rsidRPr="00CB3432">
        <w:rPr>
          <w:rFonts w:cs="Times New Roman"/>
        </w:rPr>
        <w:t xml:space="preserve">, </w:t>
      </w:r>
      <w:r>
        <w:rPr>
          <w:rFonts w:cs="Times New Roman"/>
        </w:rPr>
        <w:t xml:space="preserve">R.S.C. 1985, c. C-46, </w:t>
      </w:r>
      <w:r w:rsidRPr="00CB3432">
        <w:rPr>
          <w:rFonts w:cs="Times New Roman"/>
        </w:rPr>
        <w:t>were not prohibited</w:t>
      </w:r>
      <w:r w:rsidR="008A3DC5">
        <w:rPr>
          <w:rFonts w:cs="Times New Roman"/>
        </w:rPr>
        <w:t xml:space="preserve"> (see</w:t>
      </w:r>
      <w:r>
        <w:rPr>
          <w:rFonts w:cs="Times New Roman"/>
        </w:rPr>
        <w:t xml:space="preserve"> Law Society of Upper Canada, </w:t>
      </w:r>
      <w:r>
        <w:rPr>
          <w:rFonts w:cs="Times New Roman"/>
          <w:i/>
        </w:rPr>
        <w:t>Rules of Professional Conduct</w:t>
      </w:r>
      <w:r>
        <w:rPr>
          <w:rFonts w:cs="Times New Roman"/>
        </w:rPr>
        <w:t xml:space="preserve"> (online), Rule 4.05(1) to (3) and associated commentary; Canadian Bar Association, </w:t>
      </w:r>
      <w:r>
        <w:rPr>
          <w:rFonts w:cs="Times New Roman"/>
          <w:i/>
        </w:rPr>
        <w:t xml:space="preserve">Code of Professional Conduct </w:t>
      </w:r>
      <w:r>
        <w:rPr>
          <w:rFonts w:cs="Times New Roman"/>
        </w:rPr>
        <w:t>(online), Rule 21</w:t>
      </w:r>
      <w:r w:rsidR="00060A28">
        <w:rPr>
          <w:rFonts w:cs="Times New Roman"/>
        </w:rPr>
        <w:t>, note 9</w:t>
      </w:r>
      <w:r>
        <w:rPr>
          <w:rFonts w:cs="Times New Roman"/>
        </w:rPr>
        <w:t>)</w:t>
      </w:r>
      <w:r w:rsidRPr="00CB3432">
        <w:rPr>
          <w:rFonts w:cs="Times New Roman"/>
        </w:rPr>
        <w:t>.  If pertinent information was obtained, it was to be disclosed to the other side.</w:t>
      </w:r>
    </w:p>
    <w:p w:rsidR="00E361EC" w:rsidRPr="00CB3432" w:rsidRDefault="00E361EC" w:rsidP="00E361EC">
      <w:pPr>
        <w:pStyle w:val="ParaNoNdepar-AltN"/>
        <w:rPr>
          <w:rFonts w:cs="Times New Roman"/>
        </w:rPr>
      </w:pPr>
      <w:r w:rsidRPr="00CB3432">
        <w:rPr>
          <w:rFonts w:cs="Times New Roman"/>
        </w:rPr>
        <w:t xml:space="preserve">Finally, the court considered the two </w:t>
      </w:r>
      <w:r>
        <w:rPr>
          <w:rFonts w:cs="Times New Roman"/>
        </w:rPr>
        <w:t xml:space="preserve">prospective </w:t>
      </w:r>
      <w:r w:rsidRPr="00CB3432">
        <w:rPr>
          <w:rFonts w:cs="Times New Roman"/>
        </w:rPr>
        <w:t xml:space="preserve">jurors whom the defence had “unnecessarily” challenged and pointed out that the Crown could have brought their possible criminal antecedents to the attention of the trial judge.  The trial judge could then have made inquiries and excused the </w:t>
      </w:r>
      <w:r>
        <w:rPr>
          <w:rFonts w:cs="Times New Roman"/>
        </w:rPr>
        <w:t xml:space="preserve">prospective </w:t>
      </w:r>
      <w:r w:rsidRPr="00CB3432">
        <w:rPr>
          <w:rFonts w:cs="Times New Roman"/>
        </w:rPr>
        <w:t>jurors on the basis of ineligibility or other reasonable cause, if warranted.</w:t>
      </w:r>
    </w:p>
    <w:p w:rsidR="00E361EC" w:rsidRPr="00CB3432" w:rsidRDefault="00E361EC" w:rsidP="00E361EC">
      <w:pPr>
        <w:pStyle w:val="ParaNoNdepar-AltN"/>
        <w:rPr>
          <w:rFonts w:cs="Times New Roman"/>
        </w:rPr>
      </w:pPr>
      <w:r w:rsidRPr="00CB3432">
        <w:rPr>
          <w:rFonts w:cs="Times New Roman"/>
        </w:rPr>
        <w:t>Having identified these contextual matters, the court turned its attention to the alleged wrongdoings.</w:t>
      </w:r>
    </w:p>
    <w:p w:rsidR="00E361EC" w:rsidRPr="00CB3432" w:rsidRDefault="00E361EC" w:rsidP="00E361EC">
      <w:pPr>
        <w:pStyle w:val="ParaNoNdepar-AltN"/>
        <w:rPr>
          <w:rFonts w:cs="Times New Roman"/>
        </w:rPr>
      </w:pPr>
      <w:r w:rsidRPr="00CB3432">
        <w:rPr>
          <w:rFonts w:cs="Times New Roman"/>
        </w:rPr>
        <w:lastRenderedPageBreak/>
        <w:t>Commencing with non-disclosure, the court acknowledged that the Crown had failed to meet its disclosure obligations.  But in deciding whether a miscarriage of justice had occurred, the court reiterated its finding that the breach did not have a discern</w:t>
      </w:r>
      <w:r>
        <w:rPr>
          <w:rFonts w:cs="Times New Roman"/>
        </w:rPr>
        <w:t>i</w:t>
      </w:r>
      <w:r w:rsidRPr="00CB3432">
        <w:rPr>
          <w:rFonts w:cs="Times New Roman"/>
        </w:rPr>
        <w:t>ble impact on the composition of the jury.</w:t>
      </w:r>
    </w:p>
    <w:p w:rsidR="00E361EC" w:rsidRPr="00CB3432" w:rsidRDefault="00E361EC" w:rsidP="00E361EC">
      <w:pPr>
        <w:pStyle w:val="ParaNoNdepar-AltN"/>
        <w:rPr>
          <w:rFonts w:cs="Times New Roman"/>
        </w:rPr>
      </w:pPr>
      <w:r w:rsidRPr="00CB3432">
        <w:rPr>
          <w:rFonts w:cs="Times New Roman"/>
        </w:rPr>
        <w:t>As for the alleged breaches of provincial privacy legislation, the court found that they “add[ed] nothing to the miscarriage of justice claim”</w:t>
      </w:r>
      <w:r>
        <w:rPr>
          <w:rFonts w:cs="Times New Roman"/>
        </w:rPr>
        <w:t xml:space="preserve"> (para. 59)</w:t>
      </w:r>
      <w:r w:rsidRPr="00CB3432">
        <w:rPr>
          <w:rFonts w:cs="Times New Roman"/>
        </w:rPr>
        <w:t xml:space="preserve">.  Any rights infringed were those of the potential jurors, not the appellant.  The rights of prospective jurors had been investigated by the </w:t>
      </w:r>
      <w:r>
        <w:rPr>
          <w:rFonts w:cs="Times New Roman"/>
        </w:rPr>
        <w:t xml:space="preserve">Information and </w:t>
      </w:r>
      <w:r w:rsidRPr="00CB3432">
        <w:rPr>
          <w:rFonts w:cs="Times New Roman"/>
        </w:rPr>
        <w:t>Privacy Commissioner and recommendations had been made to better protect the privacy interests of prospective jurors.  According to the court, that was “the appropriate remedy”</w:t>
      </w:r>
      <w:r>
        <w:rPr>
          <w:rFonts w:cs="Times New Roman"/>
        </w:rPr>
        <w:t xml:space="preserve"> (para. 59)</w:t>
      </w:r>
      <w:r w:rsidRPr="00CB3432">
        <w:rPr>
          <w:rFonts w:cs="Times New Roman"/>
        </w:rPr>
        <w:t xml:space="preserve">.  It would be “excessive” to grant the appellant a remedy for breaches committed against potential jurors.  </w:t>
      </w:r>
    </w:p>
    <w:p w:rsidR="00E361EC" w:rsidRPr="00CB3432" w:rsidRDefault="00E361EC" w:rsidP="00E361EC">
      <w:pPr>
        <w:pStyle w:val="ParaNoNdepar-AltN"/>
        <w:rPr>
          <w:rFonts w:cs="Times New Roman"/>
        </w:rPr>
      </w:pPr>
      <w:r w:rsidRPr="00CB3432">
        <w:rPr>
          <w:rFonts w:cs="Times New Roman"/>
        </w:rPr>
        <w:t>The court next considered the misuse of police databases and the memorandum from the Crown Attorney asking for “comments . . . concerning any disreputable persons we would not want as a juror”.  Of the various allegations of wrongdoing alleged by the appellant, the court found these two aspects to be “most troubling”:</w:t>
      </w:r>
    </w:p>
    <w:p w:rsidR="00E361EC" w:rsidRPr="00CB3432" w:rsidRDefault="0024011B" w:rsidP="0024011B">
      <w:pPr>
        <w:pStyle w:val="Citation-AltC"/>
        <w:tabs>
          <w:tab w:val="left" w:pos="1170"/>
        </w:tabs>
        <w:ind w:hanging="1166"/>
      </w:pPr>
      <w:r>
        <w:tab/>
      </w:r>
      <w:r w:rsidR="00E361EC">
        <w:t>This</w:t>
      </w:r>
      <w:r w:rsidR="00E361EC" w:rsidRPr="00CB3432">
        <w:t xml:space="preserve"> use of police resources and attempt to align the Crown with the police is inconsistent with Crown counsel’s obligation to ensure that the accused receives a fair trial.</w:t>
      </w:r>
      <w:r w:rsidR="00E361EC">
        <w:t xml:space="preserve">  [para. 60]</w:t>
      </w:r>
    </w:p>
    <w:p w:rsidR="00E361EC" w:rsidRPr="00CB3432" w:rsidRDefault="00E361EC" w:rsidP="00E361EC">
      <w:pPr>
        <w:pStyle w:val="ParaNoNdepar-AltN"/>
        <w:rPr>
          <w:rFonts w:cs="Times New Roman"/>
        </w:rPr>
      </w:pPr>
      <w:r w:rsidRPr="00CB3432">
        <w:rPr>
          <w:rFonts w:cs="Times New Roman"/>
        </w:rPr>
        <w:lastRenderedPageBreak/>
        <w:t>Despite this concern, the court felt that “what occurred must be put in context”</w:t>
      </w:r>
      <w:r>
        <w:rPr>
          <w:rFonts w:cs="Times New Roman"/>
        </w:rPr>
        <w:t xml:space="preserve"> (para. 60)</w:t>
      </w:r>
      <w:r w:rsidRPr="00CB3432">
        <w:rPr>
          <w:rFonts w:cs="Times New Roman"/>
        </w:rPr>
        <w:t xml:space="preserve">.  Most of the information received from the police related to criminal record information.  In the two instances where the information went beyond that, one of the </w:t>
      </w:r>
      <w:r>
        <w:rPr>
          <w:rFonts w:cs="Times New Roman"/>
        </w:rPr>
        <w:t xml:space="preserve">prospective </w:t>
      </w:r>
      <w:r w:rsidRPr="00CB3432">
        <w:rPr>
          <w:rFonts w:cs="Times New Roman"/>
        </w:rPr>
        <w:t>jurors was not called forward in the jury selection process; the other was challenged by the defence, so there was “no way of knowing how Crown counsel would have used the information” — which</w:t>
      </w:r>
      <w:r>
        <w:rPr>
          <w:rFonts w:cs="Times New Roman"/>
        </w:rPr>
        <w:t>,</w:t>
      </w:r>
      <w:r w:rsidRPr="00CB3432">
        <w:rPr>
          <w:rFonts w:cs="Times New Roman"/>
        </w:rPr>
        <w:t xml:space="preserve"> in any event, “did not impact on the appearance of fairness of the trial”</w:t>
      </w:r>
      <w:r>
        <w:rPr>
          <w:rFonts w:cs="Times New Roman"/>
        </w:rPr>
        <w:t xml:space="preserve"> (para. 60)</w:t>
      </w:r>
      <w:r w:rsidRPr="00CB3432">
        <w:rPr>
          <w:rFonts w:cs="Times New Roman"/>
        </w:rPr>
        <w:t>.</w:t>
      </w:r>
    </w:p>
    <w:p w:rsidR="00E361EC" w:rsidRPr="00CB3432" w:rsidRDefault="00E361EC" w:rsidP="00E361EC">
      <w:pPr>
        <w:pStyle w:val="ParaNoNdepar-AltN"/>
        <w:rPr>
          <w:rFonts w:cs="Times New Roman"/>
        </w:rPr>
      </w:pPr>
      <w:r w:rsidRPr="00CB3432">
        <w:rPr>
          <w:rFonts w:cs="Times New Roman"/>
        </w:rPr>
        <w:t xml:space="preserve">In the end, the court refused to give effect to the appellant’s submission that the conduct of the Crown and the police had occasioned a miscarriage of justice.  At para. 61, the </w:t>
      </w:r>
      <w:r>
        <w:rPr>
          <w:rFonts w:cs="Times New Roman"/>
        </w:rPr>
        <w:t>c</w:t>
      </w:r>
      <w:r w:rsidRPr="00CB3432">
        <w:rPr>
          <w:rFonts w:cs="Times New Roman"/>
        </w:rPr>
        <w:t>ourt stated:</w:t>
      </w:r>
    </w:p>
    <w:p w:rsidR="00E361EC" w:rsidRPr="00CB3432" w:rsidRDefault="006E695B" w:rsidP="006E695B">
      <w:pPr>
        <w:pStyle w:val="Citation-AltC"/>
        <w:tabs>
          <w:tab w:val="left" w:pos="1620"/>
        </w:tabs>
        <w:ind w:hanging="1166"/>
      </w:pPr>
      <w:r>
        <w:tab/>
      </w:r>
      <w:r>
        <w:tab/>
      </w:r>
      <w:r w:rsidR="00E361EC" w:rsidRPr="00CB3432">
        <w:t>The collection and disclosure of this information was a misuse of the police databases and should not have occurred.  It would appear to be a product of the Crown Attorney’s letter, which was improperly worded.  But, did this process so taint the administration of justice that a verdict reached by a properly constituted jury be set aside?  In my view, that would be a disproportionate reaction.  The conduct of the police service and the Crown Attorney’s office is not the kind of egregious misconduct that brings the administration of justice into disrepute or would lead reasonable people to believe that the appearance of justice had been undermined.</w:t>
      </w:r>
    </w:p>
    <w:p w:rsidR="00E361EC" w:rsidRPr="00CB3432" w:rsidRDefault="00E361EC" w:rsidP="00AD1D4A">
      <w:pPr>
        <w:pStyle w:val="TitleTitre-AltT"/>
        <w:tabs>
          <w:tab w:val="clear" w:pos="360"/>
        </w:tabs>
        <w:ind w:left="540" w:hanging="540"/>
        <w:rPr>
          <w:rFonts w:cs="Times New Roman"/>
        </w:rPr>
      </w:pPr>
      <w:r w:rsidRPr="00CB3432">
        <w:rPr>
          <w:rFonts w:cs="Times New Roman"/>
        </w:rPr>
        <w:t>VI.</w:t>
      </w:r>
      <w:r w:rsidRPr="00CB3432">
        <w:rPr>
          <w:rFonts w:cs="Times New Roman"/>
        </w:rPr>
        <w:tab/>
      </w:r>
      <w:r w:rsidRPr="00CB3432">
        <w:rPr>
          <w:rFonts w:cs="Times New Roman"/>
          <w:u w:val="single"/>
        </w:rPr>
        <w:t>Analysis:  Appearance of Unfairness</w:t>
      </w:r>
    </w:p>
    <w:p w:rsidR="00E361EC" w:rsidRPr="00CB3432" w:rsidRDefault="00E361EC" w:rsidP="00E361EC">
      <w:pPr>
        <w:pStyle w:val="ParaNoNdepar-AltN"/>
        <w:rPr>
          <w:rFonts w:cs="Times New Roman"/>
        </w:rPr>
      </w:pPr>
      <w:r w:rsidRPr="00CB3432">
        <w:rPr>
          <w:rFonts w:cs="Times New Roman"/>
        </w:rPr>
        <w:t xml:space="preserve">This case is more troublesome than the </w:t>
      </w:r>
      <w:r w:rsidRPr="00CB3432">
        <w:rPr>
          <w:rFonts w:cs="Times New Roman"/>
          <w:i/>
        </w:rPr>
        <w:t>Yumnu</w:t>
      </w:r>
      <w:r w:rsidRPr="00CB3432">
        <w:rPr>
          <w:rFonts w:cs="Times New Roman"/>
        </w:rPr>
        <w:t xml:space="preserve"> appeals because by the time of the appellant’s trial, all Crown offices across the province of Ontario had received the March 31, 2006 Practice Memorandum to which I have referred.  That </w:t>
      </w:r>
      <w:r w:rsidRPr="00CB3432">
        <w:rPr>
          <w:rFonts w:cs="Times New Roman"/>
        </w:rPr>
        <w:lastRenderedPageBreak/>
        <w:t xml:space="preserve">memorandum made it clear that any jury vetting carried out by the police was to be restricted to “criminal record checks” and that “any concrete information provided by police to the Crown suggesting that an individual may not be impartial” was to be disclosed to the defence.  </w:t>
      </w:r>
    </w:p>
    <w:p w:rsidR="00E361EC" w:rsidRPr="00CB3432" w:rsidRDefault="00E361EC" w:rsidP="00E361EC">
      <w:pPr>
        <w:pStyle w:val="ParaNoNdepar-AltN"/>
        <w:rPr>
          <w:rFonts w:cs="Times New Roman"/>
        </w:rPr>
      </w:pPr>
      <w:r w:rsidRPr="00CB3432">
        <w:rPr>
          <w:rFonts w:cs="Times New Roman"/>
        </w:rPr>
        <w:t>The record is silent as to why that memorandum was not complied with.  Whatever the reason, it is apparent that the Barrie Crown Attorney’s Office simply continued to carry on the practice it had been following for some years.  That is unacceptable — but I do not put it down to malevolence or intentional wrongdoing.  While disconcerting, the evidence falls well short of establishing that the police and the Crown conspired to obtain a jury favourable to their cause.</w:t>
      </w:r>
    </w:p>
    <w:p w:rsidR="00E361EC" w:rsidRPr="00CB3432" w:rsidRDefault="00E361EC" w:rsidP="00E361EC">
      <w:pPr>
        <w:pStyle w:val="ParaNoNdepar-AltN"/>
        <w:rPr>
          <w:rFonts w:cs="Times New Roman"/>
        </w:rPr>
      </w:pPr>
      <w:r w:rsidRPr="00CB3432">
        <w:rPr>
          <w:rFonts w:cs="Times New Roman"/>
        </w:rPr>
        <w:t xml:space="preserve">At bottom, the Crown wanted to be aware of </w:t>
      </w:r>
      <w:r>
        <w:rPr>
          <w:rFonts w:cs="Times New Roman"/>
        </w:rPr>
        <w:t xml:space="preserve">prospective </w:t>
      </w:r>
      <w:r w:rsidRPr="00CB3432">
        <w:rPr>
          <w:rFonts w:cs="Times New Roman"/>
        </w:rPr>
        <w:t>jurors who either had a criminal record or who, because of prior involvement with the authorities, might have difficulty remaining neutral and approaching the case with an open mind.  While the Crown and the police may have gone about it in the wrong way, the law as to what they could and could not do and how far they could go in checking out the criminal antecedents of potential jurors was anything but clear.  Certainly</w:t>
      </w:r>
      <w:r>
        <w:rPr>
          <w:rFonts w:cs="Times New Roman"/>
        </w:rPr>
        <w:t>,</w:t>
      </w:r>
      <w:r w:rsidRPr="00CB3432">
        <w:rPr>
          <w:rFonts w:cs="Times New Roman"/>
        </w:rPr>
        <w:t xml:space="preserve"> the rules of professional conduct prepared by the Law Society of Upper Canada and the Canadian Bar Association contemplated inquiries that went beyond mere criminal record checks and included information that could form the basis of a challenge for cause.</w:t>
      </w:r>
    </w:p>
    <w:p w:rsidR="00E361EC" w:rsidRPr="00CB3432" w:rsidRDefault="00E361EC" w:rsidP="00E361EC">
      <w:pPr>
        <w:pStyle w:val="ParaNoNdepar-AltN"/>
        <w:rPr>
          <w:rFonts w:cs="Times New Roman"/>
        </w:rPr>
      </w:pPr>
      <w:r w:rsidRPr="00CB3432">
        <w:rPr>
          <w:rFonts w:cs="Times New Roman"/>
        </w:rPr>
        <w:lastRenderedPageBreak/>
        <w:t xml:space="preserve">The situation in </w:t>
      </w:r>
      <w:r>
        <w:rPr>
          <w:rFonts w:cs="Times New Roman"/>
          <w:i/>
        </w:rPr>
        <w:t xml:space="preserve">R. v. </w:t>
      </w:r>
      <w:r w:rsidRPr="00CB3432">
        <w:rPr>
          <w:rFonts w:cs="Times New Roman"/>
          <w:i/>
        </w:rPr>
        <w:t>Latimer</w:t>
      </w:r>
      <w:r w:rsidRPr="00CB3432">
        <w:rPr>
          <w:rFonts w:cs="Times New Roman"/>
        </w:rPr>
        <w:t xml:space="preserve">, </w:t>
      </w:r>
      <w:r>
        <w:rPr>
          <w:rFonts w:cs="Times New Roman"/>
        </w:rPr>
        <w:t xml:space="preserve">[1997] 1 S.C.R. 217, </w:t>
      </w:r>
      <w:r w:rsidRPr="00CB3432">
        <w:rPr>
          <w:rFonts w:cs="Times New Roman"/>
        </w:rPr>
        <w:t>where the police actually sought out potential jurors and provided them with a questionnaire designed to obtain their views on a number of issues, is a stark example of the kind of conduct that the authorities knew, or should have known, is off-limits and completely unacceptable.</w:t>
      </w:r>
    </w:p>
    <w:p w:rsidR="00E361EC" w:rsidRPr="00CB3432" w:rsidRDefault="00E361EC" w:rsidP="00E361EC">
      <w:pPr>
        <w:pStyle w:val="ParaNoNdepar-AltN"/>
        <w:rPr>
          <w:rFonts w:cs="Times New Roman"/>
        </w:rPr>
      </w:pPr>
      <w:r w:rsidRPr="00CB3432">
        <w:rPr>
          <w:rFonts w:cs="Times New Roman"/>
        </w:rPr>
        <w:t>But short of situations like that, there was a good deal of grey, not just on the Crown side of the ledger but the defence side as well, as to the nature and extent of background checking that could lawfully be carried out and the type of information that must be disclosed, short of cases involving obvious partiality.</w:t>
      </w:r>
    </w:p>
    <w:p w:rsidR="00E361EC" w:rsidRPr="00CB3432" w:rsidRDefault="00E361EC" w:rsidP="00E361EC">
      <w:pPr>
        <w:pStyle w:val="ParaNoNdepar-AltN"/>
        <w:rPr>
          <w:rFonts w:cs="Times New Roman"/>
        </w:rPr>
      </w:pPr>
      <w:r w:rsidRPr="00CB3432">
        <w:rPr>
          <w:rFonts w:cs="Times New Roman"/>
        </w:rPr>
        <w:t xml:space="preserve">In the present case, as explained in the </w:t>
      </w:r>
      <w:r w:rsidRPr="00CB3432">
        <w:rPr>
          <w:rFonts w:cs="Times New Roman"/>
          <w:i/>
        </w:rPr>
        <w:t>Yumnu</w:t>
      </w:r>
      <w:r w:rsidRPr="00CB3432">
        <w:rPr>
          <w:rFonts w:cs="Times New Roman"/>
        </w:rPr>
        <w:t xml:space="preserve"> appeals, the Crown was entitled to have the police check the antecedents of prospective jurors for ineligibility purposes and challenge for cause purposes under s. 638(1)(</w:t>
      </w:r>
      <w:r w:rsidRPr="00FC2FF4">
        <w:rPr>
          <w:rFonts w:cs="Times New Roman"/>
          <w:i/>
        </w:rPr>
        <w:t>c</w:t>
      </w:r>
      <w:r w:rsidRPr="00CB3432">
        <w:rPr>
          <w:rFonts w:cs="Times New Roman"/>
        </w:rPr>
        <w:t xml:space="preserve">) of the </w:t>
      </w:r>
      <w:r w:rsidR="006E695B" w:rsidRPr="006E695B">
        <w:rPr>
          <w:rFonts w:cs="Times New Roman"/>
          <w:i/>
        </w:rPr>
        <w:t xml:space="preserve">Criminal </w:t>
      </w:r>
      <w:r w:rsidRPr="00CB3432">
        <w:rPr>
          <w:rFonts w:cs="Times New Roman"/>
          <w:i/>
        </w:rPr>
        <w:t>Code</w:t>
      </w:r>
      <w:r w:rsidRPr="00CB3432">
        <w:rPr>
          <w:rFonts w:cs="Times New Roman"/>
        </w:rPr>
        <w:t>.  It was not entitled to have the police go further and use their databases to determine if a prospective juror was, or might be, a person of disreputable character.  By the same token, if</w:t>
      </w:r>
      <w:r>
        <w:rPr>
          <w:rFonts w:cs="Times New Roman"/>
        </w:rPr>
        <w:t>,</w:t>
      </w:r>
      <w:r w:rsidRPr="00CB3432">
        <w:rPr>
          <w:rFonts w:cs="Times New Roman"/>
        </w:rPr>
        <w:t xml:space="preserve"> by chance, information of that nature were to come to light during a valid criminal record search, it would be proper to bring it to the Crown’s attention.  If the Crown considered it to be relevant to the jury selection process, it would be obliged to disclose the information to the defence.  </w:t>
      </w:r>
    </w:p>
    <w:p w:rsidR="00E361EC" w:rsidRPr="00CB3432" w:rsidRDefault="00E361EC" w:rsidP="00E361EC">
      <w:pPr>
        <w:pStyle w:val="ParaNoNdepar-AltN"/>
        <w:rPr>
          <w:rFonts w:cs="Times New Roman"/>
        </w:rPr>
      </w:pPr>
      <w:r w:rsidRPr="00CB3432">
        <w:rPr>
          <w:rFonts w:cs="Times New Roman"/>
        </w:rPr>
        <w:t xml:space="preserve">In sum, there is no basis for concluding that the Crown and the police conspired to obtain a jury favourable to their cause.  Nor can it be said that the errors they made in carrying out the process — going beyond criminal record checks and </w:t>
      </w:r>
      <w:r w:rsidRPr="00CB3432">
        <w:rPr>
          <w:rFonts w:cs="Times New Roman"/>
        </w:rPr>
        <w:lastRenderedPageBreak/>
        <w:t xml:space="preserve">failing to disclose information of discreditable conduct not resulting in a criminal conviction — were so obvious and so clearly wrong that they knew, or should have known, better.  What occurred here is a far cry from the conduct at issue in </w:t>
      </w:r>
      <w:r w:rsidRPr="00CB3432">
        <w:rPr>
          <w:rFonts w:cs="Times New Roman"/>
          <w:i/>
        </w:rPr>
        <w:t>Latimer</w:t>
      </w:r>
      <w:r w:rsidRPr="00CB3432">
        <w:rPr>
          <w:rFonts w:cs="Times New Roman"/>
        </w:rPr>
        <w:t xml:space="preserve"> — conduct which was manifestly inappropriate and which this Court condemned as “a flagrant abuse of process and interference with the administration of justice”</w:t>
      </w:r>
      <w:r>
        <w:rPr>
          <w:rFonts w:cs="Times New Roman"/>
        </w:rPr>
        <w:t xml:space="preserve"> (para. 43)</w:t>
      </w:r>
      <w:r w:rsidRPr="00CB3432">
        <w:rPr>
          <w:rFonts w:cs="Times New Roman"/>
        </w:rPr>
        <w:t xml:space="preserve">. </w:t>
      </w:r>
    </w:p>
    <w:p w:rsidR="00E361EC" w:rsidRPr="00CB3432" w:rsidRDefault="00E361EC" w:rsidP="00E361EC">
      <w:pPr>
        <w:pStyle w:val="ParaNoNdepar-AltN"/>
        <w:rPr>
          <w:rFonts w:cs="Times New Roman"/>
        </w:rPr>
      </w:pPr>
      <w:r w:rsidRPr="00CB3432">
        <w:rPr>
          <w:rFonts w:cs="Times New Roman"/>
        </w:rPr>
        <w:t>In the end, while the conduct of the police and the Crown was in some respects improper and should not be repeated, I am not persuaded that what occurred here constituted a serious interference with the administration of justice, nor was it so offensive to the community’s sense of fair play and decency that the proceedings should be set aside as a miscarriage of justice.</w:t>
      </w:r>
    </w:p>
    <w:p w:rsidR="00E361EC" w:rsidRPr="00CB3432" w:rsidRDefault="00E361EC" w:rsidP="00E361EC">
      <w:pPr>
        <w:pStyle w:val="TitleTitre-AltT"/>
        <w:tabs>
          <w:tab w:val="clear" w:pos="360"/>
        </w:tabs>
        <w:ind w:left="720" w:hanging="720"/>
        <w:rPr>
          <w:rFonts w:cs="Times New Roman"/>
          <w:u w:val="single"/>
        </w:rPr>
      </w:pPr>
      <w:r w:rsidRPr="00CB3432">
        <w:rPr>
          <w:rFonts w:cs="Times New Roman"/>
        </w:rPr>
        <w:t>VII.</w:t>
      </w:r>
      <w:r w:rsidRPr="00CB3432">
        <w:rPr>
          <w:rFonts w:cs="Times New Roman"/>
        </w:rPr>
        <w:tab/>
      </w:r>
      <w:r w:rsidRPr="00CB3432">
        <w:rPr>
          <w:rFonts w:cs="Times New Roman"/>
          <w:u w:val="single"/>
        </w:rPr>
        <w:t>Conclusion</w:t>
      </w:r>
    </w:p>
    <w:p w:rsidR="00E361EC" w:rsidRPr="00CB3432" w:rsidRDefault="00E361EC" w:rsidP="00E361EC">
      <w:pPr>
        <w:pStyle w:val="ParaNoNdepar-AltN"/>
        <w:rPr>
          <w:rFonts w:cs="Times New Roman"/>
        </w:rPr>
      </w:pPr>
      <w:r w:rsidRPr="00CB3432">
        <w:rPr>
          <w:rFonts w:cs="Times New Roman"/>
        </w:rPr>
        <w:t>The appellant had a fair trial and I am not persuaded that the conduct of the Crown and the police crossed the line and occasioned a miscarriage of justice.  Accordingly, I would dismiss the appeal.</w:t>
      </w:r>
    </w:p>
    <w:p w:rsidR="009B57B3" w:rsidRPr="001A7187" w:rsidRDefault="00281868" w:rsidP="0066740C">
      <w:pPr>
        <w:pStyle w:val="SCCNormalDoubleSpacing"/>
        <w:spacing w:after="480"/>
      </w:pPr>
      <w:r w:rsidRPr="001A7187">
        <w:tab/>
      </w:r>
      <w:r w:rsidR="00656313" w:rsidRPr="001A7187">
        <w:rPr>
          <w:i/>
        </w:rPr>
        <w:t>Appeal</w:t>
      </w:r>
      <w:r w:rsidRPr="001A7187">
        <w:t xml:space="preserve"> </w:t>
      </w:r>
      <w:r w:rsidR="0090060A" w:rsidRPr="001A7187">
        <w:rPr>
          <w:i/>
        </w:rPr>
        <w:t>dismissed.</w:t>
      </w:r>
    </w:p>
    <w:p w:rsidR="00AA4855" w:rsidRPr="001A7187" w:rsidRDefault="00AA4855" w:rsidP="0066740C">
      <w:pPr>
        <w:pStyle w:val="SCCLawFirm"/>
        <w:spacing w:after="480"/>
      </w:pPr>
      <w:r w:rsidRPr="001A7187">
        <w:tab/>
        <w:t>Solicitors for the appellant</w:t>
      </w:r>
      <w:r w:rsidR="00DF1046" w:rsidRPr="001A7187">
        <w:t>:  </w:t>
      </w:r>
      <w:proofErr w:type="spellStart"/>
      <w:r w:rsidR="00584F11" w:rsidRPr="001A7187">
        <w:t>Rusonik</w:t>
      </w:r>
      <w:proofErr w:type="spellEnd"/>
      <w:r w:rsidR="00584F11" w:rsidRPr="001A7187">
        <w:t>, O’</w:t>
      </w:r>
      <w:r w:rsidRPr="001A7187">
        <w:t xml:space="preserve">Connor, Robbins, Ross, Gorham &amp; </w:t>
      </w:r>
      <w:proofErr w:type="spellStart"/>
      <w:r w:rsidRPr="001A7187">
        <w:t>Angelini</w:t>
      </w:r>
      <w:proofErr w:type="spellEnd"/>
      <w:r w:rsidRPr="001A7187">
        <w:t xml:space="preserve">, Toronto; Daniel Brown Law Office, Toronto. </w:t>
      </w:r>
    </w:p>
    <w:p w:rsidR="00AA4855" w:rsidRPr="001A7187" w:rsidRDefault="00AA4855" w:rsidP="0066740C">
      <w:pPr>
        <w:pStyle w:val="SCCLawFirm"/>
        <w:spacing w:after="480"/>
      </w:pPr>
      <w:r w:rsidRPr="001A7187">
        <w:lastRenderedPageBreak/>
        <w:tab/>
        <w:t>Solicitor for the respondent</w:t>
      </w:r>
      <w:r w:rsidR="00DF1046" w:rsidRPr="001A7187">
        <w:t>:  </w:t>
      </w:r>
      <w:r w:rsidRPr="001A7187">
        <w:t>Attorney General of Ontario, Toronto.</w:t>
      </w:r>
    </w:p>
    <w:p w:rsidR="00AA4855" w:rsidRPr="001A7187" w:rsidRDefault="00AA4855" w:rsidP="0066740C">
      <w:pPr>
        <w:pStyle w:val="SCCLawFirm"/>
        <w:spacing w:after="480"/>
      </w:pPr>
      <w:r w:rsidRPr="001A7187">
        <w:tab/>
        <w:t>Solicitors for the intervener the Canadian Civil Liberties Association</w:t>
      </w:r>
      <w:r w:rsidR="00DF1046" w:rsidRPr="001A7187">
        <w:t>:  </w:t>
      </w:r>
      <w:proofErr w:type="spellStart"/>
      <w:r w:rsidRPr="001A7187">
        <w:t>Addario</w:t>
      </w:r>
      <w:proofErr w:type="spellEnd"/>
      <w:r w:rsidRPr="001A7187">
        <w:t xml:space="preserve"> Law Group, Toronto.</w:t>
      </w:r>
    </w:p>
    <w:p w:rsidR="00AA4855" w:rsidRPr="001A7187" w:rsidRDefault="00AA4855" w:rsidP="0066740C">
      <w:pPr>
        <w:pStyle w:val="SCCLawFirm"/>
        <w:spacing w:after="480"/>
      </w:pPr>
      <w:r w:rsidRPr="001A7187">
        <w:tab/>
        <w:t>Solicitors for the intervener the British Columbia Civil Liberties Association</w:t>
      </w:r>
      <w:r w:rsidR="00DF1046" w:rsidRPr="001A7187">
        <w:t>:  </w:t>
      </w:r>
      <w:r w:rsidRPr="001A7187">
        <w:t xml:space="preserve">Ruby </w:t>
      </w:r>
      <w:proofErr w:type="spellStart"/>
      <w:r w:rsidRPr="001A7187">
        <w:t>Shiller</w:t>
      </w:r>
      <w:proofErr w:type="spellEnd"/>
      <w:r w:rsidRPr="001A7187">
        <w:t xml:space="preserve"> Chan</w:t>
      </w:r>
      <w:r w:rsidR="00584F11" w:rsidRPr="001A7187">
        <w:t xml:space="preserve"> </w:t>
      </w:r>
      <w:proofErr w:type="spellStart"/>
      <w:r w:rsidR="00584F11" w:rsidRPr="001A7187">
        <w:t>Hasan</w:t>
      </w:r>
      <w:proofErr w:type="spellEnd"/>
      <w:r w:rsidRPr="001A7187">
        <w:t>, Toronto.</w:t>
      </w:r>
    </w:p>
    <w:p w:rsidR="00AA4855" w:rsidRPr="001A7187" w:rsidRDefault="00AA4855" w:rsidP="0066740C">
      <w:pPr>
        <w:pStyle w:val="SCCLawFirm"/>
        <w:spacing w:after="480"/>
      </w:pPr>
      <w:r w:rsidRPr="001A7187">
        <w:tab/>
        <w:t>Solicitors for the intervener the Ontario Crown Attorneys’ Association</w:t>
      </w:r>
      <w:r w:rsidR="00DF1046" w:rsidRPr="001A7187">
        <w:t>:  </w:t>
      </w:r>
      <w:proofErr w:type="spellStart"/>
      <w:r w:rsidRPr="001A7187">
        <w:t>Cavalluzzo</w:t>
      </w:r>
      <w:proofErr w:type="spellEnd"/>
      <w:r w:rsidRPr="001A7187">
        <w:t xml:space="preserve"> Hayes </w:t>
      </w:r>
      <w:proofErr w:type="spellStart"/>
      <w:r w:rsidRPr="001A7187">
        <w:t>Shilton</w:t>
      </w:r>
      <w:proofErr w:type="spellEnd"/>
      <w:r w:rsidRPr="001A7187">
        <w:t xml:space="preserve"> McIntyre &amp; Cornish, Toronto.</w:t>
      </w:r>
    </w:p>
    <w:p w:rsidR="00AA4855" w:rsidRPr="001A7187" w:rsidRDefault="00AA4855" w:rsidP="0066740C">
      <w:pPr>
        <w:pStyle w:val="SCCLawFirm"/>
        <w:spacing w:after="480"/>
      </w:pPr>
      <w:r w:rsidRPr="001A7187">
        <w:tab/>
        <w:t>Solicitor for the intervener the Information and Privacy Commissioner of Ontario</w:t>
      </w:r>
      <w:r w:rsidR="00DF1046" w:rsidRPr="001A7187">
        <w:t>:  </w:t>
      </w:r>
      <w:r w:rsidRPr="001A7187">
        <w:t>Information and Privacy Commissioner of Ontario, Toronto.</w:t>
      </w:r>
    </w:p>
    <w:p w:rsidR="00AA4855" w:rsidRPr="001A7187" w:rsidRDefault="00AA4855" w:rsidP="0066740C">
      <w:pPr>
        <w:pStyle w:val="SCCLawFirm"/>
        <w:spacing w:after="480"/>
      </w:pPr>
      <w:r w:rsidRPr="001A7187">
        <w:tab/>
        <w:t>Solicitor for the intervener the David Asper Centre for Constitutional Rights</w:t>
      </w:r>
      <w:r w:rsidR="00DF1046" w:rsidRPr="001A7187">
        <w:t>:  </w:t>
      </w:r>
      <w:r w:rsidRPr="001A7187">
        <w:t>University of Toronto, Toronto.</w:t>
      </w:r>
    </w:p>
    <w:p w:rsidR="009B57B3" w:rsidRDefault="00AA4855" w:rsidP="00E361EC">
      <w:pPr>
        <w:pStyle w:val="SCCLawFirm"/>
        <w:rPr>
          <w:b/>
          <w:i w:val="0"/>
        </w:rPr>
      </w:pPr>
      <w:r w:rsidRPr="001A7187">
        <w:tab/>
        <w:t>Solicitors for the intervener the Criminal Lawyers’ Association</w:t>
      </w:r>
      <w:r w:rsidR="00DF1046" w:rsidRPr="001A7187">
        <w:t>:  </w:t>
      </w:r>
      <w:r w:rsidRPr="001A7187">
        <w:t xml:space="preserve">Anthony </w:t>
      </w:r>
      <w:proofErr w:type="spellStart"/>
      <w:r w:rsidRPr="001A7187">
        <w:t>Moustacalis</w:t>
      </w:r>
      <w:proofErr w:type="spellEnd"/>
      <w:r w:rsidRPr="001A7187">
        <w:t xml:space="preserve">, Toronto; </w:t>
      </w:r>
      <w:proofErr w:type="spellStart"/>
      <w:r w:rsidRPr="001A7187">
        <w:t>Brauti</w:t>
      </w:r>
      <w:proofErr w:type="spellEnd"/>
      <w:r w:rsidRPr="001A7187">
        <w:t xml:space="preserve"> </w:t>
      </w:r>
      <w:proofErr w:type="spellStart"/>
      <w:r w:rsidRPr="001A7187">
        <w:t>Thorning</w:t>
      </w:r>
      <w:proofErr w:type="spellEnd"/>
      <w:r w:rsidRPr="001A7187">
        <w:t xml:space="preserve"> </w:t>
      </w:r>
      <w:proofErr w:type="spellStart"/>
      <w:r w:rsidRPr="001A7187">
        <w:t>Zibarras</w:t>
      </w:r>
      <w:proofErr w:type="spellEnd"/>
      <w:r w:rsidRPr="001A7187">
        <w:t>, Toronto.</w:t>
      </w:r>
    </w:p>
    <w:sectPr w:rsidR="009B57B3" w:rsidSect="00CB52D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1B" w:rsidRDefault="0024011B">
      <w:r>
        <w:separator/>
      </w:r>
    </w:p>
  </w:endnote>
  <w:endnote w:type="continuationSeparator" w:id="0">
    <w:p w:rsidR="0024011B" w:rsidRDefault="00240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1B" w:rsidRDefault="0024011B">
      <w:r>
        <w:separator/>
      </w:r>
    </w:p>
  </w:footnote>
  <w:footnote w:type="continuationSeparator" w:id="0">
    <w:p w:rsidR="0024011B" w:rsidRDefault="00240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547"/>
      <w:docPartObj>
        <w:docPartGallery w:val="Page Numbers (Top of Page)"/>
        <w:docPartUnique/>
      </w:docPartObj>
    </w:sdtPr>
    <w:sdtContent>
      <w:p w:rsidR="0024011B" w:rsidRDefault="0024011B">
        <w:pPr>
          <w:pStyle w:val="Header"/>
          <w:jc w:val="center"/>
        </w:pPr>
        <w:r>
          <w:t xml:space="preserve">- </w:t>
        </w:r>
        <w:fldSimple w:instr=" PAGE   \* MERGEFORMAT ">
          <w:r w:rsidR="003C3289">
            <w:rPr>
              <w:noProof/>
            </w:rPr>
            <w:t>2</w:t>
          </w:r>
        </w:fldSimple>
        <w:r>
          <w:t xml:space="preserve"> -</w:t>
        </w:r>
      </w:p>
    </w:sdtContent>
  </w:sdt>
  <w:p w:rsidR="0024011B" w:rsidRPr="00450352" w:rsidRDefault="0024011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rsids>
    <w:rsidRoot w:val="0031414C"/>
    <w:rsid w:val="00000ED4"/>
    <w:rsid w:val="00001ABD"/>
    <w:rsid w:val="00025198"/>
    <w:rsid w:val="00030BAD"/>
    <w:rsid w:val="00047F80"/>
    <w:rsid w:val="00053F17"/>
    <w:rsid w:val="000578A3"/>
    <w:rsid w:val="00060A28"/>
    <w:rsid w:val="000648CC"/>
    <w:rsid w:val="00083EBC"/>
    <w:rsid w:val="000846B0"/>
    <w:rsid w:val="000955ED"/>
    <w:rsid w:val="000C59B8"/>
    <w:rsid w:val="000C6AF0"/>
    <w:rsid w:val="000E01A9"/>
    <w:rsid w:val="000F1E8F"/>
    <w:rsid w:val="000F3FC8"/>
    <w:rsid w:val="00104F33"/>
    <w:rsid w:val="00111DE2"/>
    <w:rsid w:val="00116B38"/>
    <w:rsid w:val="00135406"/>
    <w:rsid w:val="00135972"/>
    <w:rsid w:val="00141C92"/>
    <w:rsid w:val="001426A9"/>
    <w:rsid w:val="00154D7C"/>
    <w:rsid w:val="001570B0"/>
    <w:rsid w:val="0015752C"/>
    <w:rsid w:val="00157737"/>
    <w:rsid w:val="00165277"/>
    <w:rsid w:val="00170592"/>
    <w:rsid w:val="00171842"/>
    <w:rsid w:val="00173BF7"/>
    <w:rsid w:val="00180277"/>
    <w:rsid w:val="00186351"/>
    <w:rsid w:val="00195D83"/>
    <w:rsid w:val="001A00C1"/>
    <w:rsid w:val="001A7187"/>
    <w:rsid w:val="001B33E0"/>
    <w:rsid w:val="001B4573"/>
    <w:rsid w:val="001C2626"/>
    <w:rsid w:val="001C779F"/>
    <w:rsid w:val="001D2AC1"/>
    <w:rsid w:val="001D4E88"/>
    <w:rsid w:val="001E330C"/>
    <w:rsid w:val="00216836"/>
    <w:rsid w:val="00220FC2"/>
    <w:rsid w:val="002222F4"/>
    <w:rsid w:val="00224FC0"/>
    <w:rsid w:val="00225EA4"/>
    <w:rsid w:val="00226EAF"/>
    <w:rsid w:val="00231F3A"/>
    <w:rsid w:val="00234199"/>
    <w:rsid w:val="0024011B"/>
    <w:rsid w:val="002406EE"/>
    <w:rsid w:val="00243EC8"/>
    <w:rsid w:val="00252767"/>
    <w:rsid w:val="00261C34"/>
    <w:rsid w:val="00270D93"/>
    <w:rsid w:val="002745CC"/>
    <w:rsid w:val="00281868"/>
    <w:rsid w:val="00282340"/>
    <w:rsid w:val="002A2ACD"/>
    <w:rsid w:val="002A52CC"/>
    <w:rsid w:val="002B7924"/>
    <w:rsid w:val="002C2CB8"/>
    <w:rsid w:val="002D02D6"/>
    <w:rsid w:val="002D28C3"/>
    <w:rsid w:val="002D39A4"/>
    <w:rsid w:val="002E54DE"/>
    <w:rsid w:val="002E6705"/>
    <w:rsid w:val="00301D08"/>
    <w:rsid w:val="0030329A"/>
    <w:rsid w:val="0031086F"/>
    <w:rsid w:val="0031414C"/>
    <w:rsid w:val="00314E01"/>
    <w:rsid w:val="00315AB9"/>
    <w:rsid w:val="0032089D"/>
    <w:rsid w:val="00322DCD"/>
    <w:rsid w:val="00326AE3"/>
    <w:rsid w:val="003310DE"/>
    <w:rsid w:val="003323B0"/>
    <w:rsid w:val="003368CE"/>
    <w:rsid w:val="0035169A"/>
    <w:rsid w:val="0035259D"/>
    <w:rsid w:val="00364B18"/>
    <w:rsid w:val="003874CE"/>
    <w:rsid w:val="003A125D"/>
    <w:rsid w:val="003A4C70"/>
    <w:rsid w:val="003B215F"/>
    <w:rsid w:val="003B7FB6"/>
    <w:rsid w:val="003C3289"/>
    <w:rsid w:val="003C799C"/>
    <w:rsid w:val="003D0399"/>
    <w:rsid w:val="003E1C71"/>
    <w:rsid w:val="003F327B"/>
    <w:rsid w:val="0040452E"/>
    <w:rsid w:val="00405A44"/>
    <w:rsid w:val="00406166"/>
    <w:rsid w:val="0040704B"/>
    <w:rsid w:val="00410A55"/>
    <w:rsid w:val="00411300"/>
    <w:rsid w:val="00415417"/>
    <w:rsid w:val="00415D8E"/>
    <w:rsid w:val="004202C5"/>
    <w:rsid w:val="00426659"/>
    <w:rsid w:val="00450352"/>
    <w:rsid w:val="00454BDB"/>
    <w:rsid w:val="00464800"/>
    <w:rsid w:val="00465132"/>
    <w:rsid w:val="004654A3"/>
    <w:rsid w:val="00480C90"/>
    <w:rsid w:val="0048396F"/>
    <w:rsid w:val="00483D8C"/>
    <w:rsid w:val="00493C18"/>
    <w:rsid w:val="004A600C"/>
    <w:rsid w:val="004A6118"/>
    <w:rsid w:val="004C478D"/>
    <w:rsid w:val="004D2F98"/>
    <w:rsid w:val="004E21AB"/>
    <w:rsid w:val="004E2C26"/>
    <w:rsid w:val="004F36FF"/>
    <w:rsid w:val="004F6CD0"/>
    <w:rsid w:val="005125A8"/>
    <w:rsid w:val="005161E1"/>
    <w:rsid w:val="00521AE8"/>
    <w:rsid w:val="00527180"/>
    <w:rsid w:val="00527533"/>
    <w:rsid w:val="0054201E"/>
    <w:rsid w:val="00555291"/>
    <w:rsid w:val="00566AD1"/>
    <w:rsid w:val="00570912"/>
    <w:rsid w:val="005755CD"/>
    <w:rsid w:val="00583EDE"/>
    <w:rsid w:val="00584F11"/>
    <w:rsid w:val="005A6079"/>
    <w:rsid w:val="005B3730"/>
    <w:rsid w:val="005E2527"/>
    <w:rsid w:val="005E4698"/>
    <w:rsid w:val="005F207C"/>
    <w:rsid w:val="00610539"/>
    <w:rsid w:val="00610DAD"/>
    <w:rsid w:val="00613969"/>
    <w:rsid w:val="00613B70"/>
    <w:rsid w:val="00617E72"/>
    <w:rsid w:val="0062201B"/>
    <w:rsid w:val="00625C35"/>
    <w:rsid w:val="006444F1"/>
    <w:rsid w:val="00656313"/>
    <w:rsid w:val="006565F4"/>
    <w:rsid w:val="0066740C"/>
    <w:rsid w:val="006730E1"/>
    <w:rsid w:val="00684EEA"/>
    <w:rsid w:val="0069689B"/>
    <w:rsid w:val="006A1551"/>
    <w:rsid w:val="006A32BC"/>
    <w:rsid w:val="006A4741"/>
    <w:rsid w:val="006B5FF5"/>
    <w:rsid w:val="006B6C9E"/>
    <w:rsid w:val="006C0A11"/>
    <w:rsid w:val="006D4C4E"/>
    <w:rsid w:val="006E695B"/>
    <w:rsid w:val="006F30AF"/>
    <w:rsid w:val="00700793"/>
    <w:rsid w:val="00701759"/>
    <w:rsid w:val="00703A67"/>
    <w:rsid w:val="00705C15"/>
    <w:rsid w:val="0071600E"/>
    <w:rsid w:val="007208D1"/>
    <w:rsid w:val="00747288"/>
    <w:rsid w:val="00747DD3"/>
    <w:rsid w:val="007549C8"/>
    <w:rsid w:val="00754A0B"/>
    <w:rsid w:val="00766D14"/>
    <w:rsid w:val="00767A0F"/>
    <w:rsid w:val="0078147F"/>
    <w:rsid w:val="007959BA"/>
    <w:rsid w:val="007A05F6"/>
    <w:rsid w:val="007B34E4"/>
    <w:rsid w:val="007B4CF0"/>
    <w:rsid w:val="007B6F4A"/>
    <w:rsid w:val="007C1C12"/>
    <w:rsid w:val="007C569A"/>
    <w:rsid w:val="007D3C14"/>
    <w:rsid w:val="007E1C47"/>
    <w:rsid w:val="007E337A"/>
    <w:rsid w:val="007E5C70"/>
    <w:rsid w:val="007F0D0D"/>
    <w:rsid w:val="007F2FF5"/>
    <w:rsid w:val="007F3F08"/>
    <w:rsid w:val="008012CA"/>
    <w:rsid w:val="00804CC6"/>
    <w:rsid w:val="00816239"/>
    <w:rsid w:val="00817190"/>
    <w:rsid w:val="008173B0"/>
    <w:rsid w:val="008203C9"/>
    <w:rsid w:val="008208DA"/>
    <w:rsid w:val="00820EE5"/>
    <w:rsid w:val="008260E2"/>
    <w:rsid w:val="008322BD"/>
    <w:rsid w:val="00833E0A"/>
    <w:rsid w:val="00834F73"/>
    <w:rsid w:val="00844314"/>
    <w:rsid w:val="00850340"/>
    <w:rsid w:val="00864CF8"/>
    <w:rsid w:val="00871EE9"/>
    <w:rsid w:val="00872819"/>
    <w:rsid w:val="00874914"/>
    <w:rsid w:val="0088365F"/>
    <w:rsid w:val="008857A5"/>
    <w:rsid w:val="00891422"/>
    <w:rsid w:val="00892E1A"/>
    <w:rsid w:val="008A3DC5"/>
    <w:rsid w:val="008A3F29"/>
    <w:rsid w:val="008A5BD4"/>
    <w:rsid w:val="008B1BFD"/>
    <w:rsid w:val="008B660A"/>
    <w:rsid w:val="008C01DA"/>
    <w:rsid w:val="008C1FD7"/>
    <w:rsid w:val="008F18F9"/>
    <w:rsid w:val="008F78E9"/>
    <w:rsid w:val="0090060A"/>
    <w:rsid w:val="00911989"/>
    <w:rsid w:val="009179F9"/>
    <w:rsid w:val="00933E5E"/>
    <w:rsid w:val="00935218"/>
    <w:rsid w:val="0093524F"/>
    <w:rsid w:val="009403F3"/>
    <w:rsid w:val="009504C4"/>
    <w:rsid w:val="009535FF"/>
    <w:rsid w:val="009555B7"/>
    <w:rsid w:val="009567AA"/>
    <w:rsid w:val="00967374"/>
    <w:rsid w:val="00993604"/>
    <w:rsid w:val="009A343A"/>
    <w:rsid w:val="009B2F23"/>
    <w:rsid w:val="009B57B3"/>
    <w:rsid w:val="009C28A4"/>
    <w:rsid w:val="009C59AA"/>
    <w:rsid w:val="009C5B92"/>
    <w:rsid w:val="009D2920"/>
    <w:rsid w:val="009D5AEB"/>
    <w:rsid w:val="009F0E33"/>
    <w:rsid w:val="00A00CCB"/>
    <w:rsid w:val="00A030CE"/>
    <w:rsid w:val="00A04B35"/>
    <w:rsid w:val="00A149DF"/>
    <w:rsid w:val="00A1755C"/>
    <w:rsid w:val="00A21B90"/>
    <w:rsid w:val="00A27C80"/>
    <w:rsid w:val="00A41805"/>
    <w:rsid w:val="00A42DCD"/>
    <w:rsid w:val="00A52AFB"/>
    <w:rsid w:val="00A548CB"/>
    <w:rsid w:val="00A5521C"/>
    <w:rsid w:val="00A643E7"/>
    <w:rsid w:val="00A73C38"/>
    <w:rsid w:val="00A8273F"/>
    <w:rsid w:val="00AA06FF"/>
    <w:rsid w:val="00AA4855"/>
    <w:rsid w:val="00AB2A95"/>
    <w:rsid w:val="00AB670D"/>
    <w:rsid w:val="00AC127B"/>
    <w:rsid w:val="00AC3F93"/>
    <w:rsid w:val="00AC4EA4"/>
    <w:rsid w:val="00AD1D4A"/>
    <w:rsid w:val="00AE3CFA"/>
    <w:rsid w:val="00AF03C5"/>
    <w:rsid w:val="00B000D8"/>
    <w:rsid w:val="00B00F75"/>
    <w:rsid w:val="00B10260"/>
    <w:rsid w:val="00B145B6"/>
    <w:rsid w:val="00B279EB"/>
    <w:rsid w:val="00B50C81"/>
    <w:rsid w:val="00B557F8"/>
    <w:rsid w:val="00B63051"/>
    <w:rsid w:val="00B7511D"/>
    <w:rsid w:val="00B81031"/>
    <w:rsid w:val="00B815FC"/>
    <w:rsid w:val="00B93FBC"/>
    <w:rsid w:val="00BA7DA0"/>
    <w:rsid w:val="00BB2EE4"/>
    <w:rsid w:val="00BC2108"/>
    <w:rsid w:val="00BD0E9E"/>
    <w:rsid w:val="00BD1BEC"/>
    <w:rsid w:val="00BD32FF"/>
    <w:rsid w:val="00BE69D0"/>
    <w:rsid w:val="00C02092"/>
    <w:rsid w:val="00C239C4"/>
    <w:rsid w:val="00C24D91"/>
    <w:rsid w:val="00C316DD"/>
    <w:rsid w:val="00C37BFD"/>
    <w:rsid w:val="00C53F14"/>
    <w:rsid w:val="00C600CF"/>
    <w:rsid w:val="00C6084F"/>
    <w:rsid w:val="00C62A66"/>
    <w:rsid w:val="00C6310F"/>
    <w:rsid w:val="00C71458"/>
    <w:rsid w:val="00C77613"/>
    <w:rsid w:val="00C828E7"/>
    <w:rsid w:val="00C86719"/>
    <w:rsid w:val="00C921DD"/>
    <w:rsid w:val="00CA1965"/>
    <w:rsid w:val="00CA6391"/>
    <w:rsid w:val="00CB52DE"/>
    <w:rsid w:val="00CC34BD"/>
    <w:rsid w:val="00CE161A"/>
    <w:rsid w:val="00CE3171"/>
    <w:rsid w:val="00CF1601"/>
    <w:rsid w:val="00D0172F"/>
    <w:rsid w:val="00D068A7"/>
    <w:rsid w:val="00D17476"/>
    <w:rsid w:val="00D32086"/>
    <w:rsid w:val="00D37A3F"/>
    <w:rsid w:val="00D4431D"/>
    <w:rsid w:val="00D4667A"/>
    <w:rsid w:val="00D63A1C"/>
    <w:rsid w:val="00D7516F"/>
    <w:rsid w:val="00D81B66"/>
    <w:rsid w:val="00D8579F"/>
    <w:rsid w:val="00D91AF1"/>
    <w:rsid w:val="00D95A7B"/>
    <w:rsid w:val="00D95F8E"/>
    <w:rsid w:val="00DA0590"/>
    <w:rsid w:val="00DB7BEA"/>
    <w:rsid w:val="00DC1739"/>
    <w:rsid w:val="00DC1788"/>
    <w:rsid w:val="00DD5154"/>
    <w:rsid w:val="00DD66EF"/>
    <w:rsid w:val="00DE1D1A"/>
    <w:rsid w:val="00DE319C"/>
    <w:rsid w:val="00DF0CA8"/>
    <w:rsid w:val="00DF1046"/>
    <w:rsid w:val="00DF2B48"/>
    <w:rsid w:val="00DF49A7"/>
    <w:rsid w:val="00E07EE2"/>
    <w:rsid w:val="00E07FD1"/>
    <w:rsid w:val="00E14FE6"/>
    <w:rsid w:val="00E24573"/>
    <w:rsid w:val="00E25E1E"/>
    <w:rsid w:val="00E27EE7"/>
    <w:rsid w:val="00E32587"/>
    <w:rsid w:val="00E32FF0"/>
    <w:rsid w:val="00E35404"/>
    <w:rsid w:val="00E361EC"/>
    <w:rsid w:val="00E44633"/>
    <w:rsid w:val="00E45109"/>
    <w:rsid w:val="00E46D28"/>
    <w:rsid w:val="00E47B7A"/>
    <w:rsid w:val="00E56A44"/>
    <w:rsid w:val="00E56DE8"/>
    <w:rsid w:val="00E60269"/>
    <w:rsid w:val="00E61A48"/>
    <w:rsid w:val="00E6699E"/>
    <w:rsid w:val="00E77932"/>
    <w:rsid w:val="00E83085"/>
    <w:rsid w:val="00E868AA"/>
    <w:rsid w:val="00E97830"/>
    <w:rsid w:val="00EC055E"/>
    <w:rsid w:val="00EC6E5E"/>
    <w:rsid w:val="00ED367B"/>
    <w:rsid w:val="00ED3DDC"/>
    <w:rsid w:val="00EE643C"/>
    <w:rsid w:val="00EF0683"/>
    <w:rsid w:val="00EF69D2"/>
    <w:rsid w:val="00EF766E"/>
    <w:rsid w:val="00F0070C"/>
    <w:rsid w:val="00F00EB7"/>
    <w:rsid w:val="00F015F7"/>
    <w:rsid w:val="00F27994"/>
    <w:rsid w:val="00F3283C"/>
    <w:rsid w:val="00F35444"/>
    <w:rsid w:val="00F36AB6"/>
    <w:rsid w:val="00F37A09"/>
    <w:rsid w:val="00F409CE"/>
    <w:rsid w:val="00F4379D"/>
    <w:rsid w:val="00F501C1"/>
    <w:rsid w:val="00F50D2D"/>
    <w:rsid w:val="00F56C8B"/>
    <w:rsid w:val="00F66810"/>
    <w:rsid w:val="00F67CA6"/>
    <w:rsid w:val="00F832B0"/>
    <w:rsid w:val="00F846D9"/>
    <w:rsid w:val="00F84DF4"/>
    <w:rsid w:val="00F85C97"/>
    <w:rsid w:val="00FB37D2"/>
    <w:rsid w:val="00FC4EFB"/>
    <w:rsid w:val="00FD068D"/>
    <w:rsid w:val="00FD4F28"/>
    <w:rsid w:val="00FE6784"/>
    <w:rsid w:val="00FF1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E361E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361EC"/>
    <w:rPr>
      <w:rFonts w:eastAsiaTheme="minorHAnsi" w:cstheme="minorBidi"/>
      <w:sz w:val="24"/>
      <w:szCs w:val="22"/>
      <w:lang w:eastAsia="en-US"/>
    </w:rPr>
  </w:style>
  <w:style w:type="table" w:styleId="TableGrid">
    <w:name w:val="Table Grid"/>
    <w:basedOn w:val="TableNormal"/>
    <w:uiPriority w:val="59"/>
    <w:rsid w:val="00E36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361EC"/>
    <w:pPr>
      <w:spacing w:after="720"/>
      <w:ind w:left="1166"/>
      <w:contextualSpacing/>
      <w:jc w:val="both"/>
    </w:pPr>
    <w:rPr>
      <w:sz w:val="24"/>
    </w:rPr>
  </w:style>
  <w:style w:type="paragraph" w:customStyle="1" w:styleId="JudgeJuge">
    <w:name w:val="Judge / Juge"/>
    <w:uiPriority w:val="3"/>
    <w:rsid w:val="00E361EC"/>
    <w:pPr>
      <w:tabs>
        <w:tab w:val="left" w:pos="1166"/>
      </w:tabs>
      <w:spacing w:after="480" w:line="480" w:lineRule="auto"/>
    </w:pPr>
    <w:rPr>
      <w:smallCaps/>
      <w:sz w:val="24"/>
    </w:rPr>
  </w:style>
  <w:style w:type="paragraph" w:customStyle="1" w:styleId="ParaNoNdepar-AltN">
    <w:name w:val="Para. No. / Nº de par. - Alt N"/>
    <w:qFormat/>
    <w:rsid w:val="00E361E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E361EC"/>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1672415964">
      <w:bodyDiv w:val="1"/>
      <w:marLeft w:val="0"/>
      <w:marRight w:val="0"/>
      <w:marTop w:val="510"/>
      <w:marBottom w:val="0"/>
      <w:divBdr>
        <w:top w:val="none" w:sz="0" w:space="0" w:color="auto"/>
        <w:left w:val="none" w:sz="0" w:space="0" w:color="auto"/>
        <w:bottom w:val="none" w:sz="0" w:space="0" w:color="auto"/>
        <w:right w:val="none" w:sz="0" w:space="0" w:color="auto"/>
      </w:divBdr>
      <w:divsChild>
        <w:div w:id="1981304677">
          <w:marLeft w:val="0"/>
          <w:marRight w:val="0"/>
          <w:marTop w:val="100"/>
          <w:marBottom w:val="100"/>
          <w:divBdr>
            <w:top w:val="none" w:sz="0" w:space="0" w:color="auto"/>
            <w:left w:val="none" w:sz="0" w:space="0" w:color="auto"/>
            <w:bottom w:val="none" w:sz="0" w:space="0" w:color="auto"/>
            <w:right w:val="none" w:sz="0" w:space="0" w:color="auto"/>
          </w:divBdr>
          <w:divsChild>
            <w:div w:id="1257593568">
              <w:marLeft w:val="0"/>
              <w:marRight w:val="0"/>
              <w:marTop w:val="0"/>
              <w:marBottom w:val="0"/>
              <w:divBdr>
                <w:top w:val="none" w:sz="0" w:space="0" w:color="auto"/>
                <w:left w:val="none" w:sz="0" w:space="0" w:color="auto"/>
                <w:bottom w:val="none" w:sz="0" w:space="0" w:color="auto"/>
                <w:right w:val="none" w:sz="0" w:space="0" w:color="auto"/>
              </w:divBdr>
              <w:divsChild>
                <w:div w:id="1690137213">
                  <w:marLeft w:val="0"/>
                  <w:marRight w:val="0"/>
                  <w:marTop w:val="0"/>
                  <w:marBottom w:val="600"/>
                  <w:divBdr>
                    <w:top w:val="none" w:sz="0" w:space="0" w:color="auto"/>
                    <w:left w:val="none" w:sz="0" w:space="0" w:color="auto"/>
                    <w:bottom w:val="none" w:sz="0" w:space="0" w:color="auto"/>
                    <w:right w:val="none" w:sz="0" w:space="0" w:color="auto"/>
                  </w:divBdr>
                  <w:divsChild>
                    <w:div w:id="1197085937">
                      <w:marLeft w:val="72"/>
                      <w:marRight w:val="72"/>
                      <w:marTop w:val="0"/>
                      <w:marBottom w:val="0"/>
                      <w:divBdr>
                        <w:top w:val="none" w:sz="0" w:space="0" w:color="auto"/>
                        <w:left w:val="none" w:sz="0" w:space="0" w:color="auto"/>
                        <w:bottom w:val="none" w:sz="0" w:space="0" w:color="auto"/>
                        <w:right w:val="none" w:sz="0" w:space="0" w:color="auto"/>
                      </w:divBdr>
                      <w:divsChild>
                        <w:div w:id="20634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97828">
      <w:bodyDiv w:val="1"/>
      <w:marLeft w:val="0"/>
      <w:marRight w:val="0"/>
      <w:marTop w:val="510"/>
      <w:marBottom w:val="0"/>
      <w:divBdr>
        <w:top w:val="none" w:sz="0" w:space="0" w:color="auto"/>
        <w:left w:val="none" w:sz="0" w:space="0" w:color="auto"/>
        <w:bottom w:val="none" w:sz="0" w:space="0" w:color="auto"/>
        <w:right w:val="none" w:sz="0" w:space="0" w:color="auto"/>
      </w:divBdr>
      <w:divsChild>
        <w:div w:id="1521889180">
          <w:marLeft w:val="0"/>
          <w:marRight w:val="0"/>
          <w:marTop w:val="100"/>
          <w:marBottom w:val="100"/>
          <w:divBdr>
            <w:top w:val="none" w:sz="0" w:space="0" w:color="auto"/>
            <w:left w:val="none" w:sz="0" w:space="0" w:color="auto"/>
            <w:bottom w:val="none" w:sz="0" w:space="0" w:color="auto"/>
            <w:right w:val="none" w:sz="0" w:space="0" w:color="auto"/>
          </w:divBdr>
          <w:divsChild>
            <w:div w:id="1442799201">
              <w:marLeft w:val="0"/>
              <w:marRight w:val="0"/>
              <w:marTop w:val="0"/>
              <w:marBottom w:val="0"/>
              <w:divBdr>
                <w:top w:val="none" w:sz="0" w:space="0" w:color="auto"/>
                <w:left w:val="none" w:sz="0" w:space="0" w:color="auto"/>
                <w:bottom w:val="none" w:sz="0" w:space="0" w:color="auto"/>
                <w:right w:val="none" w:sz="0" w:space="0" w:color="auto"/>
              </w:divBdr>
              <w:divsChild>
                <w:div w:id="1169491036">
                  <w:marLeft w:val="0"/>
                  <w:marRight w:val="0"/>
                  <w:marTop w:val="0"/>
                  <w:marBottom w:val="600"/>
                  <w:divBdr>
                    <w:top w:val="none" w:sz="0" w:space="0" w:color="auto"/>
                    <w:left w:val="none" w:sz="0" w:space="0" w:color="auto"/>
                    <w:bottom w:val="none" w:sz="0" w:space="0" w:color="auto"/>
                    <w:right w:val="none" w:sz="0" w:space="0" w:color="auto"/>
                  </w:divBdr>
                  <w:divsChild>
                    <w:div w:id="1109085264">
                      <w:marLeft w:val="72"/>
                      <w:marRight w:val="72"/>
                      <w:marTop w:val="0"/>
                      <w:marBottom w:val="0"/>
                      <w:divBdr>
                        <w:top w:val="none" w:sz="0" w:space="0" w:color="auto"/>
                        <w:left w:val="none" w:sz="0" w:space="0" w:color="auto"/>
                        <w:bottom w:val="none" w:sz="0" w:space="0" w:color="auto"/>
                        <w:right w:val="none" w:sz="0" w:space="0" w:color="auto"/>
                      </w:divBdr>
                      <w:divsChild>
                        <w:div w:id="1622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C36D5-BE85-4C42-90EF-03EBC71A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5251</Words>
  <Characters>27155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2013-01-17T16:36:00Z</dcterms:created>
  <dcterms:modified xsi:type="dcterms:W3CDTF">2013-07-26T14:58:00Z</dcterms:modified>
</cp:coreProperties>
</file>