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20" w:rsidRPr="00445F3C" w:rsidRDefault="00D31A20" w:rsidP="00D31A20">
      <w:pPr>
        <w:tabs>
          <w:tab w:val="center" w:pos="4680"/>
          <w:tab w:val="right" w:pos="9360"/>
        </w:tabs>
        <w:jc w:val="center"/>
        <w:rPr>
          <w:rFonts w:eastAsiaTheme="minorHAnsi" w:cstheme="minorBidi"/>
          <w:szCs w:val="24"/>
          <w:lang w:eastAsia="en-US"/>
        </w:rPr>
      </w:pPr>
      <w:r w:rsidRPr="00445F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1387669" r:id="rId8"/>
        </w:object>
      </w:r>
    </w:p>
    <w:p w:rsidR="00D31A20" w:rsidRPr="00445F3C" w:rsidRDefault="00D31A20" w:rsidP="00D31A20">
      <w:pPr>
        <w:tabs>
          <w:tab w:val="center" w:pos="4680"/>
          <w:tab w:val="right" w:pos="9360"/>
        </w:tabs>
        <w:rPr>
          <w:rFonts w:eastAsiaTheme="minorHAnsi" w:cstheme="minorBidi"/>
          <w:szCs w:val="24"/>
          <w:lang w:eastAsia="en-US"/>
        </w:rPr>
      </w:pPr>
    </w:p>
    <w:p w:rsidR="00D31A20" w:rsidRPr="00445F3C" w:rsidRDefault="00D31A20" w:rsidP="00D31A20">
      <w:pPr>
        <w:jc w:val="center"/>
        <w:rPr>
          <w:rFonts w:eastAsiaTheme="minorHAnsi" w:cstheme="minorBidi"/>
          <w:b/>
          <w:szCs w:val="24"/>
          <w:lang w:eastAsia="en-US"/>
        </w:rPr>
      </w:pPr>
      <w:r w:rsidRPr="00445F3C">
        <w:rPr>
          <w:rFonts w:eastAsiaTheme="minorHAnsi" w:cstheme="minorBidi"/>
          <w:b/>
          <w:szCs w:val="24"/>
          <w:lang w:eastAsia="en-US"/>
        </w:rPr>
        <w:t>SUPREME COURT OF CANADA</w:t>
      </w:r>
    </w:p>
    <w:p w:rsidR="00D31A20" w:rsidRPr="00445F3C" w:rsidRDefault="00D31A20" w:rsidP="00D31A2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31A20" w:rsidRPr="00445F3C" w:rsidTr="006F19F4">
        <w:trPr>
          <w:cantSplit/>
        </w:trPr>
        <w:tc>
          <w:tcPr>
            <w:tcW w:w="6768" w:type="dxa"/>
          </w:tcPr>
          <w:p w:rsidR="00D31A20" w:rsidRPr="00445F3C" w:rsidRDefault="00D31A20" w:rsidP="006F19F4">
            <w:r w:rsidRPr="00445F3C">
              <w:rPr>
                <w:b/>
                <w:smallCaps/>
              </w:rPr>
              <w:t>Citation:</w:t>
            </w:r>
            <w:r w:rsidRPr="00445F3C">
              <w:t xml:space="preserve"> R. </w:t>
            </w:r>
            <w:r w:rsidRPr="00445F3C">
              <w:rPr>
                <w:i/>
              </w:rPr>
              <w:t>v.</w:t>
            </w:r>
            <w:r w:rsidRPr="00445F3C">
              <w:t xml:space="preserve"> Manning, </w:t>
            </w:r>
            <w:r>
              <w:rPr>
                <w:szCs w:val="24"/>
              </w:rPr>
              <w:t>2013 SCC 1, [2013] 1 S.C.R. 3</w:t>
            </w:r>
          </w:p>
        </w:tc>
        <w:tc>
          <w:tcPr>
            <w:tcW w:w="2808" w:type="dxa"/>
          </w:tcPr>
          <w:p w:rsidR="00D31A20" w:rsidRPr="00445F3C" w:rsidRDefault="00D31A20" w:rsidP="006F19F4">
            <w:r w:rsidRPr="00445F3C">
              <w:rPr>
                <w:b/>
                <w:smallCaps/>
              </w:rPr>
              <w:t>Date:</w:t>
            </w:r>
            <w:r w:rsidRPr="00445F3C">
              <w:t xml:space="preserve"> 20130117</w:t>
            </w:r>
          </w:p>
          <w:p w:rsidR="00D31A20" w:rsidRPr="00445F3C" w:rsidRDefault="00D31A20" w:rsidP="006F19F4">
            <w:r w:rsidRPr="00445F3C">
              <w:rPr>
                <w:b/>
                <w:smallCaps/>
              </w:rPr>
              <w:t>Docket:</w:t>
            </w:r>
            <w:r w:rsidRPr="00445F3C">
              <w:t xml:space="preserve"> 34358</w:t>
            </w:r>
          </w:p>
        </w:tc>
      </w:tr>
    </w:tbl>
    <w:p w:rsidR="00D31A20" w:rsidRPr="00445F3C" w:rsidRDefault="00D31A20" w:rsidP="00D31A20">
      <w:pPr>
        <w:rPr>
          <w:rFonts w:eastAsiaTheme="minorHAnsi" w:cstheme="minorBidi"/>
          <w:szCs w:val="24"/>
          <w:lang w:eastAsia="en-US"/>
        </w:rPr>
      </w:pPr>
    </w:p>
    <w:p w:rsidR="00D31A20" w:rsidRPr="00445F3C" w:rsidRDefault="00D31A20" w:rsidP="00D31A20">
      <w:pPr>
        <w:rPr>
          <w:rFonts w:eastAsiaTheme="minorHAnsi" w:cstheme="minorBidi"/>
          <w:b/>
          <w:smallCaps/>
          <w:szCs w:val="24"/>
          <w:lang w:eastAsia="en-US"/>
        </w:rPr>
      </w:pPr>
      <w:r w:rsidRPr="00445F3C">
        <w:rPr>
          <w:rFonts w:eastAsiaTheme="minorHAnsi" w:cstheme="minorBidi"/>
          <w:b/>
          <w:smallCaps/>
          <w:szCs w:val="24"/>
          <w:lang w:eastAsia="en-US"/>
        </w:rPr>
        <w:t>Between:</w:t>
      </w:r>
    </w:p>
    <w:p w:rsidR="00D31A20" w:rsidRPr="00445F3C" w:rsidRDefault="00D31A20" w:rsidP="00D31A20">
      <w:pPr>
        <w:jc w:val="center"/>
        <w:rPr>
          <w:rFonts w:eastAsiaTheme="minorHAnsi" w:cstheme="minorBidi"/>
          <w:b/>
          <w:szCs w:val="24"/>
          <w:lang w:eastAsia="en-US"/>
        </w:rPr>
      </w:pPr>
      <w:r w:rsidRPr="00445F3C">
        <w:rPr>
          <w:rFonts w:eastAsiaTheme="minorHAnsi" w:cstheme="minorBidi"/>
          <w:b/>
          <w:szCs w:val="24"/>
          <w:lang w:eastAsia="en-US"/>
        </w:rPr>
        <w:t xml:space="preserve">Her Majesty </w:t>
      </w:r>
      <w:proofErr w:type="gramStart"/>
      <w:r w:rsidRPr="00445F3C">
        <w:rPr>
          <w:rFonts w:eastAsiaTheme="minorHAnsi" w:cstheme="minorBidi"/>
          <w:b/>
          <w:szCs w:val="24"/>
          <w:lang w:eastAsia="en-US"/>
        </w:rPr>
        <w:t>The</w:t>
      </w:r>
      <w:proofErr w:type="gramEnd"/>
      <w:r w:rsidRPr="00445F3C">
        <w:rPr>
          <w:rFonts w:eastAsiaTheme="minorHAnsi" w:cstheme="minorBidi"/>
          <w:b/>
          <w:szCs w:val="24"/>
          <w:lang w:eastAsia="en-US"/>
        </w:rPr>
        <w:t xml:space="preserve"> Queen</w:t>
      </w:r>
    </w:p>
    <w:p w:rsidR="00D31A20" w:rsidRPr="00445F3C" w:rsidRDefault="00D31A20" w:rsidP="00D31A20">
      <w:pPr>
        <w:jc w:val="center"/>
        <w:rPr>
          <w:rFonts w:eastAsiaTheme="minorHAnsi" w:cstheme="minorBidi"/>
          <w:szCs w:val="24"/>
          <w:lang w:eastAsia="en-US"/>
        </w:rPr>
      </w:pPr>
      <w:r w:rsidRPr="00445F3C">
        <w:rPr>
          <w:rFonts w:eastAsiaTheme="minorHAnsi" w:cstheme="minorBidi"/>
          <w:szCs w:val="24"/>
          <w:lang w:eastAsia="en-US"/>
        </w:rPr>
        <w:t>Appellant</w:t>
      </w:r>
    </w:p>
    <w:p w:rsidR="00D31A20" w:rsidRPr="00445F3C" w:rsidRDefault="00D31A20" w:rsidP="00D31A20">
      <w:pPr>
        <w:jc w:val="center"/>
        <w:rPr>
          <w:rFonts w:eastAsiaTheme="minorHAnsi" w:cstheme="minorBidi"/>
          <w:szCs w:val="24"/>
          <w:lang w:eastAsia="en-US"/>
        </w:rPr>
      </w:pPr>
      <w:proofErr w:type="gramStart"/>
      <w:r w:rsidRPr="00445F3C">
        <w:rPr>
          <w:rFonts w:eastAsiaTheme="minorHAnsi" w:cstheme="minorBidi"/>
          <w:szCs w:val="24"/>
          <w:lang w:eastAsia="en-US"/>
        </w:rPr>
        <w:t>and</w:t>
      </w:r>
      <w:proofErr w:type="gramEnd"/>
    </w:p>
    <w:p w:rsidR="00D31A20" w:rsidRPr="00445F3C" w:rsidRDefault="00D31A20" w:rsidP="00D31A20">
      <w:pPr>
        <w:jc w:val="center"/>
        <w:rPr>
          <w:rFonts w:eastAsiaTheme="minorHAnsi" w:cstheme="minorBidi"/>
          <w:b/>
          <w:szCs w:val="24"/>
          <w:lang w:eastAsia="en-US"/>
        </w:rPr>
      </w:pPr>
      <w:proofErr w:type="spellStart"/>
      <w:r w:rsidRPr="00445F3C">
        <w:rPr>
          <w:rFonts w:eastAsiaTheme="minorHAnsi" w:cstheme="minorBidi"/>
          <w:b/>
          <w:szCs w:val="24"/>
          <w:lang w:eastAsia="en-US"/>
        </w:rPr>
        <w:t>Alphide</w:t>
      </w:r>
      <w:proofErr w:type="spellEnd"/>
      <w:r w:rsidRPr="00445F3C">
        <w:rPr>
          <w:rFonts w:eastAsiaTheme="minorHAnsi" w:cstheme="minorBidi"/>
          <w:b/>
          <w:szCs w:val="24"/>
          <w:lang w:eastAsia="en-US"/>
        </w:rPr>
        <w:t xml:space="preserve"> Manning</w:t>
      </w:r>
    </w:p>
    <w:p w:rsidR="00D31A20" w:rsidRPr="00445F3C" w:rsidRDefault="00D31A20" w:rsidP="00D31A20">
      <w:pPr>
        <w:jc w:val="center"/>
        <w:rPr>
          <w:rFonts w:eastAsiaTheme="minorHAnsi" w:cstheme="minorBidi"/>
          <w:szCs w:val="24"/>
          <w:lang w:eastAsia="en-US"/>
        </w:rPr>
      </w:pPr>
      <w:r w:rsidRPr="00445F3C">
        <w:rPr>
          <w:rFonts w:eastAsiaTheme="minorHAnsi" w:cstheme="minorBidi"/>
          <w:szCs w:val="24"/>
          <w:lang w:eastAsia="en-US"/>
        </w:rPr>
        <w:t>Respondent</w:t>
      </w:r>
    </w:p>
    <w:p w:rsidR="00D31A20" w:rsidRPr="00445F3C" w:rsidRDefault="00D31A20" w:rsidP="00D31A20">
      <w:pPr>
        <w:jc w:val="center"/>
        <w:rPr>
          <w:rFonts w:eastAsiaTheme="minorHAnsi" w:cstheme="minorBidi"/>
          <w:szCs w:val="24"/>
          <w:lang w:eastAsia="en-US"/>
        </w:rPr>
      </w:pPr>
      <w:r w:rsidRPr="00445F3C">
        <w:rPr>
          <w:rFonts w:eastAsiaTheme="minorHAnsi" w:cstheme="minorBidi"/>
          <w:szCs w:val="24"/>
          <w:lang w:eastAsia="en-US"/>
        </w:rPr>
        <w:t xml:space="preserve">- </w:t>
      </w:r>
      <w:proofErr w:type="gramStart"/>
      <w:r w:rsidRPr="00445F3C">
        <w:rPr>
          <w:rFonts w:eastAsiaTheme="minorHAnsi" w:cstheme="minorBidi"/>
          <w:szCs w:val="24"/>
          <w:lang w:eastAsia="en-US"/>
        </w:rPr>
        <w:t>and</w:t>
      </w:r>
      <w:proofErr w:type="gramEnd"/>
      <w:r w:rsidRPr="00445F3C">
        <w:rPr>
          <w:rFonts w:eastAsiaTheme="minorHAnsi" w:cstheme="minorBidi"/>
          <w:szCs w:val="24"/>
          <w:lang w:eastAsia="en-US"/>
        </w:rPr>
        <w:t xml:space="preserve"> -</w:t>
      </w:r>
    </w:p>
    <w:p w:rsidR="00D31A20" w:rsidRPr="00445F3C" w:rsidRDefault="00D31A20" w:rsidP="00D31A20">
      <w:pPr>
        <w:jc w:val="center"/>
        <w:rPr>
          <w:rFonts w:eastAsiaTheme="minorHAnsi" w:cstheme="minorBidi"/>
          <w:b/>
          <w:szCs w:val="24"/>
          <w:lang w:eastAsia="en-US"/>
        </w:rPr>
      </w:pPr>
      <w:r w:rsidRPr="00445F3C">
        <w:rPr>
          <w:rFonts w:eastAsiaTheme="minorHAnsi" w:cstheme="minorBidi"/>
          <w:b/>
          <w:szCs w:val="24"/>
          <w:lang w:eastAsia="en-US"/>
        </w:rPr>
        <w:t>Director of Public Prosecutions of Canada, Attorney General of Ontario, Canadian Civil Liberties Association and British Columbia Civil Liberties Association</w:t>
      </w:r>
    </w:p>
    <w:p w:rsidR="00D31A20" w:rsidRPr="00445F3C" w:rsidRDefault="00D31A20" w:rsidP="00D31A20">
      <w:pPr>
        <w:jc w:val="center"/>
        <w:rPr>
          <w:rFonts w:eastAsiaTheme="minorHAnsi" w:cstheme="minorBidi"/>
          <w:szCs w:val="24"/>
          <w:lang w:eastAsia="en-US"/>
        </w:rPr>
      </w:pPr>
      <w:r w:rsidRPr="00445F3C">
        <w:rPr>
          <w:rFonts w:eastAsiaTheme="minorHAnsi" w:cstheme="minorBidi"/>
          <w:szCs w:val="24"/>
          <w:lang w:eastAsia="en-US"/>
        </w:rPr>
        <w:t>Interveners</w:t>
      </w:r>
    </w:p>
    <w:p w:rsidR="00D31A20" w:rsidRPr="00445F3C" w:rsidRDefault="00D31A20" w:rsidP="00D31A20">
      <w:pPr>
        <w:rPr>
          <w:rFonts w:eastAsiaTheme="minorHAnsi" w:cstheme="minorBidi"/>
          <w:szCs w:val="24"/>
          <w:lang w:eastAsia="en-US"/>
        </w:rPr>
      </w:pPr>
    </w:p>
    <w:p w:rsidR="00D31A20" w:rsidRPr="00445F3C" w:rsidRDefault="00D31A20" w:rsidP="00D31A20">
      <w:pPr>
        <w:rPr>
          <w:rFonts w:eastAsiaTheme="minorHAnsi" w:cstheme="minorBidi"/>
          <w:szCs w:val="24"/>
          <w:lang w:eastAsia="en-US"/>
        </w:rPr>
      </w:pPr>
    </w:p>
    <w:p w:rsidR="00D31A20" w:rsidRPr="00445F3C" w:rsidRDefault="00D31A20" w:rsidP="00D31A20">
      <w:pPr>
        <w:rPr>
          <w:rFonts w:eastAsiaTheme="minorHAnsi" w:cstheme="minorBidi"/>
          <w:szCs w:val="24"/>
          <w:lang w:eastAsia="en-US"/>
        </w:rPr>
      </w:pPr>
    </w:p>
    <w:p w:rsidR="00D31A20" w:rsidRPr="00445F3C" w:rsidRDefault="00D31A20" w:rsidP="00D31A20">
      <w:pPr>
        <w:rPr>
          <w:rFonts w:eastAsiaTheme="minorHAnsi" w:cstheme="minorBidi"/>
          <w:szCs w:val="24"/>
          <w:lang w:eastAsia="en-US"/>
        </w:rPr>
      </w:pPr>
      <w:r w:rsidRPr="00445F3C">
        <w:rPr>
          <w:rFonts w:eastAsiaTheme="minorHAnsi" w:cstheme="minorBidi"/>
          <w:b/>
          <w:smallCaps/>
          <w:szCs w:val="24"/>
          <w:lang w:eastAsia="en-US"/>
        </w:rPr>
        <w:t>Coram:</w:t>
      </w:r>
      <w:r w:rsidRPr="00445F3C">
        <w:rPr>
          <w:rFonts w:eastAsiaTheme="minorHAnsi" w:cstheme="minorBidi"/>
          <w:szCs w:val="24"/>
          <w:lang w:eastAsia="en-US"/>
        </w:rPr>
        <w:t xml:space="preserve"> McLachlin C.J. and </w:t>
      </w:r>
      <w:proofErr w:type="spellStart"/>
      <w:r w:rsidRPr="00445F3C">
        <w:rPr>
          <w:rFonts w:eastAsiaTheme="minorHAnsi" w:cstheme="minorBidi"/>
          <w:szCs w:val="24"/>
          <w:lang w:eastAsia="en-US"/>
        </w:rPr>
        <w:t>LeBel</w:t>
      </w:r>
      <w:proofErr w:type="spellEnd"/>
      <w:r w:rsidRPr="00445F3C">
        <w:rPr>
          <w:rFonts w:eastAsiaTheme="minorHAnsi" w:cstheme="minorBidi"/>
          <w:szCs w:val="24"/>
          <w:lang w:eastAsia="en-US"/>
        </w:rPr>
        <w:t xml:space="preserve">, Fish, </w:t>
      </w:r>
      <w:proofErr w:type="spellStart"/>
      <w:r w:rsidRPr="00445F3C">
        <w:rPr>
          <w:rFonts w:eastAsiaTheme="minorHAnsi" w:cstheme="minorBidi"/>
          <w:szCs w:val="24"/>
          <w:lang w:eastAsia="en-US"/>
        </w:rPr>
        <w:t>Abella</w:t>
      </w:r>
      <w:proofErr w:type="spellEnd"/>
      <w:r w:rsidRPr="00445F3C">
        <w:rPr>
          <w:rFonts w:eastAsiaTheme="minorHAnsi" w:cstheme="minorBidi"/>
          <w:szCs w:val="24"/>
          <w:lang w:eastAsia="en-US"/>
        </w:rPr>
        <w:t xml:space="preserve">, Cromwell, </w:t>
      </w:r>
      <w:proofErr w:type="spellStart"/>
      <w:r w:rsidRPr="00445F3C">
        <w:rPr>
          <w:rFonts w:eastAsiaTheme="minorHAnsi" w:cstheme="minorBidi"/>
          <w:szCs w:val="24"/>
          <w:lang w:eastAsia="en-US"/>
        </w:rPr>
        <w:t>Karakatsanis</w:t>
      </w:r>
      <w:proofErr w:type="spellEnd"/>
      <w:r w:rsidRPr="00445F3C">
        <w:rPr>
          <w:rFonts w:eastAsiaTheme="minorHAnsi" w:cstheme="minorBidi"/>
          <w:szCs w:val="24"/>
          <w:lang w:eastAsia="en-US"/>
        </w:rPr>
        <w:t xml:space="preserve"> and Wagner JJ.</w:t>
      </w:r>
    </w:p>
    <w:p w:rsidR="00D31A20" w:rsidRPr="00445F3C" w:rsidRDefault="00D31A20" w:rsidP="00D31A2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31A20" w:rsidRPr="00445F3C" w:rsidTr="006F19F4">
        <w:trPr>
          <w:cantSplit/>
        </w:trPr>
        <w:tc>
          <w:tcPr>
            <w:tcW w:w="3618" w:type="dxa"/>
          </w:tcPr>
          <w:p w:rsidR="00D31A20" w:rsidRPr="00445F3C" w:rsidRDefault="00D31A20" w:rsidP="006F19F4">
            <w:pPr>
              <w:rPr>
                <w:b/>
                <w:smallCaps/>
              </w:rPr>
            </w:pPr>
            <w:r w:rsidRPr="00445F3C">
              <w:rPr>
                <w:b/>
                <w:smallCaps/>
              </w:rPr>
              <w:t>Reasons for Judgment:</w:t>
            </w:r>
          </w:p>
          <w:p w:rsidR="00D31A20" w:rsidRPr="00445F3C" w:rsidRDefault="00D31A20" w:rsidP="006F19F4">
            <w:r w:rsidRPr="00445F3C">
              <w:t>(</w:t>
            </w:r>
            <w:proofErr w:type="spellStart"/>
            <w:r w:rsidRPr="00445F3C">
              <w:t>paras</w:t>
            </w:r>
            <w:proofErr w:type="spellEnd"/>
            <w:r w:rsidRPr="00445F3C">
              <w:t>. 1 to 8):</w:t>
            </w:r>
          </w:p>
        </w:tc>
        <w:tc>
          <w:tcPr>
            <w:tcW w:w="5958" w:type="dxa"/>
          </w:tcPr>
          <w:p w:rsidR="00D31A20" w:rsidRPr="00445F3C" w:rsidRDefault="00D31A20" w:rsidP="006F19F4">
            <w:r w:rsidRPr="00445F3C">
              <w:t xml:space="preserve">Fish J. (McLachlin C.J. and </w:t>
            </w:r>
            <w:proofErr w:type="spellStart"/>
            <w:r w:rsidRPr="00445F3C">
              <w:t>LeBel</w:t>
            </w:r>
            <w:proofErr w:type="spellEnd"/>
            <w:r w:rsidRPr="00445F3C">
              <w:t xml:space="preserve">, </w:t>
            </w:r>
            <w:proofErr w:type="spellStart"/>
            <w:r w:rsidRPr="00445F3C">
              <w:t>Abella</w:t>
            </w:r>
            <w:proofErr w:type="spellEnd"/>
            <w:r w:rsidRPr="00445F3C">
              <w:t xml:space="preserve">, Cromwell, </w:t>
            </w:r>
            <w:proofErr w:type="spellStart"/>
            <w:r w:rsidRPr="00445F3C">
              <w:t>Karakatsanis</w:t>
            </w:r>
            <w:proofErr w:type="spellEnd"/>
            <w:r w:rsidRPr="00445F3C">
              <w:t xml:space="preserve"> and Wagner JJ. concurring)</w:t>
            </w:r>
          </w:p>
        </w:tc>
      </w:tr>
    </w:tbl>
    <w:p w:rsidR="00D31A20" w:rsidRPr="00445F3C" w:rsidRDefault="00D31A20" w:rsidP="00D31A20">
      <w:pPr>
        <w:rPr>
          <w:rFonts w:eastAsiaTheme="minorHAnsi" w:cstheme="minorBidi"/>
          <w:szCs w:val="24"/>
          <w:lang w:eastAsia="en-US"/>
        </w:rPr>
      </w:pPr>
    </w:p>
    <w:p w:rsidR="00D31A20" w:rsidRPr="00445F3C" w:rsidRDefault="00D31A20" w:rsidP="00D31A20">
      <w:pPr>
        <w:rPr>
          <w:rFonts w:eastAsiaTheme="minorHAnsi" w:cstheme="minorBidi"/>
          <w:szCs w:val="24"/>
          <w:lang w:eastAsia="en-US"/>
        </w:rPr>
      </w:pPr>
    </w:p>
    <w:p w:rsidR="00D31A20" w:rsidRPr="00445F3C" w:rsidRDefault="0074370A" w:rsidP="00D31A20">
      <w:pPr>
        <w:rPr>
          <w:rFonts w:eastAsiaTheme="minorHAnsi" w:cstheme="minorBidi"/>
          <w:szCs w:val="24"/>
          <w:lang w:eastAsia="en-US"/>
        </w:rPr>
      </w:pPr>
      <w:r w:rsidRPr="0074370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31A20" w:rsidRDefault="00D31A20" w:rsidP="00D31A20">
      <w:pPr>
        <w:rPr>
          <w:smallCaps/>
          <w:szCs w:val="24"/>
        </w:rPr>
      </w:pPr>
      <w:r>
        <w:rPr>
          <w:smallCaps/>
          <w:szCs w:val="24"/>
        </w:rPr>
        <w:br w:type="page"/>
      </w:r>
    </w:p>
    <w:p w:rsidR="00D31A20" w:rsidRDefault="00D31A20">
      <w:pPr>
        <w:rPr>
          <w:szCs w:val="24"/>
        </w:rPr>
      </w:pPr>
    </w:p>
    <w:p w:rsidR="008322BD" w:rsidRPr="00EC045A" w:rsidRDefault="005209CC" w:rsidP="00E20EDE">
      <w:pPr>
        <w:spacing w:after="720"/>
        <w:jc w:val="both"/>
        <w:rPr>
          <w:szCs w:val="24"/>
        </w:rPr>
      </w:pPr>
      <w:r>
        <w:rPr>
          <w:szCs w:val="24"/>
        </w:rPr>
        <w:t xml:space="preserve">R. </w:t>
      </w:r>
      <w:r w:rsidRPr="00F27473">
        <w:rPr>
          <w:i/>
          <w:szCs w:val="24"/>
        </w:rPr>
        <w:t>v.</w:t>
      </w:r>
      <w:r>
        <w:rPr>
          <w:szCs w:val="24"/>
        </w:rPr>
        <w:t xml:space="preserve"> Manning, 2013 SCC 1, [2013] 1 S.C.R. 3</w:t>
      </w:r>
    </w:p>
    <w:p w:rsidR="005A6402" w:rsidRPr="00EC045A" w:rsidRDefault="009B4107" w:rsidP="00E20EDE">
      <w:pPr>
        <w:pStyle w:val="SCCLsocLastPartyInRole"/>
        <w:rPr>
          <w:szCs w:val="24"/>
        </w:rPr>
      </w:pPr>
      <w:r w:rsidRPr="00EC045A">
        <w:rPr>
          <w:szCs w:val="24"/>
        </w:rPr>
        <w:t xml:space="preserve">Her Majesty </w:t>
      </w:r>
      <w:proofErr w:type="gramStart"/>
      <w:r w:rsidRPr="00EC045A">
        <w:rPr>
          <w:szCs w:val="24"/>
        </w:rPr>
        <w:t>The</w:t>
      </w:r>
      <w:proofErr w:type="gramEnd"/>
      <w:r w:rsidRPr="00EC045A">
        <w:rPr>
          <w:szCs w:val="24"/>
        </w:rPr>
        <w:t xml:space="preserve"> Queen</w:t>
      </w:r>
      <w:r w:rsidRPr="00EC045A">
        <w:rPr>
          <w:rStyle w:val="SCCLsocPartyRole"/>
          <w:szCs w:val="24"/>
        </w:rPr>
        <w:tab/>
        <w:t>Appellant</w:t>
      </w:r>
    </w:p>
    <w:p w:rsidR="005A6402" w:rsidRPr="00EC045A" w:rsidRDefault="009B4107" w:rsidP="00E20EDE">
      <w:pPr>
        <w:pStyle w:val="SCCLsocVersus"/>
        <w:rPr>
          <w:szCs w:val="24"/>
        </w:rPr>
      </w:pPr>
      <w:proofErr w:type="gramStart"/>
      <w:r w:rsidRPr="00EC045A">
        <w:rPr>
          <w:szCs w:val="24"/>
        </w:rPr>
        <w:t>v</w:t>
      </w:r>
      <w:proofErr w:type="gramEnd"/>
      <w:r w:rsidRPr="00EC045A">
        <w:rPr>
          <w:szCs w:val="24"/>
        </w:rPr>
        <w:t>.</w:t>
      </w:r>
    </w:p>
    <w:p w:rsidR="005A6402" w:rsidRPr="00EC045A" w:rsidRDefault="009B4107" w:rsidP="00E20EDE">
      <w:pPr>
        <w:pStyle w:val="SCCLsocLastPartyInRole"/>
        <w:rPr>
          <w:szCs w:val="24"/>
        </w:rPr>
      </w:pPr>
      <w:proofErr w:type="spellStart"/>
      <w:r w:rsidRPr="00EC045A">
        <w:rPr>
          <w:szCs w:val="24"/>
        </w:rPr>
        <w:t>Alphide</w:t>
      </w:r>
      <w:proofErr w:type="spellEnd"/>
      <w:r w:rsidRPr="00EC045A">
        <w:rPr>
          <w:szCs w:val="24"/>
        </w:rPr>
        <w:t xml:space="preserve"> Manning</w:t>
      </w:r>
      <w:r w:rsidRPr="00EC045A">
        <w:rPr>
          <w:rStyle w:val="SCCLsocPartyRole"/>
          <w:szCs w:val="24"/>
        </w:rPr>
        <w:tab/>
        <w:t>Respondent</w:t>
      </w:r>
    </w:p>
    <w:p w:rsidR="005A6402" w:rsidRPr="00EC045A" w:rsidRDefault="009B4107" w:rsidP="00E20EDE">
      <w:pPr>
        <w:pStyle w:val="SCCLsocOtherPartySeparator"/>
        <w:rPr>
          <w:szCs w:val="24"/>
        </w:rPr>
      </w:pPr>
      <w:proofErr w:type="gramStart"/>
      <w:r w:rsidRPr="00EC045A">
        <w:rPr>
          <w:szCs w:val="24"/>
        </w:rPr>
        <w:t>and</w:t>
      </w:r>
      <w:proofErr w:type="gramEnd"/>
    </w:p>
    <w:p w:rsidR="005A6402" w:rsidRPr="00EC045A" w:rsidRDefault="009B4107">
      <w:pPr>
        <w:pStyle w:val="SCCLsocParty"/>
        <w:rPr>
          <w:szCs w:val="24"/>
        </w:rPr>
      </w:pPr>
      <w:r w:rsidRPr="00EC045A">
        <w:rPr>
          <w:szCs w:val="24"/>
        </w:rPr>
        <w:t>Director of Public Prosecutions of Canada,</w:t>
      </w:r>
    </w:p>
    <w:p w:rsidR="005A6402" w:rsidRPr="00EC045A" w:rsidRDefault="009B4107">
      <w:pPr>
        <w:pStyle w:val="SCCLsocParty"/>
        <w:rPr>
          <w:szCs w:val="24"/>
        </w:rPr>
      </w:pPr>
      <w:r w:rsidRPr="00EC045A">
        <w:rPr>
          <w:szCs w:val="24"/>
        </w:rPr>
        <w:t>Attorney General of Ontario,</w:t>
      </w:r>
    </w:p>
    <w:p w:rsidR="005A6402" w:rsidRPr="00EC045A" w:rsidRDefault="009B4107">
      <w:pPr>
        <w:pStyle w:val="SCCLsocParty"/>
        <w:rPr>
          <w:szCs w:val="24"/>
        </w:rPr>
      </w:pPr>
      <w:r w:rsidRPr="00EC045A">
        <w:rPr>
          <w:szCs w:val="24"/>
        </w:rPr>
        <w:t>Canadian Civil Liberties Association and</w:t>
      </w:r>
    </w:p>
    <w:p w:rsidR="005A6402" w:rsidRPr="00EC045A" w:rsidRDefault="009B4107">
      <w:pPr>
        <w:pStyle w:val="SCCLsocLastPartyInRole"/>
        <w:rPr>
          <w:szCs w:val="24"/>
        </w:rPr>
      </w:pPr>
      <w:r w:rsidRPr="00EC045A">
        <w:rPr>
          <w:szCs w:val="24"/>
        </w:rPr>
        <w:t>British Columbia Civil Liberties Association</w:t>
      </w:r>
      <w:r w:rsidRPr="00EC045A">
        <w:rPr>
          <w:rStyle w:val="SCCLsocPartyRole"/>
          <w:szCs w:val="24"/>
        </w:rPr>
        <w:tab/>
        <w:t>Interveners</w:t>
      </w:r>
    </w:p>
    <w:p w:rsidR="00426659" w:rsidRPr="00EC045A" w:rsidRDefault="00426659" w:rsidP="00E20EDE">
      <w:pPr>
        <w:spacing w:after="720"/>
        <w:jc w:val="both"/>
        <w:rPr>
          <w:b/>
          <w:szCs w:val="24"/>
        </w:rPr>
      </w:pPr>
      <w:r w:rsidRPr="00EC045A">
        <w:rPr>
          <w:b/>
          <w:szCs w:val="24"/>
        </w:rPr>
        <w:t xml:space="preserve">Indexed as:  R. </w:t>
      </w:r>
      <w:r w:rsidRPr="00EC045A">
        <w:rPr>
          <w:b/>
          <w:i/>
          <w:szCs w:val="24"/>
        </w:rPr>
        <w:t>v.</w:t>
      </w:r>
      <w:r w:rsidRPr="00EC045A">
        <w:rPr>
          <w:b/>
          <w:szCs w:val="24"/>
        </w:rPr>
        <w:t xml:space="preserve"> Manning</w:t>
      </w:r>
    </w:p>
    <w:p w:rsidR="00426659" w:rsidRPr="00EC045A" w:rsidRDefault="004F36FF" w:rsidP="00E20EDE">
      <w:pPr>
        <w:pStyle w:val="SCCSystemYear"/>
        <w:spacing w:after="720"/>
        <w:jc w:val="both"/>
        <w:rPr>
          <w:szCs w:val="24"/>
        </w:rPr>
      </w:pPr>
      <w:r w:rsidRPr="00EC045A">
        <w:rPr>
          <w:szCs w:val="24"/>
        </w:rPr>
        <w:t>2013</w:t>
      </w:r>
      <w:r w:rsidR="003D0399" w:rsidRPr="00EC045A">
        <w:rPr>
          <w:szCs w:val="24"/>
        </w:rPr>
        <w:t xml:space="preserve"> </w:t>
      </w:r>
      <w:r w:rsidR="00B77379" w:rsidRPr="00EC045A">
        <w:rPr>
          <w:szCs w:val="24"/>
        </w:rPr>
        <w:t>SCC </w:t>
      </w:r>
      <w:r w:rsidR="007D0DEC" w:rsidRPr="00EC045A">
        <w:rPr>
          <w:szCs w:val="24"/>
        </w:rPr>
        <w:t>1</w:t>
      </w:r>
    </w:p>
    <w:p w:rsidR="008322BD" w:rsidRPr="00EC045A" w:rsidRDefault="009B57B3" w:rsidP="00E20EDE">
      <w:pPr>
        <w:spacing w:after="720"/>
        <w:jc w:val="both"/>
        <w:rPr>
          <w:szCs w:val="24"/>
        </w:rPr>
      </w:pPr>
      <w:r w:rsidRPr="00EC045A">
        <w:rPr>
          <w:szCs w:val="24"/>
        </w:rPr>
        <w:t>File No.:  34358.</w:t>
      </w:r>
    </w:p>
    <w:p w:rsidR="008322BD" w:rsidRPr="00EC045A" w:rsidRDefault="00E20EDE" w:rsidP="00E20EDE">
      <w:pPr>
        <w:spacing w:after="720"/>
        <w:jc w:val="both"/>
        <w:rPr>
          <w:szCs w:val="24"/>
        </w:rPr>
      </w:pPr>
      <w:r w:rsidRPr="00EC045A">
        <w:rPr>
          <w:szCs w:val="24"/>
        </w:rPr>
        <w:t>2012:  December </w:t>
      </w:r>
      <w:r w:rsidR="004F36FF" w:rsidRPr="00EC045A">
        <w:rPr>
          <w:szCs w:val="24"/>
        </w:rPr>
        <w:t>5</w:t>
      </w:r>
      <w:r w:rsidR="009B57B3" w:rsidRPr="00EC045A">
        <w:rPr>
          <w:szCs w:val="24"/>
        </w:rPr>
        <w:t xml:space="preserve">; </w:t>
      </w:r>
      <w:r w:rsidRPr="00EC045A">
        <w:rPr>
          <w:szCs w:val="24"/>
        </w:rPr>
        <w:t>2013:  </w:t>
      </w:r>
      <w:r w:rsidR="00B77379" w:rsidRPr="00EC045A">
        <w:rPr>
          <w:szCs w:val="24"/>
        </w:rPr>
        <w:t>January 17</w:t>
      </w:r>
      <w:r w:rsidR="009B57B3" w:rsidRPr="00EC045A">
        <w:rPr>
          <w:szCs w:val="24"/>
        </w:rPr>
        <w:t>.</w:t>
      </w:r>
    </w:p>
    <w:p w:rsidR="008322BD" w:rsidRPr="00EC045A" w:rsidRDefault="009B57B3" w:rsidP="00E20EDE">
      <w:pPr>
        <w:spacing w:after="720"/>
        <w:jc w:val="both"/>
        <w:rPr>
          <w:szCs w:val="24"/>
        </w:rPr>
      </w:pPr>
      <w:r w:rsidRPr="00EC045A">
        <w:rPr>
          <w:szCs w:val="24"/>
        </w:rPr>
        <w:t xml:space="preserve">Present:  McLachlin C.J. and </w:t>
      </w:r>
      <w:proofErr w:type="spellStart"/>
      <w:r w:rsidRPr="00EC045A">
        <w:rPr>
          <w:szCs w:val="24"/>
        </w:rPr>
        <w:t>LeBel</w:t>
      </w:r>
      <w:proofErr w:type="spellEnd"/>
      <w:r w:rsidRPr="00EC045A">
        <w:rPr>
          <w:szCs w:val="24"/>
        </w:rPr>
        <w:t xml:space="preserve">, Fish, </w:t>
      </w:r>
      <w:proofErr w:type="spellStart"/>
      <w:r w:rsidRPr="00EC045A">
        <w:rPr>
          <w:szCs w:val="24"/>
        </w:rPr>
        <w:t>Abella</w:t>
      </w:r>
      <w:proofErr w:type="spellEnd"/>
      <w:r w:rsidRPr="00EC045A">
        <w:rPr>
          <w:szCs w:val="24"/>
        </w:rPr>
        <w:t xml:space="preserve">, Cromwell, </w:t>
      </w:r>
      <w:proofErr w:type="spellStart"/>
      <w:r w:rsidRPr="00EC045A">
        <w:rPr>
          <w:szCs w:val="24"/>
        </w:rPr>
        <w:t>Karakatsanis</w:t>
      </w:r>
      <w:proofErr w:type="spellEnd"/>
      <w:r w:rsidRPr="00EC045A">
        <w:rPr>
          <w:szCs w:val="24"/>
        </w:rPr>
        <w:t xml:space="preserve"> and Wagner JJ.</w:t>
      </w:r>
    </w:p>
    <w:p w:rsidR="008322BD" w:rsidRPr="00EC045A" w:rsidRDefault="00656313" w:rsidP="00E20EDE">
      <w:pPr>
        <w:pStyle w:val="SCCLowerCourtNameLowercase"/>
        <w:spacing w:after="720" w:line="240" w:lineRule="auto"/>
        <w:rPr>
          <w:szCs w:val="24"/>
        </w:rPr>
      </w:pPr>
      <w:r w:rsidRPr="00EC045A">
        <w:rPr>
          <w:szCs w:val="24"/>
        </w:rPr>
        <w:t>o</w:t>
      </w:r>
      <w:r w:rsidR="00170592" w:rsidRPr="00EC045A">
        <w:rPr>
          <w:szCs w:val="24"/>
        </w:rPr>
        <w:t>n</w:t>
      </w:r>
      <w:r w:rsidR="00224FC0" w:rsidRPr="00EC045A">
        <w:rPr>
          <w:szCs w:val="24"/>
        </w:rPr>
        <w:t xml:space="preserve"> </w:t>
      </w:r>
      <w:r w:rsidRPr="00EC045A">
        <w:rPr>
          <w:szCs w:val="24"/>
        </w:rPr>
        <w:t>a</w:t>
      </w:r>
      <w:r w:rsidR="00170592" w:rsidRPr="00EC045A">
        <w:rPr>
          <w:szCs w:val="24"/>
        </w:rPr>
        <w:t>ppeal</w:t>
      </w:r>
      <w:r w:rsidR="00224FC0" w:rsidRPr="00EC045A">
        <w:rPr>
          <w:szCs w:val="24"/>
        </w:rPr>
        <w:t xml:space="preserve"> </w:t>
      </w:r>
      <w:r w:rsidR="00170592" w:rsidRPr="00EC045A">
        <w:rPr>
          <w:szCs w:val="24"/>
        </w:rPr>
        <w:t>from</w:t>
      </w:r>
      <w:r w:rsidR="009567AA" w:rsidRPr="00EC045A">
        <w:rPr>
          <w:szCs w:val="24"/>
        </w:rPr>
        <w:t xml:space="preserve"> the</w:t>
      </w:r>
      <w:r w:rsidR="00224FC0" w:rsidRPr="00EC045A">
        <w:rPr>
          <w:szCs w:val="24"/>
        </w:rPr>
        <w:t xml:space="preserve"> </w:t>
      </w:r>
      <w:r w:rsidR="009B57B3" w:rsidRPr="00EC045A">
        <w:rPr>
          <w:szCs w:val="24"/>
        </w:rPr>
        <w:t>court of appeal f</w:t>
      </w:r>
      <w:r w:rsidR="009B4107" w:rsidRPr="00EC045A">
        <w:rPr>
          <w:szCs w:val="24"/>
        </w:rPr>
        <w:t>or</w:t>
      </w:r>
      <w:r w:rsidR="009B57B3" w:rsidRPr="00EC045A">
        <w:rPr>
          <w:szCs w:val="24"/>
        </w:rPr>
        <w:t xml:space="preserve"> </w:t>
      </w:r>
      <w:proofErr w:type="spellStart"/>
      <w:r w:rsidR="009B57B3" w:rsidRPr="00EC045A">
        <w:rPr>
          <w:szCs w:val="24"/>
        </w:rPr>
        <w:t>quebec</w:t>
      </w:r>
      <w:proofErr w:type="spellEnd"/>
    </w:p>
    <w:p w:rsidR="008322BD" w:rsidRPr="00EC045A" w:rsidRDefault="009B57B3" w:rsidP="00E20EDE">
      <w:pPr>
        <w:pStyle w:val="SCCNormalDoubleSpacing"/>
        <w:spacing w:after="480"/>
        <w:rPr>
          <w:i/>
          <w:szCs w:val="24"/>
        </w:rPr>
      </w:pPr>
      <w:r w:rsidRPr="00EC045A">
        <w:rPr>
          <w:szCs w:val="24"/>
        </w:rPr>
        <w:lastRenderedPageBreak/>
        <w:tab/>
      </w:r>
      <w:r w:rsidR="00E40C26" w:rsidRPr="00EC045A">
        <w:rPr>
          <w:i/>
          <w:szCs w:val="24"/>
        </w:rPr>
        <w:t>Criminal law</w:t>
      </w:r>
      <w:r w:rsidR="00B8304D" w:rsidRPr="00EC045A">
        <w:rPr>
          <w:i/>
          <w:szCs w:val="24"/>
        </w:rPr>
        <w:t xml:space="preserve"> </w:t>
      </w:r>
      <w:r w:rsidR="00E20EDE" w:rsidRPr="00EC045A">
        <w:rPr>
          <w:i/>
          <w:szCs w:val="24"/>
        </w:rPr>
        <w:t xml:space="preserve">— </w:t>
      </w:r>
      <w:r w:rsidR="0072585A" w:rsidRPr="00EC045A">
        <w:rPr>
          <w:i/>
          <w:szCs w:val="24"/>
        </w:rPr>
        <w:t>F</w:t>
      </w:r>
      <w:r w:rsidR="00FC4488" w:rsidRPr="00EC045A">
        <w:rPr>
          <w:i/>
          <w:szCs w:val="24"/>
        </w:rPr>
        <w:t>orfeiture</w:t>
      </w:r>
      <w:r w:rsidR="0072585A" w:rsidRPr="00EC045A">
        <w:rPr>
          <w:i/>
          <w:szCs w:val="24"/>
        </w:rPr>
        <w:t xml:space="preserve"> orders</w:t>
      </w:r>
      <w:r w:rsidR="00FC4488" w:rsidRPr="00EC045A">
        <w:rPr>
          <w:i/>
          <w:szCs w:val="24"/>
        </w:rPr>
        <w:t xml:space="preserve"> </w:t>
      </w:r>
      <w:r w:rsidR="00E20EDE" w:rsidRPr="00EC045A">
        <w:rPr>
          <w:i/>
          <w:szCs w:val="24"/>
        </w:rPr>
        <w:t xml:space="preserve">— </w:t>
      </w:r>
      <w:r w:rsidR="0072585A" w:rsidRPr="00EC045A">
        <w:rPr>
          <w:i/>
          <w:szCs w:val="24"/>
        </w:rPr>
        <w:t xml:space="preserve">Accused </w:t>
      </w:r>
      <w:r w:rsidR="00634346" w:rsidRPr="00EC045A">
        <w:rPr>
          <w:i/>
          <w:szCs w:val="24"/>
        </w:rPr>
        <w:t xml:space="preserve">who had previously been convicted for </w:t>
      </w:r>
      <w:r w:rsidR="0032380C" w:rsidRPr="00EC045A">
        <w:rPr>
          <w:i/>
          <w:szCs w:val="24"/>
        </w:rPr>
        <w:t xml:space="preserve">multiple </w:t>
      </w:r>
      <w:r w:rsidR="00634346" w:rsidRPr="00EC045A">
        <w:rPr>
          <w:i/>
          <w:szCs w:val="24"/>
        </w:rPr>
        <w:t>alcohol</w:t>
      </w:r>
      <w:r w:rsidR="00E20EDE" w:rsidRPr="00EC045A">
        <w:rPr>
          <w:i/>
          <w:szCs w:val="24"/>
        </w:rPr>
        <w:noBreakHyphen/>
      </w:r>
      <w:proofErr w:type="spellStart"/>
      <w:r w:rsidR="0032380C" w:rsidRPr="00EC045A">
        <w:rPr>
          <w:i/>
          <w:szCs w:val="24"/>
        </w:rPr>
        <w:t>related</w:t>
      </w:r>
      <w:proofErr w:type="spellEnd"/>
      <w:r w:rsidR="0032380C" w:rsidRPr="00EC045A">
        <w:rPr>
          <w:i/>
          <w:szCs w:val="24"/>
        </w:rPr>
        <w:t xml:space="preserve"> driving offenc</w:t>
      </w:r>
      <w:r w:rsidR="00634346" w:rsidRPr="00EC045A">
        <w:rPr>
          <w:i/>
          <w:szCs w:val="24"/>
        </w:rPr>
        <w:t>e</w:t>
      </w:r>
      <w:r w:rsidR="0032380C" w:rsidRPr="00EC045A">
        <w:rPr>
          <w:i/>
          <w:szCs w:val="24"/>
        </w:rPr>
        <w:t>s</w:t>
      </w:r>
      <w:r w:rsidR="00634346" w:rsidRPr="00EC045A">
        <w:rPr>
          <w:i/>
          <w:szCs w:val="24"/>
        </w:rPr>
        <w:t xml:space="preserve"> </w:t>
      </w:r>
      <w:r w:rsidR="0032380C" w:rsidRPr="00EC045A">
        <w:rPr>
          <w:i/>
          <w:szCs w:val="24"/>
        </w:rPr>
        <w:t xml:space="preserve">and breaches of probation orders and undertakings </w:t>
      </w:r>
      <w:r w:rsidR="00634346" w:rsidRPr="00EC045A">
        <w:rPr>
          <w:i/>
          <w:szCs w:val="24"/>
        </w:rPr>
        <w:t>pleading</w:t>
      </w:r>
      <w:r w:rsidR="000308CC" w:rsidRPr="00EC045A">
        <w:rPr>
          <w:i/>
          <w:szCs w:val="24"/>
        </w:rPr>
        <w:t xml:space="preserve"> </w:t>
      </w:r>
      <w:r w:rsidR="0072585A" w:rsidRPr="00EC045A">
        <w:rPr>
          <w:i/>
          <w:szCs w:val="24"/>
        </w:rPr>
        <w:t>guilty</w:t>
      </w:r>
      <w:r w:rsidR="000308CC" w:rsidRPr="00EC045A">
        <w:rPr>
          <w:i/>
          <w:szCs w:val="24"/>
        </w:rPr>
        <w:t xml:space="preserve"> to the charge of driving a motor vehicle while impaired by </w:t>
      </w:r>
      <w:r w:rsidR="0032380C" w:rsidRPr="00EC045A">
        <w:rPr>
          <w:i/>
          <w:szCs w:val="24"/>
        </w:rPr>
        <w:t xml:space="preserve">drugs or </w:t>
      </w:r>
      <w:r w:rsidR="000308CC" w:rsidRPr="00EC045A">
        <w:rPr>
          <w:i/>
          <w:szCs w:val="24"/>
        </w:rPr>
        <w:t xml:space="preserve">alcohol </w:t>
      </w:r>
      <w:r w:rsidR="00E20EDE" w:rsidRPr="00EC045A">
        <w:rPr>
          <w:i/>
          <w:szCs w:val="24"/>
        </w:rPr>
        <w:t xml:space="preserve">— </w:t>
      </w:r>
      <w:r w:rsidR="00634346" w:rsidRPr="00EC045A">
        <w:rPr>
          <w:i/>
          <w:szCs w:val="24"/>
        </w:rPr>
        <w:t xml:space="preserve">Crown requesting order of forfeiture of motor vehicle </w:t>
      </w:r>
      <w:r w:rsidR="00E20EDE" w:rsidRPr="00EC045A">
        <w:rPr>
          <w:i/>
          <w:szCs w:val="24"/>
        </w:rPr>
        <w:t xml:space="preserve">— </w:t>
      </w:r>
      <w:r w:rsidR="00634346" w:rsidRPr="00EC045A">
        <w:rPr>
          <w:i/>
          <w:szCs w:val="24"/>
        </w:rPr>
        <w:t>Whether trial judge erred in refusing to issue order</w:t>
      </w:r>
      <w:r w:rsidR="0072585A" w:rsidRPr="00EC045A">
        <w:rPr>
          <w:i/>
          <w:szCs w:val="24"/>
        </w:rPr>
        <w:t>.</w:t>
      </w:r>
    </w:p>
    <w:p w:rsidR="008322BD" w:rsidRPr="00EC045A" w:rsidRDefault="009B57B3" w:rsidP="00E20EDE">
      <w:pPr>
        <w:pStyle w:val="SCCNormalDoubleSpacing"/>
        <w:spacing w:after="480"/>
        <w:ind w:left="1168"/>
        <w:rPr>
          <w:szCs w:val="24"/>
        </w:rPr>
      </w:pPr>
      <w:r w:rsidRPr="00EC045A">
        <w:rPr>
          <w:i/>
          <w:szCs w:val="24"/>
        </w:rPr>
        <w:t>Held</w:t>
      </w:r>
      <w:r w:rsidRPr="00EC045A">
        <w:rPr>
          <w:szCs w:val="24"/>
        </w:rPr>
        <w:t>:  The appeal should be</w:t>
      </w:r>
      <w:r w:rsidR="00E40C26" w:rsidRPr="00EC045A">
        <w:rPr>
          <w:szCs w:val="24"/>
        </w:rPr>
        <w:t xml:space="preserve"> allowed</w:t>
      </w:r>
      <w:r w:rsidR="00FC4488" w:rsidRPr="00EC045A">
        <w:rPr>
          <w:szCs w:val="24"/>
        </w:rPr>
        <w:t xml:space="preserve"> and the forfeiture </w:t>
      </w:r>
      <w:r w:rsidR="0072585A" w:rsidRPr="00EC045A">
        <w:rPr>
          <w:szCs w:val="24"/>
        </w:rPr>
        <w:t xml:space="preserve">order </w:t>
      </w:r>
      <w:r w:rsidR="00FC4488" w:rsidRPr="00EC045A">
        <w:rPr>
          <w:szCs w:val="24"/>
        </w:rPr>
        <w:t>granted</w:t>
      </w:r>
      <w:r w:rsidR="00617958" w:rsidRPr="00EC045A">
        <w:rPr>
          <w:szCs w:val="24"/>
        </w:rPr>
        <w:t>.</w:t>
      </w:r>
    </w:p>
    <w:p w:rsidR="00610539" w:rsidRPr="00EC045A" w:rsidRDefault="009B57B3" w:rsidP="00E20EDE">
      <w:pPr>
        <w:pStyle w:val="SCCNormalDoubleSpacing"/>
        <w:spacing w:after="480"/>
        <w:rPr>
          <w:szCs w:val="24"/>
        </w:rPr>
      </w:pPr>
      <w:r w:rsidRPr="00EC045A">
        <w:rPr>
          <w:szCs w:val="24"/>
        </w:rPr>
        <w:tab/>
      </w:r>
      <w:r w:rsidR="00FC0FF2" w:rsidRPr="00EC045A">
        <w:rPr>
          <w:szCs w:val="24"/>
        </w:rPr>
        <w:t>In applying s. </w:t>
      </w:r>
      <w:r w:rsidR="00D93BC9" w:rsidRPr="00EC045A">
        <w:rPr>
          <w:szCs w:val="24"/>
        </w:rPr>
        <w:t xml:space="preserve">490.41(3) of the </w:t>
      </w:r>
      <w:r w:rsidR="00D93BC9" w:rsidRPr="00EC045A">
        <w:rPr>
          <w:i/>
          <w:szCs w:val="24"/>
        </w:rPr>
        <w:t>Criminal Code</w:t>
      </w:r>
      <w:r w:rsidR="00D93BC9" w:rsidRPr="00EC045A">
        <w:rPr>
          <w:szCs w:val="24"/>
        </w:rPr>
        <w:t>, the trial judge held that he was bound to consider the objectives and princip</w:t>
      </w:r>
      <w:r w:rsidR="00FC0FF2" w:rsidRPr="00EC045A">
        <w:rPr>
          <w:szCs w:val="24"/>
        </w:rPr>
        <w:t>les of sentencing set out in s. </w:t>
      </w:r>
      <w:r w:rsidR="00D93BC9" w:rsidRPr="00EC045A">
        <w:rPr>
          <w:szCs w:val="24"/>
        </w:rPr>
        <w:t xml:space="preserve">718 and following of the </w:t>
      </w:r>
      <w:r w:rsidR="00D93BC9" w:rsidRPr="00EC045A">
        <w:rPr>
          <w:i/>
          <w:szCs w:val="24"/>
        </w:rPr>
        <w:t>Code</w:t>
      </w:r>
      <w:r w:rsidR="00634346" w:rsidRPr="00EC045A">
        <w:rPr>
          <w:szCs w:val="24"/>
        </w:rPr>
        <w:t>.</w:t>
      </w:r>
      <w:r w:rsidR="00D93BC9" w:rsidRPr="00EC045A">
        <w:rPr>
          <w:szCs w:val="24"/>
        </w:rPr>
        <w:t xml:space="preserve"> </w:t>
      </w:r>
      <w:r w:rsidR="00FC0FF2" w:rsidRPr="00EC045A">
        <w:rPr>
          <w:szCs w:val="24"/>
        </w:rPr>
        <w:t xml:space="preserve"> </w:t>
      </w:r>
      <w:r w:rsidR="00D93BC9" w:rsidRPr="00EC045A">
        <w:rPr>
          <w:szCs w:val="24"/>
        </w:rPr>
        <w:t>This error i</w:t>
      </w:r>
      <w:r w:rsidR="001541E1" w:rsidRPr="00EC045A">
        <w:rPr>
          <w:szCs w:val="24"/>
        </w:rPr>
        <w:t xml:space="preserve">s fatal to his conclusion. </w:t>
      </w:r>
      <w:r w:rsidR="00FC0FF2" w:rsidRPr="00EC045A">
        <w:rPr>
          <w:szCs w:val="24"/>
        </w:rPr>
        <w:t xml:space="preserve"> </w:t>
      </w:r>
      <w:r w:rsidR="001541E1" w:rsidRPr="00EC045A">
        <w:rPr>
          <w:szCs w:val="24"/>
        </w:rPr>
        <w:t>The r</w:t>
      </w:r>
      <w:r w:rsidR="00D93BC9" w:rsidRPr="00EC045A">
        <w:rPr>
          <w:szCs w:val="24"/>
        </w:rPr>
        <w:t xml:space="preserve">espondent failed to satisfy this Court that the impact of forfeiture would be “disproportionate” within </w:t>
      </w:r>
      <w:r w:rsidR="004A4579" w:rsidRPr="00EC045A">
        <w:rPr>
          <w:szCs w:val="24"/>
        </w:rPr>
        <w:t>the meaning of s.</w:t>
      </w:r>
      <w:r w:rsidR="00FC0FF2" w:rsidRPr="00EC045A">
        <w:rPr>
          <w:szCs w:val="24"/>
        </w:rPr>
        <w:t> </w:t>
      </w:r>
      <w:r w:rsidR="004A4579" w:rsidRPr="00EC045A">
        <w:rPr>
          <w:szCs w:val="24"/>
        </w:rPr>
        <w:t xml:space="preserve">490.41(3). </w:t>
      </w:r>
      <w:r w:rsidR="00FC0FF2" w:rsidRPr="00EC045A">
        <w:rPr>
          <w:szCs w:val="24"/>
        </w:rPr>
        <w:t xml:space="preserve"> </w:t>
      </w:r>
      <w:r w:rsidR="004A4579" w:rsidRPr="00EC045A">
        <w:rPr>
          <w:szCs w:val="24"/>
        </w:rPr>
        <w:t>The order of forfeiture sought by the Crown should therefore be granted.</w:t>
      </w:r>
    </w:p>
    <w:p w:rsidR="007E1C47" w:rsidRPr="00EC045A" w:rsidRDefault="002E6705" w:rsidP="00E20EDE">
      <w:pPr>
        <w:pStyle w:val="SCCNormalDoubleSpacing"/>
        <w:keepNext/>
        <w:spacing w:after="720" w:line="240" w:lineRule="auto"/>
        <w:rPr>
          <w:b/>
          <w:szCs w:val="24"/>
        </w:rPr>
      </w:pPr>
      <w:r w:rsidRPr="00EC045A">
        <w:rPr>
          <w:b/>
          <w:szCs w:val="24"/>
        </w:rPr>
        <w:t>Cases Cited</w:t>
      </w:r>
    </w:p>
    <w:p w:rsidR="004E2C26" w:rsidRPr="00EC045A" w:rsidRDefault="002E6705" w:rsidP="00E20EDE">
      <w:pPr>
        <w:pStyle w:val="SCCNormalDoubleSpacing"/>
        <w:spacing w:after="720" w:line="240" w:lineRule="auto"/>
        <w:rPr>
          <w:szCs w:val="24"/>
        </w:rPr>
      </w:pPr>
      <w:r w:rsidRPr="00EC045A">
        <w:rPr>
          <w:szCs w:val="24"/>
        </w:rPr>
        <w:tab/>
      </w:r>
      <w:r w:rsidRPr="00EC045A">
        <w:rPr>
          <w:b/>
          <w:szCs w:val="24"/>
        </w:rPr>
        <w:t>Referred to:</w:t>
      </w:r>
      <w:r w:rsidR="00BD0E9E" w:rsidRPr="00EC045A">
        <w:rPr>
          <w:szCs w:val="24"/>
        </w:rPr>
        <w:t xml:space="preserve"> </w:t>
      </w:r>
      <w:r w:rsidR="00465312" w:rsidRPr="00EC045A">
        <w:rPr>
          <w:szCs w:val="24"/>
        </w:rPr>
        <w:t xml:space="preserve"> </w:t>
      </w:r>
      <w:r w:rsidR="00465312" w:rsidRPr="00EC045A">
        <w:rPr>
          <w:i/>
          <w:szCs w:val="24"/>
        </w:rPr>
        <w:t>R. v. Craig</w:t>
      </w:r>
      <w:r w:rsidR="00465312" w:rsidRPr="00EC045A">
        <w:rPr>
          <w:szCs w:val="24"/>
        </w:rPr>
        <w:t>, 2009 SCC 23, [2009] 1 S.C.R. 762.</w:t>
      </w:r>
    </w:p>
    <w:p w:rsidR="003B215F" w:rsidRPr="00EC045A" w:rsidRDefault="002E6705" w:rsidP="00E20EDE">
      <w:pPr>
        <w:pStyle w:val="SCCNormalDoubleSpacing"/>
        <w:keepNext/>
        <w:spacing w:after="720" w:line="240" w:lineRule="auto"/>
        <w:rPr>
          <w:szCs w:val="24"/>
        </w:rPr>
      </w:pPr>
      <w:r w:rsidRPr="00EC045A">
        <w:rPr>
          <w:b/>
          <w:szCs w:val="24"/>
        </w:rPr>
        <w:t>Statutes and Regulations Cite</w:t>
      </w:r>
      <w:r w:rsidR="00A41805" w:rsidRPr="00EC045A">
        <w:rPr>
          <w:b/>
          <w:szCs w:val="24"/>
        </w:rPr>
        <w:t>d</w:t>
      </w:r>
    </w:p>
    <w:p w:rsidR="00A149DF" w:rsidRPr="00EC045A" w:rsidRDefault="00465312" w:rsidP="00E20EDE">
      <w:pPr>
        <w:pStyle w:val="SCCNormalDoubleSpacing"/>
        <w:spacing w:after="720" w:line="240" w:lineRule="auto"/>
        <w:ind w:left="547" w:hanging="547"/>
        <w:rPr>
          <w:szCs w:val="24"/>
          <w:lang w:val="en-US"/>
        </w:rPr>
      </w:pPr>
      <w:r w:rsidRPr="00EC045A">
        <w:rPr>
          <w:i/>
          <w:szCs w:val="24"/>
          <w:lang w:val="en-US"/>
        </w:rPr>
        <w:t>Criminal Code</w:t>
      </w:r>
      <w:r w:rsidR="00E20EDE" w:rsidRPr="00EC045A">
        <w:rPr>
          <w:szCs w:val="24"/>
          <w:lang w:val="en-US"/>
        </w:rPr>
        <w:t>, R.S.C. 1985, c. </w:t>
      </w:r>
      <w:r w:rsidRPr="00EC045A">
        <w:rPr>
          <w:szCs w:val="24"/>
          <w:lang w:val="en-US"/>
        </w:rPr>
        <w:t>C</w:t>
      </w:r>
      <w:r w:rsidR="00E20EDE" w:rsidRPr="00EC045A">
        <w:rPr>
          <w:szCs w:val="24"/>
          <w:lang w:val="en-US"/>
        </w:rPr>
        <w:noBreakHyphen/>
      </w:r>
      <w:r w:rsidRPr="00EC045A">
        <w:rPr>
          <w:szCs w:val="24"/>
          <w:lang w:val="en-US"/>
        </w:rPr>
        <w:t>46,</w:t>
      </w:r>
      <w:r w:rsidR="00E20EDE" w:rsidRPr="00EC045A">
        <w:rPr>
          <w:szCs w:val="24"/>
          <w:lang w:val="en-US"/>
        </w:rPr>
        <w:t xml:space="preserve"> s. </w:t>
      </w:r>
      <w:r w:rsidRPr="00EC045A">
        <w:rPr>
          <w:szCs w:val="24"/>
          <w:lang w:val="en-US"/>
        </w:rPr>
        <w:t>490.41(3).</w:t>
      </w:r>
    </w:p>
    <w:p w:rsidR="00656313" w:rsidRPr="00EC045A" w:rsidRDefault="009B4107" w:rsidP="00E20EDE">
      <w:pPr>
        <w:pStyle w:val="SCCNormalDoubleSpacing"/>
        <w:spacing w:after="480"/>
        <w:rPr>
          <w:szCs w:val="24"/>
        </w:rPr>
      </w:pPr>
      <w:r w:rsidRPr="00EC045A">
        <w:rPr>
          <w:szCs w:val="24"/>
          <w:lang w:val="en-US"/>
        </w:rPr>
        <w:lastRenderedPageBreak/>
        <w:tab/>
      </w:r>
      <w:r w:rsidR="009B57B3" w:rsidRPr="00EC045A">
        <w:rPr>
          <w:szCs w:val="24"/>
        </w:rPr>
        <w:t xml:space="preserve">APPEAL from a judgment of the </w:t>
      </w:r>
      <w:r w:rsidRPr="00EC045A">
        <w:rPr>
          <w:szCs w:val="24"/>
        </w:rPr>
        <w:t xml:space="preserve">Quebec </w:t>
      </w:r>
      <w:r w:rsidR="009B57B3" w:rsidRPr="00EC045A">
        <w:rPr>
          <w:szCs w:val="24"/>
        </w:rPr>
        <w:t>Court of Appeal</w:t>
      </w:r>
      <w:r w:rsidR="005944E8" w:rsidRPr="00EC045A">
        <w:rPr>
          <w:szCs w:val="24"/>
        </w:rPr>
        <w:t xml:space="preserve"> (T</w:t>
      </w:r>
      <w:r w:rsidR="00E20EDE" w:rsidRPr="00EC045A">
        <w:rPr>
          <w:szCs w:val="24"/>
        </w:rPr>
        <w:t xml:space="preserve">hibault, Pelletier and </w:t>
      </w:r>
      <w:proofErr w:type="spellStart"/>
      <w:r w:rsidR="00E20EDE" w:rsidRPr="00EC045A">
        <w:rPr>
          <w:szCs w:val="24"/>
        </w:rPr>
        <w:t>Dufresne</w:t>
      </w:r>
      <w:proofErr w:type="spellEnd"/>
      <w:r w:rsidR="00E20EDE" w:rsidRPr="00EC045A">
        <w:rPr>
          <w:szCs w:val="24"/>
        </w:rPr>
        <w:t> </w:t>
      </w:r>
      <w:r w:rsidR="00C832B8">
        <w:rPr>
          <w:szCs w:val="24"/>
        </w:rPr>
        <w:t>JJ.A.), 2011 QCCA 900</w:t>
      </w:r>
      <w:r w:rsidR="005944E8" w:rsidRPr="00EC045A">
        <w:rPr>
          <w:szCs w:val="24"/>
        </w:rPr>
        <w:t xml:space="preserve">, </w:t>
      </w:r>
      <w:r w:rsidR="00791513">
        <w:rPr>
          <w:szCs w:val="24"/>
        </w:rPr>
        <w:t xml:space="preserve">SOQUIJ AZ-50753167, </w:t>
      </w:r>
      <w:r w:rsidR="005944E8" w:rsidRPr="00EC045A">
        <w:rPr>
          <w:szCs w:val="24"/>
        </w:rPr>
        <w:t xml:space="preserve">[2011] Q.J. </w:t>
      </w:r>
      <w:r w:rsidR="00E20EDE" w:rsidRPr="00EC045A">
        <w:rPr>
          <w:szCs w:val="24"/>
        </w:rPr>
        <w:t>No. </w:t>
      </w:r>
      <w:r w:rsidR="005944E8" w:rsidRPr="00EC045A">
        <w:rPr>
          <w:szCs w:val="24"/>
        </w:rPr>
        <w:t xml:space="preserve">5287 (QL), 2011 </w:t>
      </w:r>
      <w:proofErr w:type="spellStart"/>
      <w:r w:rsidR="005944E8" w:rsidRPr="00EC045A">
        <w:rPr>
          <w:szCs w:val="24"/>
        </w:rPr>
        <w:t>CarswellQue</w:t>
      </w:r>
      <w:proofErr w:type="spellEnd"/>
      <w:r w:rsidR="005944E8" w:rsidRPr="00EC045A">
        <w:rPr>
          <w:szCs w:val="24"/>
        </w:rPr>
        <w:t xml:space="preserve"> 15720, a</w:t>
      </w:r>
      <w:r w:rsidR="00E20EDE" w:rsidRPr="00EC045A">
        <w:rPr>
          <w:szCs w:val="24"/>
        </w:rPr>
        <w:t xml:space="preserve">ffirming a decision of </w:t>
      </w:r>
      <w:proofErr w:type="spellStart"/>
      <w:r w:rsidR="00E20EDE" w:rsidRPr="00EC045A">
        <w:rPr>
          <w:szCs w:val="24"/>
        </w:rPr>
        <w:t>Boisjoli</w:t>
      </w:r>
      <w:proofErr w:type="spellEnd"/>
      <w:r w:rsidR="00E20EDE" w:rsidRPr="00EC045A">
        <w:rPr>
          <w:szCs w:val="24"/>
        </w:rPr>
        <w:t> </w:t>
      </w:r>
      <w:r w:rsidR="005944E8" w:rsidRPr="00EC045A">
        <w:rPr>
          <w:szCs w:val="24"/>
        </w:rPr>
        <w:t>J</w:t>
      </w:r>
      <w:r w:rsidRPr="00EC045A">
        <w:rPr>
          <w:szCs w:val="24"/>
        </w:rPr>
        <w:t>.</w:t>
      </w:r>
      <w:r w:rsidR="005944E8" w:rsidRPr="00EC045A">
        <w:rPr>
          <w:szCs w:val="24"/>
        </w:rPr>
        <w:t xml:space="preserve"> refusing to order the forfeiture of offence</w:t>
      </w:r>
      <w:r w:rsidR="00E20EDE" w:rsidRPr="00EC045A">
        <w:rPr>
          <w:szCs w:val="24"/>
        </w:rPr>
        <w:noBreakHyphen/>
      </w:r>
      <w:proofErr w:type="spellStart"/>
      <w:r w:rsidR="005944E8" w:rsidRPr="00EC045A">
        <w:rPr>
          <w:szCs w:val="24"/>
        </w:rPr>
        <w:t>related</w:t>
      </w:r>
      <w:proofErr w:type="spellEnd"/>
      <w:r w:rsidR="005944E8" w:rsidRPr="00EC045A">
        <w:rPr>
          <w:szCs w:val="24"/>
        </w:rPr>
        <w:t xml:space="preserve"> property</w:t>
      </w:r>
      <w:r w:rsidR="003A6667" w:rsidRPr="00EC045A">
        <w:rPr>
          <w:szCs w:val="24"/>
        </w:rPr>
        <w:t>.</w:t>
      </w:r>
      <w:r w:rsidRPr="00EC045A">
        <w:rPr>
          <w:szCs w:val="24"/>
        </w:rPr>
        <w:t xml:space="preserve">  Appeal </w:t>
      </w:r>
      <w:r w:rsidR="007D70C4" w:rsidRPr="00EC045A">
        <w:rPr>
          <w:szCs w:val="24"/>
        </w:rPr>
        <w:t>allowed</w:t>
      </w:r>
      <w:r w:rsidRPr="00EC045A">
        <w:rPr>
          <w:szCs w:val="24"/>
        </w:rPr>
        <w:t>.</w:t>
      </w:r>
    </w:p>
    <w:p w:rsidR="005A6402" w:rsidRPr="00EC045A" w:rsidRDefault="009B4107" w:rsidP="00E20EDE">
      <w:pPr>
        <w:pStyle w:val="SCCNormalDoubleSpacing"/>
        <w:spacing w:after="480"/>
        <w:rPr>
          <w:szCs w:val="24"/>
        </w:rPr>
      </w:pPr>
      <w:r w:rsidRPr="00EC045A">
        <w:rPr>
          <w:i/>
          <w:szCs w:val="24"/>
        </w:rPr>
        <w:tab/>
      </w:r>
      <w:proofErr w:type="gramStart"/>
      <w:r w:rsidRPr="00EC045A">
        <w:rPr>
          <w:i/>
          <w:szCs w:val="24"/>
        </w:rPr>
        <w:t>Robin Tremblay</w:t>
      </w:r>
      <w:r w:rsidRPr="00EC045A">
        <w:rPr>
          <w:szCs w:val="24"/>
        </w:rPr>
        <w:t xml:space="preserve"> and </w:t>
      </w:r>
      <w:r w:rsidRPr="00EC045A">
        <w:rPr>
          <w:i/>
          <w:szCs w:val="24"/>
        </w:rPr>
        <w:t>Jean</w:t>
      </w:r>
      <w:r w:rsidR="00E20EDE" w:rsidRPr="00EC045A">
        <w:rPr>
          <w:i/>
          <w:szCs w:val="24"/>
        </w:rPr>
        <w:noBreakHyphen/>
      </w:r>
      <w:r w:rsidRPr="00EC045A">
        <w:rPr>
          <w:i/>
          <w:szCs w:val="24"/>
        </w:rPr>
        <w:t xml:space="preserve">François </w:t>
      </w:r>
      <w:proofErr w:type="spellStart"/>
      <w:r w:rsidRPr="00EC045A">
        <w:rPr>
          <w:i/>
          <w:szCs w:val="24"/>
        </w:rPr>
        <w:t>Bouvette</w:t>
      </w:r>
      <w:proofErr w:type="spellEnd"/>
      <w:r w:rsidRPr="00EC045A">
        <w:rPr>
          <w:szCs w:val="24"/>
        </w:rPr>
        <w:t>, for the appellant.</w:t>
      </w:r>
      <w:proofErr w:type="gramEnd"/>
    </w:p>
    <w:p w:rsidR="005A6402" w:rsidRPr="00EC045A" w:rsidRDefault="009B4107" w:rsidP="00E20EDE">
      <w:pPr>
        <w:pStyle w:val="SCCNormalDoubleSpacing"/>
        <w:spacing w:after="480"/>
        <w:rPr>
          <w:szCs w:val="24"/>
        </w:rPr>
      </w:pPr>
      <w:r w:rsidRPr="00EC045A">
        <w:rPr>
          <w:i/>
          <w:szCs w:val="24"/>
        </w:rPr>
        <w:tab/>
      </w:r>
      <w:proofErr w:type="gramStart"/>
      <w:r w:rsidRPr="00EC045A">
        <w:rPr>
          <w:i/>
          <w:szCs w:val="24"/>
        </w:rPr>
        <w:t>Patrick Jacques</w:t>
      </w:r>
      <w:r w:rsidRPr="00EC045A">
        <w:rPr>
          <w:szCs w:val="24"/>
        </w:rPr>
        <w:t>, for the respondent.</w:t>
      </w:r>
      <w:proofErr w:type="gramEnd"/>
    </w:p>
    <w:p w:rsidR="00C161AC" w:rsidRPr="00EC045A" w:rsidRDefault="00C161AC" w:rsidP="00E20EDE">
      <w:pPr>
        <w:pStyle w:val="SCCNormalDoubleSpacing"/>
        <w:spacing w:after="480"/>
        <w:rPr>
          <w:szCs w:val="24"/>
        </w:rPr>
      </w:pPr>
      <w:r w:rsidRPr="00EC045A">
        <w:rPr>
          <w:szCs w:val="24"/>
        </w:rPr>
        <w:tab/>
      </w:r>
      <w:proofErr w:type="gramStart"/>
      <w:r w:rsidRPr="00EC045A">
        <w:rPr>
          <w:szCs w:val="24"/>
        </w:rPr>
        <w:t xml:space="preserve">Written submissions only by </w:t>
      </w:r>
      <w:r w:rsidRPr="00EC045A">
        <w:rPr>
          <w:i/>
          <w:szCs w:val="24"/>
        </w:rPr>
        <w:t>Simon William</w:t>
      </w:r>
      <w:r w:rsidRPr="00EC045A">
        <w:rPr>
          <w:szCs w:val="24"/>
        </w:rPr>
        <w:t xml:space="preserve"> and </w:t>
      </w:r>
      <w:r w:rsidRPr="00EC045A">
        <w:rPr>
          <w:i/>
          <w:szCs w:val="24"/>
        </w:rPr>
        <w:t xml:space="preserve">François </w:t>
      </w:r>
      <w:proofErr w:type="spellStart"/>
      <w:r w:rsidRPr="00EC045A">
        <w:rPr>
          <w:i/>
          <w:szCs w:val="24"/>
        </w:rPr>
        <w:t>Lacasse</w:t>
      </w:r>
      <w:proofErr w:type="spellEnd"/>
      <w:r w:rsidRPr="00EC045A">
        <w:rPr>
          <w:szCs w:val="24"/>
        </w:rPr>
        <w:t>, for the intervener the Director of Public Prosecutions of Canada.</w:t>
      </w:r>
      <w:proofErr w:type="gramEnd"/>
    </w:p>
    <w:p w:rsidR="005A6402" w:rsidRPr="00EC045A" w:rsidRDefault="009B4107" w:rsidP="00E20EDE">
      <w:pPr>
        <w:pStyle w:val="SCCNormalDoubleSpacing"/>
        <w:spacing w:after="480"/>
        <w:rPr>
          <w:szCs w:val="24"/>
        </w:rPr>
      </w:pPr>
      <w:r w:rsidRPr="00EC045A">
        <w:rPr>
          <w:i/>
          <w:szCs w:val="24"/>
        </w:rPr>
        <w:tab/>
      </w:r>
      <w:proofErr w:type="gramStart"/>
      <w:r w:rsidRPr="00EC045A">
        <w:rPr>
          <w:i/>
          <w:szCs w:val="24"/>
        </w:rPr>
        <w:t xml:space="preserve">Susan </w:t>
      </w:r>
      <w:proofErr w:type="spellStart"/>
      <w:r w:rsidRPr="00EC045A">
        <w:rPr>
          <w:i/>
          <w:szCs w:val="24"/>
        </w:rPr>
        <w:t>Ficek</w:t>
      </w:r>
      <w:proofErr w:type="spellEnd"/>
      <w:r w:rsidRPr="00EC045A">
        <w:rPr>
          <w:szCs w:val="24"/>
        </w:rPr>
        <w:t xml:space="preserve"> </w:t>
      </w:r>
      <w:r w:rsidR="00C161AC" w:rsidRPr="00EC045A">
        <w:rPr>
          <w:szCs w:val="24"/>
        </w:rPr>
        <w:t xml:space="preserve">and </w:t>
      </w:r>
      <w:r w:rsidR="00C161AC" w:rsidRPr="00EC045A">
        <w:rPr>
          <w:i/>
          <w:szCs w:val="24"/>
        </w:rPr>
        <w:t>Melissa Adams</w:t>
      </w:r>
      <w:r w:rsidR="00C161AC" w:rsidRPr="00EC045A">
        <w:rPr>
          <w:szCs w:val="24"/>
        </w:rPr>
        <w:t xml:space="preserve">, </w:t>
      </w:r>
      <w:r w:rsidRPr="00EC045A">
        <w:rPr>
          <w:szCs w:val="24"/>
        </w:rPr>
        <w:t xml:space="preserve">for the intervener </w:t>
      </w:r>
      <w:r w:rsidR="00C161AC" w:rsidRPr="00EC045A">
        <w:rPr>
          <w:szCs w:val="24"/>
        </w:rPr>
        <w:t xml:space="preserve">the </w:t>
      </w:r>
      <w:r w:rsidRPr="00EC045A">
        <w:rPr>
          <w:szCs w:val="24"/>
        </w:rPr>
        <w:t>Attorney General of Ontario.</w:t>
      </w:r>
      <w:proofErr w:type="gramEnd"/>
    </w:p>
    <w:p w:rsidR="005A6402" w:rsidRPr="00EC045A" w:rsidRDefault="009B4107" w:rsidP="00E20EDE">
      <w:pPr>
        <w:pStyle w:val="SCCNormalDoubleSpacing"/>
        <w:spacing w:after="480"/>
        <w:rPr>
          <w:szCs w:val="24"/>
        </w:rPr>
      </w:pPr>
      <w:r w:rsidRPr="00EC045A">
        <w:rPr>
          <w:i/>
          <w:szCs w:val="24"/>
        </w:rPr>
        <w:tab/>
      </w:r>
      <w:proofErr w:type="gramStart"/>
      <w:r w:rsidRPr="00EC045A">
        <w:rPr>
          <w:i/>
          <w:szCs w:val="24"/>
        </w:rPr>
        <w:t xml:space="preserve">Catherine </w:t>
      </w:r>
      <w:proofErr w:type="spellStart"/>
      <w:r w:rsidRPr="00EC045A">
        <w:rPr>
          <w:i/>
          <w:szCs w:val="24"/>
        </w:rPr>
        <w:t>Beagan</w:t>
      </w:r>
      <w:proofErr w:type="spellEnd"/>
      <w:r w:rsidRPr="00EC045A">
        <w:rPr>
          <w:i/>
          <w:szCs w:val="24"/>
        </w:rPr>
        <w:t xml:space="preserve"> Flood</w:t>
      </w:r>
      <w:r w:rsidRPr="00EC045A">
        <w:rPr>
          <w:szCs w:val="24"/>
        </w:rPr>
        <w:t xml:space="preserve"> and </w:t>
      </w:r>
      <w:r w:rsidR="00E20EDE" w:rsidRPr="00EC045A">
        <w:rPr>
          <w:i/>
          <w:szCs w:val="24"/>
        </w:rPr>
        <w:t>Joshua </w:t>
      </w:r>
      <w:r w:rsidRPr="00EC045A">
        <w:rPr>
          <w:i/>
          <w:szCs w:val="24"/>
        </w:rPr>
        <w:t xml:space="preserve">A. </w:t>
      </w:r>
      <w:proofErr w:type="spellStart"/>
      <w:r w:rsidRPr="00EC045A">
        <w:rPr>
          <w:i/>
          <w:szCs w:val="24"/>
        </w:rPr>
        <w:t>Krane</w:t>
      </w:r>
      <w:proofErr w:type="spellEnd"/>
      <w:r w:rsidRPr="00EC045A">
        <w:rPr>
          <w:szCs w:val="24"/>
        </w:rPr>
        <w:t xml:space="preserve">, for the intervener </w:t>
      </w:r>
      <w:r w:rsidR="00C161AC" w:rsidRPr="00EC045A">
        <w:rPr>
          <w:szCs w:val="24"/>
        </w:rPr>
        <w:t xml:space="preserve">the </w:t>
      </w:r>
      <w:r w:rsidRPr="00EC045A">
        <w:rPr>
          <w:szCs w:val="24"/>
        </w:rPr>
        <w:t>Canadian Civil Liberties Association.</w:t>
      </w:r>
      <w:proofErr w:type="gramEnd"/>
    </w:p>
    <w:p w:rsidR="005A6402" w:rsidRDefault="009B4107" w:rsidP="00E20EDE">
      <w:pPr>
        <w:pStyle w:val="SCCNormalDoubleSpacing"/>
        <w:spacing w:after="480"/>
        <w:rPr>
          <w:szCs w:val="24"/>
        </w:rPr>
      </w:pPr>
      <w:r w:rsidRPr="00EC045A">
        <w:rPr>
          <w:i/>
          <w:szCs w:val="24"/>
        </w:rPr>
        <w:tab/>
      </w:r>
      <w:proofErr w:type="gramStart"/>
      <w:r w:rsidRPr="00EC045A">
        <w:rPr>
          <w:i/>
          <w:szCs w:val="24"/>
        </w:rPr>
        <w:t xml:space="preserve">Audrey </w:t>
      </w:r>
      <w:proofErr w:type="spellStart"/>
      <w:r w:rsidRPr="00EC045A">
        <w:rPr>
          <w:i/>
          <w:szCs w:val="24"/>
        </w:rPr>
        <w:t>Boctor</w:t>
      </w:r>
      <w:proofErr w:type="spellEnd"/>
      <w:r w:rsidR="00C161AC" w:rsidRPr="00EC045A">
        <w:rPr>
          <w:i/>
          <w:szCs w:val="24"/>
        </w:rPr>
        <w:t xml:space="preserve"> </w:t>
      </w:r>
      <w:r w:rsidR="00C161AC" w:rsidRPr="00E564F4">
        <w:rPr>
          <w:szCs w:val="24"/>
        </w:rPr>
        <w:t xml:space="preserve">and </w:t>
      </w:r>
      <w:r w:rsidR="00E20EDE" w:rsidRPr="00EC045A">
        <w:rPr>
          <w:i/>
          <w:szCs w:val="24"/>
        </w:rPr>
        <w:t>Douglas </w:t>
      </w:r>
      <w:r w:rsidR="00C161AC" w:rsidRPr="00EC045A">
        <w:rPr>
          <w:i/>
          <w:szCs w:val="24"/>
        </w:rPr>
        <w:t>C. Mitchell</w:t>
      </w:r>
      <w:r w:rsidRPr="00EC045A">
        <w:rPr>
          <w:szCs w:val="24"/>
        </w:rPr>
        <w:t xml:space="preserve">, for the intervener </w:t>
      </w:r>
      <w:r w:rsidR="00C161AC" w:rsidRPr="00EC045A">
        <w:rPr>
          <w:szCs w:val="24"/>
        </w:rPr>
        <w:t xml:space="preserve">the </w:t>
      </w:r>
      <w:r w:rsidR="00F13D3F" w:rsidRPr="00EC045A">
        <w:rPr>
          <w:szCs w:val="24"/>
        </w:rPr>
        <w:t>British </w:t>
      </w:r>
      <w:r w:rsidRPr="00EC045A">
        <w:rPr>
          <w:szCs w:val="24"/>
        </w:rPr>
        <w:t>Columbia Civil Liberties Association.</w:t>
      </w:r>
      <w:proofErr w:type="gramEnd"/>
    </w:p>
    <w:p w:rsidR="00E564F4" w:rsidRPr="00EC045A" w:rsidRDefault="00E564F4" w:rsidP="00E20EDE">
      <w:pPr>
        <w:pStyle w:val="SCCNormalDoubleSpacing"/>
        <w:spacing w:after="480"/>
        <w:rPr>
          <w:szCs w:val="24"/>
        </w:rPr>
      </w:pPr>
      <w:r>
        <w:rPr>
          <w:szCs w:val="24"/>
        </w:rPr>
        <w:tab/>
        <w:t>The judgment of the Court was delivered by</w:t>
      </w:r>
    </w:p>
    <w:p w:rsidR="00B71529" w:rsidRPr="002B48A9" w:rsidRDefault="00E564F4" w:rsidP="00B71529">
      <w:pPr>
        <w:pStyle w:val="ParaNoNdepar-AltN"/>
        <w:rPr>
          <w:rFonts w:cs="Times New Roman"/>
        </w:rPr>
      </w:pPr>
      <w:r w:rsidRPr="00E564F4">
        <w:rPr>
          <w:rFonts w:cs="Times New Roman"/>
          <w:smallCaps/>
        </w:rPr>
        <w:lastRenderedPageBreak/>
        <w:t>Fish J.</w:t>
      </w:r>
      <w:r>
        <w:rPr>
          <w:rFonts w:cs="Times New Roman"/>
        </w:rPr>
        <w:t xml:space="preserve"> </w:t>
      </w:r>
      <w:r w:rsidRPr="002B48A9">
        <w:t xml:space="preserve">— </w:t>
      </w:r>
      <w:proofErr w:type="spellStart"/>
      <w:r w:rsidR="00B71529" w:rsidRPr="002B48A9">
        <w:rPr>
          <w:rFonts w:cs="Times New Roman"/>
        </w:rPr>
        <w:t>Alphide</w:t>
      </w:r>
      <w:proofErr w:type="spellEnd"/>
      <w:r w:rsidR="00B71529" w:rsidRPr="002B48A9">
        <w:rPr>
          <w:rFonts w:cs="Times New Roman"/>
        </w:rPr>
        <w:t xml:space="preserve"> Manning, the respondent on this appeal, pleaded guilty at trial to impaired driving and the Crown, upon his conviction, sought forfeiture of the truck driven by Mr. Manning at the time of his arrest.  </w:t>
      </w:r>
    </w:p>
    <w:p w:rsidR="00B71529" w:rsidRPr="002B48A9" w:rsidRDefault="00B71529" w:rsidP="00B71529">
      <w:pPr>
        <w:pStyle w:val="ParaNoNdepar-AltN"/>
        <w:rPr>
          <w:rFonts w:cs="Times New Roman"/>
        </w:rPr>
      </w:pPr>
      <w:r w:rsidRPr="002B48A9">
        <w:rPr>
          <w:rFonts w:cs="Times New Roman"/>
        </w:rPr>
        <w:t>The trial judge declined to grant the order of forfeiture requested by the Crown.</w:t>
      </w:r>
    </w:p>
    <w:p w:rsidR="00B71529" w:rsidRPr="002B48A9" w:rsidRDefault="00B71529" w:rsidP="00B71529">
      <w:pPr>
        <w:pStyle w:val="ParaNoNdepar-AltN"/>
        <w:rPr>
          <w:rFonts w:cs="Times New Roman"/>
        </w:rPr>
      </w:pPr>
      <w:r w:rsidRPr="002B48A9">
        <w:rPr>
          <w:rFonts w:cs="Times New Roman"/>
        </w:rPr>
        <w:t xml:space="preserve">Our sole concern here is with s. 490.41(3) of the </w:t>
      </w:r>
      <w:r w:rsidRPr="002B48A9">
        <w:rPr>
          <w:rFonts w:cs="Times New Roman"/>
          <w:i/>
        </w:rPr>
        <w:t>Criminal Code</w:t>
      </w:r>
      <w:r w:rsidRPr="002B48A9">
        <w:rPr>
          <w:rFonts w:cs="Times New Roman"/>
        </w:rPr>
        <w:t>, R.S.C. 1985, c. C-46, which, in its relevant part, reads as follows:</w:t>
      </w:r>
    </w:p>
    <w:p w:rsidR="00B71529" w:rsidRPr="002B48A9" w:rsidRDefault="00461555" w:rsidP="00461555">
      <w:pPr>
        <w:pStyle w:val="Citation-AltC"/>
        <w:tabs>
          <w:tab w:val="left" w:pos="1170"/>
        </w:tabs>
        <w:ind w:hanging="1166"/>
      </w:pPr>
      <w:r>
        <w:tab/>
      </w:r>
      <w:r w:rsidR="00C832B8">
        <w:tab/>
      </w:r>
      <w:r w:rsidR="00C832B8">
        <w:tab/>
      </w:r>
      <w:r w:rsidR="00B71529" w:rsidRPr="002B48A9">
        <w:t>. . . if a court is satisfied that the impact of an order of forfeiture made under subsection 490.1(1) or 490.2(2) would be disproportionate to the nature and gravity of the offence, the circumstances surrounding the commission of the offence and the criminal record, if any, of the person charged with or convicted of the offence, as the case may be, it may decide not to order the forfeiture of the property or part of the property and may revoke any restraint order made in respect of that property or part.</w:t>
      </w:r>
    </w:p>
    <w:p w:rsidR="00B71529" w:rsidRPr="002B48A9" w:rsidRDefault="00B71529" w:rsidP="00B71529">
      <w:pPr>
        <w:pStyle w:val="ParaNoNdepar-AltN"/>
        <w:rPr>
          <w:rFonts w:cs="Times New Roman"/>
        </w:rPr>
      </w:pPr>
      <w:r w:rsidRPr="002B48A9">
        <w:rPr>
          <w:rFonts w:cs="Times New Roman"/>
        </w:rPr>
        <w:t xml:space="preserve">In applying that provision here, the trial judge held that he was bound to consider the objectives and principles of sentencing set out in s. 718 and following of the </w:t>
      </w:r>
      <w:r w:rsidRPr="002B48A9">
        <w:rPr>
          <w:rFonts w:cs="Times New Roman"/>
          <w:i/>
        </w:rPr>
        <w:t>Criminal Code</w:t>
      </w:r>
      <w:r w:rsidRPr="002B48A9">
        <w:rPr>
          <w:rFonts w:cs="Times New Roman"/>
        </w:rPr>
        <w:t xml:space="preserve">.  </w:t>
      </w:r>
    </w:p>
    <w:p w:rsidR="00B71529" w:rsidRPr="002B48A9" w:rsidRDefault="00B71529" w:rsidP="00B71529">
      <w:pPr>
        <w:pStyle w:val="ParaNoNdepar-AltN"/>
        <w:rPr>
          <w:rFonts w:cs="Times New Roman"/>
        </w:rPr>
      </w:pPr>
      <w:r w:rsidRPr="002B48A9">
        <w:rPr>
          <w:rFonts w:cs="Times New Roman"/>
        </w:rPr>
        <w:t>We agree with the Quebec Court of Appeal (2011 QCCA 900 (</w:t>
      </w:r>
      <w:proofErr w:type="spellStart"/>
      <w:r w:rsidRPr="002B48A9">
        <w:rPr>
          <w:rFonts w:cs="Times New Roman"/>
        </w:rPr>
        <w:t>CanLII</w:t>
      </w:r>
      <w:proofErr w:type="spellEnd"/>
      <w:r w:rsidRPr="002B48A9">
        <w:rPr>
          <w:rFonts w:cs="Times New Roman"/>
        </w:rPr>
        <w:t xml:space="preserve">)) that the trial judge erred in this regard: see </w:t>
      </w:r>
      <w:r w:rsidRPr="002B48A9">
        <w:rPr>
          <w:rFonts w:cs="Times New Roman"/>
          <w:i/>
        </w:rPr>
        <w:t>R. v. Craig</w:t>
      </w:r>
      <w:r w:rsidRPr="002B48A9">
        <w:rPr>
          <w:rFonts w:cs="Times New Roman"/>
        </w:rPr>
        <w:t xml:space="preserve">, 2009 SCC 23, [2009] 1 S.C.R. 762, at </w:t>
      </w:r>
      <w:proofErr w:type="spellStart"/>
      <w:r w:rsidRPr="002B48A9">
        <w:rPr>
          <w:rFonts w:cs="Times New Roman"/>
        </w:rPr>
        <w:t>para</w:t>
      </w:r>
      <w:proofErr w:type="spellEnd"/>
      <w:r w:rsidRPr="002B48A9">
        <w:rPr>
          <w:rFonts w:cs="Times New Roman"/>
        </w:rPr>
        <w:t xml:space="preserve">.  13. </w:t>
      </w:r>
    </w:p>
    <w:p w:rsidR="00B71529" w:rsidRDefault="00B71529" w:rsidP="00B71529">
      <w:pPr>
        <w:pStyle w:val="ParaNoNdepar-AltN"/>
        <w:rPr>
          <w:rFonts w:cs="Times New Roman"/>
        </w:rPr>
      </w:pPr>
      <w:r w:rsidRPr="002B48A9">
        <w:rPr>
          <w:rFonts w:cs="Times New Roman"/>
        </w:rPr>
        <w:lastRenderedPageBreak/>
        <w:t xml:space="preserve">Unlike the Court of Appeal, however, and with the greatest of respect, we believe that the trial judge’s error is fatal to his conclusion.  </w:t>
      </w:r>
    </w:p>
    <w:p w:rsidR="00B71529" w:rsidRPr="002B48A9" w:rsidRDefault="00B71529" w:rsidP="00B71529">
      <w:pPr>
        <w:pStyle w:val="ParaNoNdepar-AltN"/>
        <w:rPr>
          <w:rFonts w:cs="Times New Roman"/>
        </w:rPr>
      </w:pPr>
      <w:r w:rsidRPr="002B48A9">
        <w:rPr>
          <w:rFonts w:cs="Times New Roman"/>
        </w:rPr>
        <w:t xml:space="preserve">Moreover, on the record as we have it, we are not satisfied that the impact of the order of forfeiture sought by the Crown was “disproportionate”, within the meaning of s. 490.41(3) of the </w:t>
      </w:r>
      <w:r w:rsidRPr="002B48A9">
        <w:rPr>
          <w:rFonts w:cs="Times New Roman"/>
          <w:i/>
        </w:rPr>
        <w:t>Criminal Code</w:t>
      </w:r>
      <w:r w:rsidRPr="002B48A9">
        <w:rPr>
          <w:rFonts w:cs="Times New Roman"/>
        </w:rPr>
        <w:t>.  In concluding otherwise, the trial judge erroneously emphasized Mr. Manning’s personal circumstances and failed to give appropriate weight, as required by s. 490.41(3), to Mr. Manning’s</w:t>
      </w:r>
      <w:r>
        <w:rPr>
          <w:rFonts w:cs="Times New Roman"/>
        </w:rPr>
        <w:t xml:space="preserve"> </w:t>
      </w:r>
      <w:r w:rsidRPr="002B48A9">
        <w:rPr>
          <w:rFonts w:cs="Times New Roman"/>
        </w:rPr>
        <w:t xml:space="preserve">criminal record, including </w:t>
      </w:r>
      <w:r w:rsidRPr="002B48A9">
        <w:rPr>
          <w:rFonts w:cs="Times New Roman"/>
          <w:i/>
        </w:rPr>
        <w:t xml:space="preserve">five </w:t>
      </w:r>
      <w:r w:rsidRPr="002B48A9">
        <w:rPr>
          <w:rFonts w:cs="Times New Roman"/>
        </w:rPr>
        <w:t xml:space="preserve">convictions for alcohol-related driving offences and </w:t>
      </w:r>
      <w:r w:rsidRPr="002B48A9">
        <w:rPr>
          <w:rFonts w:cs="Times New Roman"/>
          <w:i/>
        </w:rPr>
        <w:t>three</w:t>
      </w:r>
      <w:r w:rsidRPr="002B48A9">
        <w:rPr>
          <w:rFonts w:cs="Times New Roman"/>
        </w:rPr>
        <w:t xml:space="preserve"> for breaches of probation orders or undertakings. </w:t>
      </w:r>
    </w:p>
    <w:p w:rsidR="00B71529" w:rsidRPr="002B48A9" w:rsidRDefault="00B71529" w:rsidP="00B71529">
      <w:pPr>
        <w:pStyle w:val="ParaNoNdepar-AltN"/>
        <w:rPr>
          <w:rFonts w:cs="Times New Roman"/>
        </w:rPr>
      </w:pPr>
      <w:r w:rsidRPr="002B48A9">
        <w:rPr>
          <w:rFonts w:cs="Times New Roman"/>
        </w:rPr>
        <w:t>Accordingly, we would allow the appeal and grant the order of forfeiture sought by the Crown.</w:t>
      </w:r>
    </w:p>
    <w:p w:rsidR="009B57B3" w:rsidRPr="00EC045A" w:rsidRDefault="00CA17E2" w:rsidP="00E20EDE">
      <w:pPr>
        <w:pStyle w:val="SCCNormalDoubleSpacing"/>
        <w:spacing w:after="480"/>
        <w:rPr>
          <w:szCs w:val="24"/>
          <w:lang w:val="fr-CA"/>
        </w:rPr>
      </w:pPr>
      <w:r w:rsidRPr="00EC045A">
        <w:rPr>
          <w:szCs w:val="24"/>
        </w:rPr>
        <w:tab/>
      </w:r>
      <w:proofErr w:type="spellStart"/>
      <w:r w:rsidR="00656313" w:rsidRPr="00EC045A">
        <w:rPr>
          <w:i/>
          <w:szCs w:val="24"/>
          <w:lang w:val="fr-CA"/>
        </w:rPr>
        <w:t>Appeal</w:t>
      </w:r>
      <w:proofErr w:type="spellEnd"/>
      <w:r w:rsidRPr="00EC045A">
        <w:rPr>
          <w:i/>
          <w:szCs w:val="24"/>
          <w:lang w:val="fr-CA"/>
        </w:rPr>
        <w:t xml:space="preserve"> </w:t>
      </w:r>
      <w:proofErr w:type="spellStart"/>
      <w:r w:rsidR="007D70C4" w:rsidRPr="00EC045A">
        <w:rPr>
          <w:i/>
          <w:szCs w:val="24"/>
          <w:lang w:val="fr-CA"/>
        </w:rPr>
        <w:t>allowed</w:t>
      </w:r>
      <w:proofErr w:type="spellEnd"/>
      <w:r w:rsidRPr="00EC045A">
        <w:rPr>
          <w:i/>
          <w:szCs w:val="24"/>
          <w:lang w:val="fr-CA"/>
        </w:rPr>
        <w:t>.</w:t>
      </w:r>
    </w:p>
    <w:p w:rsidR="00CA17E2" w:rsidRPr="00EC045A" w:rsidRDefault="00CA17E2" w:rsidP="00E20EDE">
      <w:pPr>
        <w:pStyle w:val="SCCLawFirm"/>
        <w:spacing w:after="480"/>
        <w:rPr>
          <w:szCs w:val="24"/>
          <w:lang w:val="fr-CA"/>
        </w:rPr>
      </w:pPr>
      <w:r w:rsidRPr="00EC045A">
        <w:rPr>
          <w:szCs w:val="24"/>
          <w:lang w:val="fr-CA"/>
        </w:rPr>
        <w:tab/>
        <w:t xml:space="preserve">Solicitor for the </w:t>
      </w:r>
      <w:proofErr w:type="spellStart"/>
      <w:r w:rsidRPr="00EC045A">
        <w:rPr>
          <w:szCs w:val="24"/>
          <w:lang w:val="fr-CA"/>
        </w:rPr>
        <w:t>appellant</w:t>
      </w:r>
      <w:proofErr w:type="spellEnd"/>
      <w:r w:rsidR="00E20EDE" w:rsidRPr="00EC045A">
        <w:rPr>
          <w:szCs w:val="24"/>
          <w:lang w:val="fr-CA"/>
        </w:rPr>
        <w:t>:</w:t>
      </w:r>
      <w:proofErr w:type="gramStart"/>
      <w:r w:rsidR="00E20EDE" w:rsidRPr="00EC045A">
        <w:rPr>
          <w:szCs w:val="24"/>
          <w:lang w:val="fr-CA"/>
        </w:rPr>
        <w:t>  </w:t>
      </w:r>
      <w:r w:rsidRPr="00EC045A">
        <w:rPr>
          <w:szCs w:val="24"/>
          <w:lang w:val="fr-CA"/>
        </w:rPr>
        <w:t>Poursuites</w:t>
      </w:r>
      <w:proofErr w:type="gramEnd"/>
      <w:r w:rsidRPr="00EC045A">
        <w:rPr>
          <w:szCs w:val="24"/>
          <w:lang w:val="fr-CA"/>
        </w:rPr>
        <w:t xml:space="preserve"> criminelles et pénales du Québec, </w:t>
      </w:r>
      <w:proofErr w:type="spellStart"/>
      <w:r w:rsidRPr="00EC045A">
        <w:rPr>
          <w:szCs w:val="24"/>
          <w:lang w:val="fr-CA"/>
        </w:rPr>
        <w:t>Baie</w:t>
      </w:r>
      <w:r w:rsidR="00E20EDE" w:rsidRPr="00EC045A">
        <w:rPr>
          <w:szCs w:val="24"/>
          <w:lang w:val="fr-CA"/>
        </w:rPr>
        <w:noBreakHyphen/>
      </w:r>
      <w:r w:rsidRPr="00EC045A">
        <w:rPr>
          <w:szCs w:val="24"/>
          <w:lang w:val="fr-CA"/>
        </w:rPr>
        <w:t>Comeau</w:t>
      </w:r>
      <w:proofErr w:type="spellEnd"/>
      <w:r w:rsidR="00A71642" w:rsidRPr="00EC045A">
        <w:rPr>
          <w:szCs w:val="24"/>
          <w:lang w:val="fr-CA"/>
        </w:rPr>
        <w:t xml:space="preserve">, </w:t>
      </w:r>
      <w:proofErr w:type="spellStart"/>
      <w:r w:rsidR="00A71642" w:rsidRPr="00EC045A">
        <w:rPr>
          <w:szCs w:val="24"/>
          <w:lang w:val="fr-CA"/>
        </w:rPr>
        <w:t>Quebec</w:t>
      </w:r>
      <w:proofErr w:type="spellEnd"/>
      <w:r w:rsidRPr="00EC045A">
        <w:rPr>
          <w:szCs w:val="24"/>
          <w:lang w:val="fr-CA"/>
        </w:rPr>
        <w:t>.</w:t>
      </w:r>
    </w:p>
    <w:p w:rsidR="00CA17E2" w:rsidRPr="00EC045A" w:rsidRDefault="00CA17E2" w:rsidP="00E20EDE">
      <w:pPr>
        <w:pStyle w:val="SCCLawFirm"/>
        <w:spacing w:after="480"/>
        <w:rPr>
          <w:szCs w:val="24"/>
        </w:rPr>
      </w:pPr>
      <w:r w:rsidRPr="00EC045A">
        <w:rPr>
          <w:szCs w:val="24"/>
          <w:lang w:val="fr-CA"/>
        </w:rPr>
        <w:tab/>
      </w:r>
      <w:r w:rsidRPr="00EC045A">
        <w:rPr>
          <w:szCs w:val="24"/>
        </w:rPr>
        <w:t>Solicitor for the respondent</w:t>
      </w:r>
      <w:r w:rsidR="00E20EDE" w:rsidRPr="00EC045A">
        <w:rPr>
          <w:szCs w:val="24"/>
        </w:rPr>
        <w:t>:  </w:t>
      </w:r>
      <w:r w:rsidRPr="00EC045A">
        <w:rPr>
          <w:szCs w:val="24"/>
        </w:rPr>
        <w:t xml:space="preserve">Patrick Jacques, </w:t>
      </w:r>
      <w:proofErr w:type="spellStart"/>
      <w:r w:rsidRPr="00EC045A">
        <w:rPr>
          <w:szCs w:val="24"/>
        </w:rPr>
        <w:t>Beaupré</w:t>
      </w:r>
      <w:proofErr w:type="spellEnd"/>
      <w:r w:rsidR="00A71642" w:rsidRPr="00EC045A">
        <w:rPr>
          <w:szCs w:val="24"/>
        </w:rPr>
        <w:t>, Quebec</w:t>
      </w:r>
      <w:r w:rsidRPr="00EC045A">
        <w:rPr>
          <w:szCs w:val="24"/>
        </w:rPr>
        <w:t>.</w:t>
      </w:r>
    </w:p>
    <w:p w:rsidR="00CA17E2" w:rsidRPr="00EC045A" w:rsidRDefault="00CA17E2" w:rsidP="00E20EDE">
      <w:pPr>
        <w:pStyle w:val="SCCLawFirm"/>
        <w:spacing w:after="480"/>
        <w:rPr>
          <w:szCs w:val="24"/>
        </w:rPr>
      </w:pPr>
      <w:r w:rsidRPr="00EC045A">
        <w:rPr>
          <w:szCs w:val="24"/>
        </w:rPr>
        <w:tab/>
        <w:t>Solicitor for the intervener the Director of Public Prosecutions of Canada</w:t>
      </w:r>
      <w:r w:rsidR="00E20EDE" w:rsidRPr="00EC045A">
        <w:rPr>
          <w:szCs w:val="24"/>
        </w:rPr>
        <w:t>:  </w:t>
      </w:r>
      <w:r w:rsidRPr="00EC045A">
        <w:rPr>
          <w:szCs w:val="24"/>
        </w:rPr>
        <w:t>Public Prosecution Service of Canada, Ottawa.</w:t>
      </w:r>
    </w:p>
    <w:p w:rsidR="00CA17E2" w:rsidRPr="00EC045A" w:rsidRDefault="00CA17E2" w:rsidP="00E20EDE">
      <w:pPr>
        <w:pStyle w:val="SCCLawFirm"/>
        <w:spacing w:after="480"/>
        <w:rPr>
          <w:szCs w:val="24"/>
        </w:rPr>
      </w:pPr>
      <w:r w:rsidRPr="00EC045A">
        <w:rPr>
          <w:szCs w:val="24"/>
        </w:rPr>
        <w:lastRenderedPageBreak/>
        <w:tab/>
        <w:t>Solicitor for the intervener the Attorney General of Ontario</w:t>
      </w:r>
      <w:r w:rsidR="00E20EDE" w:rsidRPr="00EC045A">
        <w:rPr>
          <w:szCs w:val="24"/>
        </w:rPr>
        <w:t>:  </w:t>
      </w:r>
      <w:r w:rsidRPr="00EC045A">
        <w:rPr>
          <w:szCs w:val="24"/>
        </w:rPr>
        <w:t>Attorney General of Ontario, Toronto.</w:t>
      </w:r>
    </w:p>
    <w:p w:rsidR="00CA17E2" w:rsidRPr="00EC045A" w:rsidRDefault="00CA17E2" w:rsidP="00E20EDE">
      <w:pPr>
        <w:pStyle w:val="SCCLawFirm"/>
        <w:spacing w:after="480"/>
        <w:rPr>
          <w:szCs w:val="24"/>
        </w:rPr>
      </w:pPr>
      <w:r w:rsidRPr="00EC045A">
        <w:rPr>
          <w:szCs w:val="24"/>
        </w:rPr>
        <w:tab/>
        <w:t>Solicitors for the intervener the Canadian Civil Liberties Association</w:t>
      </w:r>
      <w:r w:rsidR="00E20EDE" w:rsidRPr="00EC045A">
        <w:rPr>
          <w:szCs w:val="24"/>
        </w:rPr>
        <w:t>:  </w:t>
      </w:r>
      <w:r w:rsidRPr="00EC045A">
        <w:rPr>
          <w:szCs w:val="24"/>
        </w:rPr>
        <w:t xml:space="preserve">Blake, </w:t>
      </w:r>
      <w:proofErr w:type="spellStart"/>
      <w:r w:rsidRPr="00EC045A">
        <w:rPr>
          <w:szCs w:val="24"/>
        </w:rPr>
        <w:t>Cassels</w:t>
      </w:r>
      <w:proofErr w:type="spellEnd"/>
      <w:r w:rsidRPr="00EC045A">
        <w:rPr>
          <w:szCs w:val="24"/>
        </w:rPr>
        <w:t xml:space="preserve"> &amp; </w:t>
      </w:r>
      <w:proofErr w:type="spellStart"/>
      <w:r w:rsidRPr="00EC045A">
        <w:rPr>
          <w:szCs w:val="24"/>
        </w:rPr>
        <w:t>Graydon</w:t>
      </w:r>
      <w:proofErr w:type="spellEnd"/>
      <w:r w:rsidRPr="00EC045A">
        <w:rPr>
          <w:szCs w:val="24"/>
        </w:rPr>
        <w:t>, Toronto.</w:t>
      </w:r>
    </w:p>
    <w:p w:rsidR="009B57B3" w:rsidRDefault="00CA17E2" w:rsidP="00B71529">
      <w:pPr>
        <w:pStyle w:val="SCCLawFirm"/>
        <w:rPr>
          <w:b/>
          <w:i w:val="0"/>
          <w:szCs w:val="24"/>
        </w:rPr>
      </w:pPr>
      <w:r w:rsidRPr="00EC045A">
        <w:rPr>
          <w:szCs w:val="24"/>
        </w:rPr>
        <w:tab/>
        <w:t>Solicitors for the intervener the British Columbia Civil Liberties Association</w:t>
      </w:r>
      <w:r w:rsidR="00E20EDE" w:rsidRPr="00EC045A">
        <w:rPr>
          <w:szCs w:val="24"/>
        </w:rPr>
        <w:t>:  </w:t>
      </w:r>
      <w:r w:rsidRPr="00EC045A">
        <w:rPr>
          <w:szCs w:val="24"/>
        </w:rPr>
        <w:t xml:space="preserve">Irving Mitchell </w:t>
      </w:r>
      <w:proofErr w:type="spellStart"/>
      <w:r w:rsidRPr="00EC045A">
        <w:rPr>
          <w:szCs w:val="24"/>
        </w:rPr>
        <w:t>Kalichman</w:t>
      </w:r>
      <w:proofErr w:type="spellEnd"/>
      <w:r w:rsidRPr="00EC045A">
        <w:rPr>
          <w:szCs w:val="24"/>
        </w:rPr>
        <w:t>, Montr</w:t>
      </w:r>
      <w:r w:rsidR="00A71642" w:rsidRPr="00EC045A">
        <w:rPr>
          <w:szCs w:val="24"/>
        </w:rPr>
        <w:t>é</w:t>
      </w:r>
      <w:r w:rsidRPr="00EC045A">
        <w:rPr>
          <w:szCs w:val="24"/>
        </w:rPr>
        <w:t>al.</w:t>
      </w:r>
    </w:p>
    <w:p w:rsidR="00B71529" w:rsidRPr="00B71529" w:rsidRDefault="00B71529" w:rsidP="00B71529">
      <w:pPr>
        <w:pStyle w:val="SCCNormalDoubleSpacing"/>
      </w:pPr>
    </w:p>
    <w:sectPr w:rsidR="00B71529" w:rsidRPr="00B71529" w:rsidSect="00145C90">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7C7" w:rsidRDefault="00EF57C7">
      <w:r>
        <w:separator/>
      </w:r>
    </w:p>
  </w:endnote>
  <w:endnote w:type="continuationSeparator" w:id="0">
    <w:p w:rsidR="00EF57C7" w:rsidRDefault="00EF5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7C7" w:rsidRDefault="00EF57C7">
      <w:r>
        <w:separator/>
      </w:r>
    </w:p>
  </w:footnote>
  <w:footnote w:type="continuationSeparator" w:id="0">
    <w:p w:rsidR="00EF57C7" w:rsidRDefault="00EF5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626"/>
      <w:docPartObj>
        <w:docPartGallery w:val="Page Numbers (Top of Page)"/>
        <w:docPartUnique/>
      </w:docPartObj>
    </w:sdtPr>
    <w:sdtContent>
      <w:p w:rsidR="00145C90" w:rsidRDefault="00145C90">
        <w:pPr>
          <w:pStyle w:val="Header"/>
          <w:jc w:val="center"/>
        </w:pPr>
        <w:r>
          <w:t xml:space="preserve">- </w:t>
        </w:r>
        <w:fldSimple w:instr=" PAGE   \* MERGEFORMAT ">
          <w:r w:rsidR="00F2489A">
            <w:rPr>
              <w:noProof/>
            </w:rPr>
            <w:t>7</w:t>
          </w:r>
        </w:fldSimple>
        <w:r>
          <w:t xml:space="preserve"> -</w:t>
        </w:r>
      </w:p>
    </w:sdtContent>
  </w:sdt>
  <w:p w:rsidR="00EF57C7" w:rsidRPr="00450352" w:rsidRDefault="00EF57C7"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FFCFB4A"/>
    <w:lvl w:ilvl="0">
      <w:start w:val="1"/>
      <w:numFmt w:val="decimal"/>
      <w:pStyle w:val="ParaNoNdepar-AltN"/>
      <w:lvlText w:val="[%1]"/>
      <w:lvlJc w:val="left"/>
      <w:pPr>
        <w:tabs>
          <w:tab w:val="num" w:pos="1422"/>
        </w:tabs>
        <w:ind w:left="27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A3A"/>
    <w:rsid w:val="00000ED4"/>
    <w:rsid w:val="00025198"/>
    <w:rsid w:val="000308CC"/>
    <w:rsid w:val="000578A3"/>
    <w:rsid w:val="000648CC"/>
    <w:rsid w:val="0008364A"/>
    <w:rsid w:val="000C59B8"/>
    <w:rsid w:val="000C6AF0"/>
    <w:rsid w:val="000D0585"/>
    <w:rsid w:val="00104F33"/>
    <w:rsid w:val="00111DE2"/>
    <w:rsid w:val="00116B38"/>
    <w:rsid w:val="00135406"/>
    <w:rsid w:val="00135972"/>
    <w:rsid w:val="00137C0A"/>
    <w:rsid w:val="001426A9"/>
    <w:rsid w:val="00145C90"/>
    <w:rsid w:val="001541E1"/>
    <w:rsid w:val="00154D7C"/>
    <w:rsid w:val="001570B0"/>
    <w:rsid w:val="0015752C"/>
    <w:rsid w:val="00157737"/>
    <w:rsid w:val="00160548"/>
    <w:rsid w:val="00165277"/>
    <w:rsid w:val="00170592"/>
    <w:rsid w:val="00174B66"/>
    <w:rsid w:val="00186351"/>
    <w:rsid w:val="00195D83"/>
    <w:rsid w:val="001A00C1"/>
    <w:rsid w:val="001A6820"/>
    <w:rsid w:val="001B33E0"/>
    <w:rsid w:val="001B4573"/>
    <w:rsid w:val="001C779F"/>
    <w:rsid w:val="001D2AC1"/>
    <w:rsid w:val="001D4E88"/>
    <w:rsid w:val="00220FC2"/>
    <w:rsid w:val="002222F4"/>
    <w:rsid w:val="00224FC0"/>
    <w:rsid w:val="00225EA4"/>
    <w:rsid w:val="00226EAF"/>
    <w:rsid w:val="00231F3A"/>
    <w:rsid w:val="00234199"/>
    <w:rsid w:val="00240377"/>
    <w:rsid w:val="002406EE"/>
    <w:rsid w:val="00243EC8"/>
    <w:rsid w:val="00270D93"/>
    <w:rsid w:val="002745CC"/>
    <w:rsid w:val="002B7924"/>
    <w:rsid w:val="002D28C3"/>
    <w:rsid w:val="002D39A4"/>
    <w:rsid w:val="002D6838"/>
    <w:rsid w:val="002E6705"/>
    <w:rsid w:val="00301D08"/>
    <w:rsid w:val="0030329A"/>
    <w:rsid w:val="0031086F"/>
    <w:rsid w:val="0031414C"/>
    <w:rsid w:val="00314E01"/>
    <w:rsid w:val="0032089D"/>
    <w:rsid w:val="0032380C"/>
    <w:rsid w:val="003310DE"/>
    <w:rsid w:val="003323B0"/>
    <w:rsid w:val="0035169A"/>
    <w:rsid w:val="0035259D"/>
    <w:rsid w:val="00355354"/>
    <w:rsid w:val="00364B18"/>
    <w:rsid w:val="003A125D"/>
    <w:rsid w:val="003A4C70"/>
    <w:rsid w:val="003A6667"/>
    <w:rsid w:val="003B215F"/>
    <w:rsid w:val="003C799C"/>
    <w:rsid w:val="003D0399"/>
    <w:rsid w:val="003E1C71"/>
    <w:rsid w:val="003F327B"/>
    <w:rsid w:val="00406166"/>
    <w:rsid w:val="0040704B"/>
    <w:rsid w:val="00410A55"/>
    <w:rsid w:val="00410C61"/>
    <w:rsid w:val="00411300"/>
    <w:rsid w:val="00415417"/>
    <w:rsid w:val="00426659"/>
    <w:rsid w:val="00450352"/>
    <w:rsid w:val="00454BDB"/>
    <w:rsid w:val="00461555"/>
    <w:rsid w:val="00464800"/>
    <w:rsid w:val="00465132"/>
    <w:rsid w:val="00465312"/>
    <w:rsid w:val="004719D4"/>
    <w:rsid w:val="00480C90"/>
    <w:rsid w:val="0048396F"/>
    <w:rsid w:val="00493C18"/>
    <w:rsid w:val="004A4579"/>
    <w:rsid w:val="004A600C"/>
    <w:rsid w:val="004A6118"/>
    <w:rsid w:val="004C478D"/>
    <w:rsid w:val="004E2C26"/>
    <w:rsid w:val="004F36FF"/>
    <w:rsid w:val="005109FC"/>
    <w:rsid w:val="005125A8"/>
    <w:rsid w:val="005209CC"/>
    <w:rsid w:val="00521AE8"/>
    <w:rsid w:val="00527180"/>
    <w:rsid w:val="0054201E"/>
    <w:rsid w:val="00555291"/>
    <w:rsid w:val="00566AD1"/>
    <w:rsid w:val="00583EDE"/>
    <w:rsid w:val="0059258B"/>
    <w:rsid w:val="005944E8"/>
    <w:rsid w:val="005A6079"/>
    <w:rsid w:val="005A6402"/>
    <w:rsid w:val="005D72EC"/>
    <w:rsid w:val="005E4698"/>
    <w:rsid w:val="00610539"/>
    <w:rsid w:val="00613969"/>
    <w:rsid w:val="00617290"/>
    <w:rsid w:val="00617958"/>
    <w:rsid w:val="00625C35"/>
    <w:rsid w:val="00634346"/>
    <w:rsid w:val="00640BD5"/>
    <w:rsid w:val="00656313"/>
    <w:rsid w:val="006565F4"/>
    <w:rsid w:val="00684EEA"/>
    <w:rsid w:val="0069689B"/>
    <w:rsid w:val="006A1551"/>
    <w:rsid w:val="006B5FF5"/>
    <w:rsid w:val="006F30AF"/>
    <w:rsid w:val="006F740E"/>
    <w:rsid w:val="00701759"/>
    <w:rsid w:val="00705C15"/>
    <w:rsid w:val="0071600E"/>
    <w:rsid w:val="00720305"/>
    <w:rsid w:val="007208D1"/>
    <w:rsid w:val="0072585A"/>
    <w:rsid w:val="00727C58"/>
    <w:rsid w:val="0074370A"/>
    <w:rsid w:val="00747288"/>
    <w:rsid w:val="00747DD3"/>
    <w:rsid w:val="007549C8"/>
    <w:rsid w:val="00754A0B"/>
    <w:rsid w:val="00766D14"/>
    <w:rsid w:val="00767A0F"/>
    <w:rsid w:val="00791513"/>
    <w:rsid w:val="007A05F6"/>
    <w:rsid w:val="007A0FCB"/>
    <w:rsid w:val="007B6F4A"/>
    <w:rsid w:val="007C6710"/>
    <w:rsid w:val="007D0DEC"/>
    <w:rsid w:val="007D70C4"/>
    <w:rsid w:val="007E1C47"/>
    <w:rsid w:val="007E337A"/>
    <w:rsid w:val="007E5C70"/>
    <w:rsid w:val="007F2FF5"/>
    <w:rsid w:val="007F3F08"/>
    <w:rsid w:val="007F430F"/>
    <w:rsid w:val="00804CC6"/>
    <w:rsid w:val="00817190"/>
    <w:rsid w:val="00820EE5"/>
    <w:rsid w:val="008260E2"/>
    <w:rsid w:val="008322BD"/>
    <w:rsid w:val="00833E0A"/>
    <w:rsid w:val="00834F73"/>
    <w:rsid w:val="00864CF8"/>
    <w:rsid w:val="00872819"/>
    <w:rsid w:val="00874914"/>
    <w:rsid w:val="00887D98"/>
    <w:rsid w:val="00891422"/>
    <w:rsid w:val="00892E1A"/>
    <w:rsid w:val="008A3F29"/>
    <w:rsid w:val="008A5736"/>
    <w:rsid w:val="008B660A"/>
    <w:rsid w:val="008C01DA"/>
    <w:rsid w:val="008D0B6D"/>
    <w:rsid w:val="008F78E9"/>
    <w:rsid w:val="00911989"/>
    <w:rsid w:val="009179F9"/>
    <w:rsid w:val="00933E5E"/>
    <w:rsid w:val="00935218"/>
    <w:rsid w:val="009403F3"/>
    <w:rsid w:val="009555B7"/>
    <w:rsid w:val="009567AA"/>
    <w:rsid w:val="00967374"/>
    <w:rsid w:val="009A343A"/>
    <w:rsid w:val="009B2F23"/>
    <w:rsid w:val="009B4107"/>
    <w:rsid w:val="009B57B3"/>
    <w:rsid w:val="009C5B92"/>
    <w:rsid w:val="009D2920"/>
    <w:rsid w:val="009D5AEB"/>
    <w:rsid w:val="009F0E33"/>
    <w:rsid w:val="00A030CE"/>
    <w:rsid w:val="00A06468"/>
    <w:rsid w:val="00A149DF"/>
    <w:rsid w:val="00A1755C"/>
    <w:rsid w:val="00A21B90"/>
    <w:rsid w:val="00A21E57"/>
    <w:rsid w:val="00A41805"/>
    <w:rsid w:val="00A42DCD"/>
    <w:rsid w:val="00A47252"/>
    <w:rsid w:val="00A52AFB"/>
    <w:rsid w:val="00A548CB"/>
    <w:rsid w:val="00A5521C"/>
    <w:rsid w:val="00A643E7"/>
    <w:rsid w:val="00A71642"/>
    <w:rsid w:val="00A73C38"/>
    <w:rsid w:val="00AB670D"/>
    <w:rsid w:val="00AF03C5"/>
    <w:rsid w:val="00B000D8"/>
    <w:rsid w:val="00B00F75"/>
    <w:rsid w:val="00B145B6"/>
    <w:rsid w:val="00B279EB"/>
    <w:rsid w:val="00B50C81"/>
    <w:rsid w:val="00B526DA"/>
    <w:rsid w:val="00B557F8"/>
    <w:rsid w:val="00B71529"/>
    <w:rsid w:val="00B77379"/>
    <w:rsid w:val="00B815FC"/>
    <w:rsid w:val="00B8304D"/>
    <w:rsid w:val="00B93FBC"/>
    <w:rsid w:val="00B95BFD"/>
    <w:rsid w:val="00BA7DA0"/>
    <w:rsid w:val="00BB2EE4"/>
    <w:rsid w:val="00BC2108"/>
    <w:rsid w:val="00BD0E9E"/>
    <w:rsid w:val="00BD1BEC"/>
    <w:rsid w:val="00BD32FF"/>
    <w:rsid w:val="00C02092"/>
    <w:rsid w:val="00C161AC"/>
    <w:rsid w:val="00C24D91"/>
    <w:rsid w:val="00C53F14"/>
    <w:rsid w:val="00C600CF"/>
    <w:rsid w:val="00C6084F"/>
    <w:rsid w:val="00C62A66"/>
    <w:rsid w:val="00C71458"/>
    <w:rsid w:val="00C77613"/>
    <w:rsid w:val="00C828E7"/>
    <w:rsid w:val="00C832B8"/>
    <w:rsid w:val="00C86719"/>
    <w:rsid w:val="00C921DD"/>
    <w:rsid w:val="00C9449B"/>
    <w:rsid w:val="00CA17E2"/>
    <w:rsid w:val="00CA6391"/>
    <w:rsid w:val="00CC34BD"/>
    <w:rsid w:val="00CE161A"/>
    <w:rsid w:val="00CE3171"/>
    <w:rsid w:val="00CF1601"/>
    <w:rsid w:val="00D0172F"/>
    <w:rsid w:val="00D068A7"/>
    <w:rsid w:val="00D17476"/>
    <w:rsid w:val="00D31A20"/>
    <w:rsid w:val="00D32086"/>
    <w:rsid w:val="00D37A3F"/>
    <w:rsid w:val="00D4431D"/>
    <w:rsid w:val="00D4667A"/>
    <w:rsid w:val="00D51713"/>
    <w:rsid w:val="00D63A1C"/>
    <w:rsid w:val="00D7516F"/>
    <w:rsid w:val="00D8579F"/>
    <w:rsid w:val="00D93BC9"/>
    <w:rsid w:val="00D95F8E"/>
    <w:rsid w:val="00DA0590"/>
    <w:rsid w:val="00DB7BEA"/>
    <w:rsid w:val="00DC1739"/>
    <w:rsid w:val="00DC1788"/>
    <w:rsid w:val="00DD3B3D"/>
    <w:rsid w:val="00DE319C"/>
    <w:rsid w:val="00DF0CA8"/>
    <w:rsid w:val="00DF2B48"/>
    <w:rsid w:val="00DF49A7"/>
    <w:rsid w:val="00E07EE2"/>
    <w:rsid w:val="00E07FD1"/>
    <w:rsid w:val="00E17584"/>
    <w:rsid w:val="00E20EDE"/>
    <w:rsid w:val="00E24573"/>
    <w:rsid w:val="00E25E1E"/>
    <w:rsid w:val="00E27EE7"/>
    <w:rsid w:val="00E32104"/>
    <w:rsid w:val="00E35404"/>
    <w:rsid w:val="00E40C26"/>
    <w:rsid w:val="00E45109"/>
    <w:rsid w:val="00E47B7A"/>
    <w:rsid w:val="00E564F4"/>
    <w:rsid w:val="00E56A44"/>
    <w:rsid w:val="00E60269"/>
    <w:rsid w:val="00E77932"/>
    <w:rsid w:val="00E96A92"/>
    <w:rsid w:val="00E97830"/>
    <w:rsid w:val="00EB4EC6"/>
    <w:rsid w:val="00EC045A"/>
    <w:rsid w:val="00EE643C"/>
    <w:rsid w:val="00EF0683"/>
    <w:rsid w:val="00EF57C7"/>
    <w:rsid w:val="00EF69D2"/>
    <w:rsid w:val="00EF766E"/>
    <w:rsid w:val="00F0070C"/>
    <w:rsid w:val="00F00EB7"/>
    <w:rsid w:val="00F13D3F"/>
    <w:rsid w:val="00F2489A"/>
    <w:rsid w:val="00F27473"/>
    <w:rsid w:val="00F36AB6"/>
    <w:rsid w:val="00F37A09"/>
    <w:rsid w:val="00F409CE"/>
    <w:rsid w:val="00F4379D"/>
    <w:rsid w:val="00F50D2D"/>
    <w:rsid w:val="00F56C8B"/>
    <w:rsid w:val="00F66810"/>
    <w:rsid w:val="00F846D9"/>
    <w:rsid w:val="00F84DF4"/>
    <w:rsid w:val="00F85C97"/>
    <w:rsid w:val="00FB37D2"/>
    <w:rsid w:val="00FB3E4B"/>
    <w:rsid w:val="00FC0FF2"/>
    <w:rsid w:val="00FC4488"/>
    <w:rsid w:val="00FC4EFB"/>
    <w:rsid w:val="00FD068D"/>
    <w:rsid w:val="00FD4F28"/>
    <w:rsid w:val="00FE22C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FC4488"/>
    <w:pPr>
      <w:numPr>
        <w:numId w:val="1"/>
      </w:numPr>
      <w:tabs>
        <w:tab w:val="clear" w:pos="1422"/>
        <w:tab w:val="left" w:pos="1166"/>
      </w:tabs>
      <w:spacing w:before="480" w:after="480" w:line="480" w:lineRule="auto"/>
      <w:ind w:left="0"/>
      <w:jc w:val="both"/>
    </w:pPr>
    <w:rPr>
      <w:rFonts w:eastAsiaTheme="minorEastAsia" w:cstheme="minorBidi"/>
      <w:sz w:val="24"/>
      <w:szCs w:val="22"/>
      <w:lang w:eastAsia="en-US"/>
    </w:rPr>
  </w:style>
  <w:style w:type="paragraph" w:customStyle="1" w:styleId="paragraphe1">
    <w:name w:val="paragraphe1"/>
    <w:basedOn w:val="Normal"/>
    <w:rsid w:val="000308CC"/>
    <w:pPr>
      <w:spacing w:before="120" w:after="120"/>
      <w:jc w:val="both"/>
    </w:pPr>
    <w:rPr>
      <w:rFonts w:ascii="Arial" w:hAnsi="Arial" w:cs="Arial"/>
      <w:szCs w:val="24"/>
      <w:lang w:val="en-US" w:eastAsia="en-US"/>
    </w:rPr>
  </w:style>
  <w:style w:type="paragraph" w:customStyle="1" w:styleId="SCCCoram">
    <w:name w:val="SCC.Coram"/>
    <w:basedOn w:val="Normal"/>
    <w:next w:val="Normal"/>
    <w:link w:val="SCCCoramChar"/>
    <w:rsid w:val="00B7152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71529"/>
    <w:rPr>
      <w:rFonts w:eastAsiaTheme="minorHAnsi" w:cstheme="minorBidi"/>
      <w:sz w:val="24"/>
      <w:szCs w:val="22"/>
      <w:lang w:eastAsia="en-US"/>
    </w:rPr>
  </w:style>
  <w:style w:type="table" w:styleId="TableGrid">
    <w:name w:val="Table Grid"/>
    <w:basedOn w:val="TableNormal"/>
    <w:uiPriority w:val="59"/>
    <w:rsid w:val="00B715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71529"/>
    <w:pPr>
      <w:spacing w:after="720"/>
      <w:ind w:left="1166"/>
      <w:contextualSpacing/>
      <w:jc w:val="both"/>
    </w:pPr>
    <w:rPr>
      <w:sz w:val="24"/>
    </w:rPr>
  </w:style>
  <w:style w:type="paragraph" w:customStyle="1" w:styleId="JudgeJuge">
    <w:name w:val="Judge / Juge"/>
    <w:uiPriority w:val="3"/>
    <w:rsid w:val="00B71529"/>
    <w:pPr>
      <w:tabs>
        <w:tab w:val="left" w:pos="1166"/>
      </w:tabs>
      <w:spacing w:after="480" w:line="480" w:lineRule="auto"/>
    </w:pPr>
    <w:rPr>
      <w:smallCaps/>
      <w:sz w:val="24"/>
    </w:rPr>
  </w:style>
</w:styles>
</file>

<file path=word/webSettings.xml><?xml version="1.0" encoding="utf-8"?>
<w:webSettings xmlns:r="http://schemas.openxmlformats.org/officeDocument/2006/relationships" xmlns:w="http://schemas.openxmlformats.org/wordprocessingml/2006/main">
  <w:divs>
    <w:div w:id="617227016">
      <w:bodyDiv w:val="1"/>
      <w:marLeft w:val="0"/>
      <w:marRight w:val="0"/>
      <w:marTop w:val="0"/>
      <w:marBottom w:val="0"/>
      <w:divBdr>
        <w:top w:val="none" w:sz="0" w:space="0" w:color="auto"/>
        <w:left w:val="none" w:sz="0" w:space="0" w:color="auto"/>
        <w:bottom w:val="none" w:sz="0" w:space="0" w:color="auto"/>
        <w:right w:val="none" w:sz="0" w:space="0" w:color="auto"/>
      </w:divBdr>
      <w:divsChild>
        <w:div w:id="576984190">
          <w:marLeft w:val="0"/>
          <w:marRight w:val="0"/>
          <w:marTop w:val="0"/>
          <w:marBottom w:val="0"/>
          <w:divBdr>
            <w:top w:val="none" w:sz="0" w:space="0" w:color="auto"/>
            <w:left w:val="none" w:sz="0" w:space="0" w:color="auto"/>
            <w:bottom w:val="none" w:sz="0" w:space="0" w:color="auto"/>
            <w:right w:val="none" w:sz="0" w:space="0" w:color="auto"/>
          </w:divBdr>
          <w:divsChild>
            <w:div w:id="646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900</Words>
  <Characters>4866</Characters>
  <Application>Microsoft Office Word</Application>
  <DocSecurity>0</DocSecurity>
  <Lines>40</Lines>
  <Paragraphs>11</Paragraphs>
  <ScaleCrop>false</ScaleCrop>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2014-01-16T19:26:00Z</dcterms:created>
  <dcterms:modified xsi:type="dcterms:W3CDTF">2014-01-16T19:26:00Z</dcterms:modified>
</cp:coreProperties>
</file>