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417" w:rsidRPr="00CE57B8" w:rsidRDefault="001A6417" w:rsidP="001A6417">
      <w:pPr>
        <w:tabs>
          <w:tab w:val="center" w:pos="4680"/>
          <w:tab w:val="right" w:pos="9360"/>
        </w:tabs>
        <w:jc w:val="center"/>
        <w:rPr>
          <w:rFonts w:eastAsiaTheme="minorHAnsi" w:cstheme="minorBidi"/>
          <w:szCs w:val="24"/>
          <w:lang w:eastAsia="en-US"/>
        </w:rPr>
      </w:pPr>
      <w:r w:rsidRPr="00CE57B8">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54234587" r:id="rId8"/>
        </w:object>
      </w:r>
    </w:p>
    <w:p w:rsidR="001A6417" w:rsidRPr="00CE57B8" w:rsidRDefault="001A6417" w:rsidP="001A6417">
      <w:pPr>
        <w:tabs>
          <w:tab w:val="center" w:pos="4680"/>
          <w:tab w:val="right" w:pos="9360"/>
        </w:tabs>
        <w:rPr>
          <w:rFonts w:eastAsiaTheme="minorHAnsi" w:cstheme="minorBidi"/>
          <w:szCs w:val="24"/>
          <w:lang w:eastAsia="en-US"/>
        </w:rPr>
      </w:pPr>
    </w:p>
    <w:p w:rsidR="001A6417" w:rsidRPr="00CE57B8" w:rsidRDefault="001A6417" w:rsidP="001A6417">
      <w:pPr>
        <w:jc w:val="center"/>
        <w:rPr>
          <w:rFonts w:eastAsiaTheme="minorHAnsi" w:cstheme="minorBidi"/>
          <w:b/>
          <w:szCs w:val="24"/>
          <w:lang w:eastAsia="en-US"/>
        </w:rPr>
      </w:pPr>
      <w:r w:rsidRPr="00CE57B8">
        <w:rPr>
          <w:rFonts w:eastAsiaTheme="minorHAnsi" w:cstheme="minorBidi"/>
          <w:b/>
          <w:szCs w:val="24"/>
          <w:lang w:eastAsia="en-US"/>
        </w:rPr>
        <w:t>SUPREME COURT OF CANADA</w:t>
      </w:r>
    </w:p>
    <w:p w:rsidR="001A6417" w:rsidRPr="00CE57B8" w:rsidRDefault="001A6417" w:rsidP="001A6417">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A6417" w:rsidRPr="00CE57B8" w:rsidTr="003F4250">
        <w:trPr>
          <w:cantSplit/>
        </w:trPr>
        <w:tc>
          <w:tcPr>
            <w:tcW w:w="6768" w:type="dxa"/>
          </w:tcPr>
          <w:p w:rsidR="001A6417" w:rsidRPr="00592CFE" w:rsidRDefault="001A6417" w:rsidP="001A6417">
            <w:pPr>
              <w:spacing w:after="720"/>
              <w:jc w:val="both"/>
            </w:pPr>
            <w:r w:rsidRPr="00CE57B8">
              <w:rPr>
                <w:b/>
                <w:smallCaps/>
              </w:rPr>
              <w:t>Citation:</w:t>
            </w:r>
            <w:r w:rsidRPr="00CE57B8">
              <w:t xml:space="preserve">  Antrim Truck Centre Ltd. </w:t>
            </w:r>
            <w:r w:rsidRPr="00CE57B8">
              <w:rPr>
                <w:i/>
              </w:rPr>
              <w:t>v.</w:t>
            </w:r>
            <w:r w:rsidRPr="00CE57B8">
              <w:t xml:space="preserve"> Ontario (Transportation), </w:t>
            </w:r>
            <w:r>
              <w:t>2013 SCC 13, [2013] 1 S.C.R. 594</w:t>
            </w:r>
          </w:p>
          <w:p w:rsidR="001A6417" w:rsidRPr="00CE57B8" w:rsidRDefault="001A6417" w:rsidP="003F4250"/>
        </w:tc>
        <w:tc>
          <w:tcPr>
            <w:tcW w:w="2808" w:type="dxa"/>
          </w:tcPr>
          <w:p w:rsidR="001A6417" w:rsidRPr="00CE57B8" w:rsidRDefault="001A6417" w:rsidP="003F4250">
            <w:r w:rsidRPr="00CE57B8">
              <w:rPr>
                <w:b/>
                <w:smallCaps/>
              </w:rPr>
              <w:t>Date:</w:t>
            </w:r>
            <w:r w:rsidRPr="00CE57B8">
              <w:t xml:space="preserve"> 20130307</w:t>
            </w:r>
          </w:p>
          <w:p w:rsidR="001A6417" w:rsidRPr="00CE57B8" w:rsidRDefault="001A6417" w:rsidP="003F4250">
            <w:r w:rsidRPr="00CE57B8">
              <w:rPr>
                <w:b/>
                <w:smallCaps/>
              </w:rPr>
              <w:t>Docket:</w:t>
            </w:r>
            <w:r w:rsidRPr="00CE57B8">
              <w:t xml:space="preserve"> 34413</w:t>
            </w:r>
          </w:p>
        </w:tc>
      </w:tr>
    </w:tbl>
    <w:p w:rsidR="001A6417" w:rsidRPr="00CE57B8" w:rsidRDefault="001A6417" w:rsidP="001A6417">
      <w:pPr>
        <w:rPr>
          <w:rFonts w:eastAsiaTheme="minorHAnsi" w:cstheme="minorBidi"/>
          <w:szCs w:val="24"/>
          <w:lang w:eastAsia="en-US"/>
        </w:rPr>
      </w:pPr>
    </w:p>
    <w:p w:rsidR="001A6417" w:rsidRPr="00CE57B8" w:rsidRDefault="001A6417" w:rsidP="001A6417">
      <w:pPr>
        <w:rPr>
          <w:rFonts w:eastAsiaTheme="minorHAnsi" w:cstheme="minorBidi"/>
          <w:b/>
          <w:smallCaps/>
          <w:szCs w:val="24"/>
          <w:lang w:eastAsia="en-US"/>
        </w:rPr>
      </w:pPr>
      <w:r w:rsidRPr="00CE57B8">
        <w:rPr>
          <w:rFonts w:eastAsiaTheme="minorHAnsi" w:cstheme="minorBidi"/>
          <w:b/>
          <w:smallCaps/>
          <w:szCs w:val="24"/>
          <w:lang w:eastAsia="en-US"/>
        </w:rPr>
        <w:t>Between:</w:t>
      </w:r>
    </w:p>
    <w:p w:rsidR="001A6417" w:rsidRPr="00CE57B8" w:rsidRDefault="001A6417" w:rsidP="001A6417">
      <w:pPr>
        <w:jc w:val="center"/>
        <w:rPr>
          <w:rFonts w:eastAsiaTheme="minorHAnsi" w:cstheme="minorBidi"/>
          <w:b/>
          <w:szCs w:val="24"/>
          <w:lang w:eastAsia="en-US"/>
        </w:rPr>
      </w:pPr>
      <w:r w:rsidRPr="00CE57B8">
        <w:rPr>
          <w:rFonts w:eastAsiaTheme="minorHAnsi" w:cstheme="minorBidi"/>
          <w:b/>
          <w:szCs w:val="24"/>
          <w:lang w:eastAsia="en-US"/>
        </w:rPr>
        <w:t>Antrim Truck Centre Ltd.</w:t>
      </w:r>
    </w:p>
    <w:p w:rsidR="001A6417" w:rsidRPr="00CE57B8" w:rsidRDefault="001A6417" w:rsidP="001A6417">
      <w:pPr>
        <w:jc w:val="center"/>
        <w:rPr>
          <w:rFonts w:eastAsiaTheme="minorHAnsi" w:cstheme="minorBidi"/>
          <w:szCs w:val="24"/>
          <w:lang w:eastAsia="en-US"/>
        </w:rPr>
      </w:pPr>
      <w:r w:rsidRPr="00CE57B8">
        <w:rPr>
          <w:rFonts w:eastAsiaTheme="minorHAnsi" w:cstheme="minorBidi"/>
          <w:szCs w:val="24"/>
          <w:lang w:eastAsia="en-US"/>
        </w:rPr>
        <w:t>Appellant</w:t>
      </w:r>
    </w:p>
    <w:p w:rsidR="001A6417" w:rsidRPr="00CE57B8" w:rsidRDefault="001A6417" w:rsidP="001A6417">
      <w:pPr>
        <w:jc w:val="center"/>
        <w:rPr>
          <w:rFonts w:eastAsiaTheme="minorHAnsi" w:cstheme="minorBidi"/>
          <w:szCs w:val="24"/>
          <w:lang w:eastAsia="en-US"/>
        </w:rPr>
      </w:pPr>
      <w:proofErr w:type="gramStart"/>
      <w:r w:rsidRPr="00CE57B8">
        <w:rPr>
          <w:rFonts w:eastAsiaTheme="minorHAnsi" w:cstheme="minorBidi"/>
          <w:szCs w:val="24"/>
          <w:lang w:eastAsia="en-US"/>
        </w:rPr>
        <w:t>and</w:t>
      </w:r>
      <w:proofErr w:type="gramEnd"/>
    </w:p>
    <w:p w:rsidR="001A6417" w:rsidRPr="00CE57B8" w:rsidRDefault="001A6417" w:rsidP="001A6417">
      <w:pPr>
        <w:jc w:val="center"/>
        <w:rPr>
          <w:rFonts w:eastAsiaTheme="minorHAnsi" w:cstheme="minorBidi"/>
          <w:b/>
          <w:szCs w:val="24"/>
          <w:lang w:eastAsia="en-US"/>
        </w:rPr>
      </w:pPr>
      <w:r w:rsidRPr="00CE57B8">
        <w:rPr>
          <w:rFonts w:eastAsiaTheme="minorHAnsi" w:cstheme="minorBidi"/>
          <w:b/>
          <w:szCs w:val="24"/>
          <w:lang w:eastAsia="en-US"/>
        </w:rPr>
        <w:t xml:space="preserve">Her Majesty </w:t>
      </w:r>
      <w:proofErr w:type="gramStart"/>
      <w:r w:rsidRPr="00CE57B8">
        <w:rPr>
          <w:rFonts w:eastAsiaTheme="minorHAnsi" w:cstheme="minorBidi"/>
          <w:b/>
          <w:szCs w:val="24"/>
          <w:lang w:eastAsia="en-US"/>
        </w:rPr>
        <w:t>The</w:t>
      </w:r>
      <w:proofErr w:type="gramEnd"/>
      <w:r w:rsidRPr="00CE57B8">
        <w:rPr>
          <w:rFonts w:eastAsiaTheme="minorHAnsi" w:cstheme="minorBidi"/>
          <w:b/>
          <w:szCs w:val="24"/>
          <w:lang w:eastAsia="en-US"/>
        </w:rPr>
        <w:t xml:space="preserve"> Queen in Right of the Province of Ontario,</w:t>
      </w:r>
    </w:p>
    <w:p w:rsidR="001A6417" w:rsidRPr="00CE57B8" w:rsidRDefault="001A6417" w:rsidP="001A6417">
      <w:pPr>
        <w:jc w:val="center"/>
        <w:rPr>
          <w:rFonts w:eastAsiaTheme="minorHAnsi" w:cstheme="minorBidi"/>
          <w:b/>
          <w:szCs w:val="24"/>
          <w:lang w:eastAsia="en-US"/>
        </w:rPr>
      </w:pPr>
      <w:proofErr w:type="gramStart"/>
      <w:r w:rsidRPr="00CE57B8">
        <w:rPr>
          <w:rFonts w:eastAsiaTheme="minorHAnsi" w:cstheme="minorBidi"/>
          <w:b/>
          <w:szCs w:val="24"/>
          <w:lang w:eastAsia="en-US"/>
        </w:rPr>
        <w:t>as</w:t>
      </w:r>
      <w:proofErr w:type="gramEnd"/>
      <w:r w:rsidRPr="00CE57B8">
        <w:rPr>
          <w:rFonts w:eastAsiaTheme="minorHAnsi" w:cstheme="minorBidi"/>
          <w:b/>
          <w:szCs w:val="24"/>
          <w:lang w:eastAsia="en-US"/>
        </w:rPr>
        <w:t xml:space="preserve"> represented by the Minister of Transportation</w:t>
      </w:r>
    </w:p>
    <w:p w:rsidR="001A6417" w:rsidRPr="00CE57B8" w:rsidRDefault="001A6417" w:rsidP="001A6417">
      <w:pPr>
        <w:jc w:val="center"/>
        <w:rPr>
          <w:rFonts w:eastAsiaTheme="minorHAnsi" w:cstheme="minorBidi"/>
          <w:szCs w:val="24"/>
          <w:lang w:eastAsia="en-US"/>
        </w:rPr>
      </w:pPr>
      <w:r w:rsidRPr="00CE57B8">
        <w:rPr>
          <w:rFonts w:eastAsiaTheme="minorHAnsi" w:cstheme="minorBidi"/>
          <w:szCs w:val="24"/>
          <w:lang w:eastAsia="en-US"/>
        </w:rPr>
        <w:t>Respondent</w:t>
      </w:r>
    </w:p>
    <w:p w:rsidR="001A6417" w:rsidRPr="00CE57B8" w:rsidRDefault="001A6417" w:rsidP="001A6417">
      <w:pPr>
        <w:jc w:val="center"/>
        <w:rPr>
          <w:rFonts w:eastAsiaTheme="minorHAnsi" w:cstheme="minorBidi"/>
          <w:szCs w:val="24"/>
          <w:lang w:eastAsia="en-US"/>
        </w:rPr>
      </w:pPr>
      <w:r w:rsidRPr="00CE57B8">
        <w:rPr>
          <w:rFonts w:eastAsiaTheme="minorHAnsi" w:cstheme="minorBidi"/>
          <w:szCs w:val="24"/>
          <w:lang w:eastAsia="en-US"/>
        </w:rPr>
        <w:t xml:space="preserve">- </w:t>
      </w:r>
      <w:proofErr w:type="gramStart"/>
      <w:r w:rsidRPr="00CE57B8">
        <w:rPr>
          <w:rFonts w:eastAsiaTheme="minorHAnsi" w:cstheme="minorBidi"/>
          <w:szCs w:val="24"/>
          <w:lang w:eastAsia="en-US"/>
        </w:rPr>
        <w:t>and</w:t>
      </w:r>
      <w:proofErr w:type="gramEnd"/>
      <w:r w:rsidRPr="00CE57B8">
        <w:rPr>
          <w:rFonts w:eastAsiaTheme="minorHAnsi" w:cstheme="minorBidi"/>
          <w:szCs w:val="24"/>
          <w:lang w:eastAsia="en-US"/>
        </w:rPr>
        <w:t xml:space="preserve"> -</w:t>
      </w:r>
    </w:p>
    <w:p w:rsidR="001A6417" w:rsidRPr="00CE57B8" w:rsidRDefault="001A6417" w:rsidP="001A6417">
      <w:pPr>
        <w:jc w:val="center"/>
        <w:rPr>
          <w:rFonts w:eastAsiaTheme="minorHAnsi" w:cstheme="minorBidi"/>
          <w:b/>
          <w:szCs w:val="24"/>
          <w:lang w:eastAsia="en-US"/>
        </w:rPr>
      </w:pPr>
      <w:r w:rsidRPr="00CE57B8">
        <w:rPr>
          <w:rFonts w:eastAsiaTheme="minorHAnsi" w:cstheme="minorBidi"/>
          <w:b/>
          <w:szCs w:val="24"/>
          <w:lang w:eastAsia="en-US"/>
        </w:rPr>
        <w:t>Attorney General of British Columbia,</w:t>
      </w:r>
    </w:p>
    <w:p w:rsidR="001A6417" w:rsidRPr="00CE57B8" w:rsidRDefault="001A6417" w:rsidP="001A6417">
      <w:pPr>
        <w:jc w:val="center"/>
        <w:rPr>
          <w:rFonts w:eastAsiaTheme="minorHAnsi" w:cstheme="minorBidi"/>
          <w:b/>
          <w:szCs w:val="24"/>
          <w:lang w:eastAsia="en-US"/>
        </w:rPr>
      </w:pPr>
      <w:r w:rsidRPr="00CE57B8">
        <w:rPr>
          <w:rFonts w:eastAsiaTheme="minorHAnsi" w:cstheme="minorBidi"/>
          <w:b/>
          <w:szCs w:val="24"/>
          <w:lang w:eastAsia="en-US"/>
        </w:rPr>
        <w:t xml:space="preserve">City of Toronto and </w:t>
      </w:r>
      <w:proofErr w:type="spellStart"/>
      <w:r w:rsidRPr="00CE57B8">
        <w:rPr>
          <w:rFonts w:eastAsiaTheme="minorHAnsi" w:cstheme="minorBidi"/>
          <w:b/>
          <w:szCs w:val="24"/>
          <w:lang w:eastAsia="en-US"/>
        </w:rPr>
        <w:t>Metrolinx</w:t>
      </w:r>
      <w:proofErr w:type="spellEnd"/>
    </w:p>
    <w:p w:rsidR="001A6417" w:rsidRPr="00CE57B8" w:rsidRDefault="001A6417" w:rsidP="001A6417">
      <w:pPr>
        <w:jc w:val="center"/>
        <w:rPr>
          <w:rFonts w:eastAsiaTheme="minorHAnsi" w:cstheme="minorBidi"/>
          <w:szCs w:val="24"/>
          <w:lang w:eastAsia="en-US"/>
        </w:rPr>
      </w:pPr>
      <w:r w:rsidRPr="00CE57B8">
        <w:rPr>
          <w:rFonts w:eastAsiaTheme="minorHAnsi" w:cstheme="minorBidi"/>
          <w:szCs w:val="24"/>
          <w:lang w:eastAsia="en-US"/>
        </w:rPr>
        <w:t>Interveners</w:t>
      </w:r>
    </w:p>
    <w:p w:rsidR="001A6417" w:rsidRPr="00CE57B8" w:rsidRDefault="001A6417" w:rsidP="001A6417">
      <w:pPr>
        <w:rPr>
          <w:rFonts w:eastAsiaTheme="minorHAnsi" w:cstheme="minorBidi"/>
          <w:szCs w:val="24"/>
          <w:lang w:eastAsia="en-US"/>
        </w:rPr>
      </w:pPr>
    </w:p>
    <w:p w:rsidR="001A6417" w:rsidRPr="00CE57B8" w:rsidRDefault="001A6417" w:rsidP="001A6417">
      <w:pPr>
        <w:rPr>
          <w:rFonts w:eastAsiaTheme="minorHAnsi" w:cstheme="minorBidi"/>
          <w:szCs w:val="24"/>
          <w:lang w:eastAsia="en-US"/>
        </w:rPr>
      </w:pPr>
    </w:p>
    <w:p w:rsidR="001A6417" w:rsidRPr="00CE57B8" w:rsidRDefault="001A6417" w:rsidP="001A6417">
      <w:pPr>
        <w:rPr>
          <w:rFonts w:eastAsiaTheme="minorHAnsi" w:cstheme="minorBidi"/>
          <w:szCs w:val="24"/>
          <w:lang w:eastAsia="en-US"/>
        </w:rPr>
      </w:pPr>
      <w:r w:rsidRPr="00CE57B8">
        <w:rPr>
          <w:rFonts w:eastAsiaTheme="minorHAnsi" w:cstheme="minorBidi"/>
          <w:b/>
          <w:smallCaps/>
          <w:szCs w:val="24"/>
          <w:lang w:eastAsia="en-US"/>
        </w:rPr>
        <w:t>Coram:</w:t>
      </w:r>
      <w:r w:rsidRPr="00CE57B8">
        <w:rPr>
          <w:rFonts w:eastAsiaTheme="minorHAnsi" w:cstheme="minorBidi"/>
          <w:szCs w:val="24"/>
          <w:lang w:eastAsia="en-US"/>
        </w:rPr>
        <w:t xml:space="preserve"> McLachlin C.J. and </w:t>
      </w:r>
      <w:proofErr w:type="spellStart"/>
      <w:r w:rsidRPr="00CE57B8">
        <w:rPr>
          <w:rFonts w:eastAsiaTheme="minorHAnsi" w:cstheme="minorBidi"/>
          <w:szCs w:val="24"/>
          <w:lang w:eastAsia="en-US"/>
        </w:rPr>
        <w:t>LeBel</w:t>
      </w:r>
      <w:proofErr w:type="spellEnd"/>
      <w:r w:rsidRPr="00CE57B8">
        <w:rPr>
          <w:rFonts w:eastAsiaTheme="minorHAnsi" w:cstheme="minorBidi"/>
          <w:szCs w:val="24"/>
          <w:lang w:eastAsia="en-US"/>
        </w:rPr>
        <w:t xml:space="preserve">, Fish, </w:t>
      </w:r>
      <w:proofErr w:type="spellStart"/>
      <w:r w:rsidRPr="00CE57B8">
        <w:rPr>
          <w:rFonts w:eastAsiaTheme="minorHAnsi" w:cstheme="minorBidi"/>
          <w:szCs w:val="24"/>
          <w:lang w:eastAsia="en-US"/>
        </w:rPr>
        <w:t>Abella</w:t>
      </w:r>
      <w:proofErr w:type="spellEnd"/>
      <w:r w:rsidRPr="00CE57B8">
        <w:rPr>
          <w:rFonts w:eastAsiaTheme="minorHAnsi" w:cstheme="minorBidi"/>
          <w:szCs w:val="24"/>
          <w:lang w:eastAsia="en-US"/>
        </w:rPr>
        <w:t xml:space="preserve">, Rothstein, Cromwell, </w:t>
      </w:r>
      <w:proofErr w:type="spellStart"/>
      <w:r w:rsidRPr="00CE57B8">
        <w:rPr>
          <w:rFonts w:eastAsiaTheme="minorHAnsi" w:cstheme="minorBidi"/>
          <w:szCs w:val="24"/>
          <w:lang w:eastAsia="en-US"/>
        </w:rPr>
        <w:t>Moldaver</w:t>
      </w:r>
      <w:proofErr w:type="spellEnd"/>
      <w:r w:rsidRPr="00CE57B8">
        <w:rPr>
          <w:rFonts w:eastAsiaTheme="minorHAnsi" w:cstheme="minorBidi"/>
          <w:szCs w:val="24"/>
          <w:lang w:eastAsia="en-US"/>
        </w:rPr>
        <w:t xml:space="preserve">, </w:t>
      </w:r>
      <w:proofErr w:type="spellStart"/>
      <w:r w:rsidRPr="00CE57B8">
        <w:rPr>
          <w:rFonts w:eastAsiaTheme="minorHAnsi" w:cstheme="minorBidi"/>
          <w:szCs w:val="24"/>
          <w:lang w:eastAsia="en-US"/>
        </w:rPr>
        <w:t>Karakatsanis</w:t>
      </w:r>
      <w:proofErr w:type="spellEnd"/>
      <w:r w:rsidRPr="00CE57B8">
        <w:rPr>
          <w:rFonts w:eastAsiaTheme="minorHAnsi" w:cstheme="minorBidi"/>
          <w:szCs w:val="24"/>
          <w:lang w:eastAsia="en-US"/>
        </w:rPr>
        <w:t xml:space="preserve"> and Wagner JJ.</w:t>
      </w:r>
    </w:p>
    <w:p w:rsidR="001A6417" w:rsidRPr="00CE57B8" w:rsidRDefault="001A6417" w:rsidP="001A6417">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A6417" w:rsidRPr="00CE57B8" w:rsidTr="003F4250">
        <w:trPr>
          <w:cantSplit/>
        </w:trPr>
        <w:tc>
          <w:tcPr>
            <w:tcW w:w="3618" w:type="dxa"/>
          </w:tcPr>
          <w:p w:rsidR="001A6417" w:rsidRPr="00CE57B8" w:rsidRDefault="001A6417" w:rsidP="003F4250">
            <w:pPr>
              <w:rPr>
                <w:b/>
                <w:smallCaps/>
              </w:rPr>
            </w:pPr>
            <w:r w:rsidRPr="00CE57B8">
              <w:rPr>
                <w:b/>
                <w:smallCaps/>
              </w:rPr>
              <w:t>Reasons for Judgment:</w:t>
            </w:r>
          </w:p>
          <w:p w:rsidR="001A6417" w:rsidRPr="00CE57B8" w:rsidRDefault="001A6417" w:rsidP="003F4250">
            <w:r w:rsidRPr="00CE57B8">
              <w:t>(</w:t>
            </w:r>
            <w:proofErr w:type="spellStart"/>
            <w:r w:rsidRPr="00CE57B8">
              <w:t>paras</w:t>
            </w:r>
            <w:proofErr w:type="spellEnd"/>
            <w:r w:rsidRPr="00CE57B8">
              <w:t>. 1 to 57)</w:t>
            </w:r>
          </w:p>
        </w:tc>
        <w:tc>
          <w:tcPr>
            <w:tcW w:w="5958" w:type="dxa"/>
          </w:tcPr>
          <w:p w:rsidR="001A6417" w:rsidRPr="00CE57B8" w:rsidRDefault="001A6417" w:rsidP="003F4250">
            <w:r w:rsidRPr="00CE57B8">
              <w:t xml:space="preserve">Cromwell J. (McLachlin C.J. and </w:t>
            </w:r>
            <w:proofErr w:type="spellStart"/>
            <w:r w:rsidRPr="00CE57B8">
              <w:t>LeBel</w:t>
            </w:r>
            <w:proofErr w:type="spellEnd"/>
            <w:r w:rsidRPr="00CE57B8">
              <w:t xml:space="preserve">, Fish, </w:t>
            </w:r>
            <w:proofErr w:type="spellStart"/>
            <w:r w:rsidRPr="00CE57B8">
              <w:t>Abella</w:t>
            </w:r>
            <w:proofErr w:type="spellEnd"/>
            <w:r w:rsidRPr="00CE57B8">
              <w:t xml:space="preserve">, Rothstein, </w:t>
            </w:r>
            <w:proofErr w:type="spellStart"/>
            <w:r w:rsidRPr="00CE57B8">
              <w:t>Moldaver</w:t>
            </w:r>
            <w:proofErr w:type="spellEnd"/>
            <w:r w:rsidRPr="00CE57B8">
              <w:t xml:space="preserve">, </w:t>
            </w:r>
            <w:proofErr w:type="spellStart"/>
            <w:r w:rsidRPr="00CE57B8">
              <w:t>Karakatsanis</w:t>
            </w:r>
            <w:proofErr w:type="spellEnd"/>
            <w:r w:rsidRPr="00CE57B8">
              <w:t xml:space="preserve"> and Wagner JJ. concurring)</w:t>
            </w:r>
          </w:p>
        </w:tc>
      </w:tr>
    </w:tbl>
    <w:p w:rsidR="001A6417" w:rsidRPr="00CE57B8" w:rsidRDefault="001A6417" w:rsidP="001A6417">
      <w:pPr>
        <w:rPr>
          <w:rFonts w:eastAsiaTheme="minorHAnsi" w:cstheme="minorBidi"/>
          <w:szCs w:val="24"/>
          <w:lang w:eastAsia="en-US"/>
        </w:rPr>
      </w:pPr>
    </w:p>
    <w:p w:rsidR="001A6417" w:rsidRPr="00CE57B8" w:rsidRDefault="001A6417" w:rsidP="001A6417">
      <w:pPr>
        <w:rPr>
          <w:rFonts w:eastAsiaTheme="minorHAnsi" w:cstheme="minorBidi"/>
          <w:szCs w:val="24"/>
          <w:lang w:eastAsia="en-US"/>
        </w:rPr>
      </w:pPr>
    </w:p>
    <w:p w:rsidR="001A6417" w:rsidRPr="00CE57B8" w:rsidRDefault="001A6417" w:rsidP="001A6417">
      <w:pPr>
        <w:rPr>
          <w:rFonts w:eastAsiaTheme="minorHAnsi" w:cstheme="minorBidi"/>
          <w:szCs w:val="24"/>
          <w:lang w:eastAsia="en-US"/>
        </w:rPr>
      </w:pPr>
      <w:r w:rsidRPr="001F2EDD">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1A6417" w:rsidRPr="000C16EB" w:rsidRDefault="001A6417" w:rsidP="001A6417">
      <w:pPr>
        <w:rPr>
          <w:smallCaps/>
          <w:lang w:val="en-US"/>
        </w:rPr>
      </w:pPr>
      <w:r w:rsidRPr="000C16EB">
        <w:rPr>
          <w:smallCaps/>
          <w:lang w:val="en-US"/>
        </w:rPr>
        <w:br w:type="page"/>
      </w:r>
    </w:p>
    <w:p w:rsidR="008322BD" w:rsidRPr="00592CFE" w:rsidRDefault="00C643E0" w:rsidP="00A54490">
      <w:pPr>
        <w:spacing w:after="720"/>
        <w:jc w:val="both"/>
      </w:pPr>
      <w:r w:rsidRPr="00C643E0">
        <w:lastRenderedPageBreak/>
        <w:t xml:space="preserve">Antrim Truck Centre Ltd. </w:t>
      </w:r>
      <w:r w:rsidRPr="00C643E0">
        <w:rPr>
          <w:i/>
        </w:rPr>
        <w:t>v.</w:t>
      </w:r>
      <w:r w:rsidRPr="00C643E0">
        <w:t xml:space="preserve"> Ontario (Transportation)</w:t>
      </w:r>
      <w:r>
        <w:t>, 2013 SCC 13, [2013] 1 S.C.R. 594</w:t>
      </w:r>
    </w:p>
    <w:p w:rsidR="00A6404E" w:rsidRPr="00592CFE" w:rsidRDefault="00DD5299">
      <w:pPr>
        <w:pStyle w:val="SCCLsocLastPartyInRole"/>
      </w:pPr>
      <w:r w:rsidRPr="00592CFE">
        <w:t>Antrim Truck Centre Ltd.</w:t>
      </w:r>
      <w:r w:rsidRPr="00592CFE">
        <w:rPr>
          <w:rStyle w:val="SCCLsocPartyRole"/>
        </w:rPr>
        <w:tab/>
        <w:t>Appellant</w:t>
      </w:r>
    </w:p>
    <w:p w:rsidR="00A6404E" w:rsidRPr="00592CFE" w:rsidRDefault="00DD5299">
      <w:pPr>
        <w:pStyle w:val="SCCLsocVersus"/>
      </w:pPr>
      <w:proofErr w:type="gramStart"/>
      <w:r w:rsidRPr="00592CFE">
        <w:t>v</w:t>
      </w:r>
      <w:proofErr w:type="gramEnd"/>
      <w:r w:rsidRPr="00592CFE">
        <w:t>.</w:t>
      </w:r>
    </w:p>
    <w:p w:rsidR="009E19B0" w:rsidRPr="00592CFE" w:rsidRDefault="00DD5299" w:rsidP="009E19B0">
      <w:pPr>
        <w:pStyle w:val="SCCLsocParty"/>
      </w:pPr>
      <w:r w:rsidRPr="00592CFE">
        <w:t xml:space="preserve">Her Majesty </w:t>
      </w:r>
      <w:proofErr w:type="gramStart"/>
      <w:r w:rsidR="002C1AFD" w:rsidRPr="00592CFE">
        <w:t>T</w:t>
      </w:r>
      <w:r w:rsidRPr="00592CFE">
        <w:t>he</w:t>
      </w:r>
      <w:proofErr w:type="gramEnd"/>
      <w:r w:rsidRPr="00592CFE">
        <w:t xml:space="preserve"> Queen in Right of the Province of Ontario, </w:t>
      </w:r>
    </w:p>
    <w:p w:rsidR="00A6404E" w:rsidRPr="00592CFE" w:rsidRDefault="00DD5299" w:rsidP="009E19B0">
      <w:pPr>
        <w:pStyle w:val="SCCLsocLastPartyInRole"/>
      </w:pPr>
      <w:proofErr w:type="gramStart"/>
      <w:r w:rsidRPr="00592CFE">
        <w:t>as</w:t>
      </w:r>
      <w:proofErr w:type="gramEnd"/>
      <w:r w:rsidRPr="00592CFE">
        <w:t xml:space="preserve"> represented by the Minister of Transportation</w:t>
      </w:r>
      <w:r w:rsidRPr="00592CFE">
        <w:rPr>
          <w:rStyle w:val="SCCLsocPartyRole"/>
        </w:rPr>
        <w:tab/>
        <w:t>Respondent</w:t>
      </w:r>
    </w:p>
    <w:p w:rsidR="00A6404E" w:rsidRPr="00592CFE" w:rsidRDefault="00DD5299">
      <w:pPr>
        <w:pStyle w:val="SCCLsocOtherPartySeparator"/>
      </w:pPr>
      <w:proofErr w:type="gramStart"/>
      <w:r w:rsidRPr="00592CFE">
        <w:t>and</w:t>
      </w:r>
      <w:proofErr w:type="gramEnd"/>
    </w:p>
    <w:p w:rsidR="00A6404E" w:rsidRPr="00592CFE" w:rsidRDefault="00DD5299">
      <w:pPr>
        <w:pStyle w:val="SCCLsocParty"/>
      </w:pPr>
      <w:r w:rsidRPr="00592CFE">
        <w:t>Attorney General of British Columbia,</w:t>
      </w:r>
    </w:p>
    <w:p w:rsidR="00A6404E" w:rsidRPr="00592CFE" w:rsidRDefault="00DD5299">
      <w:pPr>
        <w:pStyle w:val="SCCLsocParty"/>
      </w:pPr>
      <w:r w:rsidRPr="00592CFE">
        <w:t>City of Toronto</w:t>
      </w:r>
      <w:r w:rsidR="002C1AFD" w:rsidRPr="00592CFE">
        <w:t xml:space="preserve"> and</w:t>
      </w:r>
    </w:p>
    <w:p w:rsidR="00A6404E" w:rsidRPr="00592CFE" w:rsidRDefault="00DD5299">
      <w:pPr>
        <w:pStyle w:val="SCCLsocLastPartyInRole"/>
      </w:pPr>
      <w:proofErr w:type="spellStart"/>
      <w:r w:rsidRPr="00592CFE">
        <w:t>Metrolinx</w:t>
      </w:r>
      <w:proofErr w:type="spellEnd"/>
      <w:r w:rsidRPr="00592CFE">
        <w:rPr>
          <w:rStyle w:val="SCCLsocPartyRole"/>
        </w:rPr>
        <w:tab/>
        <w:t>Interveners</w:t>
      </w:r>
    </w:p>
    <w:p w:rsidR="00426659" w:rsidRPr="00592CFE" w:rsidRDefault="00426659" w:rsidP="00A54490">
      <w:pPr>
        <w:spacing w:after="720"/>
        <w:jc w:val="both"/>
        <w:rPr>
          <w:b/>
        </w:rPr>
      </w:pPr>
      <w:r w:rsidRPr="00592CFE">
        <w:rPr>
          <w:b/>
        </w:rPr>
        <w:t xml:space="preserve">Indexed as:  Antrim Truck Centre Ltd. </w:t>
      </w:r>
      <w:r w:rsidRPr="00592CFE">
        <w:rPr>
          <w:b/>
          <w:i/>
        </w:rPr>
        <w:t>v.</w:t>
      </w:r>
      <w:r w:rsidRPr="00592CFE">
        <w:rPr>
          <w:b/>
        </w:rPr>
        <w:t xml:space="preserve"> </w:t>
      </w:r>
      <w:r w:rsidR="002C1AFD" w:rsidRPr="00592CFE">
        <w:rPr>
          <w:b/>
        </w:rPr>
        <w:t>Ontario (Transportation)</w:t>
      </w:r>
    </w:p>
    <w:p w:rsidR="00426659" w:rsidRPr="00592CFE" w:rsidRDefault="004F36FF" w:rsidP="00A54490">
      <w:pPr>
        <w:pStyle w:val="SCCSystemYear"/>
        <w:spacing w:after="720"/>
        <w:jc w:val="both"/>
      </w:pPr>
      <w:r w:rsidRPr="00592CFE">
        <w:t>2013</w:t>
      </w:r>
      <w:r w:rsidR="003D0399" w:rsidRPr="00592CFE">
        <w:t xml:space="preserve"> </w:t>
      </w:r>
      <w:r w:rsidR="00ED0CB7" w:rsidRPr="00592CFE">
        <w:t>SCC 13</w:t>
      </w:r>
    </w:p>
    <w:p w:rsidR="008322BD" w:rsidRPr="00592CFE" w:rsidRDefault="009B57B3" w:rsidP="00A54490">
      <w:pPr>
        <w:spacing w:after="720"/>
        <w:jc w:val="both"/>
      </w:pPr>
      <w:r w:rsidRPr="00592CFE">
        <w:t>File No.:  34413.</w:t>
      </w:r>
    </w:p>
    <w:p w:rsidR="008322BD" w:rsidRPr="00592CFE" w:rsidRDefault="00A54490" w:rsidP="00A54490">
      <w:pPr>
        <w:spacing w:after="720"/>
        <w:jc w:val="both"/>
      </w:pPr>
      <w:r w:rsidRPr="00592CFE">
        <w:t>2012:  November </w:t>
      </w:r>
      <w:r w:rsidR="004F36FF" w:rsidRPr="00592CFE">
        <w:t>14</w:t>
      </w:r>
      <w:r w:rsidR="009B57B3" w:rsidRPr="00592CFE">
        <w:t>;</w:t>
      </w:r>
      <w:r w:rsidR="00CA1310" w:rsidRPr="00592CFE">
        <w:t xml:space="preserve"> 2013:  March 7</w:t>
      </w:r>
      <w:r w:rsidR="009B57B3" w:rsidRPr="00592CFE">
        <w:t>.</w:t>
      </w:r>
    </w:p>
    <w:p w:rsidR="008322BD" w:rsidRPr="00592CFE" w:rsidRDefault="009B57B3" w:rsidP="00A54490">
      <w:pPr>
        <w:spacing w:after="720"/>
        <w:jc w:val="both"/>
      </w:pPr>
      <w:r w:rsidRPr="00592CFE">
        <w:t xml:space="preserve">Present:  McLachlin C.J. and </w:t>
      </w:r>
      <w:proofErr w:type="spellStart"/>
      <w:r w:rsidRPr="00592CFE">
        <w:t>LeBel</w:t>
      </w:r>
      <w:proofErr w:type="spellEnd"/>
      <w:r w:rsidRPr="00592CFE">
        <w:t xml:space="preserve">, Fish, </w:t>
      </w:r>
      <w:proofErr w:type="spellStart"/>
      <w:r w:rsidRPr="00592CFE">
        <w:t>Abella</w:t>
      </w:r>
      <w:proofErr w:type="spellEnd"/>
      <w:r w:rsidRPr="00592CFE">
        <w:t xml:space="preserve">, Rothstein, Cromwell, </w:t>
      </w:r>
      <w:proofErr w:type="spellStart"/>
      <w:r w:rsidRPr="00592CFE">
        <w:t>Moldaver</w:t>
      </w:r>
      <w:proofErr w:type="spellEnd"/>
      <w:r w:rsidRPr="00592CFE">
        <w:t xml:space="preserve">, </w:t>
      </w:r>
      <w:proofErr w:type="spellStart"/>
      <w:r w:rsidRPr="00592CFE">
        <w:t>Karakatsanis</w:t>
      </w:r>
      <w:proofErr w:type="spellEnd"/>
      <w:r w:rsidRPr="00592CFE">
        <w:t xml:space="preserve"> and Wagner JJ.</w:t>
      </w:r>
    </w:p>
    <w:p w:rsidR="008322BD" w:rsidRPr="00592CFE" w:rsidRDefault="00656313" w:rsidP="00A54490">
      <w:pPr>
        <w:pStyle w:val="SCCLowerCourtNameLowercase"/>
        <w:spacing w:after="720" w:line="240" w:lineRule="auto"/>
      </w:pPr>
      <w:r w:rsidRPr="00592CFE">
        <w:t>o</w:t>
      </w:r>
      <w:r w:rsidR="00170592" w:rsidRPr="00592CFE">
        <w:t>n</w:t>
      </w:r>
      <w:r w:rsidR="00224FC0" w:rsidRPr="00592CFE">
        <w:t xml:space="preserve"> </w:t>
      </w:r>
      <w:r w:rsidRPr="00592CFE">
        <w:t>a</w:t>
      </w:r>
      <w:r w:rsidR="00170592" w:rsidRPr="00592CFE">
        <w:t>ppeal</w:t>
      </w:r>
      <w:r w:rsidR="00224FC0" w:rsidRPr="00592CFE">
        <w:t xml:space="preserve"> </w:t>
      </w:r>
      <w:r w:rsidR="00170592" w:rsidRPr="00592CFE">
        <w:t>from</w:t>
      </w:r>
      <w:r w:rsidR="009567AA" w:rsidRPr="00592CFE">
        <w:t xml:space="preserve"> the</w:t>
      </w:r>
      <w:r w:rsidR="00224FC0" w:rsidRPr="00592CFE">
        <w:t xml:space="preserve"> </w:t>
      </w:r>
      <w:r w:rsidR="009B57B3" w:rsidRPr="00592CFE">
        <w:t xml:space="preserve">court of appeal for </w:t>
      </w:r>
      <w:proofErr w:type="spellStart"/>
      <w:r w:rsidR="009B57B3" w:rsidRPr="00592CFE">
        <w:t>ontario</w:t>
      </w:r>
      <w:proofErr w:type="spellEnd"/>
    </w:p>
    <w:p w:rsidR="005B1CF1" w:rsidRPr="00592CFE" w:rsidRDefault="00E84C3F" w:rsidP="00A54490">
      <w:pPr>
        <w:pStyle w:val="SCCNormalDoubleSpacing"/>
        <w:spacing w:after="480"/>
        <w:rPr>
          <w:i/>
        </w:rPr>
      </w:pPr>
      <w:r w:rsidRPr="00592CFE">
        <w:rPr>
          <w:i/>
        </w:rPr>
        <w:lastRenderedPageBreak/>
        <w:tab/>
      </w:r>
      <w:r w:rsidR="005B1CF1" w:rsidRPr="00592CFE">
        <w:rPr>
          <w:i/>
        </w:rPr>
        <w:t xml:space="preserve">Expropriation </w:t>
      </w:r>
      <w:r w:rsidRPr="00592CFE">
        <w:rPr>
          <w:i/>
        </w:rPr>
        <w:t>—</w:t>
      </w:r>
      <w:r w:rsidR="005B1CF1" w:rsidRPr="00592CFE">
        <w:rPr>
          <w:i/>
        </w:rPr>
        <w:t xml:space="preserve"> Injurious affection </w:t>
      </w:r>
      <w:r w:rsidRPr="00592CFE">
        <w:rPr>
          <w:i/>
        </w:rPr>
        <w:t xml:space="preserve">— </w:t>
      </w:r>
      <w:r w:rsidR="005B1CF1" w:rsidRPr="00592CFE">
        <w:rPr>
          <w:i/>
        </w:rPr>
        <w:t xml:space="preserve">Nuisance </w:t>
      </w:r>
      <w:r w:rsidRPr="00592CFE">
        <w:rPr>
          <w:i/>
        </w:rPr>
        <w:t xml:space="preserve">— </w:t>
      </w:r>
      <w:r w:rsidR="005B1CF1" w:rsidRPr="00592CFE">
        <w:rPr>
          <w:i/>
        </w:rPr>
        <w:t xml:space="preserve">Compensation </w:t>
      </w:r>
      <w:r w:rsidRPr="00592CFE">
        <w:rPr>
          <w:i/>
        </w:rPr>
        <w:t xml:space="preserve">— </w:t>
      </w:r>
      <w:r w:rsidR="005B1CF1" w:rsidRPr="00592CFE">
        <w:rPr>
          <w:i/>
        </w:rPr>
        <w:t>Construction of new highway diverting traffic away from appellant</w:t>
      </w:r>
      <w:r w:rsidR="004A2163" w:rsidRPr="00592CFE">
        <w:rPr>
          <w:i/>
        </w:rPr>
        <w:t>’</w:t>
      </w:r>
      <w:r w:rsidR="005B1CF1" w:rsidRPr="00592CFE">
        <w:rPr>
          <w:i/>
        </w:rPr>
        <w:t xml:space="preserve">s truck stop business </w:t>
      </w:r>
      <w:r w:rsidRPr="00592CFE">
        <w:rPr>
          <w:i/>
        </w:rPr>
        <w:t xml:space="preserve">— </w:t>
      </w:r>
      <w:r w:rsidR="005B1CF1" w:rsidRPr="00592CFE">
        <w:rPr>
          <w:i/>
        </w:rPr>
        <w:t xml:space="preserve">Ontario Municipal Board awarding appellant compensation for injurious affection for business loss and loss of market value of property </w:t>
      </w:r>
      <w:r w:rsidRPr="00592CFE">
        <w:rPr>
          <w:i/>
        </w:rPr>
        <w:t xml:space="preserve">— </w:t>
      </w:r>
      <w:r w:rsidR="005B1CF1" w:rsidRPr="00592CFE">
        <w:rPr>
          <w:i/>
        </w:rPr>
        <w:t xml:space="preserve">Court of Appeal dismissing claim on basis that Board failed to balance competing rights adequately </w:t>
      </w:r>
      <w:r w:rsidRPr="00592CFE">
        <w:rPr>
          <w:i/>
        </w:rPr>
        <w:t xml:space="preserve">— </w:t>
      </w:r>
      <w:r w:rsidR="005B1CF1" w:rsidRPr="00592CFE">
        <w:rPr>
          <w:i/>
        </w:rPr>
        <w:t xml:space="preserve">Whether interference with private enjoyment of land was unreasonable when resulting from construction serving important public purpose </w:t>
      </w:r>
      <w:r w:rsidRPr="00592CFE">
        <w:rPr>
          <w:i/>
        </w:rPr>
        <w:t xml:space="preserve">— </w:t>
      </w:r>
      <w:r w:rsidR="005B1CF1" w:rsidRPr="00592CFE">
        <w:rPr>
          <w:i/>
        </w:rPr>
        <w:t>Whether Court of Appeal erred in finding that Board</w:t>
      </w:r>
      <w:r w:rsidR="004A2163" w:rsidRPr="00592CFE">
        <w:rPr>
          <w:i/>
        </w:rPr>
        <w:t>’</w:t>
      </w:r>
      <w:r w:rsidR="005B1CF1" w:rsidRPr="00592CFE">
        <w:rPr>
          <w:i/>
        </w:rPr>
        <w:t xml:space="preserve">s application of law of nuisance was unreasonable </w:t>
      </w:r>
      <w:r w:rsidRPr="00592CFE">
        <w:rPr>
          <w:i/>
        </w:rPr>
        <w:t xml:space="preserve">— </w:t>
      </w:r>
      <w:r w:rsidR="005B1CF1" w:rsidRPr="00592CFE">
        <w:rPr>
          <w:i/>
        </w:rPr>
        <w:t>Expropriation Act, R.S.O. 1990, c.</w:t>
      </w:r>
      <w:r w:rsidR="00E35F17" w:rsidRPr="00592CFE">
        <w:rPr>
          <w:i/>
        </w:rPr>
        <w:t> </w:t>
      </w:r>
      <w:r w:rsidR="005B1CF1" w:rsidRPr="00592CFE">
        <w:rPr>
          <w:i/>
        </w:rPr>
        <w:t>E.26</w:t>
      </w:r>
      <w:r w:rsidRPr="00592CFE">
        <w:rPr>
          <w:i/>
        </w:rPr>
        <w:t>.</w:t>
      </w:r>
    </w:p>
    <w:p w:rsidR="005B1CF1" w:rsidRPr="00592CFE" w:rsidRDefault="00E84C3F" w:rsidP="00A54490">
      <w:pPr>
        <w:pStyle w:val="SCCNormalDoubleSpacing"/>
        <w:spacing w:after="480"/>
      </w:pPr>
      <w:r w:rsidRPr="00592CFE">
        <w:tab/>
      </w:r>
      <w:r w:rsidR="005B1CF1" w:rsidRPr="00592CFE">
        <w:t>From 1978 until 2004, the appe</w:t>
      </w:r>
      <w:r w:rsidR="004A2163" w:rsidRPr="00592CFE">
        <w:t>llant owned property on Highway </w:t>
      </w:r>
      <w:r w:rsidR="005B1CF1" w:rsidRPr="00592CFE">
        <w:t>17 near the hamlet of Antrim where it operated a truck stop complex that included a restaurant and gas bar and enjoyed the patronage of drivers travelling along the highway</w:t>
      </w:r>
      <w:r w:rsidR="0036432B" w:rsidRPr="00592CFE">
        <w:t xml:space="preserve">.  </w:t>
      </w:r>
      <w:r w:rsidR="005B1CF1" w:rsidRPr="00592CFE">
        <w:t xml:space="preserve">In September 2004, the respondent opened a new </w:t>
      </w:r>
      <w:r w:rsidR="0036432B" w:rsidRPr="00592CFE">
        <w:t>section of Highway </w:t>
      </w:r>
      <w:r w:rsidR="005B1CF1" w:rsidRPr="00592CFE">
        <w:t>417 running parallel to</w:t>
      </w:r>
      <w:r w:rsidR="0036432B" w:rsidRPr="00592CFE">
        <w:t xml:space="preserve"> Highway </w:t>
      </w:r>
      <w:r w:rsidR="005B1CF1" w:rsidRPr="00592CFE">
        <w:t>17 near the appellant</w:t>
      </w:r>
      <w:r w:rsidR="004A2163" w:rsidRPr="00592CFE">
        <w:t>’</w:t>
      </w:r>
      <w:r w:rsidR="005B1CF1" w:rsidRPr="00592CFE">
        <w:t>s property</w:t>
      </w:r>
      <w:r w:rsidR="0036432B" w:rsidRPr="00592CFE">
        <w:t>.  Highway </w:t>
      </w:r>
      <w:r w:rsidR="005B1CF1" w:rsidRPr="00592CFE">
        <w:t>17 was significantly altered by t</w:t>
      </w:r>
      <w:r w:rsidR="0036432B" w:rsidRPr="00592CFE">
        <w:t>he construction of Highway </w:t>
      </w:r>
      <w:r w:rsidR="005B1CF1" w:rsidRPr="00592CFE">
        <w:t>417 and access to the appellant</w:t>
      </w:r>
      <w:r w:rsidR="004A2163" w:rsidRPr="00592CFE">
        <w:t>’</w:t>
      </w:r>
      <w:r w:rsidR="005B1CF1" w:rsidRPr="00592CFE">
        <w:t>s land was severely restricted.  Motorists travelling on the new highway did not have direct access to the appellant</w:t>
      </w:r>
      <w:r w:rsidR="004A2163" w:rsidRPr="00592CFE">
        <w:t>’</w:t>
      </w:r>
      <w:r w:rsidR="005B1CF1" w:rsidRPr="00592CFE">
        <w:t>s truck stop and so it was effectively put out of business at that location</w:t>
      </w:r>
      <w:r w:rsidR="0036432B" w:rsidRPr="00592CFE">
        <w:t xml:space="preserve">.  </w:t>
      </w:r>
      <w:r w:rsidR="005B1CF1" w:rsidRPr="00592CFE">
        <w:t xml:space="preserve">The appellant brought a claim for damages for injurious affection before the Ontario Municipal Board under the </w:t>
      </w:r>
      <w:r w:rsidR="005B1CF1" w:rsidRPr="00592CFE">
        <w:rPr>
          <w:i/>
        </w:rPr>
        <w:t>Expropriations Act</w:t>
      </w:r>
      <w:r w:rsidR="005B1CF1" w:rsidRPr="00592CFE">
        <w:t xml:space="preserve"> and was awarded</w:t>
      </w:r>
      <w:r w:rsidR="0036432B" w:rsidRPr="00592CFE">
        <w:t xml:space="preserve"> </w:t>
      </w:r>
      <w:r w:rsidR="00E35F17" w:rsidRPr="00592CFE">
        <w:t>$</w:t>
      </w:r>
      <w:r w:rsidR="005B1CF1" w:rsidRPr="00592CFE">
        <w:t>58,000 for business loss and</w:t>
      </w:r>
      <w:r w:rsidR="0036432B" w:rsidRPr="00592CFE">
        <w:t xml:space="preserve"> </w:t>
      </w:r>
      <w:r w:rsidR="00E35F17" w:rsidRPr="00592CFE">
        <w:t>$</w:t>
      </w:r>
      <w:r w:rsidR="005B1CF1" w:rsidRPr="00592CFE">
        <w:t>335,000 for loss in market value of the land</w:t>
      </w:r>
      <w:r w:rsidR="008E1609" w:rsidRPr="00592CFE">
        <w:t xml:space="preserve">. </w:t>
      </w:r>
      <w:r w:rsidR="005B1CF1" w:rsidRPr="00592CFE">
        <w:t xml:space="preserve"> This decision was upheld on appeal to the Divisional Court</w:t>
      </w:r>
      <w:r w:rsidR="0036432B" w:rsidRPr="00592CFE">
        <w:t xml:space="preserve">.  </w:t>
      </w:r>
      <w:r w:rsidR="005B1CF1" w:rsidRPr="00592CFE">
        <w:t>The Court of Appeal set aside the Board</w:t>
      </w:r>
      <w:r w:rsidR="004A2163" w:rsidRPr="00592CFE">
        <w:t>’</w:t>
      </w:r>
      <w:r w:rsidR="005B1CF1" w:rsidRPr="00592CFE">
        <w:t xml:space="preserve">s decision, however, finding that its application of the law of private </w:t>
      </w:r>
      <w:r w:rsidR="005B1CF1" w:rsidRPr="00592CFE">
        <w:lastRenderedPageBreak/>
        <w:t>nuisance to the facts was unreasonable because it had failed to consider two factors in its reasonableness analysis and because it had failed to recognize the elevated importance of the utility of the respondent</w:t>
      </w:r>
      <w:r w:rsidR="004A2163" w:rsidRPr="00592CFE">
        <w:t>’</w:t>
      </w:r>
      <w:r w:rsidR="005B1CF1" w:rsidRPr="00592CFE">
        <w:t xml:space="preserve">s conduct where the interference was the product </w:t>
      </w:r>
      <w:r w:rsidR="00FA7304">
        <w:t>of an essential public service.</w:t>
      </w:r>
    </w:p>
    <w:p w:rsidR="005B1CF1" w:rsidRPr="00592CFE" w:rsidRDefault="00E84C3F" w:rsidP="00A54490">
      <w:pPr>
        <w:pStyle w:val="SCCNormalDoubleSpacing"/>
        <w:spacing w:after="480"/>
      </w:pPr>
      <w:r w:rsidRPr="00592CFE">
        <w:tab/>
      </w:r>
      <w:r w:rsidR="005B1CF1" w:rsidRPr="00592CFE">
        <w:rPr>
          <w:i/>
        </w:rPr>
        <w:t>Held</w:t>
      </w:r>
      <w:r w:rsidR="005B1CF1" w:rsidRPr="00592CFE">
        <w:t>:  The appeal should be allowed.</w:t>
      </w:r>
    </w:p>
    <w:p w:rsidR="005B1CF1" w:rsidRPr="00592CFE" w:rsidRDefault="00E84C3F" w:rsidP="00A54490">
      <w:pPr>
        <w:pStyle w:val="SCCNormalDoubleSpacing"/>
        <w:spacing w:after="480"/>
      </w:pPr>
      <w:r w:rsidRPr="00592CFE">
        <w:tab/>
      </w:r>
      <w:r w:rsidR="005B1CF1" w:rsidRPr="00592CFE">
        <w:t>The main question is how to decide whether an interference with the private use and enjoyment of land is unreasonable when it results from construction which serves an important public purpose</w:t>
      </w:r>
      <w:r w:rsidR="0036432B" w:rsidRPr="00592CFE">
        <w:t xml:space="preserve">.  </w:t>
      </w:r>
      <w:r w:rsidR="005B1CF1" w:rsidRPr="00592CFE">
        <w:t>The reasonableness of the interference must be determined by balancing the competing interests, as it is in all other cases of private nuisance</w:t>
      </w:r>
      <w:r w:rsidR="0036432B" w:rsidRPr="00592CFE">
        <w:t xml:space="preserve">.  </w:t>
      </w:r>
      <w:r w:rsidR="005B1CF1" w:rsidRPr="00592CFE">
        <w:t>The balance is appropriately struck by answering the question of whether, in all of the circumstances, the individual claimant has shouldered a greater share of the burden of construction than it would be reasonable to expect individuals to bear without compensation</w:t>
      </w:r>
      <w:r w:rsidR="0036432B" w:rsidRPr="00592CFE">
        <w:t xml:space="preserve">.  </w:t>
      </w:r>
      <w:r w:rsidR="005B1CF1" w:rsidRPr="00592CFE">
        <w:t>Here, the interference with the appellant</w:t>
      </w:r>
      <w:r w:rsidR="004A2163" w:rsidRPr="00592CFE">
        <w:t>’</w:t>
      </w:r>
      <w:r w:rsidR="005B1CF1" w:rsidRPr="00592CFE">
        <w:t>s land caused by the construction of the new highway inflicted significant and permanent loss.</w:t>
      </w:r>
    </w:p>
    <w:p w:rsidR="005B1CF1" w:rsidRPr="00592CFE" w:rsidRDefault="00E84C3F" w:rsidP="00A54490">
      <w:pPr>
        <w:pStyle w:val="SCCNormalDoubleSpacing"/>
        <w:spacing w:after="480"/>
      </w:pPr>
      <w:r w:rsidRPr="00592CFE">
        <w:tab/>
      </w:r>
      <w:r w:rsidR="005B1CF1" w:rsidRPr="00592CFE">
        <w:t xml:space="preserve">The </w:t>
      </w:r>
      <w:r w:rsidR="005B1CF1" w:rsidRPr="00592CFE">
        <w:rPr>
          <w:i/>
        </w:rPr>
        <w:t>Expropriations Act</w:t>
      </w:r>
      <w:r w:rsidR="005B1CF1" w:rsidRPr="00592CFE">
        <w:t xml:space="preserve"> provides a right to compensation for injurious affection, which occurs when the defendant</w:t>
      </w:r>
      <w:r w:rsidR="004A2163" w:rsidRPr="00592CFE">
        <w:t>’</w:t>
      </w:r>
      <w:r w:rsidR="005B1CF1" w:rsidRPr="00592CFE">
        <w:t>s activities interfere with the claimant</w:t>
      </w:r>
      <w:r w:rsidR="004A2163" w:rsidRPr="00592CFE">
        <w:t>’</w:t>
      </w:r>
      <w:r w:rsidR="005B1CF1" w:rsidRPr="00592CFE">
        <w:t>s occupation or enjoyment of land, if the claimant can meet three requirements:</w:t>
      </w:r>
      <w:r w:rsidR="00A54490" w:rsidRPr="00592CFE">
        <w:t xml:space="preserve">  (</w:t>
      </w:r>
      <w:proofErr w:type="spellStart"/>
      <w:r w:rsidR="00A54490" w:rsidRPr="00592CFE">
        <w:t>i</w:t>
      </w:r>
      <w:proofErr w:type="spellEnd"/>
      <w:r w:rsidR="00A54490" w:rsidRPr="00592CFE">
        <w:t>) </w:t>
      </w:r>
      <w:r w:rsidR="005B1CF1" w:rsidRPr="00592CFE">
        <w:t>the damage must result from action taken under statutory auth</w:t>
      </w:r>
      <w:r w:rsidR="00A54490" w:rsidRPr="00592CFE">
        <w:t>ority; (ii) </w:t>
      </w:r>
      <w:r w:rsidR="005B1CF1" w:rsidRPr="00592CFE">
        <w:t>the action would give rise to liability but for that statutory authority; and (iii)</w:t>
      </w:r>
      <w:r w:rsidR="00A54490" w:rsidRPr="00592CFE">
        <w:t> </w:t>
      </w:r>
      <w:r w:rsidR="005B1CF1" w:rsidRPr="00592CFE">
        <w:t>the damage must result from the construction and not the use of the works.</w:t>
      </w:r>
      <w:r w:rsidR="00A54490" w:rsidRPr="00592CFE">
        <w:t xml:space="preserve">  </w:t>
      </w:r>
      <w:r w:rsidR="005B1CF1" w:rsidRPr="00592CFE">
        <w:t xml:space="preserve">In this case, the only unresolved question is whether, if the highway construction had not been done under statutory </w:t>
      </w:r>
      <w:r w:rsidR="005B1CF1" w:rsidRPr="00592CFE">
        <w:lastRenderedPageBreak/>
        <w:t>authority, the appellant could have successfully sued for damages caused by the construction unde</w:t>
      </w:r>
      <w:r w:rsidR="00FA7304">
        <w:t>r the law of private nuisance.</w:t>
      </w:r>
    </w:p>
    <w:p w:rsidR="005B1CF1" w:rsidRPr="00592CFE" w:rsidRDefault="00E84C3F" w:rsidP="00A54490">
      <w:pPr>
        <w:pStyle w:val="SCCNormalDoubleSpacing"/>
        <w:spacing w:after="480"/>
      </w:pPr>
      <w:r w:rsidRPr="00592CFE">
        <w:tab/>
      </w:r>
      <w:r w:rsidR="005B1CF1" w:rsidRPr="00592CFE">
        <w:t>Nuisance consists of an interference with the claimant</w:t>
      </w:r>
      <w:r w:rsidR="004A2163" w:rsidRPr="00592CFE">
        <w:t>’</w:t>
      </w:r>
      <w:r w:rsidR="005B1CF1" w:rsidRPr="00592CFE">
        <w:t>s occupation or enjoyment of land that is both substantial a</w:t>
      </w:r>
      <w:r w:rsidR="008E1609" w:rsidRPr="00592CFE">
        <w:t xml:space="preserve">nd unreasonable.  </w:t>
      </w:r>
      <w:r w:rsidR="005B1CF1" w:rsidRPr="00592CFE">
        <w:t>A substantial interference is one that is non</w:t>
      </w:r>
      <w:r w:rsidR="00E35F17" w:rsidRPr="00592CFE">
        <w:noBreakHyphen/>
      </w:r>
      <w:proofErr w:type="spellStart"/>
      <w:r w:rsidR="005B1CF1" w:rsidRPr="00592CFE">
        <w:t>trivial</w:t>
      </w:r>
      <w:proofErr w:type="spellEnd"/>
      <w:r w:rsidR="005B1CF1" w:rsidRPr="00592CFE">
        <w:t>, amounting to more than a slight annoyance or trifling interference</w:t>
      </w:r>
      <w:r w:rsidR="0036432B" w:rsidRPr="00592CFE">
        <w:t xml:space="preserve">.  </w:t>
      </w:r>
      <w:r w:rsidR="005B1CF1" w:rsidRPr="00592CFE">
        <w:t>This threshold screens out weak claims and once met, the next inquiry is whether the non</w:t>
      </w:r>
      <w:r w:rsidR="00E35F17" w:rsidRPr="00592CFE">
        <w:noBreakHyphen/>
      </w:r>
      <w:proofErr w:type="spellStart"/>
      <w:r w:rsidR="005B1CF1" w:rsidRPr="00592CFE">
        <w:t>trivial</w:t>
      </w:r>
      <w:proofErr w:type="spellEnd"/>
      <w:r w:rsidR="005B1CF1" w:rsidRPr="00592CFE">
        <w:t xml:space="preserve"> interference was also unreasonable in all of the circumst</w:t>
      </w:r>
      <w:r w:rsidR="00FA7304">
        <w:t>ances to justify compensation.</w:t>
      </w:r>
    </w:p>
    <w:p w:rsidR="005B1CF1" w:rsidRPr="00592CFE" w:rsidRDefault="00E84C3F" w:rsidP="00A54490">
      <w:pPr>
        <w:pStyle w:val="SCCNormalDoubleSpacing"/>
        <w:spacing w:after="480"/>
      </w:pPr>
      <w:r w:rsidRPr="00592CFE">
        <w:tab/>
      </w:r>
      <w:r w:rsidR="005B1CF1" w:rsidRPr="00592CFE">
        <w:t>When assessing unreasonableness where the activity causing the interference is carried out by a public authority for the greater public good, courts and tribunals are not limited by any specific list of factors</w:t>
      </w:r>
      <w:r w:rsidR="0036432B" w:rsidRPr="00592CFE">
        <w:t xml:space="preserve">.  </w:t>
      </w:r>
      <w:r w:rsidR="005B1CF1" w:rsidRPr="00592CFE">
        <w:t>Rather, the focus of the balancing exercise is on whether the interference is such that it would be unreasonable in all of the circumstances to require the claimant to suffer it without compensation</w:t>
      </w:r>
      <w:r w:rsidR="0036432B" w:rsidRPr="00592CFE">
        <w:t xml:space="preserve">.  </w:t>
      </w:r>
      <w:r w:rsidR="005B1CF1" w:rsidRPr="00592CFE">
        <w:t>Generally, the focus in nuisance is on whether the</w:t>
      </w:r>
      <w:r w:rsidR="005B1CF1" w:rsidRPr="00592CFE">
        <w:rPr>
          <w:i/>
        </w:rPr>
        <w:t xml:space="preserve"> </w:t>
      </w:r>
      <w:r w:rsidR="005B1CF1" w:rsidRPr="00871FC0">
        <w:t>interference suffered by the claimant</w:t>
      </w:r>
      <w:r w:rsidR="005B1CF1" w:rsidRPr="00592CFE">
        <w:t xml:space="preserve"> is unreasonable, not on whether</w:t>
      </w:r>
      <w:r w:rsidR="005B1CF1" w:rsidRPr="00592CFE">
        <w:rPr>
          <w:i/>
        </w:rPr>
        <w:t xml:space="preserve"> </w:t>
      </w:r>
      <w:r w:rsidR="005B1CF1" w:rsidRPr="00871FC0">
        <w:t>the nature of the defendant</w:t>
      </w:r>
      <w:r w:rsidR="004A2163" w:rsidRPr="00871FC0">
        <w:t>’</w:t>
      </w:r>
      <w:r w:rsidR="005B1CF1" w:rsidRPr="00871FC0">
        <w:t>s conduct</w:t>
      </w:r>
      <w:r w:rsidR="005B1CF1" w:rsidRPr="00592CFE">
        <w:t xml:space="preserve"> is unreasonable</w:t>
      </w:r>
      <w:r w:rsidR="0036432B" w:rsidRPr="00592CFE">
        <w:t xml:space="preserve">.  </w:t>
      </w:r>
      <w:r w:rsidR="005B1CF1" w:rsidRPr="00592CFE">
        <w:t>The nature of the defendant</w:t>
      </w:r>
      <w:r w:rsidR="004A2163" w:rsidRPr="00592CFE">
        <w:t>’</w:t>
      </w:r>
      <w:r w:rsidR="005B1CF1" w:rsidRPr="00592CFE">
        <w:t>s conduct is not, however, an irrelevant consideration</w:t>
      </w:r>
      <w:r w:rsidR="0036432B" w:rsidRPr="00592CFE">
        <w:t xml:space="preserve">.  </w:t>
      </w:r>
      <w:r w:rsidR="005B1CF1" w:rsidRPr="00592CFE">
        <w:t>Generally speaking, the acts of a public authority will be of significant utility</w:t>
      </w:r>
      <w:r w:rsidR="0036432B" w:rsidRPr="00592CFE">
        <w:t xml:space="preserve">.  </w:t>
      </w:r>
      <w:r w:rsidR="005B1CF1" w:rsidRPr="00592CFE">
        <w:t>If simply put in the balance with the private interest, public utility will generally outweigh even very significant interferences with the claimant</w:t>
      </w:r>
      <w:r w:rsidR="004A2163" w:rsidRPr="00592CFE">
        <w:t>’</w:t>
      </w:r>
      <w:r w:rsidR="005B1CF1" w:rsidRPr="00592CFE">
        <w:t>s land, undercutting the purpose of providing compensation for injurious affection</w:t>
      </w:r>
      <w:r w:rsidR="0036432B" w:rsidRPr="00592CFE">
        <w:t xml:space="preserve">.  </w:t>
      </w:r>
      <w:r w:rsidR="005B1CF1" w:rsidRPr="00592CFE">
        <w:t xml:space="preserve">The distinction is thus between interferences that constitute the “give and take” expected </w:t>
      </w:r>
      <w:r w:rsidR="005B1CF1" w:rsidRPr="00592CFE">
        <w:lastRenderedPageBreak/>
        <w:t xml:space="preserve">of everyone and interferences that impose a disproportionate burden on individuals. </w:t>
      </w:r>
      <w:r w:rsidR="0036432B" w:rsidRPr="00592CFE">
        <w:t xml:space="preserve"> </w:t>
      </w:r>
      <w:r w:rsidR="005B1CF1" w:rsidRPr="00592CFE">
        <w:t>The reasonableness analysis should favour the public authority where the harm to property interests, considered in light of its severity, the nature of the neighbourhood, its duration, the sensitivity of the plaintiff and other relevant factors, is such that the harm cannot reasonably be viewed as more than the claimant</w:t>
      </w:r>
      <w:r w:rsidR="004A2163" w:rsidRPr="00592CFE">
        <w:t>’</w:t>
      </w:r>
      <w:r w:rsidR="005B1CF1" w:rsidRPr="00592CFE">
        <w:t>s fair share of the costs associated w</w:t>
      </w:r>
      <w:r w:rsidR="00FA7304">
        <w:t>ith providing a public benefit.</w:t>
      </w:r>
    </w:p>
    <w:p w:rsidR="005B1CF1" w:rsidRPr="00592CFE" w:rsidRDefault="00E84C3F" w:rsidP="00A54490">
      <w:pPr>
        <w:pStyle w:val="SCCNormalDoubleSpacing"/>
        <w:spacing w:after="480"/>
      </w:pPr>
      <w:r w:rsidRPr="00592CFE">
        <w:tab/>
      </w:r>
      <w:r w:rsidR="005B1CF1" w:rsidRPr="00592CFE">
        <w:t>Further, the reasonableness inquiry should not be short</w:t>
      </w:r>
      <w:r w:rsidR="00E35F17" w:rsidRPr="00592CFE">
        <w:noBreakHyphen/>
      </w:r>
      <w:r w:rsidR="005B1CF1" w:rsidRPr="00592CFE">
        <w:t>circuited on the basis that the interference is physical or material as opposed to a loss of amenities or is self</w:t>
      </w:r>
      <w:r w:rsidR="00E35F17" w:rsidRPr="00592CFE">
        <w:noBreakHyphen/>
      </w:r>
      <w:proofErr w:type="spellStart"/>
      <w:r w:rsidR="005B1CF1" w:rsidRPr="00592CFE">
        <w:t>evidently</w:t>
      </w:r>
      <w:proofErr w:type="spellEnd"/>
      <w:r w:rsidR="005B1CF1" w:rsidRPr="00592CFE">
        <w:t xml:space="preserve"> unreasonable.</w:t>
      </w:r>
      <w:r w:rsidR="0036432B" w:rsidRPr="00592CFE">
        <w:t xml:space="preserve">  </w:t>
      </w:r>
      <w:r w:rsidR="005B1CF1" w:rsidRPr="00592CFE">
        <w:t>Once a claimant passes the threshold test of showing harm that is substantial in the sense that it is non</w:t>
      </w:r>
      <w:r w:rsidR="00E35F17" w:rsidRPr="00592CFE">
        <w:noBreakHyphen/>
      </w:r>
      <w:proofErr w:type="spellStart"/>
      <w:r w:rsidR="005B1CF1" w:rsidRPr="00592CFE">
        <w:t>trivial</w:t>
      </w:r>
      <w:proofErr w:type="spellEnd"/>
      <w:r w:rsidR="005B1CF1" w:rsidRPr="00592CFE">
        <w:t>, there ought to be an inquiry into whether the interference is unreasonable, regardless of the type of harm involved.</w:t>
      </w:r>
    </w:p>
    <w:p w:rsidR="005B1CF1" w:rsidRPr="00592CFE" w:rsidRDefault="00E84C3F" w:rsidP="00A54490">
      <w:pPr>
        <w:pStyle w:val="SCCNormalDoubleSpacing"/>
        <w:spacing w:after="480"/>
      </w:pPr>
      <w:r w:rsidRPr="00592CFE">
        <w:tab/>
      </w:r>
      <w:r w:rsidR="005B1CF1" w:rsidRPr="00592CFE">
        <w:t>The Court of Appeal erred in finding that the Board</w:t>
      </w:r>
      <w:r w:rsidR="004A2163" w:rsidRPr="00592CFE">
        <w:t>’</w:t>
      </w:r>
      <w:r w:rsidR="005B1CF1" w:rsidRPr="00592CFE">
        <w:t>s application of the law of nuisance to the facts was unreasonable</w:t>
      </w:r>
      <w:r w:rsidR="0036432B" w:rsidRPr="00592CFE">
        <w:t xml:space="preserve">.  </w:t>
      </w:r>
      <w:r w:rsidR="005B1CF1" w:rsidRPr="00592CFE">
        <w:t>Provided that the Board reasonably carried out the analysis in substance, it was not required to specifically enumerate and refer by name to every factor mentioned in the case law</w:t>
      </w:r>
      <w:r w:rsidR="0036432B" w:rsidRPr="00592CFE">
        <w:t xml:space="preserve">.  </w:t>
      </w:r>
      <w:r w:rsidR="005B1CF1" w:rsidRPr="00592CFE">
        <w:t>It did not fail to take account of the utility of the respondent</w:t>
      </w:r>
      <w:r w:rsidR="004A2163" w:rsidRPr="00592CFE">
        <w:t>’</w:t>
      </w:r>
      <w:r w:rsidR="005B1CF1" w:rsidRPr="00592CFE">
        <w:t>s activity or fail to engage in the required balancing as the Court of Appeal concluded it had.  It was reasonable for the Board to conclude that in all of the circumstances, the appellant should not be expected to endure permanent interference with the use of its land that caused a significant diminution of its market value in order to serve the greater public good.</w:t>
      </w:r>
    </w:p>
    <w:p w:rsidR="007E1C47" w:rsidRPr="00592CFE" w:rsidRDefault="002E6705" w:rsidP="00A54490">
      <w:pPr>
        <w:pStyle w:val="SCCNormalDoubleSpacing"/>
        <w:keepNext/>
        <w:spacing w:after="720" w:line="240" w:lineRule="auto"/>
        <w:rPr>
          <w:b/>
        </w:rPr>
      </w:pPr>
      <w:r w:rsidRPr="00592CFE">
        <w:rPr>
          <w:b/>
        </w:rPr>
        <w:lastRenderedPageBreak/>
        <w:t>Cases Cited</w:t>
      </w:r>
    </w:p>
    <w:p w:rsidR="004E2C26" w:rsidRPr="00592CFE" w:rsidRDefault="002E6705" w:rsidP="0036432B">
      <w:pPr>
        <w:pStyle w:val="SCCNormalDoubleSpacing"/>
        <w:spacing w:before="480" w:after="480"/>
      </w:pPr>
      <w:r w:rsidRPr="00592CFE">
        <w:tab/>
      </w:r>
      <w:r w:rsidR="003849E3" w:rsidRPr="00592CFE">
        <w:rPr>
          <w:b/>
        </w:rPr>
        <w:t>Applied:</w:t>
      </w:r>
      <w:r w:rsidR="003849E3" w:rsidRPr="00592CFE">
        <w:t xml:space="preserve"> </w:t>
      </w:r>
      <w:r w:rsidR="00FC0F82" w:rsidRPr="00592CFE">
        <w:t xml:space="preserve"> </w:t>
      </w:r>
      <w:r w:rsidR="003849E3" w:rsidRPr="00592CFE">
        <w:rPr>
          <w:i/>
        </w:rPr>
        <w:t>St. Lawrence Cement Inc. v. Barrette</w:t>
      </w:r>
      <w:r w:rsidR="003849E3" w:rsidRPr="00592CFE">
        <w:t xml:space="preserve">, 2008 SCC 64, [2008] 3 S.C.R. 392; </w:t>
      </w:r>
      <w:r w:rsidR="003849E3" w:rsidRPr="00592CFE">
        <w:rPr>
          <w:i/>
        </w:rPr>
        <w:t>St. Pierre v. Ontario (Minister of Transportation and Communications)</w:t>
      </w:r>
      <w:r w:rsidR="003849E3" w:rsidRPr="00592CFE">
        <w:t xml:space="preserve">, [1987] 1 S.C.R. 906; </w:t>
      </w:r>
      <w:r w:rsidR="00D91CD0" w:rsidRPr="00592CFE">
        <w:rPr>
          <w:i/>
        </w:rPr>
        <w:t>Royal Anne Hotel Co. v. Village of Ashcroft</w:t>
      </w:r>
      <w:r w:rsidR="00D91CD0" w:rsidRPr="00592CFE">
        <w:t xml:space="preserve"> (1979), 95 D.L.R. (3d) 756; </w:t>
      </w:r>
      <w:r w:rsidR="003849E3" w:rsidRPr="00592CFE">
        <w:rPr>
          <w:i/>
        </w:rPr>
        <w:t>Tock v. St. John’s Metropolitan Area Board</w:t>
      </w:r>
      <w:r w:rsidR="003849E3" w:rsidRPr="00592CFE">
        <w:t xml:space="preserve">, [1989] 2 S.C.R. 1181; </w:t>
      </w:r>
      <w:proofErr w:type="spellStart"/>
      <w:r w:rsidR="003849E3" w:rsidRPr="00592CFE">
        <w:rPr>
          <w:i/>
        </w:rPr>
        <w:t>Jesperson’s</w:t>
      </w:r>
      <w:proofErr w:type="spellEnd"/>
      <w:r w:rsidR="003849E3" w:rsidRPr="00592CFE">
        <w:rPr>
          <w:i/>
        </w:rPr>
        <w:t xml:space="preserve"> Brake &amp; Muffler Ltd. v. Chilliwack (District)</w:t>
      </w:r>
      <w:r w:rsidR="003849E3" w:rsidRPr="00592CFE">
        <w:t xml:space="preserve"> (1994), 88 B.C.L.R. (2d) 230; </w:t>
      </w:r>
      <w:r w:rsidR="003849E3" w:rsidRPr="00592CFE">
        <w:rPr>
          <w:i/>
        </w:rPr>
        <w:t>Mandrake Management Consultants Ltd. v. Toronto Transit Commission</w:t>
      </w:r>
      <w:r w:rsidR="003849E3" w:rsidRPr="00592CFE">
        <w:t xml:space="preserve"> (1993), 62 O.A.C. 202; </w:t>
      </w:r>
      <w:proofErr w:type="spellStart"/>
      <w:r w:rsidR="003849E3" w:rsidRPr="00592CFE">
        <w:rPr>
          <w:i/>
        </w:rPr>
        <w:t>Schenck</w:t>
      </w:r>
      <w:proofErr w:type="spellEnd"/>
      <w:r w:rsidR="003849E3" w:rsidRPr="00592CFE">
        <w:rPr>
          <w:i/>
        </w:rPr>
        <w:t xml:space="preserve"> v. The Queen</w:t>
      </w:r>
      <w:r w:rsidR="003849E3" w:rsidRPr="00592CFE">
        <w:t xml:space="preserve"> (1981), 34 O.R. (2d) 595; </w:t>
      </w:r>
      <w:r w:rsidR="003849E3" w:rsidRPr="00592CFE">
        <w:rPr>
          <w:b/>
        </w:rPr>
        <w:t>considered:</w:t>
      </w:r>
      <w:r w:rsidR="003849E3" w:rsidRPr="00592CFE">
        <w:t xml:space="preserve"> </w:t>
      </w:r>
      <w:proofErr w:type="spellStart"/>
      <w:r w:rsidR="003849E3" w:rsidRPr="00592CFE">
        <w:rPr>
          <w:i/>
        </w:rPr>
        <w:t>Andreae</w:t>
      </w:r>
      <w:proofErr w:type="spellEnd"/>
      <w:r w:rsidR="003849E3" w:rsidRPr="00592CFE">
        <w:rPr>
          <w:i/>
        </w:rPr>
        <w:t xml:space="preserve"> v. Selfridge &amp; Co.</w:t>
      </w:r>
      <w:r w:rsidR="003849E3" w:rsidRPr="00592CFE">
        <w:t xml:space="preserve">, [1938] 1 Ch. 1; </w:t>
      </w:r>
      <w:r w:rsidR="003849E3" w:rsidRPr="00592CFE">
        <w:rPr>
          <w:b/>
        </w:rPr>
        <w:t>r</w:t>
      </w:r>
      <w:r w:rsidRPr="00592CFE">
        <w:rPr>
          <w:b/>
        </w:rPr>
        <w:t>eferred to:</w:t>
      </w:r>
      <w:r w:rsidR="00BD0E9E" w:rsidRPr="00592CFE">
        <w:t xml:space="preserve"> </w:t>
      </w:r>
      <w:r w:rsidR="002C1AFD" w:rsidRPr="00592CFE">
        <w:t xml:space="preserve"> </w:t>
      </w:r>
      <w:r w:rsidR="008C4589" w:rsidRPr="00592CFE">
        <w:rPr>
          <w:i/>
        </w:rPr>
        <w:t xml:space="preserve">Susan </w:t>
      </w:r>
      <w:proofErr w:type="spellStart"/>
      <w:r w:rsidR="008C4589" w:rsidRPr="00592CFE">
        <w:rPr>
          <w:i/>
        </w:rPr>
        <w:t>Heyes</w:t>
      </w:r>
      <w:proofErr w:type="spellEnd"/>
      <w:r w:rsidR="008C4589" w:rsidRPr="00592CFE">
        <w:rPr>
          <w:i/>
        </w:rPr>
        <w:t xml:space="preserve"> Inc. </w:t>
      </w:r>
      <w:r w:rsidR="00D52983" w:rsidRPr="00592CFE">
        <w:rPr>
          <w:i/>
        </w:rPr>
        <w:t>v. Vancouver (City)</w:t>
      </w:r>
      <w:r w:rsidR="008C4589" w:rsidRPr="00592CFE">
        <w:t>,</w:t>
      </w:r>
      <w:r w:rsidR="00D52983" w:rsidRPr="00592CFE">
        <w:t xml:space="preserve"> 2011 BCCA 77, 329 D</w:t>
      </w:r>
      <w:r w:rsidR="008C4589" w:rsidRPr="00592CFE">
        <w:t>.</w:t>
      </w:r>
      <w:r w:rsidR="00D52983" w:rsidRPr="00592CFE">
        <w:t>L</w:t>
      </w:r>
      <w:r w:rsidR="008C4589" w:rsidRPr="00592CFE">
        <w:t>.</w:t>
      </w:r>
      <w:r w:rsidR="00D52983" w:rsidRPr="00592CFE">
        <w:t>R</w:t>
      </w:r>
      <w:r w:rsidR="008C4589" w:rsidRPr="00592CFE">
        <w:t>.</w:t>
      </w:r>
      <w:r w:rsidR="00D52983" w:rsidRPr="00592CFE">
        <w:t xml:space="preserve"> (4th) 92, leave to appeal refused</w:t>
      </w:r>
      <w:r w:rsidR="00D66244" w:rsidRPr="00592CFE">
        <w:t>,</w:t>
      </w:r>
      <w:r w:rsidR="00D52983" w:rsidRPr="00592CFE">
        <w:t xml:space="preserve"> </w:t>
      </w:r>
      <w:r w:rsidR="008C4589" w:rsidRPr="00592CFE">
        <w:t>[</w:t>
      </w:r>
      <w:r w:rsidR="00D52983" w:rsidRPr="00592CFE">
        <w:t>2011</w:t>
      </w:r>
      <w:r w:rsidR="008C4589" w:rsidRPr="00592CFE">
        <w:t>] 3 S.C.R. xi</w:t>
      </w:r>
      <w:r w:rsidR="00D52983" w:rsidRPr="00592CFE">
        <w:t xml:space="preserve">; </w:t>
      </w:r>
      <w:r w:rsidR="008C4589" w:rsidRPr="00592CFE">
        <w:rPr>
          <w:i/>
        </w:rPr>
        <w:t xml:space="preserve">City of </w:t>
      </w:r>
      <w:proofErr w:type="spellStart"/>
      <w:r w:rsidR="008C4589" w:rsidRPr="00592CFE">
        <w:rPr>
          <w:i/>
        </w:rPr>
        <w:t>Campbellton</w:t>
      </w:r>
      <w:proofErr w:type="spellEnd"/>
      <w:r w:rsidR="008C4589" w:rsidRPr="00592CFE">
        <w:rPr>
          <w:i/>
        </w:rPr>
        <w:t xml:space="preserve"> v. </w:t>
      </w:r>
      <w:r w:rsidR="00D52983" w:rsidRPr="00592CFE">
        <w:rPr>
          <w:i/>
        </w:rPr>
        <w:t>Gray</w:t>
      </w:r>
      <w:r w:rsidR="004A2163" w:rsidRPr="00592CFE">
        <w:rPr>
          <w:i/>
        </w:rPr>
        <w:t>’</w:t>
      </w:r>
      <w:r w:rsidR="00D52983" w:rsidRPr="00592CFE">
        <w:rPr>
          <w:i/>
        </w:rPr>
        <w:t>s Velvet Ice</w:t>
      </w:r>
      <w:r w:rsidR="008C4589" w:rsidRPr="00592CFE">
        <w:rPr>
          <w:i/>
        </w:rPr>
        <w:t xml:space="preserve"> </w:t>
      </w:r>
      <w:r w:rsidR="00D52983" w:rsidRPr="00592CFE">
        <w:rPr>
          <w:i/>
        </w:rPr>
        <w:t>Cream Ltd.</w:t>
      </w:r>
      <w:r w:rsidR="00D52983" w:rsidRPr="00592CFE">
        <w:t xml:space="preserve"> </w:t>
      </w:r>
      <w:r w:rsidR="008C4589" w:rsidRPr="00592CFE">
        <w:t>(1981), 127 D.L.R. (3d) 436</w:t>
      </w:r>
      <w:r w:rsidR="00D52983" w:rsidRPr="00592CFE">
        <w:t xml:space="preserve">; </w:t>
      </w:r>
      <w:r w:rsidR="00D52983" w:rsidRPr="00592CFE">
        <w:rPr>
          <w:i/>
        </w:rPr>
        <w:t xml:space="preserve">The Queen v. </w:t>
      </w:r>
      <w:proofErr w:type="spellStart"/>
      <w:r w:rsidR="00D52983" w:rsidRPr="00592CFE">
        <w:rPr>
          <w:i/>
        </w:rPr>
        <w:t>Loiselle</w:t>
      </w:r>
      <w:proofErr w:type="spellEnd"/>
      <w:r w:rsidR="00D52983" w:rsidRPr="00592CFE">
        <w:t xml:space="preserve">, [1962] S.C.R. 624; </w:t>
      </w:r>
      <w:r w:rsidR="00D52983" w:rsidRPr="00592CFE">
        <w:rPr>
          <w:i/>
        </w:rPr>
        <w:t>Newfoundland (Minister of Works, Services and Transpo</w:t>
      </w:r>
      <w:r w:rsidR="008C4589" w:rsidRPr="00592CFE">
        <w:rPr>
          <w:i/>
        </w:rPr>
        <w:t>rtation) v. Airport Realty Ltd.</w:t>
      </w:r>
      <w:r w:rsidR="00D52983" w:rsidRPr="00592CFE">
        <w:t xml:space="preserve">, </w:t>
      </w:r>
      <w:r w:rsidR="008C4589" w:rsidRPr="00592CFE">
        <w:t xml:space="preserve">2001 NFCA 45, </w:t>
      </w:r>
      <w:r w:rsidR="00D52983" w:rsidRPr="00592CFE">
        <w:t xml:space="preserve">205 Nfld. &amp; P.E.I.R. 95; </w:t>
      </w:r>
      <w:proofErr w:type="spellStart"/>
      <w:r w:rsidR="00D52983" w:rsidRPr="00592CFE">
        <w:rPr>
          <w:i/>
        </w:rPr>
        <w:t>Wildtree</w:t>
      </w:r>
      <w:proofErr w:type="spellEnd"/>
      <w:r w:rsidR="00D52983" w:rsidRPr="00592CFE">
        <w:rPr>
          <w:i/>
        </w:rPr>
        <w:t xml:space="preserve"> Hotels Ltd. v. Harrow London Borough Council</w:t>
      </w:r>
      <w:r w:rsidR="008C4589" w:rsidRPr="00592CFE">
        <w:t>,</w:t>
      </w:r>
      <w:r w:rsidR="00D52983" w:rsidRPr="00592CFE">
        <w:t xml:space="preserve"> [2001] 2 A</w:t>
      </w:r>
      <w:r w:rsidR="008C4589" w:rsidRPr="00592CFE">
        <w:t>.</w:t>
      </w:r>
      <w:r w:rsidR="00D52983" w:rsidRPr="00592CFE">
        <w:t>C</w:t>
      </w:r>
      <w:r w:rsidR="008C4589" w:rsidRPr="00592CFE">
        <w:t>.</w:t>
      </w:r>
      <w:r w:rsidR="00D52983" w:rsidRPr="00592CFE">
        <w:t xml:space="preserve"> 1; </w:t>
      </w:r>
      <w:r w:rsidR="00D52983" w:rsidRPr="00592CFE">
        <w:rPr>
          <w:i/>
        </w:rPr>
        <w:t>Allen v. Gulf Oil Refining Ltd</w:t>
      </w:r>
      <w:r w:rsidR="008C4589" w:rsidRPr="00592CFE">
        <w:rPr>
          <w:i/>
        </w:rPr>
        <w:t>.</w:t>
      </w:r>
      <w:r w:rsidR="00D52983" w:rsidRPr="00592CFE">
        <w:t xml:space="preserve">, [1981] A.C. 1001; </w:t>
      </w:r>
      <w:r w:rsidR="00D52983" w:rsidRPr="00592CFE">
        <w:rPr>
          <w:i/>
        </w:rPr>
        <w:t>St. H</w:t>
      </w:r>
      <w:r w:rsidR="008C4589" w:rsidRPr="00592CFE">
        <w:rPr>
          <w:i/>
        </w:rPr>
        <w:t>elen</w:t>
      </w:r>
      <w:r w:rsidR="004A2163" w:rsidRPr="00592CFE">
        <w:rPr>
          <w:i/>
        </w:rPr>
        <w:t>’</w:t>
      </w:r>
      <w:r w:rsidR="008C4589" w:rsidRPr="00592CFE">
        <w:rPr>
          <w:i/>
        </w:rPr>
        <w:t>s Smelting Co. v. Tipping</w:t>
      </w:r>
      <w:r w:rsidR="008C4589" w:rsidRPr="00592CFE">
        <w:t xml:space="preserve"> (1865), 11 H.L.C. 642, 11 E.R. 1483</w:t>
      </w:r>
      <w:r w:rsidR="00D52983" w:rsidRPr="00592CFE">
        <w:t xml:space="preserve">; </w:t>
      </w:r>
      <w:r w:rsidR="00D52983" w:rsidRPr="00592CFE">
        <w:rPr>
          <w:i/>
        </w:rPr>
        <w:t>Walker v. McKinnon Industries</w:t>
      </w:r>
      <w:r w:rsidR="008C4589" w:rsidRPr="00592CFE">
        <w:rPr>
          <w:i/>
        </w:rPr>
        <w:t xml:space="preserve"> Ltd.</w:t>
      </w:r>
      <w:r w:rsidR="00D52983" w:rsidRPr="00592CFE">
        <w:t>, [1949] 4 D</w:t>
      </w:r>
      <w:r w:rsidR="008C4589" w:rsidRPr="00592CFE">
        <w:t>.</w:t>
      </w:r>
      <w:r w:rsidR="00D52983" w:rsidRPr="00592CFE">
        <w:t>L</w:t>
      </w:r>
      <w:r w:rsidR="008C4589" w:rsidRPr="00592CFE">
        <w:t>.</w:t>
      </w:r>
      <w:r w:rsidR="00D52983" w:rsidRPr="00592CFE">
        <w:t>R</w:t>
      </w:r>
      <w:r w:rsidR="008C4589" w:rsidRPr="00592CFE">
        <w:t>.</w:t>
      </w:r>
      <w:r w:rsidR="00D52983" w:rsidRPr="00592CFE">
        <w:t xml:space="preserve"> 739, </w:t>
      </w:r>
      <w:r w:rsidR="00FC0F82" w:rsidRPr="00592CFE">
        <w:t>varied by</w:t>
      </w:r>
      <w:r w:rsidR="00D52983" w:rsidRPr="00592CFE">
        <w:t xml:space="preserve"> </w:t>
      </w:r>
      <w:r w:rsidR="00F77205" w:rsidRPr="00592CFE">
        <w:t xml:space="preserve">[1950] 3 D.L.R. 159, </w:t>
      </w:r>
      <w:proofErr w:type="spellStart"/>
      <w:r w:rsidR="00FC0F82" w:rsidRPr="00592CFE">
        <w:t>aff’d</w:t>
      </w:r>
      <w:proofErr w:type="spellEnd"/>
      <w:r w:rsidR="00F77205" w:rsidRPr="00592CFE">
        <w:t xml:space="preserve"> </w:t>
      </w:r>
      <w:r w:rsidR="00D52983" w:rsidRPr="00592CFE">
        <w:t>[1951] 3 D</w:t>
      </w:r>
      <w:r w:rsidR="008C4589" w:rsidRPr="00592CFE">
        <w:t>.</w:t>
      </w:r>
      <w:r w:rsidR="00D52983" w:rsidRPr="00592CFE">
        <w:t>L</w:t>
      </w:r>
      <w:r w:rsidR="008C4589" w:rsidRPr="00592CFE">
        <w:t>.</w:t>
      </w:r>
      <w:r w:rsidR="00D52983" w:rsidRPr="00592CFE">
        <w:t>R</w:t>
      </w:r>
      <w:r w:rsidR="008C4589" w:rsidRPr="00592CFE">
        <w:t>.</w:t>
      </w:r>
      <w:r w:rsidR="00D52983" w:rsidRPr="00592CFE">
        <w:t xml:space="preserve"> 577</w:t>
      </w:r>
      <w:r w:rsidR="00871FC0" w:rsidRPr="00592CFE">
        <w:t xml:space="preserve">; </w:t>
      </w:r>
      <w:r w:rsidR="00871FC0" w:rsidRPr="00592CFE">
        <w:rPr>
          <w:i/>
        </w:rPr>
        <w:t>Smith v. Inco Ltd.</w:t>
      </w:r>
      <w:r w:rsidR="00871FC0" w:rsidRPr="00592CFE">
        <w:t>, 2011 ONCA 628, 107 O.R. (3d) 321</w:t>
      </w:r>
      <w:r w:rsidR="00D52983" w:rsidRPr="00592CFE">
        <w:t>.</w:t>
      </w:r>
    </w:p>
    <w:p w:rsidR="003B215F" w:rsidRPr="00592CFE" w:rsidRDefault="002E6705" w:rsidP="0036432B">
      <w:pPr>
        <w:pStyle w:val="SCCNormalDoubleSpacing"/>
        <w:keepNext/>
        <w:spacing w:after="720" w:line="240" w:lineRule="auto"/>
      </w:pPr>
      <w:r w:rsidRPr="00592CFE">
        <w:rPr>
          <w:b/>
        </w:rPr>
        <w:t>Statutes and Regulations Cite</w:t>
      </w:r>
      <w:r w:rsidR="00A41805" w:rsidRPr="00592CFE">
        <w:rPr>
          <w:b/>
        </w:rPr>
        <w:t>d</w:t>
      </w:r>
    </w:p>
    <w:p w:rsidR="00A149DF" w:rsidRPr="00592CFE" w:rsidRDefault="00D52983" w:rsidP="0036432B">
      <w:pPr>
        <w:pStyle w:val="SCCNormalDoubleSpacing"/>
        <w:spacing w:after="720" w:line="240" w:lineRule="auto"/>
        <w:ind w:left="547" w:hanging="547"/>
      </w:pPr>
      <w:r w:rsidRPr="00592CFE">
        <w:rPr>
          <w:i/>
        </w:rPr>
        <w:t>Expropriations Act</w:t>
      </w:r>
      <w:r w:rsidRPr="00592CFE">
        <w:t>, R.S.O. 1990, c</w:t>
      </w:r>
      <w:r w:rsidR="00BE3419" w:rsidRPr="00592CFE">
        <w:t>. </w:t>
      </w:r>
      <w:r w:rsidRPr="00592CFE">
        <w:t xml:space="preserve">E.26, </w:t>
      </w:r>
      <w:r w:rsidR="00E35F17" w:rsidRPr="00592CFE">
        <w:t>ss. </w:t>
      </w:r>
      <w:r w:rsidRPr="00592CFE">
        <w:t>1(1), 21.</w:t>
      </w:r>
    </w:p>
    <w:p w:rsidR="002E6705" w:rsidRPr="00592CFE" w:rsidRDefault="002E6705" w:rsidP="0036432B">
      <w:pPr>
        <w:pStyle w:val="SCCNormalDoubleSpacing"/>
        <w:keepNext/>
        <w:spacing w:after="720" w:line="240" w:lineRule="auto"/>
        <w:rPr>
          <w:b/>
        </w:rPr>
      </w:pPr>
      <w:r w:rsidRPr="00592CFE">
        <w:rPr>
          <w:b/>
        </w:rPr>
        <w:lastRenderedPageBreak/>
        <w:t>Authors Cited</w:t>
      </w:r>
    </w:p>
    <w:p w:rsidR="00D52983" w:rsidRPr="00592CFE" w:rsidRDefault="00DC6860" w:rsidP="0036432B">
      <w:pPr>
        <w:pStyle w:val="SCCNormalDoubleSpacing"/>
        <w:spacing w:after="240" w:line="240" w:lineRule="auto"/>
        <w:ind w:left="547" w:hanging="547"/>
      </w:pPr>
      <w:r w:rsidRPr="00592CFE">
        <w:t>Fleming, John</w:t>
      </w:r>
      <w:r w:rsidR="0036432B" w:rsidRPr="00592CFE">
        <w:t> </w:t>
      </w:r>
      <w:r w:rsidRPr="00592CFE">
        <w:t xml:space="preserve">G.  </w:t>
      </w:r>
      <w:r w:rsidR="00D52983" w:rsidRPr="00592CFE">
        <w:rPr>
          <w:i/>
        </w:rPr>
        <w:t>Fleming</w:t>
      </w:r>
      <w:r w:rsidR="004A2163" w:rsidRPr="00592CFE">
        <w:rPr>
          <w:i/>
        </w:rPr>
        <w:t>’</w:t>
      </w:r>
      <w:r w:rsidRPr="00592CFE">
        <w:rPr>
          <w:i/>
        </w:rPr>
        <w:t xml:space="preserve">s </w:t>
      </w:r>
      <w:proofErr w:type="gramStart"/>
      <w:r w:rsidRPr="00592CFE">
        <w:rPr>
          <w:i/>
        </w:rPr>
        <w:t>The</w:t>
      </w:r>
      <w:proofErr w:type="gramEnd"/>
      <w:r w:rsidRPr="00592CFE">
        <w:rPr>
          <w:i/>
        </w:rPr>
        <w:t xml:space="preserve"> Law of Torts</w:t>
      </w:r>
      <w:r w:rsidR="00637490" w:rsidRPr="00592CFE">
        <w:t>,</w:t>
      </w:r>
      <w:r w:rsidR="00D52983" w:rsidRPr="00592CFE">
        <w:t xml:space="preserve"> 10th</w:t>
      </w:r>
      <w:r w:rsidR="00637490" w:rsidRPr="00592CFE">
        <w:t xml:space="preserve"> ed</w:t>
      </w:r>
      <w:r w:rsidR="00D52983" w:rsidRPr="00592CFE">
        <w:t>.</w:t>
      </w:r>
      <w:r w:rsidRPr="00592CFE">
        <w:t xml:space="preserve">, by Carolyn </w:t>
      </w:r>
      <w:proofErr w:type="spellStart"/>
      <w:r w:rsidRPr="00592CFE">
        <w:t>Sappideen</w:t>
      </w:r>
      <w:proofErr w:type="spellEnd"/>
      <w:r w:rsidRPr="00592CFE">
        <w:t xml:space="preserve"> and </w:t>
      </w:r>
      <w:proofErr w:type="spellStart"/>
      <w:r w:rsidRPr="00592CFE">
        <w:t>Prue</w:t>
      </w:r>
      <w:proofErr w:type="spellEnd"/>
      <w:r w:rsidRPr="00592CFE">
        <w:t xml:space="preserve"> Vines, eds.  </w:t>
      </w:r>
      <w:proofErr w:type="spellStart"/>
      <w:r w:rsidRPr="00592CFE">
        <w:t>Pyrmont</w:t>
      </w:r>
      <w:proofErr w:type="spellEnd"/>
      <w:r w:rsidRPr="00592CFE">
        <w:t xml:space="preserve">, N.S.W.:  </w:t>
      </w:r>
      <w:proofErr w:type="spellStart"/>
      <w:r w:rsidR="004017E8" w:rsidRPr="00592CFE">
        <w:t>Lawbook</w:t>
      </w:r>
      <w:proofErr w:type="spellEnd"/>
      <w:r w:rsidR="004017E8" w:rsidRPr="00592CFE">
        <w:t xml:space="preserve"> Co.</w:t>
      </w:r>
      <w:r w:rsidRPr="00592CFE">
        <w:t>, 2011.</w:t>
      </w:r>
    </w:p>
    <w:p w:rsidR="00D52983" w:rsidRPr="00592CFE" w:rsidRDefault="00D52983" w:rsidP="0036432B">
      <w:pPr>
        <w:pStyle w:val="SCCNormalDoubleSpacing"/>
        <w:spacing w:after="240" w:line="240" w:lineRule="auto"/>
        <w:ind w:left="547" w:hanging="547"/>
      </w:pPr>
      <w:proofErr w:type="spellStart"/>
      <w:r w:rsidRPr="00592CFE">
        <w:t>Klar</w:t>
      </w:r>
      <w:proofErr w:type="spellEnd"/>
      <w:r w:rsidR="0036432B" w:rsidRPr="00592CFE">
        <w:t>, Lewis </w:t>
      </w:r>
      <w:r w:rsidR="004017E8" w:rsidRPr="00592CFE">
        <w:t xml:space="preserve">N.  </w:t>
      </w:r>
      <w:r w:rsidR="004017E8" w:rsidRPr="00592CFE">
        <w:rPr>
          <w:i/>
        </w:rPr>
        <w:t>Tort Law</w:t>
      </w:r>
      <w:r w:rsidR="004017E8" w:rsidRPr="00592CFE">
        <w:t xml:space="preserve">, 5th </w:t>
      </w:r>
      <w:proofErr w:type="gramStart"/>
      <w:r w:rsidR="004017E8" w:rsidRPr="00592CFE">
        <w:t>ed</w:t>
      </w:r>
      <w:proofErr w:type="gramEnd"/>
      <w:r w:rsidR="004017E8" w:rsidRPr="00592CFE">
        <w:t xml:space="preserve">. </w:t>
      </w:r>
      <w:r w:rsidRPr="00592CFE">
        <w:t xml:space="preserve"> </w:t>
      </w:r>
      <w:r w:rsidR="004017E8" w:rsidRPr="00592CFE">
        <w:t xml:space="preserve">Toronto:  </w:t>
      </w:r>
      <w:proofErr w:type="spellStart"/>
      <w:r w:rsidR="004017E8" w:rsidRPr="00592CFE">
        <w:t>Carswell</w:t>
      </w:r>
      <w:proofErr w:type="spellEnd"/>
      <w:r w:rsidR="004017E8" w:rsidRPr="00592CFE">
        <w:t xml:space="preserve">, </w:t>
      </w:r>
      <w:r w:rsidRPr="00592CFE">
        <w:t>2012</w:t>
      </w:r>
      <w:r w:rsidR="00637490" w:rsidRPr="00592CFE">
        <w:t>.</w:t>
      </w:r>
    </w:p>
    <w:p w:rsidR="002E7607" w:rsidRPr="00592CFE" w:rsidRDefault="002E7607" w:rsidP="0036432B">
      <w:pPr>
        <w:pStyle w:val="SCCNormalDoubleSpacing"/>
        <w:spacing w:after="240" w:line="240" w:lineRule="auto"/>
        <w:ind w:left="547" w:hanging="547"/>
      </w:pPr>
      <w:proofErr w:type="gramStart"/>
      <w:r w:rsidRPr="00592CFE">
        <w:t>Linden, Allen</w:t>
      </w:r>
      <w:r w:rsidR="0036432B" w:rsidRPr="00592CFE">
        <w:t> </w:t>
      </w:r>
      <w:r w:rsidRPr="00592CFE">
        <w:t xml:space="preserve">M., and Bruce </w:t>
      </w:r>
      <w:proofErr w:type="spellStart"/>
      <w:r w:rsidRPr="00592CFE">
        <w:t>Feldthusen</w:t>
      </w:r>
      <w:proofErr w:type="spellEnd"/>
      <w:r w:rsidRPr="00592CFE">
        <w:t>.</w:t>
      </w:r>
      <w:proofErr w:type="gramEnd"/>
      <w:r w:rsidRPr="00592CFE">
        <w:t xml:space="preserve">  </w:t>
      </w:r>
      <w:r w:rsidRPr="00592CFE">
        <w:rPr>
          <w:i/>
        </w:rPr>
        <w:t>Canadian Tort Law</w:t>
      </w:r>
      <w:r w:rsidRPr="00592CFE">
        <w:t xml:space="preserve">, 9th </w:t>
      </w:r>
      <w:proofErr w:type="gramStart"/>
      <w:r w:rsidRPr="00592CFE">
        <w:t>ed</w:t>
      </w:r>
      <w:proofErr w:type="gramEnd"/>
      <w:r w:rsidRPr="00592CFE">
        <w:t>.  Markham, Ont.:  LexisNexis, 2011.</w:t>
      </w:r>
    </w:p>
    <w:p w:rsidR="00D52983" w:rsidRPr="00592CFE" w:rsidRDefault="00D52983" w:rsidP="0036432B">
      <w:pPr>
        <w:pStyle w:val="SCCNormalDoubleSpacing"/>
        <w:spacing w:after="240" w:line="240" w:lineRule="auto"/>
        <w:ind w:left="547" w:hanging="547"/>
      </w:pPr>
      <w:r w:rsidRPr="00592CFE">
        <w:t xml:space="preserve">McLaren, </w:t>
      </w:r>
      <w:r w:rsidR="0036432B" w:rsidRPr="00592CFE">
        <w:t>John </w:t>
      </w:r>
      <w:r w:rsidR="00E35F17" w:rsidRPr="00592CFE">
        <w:t>P. </w:t>
      </w:r>
      <w:r w:rsidR="00637490" w:rsidRPr="00592CFE">
        <w:t xml:space="preserve">S.  </w:t>
      </w:r>
      <w:r w:rsidRPr="00592CFE">
        <w:t>“Nuisance in Canada”</w:t>
      </w:r>
      <w:r w:rsidR="00637490" w:rsidRPr="00592CFE">
        <w:t>,</w:t>
      </w:r>
      <w:r w:rsidR="006C6D17" w:rsidRPr="00592CFE">
        <w:t xml:space="preserve"> in </w:t>
      </w:r>
      <w:r w:rsidR="0036432B" w:rsidRPr="00592CFE">
        <w:t>Allen </w:t>
      </w:r>
      <w:r w:rsidR="006C6D17" w:rsidRPr="00592CFE">
        <w:t xml:space="preserve">M. Linden, ed., </w:t>
      </w:r>
      <w:r w:rsidR="006C6D17" w:rsidRPr="00592CFE">
        <w:rPr>
          <w:i/>
        </w:rPr>
        <w:t xml:space="preserve">Studies </w:t>
      </w:r>
      <w:proofErr w:type="gramStart"/>
      <w:r w:rsidR="006C6D17" w:rsidRPr="00592CFE">
        <w:rPr>
          <w:i/>
        </w:rPr>
        <w:t>I</w:t>
      </w:r>
      <w:r w:rsidRPr="00592CFE">
        <w:rPr>
          <w:i/>
        </w:rPr>
        <w:t>n</w:t>
      </w:r>
      <w:proofErr w:type="gramEnd"/>
      <w:r w:rsidRPr="00592CFE">
        <w:rPr>
          <w:i/>
        </w:rPr>
        <w:t xml:space="preserve"> Canadian Tort Law</w:t>
      </w:r>
      <w:r w:rsidR="006C6D17" w:rsidRPr="00592CFE">
        <w:t>.</w:t>
      </w:r>
      <w:r w:rsidRPr="00592CFE">
        <w:t xml:space="preserve"> </w:t>
      </w:r>
      <w:r w:rsidR="006C6D17" w:rsidRPr="00592CFE">
        <w:t xml:space="preserve"> Toronto:  </w:t>
      </w:r>
      <w:proofErr w:type="spellStart"/>
      <w:r w:rsidR="006C6D17" w:rsidRPr="00592CFE">
        <w:t>Butterworths</w:t>
      </w:r>
      <w:proofErr w:type="spellEnd"/>
      <w:r w:rsidR="006C6D17" w:rsidRPr="00592CFE">
        <w:t xml:space="preserve">, </w:t>
      </w:r>
      <w:r w:rsidRPr="00592CFE">
        <w:t>1968, 3</w:t>
      </w:r>
      <w:r w:rsidR="006C6D17" w:rsidRPr="00592CFE">
        <w:t>20</w:t>
      </w:r>
      <w:r w:rsidRPr="00592CFE">
        <w:t>.</w:t>
      </w:r>
    </w:p>
    <w:p w:rsidR="00DD6A55" w:rsidRPr="00592CFE" w:rsidRDefault="00DD6A55" w:rsidP="00DD6A55">
      <w:pPr>
        <w:pStyle w:val="SCCNormalDoubleSpacing"/>
        <w:spacing w:after="240" w:line="240" w:lineRule="auto"/>
        <w:ind w:left="547" w:hanging="547"/>
      </w:pPr>
      <w:proofErr w:type="gramStart"/>
      <w:r w:rsidRPr="00592CFE">
        <w:t>Murphy, John</w:t>
      </w:r>
      <w:r w:rsidR="00156C3E" w:rsidRPr="00592CFE">
        <w:t>, and Christian Witting</w:t>
      </w:r>
      <w:r w:rsidRPr="00592CFE">
        <w:t>.</w:t>
      </w:r>
      <w:proofErr w:type="gramEnd"/>
      <w:r w:rsidRPr="00592CFE">
        <w:t xml:space="preserve">  </w:t>
      </w:r>
      <w:r w:rsidRPr="00592CFE">
        <w:rPr>
          <w:i/>
        </w:rPr>
        <w:t>Street on Torts</w:t>
      </w:r>
      <w:r w:rsidRPr="00592CFE">
        <w:t xml:space="preserve">, 13th </w:t>
      </w:r>
      <w:proofErr w:type="gramStart"/>
      <w:r w:rsidRPr="00592CFE">
        <w:t>ed</w:t>
      </w:r>
      <w:proofErr w:type="gramEnd"/>
      <w:r w:rsidRPr="00592CFE">
        <w:t>.  Oxford:  Oxford University Press, 2012.</w:t>
      </w:r>
    </w:p>
    <w:p w:rsidR="00D52983" w:rsidRPr="00592CFE" w:rsidRDefault="00D52983" w:rsidP="0036432B">
      <w:pPr>
        <w:pStyle w:val="SCCNormalDoubleSpacing"/>
        <w:spacing w:after="240" w:line="240" w:lineRule="auto"/>
        <w:ind w:left="547" w:hanging="547"/>
      </w:pPr>
      <w:proofErr w:type="spellStart"/>
      <w:r w:rsidRPr="00592CFE">
        <w:t>Senzilet</w:t>
      </w:r>
      <w:proofErr w:type="spellEnd"/>
      <w:r w:rsidRPr="00592CFE">
        <w:t xml:space="preserve">, </w:t>
      </w:r>
      <w:r w:rsidR="00637490" w:rsidRPr="00592CFE">
        <w:t xml:space="preserve">Michael William.  </w:t>
      </w:r>
      <w:r w:rsidR="00D1230B" w:rsidRPr="00592CFE">
        <w:t>“</w:t>
      </w:r>
      <w:r w:rsidRPr="00592CFE">
        <w:t xml:space="preserve">Compensation for Injurious Affection Where No Land </w:t>
      </w:r>
      <w:r w:rsidR="00D1230B" w:rsidRPr="00592CFE">
        <w:t>I</w:t>
      </w:r>
      <w:r w:rsidRPr="00592CFE">
        <w:t>s Taken</w:t>
      </w:r>
      <w:r w:rsidR="00D1230B" w:rsidRPr="00592CFE">
        <w:t>”,</w:t>
      </w:r>
      <w:r w:rsidRPr="00592CFE">
        <w:t xml:space="preserve"> unpublished LL.M. thesis, University of Ottawa</w:t>
      </w:r>
      <w:r w:rsidR="00D1230B" w:rsidRPr="00592CFE">
        <w:t>,</w:t>
      </w:r>
      <w:r w:rsidRPr="00592CFE">
        <w:t xml:space="preserve"> 1987.</w:t>
      </w:r>
    </w:p>
    <w:p w:rsidR="00D52983" w:rsidRPr="00592CFE" w:rsidRDefault="00D52983" w:rsidP="0036432B">
      <w:pPr>
        <w:pStyle w:val="SCCNormalDoubleSpacing"/>
        <w:spacing w:after="720" w:line="240" w:lineRule="auto"/>
        <w:ind w:left="547" w:hanging="547"/>
      </w:pPr>
      <w:r w:rsidRPr="00592CFE">
        <w:t xml:space="preserve">Todd, </w:t>
      </w:r>
      <w:r w:rsidR="00DD6A55" w:rsidRPr="00592CFE">
        <w:t>Eric </w:t>
      </w:r>
      <w:r w:rsidR="00637490" w:rsidRPr="00592CFE">
        <w:t>C.</w:t>
      </w:r>
      <w:r w:rsidR="008C4589" w:rsidRPr="00592CFE">
        <w:t> </w:t>
      </w:r>
      <w:r w:rsidR="00637490" w:rsidRPr="00592CFE">
        <w:t xml:space="preserve">E.  </w:t>
      </w:r>
      <w:r w:rsidRPr="00592CFE">
        <w:rPr>
          <w:i/>
        </w:rPr>
        <w:t>The Law of Expropriation and Compensation in Canada</w:t>
      </w:r>
      <w:r w:rsidR="004017E8" w:rsidRPr="00592CFE">
        <w:t xml:space="preserve">, 2nd </w:t>
      </w:r>
      <w:proofErr w:type="gramStart"/>
      <w:r w:rsidR="004017E8" w:rsidRPr="00592CFE">
        <w:t>ed</w:t>
      </w:r>
      <w:proofErr w:type="gramEnd"/>
      <w:r w:rsidR="00637490" w:rsidRPr="00592CFE">
        <w:t>.</w:t>
      </w:r>
      <w:r w:rsidR="009D1E4C" w:rsidRPr="00592CFE">
        <w:t xml:space="preserve">  </w:t>
      </w:r>
      <w:r w:rsidR="004017E8" w:rsidRPr="00592CFE">
        <w:t xml:space="preserve">Scarborough, Ont.:  </w:t>
      </w:r>
      <w:proofErr w:type="spellStart"/>
      <w:r w:rsidR="004017E8" w:rsidRPr="00592CFE">
        <w:t>Carswell</w:t>
      </w:r>
      <w:proofErr w:type="spellEnd"/>
      <w:r w:rsidR="004017E8" w:rsidRPr="00592CFE">
        <w:t xml:space="preserve">, </w:t>
      </w:r>
      <w:r w:rsidRPr="00592CFE">
        <w:t>1992.</w:t>
      </w:r>
    </w:p>
    <w:p w:rsidR="00656313" w:rsidRPr="00592CFE" w:rsidRDefault="002C1AFD" w:rsidP="0036432B">
      <w:pPr>
        <w:pStyle w:val="SCCNormalDoubleSpacing"/>
        <w:spacing w:before="480" w:after="480"/>
      </w:pPr>
      <w:r w:rsidRPr="00592CFE">
        <w:tab/>
      </w:r>
      <w:r w:rsidR="009B57B3" w:rsidRPr="00592CFE">
        <w:t xml:space="preserve">APPEAL from a judgment of the </w:t>
      </w:r>
      <w:r w:rsidRPr="00592CFE">
        <w:t xml:space="preserve">Ontario </w:t>
      </w:r>
      <w:r w:rsidR="009B57B3" w:rsidRPr="00592CFE">
        <w:t>Court of Appeal</w:t>
      </w:r>
      <w:r w:rsidR="00BE3419" w:rsidRPr="00592CFE">
        <w:t xml:space="preserve"> (Doherty, Watt and Epstein </w:t>
      </w:r>
      <w:r w:rsidR="00DD5299" w:rsidRPr="00592CFE">
        <w:t xml:space="preserve">JJ.A.), 2011 ONCA 419, </w:t>
      </w:r>
      <w:r w:rsidR="00E67FF0" w:rsidRPr="00592CFE">
        <w:t xml:space="preserve">106 O.R. (3d) 81, 281 O.A.C. 150, 332 D.L.R. (4th) 641, 6 R.P.R. (5th) 1, 104 L.C.R. 1, </w:t>
      </w:r>
      <w:r w:rsidR="00326CD5" w:rsidRPr="00592CFE">
        <w:t xml:space="preserve">85 C.C.L.T. (3d) 51, </w:t>
      </w:r>
      <w:r w:rsidR="00E67FF0" w:rsidRPr="00592CFE">
        <w:t xml:space="preserve">[2011] O.J. </w:t>
      </w:r>
      <w:r w:rsidR="00E35F17" w:rsidRPr="00592CFE">
        <w:t>No. </w:t>
      </w:r>
      <w:r w:rsidR="00E67FF0" w:rsidRPr="00592CFE">
        <w:t xml:space="preserve">2451 (QL), 2011 </w:t>
      </w:r>
      <w:proofErr w:type="spellStart"/>
      <w:r w:rsidR="00E67FF0" w:rsidRPr="00592CFE">
        <w:t>CarswellOnt</w:t>
      </w:r>
      <w:proofErr w:type="spellEnd"/>
      <w:r w:rsidR="00E67FF0" w:rsidRPr="00592CFE">
        <w:t xml:space="preserve"> 4064, </w:t>
      </w:r>
      <w:r w:rsidR="00DD5299" w:rsidRPr="00592CFE">
        <w:t xml:space="preserve">setting aside a decision of Wilson, Hill and Lax JJ., 2010 ONSC 304, 100 O.R. (3d) 425, 258 O.A.C. 1, 318 D.L.R. (4th) 229, 91 R.P.R. (4th) 41, 100 L.C.R. 32, </w:t>
      </w:r>
      <w:r w:rsidR="00E67FF0" w:rsidRPr="00592CFE">
        <w:t xml:space="preserve">[2010] O.J. </w:t>
      </w:r>
      <w:r w:rsidR="00E35F17" w:rsidRPr="00592CFE">
        <w:t>No. </w:t>
      </w:r>
      <w:r w:rsidR="00E67FF0" w:rsidRPr="00592CFE">
        <w:t xml:space="preserve">156 (QL), 2010 </w:t>
      </w:r>
      <w:proofErr w:type="spellStart"/>
      <w:r w:rsidR="00E67FF0" w:rsidRPr="00592CFE">
        <w:t>CarswellOnt</w:t>
      </w:r>
      <w:proofErr w:type="spellEnd"/>
      <w:r w:rsidR="00E67FF0" w:rsidRPr="00592CFE">
        <w:t xml:space="preserve"> 162, </w:t>
      </w:r>
      <w:r w:rsidR="00DD5299" w:rsidRPr="00592CFE">
        <w:t>affirming a decision of the Ontario Municipal Board</w:t>
      </w:r>
      <w:r w:rsidR="001A21AB" w:rsidRPr="00592CFE">
        <w:t xml:space="preserve"> (2009), 96 L.C.R. 100, [2009] O.M.B.D. </w:t>
      </w:r>
      <w:r w:rsidR="00E35F17" w:rsidRPr="00592CFE">
        <w:t>No. </w:t>
      </w:r>
      <w:r w:rsidR="001A21AB" w:rsidRPr="00592CFE">
        <w:t xml:space="preserve">1 (QL), 2009 </w:t>
      </w:r>
      <w:proofErr w:type="spellStart"/>
      <w:r w:rsidR="001A21AB" w:rsidRPr="00592CFE">
        <w:t>CarswellOnt</w:t>
      </w:r>
      <w:proofErr w:type="spellEnd"/>
      <w:r w:rsidR="001A21AB" w:rsidRPr="00592CFE">
        <w:t xml:space="preserve"> 290</w:t>
      </w:r>
      <w:r w:rsidRPr="00592CFE">
        <w:t xml:space="preserve">.  Appeal </w:t>
      </w:r>
      <w:r w:rsidR="00E84C3F" w:rsidRPr="00592CFE">
        <w:t>allowed</w:t>
      </w:r>
      <w:r w:rsidRPr="00592CFE">
        <w:t>.</w:t>
      </w:r>
    </w:p>
    <w:p w:rsidR="00A6404E" w:rsidRPr="00592CFE" w:rsidRDefault="00DD5299" w:rsidP="0036432B">
      <w:pPr>
        <w:pStyle w:val="SCCNormalDoubleSpacing"/>
        <w:spacing w:before="480" w:after="480"/>
      </w:pPr>
      <w:r w:rsidRPr="00592CFE">
        <w:rPr>
          <w:i/>
        </w:rPr>
        <w:tab/>
      </w:r>
      <w:proofErr w:type="gramStart"/>
      <w:r w:rsidRPr="00592CFE">
        <w:rPr>
          <w:i/>
        </w:rPr>
        <w:t xml:space="preserve">Shane </w:t>
      </w:r>
      <w:proofErr w:type="spellStart"/>
      <w:r w:rsidRPr="00592CFE">
        <w:rPr>
          <w:i/>
        </w:rPr>
        <w:t>Rayman</w:t>
      </w:r>
      <w:proofErr w:type="spellEnd"/>
      <w:r w:rsidRPr="00592CFE">
        <w:t xml:space="preserve"> and </w:t>
      </w:r>
      <w:r w:rsidRPr="00592CFE">
        <w:rPr>
          <w:i/>
        </w:rPr>
        <w:t xml:space="preserve">Greg </w:t>
      </w:r>
      <w:proofErr w:type="spellStart"/>
      <w:r w:rsidRPr="00592CFE">
        <w:rPr>
          <w:i/>
        </w:rPr>
        <w:t>Temelini</w:t>
      </w:r>
      <w:proofErr w:type="spellEnd"/>
      <w:r w:rsidRPr="00592CFE">
        <w:t>, for the appellant.</w:t>
      </w:r>
      <w:proofErr w:type="gramEnd"/>
    </w:p>
    <w:p w:rsidR="00A6404E" w:rsidRPr="00592CFE" w:rsidRDefault="00DD5299" w:rsidP="0036432B">
      <w:pPr>
        <w:pStyle w:val="SCCNormalDoubleSpacing"/>
        <w:spacing w:before="480" w:after="480"/>
      </w:pPr>
      <w:r w:rsidRPr="00592CFE">
        <w:rPr>
          <w:i/>
        </w:rPr>
        <w:lastRenderedPageBreak/>
        <w:tab/>
      </w:r>
      <w:proofErr w:type="gramStart"/>
      <w:r w:rsidRPr="00592CFE">
        <w:rPr>
          <w:i/>
        </w:rPr>
        <w:t>Leonard</w:t>
      </w:r>
      <w:r w:rsidR="0036432B" w:rsidRPr="00592CFE">
        <w:rPr>
          <w:i/>
        </w:rPr>
        <w:t> </w:t>
      </w:r>
      <w:r w:rsidRPr="00592CFE">
        <w:rPr>
          <w:i/>
        </w:rPr>
        <w:t xml:space="preserve">F. </w:t>
      </w:r>
      <w:proofErr w:type="spellStart"/>
      <w:r w:rsidRPr="00592CFE">
        <w:rPr>
          <w:i/>
        </w:rPr>
        <w:t>Marsello</w:t>
      </w:r>
      <w:proofErr w:type="spellEnd"/>
      <w:r w:rsidRPr="00592CFE">
        <w:t xml:space="preserve">, </w:t>
      </w:r>
      <w:proofErr w:type="spellStart"/>
      <w:r w:rsidRPr="00592CFE">
        <w:rPr>
          <w:i/>
        </w:rPr>
        <w:t>Malliha</w:t>
      </w:r>
      <w:proofErr w:type="spellEnd"/>
      <w:r w:rsidRPr="00592CFE">
        <w:rPr>
          <w:i/>
        </w:rPr>
        <w:t xml:space="preserve"> Wilson</w:t>
      </w:r>
      <w:r w:rsidR="002C1AFD" w:rsidRPr="00592CFE">
        <w:t>,</w:t>
      </w:r>
      <w:r w:rsidRPr="00592CFE">
        <w:t xml:space="preserve"> </w:t>
      </w:r>
      <w:proofErr w:type="spellStart"/>
      <w:r w:rsidR="0036432B" w:rsidRPr="00592CFE">
        <w:rPr>
          <w:i/>
        </w:rPr>
        <w:t>Shona</w:t>
      </w:r>
      <w:proofErr w:type="spellEnd"/>
      <w:r w:rsidR="0036432B" w:rsidRPr="00592CFE">
        <w:rPr>
          <w:i/>
        </w:rPr>
        <w:t> </w:t>
      </w:r>
      <w:r w:rsidRPr="00592CFE">
        <w:rPr>
          <w:i/>
        </w:rPr>
        <w:t>L. Compton</w:t>
      </w:r>
      <w:r w:rsidR="002C1AFD" w:rsidRPr="00592CFE">
        <w:t xml:space="preserve"> and</w:t>
      </w:r>
      <w:r w:rsidRPr="00592CFE">
        <w:t xml:space="preserve"> </w:t>
      </w:r>
      <w:r w:rsidR="002C1AFD" w:rsidRPr="00592CFE">
        <w:rPr>
          <w:i/>
        </w:rPr>
        <w:t>William</w:t>
      </w:r>
      <w:r w:rsidR="00BE3419" w:rsidRPr="00592CFE">
        <w:rPr>
          <w:i/>
        </w:rPr>
        <w:t> </w:t>
      </w:r>
      <w:r w:rsidR="002C1AFD" w:rsidRPr="00592CFE">
        <w:rPr>
          <w:i/>
        </w:rPr>
        <w:t xml:space="preserve">R. </w:t>
      </w:r>
      <w:proofErr w:type="spellStart"/>
      <w:r w:rsidR="002C1AFD" w:rsidRPr="00592CFE">
        <w:rPr>
          <w:i/>
        </w:rPr>
        <w:t>MacLarkey</w:t>
      </w:r>
      <w:proofErr w:type="spellEnd"/>
      <w:r w:rsidR="002C1AFD" w:rsidRPr="00592CFE">
        <w:t xml:space="preserve">, </w:t>
      </w:r>
      <w:r w:rsidRPr="00592CFE">
        <w:t>for the respondent.</w:t>
      </w:r>
      <w:proofErr w:type="gramEnd"/>
    </w:p>
    <w:p w:rsidR="00A6404E" w:rsidRPr="00592CFE" w:rsidRDefault="00DD5299" w:rsidP="0036432B">
      <w:pPr>
        <w:pStyle w:val="SCCNormalDoubleSpacing"/>
        <w:spacing w:before="480" w:after="480"/>
      </w:pPr>
      <w:r w:rsidRPr="00592CFE">
        <w:rPr>
          <w:i/>
        </w:rPr>
        <w:tab/>
      </w:r>
      <w:proofErr w:type="gramStart"/>
      <w:r w:rsidRPr="00592CFE">
        <w:rPr>
          <w:i/>
        </w:rPr>
        <w:t>Matthew Taylor</w:t>
      </w:r>
      <w:r w:rsidRPr="00592CFE">
        <w:t xml:space="preserve"> and </w:t>
      </w:r>
      <w:r w:rsidRPr="00592CFE">
        <w:rPr>
          <w:i/>
        </w:rPr>
        <w:t xml:space="preserve">Jonathan </w:t>
      </w:r>
      <w:proofErr w:type="spellStart"/>
      <w:r w:rsidRPr="00592CFE">
        <w:rPr>
          <w:i/>
        </w:rPr>
        <w:t>Eades</w:t>
      </w:r>
      <w:proofErr w:type="spellEnd"/>
      <w:r w:rsidRPr="00592CFE">
        <w:t xml:space="preserve">, for the intervener </w:t>
      </w:r>
      <w:r w:rsidR="002C1AFD" w:rsidRPr="00592CFE">
        <w:t xml:space="preserve">the </w:t>
      </w:r>
      <w:r w:rsidR="00BE3419" w:rsidRPr="00592CFE">
        <w:t>Attorney General of British </w:t>
      </w:r>
      <w:r w:rsidRPr="00592CFE">
        <w:t>Columbia.</w:t>
      </w:r>
      <w:proofErr w:type="gramEnd"/>
    </w:p>
    <w:p w:rsidR="00A6404E" w:rsidRPr="00592CFE" w:rsidRDefault="00DD5299" w:rsidP="0036432B">
      <w:pPr>
        <w:pStyle w:val="SCCNormalDoubleSpacing"/>
        <w:spacing w:before="480" w:after="480"/>
      </w:pPr>
      <w:r w:rsidRPr="00592CFE">
        <w:rPr>
          <w:i/>
        </w:rPr>
        <w:tab/>
      </w:r>
      <w:proofErr w:type="gramStart"/>
      <w:r w:rsidRPr="00592CFE">
        <w:rPr>
          <w:i/>
        </w:rPr>
        <w:t>Graham</w:t>
      </w:r>
      <w:r w:rsidR="0036432B" w:rsidRPr="00592CFE">
        <w:rPr>
          <w:i/>
        </w:rPr>
        <w:t> </w:t>
      </w:r>
      <w:r w:rsidRPr="00592CFE">
        <w:rPr>
          <w:i/>
        </w:rPr>
        <w:t xml:space="preserve">J. </w:t>
      </w:r>
      <w:proofErr w:type="spellStart"/>
      <w:r w:rsidRPr="00592CFE">
        <w:rPr>
          <w:i/>
        </w:rPr>
        <w:t>Rempe</w:t>
      </w:r>
      <w:proofErr w:type="spellEnd"/>
      <w:r w:rsidRPr="00592CFE">
        <w:t xml:space="preserve"> and </w:t>
      </w:r>
      <w:r w:rsidR="0036432B" w:rsidRPr="00592CFE">
        <w:rPr>
          <w:i/>
        </w:rPr>
        <w:t>Matthew </w:t>
      </w:r>
      <w:r w:rsidRPr="00592CFE">
        <w:rPr>
          <w:i/>
        </w:rPr>
        <w:t>G. Longo</w:t>
      </w:r>
      <w:r w:rsidRPr="00592CFE">
        <w:t xml:space="preserve">, for the intervener </w:t>
      </w:r>
      <w:r w:rsidR="002C1AFD" w:rsidRPr="00592CFE">
        <w:t xml:space="preserve">the </w:t>
      </w:r>
      <w:r w:rsidRPr="00592CFE">
        <w:t>City of Toronto.</w:t>
      </w:r>
      <w:proofErr w:type="gramEnd"/>
    </w:p>
    <w:p w:rsidR="00A6404E" w:rsidRDefault="0036432B" w:rsidP="0036432B">
      <w:pPr>
        <w:pStyle w:val="SCCNormalDoubleSpacing"/>
        <w:spacing w:before="480" w:after="480"/>
      </w:pPr>
      <w:r w:rsidRPr="00592CFE">
        <w:rPr>
          <w:i/>
        </w:rPr>
        <w:tab/>
      </w:r>
      <w:proofErr w:type="gramStart"/>
      <w:r w:rsidRPr="00592CFE">
        <w:rPr>
          <w:i/>
        </w:rPr>
        <w:t>Kathryn </w:t>
      </w:r>
      <w:r w:rsidR="00DD5299" w:rsidRPr="00592CFE">
        <w:rPr>
          <w:i/>
        </w:rPr>
        <w:t>I. Chalmers</w:t>
      </w:r>
      <w:r w:rsidR="00DD5299" w:rsidRPr="00592CFE">
        <w:t xml:space="preserve"> </w:t>
      </w:r>
      <w:r w:rsidR="002C1AFD" w:rsidRPr="00592CFE">
        <w:t xml:space="preserve">and </w:t>
      </w:r>
      <w:r w:rsidRPr="00592CFE">
        <w:rPr>
          <w:i/>
        </w:rPr>
        <w:t>Patrick </w:t>
      </w:r>
      <w:r w:rsidR="002C1AFD" w:rsidRPr="00592CFE">
        <w:rPr>
          <w:i/>
        </w:rPr>
        <w:t>G. Duffy</w:t>
      </w:r>
      <w:r w:rsidR="002C1AFD" w:rsidRPr="00592CFE">
        <w:t xml:space="preserve">, </w:t>
      </w:r>
      <w:r w:rsidR="00DD5299" w:rsidRPr="00592CFE">
        <w:t xml:space="preserve">for the intervener </w:t>
      </w:r>
      <w:proofErr w:type="spellStart"/>
      <w:r w:rsidR="00DD5299" w:rsidRPr="00592CFE">
        <w:t>Metrolinx</w:t>
      </w:r>
      <w:proofErr w:type="spellEnd"/>
      <w:r w:rsidR="00DD5299" w:rsidRPr="00592CFE">
        <w:t>.</w:t>
      </w:r>
      <w:proofErr w:type="gramEnd"/>
    </w:p>
    <w:p w:rsidR="00871FC0" w:rsidRDefault="00871FC0" w:rsidP="0036432B">
      <w:pPr>
        <w:pStyle w:val="SCCNormalDoubleSpacing"/>
        <w:spacing w:before="480" w:after="480"/>
      </w:pPr>
      <w:r>
        <w:tab/>
        <w:t>The judgment of the Court was delivered by</w:t>
      </w:r>
    </w:p>
    <w:p w:rsidR="00694883" w:rsidRPr="00205501" w:rsidRDefault="00694883" w:rsidP="00694883">
      <w:pPr>
        <w:pStyle w:val="JudgeJuge"/>
      </w:pPr>
      <w:r>
        <w:tab/>
      </w:r>
      <w:proofErr w:type="gramStart"/>
      <w:r>
        <w:t>Cromwell J.</w:t>
      </w:r>
      <w:r w:rsidRPr="00205501">
        <w:t xml:space="preserve"> —</w:t>
      </w:r>
      <w:proofErr w:type="gramEnd"/>
      <w:r w:rsidRPr="00205501">
        <w:t xml:space="preserve"> </w:t>
      </w:r>
    </w:p>
    <w:p w:rsidR="00694883" w:rsidRPr="00205501" w:rsidRDefault="00694883" w:rsidP="00694883">
      <w:pPr>
        <w:pStyle w:val="TitleTitre-AltT"/>
        <w:rPr>
          <w:rFonts w:cs="Times New Roman"/>
        </w:rPr>
      </w:pPr>
      <w:r w:rsidRPr="00205501">
        <w:rPr>
          <w:rFonts w:cs="Times New Roman"/>
        </w:rPr>
        <w:t>I.</w:t>
      </w:r>
      <w:r w:rsidRPr="00205501">
        <w:rPr>
          <w:rFonts w:cs="Times New Roman"/>
        </w:rPr>
        <w:tab/>
      </w:r>
      <w:r w:rsidRPr="00CA637D">
        <w:rPr>
          <w:rFonts w:cs="Times New Roman"/>
          <w:u w:val="single"/>
        </w:rPr>
        <w:t>Introduction</w:t>
      </w:r>
    </w:p>
    <w:p w:rsidR="00694883" w:rsidRPr="00205501" w:rsidRDefault="00694883" w:rsidP="00694883">
      <w:pPr>
        <w:pStyle w:val="ParaNoNdepar-AltN"/>
        <w:rPr>
          <w:rFonts w:cs="Times New Roman"/>
        </w:rPr>
      </w:pPr>
      <w:r w:rsidRPr="00205501">
        <w:rPr>
          <w:rFonts w:cs="Times New Roman"/>
        </w:rPr>
        <w:t xml:space="preserve">Highway construction by the Province of Ontario significantly and permanently interfered with access to the appellant’s land.   The appellant claimed that this interference was unreasonable and sought an order for compensation before the Ontario Municipal Board. The Board awarded the appellant $393,000 as compensation for business loss and decline in market value of the land resulting from the highway construction. The Board’s award, however, was set aside by the Court of Appeal; it concluded that the interference with the appellant’s land had not been </w:t>
      </w:r>
      <w:r w:rsidRPr="00205501">
        <w:rPr>
          <w:rFonts w:cs="Times New Roman"/>
        </w:rPr>
        <w:lastRenderedPageBreak/>
        <w:t>unreasonable given the important public purposes served by the highway’s construction. In effect, the Court of Appeal found that it was reasonable for the appellant to suffer permanent interference with the use of its land that caused significant diminution of its market value in order to serve the greater public good. The appellant asks this Court to reinstate the Board’s award.</w:t>
      </w:r>
    </w:p>
    <w:p w:rsidR="00694883" w:rsidRPr="00205501" w:rsidRDefault="00694883" w:rsidP="00694883">
      <w:pPr>
        <w:pStyle w:val="ParaNoNdepar-AltN"/>
        <w:rPr>
          <w:rFonts w:cs="Times New Roman"/>
        </w:rPr>
      </w:pPr>
      <w:r w:rsidRPr="00205501">
        <w:rPr>
          <w:rFonts w:cs="Times New Roman"/>
        </w:rPr>
        <w:t xml:space="preserve">The main question on appeal is this: </w:t>
      </w:r>
      <w:r>
        <w:rPr>
          <w:rFonts w:cs="Times New Roman"/>
        </w:rPr>
        <w:t>H</w:t>
      </w:r>
      <w:r w:rsidRPr="00205501">
        <w:rPr>
          <w:rFonts w:cs="Times New Roman"/>
        </w:rPr>
        <w:t>ow should we decide whether an interference with the private use and enjoyment of land is unreasonable when it results from construction which serves an important public purpose? The answer, as I see it, is that the reasonableness of the interference must be determined by balancing the competing interests, as it is in all other cases of private nuisance. The balance is appropriately struck by answering the question whether, in all of the circumstances, the individual claimant has shouldered a greater share of the burden of construction than it would be reasonable to expect individuals to bear without compensation. Here, the interference with the appellant’s land caused by the construction of the new highway inflicted significant and permanent loss on the appellant; in the circumstances of this case, it was not unreasonable for the Board to conclude that an individual should not be expected to bear such a loss for the greater pu</w:t>
      </w:r>
      <w:r w:rsidR="00FA7304">
        <w:rPr>
          <w:rFonts w:cs="Times New Roman"/>
        </w:rPr>
        <w:t>blic good without compensation.</w:t>
      </w:r>
    </w:p>
    <w:p w:rsidR="00694883" w:rsidRPr="00205501" w:rsidRDefault="00694883" w:rsidP="00694883">
      <w:pPr>
        <w:pStyle w:val="ParaNoNdepar-AltN"/>
        <w:rPr>
          <w:rFonts w:cs="Times New Roman"/>
        </w:rPr>
      </w:pPr>
      <w:r w:rsidRPr="00205501">
        <w:rPr>
          <w:rFonts w:cs="Times New Roman"/>
        </w:rPr>
        <w:t>I would allow the appeal and restore the order of the Ontario Municipal Board.</w:t>
      </w:r>
    </w:p>
    <w:p w:rsidR="00694883" w:rsidRPr="00205501" w:rsidRDefault="00694883" w:rsidP="00956A4C">
      <w:pPr>
        <w:pStyle w:val="TitleTitre-AltT"/>
        <w:tabs>
          <w:tab w:val="clear" w:pos="360"/>
          <w:tab w:val="left" w:pos="540"/>
        </w:tabs>
        <w:ind w:left="540" w:hanging="540"/>
        <w:rPr>
          <w:rFonts w:cs="Times New Roman"/>
        </w:rPr>
      </w:pPr>
      <w:r w:rsidRPr="00205501">
        <w:rPr>
          <w:rFonts w:cs="Times New Roman"/>
        </w:rPr>
        <w:t>II.</w:t>
      </w:r>
      <w:r w:rsidRPr="00205501">
        <w:rPr>
          <w:rFonts w:cs="Times New Roman"/>
        </w:rPr>
        <w:tab/>
      </w:r>
      <w:r w:rsidRPr="00CA637D">
        <w:rPr>
          <w:rFonts w:cs="Times New Roman"/>
          <w:u w:val="single"/>
        </w:rPr>
        <w:t>Legal Context and Issues</w:t>
      </w:r>
    </w:p>
    <w:p w:rsidR="00694883" w:rsidRPr="00205501" w:rsidRDefault="00694883" w:rsidP="00694883">
      <w:pPr>
        <w:pStyle w:val="ParaNoNdepar-AltN"/>
        <w:rPr>
          <w:rFonts w:cs="Times New Roman"/>
        </w:rPr>
      </w:pPr>
      <w:r w:rsidRPr="00205501">
        <w:rPr>
          <w:rFonts w:cs="Times New Roman"/>
        </w:rPr>
        <w:lastRenderedPageBreak/>
        <w:t>The legal framework for the appeal is found in the law concerning injurious affection. Injurious affection occurs when the defendant’s activities interfere with the claimant’s</w:t>
      </w:r>
      <w:r>
        <w:rPr>
          <w:rFonts w:cs="Times New Roman"/>
        </w:rPr>
        <w:t xml:space="preserve"> </w:t>
      </w:r>
      <w:r w:rsidRPr="00205501">
        <w:rPr>
          <w:rFonts w:cs="Times New Roman"/>
        </w:rPr>
        <w:t>use or enjoyment of land. Such interference may occur where a portion of an owner’s land is expropriated with negative effects on the value of the remaining property. Alternatively, it may arise where, although no land is expropriated, the lawful activities of a statutory authority on one piece of land interfere with the</w:t>
      </w:r>
      <w:r>
        <w:rPr>
          <w:rFonts w:cs="Times New Roman"/>
        </w:rPr>
        <w:t xml:space="preserve"> </w:t>
      </w:r>
      <w:r w:rsidRPr="00205501">
        <w:rPr>
          <w:rFonts w:cs="Times New Roman"/>
        </w:rPr>
        <w:t>use or enjoyment of another property: E</w:t>
      </w:r>
      <w:r>
        <w:rPr>
          <w:rFonts w:cs="Times New Roman"/>
        </w:rPr>
        <w:t>.</w:t>
      </w:r>
      <w:r w:rsidRPr="00205501">
        <w:rPr>
          <w:rFonts w:cs="Times New Roman"/>
        </w:rPr>
        <w:t xml:space="preserve"> C.</w:t>
      </w:r>
      <w:r>
        <w:rPr>
          <w:rFonts w:cs="Times New Roman"/>
        </w:rPr>
        <w:t xml:space="preserve"> </w:t>
      </w:r>
      <w:r w:rsidRPr="00205501">
        <w:rPr>
          <w:rFonts w:cs="Times New Roman"/>
        </w:rPr>
        <w:t xml:space="preserve">E. Todd, </w:t>
      </w:r>
      <w:r w:rsidRPr="00205501">
        <w:rPr>
          <w:rFonts w:cs="Times New Roman"/>
          <w:i/>
        </w:rPr>
        <w:t>The Law of Expropriation and Compensation in Canada</w:t>
      </w:r>
      <w:r w:rsidRPr="00205501">
        <w:rPr>
          <w:rFonts w:cs="Times New Roman"/>
        </w:rPr>
        <w:t xml:space="preserve"> (</w:t>
      </w:r>
      <w:r>
        <w:rPr>
          <w:rFonts w:cs="Times New Roman"/>
        </w:rPr>
        <w:t xml:space="preserve">2nd ed. </w:t>
      </w:r>
      <w:r w:rsidRPr="00205501">
        <w:rPr>
          <w:rFonts w:cs="Times New Roman"/>
        </w:rPr>
        <w:t>1992)</w:t>
      </w:r>
      <w:r>
        <w:rPr>
          <w:rFonts w:cs="Times New Roman"/>
        </w:rPr>
        <w:t>,</w:t>
      </w:r>
      <w:r w:rsidRPr="00205501">
        <w:rPr>
          <w:rFonts w:cs="Times New Roman"/>
        </w:rPr>
        <w:t xml:space="preserve"> at pp. 331-33. In this case, the appellant claimed compensation for injurious affection where no land is taken because the highway construction had significantly impeded access to its land.</w:t>
      </w:r>
    </w:p>
    <w:p w:rsidR="00694883" w:rsidRPr="00205501" w:rsidRDefault="00694883" w:rsidP="00694883">
      <w:pPr>
        <w:pStyle w:val="ParaNoNdepar-AltN"/>
        <w:rPr>
          <w:rFonts w:cs="Times New Roman"/>
        </w:rPr>
      </w:pPr>
      <w:r w:rsidRPr="00205501">
        <w:rPr>
          <w:rFonts w:cs="Times New Roman"/>
        </w:rPr>
        <w:t xml:space="preserve"> The Ontario</w:t>
      </w:r>
      <w:r w:rsidRPr="00205501">
        <w:rPr>
          <w:rFonts w:cs="Times New Roman"/>
          <w:i/>
        </w:rPr>
        <w:t xml:space="preserve"> Expropriations Act</w:t>
      </w:r>
      <w:r>
        <w:rPr>
          <w:rFonts w:cs="Times New Roman"/>
        </w:rPr>
        <w:t>, R.S.O. 1990, c. E.26,</w:t>
      </w:r>
      <w:r w:rsidRPr="00205501">
        <w:rPr>
          <w:rFonts w:cs="Times New Roman"/>
        </w:rPr>
        <w:t xml:space="preserve"> provides a right to compensation for injurious affection on certain conditions: s. 21.  Where none of the claimant’s land is expropriated, the</w:t>
      </w:r>
      <w:r w:rsidRPr="00205501">
        <w:rPr>
          <w:rFonts w:cs="Times New Roman"/>
          <w:i/>
        </w:rPr>
        <w:t xml:space="preserve"> </w:t>
      </w:r>
      <w:r w:rsidRPr="00CA637D">
        <w:rPr>
          <w:rFonts w:cs="Times New Roman"/>
        </w:rPr>
        <w:t>Act</w:t>
      </w:r>
      <w:r w:rsidRPr="00205501">
        <w:rPr>
          <w:rFonts w:cs="Times New Roman"/>
        </w:rPr>
        <w:t xml:space="preserve"> provides a right to compensation for “such reduction i</w:t>
      </w:r>
      <w:r w:rsidR="00871FC0">
        <w:rPr>
          <w:rFonts w:cs="Times New Roman"/>
        </w:rPr>
        <w:t xml:space="preserve">n the market value of the land </w:t>
      </w:r>
      <w:r w:rsidRPr="00205501">
        <w:rPr>
          <w:rFonts w:cs="Times New Roman"/>
        </w:rPr>
        <w:t>o</w:t>
      </w:r>
      <w:r w:rsidR="00871FC0">
        <w:rPr>
          <w:rFonts w:cs="Times New Roman"/>
        </w:rPr>
        <w:t>f</w:t>
      </w:r>
      <w:r w:rsidRPr="00205501">
        <w:rPr>
          <w:rFonts w:cs="Times New Roman"/>
        </w:rPr>
        <w:t xml:space="preserve"> the owner</w:t>
      </w:r>
      <w:r>
        <w:rPr>
          <w:rFonts w:cs="Times New Roman"/>
        </w:rPr>
        <w:t>,</w:t>
      </w:r>
      <w:r w:rsidRPr="00205501">
        <w:rPr>
          <w:rFonts w:cs="Times New Roman"/>
        </w:rPr>
        <w:t xml:space="preserve"> and .</w:t>
      </w:r>
      <w:r>
        <w:rPr>
          <w:rFonts w:cs="Times New Roman"/>
        </w:rPr>
        <w:t xml:space="preserve"> </w:t>
      </w:r>
      <w:r w:rsidRPr="00205501">
        <w:rPr>
          <w:rFonts w:cs="Times New Roman"/>
        </w:rPr>
        <w:t>.</w:t>
      </w:r>
      <w:r>
        <w:rPr>
          <w:rFonts w:cs="Times New Roman"/>
        </w:rPr>
        <w:t xml:space="preserve"> </w:t>
      </w:r>
      <w:r w:rsidRPr="00205501">
        <w:rPr>
          <w:rFonts w:cs="Times New Roman"/>
        </w:rPr>
        <w:t>. such personal and business damages, res</w:t>
      </w:r>
      <w:r>
        <w:rPr>
          <w:rFonts w:cs="Times New Roman"/>
        </w:rPr>
        <w:t>ulting from the construction and</w:t>
      </w:r>
      <w:r w:rsidRPr="00205501">
        <w:rPr>
          <w:rFonts w:cs="Times New Roman"/>
        </w:rPr>
        <w:t xml:space="preserve"> not </w:t>
      </w:r>
      <w:r>
        <w:rPr>
          <w:rFonts w:cs="Times New Roman"/>
        </w:rPr>
        <w:t>t</w:t>
      </w:r>
      <w:r w:rsidRPr="00205501">
        <w:rPr>
          <w:rFonts w:cs="Times New Roman"/>
        </w:rPr>
        <w:t xml:space="preserve">he use of the </w:t>
      </w:r>
      <w:r>
        <w:rPr>
          <w:rFonts w:cs="Times New Roman"/>
        </w:rPr>
        <w:t>works by the statutory authority</w:t>
      </w:r>
      <w:r w:rsidR="00871FC0">
        <w:rPr>
          <w:rFonts w:cs="Times New Roman"/>
        </w:rPr>
        <w:t>,</w:t>
      </w:r>
      <w:r w:rsidRPr="00205501">
        <w:rPr>
          <w:rFonts w:cs="Times New Roman"/>
        </w:rPr>
        <w:t xml:space="preserve"> as the statutory authority would be liable for if the construction were not under the authority of a statute”</w:t>
      </w:r>
      <w:r>
        <w:rPr>
          <w:rFonts w:cs="Times New Roman"/>
        </w:rPr>
        <w:t xml:space="preserve">: </w:t>
      </w:r>
      <w:r w:rsidRPr="00205501">
        <w:rPr>
          <w:rFonts w:cs="Times New Roman"/>
        </w:rPr>
        <w:t xml:space="preserve"> </w:t>
      </w:r>
      <w:r>
        <w:rPr>
          <w:rFonts w:cs="Times New Roman"/>
        </w:rPr>
        <w:t xml:space="preserve">s. 1(1).  </w:t>
      </w:r>
      <w:r w:rsidRPr="00205501">
        <w:rPr>
          <w:rFonts w:cs="Times New Roman"/>
        </w:rPr>
        <w:t>Thus, in order to recover under the</w:t>
      </w:r>
      <w:r w:rsidRPr="00205501">
        <w:rPr>
          <w:rFonts w:cs="Times New Roman"/>
          <w:i/>
        </w:rPr>
        <w:t xml:space="preserve"> </w:t>
      </w:r>
      <w:r w:rsidRPr="00CA637D">
        <w:rPr>
          <w:rFonts w:cs="Times New Roman"/>
        </w:rPr>
        <w:t>Act</w:t>
      </w:r>
      <w:r w:rsidRPr="00205501">
        <w:rPr>
          <w:rFonts w:cs="Times New Roman"/>
        </w:rPr>
        <w:t>, the claimant has to meet these three statutory requirements, which are often referred to as the requirements of “statutory authority”, “</w:t>
      </w:r>
      <w:proofErr w:type="spellStart"/>
      <w:r w:rsidRPr="00205501">
        <w:rPr>
          <w:rFonts w:cs="Times New Roman"/>
        </w:rPr>
        <w:t>actionability</w:t>
      </w:r>
      <w:proofErr w:type="spellEnd"/>
      <w:r w:rsidRPr="00205501">
        <w:rPr>
          <w:rFonts w:cs="Times New Roman"/>
        </w:rPr>
        <w:t xml:space="preserve">” and “construction </w:t>
      </w:r>
      <w:r>
        <w:rPr>
          <w:rFonts w:cs="Times New Roman"/>
        </w:rPr>
        <w:t>and</w:t>
      </w:r>
      <w:r w:rsidRPr="00205501">
        <w:rPr>
          <w:rFonts w:cs="Times New Roman"/>
        </w:rPr>
        <w:t xml:space="preserve"> not </w:t>
      </w:r>
      <w:r>
        <w:rPr>
          <w:rFonts w:cs="Times New Roman"/>
        </w:rPr>
        <w:t xml:space="preserve">the </w:t>
      </w:r>
      <w:r w:rsidRPr="00205501">
        <w:rPr>
          <w:rFonts w:cs="Times New Roman"/>
        </w:rPr>
        <w:t>use”</w:t>
      </w:r>
      <w:r>
        <w:rPr>
          <w:rFonts w:cs="Times New Roman"/>
        </w:rPr>
        <w:t xml:space="preserve">. </w:t>
      </w:r>
      <w:r w:rsidRPr="00205501">
        <w:rPr>
          <w:rFonts w:cs="Times New Roman"/>
        </w:rPr>
        <w:t xml:space="preserve"> These requirements mean that (</w:t>
      </w:r>
      <w:proofErr w:type="spellStart"/>
      <w:r w:rsidRPr="00205501">
        <w:rPr>
          <w:rFonts w:cs="Times New Roman"/>
        </w:rPr>
        <w:t>i</w:t>
      </w:r>
      <w:proofErr w:type="spellEnd"/>
      <w:r w:rsidRPr="00205501">
        <w:rPr>
          <w:rFonts w:cs="Times New Roman"/>
        </w:rPr>
        <w:t xml:space="preserve">) the damage must result from action taken under statutory authority; (ii) the action would give rise to liability but for that statutory authority; and (iii) the damage must </w:t>
      </w:r>
      <w:r>
        <w:rPr>
          <w:rFonts w:cs="Times New Roman"/>
        </w:rPr>
        <w:t xml:space="preserve">result from the </w:t>
      </w:r>
      <w:r>
        <w:rPr>
          <w:rFonts w:cs="Times New Roman"/>
        </w:rPr>
        <w:lastRenderedPageBreak/>
        <w:t>construction and</w:t>
      </w:r>
      <w:r w:rsidRPr="00205501">
        <w:rPr>
          <w:rFonts w:cs="Times New Roman"/>
        </w:rPr>
        <w:t xml:space="preserve"> not the use of the works. Where these conditions are present, the </w:t>
      </w:r>
      <w:r w:rsidRPr="00CA637D">
        <w:rPr>
          <w:rFonts w:cs="Times New Roman"/>
        </w:rPr>
        <w:t>Act</w:t>
      </w:r>
      <w:r w:rsidRPr="00205501">
        <w:rPr>
          <w:rFonts w:cs="Times New Roman"/>
        </w:rPr>
        <w:t xml:space="preserve"> requires that the complainant be compensated for the amount by which the affected land’s market value was reduced because of the interference, and for personal and business damages: </w:t>
      </w:r>
      <w:r>
        <w:rPr>
          <w:rFonts w:cs="Times New Roman"/>
        </w:rPr>
        <w:t>s</w:t>
      </w:r>
      <w:r w:rsidRPr="00205501">
        <w:rPr>
          <w:rFonts w:cs="Times New Roman"/>
        </w:rPr>
        <w:t>s. 1(1)</w:t>
      </w:r>
      <w:r>
        <w:rPr>
          <w:rFonts w:cs="Times New Roman"/>
        </w:rPr>
        <w:t xml:space="preserve"> and 21</w:t>
      </w:r>
      <w:r w:rsidR="00FA7304">
        <w:rPr>
          <w:rFonts w:cs="Times New Roman"/>
        </w:rPr>
        <w:t>.</w:t>
      </w:r>
    </w:p>
    <w:p w:rsidR="00694883" w:rsidRPr="00205501" w:rsidRDefault="00694883" w:rsidP="00694883">
      <w:pPr>
        <w:pStyle w:val="ParaNoNdepar-AltN"/>
        <w:rPr>
          <w:rFonts w:cs="Times New Roman"/>
        </w:rPr>
      </w:pPr>
      <w:r w:rsidRPr="00205501">
        <w:rPr>
          <w:rFonts w:cs="Times New Roman"/>
        </w:rPr>
        <w:t xml:space="preserve">The appellant satisfied the first and third requirements. As for the first, there was never any dispute that the construction of the new section of highway was carried out under statutory authority. With respect to the third, the “construction </w:t>
      </w:r>
      <w:r>
        <w:rPr>
          <w:rFonts w:cs="Times New Roman"/>
        </w:rPr>
        <w:t>and</w:t>
      </w:r>
      <w:r w:rsidRPr="00205501">
        <w:rPr>
          <w:rFonts w:cs="Times New Roman"/>
        </w:rPr>
        <w:t xml:space="preserve"> not </w:t>
      </w:r>
      <w:r>
        <w:rPr>
          <w:rFonts w:cs="Times New Roman"/>
        </w:rPr>
        <w:t xml:space="preserve">the </w:t>
      </w:r>
      <w:r w:rsidRPr="00205501">
        <w:rPr>
          <w:rFonts w:cs="Times New Roman"/>
        </w:rPr>
        <w:t>use” requirement was contested in the earlier proceedings, but it is no longer in issue in this Court.  What remains is the question of whether the second requirement is met. That is, whether, if the highway construction had not been done under statutory authority, the appellant could have successfully sued for dama</w:t>
      </w:r>
      <w:r w:rsidR="00FA7304">
        <w:rPr>
          <w:rFonts w:cs="Times New Roman"/>
        </w:rPr>
        <w:t>ges caused by the construction.</w:t>
      </w:r>
    </w:p>
    <w:p w:rsidR="00694883" w:rsidRPr="00205501" w:rsidRDefault="00694883" w:rsidP="00694883">
      <w:pPr>
        <w:pStyle w:val="ParaNoNdepar-AltN"/>
        <w:rPr>
          <w:rFonts w:cs="Times New Roman"/>
        </w:rPr>
      </w:pPr>
      <w:r w:rsidRPr="00205501">
        <w:rPr>
          <w:rFonts w:cs="Times New Roman"/>
        </w:rPr>
        <w:t>The appellant’s primary position, which the Board accepted, is that it meets this second requirement because it would be entitled to damages for private nuisance. The Court of Appeal disagreed. While finding no fault in the Board’s articulation of the law about private nuisance, the Court of Appeal nonetheless found that the Board had not reasonably applied that law to the facts before it</w:t>
      </w:r>
      <w:r>
        <w:rPr>
          <w:rFonts w:cs="Times New Roman"/>
        </w:rPr>
        <w:t>:</w:t>
      </w:r>
      <w:r w:rsidRPr="00205501">
        <w:rPr>
          <w:rFonts w:cs="Times New Roman"/>
        </w:rPr>
        <w:t xml:space="preserve"> </w:t>
      </w:r>
      <w:r>
        <w:rPr>
          <w:rFonts w:cs="Times New Roman"/>
        </w:rPr>
        <w:t>2011 ONCA 419, 106 O.R. (3d) 81</w:t>
      </w:r>
      <w:r w:rsidRPr="00205501">
        <w:rPr>
          <w:rFonts w:cs="Times New Roman"/>
        </w:rPr>
        <w:t xml:space="preserve">. Thus, the reviewable error found by the Court of Appeal concerns the application of the legal </w:t>
      </w:r>
      <w:r w:rsidR="00FA7304">
        <w:rPr>
          <w:rFonts w:cs="Times New Roman"/>
        </w:rPr>
        <w:t>test for nuisance to the facts.</w:t>
      </w:r>
    </w:p>
    <w:p w:rsidR="00694883" w:rsidRPr="00205501" w:rsidRDefault="00694883" w:rsidP="00694883">
      <w:pPr>
        <w:pStyle w:val="ParaNoNdepar-AltN"/>
        <w:rPr>
          <w:rFonts w:cs="Times New Roman"/>
        </w:rPr>
      </w:pPr>
      <w:r w:rsidRPr="00205501">
        <w:rPr>
          <w:rFonts w:cs="Times New Roman"/>
        </w:rPr>
        <w:t xml:space="preserve">In this Court, the parties engaged in a wide-ranging debate about how to define the elements of private nuisance and how to assess the reasonableness of the </w:t>
      </w:r>
      <w:r w:rsidRPr="00205501">
        <w:rPr>
          <w:rFonts w:cs="Times New Roman"/>
        </w:rPr>
        <w:lastRenderedPageBreak/>
        <w:t>interference.  I will address the questions that arose in that debate in the hope of providing further clarity concerning the relevant legal principles. But the core issue on which the appeal turns is whether, as the Court of Appeal decided, the Board was unreasonable in its application of the law of</w:t>
      </w:r>
      <w:r w:rsidR="00FA7304">
        <w:rPr>
          <w:rFonts w:cs="Times New Roman"/>
        </w:rPr>
        <w:t xml:space="preserve"> private nuisance to the facts.</w:t>
      </w:r>
    </w:p>
    <w:p w:rsidR="00694883" w:rsidRPr="00205501" w:rsidRDefault="00694883" w:rsidP="00694883">
      <w:pPr>
        <w:pStyle w:val="ParaNoNdepar-AltN"/>
        <w:rPr>
          <w:rFonts w:cs="Times New Roman"/>
        </w:rPr>
      </w:pPr>
      <w:r w:rsidRPr="00205501">
        <w:rPr>
          <w:rFonts w:cs="Times New Roman"/>
        </w:rPr>
        <w:t>The issues I will address are these:</w:t>
      </w:r>
    </w:p>
    <w:p w:rsidR="00694883" w:rsidRPr="00205501" w:rsidRDefault="00B546C1" w:rsidP="00B546C1">
      <w:pPr>
        <w:pStyle w:val="ParaNoNdepar-AltN"/>
        <w:numPr>
          <w:ilvl w:val="0"/>
          <w:numId w:val="0"/>
        </w:numPr>
        <w:tabs>
          <w:tab w:val="left" w:pos="1166"/>
        </w:tabs>
        <w:spacing w:after="0"/>
        <w:ind w:left="540" w:hanging="540"/>
        <w:rPr>
          <w:rFonts w:cs="Times New Roman"/>
        </w:rPr>
      </w:pPr>
      <w:r>
        <w:rPr>
          <w:rFonts w:cs="Times New Roman"/>
        </w:rPr>
        <w:t xml:space="preserve">1. </w:t>
      </w:r>
      <w:r>
        <w:rPr>
          <w:rFonts w:cs="Times New Roman"/>
        </w:rPr>
        <w:tab/>
      </w:r>
      <w:r w:rsidR="00694883" w:rsidRPr="00205501">
        <w:rPr>
          <w:rFonts w:cs="Times New Roman"/>
        </w:rPr>
        <w:t>What are th</w:t>
      </w:r>
      <w:r w:rsidR="00FA7304">
        <w:rPr>
          <w:rFonts w:cs="Times New Roman"/>
        </w:rPr>
        <w:t>e elements of private nuisance?</w:t>
      </w:r>
    </w:p>
    <w:p w:rsidR="00694883" w:rsidRPr="00205501" w:rsidRDefault="00B546C1" w:rsidP="00B546C1">
      <w:pPr>
        <w:pStyle w:val="ParaNoNdepar-AltN"/>
        <w:numPr>
          <w:ilvl w:val="0"/>
          <w:numId w:val="0"/>
        </w:numPr>
        <w:tabs>
          <w:tab w:val="left" w:pos="1166"/>
        </w:tabs>
        <w:spacing w:after="0"/>
        <w:ind w:left="540" w:hanging="540"/>
        <w:rPr>
          <w:rFonts w:cs="Times New Roman"/>
        </w:rPr>
      </w:pPr>
      <w:r>
        <w:rPr>
          <w:rFonts w:cs="Times New Roman"/>
        </w:rPr>
        <w:t>2.</w:t>
      </w:r>
      <w:r>
        <w:rPr>
          <w:rFonts w:cs="Times New Roman"/>
        </w:rPr>
        <w:tab/>
      </w:r>
      <w:r w:rsidR="00694883" w:rsidRPr="00205501">
        <w:rPr>
          <w:rFonts w:cs="Times New Roman"/>
        </w:rPr>
        <w:t>How is reasonableness assessed in the context of interference caused by projects that further the publ</w:t>
      </w:r>
      <w:r w:rsidR="00FA7304">
        <w:rPr>
          <w:rFonts w:cs="Times New Roman"/>
        </w:rPr>
        <w:t>ic good?</w:t>
      </w:r>
    </w:p>
    <w:p w:rsidR="00694883" w:rsidRPr="00205501" w:rsidRDefault="0051632C" w:rsidP="00B546C1">
      <w:pPr>
        <w:pStyle w:val="ParaNoNdepar-AltN"/>
        <w:numPr>
          <w:ilvl w:val="0"/>
          <w:numId w:val="0"/>
        </w:numPr>
        <w:tabs>
          <w:tab w:val="left" w:pos="1166"/>
        </w:tabs>
        <w:spacing w:after="0"/>
        <w:ind w:left="540" w:hanging="540"/>
        <w:rPr>
          <w:rFonts w:cs="Times New Roman"/>
        </w:rPr>
      </w:pPr>
      <w:r>
        <w:rPr>
          <w:rFonts w:cs="Times New Roman"/>
        </w:rPr>
        <w:t>3.</w:t>
      </w:r>
      <w:r>
        <w:rPr>
          <w:rFonts w:cs="Times New Roman"/>
        </w:rPr>
        <w:tab/>
      </w:r>
      <w:r w:rsidR="00694883" w:rsidRPr="00205501">
        <w:rPr>
          <w:rFonts w:cs="Times New Roman"/>
        </w:rPr>
        <w:t>Does the unreasonableness of an interference need to be considered when that interference is physical or material?</w:t>
      </w:r>
    </w:p>
    <w:p w:rsidR="00694883" w:rsidRPr="00205501" w:rsidRDefault="0051632C" w:rsidP="00B546C1">
      <w:pPr>
        <w:pStyle w:val="ParaNoNdepar-AltN"/>
        <w:numPr>
          <w:ilvl w:val="0"/>
          <w:numId w:val="0"/>
        </w:numPr>
        <w:tabs>
          <w:tab w:val="left" w:pos="1166"/>
        </w:tabs>
        <w:spacing w:after="0"/>
        <w:ind w:left="540" w:hanging="540"/>
        <w:rPr>
          <w:rFonts w:cs="Times New Roman"/>
        </w:rPr>
      </w:pPr>
      <w:r>
        <w:rPr>
          <w:rFonts w:cs="Times New Roman"/>
        </w:rPr>
        <w:t>4.</w:t>
      </w:r>
      <w:r>
        <w:rPr>
          <w:rFonts w:cs="Times New Roman"/>
        </w:rPr>
        <w:tab/>
      </w:r>
      <w:r w:rsidR="00694883" w:rsidRPr="00205501">
        <w:rPr>
          <w:rFonts w:cs="Times New Roman"/>
        </w:rPr>
        <w:t>Did the Court of Appeal err in finding that the Board’s application of the law of nuisance to the facts was unreasonable?</w:t>
      </w:r>
    </w:p>
    <w:p w:rsidR="00694883" w:rsidRPr="00205501" w:rsidRDefault="00694883" w:rsidP="00694883">
      <w:pPr>
        <w:pStyle w:val="ParaNoNdepar-AltN"/>
        <w:rPr>
          <w:rFonts w:cs="Times New Roman"/>
        </w:rPr>
      </w:pPr>
      <w:r w:rsidRPr="00205501">
        <w:rPr>
          <w:rFonts w:cs="Times New Roman"/>
        </w:rPr>
        <w:t>Before turning to these issues, I will set out a brief summary of the facts and proceedings and address the applicable standard of judicial review.</w:t>
      </w:r>
    </w:p>
    <w:p w:rsidR="00694883" w:rsidRPr="00205501" w:rsidRDefault="00694883" w:rsidP="00694883">
      <w:pPr>
        <w:pStyle w:val="TitleTitre-AltT"/>
        <w:tabs>
          <w:tab w:val="clear" w:pos="360"/>
          <w:tab w:val="left" w:pos="0"/>
        </w:tabs>
        <w:rPr>
          <w:rFonts w:cs="Times New Roman"/>
        </w:rPr>
      </w:pPr>
      <w:r w:rsidRPr="00205501">
        <w:rPr>
          <w:rFonts w:cs="Times New Roman"/>
        </w:rPr>
        <w:t xml:space="preserve">III. </w:t>
      </w:r>
      <w:r w:rsidRPr="008A663D">
        <w:rPr>
          <w:rFonts w:cs="Times New Roman"/>
          <w:u w:val="single"/>
        </w:rPr>
        <w:t>Facts, Proceedings and Standard of Review</w:t>
      </w:r>
    </w:p>
    <w:p w:rsidR="00694883" w:rsidRPr="00205501" w:rsidRDefault="00694883" w:rsidP="00694883">
      <w:pPr>
        <w:pStyle w:val="TitleTitre-AltT"/>
        <w:rPr>
          <w:rFonts w:cs="Times New Roman"/>
        </w:rPr>
      </w:pPr>
      <w:r w:rsidRPr="00205501">
        <w:rPr>
          <w:rFonts w:cs="Times New Roman"/>
        </w:rPr>
        <w:t xml:space="preserve">A. </w:t>
      </w:r>
      <w:r w:rsidRPr="008A663D">
        <w:rPr>
          <w:rFonts w:cs="Times New Roman"/>
          <w:i/>
        </w:rPr>
        <w:t>Overview of the Facts and Proceedings</w:t>
      </w:r>
    </w:p>
    <w:p w:rsidR="00694883" w:rsidRPr="00205501" w:rsidRDefault="00694883" w:rsidP="00694883">
      <w:pPr>
        <w:pStyle w:val="ParaNoNdepar-AltN"/>
        <w:rPr>
          <w:rFonts w:cs="Times New Roman"/>
        </w:rPr>
      </w:pPr>
      <w:r w:rsidRPr="00205501">
        <w:rPr>
          <w:rFonts w:cs="Times New Roman"/>
        </w:rPr>
        <w:lastRenderedPageBreak/>
        <w:t xml:space="preserve">From 1978 until 2004, the appellant owned property on Highway 17 near the hamlet of Antrim. On that property, the appellant operated a truck stop that included a restaurant, bakery, gift shop, gas and diesel bar, offices and </w:t>
      </w:r>
      <w:proofErr w:type="gramStart"/>
      <w:r w:rsidRPr="00205501">
        <w:rPr>
          <w:rFonts w:cs="Times New Roman"/>
        </w:rPr>
        <w:t>a truck sales</w:t>
      </w:r>
      <w:proofErr w:type="gramEnd"/>
      <w:r w:rsidRPr="00205501">
        <w:rPr>
          <w:rFonts w:cs="Times New Roman"/>
        </w:rPr>
        <w:t>, leasing and service centre. The business enjoyed the patronage of drivers travelling both east and west along the highway, which formed part of the Trans</w:t>
      </w:r>
      <w:r>
        <w:rPr>
          <w:rFonts w:cs="Times New Roman"/>
        </w:rPr>
        <w:t>-</w:t>
      </w:r>
      <w:r w:rsidR="00FA7304">
        <w:rPr>
          <w:rFonts w:cs="Times New Roman"/>
        </w:rPr>
        <w:t>Canada Highway system.</w:t>
      </w:r>
    </w:p>
    <w:p w:rsidR="00694883" w:rsidRPr="00205501" w:rsidRDefault="00694883" w:rsidP="00694883">
      <w:pPr>
        <w:pStyle w:val="ParaNoNdepar-AltN"/>
        <w:rPr>
          <w:rFonts w:cs="Times New Roman"/>
        </w:rPr>
      </w:pPr>
      <w:r w:rsidRPr="00205501">
        <w:rPr>
          <w:rFonts w:cs="Times New Roman"/>
        </w:rPr>
        <w:t xml:space="preserve">In September 2004, the respondent opened a new section of Highway 417 that runs parallel to Highway 17 at the point of the appellant’s property. Highway 17 was significantly altered to allow for the extension of Highway 417.  Because of these changes, Highway 17 now </w:t>
      </w:r>
      <w:r>
        <w:rPr>
          <w:rFonts w:cs="Times New Roman"/>
        </w:rPr>
        <w:t xml:space="preserve">effectively </w:t>
      </w:r>
      <w:r w:rsidRPr="00205501">
        <w:rPr>
          <w:rFonts w:cs="Times New Roman"/>
        </w:rPr>
        <w:t>turns into a dirt road ju</w:t>
      </w:r>
      <w:r>
        <w:rPr>
          <w:rFonts w:cs="Times New Roman"/>
        </w:rPr>
        <w:t>st two kilomet</w:t>
      </w:r>
      <w:r w:rsidRPr="00205501">
        <w:rPr>
          <w:rFonts w:cs="Times New Roman"/>
        </w:rPr>
        <w:t>r</w:t>
      </w:r>
      <w:r>
        <w:rPr>
          <w:rFonts w:cs="Times New Roman"/>
        </w:rPr>
        <w:t>e</w:t>
      </w:r>
      <w:r w:rsidRPr="00205501">
        <w:rPr>
          <w:rFonts w:cs="Times New Roman"/>
        </w:rPr>
        <w:t>s east of the appellant’s truck stop. Motorists heading east from the truck stop</w:t>
      </w:r>
      <w:r>
        <w:rPr>
          <w:rFonts w:cs="Times New Roman"/>
        </w:rPr>
        <w:t xml:space="preserve"> have to take a circuitous route including</w:t>
      </w:r>
      <w:r w:rsidRPr="00205501">
        <w:rPr>
          <w:rFonts w:cs="Times New Roman"/>
        </w:rPr>
        <w:t xml:space="preserve"> </w:t>
      </w:r>
      <w:r>
        <w:rPr>
          <w:rFonts w:cs="Times New Roman"/>
        </w:rPr>
        <w:t>a</w:t>
      </w:r>
      <w:r w:rsidRPr="00205501">
        <w:rPr>
          <w:rFonts w:cs="Times New Roman"/>
        </w:rPr>
        <w:t xml:space="preserve"> dirt road and two other side roads before they reach Highway 417. Moreover, motorists travelling on the new stretch of Highway 417 do not have direct access to the appellant’s truck stop; they have to turn onto a regional road west of the property and drive about two kilometres to reach it.  According to the appellant, the construction of the new segment of Highway 417 resulted in the closure of Highway 17, effectively putting its truck stop out of business</w:t>
      </w:r>
      <w:r>
        <w:rPr>
          <w:rFonts w:cs="Times New Roman"/>
        </w:rPr>
        <w:t xml:space="preserve"> at that location</w:t>
      </w:r>
      <w:r w:rsidRPr="00205501">
        <w:rPr>
          <w:rFonts w:cs="Times New Roman"/>
        </w:rPr>
        <w:t xml:space="preserve">. It brought a claim before the Ontario Municipal Board for compensation for injurious affection under the </w:t>
      </w:r>
      <w:r w:rsidRPr="00205501">
        <w:rPr>
          <w:rFonts w:cs="Times New Roman"/>
          <w:i/>
        </w:rPr>
        <w:t>Expropriations Act</w:t>
      </w:r>
      <w:r w:rsidRPr="00205501">
        <w:rPr>
          <w:rFonts w:cs="Times New Roman"/>
        </w:rPr>
        <w:t>.  The parties accept the Board’s assessment of compensation; only its finding that the injurious affection claim was made out is</w:t>
      </w:r>
      <w:r>
        <w:rPr>
          <w:rFonts w:cs="Times New Roman"/>
        </w:rPr>
        <w:t xml:space="preserve"> </w:t>
      </w:r>
      <w:r w:rsidR="00FA7304">
        <w:rPr>
          <w:rFonts w:cs="Times New Roman"/>
        </w:rPr>
        <w:t>in issue before this Court.</w:t>
      </w:r>
    </w:p>
    <w:p w:rsidR="00694883" w:rsidRPr="00205501" w:rsidRDefault="00694883" w:rsidP="00694883">
      <w:pPr>
        <w:pStyle w:val="ParaNoNdepar-AltN"/>
        <w:rPr>
          <w:rFonts w:cs="Times New Roman"/>
        </w:rPr>
      </w:pPr>
      <w:r w:rsidRPr="00205501">
        <w:rPr>
          <w:rFonts w:cs="Times New Roman"/>
        </w:rPr>
        <w:lastRenderedPageBreak/>
        <w:t>Having heard the claim,</w:t>
      </w:r>
      <w:r>
        <w:rPr>
          <w:rFonts w:cs="Times New Roman"/>
        </w:rPr>
        <w:t xml:space="preserve"> </w:t>
      </w:r>
      <w:r w:rsidRPr="00205501">
        <w:rPr>
          <w:rFonts w:cs="Times New Roman"/>
        </w:rPr>
        <w:t xml:space="preserve">the Ontario Municipal Board awarded the appellant $58,000 for business loss and $335,000 for loss in market value of the land. The Board rejected the Province’s position that construction of the new highway had not impeded or altered access to the truck stop: </w:t>
      </w:r>
      <w:r>
        <w:rPr>
          <w:rFonts w:cs="Times New Roman"/>
        </w:rPr>
        <w:t>(2009), 96 L.C.R. 100, at p. 114</w:t>
      </w:r>
      <w:r w:rsidRPr="00205501">
        <w:rPr>
          <w:rFonts w:cs="Times New Roman"/>
        </w:rPr>
        <w:t xml:space="preserve">.  According to the Board, the change in access resulting from the construction constituted </w:t>
      </w:r>
      <w:r>
        <w:rPr>
          <w:rFonts w:cs="Times New Roman"/>
        </w:rPr>
        <w:t xml:space="preserve">a </w:t>
      </w:r>
      <w:r w:rsidRPr="00205501">
        <w:rPr>
          <w:rFonts w:cs="Times New Roman"/>
        </w:rPr>
        <w:t xml:space="preserve">“serious impairment in nuisance”: </w:t>
      </w:r>
      <w:r>
        <w:rPr>
          <w:rFonts w:cs="Times New Roman"/>
        </w:rPr>
        <w:t>p. 115</w:t>
      </w:r>
      <w:r w:rsidRPr="00205501">
        <w:rPr>
          <w:rFonts w:cs="Times New Roman"/>
        </w:rPr>
        <w:t>. The Board found that the construction of the new highway had changed Highway 17 in a manner that severely restricted access to the appellant’s land; it had turned Highway 17 into a “shadow of what it was before Highway 417”: p. 1</w:t>
      </w:r>
      <w:r>
        <w:rPr>
          <w:rFonts w:cs="Times New Roman"/>
        </w:rPr>
        <w:t>15</w:t>
      </w:r>
      <w:r w:rsidRPr="00205501">
        <w:rPr>
          <w:rFonts w:cs="Times New Roman"/>
        </w:rPr>
        <w:t xml:space="preserve">. In all of the circumstances, this interference was unreasonable and arose from the construction </w:t>
      </w:r>
      <w:r w:rsidR="00FA7304">
        <w:rPr>
          <w:rFonts w:cs="Times New Roman"/>
        </w:rPr>
        <w:t>and not the use of the highway.</w:t>
      </w:r>
    </w:p>
    <w:p w:rsidR="00694883" w:rsidRPr="00205501" w:rsidRDefault="00694883" w:rsidP="00694883">
      <w:pPr>
        <w:pStyle w:val="ParaNoNdepar-AltN"/>
        <w:rPr>
          <w:rFonts w:cs="Times New Roman"/>
        </w:rPr>
      </w:pPr>
      <w:r w:rsidRPr="00205501">
        <w:rPr>
          <w:rFonts w:cs="Times New Roman"/>
        </w:rPr>
        <w:t>The Board’s decision was upheld on appeal to the Divisional Court of the Ontario Superior Court of Justice</w:t>
      </w:r>
      <w:r>
        <w:rPr>
          <w:rFonts w:cs="Times New Roman"/>
        </w:rPr>
        <w:t>: 2010 ONSC 304, 100 O.R. (3d) 425</w:t>
      </w:r>
      <w:r w:rsidRPr="00205501">
        <w:rPr>
          <w:rFonts w:cs="Times New Roman"/>
        </w:rPr>
        <w:t>.</w:t>
      </w:r>
      <w:r>
        <w:rPr>
          <w:rFonts w:cs="Times New Roman"/>
        </w:rPr>
        <w:t xml:space="preserve"> The c</w:t>
      </w:r>
      <w:r w:rsidRPr="00205501">
        <w:rPr>
          <w:rFonts w:cs="Times New Roman"/>
        </w:rPr>
        <w:t>ourt found that the Board had correctly articulated the law of private nuisance and had applied it reasonably. Specifically, the Divisional Court found that the Board had balanced the public utility of the highway construction against the appellant’s interests in deciding that the interference caused by the Province was unreasonable.</w:t>
      </w:r>
    </w:p>
    <w:p w:rsidR="00694883" w:rsidRPr="00205501" w:rsidRDefault="00694883" w:rsidP="00694883">
      <w:pPr>
        <w:pStyle w:val="ParaNoNdepar-AltN"/>
        <w:rPr>
          <w:rFonts w:cs="Times New Roman"/>
        </w:rPr>
      </w:pPr>
      <w:r w:rsidRPr="00205501">
        <w:rPr>
          <w:rFonts w:cs="Times New Roman"/>
        </w:rPr>
        <w:t xml:space="preserve">On the Province’s further appeal to the Court of Appeal, the Board’s decision was set aside and the appellant’s claim dismissed.  The Court of Appeal found that the Board’s application of the law of private nuisance to the facts was unreasonable. In particular, the Court of Appeal concluded that the Board had failed </w:t>
      </w:r>
      <w:r w:rsidRPr="00205501">
        <w:rPr>
          <w:rFonts w:cs="Times New Roman"/>
        </w:rPr>
        <w:lastRenderedPageBreak/>
        <w:t>to balance the competing rights of the Province and the appellant adequately in two respects. First</w:t>
      </w:r>
      <w:r>
        <w:rPr>
          <w:rFonts w:cs="Times New Roman"/>
        </w:rPr>
        <w:t xml:space="preserve">, the Board failed to consider </w:t>
      </w:r>
      <w:r w:rsidRPr="00205501">
        <w:rPr>
          <w:rFonts w:cs="Times New Roman"/>
        </w:rPr>
        <w:t xml:space="preserve">two of the three factors it was </w:t>
      </w:r>
      <w:r>
        <w:rPr>
          <w:rFonts w:cs="Times New Roman"/>
        </w:rPr>
        <w:t>“</w:t>
      </w:r>
      <w:r w:rsidRPr="00205501">
        <w:rPr>
          <w:rFonts w:cs="Times New Roman"/>
        </w:rPr>
        <w:t>obliged to take into account in assessing the reasonableness of the interference” with the appellant’s use a</w:t>
      </w:r>
      <w:r w:rsidR="00871FC0">
        <w:rPr>
          <w:rFonts w:cs="Times New Roman"/>
        </w:rPr>
        <w:t>nd enjoyment of its land, namely</w:t>
      </w:r>
      <w:r w:rsidRPr="00205501">
        <w:rPr>
          <w:rFonts w:cs="Times New Roman"/>
        </w:rPr>
        <w:t xml:space="preserve"> the character of the neighbourhood and the sensitivity of the complainant.  Second, the Board “failed to recognize the elevated importance of the utility of the defendant’s conduct where the interference is the product of </w:t>
      </w:r>
      <w:r w:rsidR="00871FC0">
        <w:rPr>
          <w:rFonts w:cs="Times New Roman"/>
        </w:rPr>
        <w:t>‘</w:t>
      </w:r>
      <w:r w:rsidRPr="00205501">
        <w:rPr>
          <w:rFonts w:cs="Times New Roman"/>
        </w:rPr>
        <w:t>an essential public service</w:t>
      </w:r>
      <w:r>
        <w:rPr>
          <w:rFonts w:cs="Times New Roman"/>
        </w:rPr>
        <w:t>’</w:t>
      </w:r>
      <w:r w:rsidR="00FA7304">
        <w:rPr>
          <w:rFonts w:cs="Times New Roman"/>
        </w:rPr>
        <w:t xml:space="preserve">”: </w:t>
      </w:r>
      <w:proofErr w:type="spellStart"/>
      <w:r w:rsidR="00FA7304">
        <w:rPr>
          <w:rFonts w:cs="Times New Roman"/>
        </w:rPr>
        <w:t>para</w:t>
      </w:r>
      <w:proofErr w:type="spellEnd"/>
      <w:r w:rsidR="00FA7304">
        <w:rPr>
          <w:rFonts w:cs="Times New Roman"/>
        </w:rPr>
        <w:t>. 129.</w:t>
      </w:r>
    </w:p>
    <w:p w:rsidR="00694883" w:rsidRPr="00205501" w:rsidRDefault="00694883" w:rsidP="00956A4C">
      <w:pPr>
        <w:pStyle w:val="TitleTitre-AltT"/>
        <w:tabs>
          <w:tab w:val="clear" w:pos="360"/>
          <w:tab w:val="left" w:pos="540"/>
        </w:tabs>
        <w:ind w:left="540" w:hanging="540"/>
        <w:rPr>
          <w:rFonts w:cs="Times New Roman"/>
        </w:rPr>
      </w:pPr>
      <w:r w:rsidRPr="00205501">
        <w:rPr>
          <w:rFonts w:cs="Times New Roman"/>
        </w:rPr>
        <w:t>B.</w:t>
      </w:r>
      <w:r w:rsidRPr="00205501">
        <w:rPr>
          <w:rFonts w:cs="Times New Roman"/>
        </w:rPr>
        <w:tab/>
      </w:r>
      <w:r w:rsidRPr="00C91168">
        <w:rPr>
          <w:rFonts w:cs="Times New Roman"/>
          <w:i/>
        </w:rPr>
        <w:t>Standard of Review</w:t>
      </w:r>
    </w:p>
    <w:p w:rsidR="00694883" w:rsidRPr="00205501" w:rsidRDefault="00694883" w:rsidP="00694883">
      <w:pPr>
        <w:pStyle w:val="ParaNoNdepar-AltN"/>
        <w:rPr>
          <w:rFonts w:cs="Times New Roman"/>
        </w:rPr>
      </w:pPr>
      <w:r w:rsidRPr="00205501">
        <w:rPr>
          <w:rFonts w:cs="Times New Roman"/>
        </w:rPr>
        <w:t>As I explained above, the Court of Appeal set aside the Board’s decision because it unreasonably applied the law of private nuisance to the facts before it. The focus of the case is, therefore, on whether the Board appropriately carried out the balancing inherent in the law of private nuisance. A</w:t>
      </w:r>
      <w:r>
        <w:rPr>
          <w:rFonts w:cs="Times New Roman"/>
        </w:rPr>
        <w:t>s the Court of Appeal put it, “W</w:t>
      </w:r>
      <w:r w:rsidRPr="00205501">
        <w:rPr>
          <w:rFonts w:cs="Times New Roman"/>
        </w:rPr>
        <w:t xml:space="preserve">hether there has been an unreasonable interference with the use and enjoyment of the plaintiff’s land is a question of judgment based on all of the circumstances”: </w:t>
      </w:r>
      <w:proofErr w:type="spellStart"/>
      <w:r w:rsidRPr="00205501">
        <w:rPr>
          <w:rFonts w:cs="Times New Roman"/>
        </w:rPr>
        <w:t>para</w:t>
      </w:r>
      <w:proofErr w:type="spellEnd"/>
      <w:r w:rsidRPr="00205501">
        <w:rPr>
          <w:rFonts w:cs="Times New Roman"/>
        </w:rPr>
        <w:t>. 83.  I agree with the Court of Appeal that the Board’s decision on this point should be reviewed for reasonablenes</w:t>
      </w:r>
      <w:r w:rsidR="00FA7304">
        <w:rPr>
          <w:rFonts w:cs="Times New Roman"/>
        </w:rPr>
        <w:t>s.</w:t>
      </w:r>
    </w:p>
    <w:p w:rsidR="00694883" w:rsidRPr="00205501" w:rsidRDefault="00694883" w:rsidP="00694883">
      <w:pPr>
        <w:pStyle w:val="ParaNoNdepar-AltN"/>
        <w:rPr>
          <w:rFonts w:cs="Times New Roman"/>
        </w:rPr>
      </w:pPr>
      <w:r w:rsidRPr="00205501">
        <w:rPr>
          <w:rFonts w:cs="Times New Roman"/>
        </w:rPr>
        <w:t>Before turning to the primary issue in this case, however, I will address three broader questions relating to the law of private nuisance.</w:t>
      </w:r>
    </w:p>
    <w:p w:rsidR="00694883" w:rsidRPr="00205501" w:rsidRDefault="00694883" w:rsidP="00694883">
      <w:pPr>
        <w:pStyle w:val="TitleTitre-AltT"/>
        <w:rPr>
          <w:rFonts w:cs="Times New Roman"/>
        </w:rPr>
      </w:pPr>
      <w:r w:rsidRPr="00205501">
        <w:rPr>
          <w:rFonts w:cs="Times New Roman"/>
        </w:rPr>
        <w:t xml:space="preserve">C.  </w:t>
      </w:r>
      <w:r w:rsidRPr="00C91168">
        <w:rPr>
          <w:rFonts w:cs="Times New Roman"/>
          <w:i/>
        </w:rPr>
        <w:t>First Question</w:t>
      </w:r>
      <w:r>
        <w:rPr>
          <w:rFonts w:cs="Times New Roman"/>
          <w:i/>
        </w:rPr>
        <w:t>: What Are the Elements of Private N</w:t>
      </w:r>
      <w:r w:rsidRPr="00C91168">
        <w:rPr>
          <w:rFonts w:cs="Times New Roman"/>
          <w:i/>
        </w:rPr>
        <w:t>uisance?</w:t>
      </w:r>
    </w:p>
    <w:p w:rsidR="00694883" w:rsidRPr="00205501" w:rsidRDefault="00694883" w:rsidP="00694883">
      <w:pPr>
        <w:pStyle w:val="ParaNoNdepar-AltN"/>
        <w:rPr>
          <w:rFonts w:cs="Times New Roman"/>
        </w:rPr>
      </w:pPr>
      <w:r w:rsidRPr="00205501">
        <w:rPr>
          <w:rFonts w:cs="Times New Roman"/>
        </w:rPr>
        <w:lastRenderedPageBreak/>
        <w:t xml:space="preserve"> The Court of Appeal concluded that a nuisance consists of an interference with the claimant’s</w:t>
      </w:r>
      <w:r>
        <w:rPr>
          <w:rFonts w:cs="Times New Roman"/>
        </w:rPr>
        <w:t xml:space="preserve"> </w:t>
      </w:r>
      <w:r w:rsidRPr="00205501">
        <w:rPr>
          <w:rFonts w:cs="Times New Roman"/>
        </w:rPr>
        <w:t xml:space="preserve">use or enjoyment of land that is both </w:t>
      </w:r>
      <w:r w:rsidRPr="00DE28B4">
        <w:rPr>
          <w:rFonts w:cs="Times New Roman"/>
        </w:rPr>
        <w:t>substantial</w:t>
      </w:r>
      <w:r w:rsidRPr="00205501">
        <w:rPr>
          <w:rFonts w:cs="Times New Roman"/>
        </w:rPr>
        <w:t xml:space="preserve"> and </w:t>
      </w:r>
      <w:r w:rsidRPr="00DE28B4">
        <w:rPr>
          <w:rFonts w:cs="Times New Roman"/>
        </w:rPr>
        <w:t>unreasonable</w:t>
      </w:r>
      <w:r w:rsidRPr="00205501">
        <w:rPr>
          <w:rFonts w:cs="Times New Roman"/>
        </w:rPr>
        <w:t xml:space="preserve">: </w:t>
      </w:r>
      <w:proofErr w:type="spellStart"/>
      <w:r w:rsidRPr="00205501">
        <w:rPr>
          <w:rFonts w:cs="Times New Roman"/>
        </w:rPr>
        <w:t>paras</w:t>
      </w:r>
      <w:proofErr w:type="spellEnd"/>
      <w:r w:rsidRPr="00205501">
        <w:rPr>
          <w:rFonts w:cs="Times New Roman"/>
        </w:rPr>
        <w:t>. 79</w:t>
      </w:r>
      <w:r>
        <w:rPr>
          <w:rFonts w:cs="Times New Roman"/>
        </w:rPr>
        <w:t>-</w:t>
      </w:r>
      <w:r w:rsidRPr="00205501">
        <w:rPr>
          <w:rFonts w:cs="Times New Roman"/>
        </w:rPr>
        <w:t>80</w:t>
      </w:r>
      <w:proofErr w:type="gramStart"/>
      <w:r w:rsidRPr="00205501">
        <w:rPr>
          <w:rFonts w:cs="Times New Roman"/>
        </w:rPr>
        <w:t>.  In</w:t>
      </w:r>
      <w:proofErr w:type="gramEnd"/>
      <w:r w:rsidRPr="00205501">
        <w:rPr>
          <w:rFonts w:cs="Times New Roman"/>
        </w:rPr>
        <w:t xml:space="preserve"> my vie</w:t>
      </w:r>
      <w:r w:rsidR="00FA7304">
        <w:rPr>
          <w:rFonts w:cs="Times New Roman"/>
        </w:rPr>
        <w:t>w, this conclusion is correct.</w:t>
      </w:r>
    </w:p>
    <w:p w:rsidR="00694883" w:rsidRPr="00205501" w:rsidRDefault="00694883" w:rsidP="00694883">
      <w:pPr>
        <w:pStyle w:val="ParaNoNdepar-AltN"/>
        <w:rPr>
          <w:rFonts w:cs="Times New Roman"/>
        </w:rPr>
      </w:pPr>
      <w:r w:rsidRPr="00205501">
        <w:rPr>
          <w:rFonts w:cs="Times New Roman"/>
        </w:rPr>
        <w:t xml:space="preserve">The elements of a claim in private nuisance have often been expressed in terms of a two-part test of this nature: to support a claim in private nuisance the interference with the owner’s use or enjoyment of land must be both </w:t>
      </w:r>
      <w:r w:rsidRPr="00DE28B4">
        <w:rPr>
          <w:rFonts w:cs="Times New Roman"/>
          <w:i/>
        </w:rPr>
        <w:t>substantial</w:t>
      </w:r>
      <w:r w:rsidRPr="00205501">
        <w:rPr>
          <w:rFonts w:cs="Times New Roman"/>
        </w:rPr>
        <w:t xml:space="preserve"> and </w:t>
      </w:r>
      <w:r w:rsidRPr="00DE28B4">
        <w:rPr>
          <w:rFonts w:cs="Times New Roman"/>
          <w:i/>
        </w:rPr>
        <w:t>unreasonable</w:t>
      </w:r>
      <w:r w:rsidRPr="00205501">
        <w:rPr>
          <w:rFonts w:cs="Times New Roman"/>
        </w:rPr>
        <w:t>. A substantial interference with property is one that is non-trivial. Where this threshold is met, the inquiry proceeds to the reasonableness analysis, which is concerned with whether the non-trivial interference was also unreasonable in all of the circumstances.  This two-part approach found favour with this Court in its most recent discussion of private nuisance and was adopted by the Court of Appeal in this case</w:t>
      </w:r>
      <w:r>
        <w:rPr>
          <w:rFonts w:cs="Times New Roman"/>
        </w:rPr>
        <w:t xml:space="preserve">, at </w:t>
      </w:r>
      <w:proofErr w:type="spellStart"/>
      <w:r>
        <w:rPr>
          <w:rFonts w:cs="Times New Roman"/>
        </w:rPr>
        <w:t>para</w:t>
      </w:r>
      <w:proofErr w:type="spellEnd"/>
      <w:r>
        <w:rPr>
          <w:rFonts w:cs="Times New Roman"/>
        </w:rPr>
        <w:t>. 80</w:t>
      </w:r>
      <w:r w:rsidRPr="00205501">
        <w:rPr>
          <w:rFonts w:cs="Times New Roman"/>
        </w:rPr>
        <w:t xml:space="preserve">: </w:t>
      </w:r>
      <w:r w:rsidRPr="00205501">
        <w:rPr>
          <w:rFonts w:cs="Times New Roman"/>
          <w:i/>
        </w:rPr>
        <w:t>St</w:t>
      </w:r>
      <w:r>
        <w:rPr>
          <w:rFonts w:cs="Times New Roman"/>
          <w:i/>
        </w:rPr>
        <w:t>.</w:t>
      </w:r>
      <w:r w:rsidRPr="00205501">
        <w:rPr>
          <w:rFonts w:cs="Times New Roman"/>
          <w:i/>
        </w:rPr>
        <w:t xml:space="preserve"> Lawrence Cement</w:t>
      </w:r>
      <w:r>
        <w:rPr>
          <w:rFonts w:cs="Times New Roman"/>
          <w:i/>
        </w:rPr>
        <w:t xml:space="preserve"> Inc.</w:t>
      </w:r>
      <w:r w:rsidRPr="00205501">
        <w:rPr>
          <w:rFonts w:cs="Times New Roman"/>
          <w:i/>
        </w:rPr>
        <w:t xml:space="preserve"> v. Barrette</w:t>
      </w:r>
      <w:r w:rsidRPr="00205501">
        <w:rPr>
          <w:rFonts w:cs="Times New Roman"/>
        </w:rPr>
        <w:t xml:space="preserve">, </w:t>
      </w:r>
      <w:r>
        <w:rPr>
          <w:rFonts w:cs="Times New Roman"/>
        </w:rPr>
        <w:t xml:space="preserve">2008 SCC 64, </w:t>
      </w:r>
      <w:r w:rsidRPr="00205501">
        <w:rPr>
          <w:rFonts w:cs="Times New Roman"/>
        </w:rPr>
        <w:t>[2008] 3 S.C.R. 392</w:t>
      </w:r>
      <w:r>
        <w:rPr>
          <w:rFonts w:cs="Times New Roman"/>
        </w:rPr>
        <w:t>,</w:t>
      </w:r>
      <w:r w:rsidRPr="00205501">
        <w:rPr>
          <w:rFonts w:cs="Times New Roman"/>
        </w:rPr>
        <w:t xml:space="preserve"> at </w:t>
      </w:r>
      <w:proofErr w:type="spellStart"/>
      <w:r w:rsidRPr="00205501">
        <w:rPr>
          <w:rFonts w:cs="Times New Roman"/>
        </w:rPr>
        <w:t>para</w:t>
      </w:r>
      <w:proofErr w:type="spellEnd"/>
      <w:r w:rsidRPr="00205501">
        <w:rPr>
          <w:rFonts w:cs="Times New Roman"/>
        </w:rPr>
        <w:t xml:space="preserve">. 77; </w:t>
      </w:r>
      <w:r>
        <w:rPr>
          <w:rFonts w:cs="Times New Roman"/>
        </w:rPr>
        <w:t>s</w:t>
      </w:r>
      <w:r w:rsidRPr="00205501">
        <w:rPr>
          <w:rFonts w:cs="Times New Roman"/>
        </w:rPr>
        <w:t xml:space="preserve">ee also </w:t>
      </w:r>
      <w:r w:rsidRPr="00205501">
        <w:rPr>
          <w:rFonts w:cs="Times New Roman"/>
          <w:i/>
        </w:rPr>
        <w:t>St</w:t>
      </w:r>
      <w:r>
        <w:rPr>
          <w:rFonts w:cs="Times New Roman"/>
          <w:i/>
        </w:rPr>
        <w:t>.</w:t>
      </w:r>
      <w:r w:rsidRPr="00205501">
        <w:rPr>
          <w:rFonts w:cs="Times New Roman"/>
        </w:rPr>
        <w:t xml:space="preserve"> </w:t>
      </w:r>
      <w:r w:rsidRPr="00205501">
        <w:rPr>
          <w:rFonts w:cs="Times New Roman"/>
          <w:i/>
        </w:rPr>
        <w:t>Pierre v. Ontario (Minister of Transportation and Communications)</w:t>
      </w:r>
      <w:r>
        <w:rPr>
          <w:rFonts w:cs="Times New Roman"/>
        </w:rPr>
        <w:t>,</w:t>
      </w:r>
      <w:r w:rsidRPr="00205501">
        <w:rPr>
          <w:rFonts w:cs="Times New Roman"/>
          <w:i/>
        </w:rPr>
        <w:t xml:space="preserve"> </w:t>
      </w:r>
      <w:r w:rsidRPr="00205501">
        <w:rPr>
          <w:rFonts w:cs="Times New Roman"/>
        </w:rPr>
        <w:t>[1987] 1 S.C.R. 906, at pp. 914</w:t>
      </w:r>
      <w:r>
        <w:rPr>
          <w:rFonts w:cs="Times New Roman"/>
        </w:rPr>
        <w:t>-</w:t>
      </w:r>
      <w:r w:rsidRPr="00205501">
        <w:rPr>
          <w:rFonts w:cs="Times New Roman"/>
        </w:rPr>
        <w:t>15</w:t>
      </w:r>
      <w:r>
        <w:rPr>
          <w:rFonts w:cs="Times New Roman"/>
        </w:rPr>
        <w:t>,</w:t>
      </w:r>
      <w:r w:rsidRPr="00205501">
        <w:rPr>
          <w:rFonts w:cs="Times New Roman"/>
        </w:rPr>
        <w:t xml:space="preserve"> quoting with approval </w:t>
      </w:r>
      <w:r>
        <w:rPr>
          <w:rFonts w:cs="Times New Roman"/>
        </w:rPr>
        <w:t xml:space="preserve">H. </w:t>
      </w:r>
      <w:r w:rsidRPr="00205501">
        <w:rPr>
          <w:rFonts w:cs="Times New Roman"/>
        </w:rPr>
        <w:t xml:space="preserve">Street, </w:t>
      </w:r>
      <w:r w:rsidRPr="00205501">
        <w:rPr>
          <w:rFonts w:cs="Times New Roman"/>
          <w:i/>
        </w:rPr>
        <w:t>The Law of Torts</w:t>
      </w:r>
      <w:r w:rsidRPr="00205501">
        <w:rPr>
          <w:rFonts w:cs="Times New Roman"/>
        </w:rPr>
        <w:t xml:space="preserve"> (6</w:t>
      </w:r>
      <w:r>
        <w:rPr>
          <w:rFonts w:cs="Times New Roman"/>
        </w:rPr>
        <w:t>th ed.</w:t>
      </w:r>
      <w:r w:rsidRPr="00205501">
        <w:rPr>
          <w:rFonts w:cs="Times New Roman"/>
        </w:rPr>
        <w:t xml:space="preserve"> 1976)</w:t>
      </w:r>
      <w:r>
        <w:rPr>
          <w:rFonts w:cs="Times New Roman"/>
        </w:rPr>
        <w:t>,</w:t>
      </w:r>
      <w:r w:rsidRPr="00205501">
        <w:rPr>
          <w:rFonts w:cs="Times New Roman"/>
        </w:rPr>
        <w:t xml:space="preserve"> at p. 219; </w:t>
      </w:r>
      <w:r w:rsidRPr="00205501">
        <w:rPr>
          <w:rFonts w:cs="Times New Roman"/>
          <w:i/>
        </w:rPr>
        <w:t xml:space="preserve">Susan </w:t>
      </w:r>
      <w:proofErr w:type="spellStart"/>
      <w:r w:rsidRPr="00205501">
        <w:rPr>
          <w:rFonts w:cs="Times New Roman"/>
          <w:i/>
        </w:rPr>
        <w:t>Heyes</w:t>
      </w:r>
      <w:proofErr w:type="spellEnd"/>
      <w:r w:rsidRPr="00205501">
        <w:rPr>
          <w:rFonts w:cs="Times New Roman"/>
          <w:i/>
        </w:rPr>
        <w:t xml:space="preserve"> Inc. v. Vancouver (City)</w:t>
      </w:r>
      <w:r w:rsidRPr="00205501">
        <w:rPr>
          <w:rFonts w:cs="Times New Roman"/>
        </w:rPr>
        <w:t xml:space="preserve">, </w:t>
      </w:r>
      <w:r>
        <w:rPr>
          <w:rFonts w:cs="Times New Roman"/>
        </w:rPr>
        <w:t xml:space="preserve">2011 BCCA 77, </w:t>
      </w:r>
      <w:r w:rsidRPr="00205501">
        <w:rPr>
          <w:rFonts w:cs="Times New Roman"/>
        </w:rPr>
        <w:t>329 D</w:t>
      </w:r>
      <w:r>
        <w:rPr>
          <w:rFonts w:cs="Times New Roman"/>
        </w:rPr>
        <w:t>.</w:t>
      </w:r>
      <w:r w:rsidRPr="00205501">
        <w:rPr>
          <w:rFonts w:cs="Times New Roman"/>
        </w:rPr>
        <w:t>L</w:t>
      </w:r>
      <w:r>
        <w:rPr>
          <w:rFonts w:cs="Times New Roman"/>
        </w:rPr>
        <w:t>.</w:t>
      </w:r>
      <w:r w:rsidRPr="00205501">
        <w:rPr>
          <w:rFonts w:cs="Times New Roman"/>
        </w:rPr>
        <w:t>R</w:t>
      </w:r>
      <w:r>
        <w:rPr>
          <w:rFonts w:cs="Times New Roman"/>
        </w:rPr>
        <w:t>.</w:t>
      </w:r>
      <w:r w:rsidRPr="00205501">
        <w:rPr>
          <w:rFonts w:cs="Times New Roman"/>
        </w:rPr>
        <w:t xml:space="preserve"> (4</w:t>
      </w:r>
      <w:r>
        <w:rPr>
          <w:rFonts w:cs="Times New Roman"/>
        </w:rPr>
        <w:t>th</w:t>
      </w:r>
      <w:r w:rsidRPr="00205501">
        <w:rPr>
          <w:rFonts w:cs="Times New Roman"/>
        </w:rPr>
        <w:t>) 92</w:t>
      </w:r>
      <w:r>
        <w:rPr>
          <w:rFonts w:cs="Times New Roman"/>
        </w:rPr>
        <w:t xml:space="preserve">, at </w:t>
      </w:r>
      <w:proofErr w:type="spellStart"/>
      <w:r>
        <w:rPr>
          <w:rFonts w:cs="Times New Roman"/>
        </w:rPr>
        <w:t>para</w:t>
      </w:r>
      <w:proofErr w:type="spellEnd"/>
      <w:r>
        <w:rPr>
          <w:rFonts w:cs="Times New Roman"/>
        </w:rPr>
        <w:t>. 75</w:t>
      </w:r>
      <w:r w:rsidRPr="00205501">
        <w:rPr>
          <w:rFonts w:cs="Times New Roman"/>
        </w:rPr>
        <w:t xml:space="preserve">, leave to appeal refused </w:t>
      </w:r>
      <w:r>
        <w:rPr>
          <w:rFonts w:cs="Times New Roman"/>
        </w:rPr>
        <w:t>[</w:t>
      </w:r>
      <w:r w:rsidRPr="00205501">
        <w:rPr>
          <w:rFonts w:cs="Times New Roman"/>
        </w:rPr>
        <w:t>2011</w:t>
      </w:r>
      <w:r>
        <w:rPr>
          <w:rFonts w:cs="Times New Roman"/>
        </w:rPr>
        <w:t>]</w:t>
      </w:r>
      <w:r w:rsidRPr="00205501">
        <w:rPr>
          <w:rFonts w:cs="Times New Roman"/>
        </w:rPr>
        <w:t xml:space="preserve"> </w:t>
      </w:r>
      <w:r>
        <w:rPr>
          <w:rFonts w:cs="Times New Roman"/>
        </w:rPr>
        <w:t>3 S.C.R. xi</w:t>
      </w:r>
      <w:r w:rsidRPr="00205501">
        <w:rPr>
          <w:rFonts w:cs="Times New Roman"/>
        </w:rPr>
        <w:t xml:space="preserve">; </w:t>
      </w:r>
      <w:r>
        <w:rPr>
          <w:rFonts w:cs="Times New Roman"/>
          <w:i/>
        </w:rPr>
        <w:t xml:space="preserve">City of </w:t>
      </w:r>
      <w:proofErr w:type="spellStart"/>
      <w:r>
        <w:rPr>
          <w:rFonts w:cs="Times New Roman"/>
          <w:i/>
        </w:rPr>
        <w:t>Campbellton</w:t>
      </w:r>
      <w:proofErr w:type="spellEnd"/>
      <w:r>
        <w:rPr>
          <w:rFonts w:cs="Times New Roman"/>
          <w:i/>
        </w:rPr>
        <w:t xml:space="preserve"> v. </w:t>
      </w:r>
      <w:r w:rsidRPr="00205501">
        <w:rPr>
          <w:rFonts w:cs="Times New Roman"/>
          <w:i/>
        </w:rPr>
        <w:t>Gray’s Velvet Ice</w:t>
      </w:r>
      <w:r>
        <w:rPr>
          <w:rFonts w:cs="Times New Roman"/>
          <w:i/>
        </w:rPr>
        <w:t xml:space="preserve"> </w:t>
      </w:r>
      <w:r w:rsidRPr="00205501">
        <w:rPr>
          <w:rFonts w:cs="Times New Roman"/>
          <w:i/>
        </w:rPr>
        <w:t xml:space="preserve">Cream Ltd. </w:t>
      </w:r>
      <w:r w:rsidRPr="00205501">
        <w:rPr>
          <w:rFonts w:cs="Times New Roman"/>
        </w:rPr>
        <w:t xml:space="preserve">(1981), </w:t>
      </w:r>
      <w:r>
        <w:rPr>
          <w:rFonts w:cs="Times New Roman"/>
        </w:rPr>
        <w:t>127 D.L.R. (3d) 436</w:t>
      </w:r>
      <w:r w:rsidR="00871FC0">
        <w:rPr>
          <w:rFonts w:cs="Times New Roman"/>
        </w:rPr>
        <w:t xml:space="preserve"> </w:t>
      </w:r>
      <w:r w:rsidR="00871FC0" w:rsidRPr="00205501">
        <w:rPr>
          <w:rFonts w:cs="Times New Roman"/>
        </w:rPr>
        <w:t>(</w:t>
      </w:r>
      <w:r w:rsidR="00871FC0">
        <w:rPr>
          <w:rFonts w:cs="Times New Roman"/>
        </w:rPr>
        <w:t>N.B.</w:t>
      </w:r>
      <w:r w:rsidR="00871FC0" w:rsidRPr="00205501">
        <w:rPr>
          <w:rFonts w:cs="Times New Roman"/>
        </w:rPr>
        <w:t>C</w:t>
      </w:r>
      <w:r w:rsidR="00871FC0">
        <w:rPr>
          <w:rFonts w:cs="Times New Roman"/>
        </w:rPr>
        <w:t>.</w:t>
      </w:r>
      <w:r w:rsidR="00871FC0" w:rsidRPr="00205501">
        <w:rPr>
          <w:rFonts w:cs="Times New Roman"/>
        </w:rPr>
        <w:t>A</w:t>
      </w:r>
      <w:r w:rsidR="00871FC0">
        <w:rPr>
          <w:rFonts w:cs="Times New Roman"/>
        </w:rPr>
        <w:t>.</w:t>
      </w:r>
      <w:r w:rsidR="00871FC0" w:rsidRPr="00205501">
        <w:rPr>
          <w:rFonts w:cs="Times New Roman"/>
        </w:rPr>
        <w:t>)</w:t>
      </w:r>
      <w:r>
        <w:rPr>
          <w:rFonts w:cs="Times New Roman"/>
        </w:rPr>
        <w:t>,</w:t>
      </w:r>
      <w:r w:rsidRPr="00205501">
        <w:rPr>
          <w:rFonts w:cs="Times New Roman"/>
        </w:rPr>
        <w:t xml:space="preserve"> at p. </w:t>
      </w:r>
      <w:r>
        <w:rPr>
          <w:rFonts w:cs="Times New Roman"/>
        </w:rPr>
        <w:t>441</w:t>
      </w:r>
      <w:r w:rsidRPr="00205501">
        <w:rPr>
          <w:rFonts w:cs="Times New Roman"/>
        </w:rPr>
        <w:t xml:space="preserve">; </w:t>
      </w:r>
      <w:r w:rsidRPr="00205501">
        <w:rPr>
          <w:rFonts w:cs="Times New Roman"/>
          <w:i/>
        </w:rPr>
        <w:t>Royal Anne Hotel</w:t>
      </w:r>
      <w:r>
        <w:rPr>
          <w:rFonts w:cs="Times New Roman"/>
          <w:i/>
        </w:rPr>
        <w:t xml:space="preserve"> Co. </w:t>
      </w:r>
      <w:r w:rsidRPr="00205501">
        <w:rPr>
          <w:rFonts w:cs="Times New Roman"/>
          <w:i/>
        </w:rPr>
        <w:t xml:space="preserve">v. Village of Ashcroft </w:t>
      </w:r>
      <w:r>
        <w:rPr>
          <w:rFonts w:cs="Times New Roman"/>
        </w:rPr>
        <w:t>(1979), 95 D.L.R. (3d) 756 (B.C.C.A.),</w:t>
      </w:r>
      <w:r w:rsidRPr="00205501">
        <w:rPr>
          <w:rFonts w:cs="Times New Roman"/>
        </w:rPr>
        <w:t xml:space="preserve"> at p. </w:t>
      </w:r>
      <w:r>
        <w:rPr>
          <w:rFonts w:cs="Times New Roman"/>
        </w:rPr>
        <w:t>760</w:t>
      </w:r>
      <w:r w:rsidRPr="00205501">
        <w:rPr>
          <w:rFonts w:cs="Times New Roman"/>
        </w:rPr>
        <w:t xml:space="preserve">; </w:t>
      </w:r>
      <w:r w:rsidRPr="00205501">
        <w:rPr>
          <w:rFonts w:cs="Times New Roman"/>
          <w:i/>
        </w:rPr>
        <w:t>Fleming</w:t>
      </w:r>
      <w:r>
        <w:rPr>
          <w:rFonts w:cs="Times New Roman"/>
          <w:i/>
        </w:rPr>
        <w:t>’s The Law of Torts</w:t>
      </w:r>
      <w:r w:rsidRPr="00205501">
        <w:rPr>
          <w:rFonts w:cs="Times New Roman"/>
        </w:rPr>
        <w:t xml:space="preserve"> (10</w:t>
      </w:r>
      <w:r>
        <w:rPr>
          <w:rFonts w:cs="Times New Roman"/>
        </w:rPr>
        <w:t>th ed. 2011</w:t>
      </w:r>
      <w:r w:rsidRPr="00205501">
        <w:rPr>
          <w:rFonts w:cs="Times New Roman"/>
        </w:rPr>
        <w:t>)</w:t>
      </w:r>
      <w:r>
        <w:rPr>
          <w:rFonts w:cs="Times New Roman"/>
        </w:rPr>
        <w:t>,</w:t>
      </w:r>
      <w:r w:rsidRPr="00205501">
        <w:rPr>
          <w:rFonts w:cs="Times New Roman"/>
        </w:rPr>
        <w:t xml:space="preserve"> at s. 21.80; </w:t>
      </w:r>
      <w:r w:rsidR="00871FC0">
        <w:rPr>
          <w:rFonts w:cs="Times New Roman"/>
        </w:rPr>
        <w:t xml:space="preserve">J. Murphy and C. Witting, </w:t>
      </w:r>
      <w:r w:rsidRPr="00205501">
        <w:rPr>
          <w:rFonts w:cs="Times New Roman"/>
          <w:i/>
        </w:rPr>
        <w:t>Street on Torts</w:t>
      </w:r>
      <w:r>
        <w:rPr>
          <w:rFonts w:cs="Times New Roman"/>
        </w:rPr>
        <w:t xml:space="preserve"> (13th ed.</w:t>
      </w:r>
      <w:r w:rsidRPr="00205501">
        <w:rPr>
          <w:rFonts w:cs="Times New Roman"/>
        </w:rPr>
        <w:t xml:space="preserve"> 20</w:t>
      </w:r>
      <w:r>
        <w:rPr>
          <w:rFonts w:cs="Times New Roman"/>
        </w:rPr>
        <w:t>12</w:t>
      </w:r>
      <w:r w:rsidRPr="00205501">
        <w:rPr>
          <w:rFonts w:cs="Times New Roman"/>
        </w:rPr>
        <w:t>)</w:t>
      </w:r>
      <w:r>
        <w:rPr>
          <w:rFonts w:cs="Times New Roman"/>
        </w:rPr>
        <w:t>,</w:t>
      </w:r>
      <w:r w:rsidRPr="00205501">
        <w:rPr>
          <w:rFonts w:cs="Times New Roman"/>
        </w:rPr>
        <w:t xml:space="preserve"> at p. 4</w:t>
      </w:r>
      <w:r>
        <w:rPr>
          <w:rFonts w:cs="Times New Roman"/>
        </w:rPr>
        <w:t>43</w:t>
      </w:r>
      <w:r w:rsidRPr="00205501">
        <w:rPr>
          <w:rFonts w:cs="Times New Roman"/>
        </w:rPr>
        <w:t xml:space="preserve">; </w:t>
      </w:r>
      <w:r>
        <w:rPr>
          <w:rFonts w:cs="Times New Roman"/>
        </w:rPr>
        <w:t xml:space="preserve">L. N. </w:t>
      </w:r>
      <w:proofErr w:type="spellStart"/>
      <w:r w:rsidRPr="00205501">
        <w:rPr>
          <w:rFonts w:cs="Times New Roman"/>
        </w:rPr>
        <w:t>Klar</w:t>
      </w:r>
      <w:proofErr w:type="spellEnd"/>
      <w:r>
        <w:rPr>
          <w:rFonts w:cs="Times New Roman"/>
        </w:rPr>
        <w:t xml:space="preserve">, </w:t>
      </w:r>
      <w:r>
        <w:rPr>
          <w:rFonts w:cs="Times New Roman"/>
          <w:i/>
        </w:rPr>
        <w:t>Tort Law</w:t>
      </w:r>
      <w:r w:rsidRPr="00205501">
        <w:rPr>
          <w:rFonts w:cs="Times New Roman"/>
        </w:rPr>
        <w:t xml:space="preserve"> (5</w:t>
      </w:r>
      <w:r>
        <w:rPr>
          <w:rFonts w:cs="Times New Roman"/>
        </w:rPr>
        <w:t>th ed.</w:t>
      </w:r>
      <w:r w:rsidRPr="00205501">
        <w:rPr>
          <w:rFonts w:cs="Times New Roman"/>
        </w:rPr>
        <w:t xml:space="preserve"> 2012)</w:t>
      </w:r>
      <w:r>
        <w:rPr>
          <w:rFonts w:cs="Times New Roman"/>
        </w:rPr>
        <w:t>, at p. </w:t>
      </w:r>
      <w:r w:rsidR="00FA7304">
        <w:rPr>
          <w:rFonts w:cs="Times New Roman"/>
        </w:rPr>
        <w:t>759.</w:t>
      </w:r>
    </w:p>
    <w:p w:rsidR="00694883" w:rsidRPr="00205501" w:rsidRDefault="00694883" w:rsidP="00694883">
      <w:pPr>
        <w:pStyle w:val="ParaNoNdepar-AltN"/>
        <w:rPr>
          <w:rFonts w:cs="Times New Roman"/>
        </w:rPr>
      </w:pPr>
      <w:r w:rsidRPr="00205501">
        <w:rPr>
          <w:rFonts w:cs="Times New Roman"/>
        </w:rPr>
        <w:lastRenderedPageBreak/>
        <w:t>The two-part approach, it must be conceded, is open to criticism. It may sometimes introduce unnecessary complexity and duplication into the analysis.  When it is applied, the gravity of the harm is, in a sense, considered twice: once in order to apply the substantial interference threshold and again in deciding whether the interference was unreasonab</w:t>
      </w:r>
      <w:r w:rsidR="00FA7304">
        <w:rPr>
          <w:rFonts w:cs="Times New Roman"/>
        </w:rPr>
        <w:t>le in all of the circumstances.</w:t>
      </w:r>
    </w:p>
    <w:p w:rsidR="00694883" w:rsidRPr="00205501" w:rsidRDefault="00694883" w:rsidP="00694883">
      <w:pPr>
        <w:pStyle w:val="ParaNoNdepar-AltN"/>
        <w:rPr>
          <w:rFonts w:cs="Times New Roman"/>
        </w:rPr>
      </w:pPr>
      <w:r w:rsidRPr="00205501">
        <w:rPr>
          <w:rFonts w:cs="Times New Roman"/>
        </w:rPr>
        <w:t xml:space="preserve">On balance, however, my view is that we ought to retain the two-part approach with its threshold of a certain seriousness of the interference.  The two-part approach is consistent with the authorities from this Court (as I noted above). It is also, in my view, analytically sound.  Retaining a substantial interference threshold underlines the important point that </w:t>
      </w:r>
      <w:proofErr w:type="gramStart"/>
      <w:r w:rsidRPr="00205501">
        <w:rPr>
          <w:rFonts w:cs="Times New Roman"/>
        </w:rPr>
        <w:t>not every interference</w:t>
      </w:r>
      <w:proofErr w:type="gramEnd"/>
      <w:r w:rsidRPr="00205501">
        <w:rPr>
          <w:rFonts w:cs="Times New Roman"/>
        </w:rPr>
        <w:t>, no matter how minor or transitory, is an actionable nuisance; some interferences must be accepted as part of the normal give and take of life. Finally, the threshold requirement of the two-part approach has a practical advantage: it provides a means of screening out weak claims before having to confront the more complex analysis of reasonableness.</w:t>
      </w:r>
    </w:p>
    <w:p w:rsidR="00694883" w:rsidRPr="00205501" w:rsidRDefault="00694883" w:rsidP="00694883">
      <w:pPr>
        <w:pStyle w:val="ParaNoNdepar-AltN"/>
        <w:rPr>
          <w:rFonts w:cs="Times New Roman"/>
        </w:rPr>
      </w:pPr>
      <w:r w:rsidRPr="00205501">
        <w:rPr>
          <w:rFonts w:cs="Times New Roman"/>
        </w:rPr>
        <w:t>What does this threshold require? In</w:t>
      </w:r>
      <w:r w:rsidRPr="00205501">
        <w:rPr>
          <w:rFonts w:cs="Times New Roman"/>
          <w:i/>
        </w:rPr>
        <w:t xml:space="preserve"> St. Lawrence Cement</w:t>
      </w:r>
      <w:r w:rsidRPr="00205501">
        <w:rPr>
          <w:rFonts w:cs="Times New Roman"/>
        </w:rPr>
        <w:t xml:space="preserve">, the Court noted that the requirement of substantial harm “means that compensation will not be awarded for trivial annoyances”: </w:t>
      </w:r>
      <w:proofErr w:type="spellStart"/>
      <w:r w:rsidRPr="00205501">
        <w:rPr>
          <w:rFonts w:cs="Times New Roman"/>
        </w:rPr>
        <w:t>para</w:t>
      </w:r>
      <w:proofErr w:type="spellEnd"/>
      <w:r w:rsidRPr="00205501">
        <w:rPr>
          <w:rFonts w:cs="Times New Roman"/>
        </w:rPr>
        <w:t>. 77. In</w:t>
      </w:r>
      <w:r>
        <w:rPr>
          <w:rFonts w:cs="Times New Roman"/>
          <w:i/>
        </w:rPr>
        <w:t xml:space="preserve"> St. Pierre</w:t>
      </w:r>
      <w:r>
        <w:rPr>
          <w:rFonts w:cs="Times New Roman"/>
        </w:rPr>
        <w:t>,</w:t>
      </w:r>
      <w:r w:rsidRPr="00205501">
        <w:rPr>
          <w:rFonts w:cs="Times New Roman"/>
          <w:i/>
        </w:rPr>
        <w:t xml:space="preserve"> </w:t>
      </w:r>
      <w:r w:rsidRPr="00205501">
        <w:rPr>
          <w:rFonts w:cs="Times New Roman"/>
        </w:rPr>
        <w:t>while the Court was careful to say that the categories of nuisance are not closed, it also noted that only interferences that “</w:t>
      </w:r>
      <w:r w:rsidRPr="00205501">
        <w:rPr>
          <w:rFonts w:cs="Times New Roman"/>
          <w:u w:val="single"/>
        </w:rPr>
        <w:t>substantially</w:t>
      </w:r>
      <w:r w:rsidRPr="00205501">
        <w:rPr>
          <w:rFonts w:cs="Times New Roman"/>
        </w:rPr>
        <w:t xml:space="preserve"> </w:t>
      </w:r>
      <w:proofErr w:type="spellStart"/>
      <w:r w:rsidRPr="00205501">
        <w:rPr>
          <w:rFonts w:cs="Times New Roman"/>
        </w:rPr>
        <w:t>alte</w:t>
      </w:r>
      <w:proofErr w:type="spellEnd"/>
      <w:r>
        <w:rPr>
          <w:rFonts w:cs="Times New Roman"/>
        </w:rPr>
        <w:t>[</w:t>
      </w:r>
      <w:r w:rsidRPr="00205501">
        <w:rPr>
          <w:rFonts w:cs="Times New Roman"/>
        </w:rPr>
        <w:t>r</w:t>
      </w:r>
      <w:r>
        <w:rPr>
          <w:rFonts w:cs="Times New Roman"/>
        </w:rPr>
        <w:t>]</w:t>
      </w:r>
      <w:r w:rsidRPr="00205501">
        <w:rPr>
          <w:rFonts w:cs="Times New Roman"/>
        </w:rPr>
        <w:t xml:space="preserve"> the nature of the claimant’s property itself” or interfere “to a</w:t>
      </w:r>
      <w:r w:rsidRPr="00871FC0">
        <w:rPr>
          <w:rFonts w:cs="Times New Roman"/>
        </w:rPr>
        <w:t xml:space="preserve"> </w:t>
      </w:r>
      <w:r w:rsidRPr="00205501">
        <w:rPr>
          <w:rFonts w:cs="Times New Roman"/>
          <w:u w:val="single"/>
        </w:rPr>
        <w:t>significant</w:t>
      </w:r>
      <w:r w:rsidRPr="00205501">
        <w:rPr>
          <w:rFonts w:cs="Times New Roman"/>
        </w:rPr>
        <w:t xml:space="preserve"> extent with the actual use being made of the property” are sufficient to</w:t>
      </w:r>
      <w:r>
        <w:rPr>
          <w:rFonts w:cs="Times New Roman"/>
        </w:rPr>
        <w:t xml:space="preserve"> ground a claim in nuisance: </w:t>
      </w:r>
      <w:r w:rsidRPr="00205501">
        <w:rPr>
          <w:rFonts w:cs="Times New Roman"/>
        </w:rPr>
        <w:t xml:space="preserve">p. 915 </w:t>
      </w:r>
      <w:r>
        <w:rPr>
          <w:rFonts w:cs="Times New Roman"/>
        </w:rPr>
        <w:t>(</w:t>
      </w:r>
      <w:r w:rsidRPr="00205501">
        <w:rPr>
          <w:rFonts w:cs="Times New Roman"/>
        </w:rPr>
        <w:t>emphasis added</w:t>
      </w:r>
      <w:r>
        <w:rPr>
          <w:rFonts w:cs="Times New Roman"/>
        </w:rPr>
        <w:t>)</w:t>
      </w:r>
      <w:r w:rsidRPr="00205501">
        <w:rPr>
          <w:rFonts w:cs="Times New Roman"/>
        </w:rPr>
        <w:t xml:space="preserve">. One can ascertain </w:t>
      </w:r>
      <w:r w:rsidRPr="00205501">
        <w:rPr>
          <w:rFonts w:cs="Times New Roman"/>
        </w:rPr>
        <w:lastRenderedPageBreak/>
        <w:t xml:space="preserve">from these authorities that a substantial injury to the complainant’s property interest is one that amounts to more than a slight annoyance or trifling interference. As La Forest J. put it in </w:t>
      </w:r>
      <w:r w:rsidRPr="00205501">
        <w:rPr>
          <w:rFonts w:cs="Times New Roman"/>
          <w:i/>
        </w:rPr>
        <w:t>Tock v. St</w:t>
      </w:r>
      <w:r>
        <w:rPr>
          <w:rFonts w:cs="Times New Roman"/>
          <w:i/>
        </w:rPr>
        <w:t>.</w:t>
      </w:r>
      <w:r w:rsidRPr="00205501">
        <w:rPr>
          <w:rFonts w:cs="Times New Roman"/>
          <w:i/>
        </w:rPr>
        <w:t xml:space="preserve"> John’s Metropolitan Area Board</w:t>
      </w:r>
      <w:r w:rsidRPr="00205501">
        <w:rPr>
          <w:rFonts w:cs="Times New Roman"/>
        </w:rPr>
        <w:t xml:space="preserve">, </w:t>
      </w:r>
      <w:r>
        <w:rPr>
          <w:rFonts w:cs="Times New Roman"/>
        </w:rPr>
        <w:t xml:space="preserve">[1989] 2 S.C.R. 1181, </w:t>
      </w:r>
      <w:r w:rsidRPr="00205501">
        <w:rPr>
          <w:rFonts w:cs="Times New Roman"/>
        </w:rPr>
        <w:t xml:space="preserve">actionable nuisances include “only those inconveniences that materially interfere with ordinary comfort as defined according to the standards held by </w:t>
      </w:r>
      <w:r>
        <w:rPr>
          <w:rFonts w:cs="Times New Roman"/>
        </w:rPr>
        <w:t>those of plain and sober tastes</w:t>
      </w:r>
      <w:r w:rsidRPr="00205501">
        <w:rPr>
          <w:rFonts w:cs="Times New Roman"/>
        </w:rPr>
        <w:t>”</w:t>
      </w:r>
      <w:r>
        <w:rPr>
          <w:rFonts w:cs="Times New Roman"/>
        </w:rPr>
        <w:t>,</w:t>
      </w:r>
      <w:r w:rsidRPr="00205501">
        <w:rPr>
          <w:rFonts w:cs="Times New Roman"/>
        </w:rPr>
        <w:t xml:space="preserve"> and not claims based “on the prompting of excessive ‘delicacy and fastidiousness’”: p. 1191. Claims that are clearly of this latter nature do not engage the reasonableness analysis.</w:t>
      </w:r>
    </w:p>
    <w:p w:rsidR="00694883" w:rsidRPr="00205501" w:rsidRDefault="00694883" w:rsidP="00694883">
      <w:pPr>
        <w:pStyle w:val="ParaNoNdepar-AltN"/>
        <w:rPr>
          <w:rFonts w:cs="Times New Roman"/>
        </w:rPr>
      </w:pPr>
      <w:r w:rsidRPr="00205501">
        <w:rPr>
          <w:rFonts w:cs="Times New Roman"/>
        </w:rPr>
        <w:t xml:space="preserve">In referring to these statements I do not mean to suggest that there are firm categories of types of interference which determine whether </w:t>
      </w:r>
      <w:proofErr w:type="gramStart"/>
      <w:r w:rsidRPr="00205501">
        <w:rPr>
          <w:rFonts w:cs="Times New Roman"/>
        </w:rPr>
        <w:t>an interference</w:t>
      </w:r>
      <w:proofErr w:type="gramEnd"/>
      <w:r w:rsidRPr="00205501">
        <w:rPr>
          <w:rFonts w:cs="Times New Roman"/>
        </w:rPr>
        <w:t xml:space="preserve"> is or is not actionable, a point I will discuss in more detail later. Nuisance may take a variety of forms and may include not only actual physical damage to land but also interference with the health, comfort or convenience of the owner or occupier: </w:t>
      </w:r>
      <w:r w:rsidRPr="00205501">
        <w:rPr>
          <w:rFonts w:cs="Times New Roman"/>
          <w:i/>
        </w:rPr>
        <w:t>Tock</w:t>
      </w:r>
      <w:r w:rsidRPr="00205501">
        <w:rPr>
          <w:rFonts w:cs="Times New Roman"/>
        </w:rPr>
        <w:t>, at p</w:t>
      </w:r>
      <w:r>
        <w:rPr>
          <w:rFonts w:cs="Times New Roman"/>
        </w:rPr>
        <w:t>p</w:t>
      </w:r>
      <w:r w:rsidRPr="00205501">
        <w:rPr>
          <w:rFonts w:cs="Times New Roman"/>
        </w:rPr>
        <w:t>. 1190</w:t>
      </w:r>
      <w:r>
        <w:rPr>
          <w:rFonts w:cs="Times New Roman"/>
        </w:rPr>
        <w:t>-91</w:t>
      </w:r>
      <w:r w:rsidRPr="00205501">
        <w:rPr>
          <w:rFonts w:cs="Times New Roman"/>
        </w:rPr>
        <w:t xml:space="preserve">.  The point is not that there is a typology of actionable interferences; the point is rather that there is a threshold of seriousness that must be met before </w:t>
      </w:r>
      <w:proofErr w:type="gramStart"/>
      <w:r w:rsidRPr="00205501">
        <w:rPr>
          <w:rFonts w:cs="Times New Roman"/>
        </w:rPr>
        <w:t>a</w:t>
      </w:r>
      <w:r w:rsidR="00FA7304">
        <w:rPr>
          <w:rFonts w:cs="Times New Roman"/>
        </w:rPr>
        <w:t>n interference</w:t>
      </w:r>
      <w:proofErr w:type="gramEnd"/>
      <w:r w:rsidR="00FA7304">
        <w:rPr>
          <w:rFonts w:cs="Times New Roman"/>
        </w:rPr>
        <w:t xml:space="preserve"> is actionable.</w:t>
      </w:r>
    </w:p>
    <w:p w:rsidR="00694883" w:rsidRPr="00205501" w:rsidRDefault="00694883" w:rsidP="00694883">
      <w:pPr>
        <w:pStyle w:val="ParaNoNdepar-AltN"/>
        <w:rPr>
          <w:rFonts w:cs="Times New Roman"/>
        </w:rPr>
      </w:pPr>
      <w:r w:rsidRPr="00205501">
        <w:rPr>
          <w:rFonts w:cs="Times New Roman"/>
        </w:rPr>
        <w:t xml:space="preserve">I therefore find that a private nuisance cannot be established where the interference with property interests is not, at least, substantial. To justify compensation, however, the interference must also be unreasonable. This second part of the private nuisance test is the focus of the next </w:t>
      </w:r>
      <w:r w:rsidR="00FA7304">
        <w:rPr>
          <w:rFonts w:cs="Times New Roman"/>
        </w:rPr>
        <w:t>two issues to which I now turn.</w:t>
      </w:r>
    </w:p>
    <w:p w:rsidR="00694883" w:rsidRPr="00205501" w:rsidRDefault="0099307E" w:rsidP="0099307E">
      <w:pPr>
        <w:pStyle w:val="ParaNoNdepar-AltN"/>
        <w:numPr>
          <w:ilvl w:val="0"/>
          <w:numId w:val="0"/>
        </w:numPr>
        <w:spacing w:line="240" w:lineRule="auto"/>
        <w:ind w:left="540" w:hanging="540"/>
        <w:rPr>
          <w:rFonts w:cs="Times New Roman"/>
        </w:rPr>
      </w:pPr>
      <w:r>
        <w:rPr>
          <w:rFonts w:cs="Times New Roman"/>
        </w:rPr>
        <w:lastRenderedPageBreak/>
        <w:t>D.</w:t>
      </w:r>
      <w:r>
        <w:rPr>
          <w:rFonts w:cs="Times New Roman"/>
        </w:rPr>
        <w:tab/>
      </w:r>
      <w:r w:rsidR="00694883" w:rsidRPr="00E812C7">
        <w:rPr>
          <w:rFonts w:cs="Times New Roman"/>
          <w:i/>
        </w:rPr>
        <w:t xml:space="preserve">Second Question:  </w:t>
      </w:r>
      <w:r w:rsidR="00694883">
        <w:rPr>
          <w:rFonts w:cs="Times New Roman"/>
          <w:i/>
        </w:rPr>
        <w:t>How Is Reasonableness Assessed in the Context of Interference C</w:t>
      </w:r>
      <w:r w:rsidR="00694883" w:rsidRPr="00E812C7">
        <w:rPr>
          <w:rFonts w:cs="Times New Roman"/>
          <w:i/>
        </w:rPr>
        <w:t xml:space="preserve">aused by </w:t>
      </w:r>
      <w:r w:rsidR="00694883">
        <w:rPr>
          <w:rFonts w:cs="Times New Roman"/>
          <w:i/>
        </w:rPr>
        <w:t>Projects T</w:t>
      </w:r>
      <w:r w:rsidR="00694883" w:rsidRPr="00E812C7">
        <w:rPr>
          <w:rFonts w:cs="Times New Roman"/>
          <w:i/>
        </w:rPr>
        <w:t>hat</w:t>
      </w:r>
      <w:r w:rsidR="00694883">
        <w:rPr>
          <w:rFonts w:cs="Times New Roman"/>
          <w:i/>
        </w:rPr>
        <w:t xml:space="preserve"> Further the Public G</w:t>
      </w:r>
      <w:r w:rsidR="00694883" w:rsidRPr="00E812C7">
        <w:rPr>
          <w:rFonts w:cs="Times New Roman"/>
          <w:i/>
        </w:rPr>
        <w:t>ood?</w:t>
      </w:r>
    </w:p>
    <w:p w:rsidR="00694883" w:rsidRPr="00205501" w:rsidRDefault="00694883" w:rsidP="00694883">
      <w:pPr>
        <w:pStyle w:val="ParaNoNdepar-AltN"/>
        <w:rPr>
          <w:rFonts w:cs="Times New Roman"/>
        </w:rPr>
      </w:pPr>
      <w:r w:rsidRPr="00205501">
        <w:rPr>
          <w:rFonts w:cs="Times New Roman"/>
        </w:rPr>
        <w:t>The main question here is how reasonableness should be assessed when the activity causing the interference is carried out by a public authority for the greater public good. As in other private nuisance cases, the reasonableness of the interference must be assessed in light of all of the relevant circumstances. The focus of that balancing exercise, however, is on whether the interference is such that it would be unreasonable in all of the circumstances to require the claimant to suffer it without compensation.</w:t>
      </w:r>
    </w:p>
    <w:p w:rsidR="00694883" w:rsidRPr="00205501" w:rsidRDefault="00694883" w:rsidP="00694883">
      <w:pPr>
        <w:pStyle w:val="ParaNoNdepar-AltN"/>
        <w:rPr>
          <w:rFonts w:cs="Times New Roman"/>
        </w:rPr>
      </w:pPr>
      <w:r w:rsidRPr="00205501">
        <w:rPr>
          <w:rFonts w:cs="Times New Roman"/>
        </w:rPr>
        <w:t>In the traditional law of private nuisance, the courts assess, in broad terms, whether the interference is unreasonable by balancing the gravity of the harm against the utility of the defendant’s conduct in all of the circumstances: see, e.g.</w:t>
      </w:r>
      <w:r>
        <w:rPr>
          <w:rFonts w:cs="Times New Roman"/>
        </w:rPr>
        <w:t>,</w:t>
      </w:r>
      <w:r w:rsidRPr="00205501">
        <w:rPr>
          <w:rFonts w:cs="Times New Roman"/>
        </w:rPr>
        <w:t xml:space="preserve"> A. M. Linden and B. </w:t>
      </w:r>
      <w:proofErr w:type="spellStart"/>
      <w:r w:rsidRPr="00205501">
        <w:rPr>
          <w:rFonts w:cs="Times New Roman"/>
        </w:rPr>
        <w:t>Feldthusen</w:t>
      </w:r>
      <w:proofErr w:type="spellEnd"/>
      <w:r w:rsidRPr="00205501">
        <w:rPr>
          <w:rFonts w:cs="Times New Roman"/>
        </w:rPr>
        <w:t xml:space="preserve">, </w:t>
      </w:r>
      <w:r w:rsidRPr="00205501">
        <w:rPr>
          <w:rFonts w:cs="Times New Roman"/>
          <w:i/>
        </w:rPr>
        <w:t>Canadian Tort Law</w:t>
      </w:r>
      <w:r w:rsidRPr="00205501">
        <w:rPr>
          <w:rFonts w:cs="Times New Roman"/>
        </w:rPr>
        <w:t xml:space="preserve"> (9</w:t>
      </w:r>
      <w:r>
        <w:rPr>
          <w:rFonts w:cs="Times New Roman"/>
        </w:rPr>
        <w:t>th ed.</w:t>
      </w:r>
      <w:r w:rsidRPr="00205501">
        <w:rPr>
          <w:rFonts w:cs="Times New Roman"/>
        </w:rPr>
        <w:t xml:space="preserve"> 2011)</w:t>
      </w:r>
      <w:r>
        <w:rPr>
          <w:rFonts w:cs="Times New Roman"/>
        </w:rPr>
        <w:t>,</w:t>
      </w:r>
      <w:r w:rsidRPr="00205501">
        <w:rPr>
          <w:rFonts w:cs="Times New Roman"/>
        </w:rPr>
        <w:t xml:space="preserve"> at p. 580.  The Divisional Court and the Court of Appeal identified several factors that have often been referred to in assessing whether a substantial interference is also unreasonable. In relation to the gravity of the harm, the courts have considered factors such as the severity of the interference, the character of the neighbourhood and the sensitivity of the plaintiff: see</w:t>
      </w:r>
      <w:r>
        <w:rPr>
          <w:rFonts w:cs="Times New Roman"/>
        </w:rPr>
        <w:t>,</w:t>
      </w:r>
      <w:r w:rsidRPr="00205501">
        <w:rPr>
          <w:rFonts w:cs="Times New Roman"/>
        </w:rPr>
        <w:t xml:space="preserve"> e.g.</w:t>
      </w:r>
      <w:r>
        <w:rPr>
          <w:rFonts w:cs="Times New Roman"/>
        </w:rPr>
        <w:t>,</w:t>
      </w:r>
      <w:r w:rsidRPr="00205501">
        <w:rPr>
          <w:rFonts w:cs="Times New Roman"/>
        </w:rPr>
        <w:t xml:space="preserve"> </w:t>
      </w:r>
      <w:r w:rsidRPr="00205501">
        <w:rPr>
          <w:rFonts w:cs="Times New Roman"/>
          <w:i/>
        </w:rPr>
        <w:t>Tock</w:t>
      </w:r>
      <w:r w:rsidRPr="00E812C7">
        <w:rPr>
          <w:rFonts w:cs="Times New Roman"/>
        </w:rPr>
        <w:t>,</w:t>
      </w:r>
      <w:r w:rsidRPr="00205501">
        <w:rPr>
          <w:rFonts w:cs="Times New Roman"/>
        </w:rPr>
        <w:t xml:space="preserve"> at p. 1191. The frequency and duration of </w:t>
      </w:r>
      <w:proofErr w:type="gramStart"/>
      <w:r w:rsidRPr="00205501">
        <w:rPr>
          <w:rFonts w:cs="Times New Roman"/>
        </w:rPr>
        <w:t>an interference</w:t>
      </w:r>
      <w:proofErr w:type="gramEnd"/>
      <w:r w:rsidRPr="00205501">
        <w:rPr>
          <w:rFonts w:cs="Times New Roman"/>
        </w:rPr>
        <w:t xml:space="preserve"> may also be relevant in some cases: </w:t>
      </w:r>
      <w:r w:rsidRPr="00205501">
        <w:rPr>
          <w:rFonts w:cs="Times New Roman"/>
          <w:i/>
        </w:rPr>
        <w:t>Royal Anne Hotel</w:t>
      </w:r>
      <w:r>
        <w:rPr>
          <w:rFonts w:cs="Times New Roman"/>
        </w:rPr>
        <w:t xml:space="preserve">, </w:t>
      </w:r>
      <w:r w:rsidRPr="00205501">
        <w:rPr>
          <w:rFonts w:cs="Times New Roman"/>
        </w:rPr>
        <w:t>at p</w:t>
      </w:r>
      <w:r>
        <w:rPr>
          <w:rFonts w:cs="Times New Roman"/>
        </w:rPr>
        <w:t>p. 760-61</w:t>
      </w:r>
      <w:r w:rsidRPr="00205501">
        <w:rPr>
          <w:rFonts w:cs="Times New Roman"/>
        </w:rPr>
        <w:t>. A number of other factors, which I will turn to shortly, are relevant to consideration of the utility of the defendant’s conduct. The point for now is that these factors are not a checklist; they are simply “</w:t>
      </w:r>
      <w:r>
        <w:rPr>
          <w:rFonts w:cs="Times New Roman"/>
        </w:rPr>
        <w:t>[</w:t>
      </w:r>
      <w:r w:rsidRPr="00205501">
        <w:rPr>
          <w:rFonts w:cs="Times New Roman"/>
        </w:rPr>
        <w:t>a</w:t>
      </w:r>
      <w:r>
        <w:rPr>
          <w:rFonts w:cs="Times New Roman"/>
        </w:rPr>
        <w:t>]</w:t>
      </w:r>
      <w:proofErr w:type="spellStart"/>
      <w:r w:rsidRPr="00205501">
        <w:rPr>
          <w:rFonts w:cs="Times New Roman"/>
        </w:rPr>
        <w:t>mong</w:t>
      </w:r>
      <w:proofErr w:type="spellEnd"/>
      <w:r w:rsidRPr="00205501">
        <w:rPr>
          <w:rFonts w:cs="Times New Roman"/>
        </w:rPr>
        <w:t xml:space="preserve"> the criteria employed by the courts in delimiting the ambit </w:t>
      </w:r>
      <w:r w:rsidRPr="00205501">
        <w:rPr>
          <w:rFonts w:cs="Times New Roman"/>
        </w:rPr>
        <w:lastRenderedPageBreak/>
        <w:t>of the tort of nuisance”:</w:t>
      </w:r>
      <w:r w:rsidRPr="00205501">
        <w:rPr>
          <w:rFonts w:cs="Times New Roman"/>
          <w:i/>
        </w:rPr>
        <w:t xml:space="preserve"> Tock</w:t>
      </w:r>
      <w:r>
        <w:rPr>
          <w:rFonts w:cs="Times New Roman"/>
        </w:rPr>
        <w:t>,</w:t>
      </w:r>
      <w:r w:rsidRPr="00205501">
        <w:rPr>
          <w:rFonts w:cs="Times New Roman"/>
        </w:rPr>
        <w:t xml:space="preserve"> at p. 1191; J</w:t>
      </w:r>
      <w:r>
        <w:rPr>
          <w:rFonts w:cs="Times New Roman"/>
        </w:rPr>
        <w:t xml:space="preserve">. </w:t>
      </w:r>
      <w:r w:rsidRPr="00205501">
        <w:rPr>
          <w:rFonts w:cs="Times New Roman"/>
        </w:rPr>
        <w:t>P.</w:t>
      </w:r>
      <w:r>
        <w:rPr>
          <w:rFonts w:cs="Times New Roman"/>
        </w:rPr>
        <w:t xml:space="preserve"> </w:t>
      </w:r>
      <w:r w:rsidRPr="00205501">
        <w:rPr>
          <w:rFonts w:cs="Times New Roman"/>
        </w:rPr>
        <w:t>S. McLaren, “Nuisance in Canada”</w:t>
      </w:r>
      <w:r>
        <w:rPr>
          <w:rFonts w:cs="Times New Roman"/>
        </w:rPr>
        <w:t>,</w:t>
      </w:r>
      <w:r w:rsidRPr="00205501">
        <w:rPr>
          <w:rFonts w:cs="Times New Roman"/>
        </w:rPr>
        <w:t xml:space="preserve"> in</w:t>
      </w:r>
      <w:r>
        <w:rPr>
          <w:rFonts w:cs="Times New Roman"/>
        </w:rPr>
        <w:t xml:space="preserve"> A. M. Linden, ed.,</w:t>
      </w:r>
      <w:r w:rsidRPr="00205501">
        <w:rPr>
          <w:rFonts w:cs="Times New Roman"/>
        </w:rPr>
        <w:t xml:space="preserve"> </w:t>
      </w:r>
      <w:r>
        <w:rPr>
          <w:rFonts w:cs="Times New Roman"/>
          <w:i/>
        </w:rPr>
        <w:t>Studies I</w:t>
      </w:r>
      <w:r w:rsidRPr="00205501">
        <w:rPr>
          <w:rFonts w:cs="Times New Roman"/>
          <w:i/>
        </w:rPr>
        <w:t>n Canadian Tort Law</w:t>
      </w:r>
      <w:r w:rsidRPr="00205501">
        <w:rPr>
          <w:rFonts w:cs="Times New Roman"/>
        </w:rPr>
        <w:t xml:space="preserve"> (1968)</w:t>
      </w:r>
      <w:r>
        <w:rPr>
          <w:rFonts w:cs="Times New Roman"/>
        </w:rPr>
        <w:t>, 320,</w:t>
      </w:r>
      <w:r w:rsidRPr="00205501">
        <w:rPr>
          <w:rFonts w:cs="Times New Roman"/>
        </w:rPr>
        <w:t xml:space="preserve"> at pp. 346-47. Courts and tribunals are not bound to, or limited by, any specific list of factors. Rather, they should consider the substance of the balancing exercise in light of the factors relevant in the particular case.</w:t>
      </w:r>
    </w:p>
    <w:p w:rsidR="00694883" w:rsidRPr="00205501" w:rsidRDefault="00694883" w:rsidP="00694883">
      <w:pPr>
        <w:pStyle w:val="ParaNoNdepar-AltN"/>
        <w:rPr>
          <w:rFonts w:cs="Times New Roman"/>
          <w:i/>
        </w:rPr>
      </w:pPr>
      <w:r w:rsidRPr="00205501">
        <w:rPr>
          <w:rFonts w:cs="Times New Roman"/>
        </w:rPr>
        <w:t>The way in which the utility of the defendant’s conduct should be taken into account in the reasonableness analysis is particularly important in this case and would</w:t>
      </w:r>
      <w:r w:rsidR="00FA7304">
        <w:rPr>
          <w:rFonts w:cs="Times New Roman"/>
        </w:rPr>
        <w:t xml:space="preserve"> benefit from some explanation.</w:t>
      </w:r>
    </w:p>
    <w:p w:rsidR="00694883" w:rsidRPr="00205501" w:rsidRDefault="00694883" w:rsidP="00694883">
      <w:pPr>
        <w:pStyle w:val="ParaNoNdepar-AltN"/>
        <w:rPr>
          <w:rFonts w:cs="Times New Roman"/>
          <w:i/>
        </w:rPr>
      </w:pPr>
      <w:r w:rsidRPr="00205501">
        <w:rPr>
          <w:rFonts w:cs="Times New Roman"/>
        </w:rPr>
        <w:t>The first point is that there is a distinction between the utility of the conduct, which focuses on its purpose, such as construction of a highway, and the nature of the defendant’s conduct, which focuses on how that purpose is carried out. Generally, the focus in nuisance is on whether the</w:t>
      </w:r>
      <w:r w:rsidRPr="00205501">
        <w:rPr>
          <w:rFonts w:cs="Times New Roman"/>
          <w:i/>
        </w:rPr>
        <w:t xml:space="preserve"> interference suffered by the claimant</w:t>
      </w:r>
      <w:r w:rsidRPr="00205501">
        <w:rPr>
          <w:rFonts w:cs="Times New Roman"/>
        </w:rPr>
        <w:t xml:space="preserve"> is unreasonable, not on whether</w:t>
      </w:r>
      <w:r w:rsidRPr="00205501">
        <w:rPr>
          <w:rFonts w:cs="Times New Roman"/>
          <w:i/>
        </w:rPr>
        <w:t xml:space="preserve"> the nature of the defendant’s conduct</w:t>
      </w:r>
      <w:r w:rsidRPr="00205501">
        <w:rPr>
          <w:rFonts w:cs="Times New Roman"/>
        </w:rPr>
        <w:t xml:space="preserve"> is unreasonable. This point was made by the court in</w:t>
      </w:r>
      <w:r w:rsidRPr="00205501">
        <w:rPr>
          <w:rFonts w:cs="Times New Roman"/>
          <w:i/>
        </w:rPr>
        <w:t xml:space="preserve"> </w:t>
      </w:r>
      <w:proofErr w:type="spellStart"/>
      <w:r w:rsidRPr="00205501">
        <w:rPr>
          <w:rFonts w:cs="Times New Roman"/>
          <w:i/>
        </w:rPr>
        <w:t>Jesperson’s</w:t>
      </w:r>
      <w:proofErr w:type="spellEnd"/>
      <w:r w:rsidRPr="00205501">
        <w:rPr>
          <w:rFonts w:cs="Times New Roman"/>
          <w:i/>
        </w:rPr>
        <w:t xml:space="preserve"> Brake &amp; Muffler Ltd. v. Chilliwack (District)</w:t>
      </w:r>
      <w:r w:rsidRPr="00205501">
        <w:rPr>
          <w:rFonts w:cs="Times New Roman"/>
        </w:rPr>
        <w:t xml:space="preserve"> (1994), 88 B</w:t>
      </w:r>
      <w:r>
        <w:rPr>
          <w:rFonts w:cs="Times New Roman"/>
        </w:rPr>
        <w:t>.</w:t>
      </w:r>
      <w:r w:rsidRPr="00205501">
        <w:rPr>
          <w:rFonts w:cs="Times New Roman"/>
        </w:rPr>
        <w:t>C</w:t>
      </w:r>
      <w:r>
        <w:rPr>
          <w:rFonts w:cs="Times New Roman"/>
        </w:rPr>
        <w:t>.</w:t>
      </w:r>
      <w:r w:rsidRPr="00205501">
        <w:rPr>
          <w:rFonts w:cs="Times New Roman"/>
        </w:rPr>
        <w:t>L</w:t>
      </w:r>
      <w:r>
        <w:rPr>
          <w:rFonts w:cs="Times New Roman"/>
        </w:rPr>
        <w:t>.</w:t>
      </w:r>
      <w:r w:rsidRPr="00205501">
        <w:rPr>
          <w:rFonts w:cs="Times New Roman"/>
        </w:rPr>
        <w:t>R</w:t>
      </w:r>
      <w:r>
        <w:rPr>
          <w:rFonts w:cs="Times New Roman"/>
        </w:rPr>
        <w:t>.</w:t>
      </w:r>
      <w:r w:rsidRPr="00205501">
        <w:rPr>
          <w:rFonts w:cs="Times New Roman"/>
        </w:rPr>
        <w:t xml:space="preserve"> (2d) 230 (C.A.).  In that case, the construction of an overpass resulted in a 40</w:t>
      </w:r>
      <w:r>
        <w:rPr>
          <w:rFonts w:cs="Times New Roman"/>
        </w:rPr>
        <w:t xml:space="preserve"> percent</w:t>
      </w:r>
      <w:r w:rsidRPr="00205501">
        <w:rPr>
          <w:rFonts w:cs="Times New Roman"/>
        </w:rPr>
        <w:t xml:space="preserve"> drop in the market value of the claimant’s lands. The statutory authority argued that the claimant had to establish (and had failed to do so) that</w:t>
      </w:r>
      <w:r w:rsidRPr="00205501">
        <w:rPr>
          <w:rFonts w:cs="Times New Roman"/>
          <w:i/>
        </w:rPr>
        <w:t xml:space="preserve"> the statutory authority</w:t>
      </w:r>
      <w:r w:rsidRPr="00205501">
        <w:rPr>
          <w:rFonts w:cs="Times New Roman"/>
        </w:rPr>
        <w:t xml:space="preserve"> had used</w:t>
      </w:r>
      <w:r w:rsidRPr="00205501">
        <w:rPr>
          <w:rFonts w:cs="Times New Roman"/>
          <w:i/>
        </w:rPr>
        <w:t xml:space="preserve"> its</w:t>
      </w:r>
      <w:r w:rsidRPr="00205501">
        <w:rPr>
          <w:rFonts w:cs="Times New Roman"/>
        </w:rPr>
        <w:t xml:space="preserve"> land unreasonably. The Court of Appeal correctly rejected that contention. The focus of the reasonableness analysis in private nuisance is on the character and extent of the interference with the claimant’s land; the burden on the claimant is to show that the </w:t>
      </w:r>
      <w:r w:rsidRPr="00205501">
        <w:rPr>
          <w:rFonts w:cs="Times New Roman"/>
        </w:rPr>
        <w:lastRenderedPageBreak/>
        <w:t xml:space="preserve">interference is substantial and unreasonable, not to show that the </w:t>
      </w:r>
      <w:r w:rsidR="00871FC0">
        <w:rPr>
          <w:rFonts w:cs="Times New Roman"/>
        </w:rPr>
        <w:t xml:space="preserve">defendant’s use of </w:t>
      </w:r>
      <w:r w:rsidRPr="00205501">
        <w:rPr>
          <w:rFonts w:cs="Times New Roman"/>
        </w:rPr>
        <w:t>i</w:t>
      </w:r>
      <w:r w:rsidR="00871FC0">
        <w:rPr>
          <w:rFonts w:cs="Times New Roman"/>
        </w:rPr>
        <w:t>ts own</w:t>
      </w:r>
      <w:r w:rsidRPr="00205501">
        <w:rPr>
          <w:rFonts w:cs="Times New Roman"/>
        </w:rPr>
        <w:t xml:space="preserve"> land is unreasonable.</w:t>
      </w:r>
    </w:p>
    <w:p w:rsidR="00694883" w:rsidRPr="00205501" w:rsidRDefault="00694883" w:rsidP="00694883">
      <w:pPr>
        <w:pStyle w:val="ParaNoNdepar-AltN"/>
        <w:rPr>
          <w:rFonts w:cs="Times New Roman"/>
          <w:i/>
        </w:rPr>
      </w:pPr>
      <w:r w:rsidRPr="00205501">
        <w:rPr>
          <w:rFonts w:cs="Times New Roman"/>
        </w:rPr>
        <w:t>The nature of the defendant’s conduct is not, however, an irrelevant consideration. Where the conduct is either malicious or careless, that will be a significant factor in the reasonableness analysis:  see</w:t>
      </w:r>
      <w:r w:rsidR="0034060A">
        <w:rPr>
          <w:rFonts w:cs="Times New Roman"/>
        </w:rPr>
        <w:t>,</w:t>
      </w:r>
      <w:r w:rsidRPr="00205501">
        <w:rPr>
          <w:rFonts w:cs="Times New Roman"/>
        </w:rPr>
        <w:t xml:space="preserve"> e.g.</w:t>
      </w:r>
      <w:r w:rsidR="0034060A">
        <w:rPr>
          <w:rFonts w:cs="Times New Roman"/>
        </w:rPr>
        <w:t>,</w:t>
      </w:r>
      <w:r w:rsidRPr="00205501">
        <w:rPr>
          <w:rFonts w:cs="Times New Roman"/>
        </w:rPr>
        <w:t xml:space="preserve"> Linden and </w:t>
      </w:r>
      <w:proofErr w:type="spellStart"/>
      <w:r w:rsidRPr="00205501">
        <w:rPr>
          <w:rFonts w:cs="Times New Roman"/>
        </w:rPr>
        <w:t>Feldthusen</w:t>
      </w:r>
      <w:proofErr w:type="spellEnd"/>
      <w:r>
        <w:rPr>
          <w:rFonts w:cs="Times New Roman"/>
        </w:rPr>
        <w:t>,</w:t>
      </w:r>
      <w:r w:rsidRPr="00205501">
        <w:rPr>
          <w:rFonts w:cs="Times New Roman"/>
        </w:rPr>
        <w:t xml:space="preserve"> at </w:t>
      </w:r>
      <w:r>
        <w:rPr>
          <w:rFonts w:cs="Times New Roman"/>
        </w:rPr>
        <w:t>p</w:t>
      </w:r>
      <w:r w:rsidRPr="00205501">
        <w:rPr>
          <w:rFonts w:cs="Times New Roman"/>
        </w:rPr>
        <w:t>p. 590</w:t>
      </w:r>
      <w:r>
        <w:rPr>
          <w:rFonts w:cs="Times New Roman"/>
        </w:rPr>
        <w:t>-91</w:t>
      </w:r>
      <w:r w:rsidRPr="00205501">
        <w:rPr>
          <w:rFonts w:cs="Times New Roman"/>
        </w:rPr>
        <w:t>; Fleming</w:t>
      </w:r>
      <w:r>
        <w:rPr>
          <w:rFonts w:cs="Times New Roman"/>
        </w:rPr>
        <w:t>,</w:t>
      </w:r>
      <w:r w:rsidRPr="00205501">
        <w:rPr>
          <w:rFonts w:cs="Times New Roman"/>
        </w:rPr>
        <w:t xml:space="preserve"> at </w:t>
      </w:r>
      <w:r>
        <w:rPr>
          <w:rFonts w:cs="Times New Roman"/>
        </w:rPr>
        <w:t>s</w:t>
      </w:r>
      <w:r w:rsidRPr="00205501">
        <w:rPr>
          <w:rFonts w:cs="Times New Roman"/>
        </w:rPr>
        <w:t xml:space="preserve">. </w:t>
      </w:r>
      <w:r>
        <w:rPr>
          <w:rFonts w:cs="Times New Roman"/>
        </w:rPr>
        <w:t>21.110</w:t>
      </w:r>
      <w:r w:rsidRPr="00205501">
        <w:rPr>
          <w:rFonts w:cs="Times New Roman"/>
        </w:rPr>
        <w:t xml:space="preserve">; </w:t>
      </w:r>
      <w:r w:rsidR="0034060A">
        <w:rPr>
          <w:rFonts w:cs="Times New Roman"/>
        </w:rPr>
        <w:t xml:space="preserve">Murphy and Witting, </w:t>
      </w:r>
      <w:r w:rsidRPr="00205501">
        <w:rPr>
          <w:rFonts w:cs="Times New Roman"/>
        </w:rPr>
        <w:t>at p. 4</w:t>
      </w:r>
      <w:r>
        <w:rPr>
          <w:rFonts w:cs="Times New Roman"/>
        </w:rPr>
        <w:t>39</w:t>
      </w:r>
      <w:r w:rsidRPr="00205501">
        <w:rPr>
          <w:rFonts w:cs="Times New Roman"/>
        </w:rPr>
        <w:t xml:space="preserve">. Moreover, where the defendant can establish that his or her conduct was reasonable, that can be a relevant consideration, particularly in cases where a claim is brought against a public authority. A finding of reasonable conduct will not, however, necessarily preclude a finding of liability. The editors of </w:t>
      </w:r>
      <w:r w:rsidRPr="00205501">
        <w:rPr>
          <w:rFonts w:cs="Times New Roman"/>
          <w:i/>
        </w:rPr>
        <w:t>Fleming</w:t>
      </w:r>
      <w:r>
        <w:rPr>
          <w:rFonts w:cs="Times New Roman"/>
          <w:i/>
        </w:rPr>
        <w:t>’s</w:t>
      </w:r>
      <w:r w:rsidRPr="00205501">
        <w:rPr>
          <w:rFonts w:cs="Times New Roman"/>
          <w:i/>
        </w:rPr>
        <w:t xml:space="preserve"> </w:t>
      </w:r>
      <w:r>
        <w:rPr>
          <w:rFonts w:cs="Times New Roman"/>
          <w:i/>
        </w:rPr>
        <w:t>The Law of</w:t>
      </w:r>
      <w:r w:rsidRPr="00205501">
        <w:rPr>
          <w:rFonts w:cs="Times New Roman"/>
          <w:i/>
        </w:rPr>
        <w:t xml:space="preserve"> Torts</w:t>
      </w:r>
      <w:r w:rsidRPr="00205501">
        <w:rPr>
          <w:rFonts w:cs="Times New Roman"/>
        </w:rPr>
        <w:t xml:space="preserve"> put this point well at s. 21.120</w:t>
      </w:r>
      <w:r w:rsidRPr="00027E64">
        <w:rPr>
          <w:rFonts w:cs="Times New Roman"/>
        </w:rPr>
        <w:t>:</w:t>
      </w:r>
    </w:p>
    <w:p w:rsidR="00694883" w:rsidRPr="00205501" w:rsidRDefault="00694883" w:rsidP="00694883">
      <w:pPr>
        <w:pStyle w:val="Citation-AltC"/>
      </w:pPr>
      <w:r>
        <w:t xml:space="preserve">. . . </w:t>
      </w:r>
      <w:proofErr w:type="gramStart"/>
      <w:r>
        <w:t>u</w:t>
      </w:r>
      <w:r w:rsidRPr="00205501">
        <w:t>nreasonableness</w:t>
      </w:r>
      <w:proofErr w:type="gramEnd"/>
      <w:r w:rsidRPr="00205501">
        <w:t xml:space="preserve"> in nuisance relates primarily to the character and extent of the harm caused rather than that threatened.  .</w:t>
      </w:r>
      <w:r>
        <w:t xml:space="preserve"> </w:t>
      </w:r>
      <w:r w:rsidRPr="00205501">
        <w:t>.</w:t>
      </w:r>
      <w:r>
        <w:t xml:space="preserve"> </w:t>
      </w:r>
      <w:r w:rsidRPr="00205501">
        <w:t>. [T]</w:t>
      </w:r>
      <w:proofErr w:type="gramStart"/>
      <w:r w:rsidRPr="00205501">
        <w:t>he</w:t>
      </w:r>
      <w:proofErr w:type="gramEnd"/>
      <w:r w:rsidRPr="00205501">
        <w:t xml:space="preserve"> “duty” not to expose one’s neighbours to a nuisance is not necessarily discharged by exercising reasonable care or even all possible care. In that sense, therefore, liability is strict.  At the same time, evidence that the defendant has taken </w:t>
      </w:r>
      <w:r w:rsidRPr="00027E64">
        <w:rPr>
          <w:u w:val="single"/>
        </w:rPr>
        <w:t>all possible precaution</w:t>
      </w:r>
      <w:r w:rsidRPr="00205501">
        <w:t xml:space="preserve"> to avoid harm is not immaterial, because it has a bearing on whether he subjected the plaintiff to an unreasonable interference, and is decisive in those cases where the offensive activity is carrie</w:t>
      </w:r>
      <w:r w:rsidR="0034060A">
        <w:t>d on under statutory authority.</w:t>
      </w:r>
      <w:r w:rsidRPr="00205501">
        <w:t xml:space="preserve"> .</w:t>
      </w:r>
      <w:r>
        <w:t xml:space="preserve"> </w:t>
      </w:r>
      <w:r w:rsidRPr="00205501">
        <w:t>.</w:t>
      </w:r>
      <w:r>
        <w:t xml:space="preserve"> </w:t>
      </w:r>
      <w:r w:rsidRPr="00205501">
        <w:t>. [I]n nuisance it is up to the defendant to exculpate himself, once a prima facie infringement has been established, for example, by proving that his own use was “natural” and not unreasonable</w:t>
      </w:r>
      <w:r>
        <w:t>.  [E</w:t>
      </w:r>
      <w:r w:rsidRPr="00205501">
        <w:t>mphasis added</w:t>
      </w:r>
      <w:r>
        <w:t>.</w:t>
      </w:r>
      <w:r w:rsidRPr="00205501">
        <w:t>]</w:t>
      </w:r>
    </w:p>
    <w:p w:rsidR="00694883" w:rsidRPr="00205501" w:rsidRDefault="00694883" w:rsidP="00694883">
      <w:pPr>
        <w:pStyle w:val="ParaNoNdepar-AltN"/>
        <w:rPr>
          <w:rFonts w:cs="Times New Roman"/>
        </w:rPr>
      </w:pPr>
      <w:r w:rsidRPr="00205501">
        <w:rPr>
          <w:rFonts w:cs="Times New Roman"/>
        </w:rPr>
        <w:t xml:space="preserve">The second point is that the utility of the defendant’s conduct is especially significant in claims against public authorities. Even where a public authority is involved, however, the utility of its conduct is always considered in light </w:t>
      </w:r>
      <w:r w:rsidRPr="00205501">
        <w:rPr>
          <w:rFonts w:cs="Times New Roman"/>
        </w:rPr>
        <w:lastRenderedPageBreak/>
        <w:t xml:space="preserve">of the other relevant factors in the reasonableness analysis; it is not, by itself, an answer to the reasonableness inquiry. </w:t>
      </w:r>
      <w:r>
        <w:rPr>
          <w:rFonts w:cs="Times New Roman"/>
        </w:rPr>
        <w:t xml:space="preserve"> </w:t>
      </w:r>
      <w:r w:rsidRPr="00205501">
        <w:rPr>
          <w:rFonts w:cs="Times New Roman"/>
        </w:rPr>
        <w:t xml:space="preserve">Moreover, in the reasonableness analysis, the severity of the harm and the public utility of the impugned activity are not equally weighted considerations. If they were, an important public purpose would always override even very significant harm caused by carrying it out. As the editors of </w:t>
      </w:r>
      <w:r w:rsidRPr="00205501">
        <w:rPr>
          <w:rFonts w:cs="Times New Roman"/>
          <w:i/>
        </w:rPr>
        <w:t>Fleming</w:t>
      </w:r>
      <w:r>
        <w:rPr>
          <w:rFonts w:cs="Times New Roman"/>
          <w:i/>
        </w:rPr>
        <w:t xml:space="preserve">’s </w:t>
      </w:r>
      <w:proofErr w:type="gramStart"/>
      <w:r>
        <w:rPr>
          <w:rFonts w:cs="Times New Roman"/>
          <w:i/>
        </w:rPr>
        <w:t>The</w:t>
      </w:r>
      <w:proofErr w:type="gramEnd"/>
      <w:r>
        <w:rPr>
          <w:rFonts w:cs="Times New Roman"/>
          <w:i/>
        </w:rPr>
        <w:t xml:space="preserve"> Law of</w:t>
      </w:r>
      <w:r w:rsidRPr="00205501">
        <w:rPr>
          <w:rFonts w:cs="Times New Roman"/>
          <w:i/>
        </w:rPr>
        <w:t xml:space="preserve"> Torts</w:t>
      </w:r>
      <w:r w:rsidRPr="00205501">
        <w:rPr>
          <w:rFonts w:cs="Times New Roman"/>
        </w:rPr>
        <w:t xml:space="preserve"> put it, the utility consideration “must not be pushed too far. .</w:t>
      </w:r>
      <w:r>
        <w:rPr>
          <w:rFonts w:cs="Times New Roman"/>
        </w:rPr>
        <w:t xml:space="preserve"> </w:t>
      </w:r>
      <w:r w:rsidRPr="00205501">
        <w:rPr>
          <w:rFonts w:cs="Times New Roman"/>
        </w:rPr>
        <w:t>.</w:t>
      </w:r>
      <w:r>
        <w:rPr>
          <w:rFonts w:cs="Times New Roman"/>
        </w:rPr>
        <w:t xml:space="preserve"> </w:t>
      </w:r>
      <w:r w:rsidRPr="00205501">
        <w:rPr>
          <w:rFonts w:cs="Times New Roman"/>
        </w:rPr>
        <w:t xml:space="preserve">. [A] defendant cannot </w:t>
      </w:r>
      <w:r>
        <w:rPr>
          <w:rFonts w:cs="Times New Roman"/>
        </w:rPr>
        <w:t xml:space="preserve">simply </w:t>
      </w:r>
      <w:r w:rsidRPr="00205501">
        <w:rPr>
          <w:rFonts w:cs="Times New Roman"/>
        </w:rPr>
        <w:t>justify his infliction of great harm upon the plaintiff by urging that a great</w:t>
      </w:r>
      <w:r>
        <w:rPr>
          <w:rFonts w:cs="Times New Roman"/>
        </w:rPr>
        <w:t>er</w:t>
      </w:r>
      <w:r w:rsidRPr="00205501">
        <w:rPr>
          <w:rFonts w:cs="Times New Roman"/>
        </w:rPr>
        <w:t xml:space="preserve"> benefit to the public at large has accrued from his conduct”: </w:t>
      </w:r>
      <w:r>
        <w:rPr>
          <w:rFonts w:cs="Times New Roman"/>
        </w:rPr>
        <w:t>s. 21.110</w:t>
      </w:r>
      <w:r w:rsidRPr="00205501">
        <w:rPr>
          <w:rFonts w:cs="Times New Roman"/>
        </w:rPr>
        <w:t xml:space="preserve">. The words of McIntyre J.A. in </w:t>
      </w:r>
      <w:r w:rsidRPr="00205501">
        <w:rPr>
          <w:rFonts w:cs="Times New Roman"/>
          <w:i/>
        </w:rPr>
        <w:t>Royal Anne Hotel</w:t>
      </w:r>
      <w:r w:rsidR="00FA7304">
        <w:rPr>
          <w:rFonts w:cs="Times New Roman"/>
        </w:rPr>
        <w:t xml:space="preserve"> are apposite:</w:t>
      </w:r>
    </w:p>
    <w:p w:rsidR="00694883" w:rsidRPr="00205501" w:rsidRDefault="00694883" w:rsidP="00694883">
      <w:pPr>
        <w:pStyle w:val="Citation-AltC"/>
      </w:pPr>
      <w:r w:rsidRPr="00205501">
        <w:t>There is no reason why a disproportionate share of the cost of such a beneficial service should be visited upon one member of the community by leaving him uncompensated for damage caused by the existence of that which benefits the community at large</w:t>
      </w:r>
      <w:r>
        <w:t>.  [p. 761]</w:t>
      </w:r>
    </w:p>
    <w:p w:rsidR="00694883" w:rsidRPr="00205501" w:rsidRDefault="00694883" w:rsidP="00694883">
      <w:pPr>
        <w:pStyle w:val="ParaNoNdepar-AltN"/>
        <w:rPr>
          <w:rFonts w:cs="Times New Roman"/>
        </w:rPr>
      </w:pPr>
      <w:r w:rsidRPr="00027E64">
        <w:rPr>
          <w:rFonts w:cs="Times New Roman"/>
          <w:i/>
        </w:rPr>
        <w:t>The</w:t>
      </w:r>
      <w:r w:rsidRPr="00205501">
        <w:rPr>
          <w:rFonts w:cs="Times New Roman"/>
        </w:rPr>
        <w:t xml:space="preserve"> </w:t>
      </w:r>
      <w:r w:rsidRPr="00205501">
        <w:rPr>
          <w:rFonts w:cs="Times New Roman"/>
          <w:i/>
        </w:rPr>
        <w:t xml:space="preserve">Queen v. </w:t>
      </w:r>
      <w:proofErr w:type="spellStart"/>
      <w:r w:rsidRPr="00205501">
        <w:rPr>
          <w:rFonts w:cs="Times New Roman"/>
          <w:i/>
        </w:rPr>
        <w:t>Loiselle</w:t>
      </w:r>
      <w:proofErr w:type="spellEnd"/>
      <w:r w:rsidRPr="00205501">
        <w:rPr>
          <w:rFonts w:cs="Times New Roman"/>
        </w:rPr>
        <w:t>, [1962] S.C.R. 624</w:t>
      </w:r>
      <w:r>
        <w:rPr>
          <w:rFonts w:cs="Times New Roman"/>
        </w:rPr>
        <w:t>,</w:t>
      </w:r>
      <w:r w:rsidRPr="00205501">
        <w:rPr>
          <w:rFonts w:cs="Times New Roman"/>
        </w:rPr>
        <w:t xml:space="preserve"> demonstrates that even a very important public purpose does not simply outweigh the individual harm to the claimant.  M</w:t>
      </w:r>
      <w:r>
        <w:rPr>
          <w:rFonts w:cs="Times New Roman"/>
        </w:rPr>
        <w:t>r</w:t>
      </w:r>
      <w:r w:rsidRPr="00205501">
        <w:rPr>
          <w:rFonts w:cs="Times New Roman"/>
        </w:rPr>
        <w:t xml:space="preserve">. </w:t>
      </w:r>
      <w:proofErr w:type="spellStart"/>
      <w:r w:rsidRPr="00205501">
        <w:rPr>
          <w:rFonts w:cs="Times New Roman"/>
        </w:rPr>
        <w:t>Loiselle</w:t>
      </w:r>
      <w:proofErr w:type="spellEnd"/>
      <w:r w:rsidRPr="00205501">
        <w:rPr>
          <w:rFonts w:cs="Times New Roman"/>
        </w:rPr>
        <w:t xml:space="preserve"> operated a garage and se</w:t>
      </w:r>
      <w:r>
        <w:rPr>
          <w:rFonts w:cs="Times New Roman"/>
        </w:rPr>
        <w:t>rvice station on the main Montré</w:t>
      </w:r>
      <w:r w:rsidRPr="00205501">
        <w:rPr>
          <w:rFonts w:cs="Times New Roman"/>
        </w:rPr>
        <w:t>al-Valleyfield highway.  His business ended up on a dead-end highway as a result of the construction of the St. Lawrence Seaway. This Court upheld an award of compensation for in</w:t>
      </w:r>
      <w:r>
        <w:rPr>
          <w:rFonts w:cs="Times New Roman"/>
        </w:rPr>
        <w:t xml:space="preserve">jurious affection, noting that </w:t>
      </w:r>
      <w:r w:rsidRPr="00205501">
        <w:rPr>
          <w:rFonts w:cs="Times New Roman"/>
        </w:rPr>
        <w:t xml:space="preserve">the </w:t>
      </w:r>
      <w:r>
        <w:rPr>
          <w:rFonts w:cs="Times New Roman"/>
        </w:rPr>
        <w:t>“</w:t>
      </w:r>
      <w:r w:rsidRPr="00205501">
        <w:rPr>
          <w:rFonts w:cs="Times New Roman"/>
        </w:rPr>
        <w:t>statutory authority given to construct the works in question was .</w:t>
      </w:r>
      <w:r>
        <w:rPr>
          <w:rFonts w:cs="Times New Roman"/>
        </w:rPr>
        <w:t xml:space="preserve"> </w:t>
      </w:r>
      <w:r w:rsidRPr="00205501">
        <w:rPr>
          <w:rFonts w:cs="Times New Roman"/>
        </w:rPr>
        <w:t>.</w:t>
      </w:r>
      <w:r>
        <w:rPr>
          <w:rFonts w:cs="Times New Roman"/>
        </w:rPr>
        <w:t xml:space="preserve"> </w:t>
      </w:r>
      <w:r w:rsidRPr="00205501">
        <w:rPr>
          <w:rFonts w:cs="Times New Roman"/>
        </w:rPr>
        <w:t xml:space="preserve">. expressly made subject to the obligation to pay compensation for damage to lands injuriously affected”: p. 627. In other words, the landowner was entitled to compensation even though construction of the Seaway served an important public objective. </w:t>
      </w:r>
    </w:p>
    <w:p w:rsidR="00694883" w:rsidRPr="00205501" w:rsidRDefault="00694883" w:rsidP="00694883">
      <w:pPr>
        <w:pStyle w:val="ParaNoNdepar-AltN"/>
        <w:rPr>
          <w:rFonts w:cs="Times New Roman"/>
        </w:rPr>
      </w:pPr>
      <w:r w:rsidRPr="00205501">
        <w:rPr>
          <w:rFonts w:cs="Times New Roman"/>
        </w:rPr>
        <w:lastRenderedPageBreak/>
        <w:t xml:space="preserve">Other Canadian appellate authority </w:t>
      </w:r>
      <w:r w:rsidR="00FA7304">
        <w:rPr>
          <w:rFonts w:cs="Times New Roman"/>
        </w:rPr>
        <w:t>has also recognized this point.</w:t>
      </w:r>
    </w:p>
    <w:p w:rsidR="00694883" w:rsidRPr="00205501" w:rsidRDefault="00694883" w:rsidP="00694883">
      <w:pPr>
        <w:pStyle w:val="ParaNoNdepar-AltN"/>
        <w:rPr>
          <w:rFonts w:cs="Times New Roman"/>
        </w:rPr>
      </w:pPr>
      <w:r w:rsidRPr="00205501">
        <w:rPr>
          <w:rFonts w:cs="Times New Roman"/>
        </w:rPr>
        <w:t xml:space="preserve">In </w:t>
      </w:r>
      <w:r>
        <w:rPr>
          <w:rFonts w:cs="Times New Roman"/>
          <w:i/>
        </w:rPr>
        <w:t xml:space="preserve">Newfoundland (Minister of Works, Services and Transportation) v. </w:t>
      </w:r>
      <w:r w:rsidRPr="00205501">
        <w:rPr>
          <w:rFonts w:cs="Times New Roman"/>
          <w:i/>
        </w:rPr>
        <w:t>Airport Realty</w:t>
      </w:r>
      <w:r>
        <w:rPr>
          <w:rFonts w:cs="Times New Roman"/>
          <w:i/>
        </w:rPr>
        <w:t xml:space="preserve"> Ltd.</w:t>
      </w:r>
      <w:r w:rsidRPr="00205501">
        <w:rPr>
          <w:rFonts w:cs="Times New Roman"/>
        </w:rPr>
        <w:t xml:space="preserve">, </w:t>
      </w:r>
      <w:r>
        <w:rPr>
          <w:rFonts w:cs="Times New Roman"/>
        </w:rPr>
        <w:t xml:space="preserve">2001 NFCA 45, 205 Nfld. &amp; P.E.I.R. 95, </w:t>
      </w:r>
      <w:r w:rsidRPr="00205501">
        <w:rPr>
          <w:rFonts w:cs="Times New Roman"/>
        </w:rPr>
        <w:t xml:space="preserve">the Court of Appeal considered an award of $300,000 for compensation for damage flowing from the reconstruction of the access road </w:t>
      </w:r>
      <w:r>
        <w:rPr>
          <w:rFonts w:cs="Times New Roman"/>
        </w:rPr>
        <w:t>to the St. John’s airport. The c</w:t>
      </w:r>
      <w:r w:rsidRPr="00205501">
        <w:rPr>
          <w:rFonts w:cs="Times New Roman"/>
        </w:rPr>
        <w:t>ourt correctly rejected the position that the utility of a public work can simply be balanced against the severity of the harm as if they were equal considerations:</w:t>
      </w:r>
      <w:r>
        <w:rPr>
          <w:rFonts w:cs="Times New Roman"/>
        </w:rPr>
        <w:t xml:space="preserve"> </w:t>
      </w:r>
      <w:proofErr w:type="spellStart"/>
      <w:r w:rsidRPr="00205501">
        <w:rPr>
          <w:rFonts w:cs="Times New Roman"/>
        </w:rPr>
        <w:t>para</w:t>
      </w:r>
      <w:proofErr w:type="spellEnd"/>
      <w:r w:rsidRPr="00205501">
        <w:rPr>
          <w:rFonts w:cs="Times New Roman"/>
        </w:rPr>
        <w:t xml:space="preserve">. 39.  If, as was argued before the Court of Appeal, the two factors were simply compared, one against the other, a high degree of public utility would always trump even very extensive interference. Such an approach, as I will explain, defeats the purpose of legislation that provides compensation for injurious </w:t>
      </w:r>
      <w:r w:rsidR="00FA7304">
        <w:rPr>
          <w:rFonts w:cs="Times New Roman"/>
        </w:rPr>
        <w:t>affection.</w:t>
      </w:r>
    </w:p>
    <w:p w:rsidR="00694883" w:rsidRPr="00205501" w:rsidRDefault="00694883" w:rsidP="00694883">
      <w:pPr>
        <w:pStyle w:val="ParaNoNdepar-AltN"/>
        <w:rPr>
          <w:rFonts w:cs="Times New Roman"/>
        </w:rPr>
      </w:pPr>
      <w:r w:rsidRPr="00205501">
        <w:rPr>
          <w:rFonts w:cs="Times New Roman"/>
          <w:i/>
        </w:rPr>
        <w:t>Mandrake Management Consultants Ltd. v. Toronto Transit Commission</w:t>
      </w:r>
      <w:r w:rsidRPr="00205501">
        <w:rPr>
          <w:rFonts w:cs="Times New Roman"/>
        </w:rPr>
        <w:t xml:space="preserve"> (1993), 62 O.A.C. 202</w:t>
      </w:r>
      <w:r>
        <w:rPr>
          <w:rFonts w:cs="Times New Roman"/>
        </w:rPr>
        <w:t>,</w:t>
      </w:r>
      <w:r w:rsidRPr="00205501">
        <w:rPr>
          <w:rFonts w:cs="Times New Roman"/>
        </w:rPr>
        <w:t xml:space="preserve"> concerned a claim in nuisance on the basis that subway lines caused noise and vibrations affecting the plaintiffs’ enjoyment of their property. In allowing the appeal from an award of damages, the Court of Appeal noted that “where an essential public service is involved the factor of the utility of the defendant’s conduct must not be disregarded.  Indeed, I think it must be given substantial weight”: </w:t>
      </w:r>
      <w:proofErr w:type="spellStart"/>
      <w:r w:rsidRPr="00205501">
        <w:rPr>
          <w:rFonts w:cs="Times New Roman"/>
        </w:rPr>
        <w:t>p</w:t>
      </w:r>
      <w:r>
        <w:rPr>
          <w:rFonts w:cs="Times New Roman"/>
        </w:rPr>
        <w:t>ara</w:t>
      </w:r>
      <w:proofErr w:type="spellEnd"/>
      <w:r w:rsidRPr="00205501">
        <w:rPr>
          <w:rFonts w:cs="Times New Roman"/>
        </w:rPr>
        <w:t>. 4</w:t>
      </w:r>
      <w:r>
        <w:rPr>
          <w:rFonts w:cs="Times New Roman"/>
        </w:rPr>
        <w:t>6</w:t>
      </w:r>
      <w:r w:rsidRPr="00205501">
        <w:rPr>
          <w:rFonts w:cs="Times New Roman"/>
        </w:rPr>
        <w:t xml:space="preserve">. The court noted, however, that “private rights cannot be trampled upon in the name of the public good”: </w:t>
      </w:r>
      <w:proofErr w:type="spellStart"/>
      <w:r w:rsidRPr="00205501">
        <w:rPr>
          <w:rFonts w:cs="Times New Roman"/>
        </w:rPr>
        <w:t>p</w:t>
      </w:r>
      <w:r>
        <w:rPr>
          <w:rFonts w:cs="Times New Roman"/>
        </w:rPr>
        <w:t>ara</w:t>
      </w:r>
      <w:proofErr w:type="spellEnd"/>
      <w:r w:rsidRPr="00205501">
        <w:rPr>
          <w:rFonts w:cs="Times New Roman"/>
        </w:rPr>
        <w:t>. 4</w:t>
      </w:r>
      <w:r>
        <w:rPr>
          <w:rFonts w:cs="Times New Roman"/>
        </w:rPr>
        <w:t>6</w:t>
      </w:r>
      <w:r w:rsidRPr="00205501">
        <w:rPr>
          <w:rFonts w:cs="Times New Roman"/>
        </w:rPr>
        <w:t>.  It also underlined this point by quoting</w:t>
      </w:r>
      <w:r>
        <w:rPr>
          <w:rFonts w:cs="Times New Roman"/>
        </w:rPr>
        <w:t xml:space="preserve">, at </w:t>
      </w:r>
      <w:proofErr w:type="spellStart"/>
      <w:r>
        <w:rPr>
          <w:rFonts w:cs="Times New Roman"/>
        </w:rPr>
        <w:t>para</w:t>
      </w:r>
      <w:proofErr w:type="spellEnd"/>
      <w:r>
        <w:rPr>
          <w:rFonts w:cs="Times New Roman"/>
        </w:rPr>
        <w:t>. 19,</w:t>
      </w:r>
      <w:r w:rsidRPr="00205501">
        <w:rPr>
          <w:rFonts w:cs="Times New Roman"/>
        </w:rPr>
        <w:t xml:space="preserve"> the fol</w:t>
      </w:r>
      <w:r>
        <w:rPr>
          <w:rFonts w:cs="Times New Roman"/>
        </w:rPr>
        <w:t>lowing passage with approval: “L</w:t>
      </w:r>
      <w:r w:rsidRPr="00205501">
        <w:rPr>
          <w:rFonts w:cs="Times New Roman"/>
        </w:rPr>
        <w:t xml:space="preserve">iability for damages is imposed in those cases in which the harm or risk to one </w:t>
      </w:r>
      <w:r w:rsidRPr="00027E64">
        <w:rPr>
          <w:rFonts w:cs="Times New Roman"/>
          <w:u w:val="single"/>
        </w:rPr>
        <w:t xml:space="preserve">is greater than he ought to be </w:t>
      </w:r>
      <w:r w:rsidRPr="00027E64">
        <w:rPr>
          <w:rFonts w:cs="Times New Roman"/>
          <w:u w:val="single"/>
        </w:rPr>
        <w:lastRenderedPageBreak/>
        <w:t>required to bear under the circumstances, at least without compensation</w:t>
      </w:r>
      <w:r w:rsidRPr="00205501">
        <w:rPr>
          <w:rFonts w:cs="Times New Roman"/>
        </w:rPr>
        <w:t xml:space="preserve">”: </w:t>
      </w:r>
      <w:proofErr w:type="spellStart"/>
      <w:r w:rsidRPr="00205501">
        <w:rPr>
          <w:rFonts w:cs="Times New Roman"/>
          <w:i/>
        </w:rPr>
        <w:t>Schenck</w:t>
      </w:r>
      <w:proofErr w:type="spellEnd"/>
      <w:r w:rsidRPr="00205501">
        <w:rPr>
          <w:rFonts w:cs="Times New Roman"/>
          <w:i/>
        </w:rPr>
        <w:t xml:space="preserve"> v. The Queen</w:t>
      </w:r>
      <w:r w:rsidRPr="00205501">
        <w:rPr>
          <w:rFonts w:cs="Times New Roman"/>
        </w:rPr>
        <w:t xml:space="preserve"> (1981), 34 O.R</w:t>
      </w:r>
      <w:r>
        <w:rPr>
          <w:rFonts w:cs="Times New Roman"/>
        </w:rPr>
        <w:t>.</w:t>
      </w:r>
      <w:r w:rsidRPr="00205501">
        <w:rPr>
          <w:rFonts w:cs="Times New Roman"/>
        </w:rPr>
        <w:t xml:space="preserve"> (2d) 595 </w:t>
      </w:r>
      <w:r>
        <w:rPr>
          <w:rFonts w:cs="Times New Roman"/>
        </w:rPr>
        <w:t xml:space="preserve">(H.C.J.), </w:t>
      </w:r>
      <w:r w:rsidRPr="006D28C8">
        <w:rPr>
          <w:rFonts w:cs="Times New Roman"/>
          <w:i/>
        </w:rPr>
        <w:t>per</w:t>
      </w:r>
      <w:r w:rsidRPr="00205501">
        <w:rPr>
          <w:rFonts w:cs="Times New Roman"/>
        </w:rPr>
        <w:t xml:space="preserve"> Robins J. (as he then was)</w:t>
      </w:r>
      <w:r>
        <w:rPr>
          <w:rFonts w:cs="Times New Roman"/>
        </w:rPr>
        <w:t>, at p. </w:t>
      </w:r>
      <w:r w:rsidRPr="00205501">
        <w:rPr>
          <w:rFonts w:cs="Times New Roman"/>
        </w:rPr>
        <w:t>603</w:t>
      </w:r>
      <w:r>
        <w:rPr>
          <w:rFonts w:cs="Times New Roman"/>
        </w:rPr>
        <w:t xml:space="preserve">, citing </w:t>
      </w:r>
      <w:r w:rsidRPr="001A5976">
        <w:rPr>
          <w:rFonts w:cs="Times New Roman"/>
          <w:i/>
        </w:rPr>
        <w:t>Restatement of the Law, Second: Torts 2d</w:t>
      </w:r>
      <w:r w:rsidR="0034060A">
        <w:rPr>
          <w:rFonts w:cs="Times New Roman"/>
        </w:rPr>
        <w:t xml:space="preserve"> (1979)</w:t>
      </w:r>
      <w:r>
        <w:rPr>
          <w:rFonts w:cs="Times New Roman"/>
        </w:rPr>
        <w:t>, vol. 4, at §822</w:t>
      </w:r>
      <w:r w:rsidRPr="00205501">
        <w:rPr>
          <w:rFonts w:cs="Times New Roman"/>
        </w:rPr>
        <w:t xml:space="preserve"> (emphasis added). In other words, the question is not simply whether the broader public good outweighs the individual interference when the two are assigned equal weight. Rather, the question is whether the interference is greater than the individual should be expected to bear in the public</w:t>
      </w:r>
      <w:r w:rsidR="00FA7304">
        <w:rPr>
          <w:rFonts w:cs="Times New Roman"/>
        </w:rPr>
        <w:t xml:space="preserve"> interest without compensation.</w:t>
      </w:r>
    </w:p>
    <w:p w:rsidR="00694883" w:rsidRPr="00205501" w:rsidRDefault="00694883" w:rsidP="00694883">
      <w:pPr>
        <w:pStyle w:val="ParaNoNdepar-AltN"/>
        <w:rPr>
          <w:rFonts w:cs="Times New Roman"/>
        </w:rPr>
      </w:pPr>
      <w:r w:rsidRPr="00205501">
        <w:rPr>
          <w:rFonts w:cs="Times New Roman"/>
        </w:rPr>
        <w:t xml:space="preserve">The court’s statement in </w:t>
      </w:r>
      <w:r w:rsidRPr="00205501">
        <w:rPr>
          <w:rFonts w:cs="Times New Roman"/>
          <w:i/>
        </w:rPr>
        <w:t xml:space="preserve">Mandrake </w:t>
      </w:r>
      <w:r w:rsidRPr="00205501">
        <w:rPr>
          <w:rFonts w:cs="Times New Roman"/>
        </w:rPr>
        <w:t xml:space="preserve">that the utility of the defendant’s conduct should be given “substantial weight” must be viewed in the context of this point. The court, in conducting its analysis, did not simply conclude that the public benefit outweighed the individual harm. Instead, it considered all of the circumstances, including: the essentially commercial nature of the area, in which people operating businesses are required to put up with a considerably greater intrusion on their sensibilities than do people living in residential areas; the fact that the presence of the subway had no negative effect on the profitability of the plaintiffs’ business; </w:t>
      </w:r>
      <w:r>
        <w:rPr>
          <w:rFonts w:cs="Times New Roman"/>
        </w:rPr>
        <w:t>the absence of</w:t>
      </w:r>
      <w:r w:rsidRPr="00205501">
        <w:rPr>
          <w:rFonts w:cs="Times New Roman"/>
        </w:rPr>
        <w:t xml:space="preserve"> material damage to the building; and th</w:t>
      </w:r>
      <w:r>
        <w:rPr>
          <w:rFonts w:cs="Times New Roman"/>
        </w:rPr>
        <w:t>e fact that</w:t>
      </w:r>
      <w:r w:rsidRPr="00205501">
        <w:rPr>
          <w:rFonts w:cs="Times New Roman"/>
        </w:rPr>
        <w:t xml:space="preserve"> the noise and vibrations of which the claimants complained were the inevitable result </w:t>
      </w:r>
      <w:r w:rsidR="00FA7304">
        <w:rPr>
          <w:rFonts w:cs="Times New Roman"/>
        </w:rPr>
        <w:t>of the operation of the subway.</w:t>
      </w:r>
    </w:p>
    <w:p w:rsidR="00694883" w:rsidRPr="00205501" w:rsidRDefault="00694883" w:rsidP="00694883">
      <w:pPr>
        <w:pStyle w:val="ParaNoNdepar-AltN"/>
        <w:rPr>
          <w:rFonts w:cs="Times New Roman"/>
        </w:rPr>
      </w:pPr>
      <w:r w:rsidRPr="00205501">
        <w:rPr>
          <w:rFonts w:cs="Times New Roman"/>
          <w:i/>
        </w:rPr>
        <w:t>Mandrake</w:t>
      </w:r>
      <w:r w:rsidR="00A6273B">
        <w:rPr>
          <w:rFonts w:cs="Times New Roman"/>
        </w:rPr>
        <w:t>,</w:t>
      </w:r>
      <w:r w:rsidRPr="00205501">
        <w:rPr>
          <w:rFonts w:cs="Times New Roman"/>
          <w:i/>
        </w:rPr>
        <w:t xml:space="preserve"> </w:t>
      </w:r>
      <w:r w:rsidRPr="00205501">
        <w:rPr>
          <w:rFonts w:cs="Times New Roman"/>
        </w:rPr>
        <w:t>therefore,</w:t>
      </w:r>
      <w:r w:rsidRPr="00205501">
        <w:rPr>
          <w:rFonts w:cs="Times New Roman"/>
          <w:i/>
        </w:rPr>
        <w:t xml:space="preserve"> </w:t>
      </w:r>
      <w:r w:rsidRPr="00205501">
        <w:rPr>
          <w:rFonts w:cs="Times New Roman"/>
        </w:rPr>
        <w:t>does not support a simple trumping of the private interest by the public utility of the defendant’s conduct, but rather a careful weighing of interests taking into account all of the circumstances. The ques</w:t>
      </w:r>
      <w:r>
        <w:rPr>
          <w:rFonts w:cs="Times New Roman"/>
        </w:rPr>
        <w:t xml:space="preserve">tion asked and </w:t>
      </w:r>
      <w:r>
        <w:rPr>
          <w:rFonts w:cs="Times New Roman"/>
        </w:rPr>
        <w:lastRenderedPageBreak/>
        <w:t>answered by the c</w:t>
      </w:r>
      <w:r w:rsidRPr="00205501">
        <w:rPr>
          <w:rFonts w:cs="Times New Roman"/>
        </w:rPr>
        <w:t>ourt was not simply whether the public benefit outweighed the private interference, but whether that interference, in light of all of the circumstances, was more than the plaintiffs could reasonably be expected to bear without compensation.</w:t>
      </w:r>
    </w:p>
    <w:p w:rsidR="00694883" w:rsidRPr="00205501" w:rsidRDefault="00694883" w:rsidP="00694883">
      <w:pPr>
        <w:pStyle w:val="ParaNoNdepar-AltN"/>
        <w:rPr>
          <w:rFonts w:cs="Times New Roman"/>
        </w:rPr>
      </w:pPr>
      <w:r w:rsidRPr="00205501">
        <w:rPr>
          <w:rFonts w:cs="Times New Roman"/>
        </w:rPr>
        <w:t xml:space="preserve">Similarly, the concluding comments in McIntyre J.’s judgment in </w:t>
      </w:r>
      <w:r w:rsidRPr="00205501">
        <w:rPr>
          <w:rFonts w:cs="Times New Roman"/>
          <w:i/>
        </w:rPr>
        <w:t>St</w:t>
      </w:r>
      <w:r>
        <w:rPr>
          <w:rFonts w:cs="Times New Roman"/>
          <w:i/>
        </w:rPr>
        <w:t>. </w:t>
      </w:r>
      <w:r w:rsidRPr="00205501">
        <w:rPr>
          <w:rFonts w:cs="Times New Roman"/>
          <w:i/>
        </w:rPr>
        <w:t>Pierre</w:t>
      </w:r>
      <w:r w:rsidRPr="00205501">
        <w:rPr>
          <w:rFonts w:cs="Times New Roman"/>
        </w:rPr>
        <w:t xml:space="preserve"> must be read in context. The case concerned a claim for injurious affection arising out of highway construction.  The Court unanimously upheld the dismissal of the claim, agreeing with the Court of Appeal that the claimants complained only of loss of amenities </w:t>
      </w:r>
      <w:r>
        <w:rPr>
          <w:rFonts w:cs="Times New Roman"/>
        </w:rPr>
        <w:t>—</w:t>
      </w:r>
      <w:r w:rsidRPr="00205501">
        <w:rPr>
          <w:rFonts w:cs="Times New Roman"/>
        </w:rPr>
        <w:t xml:space="preserve"> primarily view and privacy </w:t>
      </w:r>
      <w:r>
        <w:rPr>
          <w:rFonts w:cs="Times New Roman"/>
        </w:rPr>
        <w:t>—</w:t>
      </w:r>
      <w:r w:rsidRPr="00205501">
        <w:rPr>
          <w:rFonts w:cs="Times New Roman"/>
        </w:rPr>
        <w:t xml:space="preserve"> resulting from the construction. In the context of a claim of </w:t>
      </w:r>
      <w:r w:rsidR="00FA7304">
        <w:rPr>
          <w:rFonts w:cs="Times New Roman"/>
        </w:rPr>
        <w:t>that nature, McIntyre J. noted:</w:t>
      </w:r>
    </w:p>
    <w:p w:rsidR="00694883" w:rsidRPr="00205501" w:rsidRDefault="00694883" w:rsidP="00694883">
      <w:pPr>
        <w:pStyle w:val="Citation-AltC"/>
      </w:pPr>
      <w:r w:rsidRPr="00205501">
        <w:t>Highways are necessary: they cause disruption. In the balancing process inherent in the law of nuisance, their utility for the public good far outweighs the disruption and injury which is visited upon some adjoining lands</w:t>
      </w:r>
      <w:r>
        <w:t>.</w:t>
      </w:r>
      <w:r w:rsidRPr="00205501">
        <w:t xml:space="preserve"> </w:t>
      </w:r>
      <w:r>
        <w:t>[</w:t>
      </w:r>
      <w:r w:rsidRPr="00205501">
        <w:t>p. 916</w:t>
      </w:r>
      <w:r>
        <w:t>]</w:t>
      </w:r>
    </w:p>
    <w:p w:rsidR="00694883" w:rsidRPr="00205501" w:rsidRDefault="00694883" w:rsidP="00694883">
      <w:pPr>
        <w:pStyle w:val="ContinueParaSuitedupar-AltP"/>
        <w:rPr>
          <w:rFonts w:cs="Times New Roman"/>
        </w:rPr>
      </w:pPr>
      <w:r w:rsidRPr="00205501">
        <w:rPr>
          <w:rFonts w:cs="Times New Roman"/>
        </w:rPr>
        <w:t xml:space="preserve">These comments must be understood in relation to the nature of the alleged injury in that case which, as noted, </w:t>
      </w:r>
      <w:proofErr w:type="gramStart"/>
      <w:r w:rsidRPr="00205501">
        <w:rPr>
          <w:rFonts w:cs="Times New Roman"/>
        </w:rPr>
        <w:t>was a simple loss of amenities</w:t>
      </w:r>
      <w:proofErr w:type="gramEnd"/>
      <w:r w:rsidRPr="00205501">
        <w:rPr>
          <w:rFonts w:cs="Times New Roman"/>
        </w:rPr>
        <w:t xml:space="preserve">. It is clear that these comments do not stand for the broader proposition that great public good out-balances even very significant interference.  McIntyre J. quoted with approval the Court’s earlier decision in </w:t>
      </w:r>
      <w:proofErr w:type="spellStart"/>
      <w:r w:rsidRPr="00205501">
        <w:rPr>
          <w:rFonts w:cs="Times New Roman"/>
          <w:i/>
        </w:rPr>
        <w:t>Loiselle</w:t>
      </w:r>
      <w:proofErr w:type="spellEnd"/>
      <w:r>
        <w:rPr>
          <w:rFonts w:cs="Times New Roman"/>
          <w:i/>
        </w:rPr>
        <w:t xml:space="preserve"> </w:t>
      </w:r>
      <w:r w:rsidRPr="00205501">
        <w:rPr>
          <w:rFonts w:cs="Times New Roman"/>
        </w:rPr>
        <w:t xml:space="preserve">which I referred to earlier.  In that case, the significant </w:t>
      </w:r>
      <w:r>
        <w:rPr>
          <w:rFonts w:cs="Times New Roman"/>
        </w:rPr>
        <w:t>public good resulting from the s</w:t>
      </w:r>
      <w:r w:rsidRPr="00205501">
        <w:rPr>
          <w:rFonts w:cs="Times New Roman"/>
        </w:rPr>
        <w:t>eaway construction did not outweigh the significant interference with access to M</w:t>
      </w:r>
      <w:r>
        <w:rPr>
          <w:rFonts w:cs="Times New Roman"/>
        </w:rPr>
        <w:t>r</w:t>
      </w:r>
      <w:r w:rsidRPr="00205501">
        <w:rPr>
          <w:rFonts w:cs="Times New Roman"/>
        </w:rPr>
        <w:t xml:space="preserve">. </w:t>
      </w:r>
      <w:proofErr w:type="spellStart"/>
      <w:r w:rsidRPr="00205501">
        <w:rPr>
          <w:rFonts w:cs="Times New Roman"/>
        </w:rPr>
        <w:t>Loiselle’s</w:t>
      </w:r>
      <w:proofErr w:type="spellEnd"/>
      <w:r w:rsidRPr="00205501">
        <w:rPr>
          <w:rFonts w:cs="Times New Roman"/>
        </w:rPr>
        <w:t xml:space="preserve"> property. </w:t>
      </w:r>
      <w:proofErr w:type="spellStart"/>
      <w:r w:rsidRPr="00205501">
        <w:rPr>
          <w:rFonts w:cs="Times New Roman"/>
          <w:i/>
        </w:rPr>
        <w:t>Loiselle</w:t>
      </w:r>
      <w:proofErr w:type="spellEnd"/>
      <w:r w:rsidRPr="00205501">
        <w:rPr>
          <w:rFonts w:cs="Times New Roman"/>
          <w:i/>
        </w:rPr>
        <w:t xml:space="preserve"> </w:t>
      </w:r>
      <w:r w:rsidRPr="00205501">
        <w:rPr>
          <w:rFonts w:cs="Times New Roman"/>
        </w:rPr>
        <w:t xml:space="preserve">and </w:t>
      </w:r>
      <w:r w:rsidRPr="00205501">
        <w:rPr>
          <w:rFonts w:cs="Times New Roman"/>
          <w:i/>
        </w:rPr>
        <w:t>St. Pierre</w:t>
      </w:r>
      <w:r w:rsidRPr="00205501">
        <w:rPr>
          <w:rFonts w:cs="Times New Roman"/>
        </w:rPr>
        <w:t xml:space="preserve"> would obviously be in conflict if </w:t>
      </w:r>
      <w:r w:rsidRPr="00205501">
        <w:rPr>
          <w:rFonts w:cs="Times New Roman"/>
          <w:i/>
        </w:rPr>
        <w:t>St. Pierre</w:t>
      </w:r>
      <w:r w:rsidRPr="00205501">
        <w:rPr>
          <w:rFonts w:cs="Times New Roman"/>
        </w:rPr>
        <w:t xml:space="preserve"> were thought to stand for the broad </w:t>
      </w:r>
      <w:r w:rsidRPr="00205501">
        <w:rPr>
          <w:rFonts w:cs="Times New Roman"/>
        </w:rPr>
        <w:lastRenderedPageBreak/>
        <w:t xml:space="preserve">proposition that great public good outweighs even significant interference.  Yet McIntyre J. saw no such inconsistency. Moreover, such a broad reading of </w:t>
      </w:r>
      <w:r w:rsidRPr="00205501">
        <w:rPr>
          <w:rFonts w:cs="Times New Roman"/>
          <w:i/>
        </w:rPr>
        <w:t>St. Pierre</w:t>
      </w:r>
      <w:r w:rsidRPr="00205501">
        <w:rPr>
          <w:rFonts w:cs="Times New Roman"/>
        </w:rPr>
        <w:t xml:space="preserve"> would undermine the statutory purpose of providing a right of compensation for injurious affection.</w:t>
      </w:r>
    </w:p>
    <w:p w:rsidR="00694883" w:rsidRPr="00205501" w:rsidRDefault="00694883" w:rsidP="00694883">
      <w:pPr>
        <w:pStyle w:val="ParaNoNdepar-AltN"/>
        <w:rPr>
          <w:rFonts w:cs="Times New Roman"/>
        </w:rPr>
      </w:pPr>
      <w:r w:rsidRPr="00205501">
        <w:rPr>
          <w:rFonts w:cs="Times New Roman"/>
        </w:rPr>
        <w:t xml:space="preserve">Generally speaking, the acts of a public authority will be of significant utility. If simply put in the balance with the private interest, public utility will generally outweigh even very significant interferences with the claimant’s land. That sort of simple balancing of public utility against private harm undercuts the purpose of providing compensation for injurious affection.  That purpose is to ensure that individual members of the public do not have to bear a disproportionate share of the cost of procuring the public benefit. This purpose is fulfilled, however, if the focus of the reasonableness analysis is kept on whether it is reasonable for the individual to bear the interference without compensation, not on whether it was reasonable for the statutory authority to undertake the work. In short, the question is whether the damage flowing from the interference should be properly viewed as a cost of “running the system” and therefore borne by the public generally, or as the type of interference that should properly be accepted by an individual as part of the cost of living in organized society: </w:t>
      </w:r>
      <w:r w:rsidRPr="00205501">
        <w:rPr>
          <w:rFonts w:cs="Times New Roman"/>
          <w:i/>
        </w:rPr>
        <w:t>Tock</w:t>
      </w:r>
      <w:r>
        <w:rPr>
          <w:rFonts w:cs="Times New Roman"/>
        </w:rPr>
        <w:t>,</w:t>
      </w:r>
      <w:r w:rsidR="00FA7304">
        <w:rPr>
          <w:rFonts w:cs="Times New Roman"/>
        </w:rPr>
        <w:t xml:space="preserve"> at p. 1200.</w:t>
      </w:r>
    </w:p>
    <w:p w:rsidR="00694883" w:rsidRPr="00205501" w:rsidRDefault="00694883" w:rsidP="00694883">
      <w:pPr>
        <w:pStyle w:val="ParaNoNdepar-AltN"/>
        <w:rPr>
          <w:rFonts w:cs="Times New Roman"/>
        </w:rPr>
      </w:pPr>
      <w:r w:rsidRPr="00205501">
        <w:rPr>
          <w:rFonts w:cs="Times New Roman"/>
        </w:rPr>
        <w:t xml:space="preserve">The point was well put by Robins J. in </w:t>
      </w:r>
      <w:proofErr w:type="spellStart"/>
      <w:r w:rsidRPr="00205501">
        <w:rPr>
          <w:rFonts w:cs="Times New Roman"/>
          <w:i/>
        </w:rPr>
        <w:t>Schenck</w:t>
      </w:r>
      <w:proofErr w:type="spellEnd"/>
      <w:r w:rsidRPr="00205501">
        <w:rPr>
          <w:rFonts w:cs="Times New Roman"/>
        </w:rPr>
        <w:t xml:space="preserve">, a decision approved by La Forest J. in </w:t>
      </w:r>
      <w:r w:rsidRPr="00205501">
        <w:rPr>
          <w:rFonts w:cs="Times New Roman"/>
          <w:i/>
        </w:rPr>
        <w:t>Tock</w:t>
      </w:r>
      <w:r w:rsidRPr="006D28C8">
        <w:rPr>
          <w:rFonts w:cs="Times New Roman"/>
        </w:rPr>
        <w:t>.</w:t>
      </w:r>
      <w:r w:rsidRPr="00205501">
        <w:rPr>
          <w:rFonts w:cs="Times New Roman"/>
          <w:i/>
        </w:rPr>
        <w:t xml:space="preserve"> </w:t>
      </w:r>
      <w:r w:rsidRPr="00205501">
        <w:rPr>
          <w:rFonts w:cs="Times New Roman"/>
        </w:rPr>
        <w:t xml:space="preserve">In allowing the plaintiffs’ action for nuisance resulting from damage to their orchards from salt applied to a </w:t>
      </w:r>
      <w:r w:rsidR="00FA7304">
        <w:rPr>
          <w:rFonts w:cs="Times New Roman"/>
        </w:rPr>
        <w:t>nearby highway, Robins J. said:</w:t>
      </w:r>
    </w:p>
    <w:p w:rsidR="00694883" w:rsidRPr="00205501" w:rsidRDefault="00694883" w:rsidP="00694883">
      <w:pPr>
        <w:pStyle w:val="Citation-AltC"/>
      </w:pPr>
      <w:r>
        <w:lastRenderedPageBreak/>
        <w:t xml:space="preserve">. . . </w:t>
      </w:r>
      <w:proofErr w:type="gramStart"/>
      <w:r>
        <w:t>t</w:t>
      </w:r>
      <w:r w:rsidRPr="00205501">
        <w:t>heir</w:t>
      </w:r>
      <w:proofErr w:type="gramEnd"/>
      <w:r w:rsidRPr="00205501">
        <w:t xml:space="preserve"> injury is </w:t>
      </w:r>
      <w:r>
        <w:t>a</w:t>
      </w:r>
      <w:r w:rsidRPr="00205501">
        <w:t xml:space="preserve"> cost of highway maintenance and </w:t>
      </w:r>
      <w:r w:rsidRPr="006D28C8">
        <w:rPr>
          <w:u w:val="single"/>
        </w:rPr>
        <w:t>the harm suffered by them is greater than they should be required to bear in the circumstances, at least without compensation</w:t>
      </w:r>
      <w:r w:rsidRPr="00205501">
        <w:t>. Fairness between the citizen and the state demands that the burden imposed be borne by the public generally and not by the plaintiff fruit farmers alone</w:t>
      </w:r>
      <w:r>
        <w:t>. [Emphasis added; pp. 604-5.]</w:t>
      </w:r>
    </w:p>
    <w:p w:rsidR="00694883" w:rsidRPr="00205501" w:rsidRDefault="00694883" w:rsidP="00694883">
      <w:pPr>
        <w:pStyle w:val="ContinueParaSuitedupar-AltP"/>
        <w:rPr>
          <w:rFonts w:cs="Times New Roman"/>
        </w:rPr>
      </w:pPr>
      <w:r w:rsidRPr="00205501">
        <w:rPr>
          <w:rFonts w:cs="Times New Roman"/>
        </w:rPr>
        <w:t xml:space="preserve">The distinction is thus between, on one hand, interferences that constitute the “give and take” expected of everyone and, on the other, interferences that impose a disproportionate burden on individuals. That in my view is at the heart of the balancing exercise involved in assessing the reasonableness of </w:t>
      </w:r>
      <w:proofErr w:type="gramStart"/>
      <w:r w:rsidRPr="00205501">
        <w:rPr>
          <w:rFonts w:cs="Times New Roman"/>
        </w:rPr>
        <w:t>an interference</w:t>
      </w:r>
      <w:proofErr w:type="gramEnd"/>
      <w:r w:rsidRPr="00205501">
        <w:rPr>
          <w:rFonts w:cs="Times New Roman"/>
        </w:rPr>
        <w:t xml:space="preserve"> in light of the utility of the public authority’s conduct.</w:t>
      </w:r>
    </w:p>
    <w:p w:rsidR="00694883" w:rsidRPr="00205501" w:rsidRDefault="00694883" w:rsidP="00694883">
      <w:pPr>
        <w:pStyle w:val="ParaNoNdepar-AltN"/>
        <w:rPr>
          <w:rFonts w:cs="Times New Roman"/>
        </w:rPr>
      </w:pPr>
      <w:r w:rsidRPr="00205501">
        <w:rPr>
          <w:rFonts w:cs="Times New Roman"/>
        </w:rPr>
        <w:t xml:space="preserve">Of course, </w:t>
      </w:r>
      <w:proofErr w:type="gramStart"/>
      <w:r w:rsidRPr="00205501">
        <w:rPr>
          <w:rFonts w:cs="Times New Roman"/>
        </w:rPr>
        <w:t>not every substantial interference</w:t>
      </w:r>
      <w:proofErr w:type="gramEnd"/>
      <w:r w:rsidRPr="00205501">
        <w:rPr>
          <w:rFonts w:cs="Times New Roman"/>
        </w:rPr>
        <w:t xml:space="preserve"> arising from a public work will be unreasonable. The reasonableness analysis should favour the public authority where the harm to property interests, considered in light of its severity, the nature of the neighbourhood, its duration, the sensitivity of the plaintiff and other relevant factors, is such that the harm cannot reasonably be viewed as more than the claimant’s fair share of the costs associated with providing a public benefit. This outcome is particularly appropriate where the public authority has made all reasonable efforts to reduce the impact of its works on n</w:t>
      </w:r>
      <w:r w:rsidR="00FA7304">
        <w:rPr>
          <w:rFonts w:cs="Times New Roman"/>
        </w:rPr>
        <w:t>eighbouring properties.</w:t>
      </w:r>
    </w:p>
    <w:p w:rsidR="00694883" w:rsidRPr="00205501" w:rsidRDefault="00694883" w:rsidP="00694883">
      <w:pPr>
        <w:pStyle w:val="ParaNoNdepar-AltN"/>
        <w:rPr>
          <w:rFonts w:cs="Times New Roman"/>
        </w:rPr>
      </w:pPr>
      <w:r w:rsidRPr="00205501">
        <w:rPr>
          <w:rFonts w:cs="Times New Roman"/>
        </w:rPr>
        <w:t xml:space="preserve">It is clear, for example, that everyone must put up with a certain amount of temporary disruption caused by essential construction. Although not a case involving a public authority, the judgment of </w:t>
      </w:r>
      <w:r>
        <w:rPr>
          <w:rFonts w:cs="Times New Roman"/>
        </w:rPr>
        <w:t xml:space="preserve">Sir </w:t>
      </w:r>
      <w:proofErr w:type="spellStart"/>
      <w:r>
        <w:rPr>
          <w:rFonts w:cs="Times New Roman"/>
        </w:rPr>
        <w:t>Wilfri</w:t>
      </w:r>
      <w:r w:rsidRPr="00205501">
        <w:rPr>
          <w:rFonts w:cs="Times New Roman"/>
        </w:rPr>
        <w:t>d</w:t>
      </w:r>
      <w:proofErr w:type="spellEnd"/>
      <w:r w:rsidRPr="00205501">
        <w:rPr>
          <w:rFonts w:cs="Times New Roman"/>
        </w:rPr>
        <w:t xml:space="preserve"> Greene M.R. in </w:t>
      </w:r>
      <w:proofErr w:type="spellStart"/>
      <w:r w:rsidRPr="00205501">
        <w:rPr>
          <w:rFonts w:cs="Times New Roman"/>
          <w:i/>
        </w:rPr>
        <w:t>Andreae</w:t>
      </w:r>
      <w:proofErr w:type="spellEnd"/>
      <w:r w:rsidRPr="00205501">
        <w:rPr>
          <w:rFonts w:cs="Times New Roman"/>
          <w:i/>
        </w:rPr>
        <w:t xml:space="preserve"> v. Selfridge &amp; Co.</w:t>
      </w:r>
      <w:r w:rsidRPr="006D28C8">
        <w:rPr>
          <w:rFonts w:cs="Times New Roman"/>
        </w:rPr>
        <w:t>,</w:t>
      </w:r>
      <w:r w:rsidRPr="00205501">
        <w:rPr>
          <w:rFonts w:cs="Times New Roman"/>
        </w:rPr>
        <w:t xml:space="preserve"> [1938] </w:t>
      </w:r>
      <w:r>
        <w:rPr>
          <w:rFonts w:cs="Times New Roman"/>
        </w:rPr>
        <w:t xml:space="preserve">1 </w:t>
      </w:r>
      <w:r w:rsidRPr="00205501">
        <w:rPr>
          <w:rFonts w:cs="Times New Roman"/>
        </w:rPr>
        <w:t>Ch</w:t>
      </w:r>
      <w:r>
        <w:rPr>
          <w:rFonts w:cs="Times New Roman"/>
        </w:rPr>
        <w:t>.</w:t>
      </w:r>
      <w:r w:rsidR="00FA7304">
        <w:rPr>
          <w:rFonts w:cs="Times New Roman"/>
        </w:rPr>
        <w:t xml:space="preserve"> 1, is instructive:</w:t>
      </w:r>
    </w:p>
    <w:p w:rsidR="00694883" w:rsidRPr="00205501" w:rsidRDefault="00694883" w:rsidP="00694883">
      <w:pPr>
        <w:pStyle w:val="Citation-AltC"/>
      </w:pPr>
      <w:r>
        <w:lastRenderedPageBreak/>
        <w:t xml:space="preserve">. . . </w:t>
      </w:r>
      <w:proofErr w:type="gramStart"/>
      <w:r>
        <w:t>w</w:t>
      </w:r>
      <w:r w:rsidRPr="00205501">
        <w:t>hen</w:t>
      </w:r>
      <w:proofErr w:type="gramEnd"/>
      <w:r w:rsidRPr="00205501">
        <w:t xml:space="preserve"> one is dealing with temporary operations, such as demolition and re-building, everybody has to put up with a certain amount of discomfort, because operations of that kind cannot be carried on at all without a certain amount of noise and a certain amount of dust.  Therefore, the rule with regard to interference must </w:t>
      </w:r>
      <w:r>
        <w:t xml:space="preserve">be </w:t>
      </w:r>
      <w:r w:rsidRPr="00205501">
        <w:t>read subject to this qualification .</w:t>
      </w:r>
      <w:r>
        <w:t xml:space="preserve"> </w:t>
      </w:r>
      <w:r w:rsidRPr="00205501">
        <w:t>.</w:t>
      </w:r>
      <w:r>
        <w:t xml:space="preserve"> </w:t>
      </w:r>
      <w:r w:rsidRPr="00205501">
        <w:t>. that in respect of operations of this character, such as demolition and building, if they are reasonably carried on and all proper and reasonable steps are taken to ensure that no undue inconvenience is caused to the neighbours, whether from noise, dust</w:t>
      </w:r>
      <w:r>
        <w:t>,</w:t>
      </w:r>
      <w:r w:rsidRPr="00205501">
        <w:t xml:space="preserve"> or other reasons, the neighbours must put up with it.</w:t>
      </w:r>
      <w:r>
        <w:t xml:space="preserve"> [pp. 5-6]</w:t>
      </w:r>
    </w:p>
    <w:p w:rsidR="00694883" w:rsidRPr="00205501" w:rsidRDefault="00694883" w:rsidP="00694883">
      <w:pPr>
        <w:pStyle w:val="ParaNoNdepar-AltN"/>
        <w:rPr>
          <w:rFonts w:cs="Times New Roman"/>
        </w:rPr>
      </w:pPr>
      <w:r w:rsidRPr="00205501">
        <w:rPr>
          <w:rFonts w:cs="Times New Roman"/>
        </w:rPr>
        <w:t>There are several important ideas in this quotation.  One is that the duration of the interference is a relevant consideration. Admittedly, duration was not a relevant factor in this case because the injury was permanent. In cases where it is relevant however, it is helpful to consider that some sorts of temporary inconvenience are more obviously part of the normal “give and take” than are more prolonged interferences.  While temporary interferences may certainly support a claim in nuisance in some circumstances, interferences that persist for a prolonged period of time will be more likely to attract a remedy: see</w:t>
      </w:r>
      <w:r>
        <w:rPr>
          <w:rFonts w:cs="Times New Roman"/>
        </w:rPr>
        <w:t>,</w:t>
      </w:r>
      <w:r w:rsidRPr="00205501">
        <w:rPr>
          <w:rFonts w:cs="Times New Roman"/>
        </w:rPr>
        <w:t xml:space="preserve"> in the context of public nuisance</w:t>
      </w:r>
      <w:r>
        <w:rPr>
          <w:rFonts w:cs="Times New Roman"/>
        </w:rPr>
        <w:t>,</w:t>
      </w:r>
      <w:r w:rsidRPr="00205501">
        <w:rPr>
          <w:rFonts w:cs="Times New Roman"/>
        </w:rPr>
        <w:t xml:space="preserve"> </w:t>
      </w:r>
      <w:proofErr w:type="spellStart"/>
      <w:r w:rsidRPr="00205501">
        <w:rPr>
          <w:rFonts w:cs="Times New Roman"/>
          <w:i/>
        </w:rPr>
        <w:t>Wildtree</w:t>
      </w:r>
      <w:proofErr w:type="spellEnd"/>
      <w:r w:rsidRPr="00205501">
        <w:rPr>
          <w:rFonts w:cs="Times New Roman"/>
          <w:i/>
        </w:rPr>
        <w:t xml:space="preserve"> Hotels Ltd. v. Harrow London Borough Council</w:t>
      </w:r>
      <w:r>
        <w:rPr>
          <w:rFonts w:cs="Times New Roman"/>
        </w:rPr>
        <w:t>,</w:t>
      </w:r>
      <w:r w:rsidRPr="00205501">
        <w:rPr>
          <w:rFonts w:cs="Times New Roman"/>
          <w:i/>
        </w:rPr>
        <w:t xml:space="preserve"> </w:t>
      </w:r>
      <w:r w:rsidRPr="00205501">
        <w:rPr>
          <w:rFonts w:cs="Times New Roman"/>
        </w:rPr>
        <w:t>[2001] 2 A</w:t>
      </w:r>
      <w:r>
        <w:rPr>
          <w:rFonts w:cs="Times New Roman"/>
        </w:rPr>
        <w:t>.</w:t>
      </w:r>
      <w:r w:rsidRPr="00205501">
        <w:rPr>
          <w:rFonts w:cs="Times New Roman"/>
        </w:rPr>
        <w:t>C</w:t>
      </w:r>
      <w:r>
        <w:rPr>
          <w:rFonts w:cs="Times New Roman"/>
        </w:rPr>
        <w:t>.</w:t>
      </w:r>
      <w:r w:rsidRPr="00205501">
        <w:rPr>
          <w:rFonts w:cs="Times New Roman"/>
        </w:rPr>
        <w:t xml:space="preserve"> 1 (H</w:t>
      </w:r>
      <w:r>
        <w:rPr>
          <w:rFonts w:cs="Times New Roman"/>
        </w:rPr>
        <w:t>.</w:t>
      </w:r>
      <w:r w:rsidRPr="00205501">
        <w:rPr>
          <w:rFonts w:cs="Times New Roman"/>
        </w:rPr>
        <w:t>L</w:t>
      </w:r>
      <w:r>
        <w:rPr>
          <w:rFonts w:cs="Times New Roman"/>
        </w:rPr>
        <w:t>.</w:t>
      </w:r>
      <w:r w:rsidR="00FA7304">
        <w:rPr>
          <w:rFonts w:cs="Times New Roman"/>
        </w:rPr>
        <w:t>).</w:t>
      </w:r>
    </w:p>
    <w:p w:rsidR="00694883" w:rsidRPr="00205501" w:rsidRDefault="00694883" w:rsidP="00694883">
      <w:pPr>
        <w:pStyle w:val="ParaNoNdepar-AltN"/>
        <w:rPr>
          <w:rFonts w:cs="Times New Roman"/>
        </w:rPr>
      </w:pPr>
      <w:r w:rsidRPr="00205501">
        <w:rPr>
          <w:rFonts w:cs="Times New Roman"/>
        </w:rPr>
        <w:t xml:space="preserve">Another important idea is that the traditional consideration relating to the character of the neighbourhood may be highly relevant in the overall balancing. This point is particularly relevant in cases where a claim is brought against a public authority. </w:t>
      </w:r>
      <w:r>
        <w:rPr>
          <w:rFonts w:cs="Times New Roman"/>
        </w:rPr>
        <w:t xml:space="preserve"> </w:t>
      </w:r>
      <w:r w:rsidRPr="00205501">
        <w:rPr>
          <w:rFonts w:cs="Times New Roman"/>
        </w:rPr>
        <w:t xml:space="preserve">As Michael </w:t>
      </w:r>
      <w:proofErr w:type="spellStart"/>
      <w:r w:rsidRPr="00205501">
        <w:rPr>
          <w:rFonts w:cs="Times New Roman"/>
        </w:rPr>
        <w:t>Senzilet</w:t>
      </w:r>
      <w:proofErr w:type="spellEnd"/>
      <w:r w:rsidRPr="00205501">
        <w:rPr>
          <w:rFonts w:cs="Times New Roman"/>
        </w:rPr>
        <w:t xml:space="preserve"> has written,</w:t>
      </w:r>
    </w:p>
    <w:p w:rsidR="00694883" w:rsidRDefault="00694883" w:rsidP="00694883">
      <w:pPr>
        <w:pStyle w:val="Citation-AltC"/>
        <w:ind w:firstLine="274"/>
      </w:pPr>
      <w:r w:rsidRPr="00205501">
        <w:t xml:space="preserve">With the urban environments of today, people live much closer together and much closer to public corridors than they did 100 years </w:t>
      </w:r>
      <w:proofErr w:type="gramStart"/>
      <w:r w:rsidRPr="00205501">
        <w:t>ago .</w:t>
      </w:r>
      <w:proofErr w:type="gramEnd"/>
      <w:r>
        <w:t> </w:t>
      </w:r>
      <w:r w:rsidRPr="00205501">
        <w:t>.</w:t>
      </w:r>
      <w:r w:rsidR="00A6273B">
        <w:t> </w:t>
      </w:r>
      <w:r w:rsidRPr="00205501">
        <w:t>.</w:t>
      </w:r>
      <w:r w:rsidR="00A6273B">
        <w:t xml:space="preserve"> . </w:t>
      </w:r>
      <w:r w:rsidRPr="00205501">
        <w:t xml:space="preserve"> In today’s urban fabric, buildings are closer together, closer to roads, building lots are smaller, and there are far more public projects that </w:t>
      </w:r>
      <w:r w:rsidRPr="00205501">
        <w:lastRenderedPageBreak/>
        <w:t>are both possible and required. Surely</w:t>
      </w:r>
      <w:r>
        <w:t>,</w:t>
      </w:r>
      <w:r w:rsidRPr="00205501">
        <w:t xml:space="preserve"> the choice of living in the urban core, in a suburb, or in the countryside exposes one to difference</w:t>
      </w:r>
      <w:r>
        <w:t>s</w:t>
      </w:r>
      <w:r w:rsidRPr="00205501">
        <w:t xml:space="preserve"> and one’s choice must be made taking </w:t>
      </w:r>
      <w:r w:rsidR="00FA7304">
        <w:t>into account those differences.</w:t>
      </w:r>
    </w:p>
    <w:p w:rsidR="00694883" w:rsidRDefault="00694883" w:rsidP="00694883">
      <w:pPr>
        <w:pStyle w:val="Citation-AltC"/>
        <w:ind w:firstLine="274"/>
      </w:pPr>
    </w:p>
    <w:p w:rsidR="00694883" w:rsidRPr="00205501" w:rsidRDefault="00694883" w:rsidP="00496B3A">
      <w:pPr>
        <w:pStyle w:val="Citation-AltC"/>
        <w:ind w:left="0" w:firstLine="4"/>
      </w:pPr>
      <w:r>
        <w:t>(“</w:t>
      </w:r>
      <w:r w:rsidRPr="001A5976">
        <w:t>Compensation for Injurious Affection Where No Land Is Taken</w:t>
      </w:r>
      <w:r>
        <w:t xml:space="preserve">”, </w:t>
      </w:r>
      <w:r w:rsidRPr="00205501">
        <w:t xml:space="preserve">unpublished LL.M. thesis, University of Ottawa </w:t>
      </w:r>
      <w:r>
        <w:t>(</w:t>
      </w:r>
      <w:r w:rsidRPr="00205501">
        <w:t>1987</w:t>
      </w:r>
      <w:r>
        <w:t>),</w:t>
      </w:r>
      <w:r w:rsidRPr="00205501">
        <w:t xml:space="preserve"> at p. 73</w:t>
      </w:r>
      <w:r>
        <w:t>)</w:t>
      </w:r>
    </w:p>
    <w:p w:rsidR="00694883" w:rsidRPr="00205501" w:rsidRDefault="00694883" w:rsidP="00694883">
      <w:pPr>
        <w:pStyle w:val="ParaNoNdepar-AltN"/>
        <w:rPr>
          <w:rFonts w:cs="Times New Roman"/>
        </w:rPr>
      </w:pPr>
      <w:r w:rsidRPr="00205501">
        <w:rPr>
          <w:rFonts w:cs="Times New Roman"/>
        </w:rPr>
        <w:t xml:space="preserve">A final point emerging from the </w:t>
      </w:r>
      <w:proofErr w:type="spellStart"/>
      <w:r w:rsidRPr="00205501">
        <w:rPr>
          <w:rFonts w:cs="Times New Roman"/>
          <w:i/>
        </w:rPr>
        <w:t>Andreae</w:t>
      </w:r>
      <w:proofErr w:type="spellEnd"/>
      <w:r w:rsidRPr="00205501">
        <w:rPr>
          <w:rFonts w:cs="Times New Roman"/>
        </w:rPr>
        <w:t xml:space="preserve"> case, which I alluded to above, relates to the manner in which the work is carried out.  While nuisance focuses mainly on the harm and not on the blameworthiness of the defendant’s conduct, the fact that a public work is carried out with “all reasonable regard and care” for the affected citizens is properly part of the reasonableness analysis: see</w:t>
      </w:r>
      <w:r>
        <w:rPr>
          <w:rFonts w:cs="Times New Roman"/>
        </w:rPr>
        <w:t>,</w:t>
      </w:r>
      <w:r w:rsidRPr="00205501">
        <w:rPr>
          <w:rFonts w:cs="Times New Roman"/>
        </w:rPr>
        <w:t xml:space="preserve"> e.g.</w:t>
      </w:r>
      <w:r>
        <w:rPr>
          <w:rFonts w:cs="Times New Roman"/>
        </w:rPr>
        <w:t>,</w:t>
      </w:r>
      <w:r w:rsidRPr="00205501">
        <w:rPr>
          <w:rFonts w:cs="Times New Roman"/>
        </w:rPr>
        <w:t xml:space="preserve"> </w:t>
      </w:r>
      <w:r w:rsidRPr="00205501">
        <w:rPr>
          <w:rFonts w:cs="Times New Roman"/>
          <w:i/>
        </w:rPr>
        <w:t>Allen v. Gulf Oil Refining Ltd</w:t>
      </w:r>
      <w:r w:rsidRPr="00A6273B">
        <w:rPr>
          <w:rFonts w:cs="Times New Roman"/>
          <w:i/>
        </w:rPr>
        <w:t>.</w:t>
      </w:r>
      <w:r w:rsidRPr="00205501">
        <w:rPr>
          <w:rFonts w:cs="Times New Roman"/>
        </w:rPr>
        <w:t>, [1981] A.C. 1001</w:t>
      </w:r>
      <w:r>
        <w:rPr>
          <w:rFonts w:cs="Times New Roman"/>
        </w:rPr>
        <w:t>,</w:t>
      </w:r>
      <w:r w:rsidRPr="00205501">
        <w:rPr>
          <w:rFonts w:cs="Times New Roman"/>
        </w:rPr>
        <w:t xml:space="preserve"> </w:t>
      </w:r>
      <w:r w:rsidRPr="00205501">
        <w:rPr>
          <w:rFonts w:cs="Times New Roman"/>
          <w:i/>
        </w:rPr>
        <w:t>per</w:t>
      </w:r>
      <w:r w:rsidRPr="00205501">
        <w:rPr>
          <w:rFonts w:cs="Times New Roman"/>
        </w:rPr>
        <w:t xml:space="preserve"> Lord Wilberforce</w:t>
      </w:r>
      <w:r>
        <w:rPr>
          <w:rFonts w:cs="Times New Roman"/>
        </w:rPr>
        <w:t>,</w:t>
      </w:r>
      <w:r w:rsidR="00FA7304">
        <w:rPr>
          <w:rFonts w:cs="Times New Roman"/>
        </w:rPr>
        <w:t xml:space="preserve"> at p. 1011.</w:t>
      </w:r>
    </w:p>
    <w:p w:rsidR="00694883" w:rsidRPr="00205501" w:rsidRDefault="00694883" w:rsidP="00694883">
      <w:pPr>
        <w:pStyle w:val="ParaNoNdepar-AltN"/>
        <w:rPr>
          <w:rFonts w:cs="Times New Roman"/>
        </w:rPr>
      </w:pPr>
      <w:r w:rsidRPr="00205501">
        <w:rPr>
          <w:rFonts w:cs="Times New Roman"/>
        </w:rPr>
        <w:t xml:space="preserve">To sum up on this point, my view is that in considering the reasonableness of an interference that arises from an activity that furthers the public good, the question is whether, in light of all of the </w:t>
      </w:r>
      <w:proofErr w:type="gramStart"/>
      <w:r w:rsidRPr="00205501">
        <w:rPr>
          <w:rFonts w:cs="Times New Roman"/>
        </w:rPr>
        <w:t>circumstances,</w:t>
      </w:r>
      <w:proofErr w:type="gramEnd"/>
      <w:r w:rsidRPr="00205501">
        <w:rPr>
          <w:rFonts w:cs="Times New Roman"/>
        </w:rPr>
        <w:t xml:space="preserve"> it is unreasonable to expect the claimant to bear the interference without compensation.</w:t>
      </w:r>
    </w:p>
    <w:p w:rsidR="00694883" w:rsidRPr="00205501" w:rsidRDefault="00496B3A" w:rsidP="00694883">
      <w:pPr>
        <w:pStyle w:val="TitleTitre-AltT"/>
        <w:rPr>
          <w:rFonts w:cs="Times New Roman"/>
        </w:rPr>
      </w:pPr>
      <w:r>
        <w:rPr>
          <w:rFonts w:cs="Times New Roman"/>
        </w:rPr>
        <w:t>E.</w:t>
      </w:r>
      <w:r>
        <w:rPr>
          <w:rFonts w:cs="Times New Roman"/>
        </w:rPr>
        <w:tab/>
      </w:r>
      <w:r w:rsidR="00694883" w:rsidRPr="000F14DC">
        <w:rPr>
          <w:rFonts w:cs="Times New Roman"/>
          <w:i/>
        </w:rPr>
        <w:t>Third</w:t>
      </w:r>
      <w:r w:rsidR="00694883">
        <w:rPr>
          <w:rFonts w:cs="Times New Roman"/>
          <w:i/>
        </w:rPr>
        <w:t xml:space="preserve"> Q</w:t>
      </w:r>
      <w:r w:rsidR="00694883" w:rsidRPr="000F14DC">
        <w:rPr>
          <w:rFonts w:cs="Times New Roman"/>
          <w:i/>
        </w:rPr>
        <w:t xml:space="preserve">uestion: </w:t>
      </w:r>
      <w:r w:rsidR="00694883">
        <w:rPr>
          <w:rFonts w:cs="Times New Roman"/>
          <w:i/>
        </w:rPr>
        <w:t xml:space="preserve">Does the Unreasonableness of </w:t>
      </w:r>
      <w:proofErr w:type="gramStart"/>
      <w:r w:rsidR="00694883">
        <w:rPr>
          <w:rFonts w:cs="Times New Roman"/>
          <w:i/>
        </w:rPr>
        <w:t>an Interference</w:t>
      </w:r>
      <w:proofErr w:type="gramEnd"/>
      <w:r w:rsidR="00694883">
        <w:rPr>
          <w:rFonts w:cs="Times New Roman"/>
          <w:i/>
        </w:rPr>
        <w:t xml:space="preserve"> Need to Be Considered When That I</w:t>
      </w:r>
      <w:r w:rsidR="00694883" w:rsidRPr="000F14DC">
        <w:rPr>
          <w:rFonts w:cs="Times New Roman"/>
          <w:i/>
        </w:rPr>
        <w:t>nterf</w:t>
      </w:r>
      <w:r w:rsidR="00694883">
        <w:rPr>
          <w:rFonts w:cs="Times New Roman"/>
          <w:i/>
        </w:rPr>
        <w:t>erence Is Physical or M</w:t>
      </w:r>
      <w:r w:rsidR="00694883" w:rsidRPr="000F14DC">
        <w:rPr>
          <w:rFonts w:cs="Times New Roman"/>
          <w:i/>
        </w:rPr>
        <w:t>aterial?</w:t>
      </w:r>
    </w:p>
    <w:p w:rsidR="00694883" w:rsidRPr="00205501" w:rsidRDefault="00694883" w:rsidP="00694883">
      <w:pPr>
        <w:pStyle w:val="ParaNoNdepar-AltN"/>
        <w:rPr>
          <w:rFonts w:cs="Times New Roman"/>
          <w:i/>
        </w:rPr>
      </w:pPr>
      <w:r w:rsidRPr="00205501">
        <w:rPr>
          <w:rFonts w:cs="Times New Roman"/>
        </w:rPr>
        <w:t xml:space="preserve">The appellant submits that reasonableness does not need to be considered when the interference constitutes “material” or “physical” damage to the land.  Reasonableness only needs to be </w:t>
      </w:r>
      <w:proofErr w:type="gramStart"/>
      <w:r w:rsidRPr="00205501">
        <w:rPr>
          <w:rFonts w:cs="Times New Roman"/>
        </w:rPr>
        <w:t>addressed,</w:t>
      </w:r>
      <w:proofErr w:type="gramEnd"/>
      <w:r w:rsidRPr="00205501">
        <w:rPr>
          <w:rFonts w:cs="Times New Roman"/>
        </w:rPr>
        <w:t xml:space="preserve"> the submission goes, with respect to other types of interference such as loss of amenities. In this case, the appellant maintains that the damage to its land was “material” and that therefore no </w:t>
      </w:r>
      <w:r w:rsidRPr="00205501">
        <w:rPr>
          <w:rFonts w:cs="Times New Roman"/>
        </w:rPr>
        <w:lastRenderedPageBreak/>
        <w:t>reasonableness analysis was necessary. I respectfully disagree and conclude that the Court of Appeal was correct to hold that the question of reasonableness should be considered in all cases.</w:t>
      </w:r>
    </w:p>
    <w:p w:rsidR="00694883" w:rsidRPr="00205501" w:rsidRDefault="00694883" w:rsidP="00694883">
      <w:pPr>
        <w:pStyle w:val="ParaNoNdepar-AltN"/>
        <w:rPr>
          <w:rFonts w:cs="Times New Roman"/>
          <w:i/>
        </w:rPr>
      </w:pPr>
      <w:r w:rsidRPr="00205501">
        <w:rPr>
          <w:rFonts w:cs="Times New Roman"/>
        </w:rPr>
        <w:t xml:space="preserve">The distinction between material or physical harms on the one hand and interferences such as loss of amenities on the other has a long history and deep roots, going back at least to the House of Lords decision in </w:t>
      </w:r>
      <w:r w:rsidRPr="00205501">
        <w:rPr>
          <w:rFonts w:cs="Times New Roman"/>
          <w:i/>
        </w:rPr>
        <w:t>St. Helen’s Smelting Co. v. Tipping</w:t>
      </w:r>
      <w:r>
        <w:rPr>
          <w:rFonts w:cs="Times New Roman"/>
          <w:i/>
        </w:rPr>
        <w:t xml:space="preserve"> </w:t>
      </w:r>
      <w:r w:rsidRPr="00296469">
        <w:rPr>
          <w:rFonts w:cs="Times New Roman"/>
        </w:rPr>
        <w:t>(1865),</w:t>
      </w:r>
      <w:r>
        <w:rPr>
          <w:rFonts w:cs="Times New Roman"/>
        </w:rPr>
        <w:t xml:space="preserve"> 11 H.L.C. 642, 11 E.R. 1483</w:t>
      </w:r>
      <w:r w:rsidRPr="00205501">
        <w:rPr>
          <w:rFonts w:cs="Times New Roman"/>
        </w:rPr>
        <w:t xml:space="preserve">. In that case, the Lord Chancellor distinguished between nuisance causing “material injury” to property and nuisance “productive of sensible personal discomfort”, finding that only the latter category required an assessment of whether an interference is reasonable taking into account all of the surrounding circumstances: </w:t>
      </w:r>
      <w:r>
        <w:rPr>
          <w:rFonts w:cs="Times New Roman"/>
        </w:rPr>
        <w:t>p. 650</w:t>
      </w:r>
      <w:r w:rsidRPr="00205501">
        <w:rPr>
          <w:rFonts w:cs="Times New Roman"/>
        </w:rPr>
        <w:t>. This approach has since been adopted in many Canadian decisions (see</w:t>
      </w:r>
      <w:r>
        <w:rPr>
          <w:rFonts w:cs="Times New Roman"/>
        </w:rPr>
        <w:t>,</w:t>
      </w:r>
      <w:r w:rsidRPr="00205501">
        <w:rPr>
          <w:rFonts w:cs="Times New Roman"/>
        </w:rPr>
        <w:t xml:space="preserve"> e.g., </w:t>
      </w:r>
      <w:r w:rsidRPr="00205501">
        <w:rPr>
          <w:rFonts w:cs="Times New Roman"/>
          <w:i/>
        </w:rPr>
        <w:t>Walker v. McKinnon Industries</w:t>
      </w:r>
      <w:r>
        <w:rPr>
          <w:rFonts w:cs="Times New Roman"/>
          <w:i/>
        </w:rPr>
        <w:t xml:space="preserve"> Ltd.</w:t>
      </w:r>
      <w:r w:rsidRPr="00205501">
        <w:rPr>
          <w:rFonts w:cs="Times New Roman"/>
        </w:rPr>
        <w:t>, [1949] 4 D</w:t>
      </w:r>
      <w:r>
        <w:rPr>
          <w:rFonts w:cs="Times New Roman"/>
        </w:rPr>
        <w:t>.</w:t>
      </w:r>
      <w:r w:rsidRPr="00205501">
        <w:rPr>
          <w:rFonts w:cs="Times New Roman"/>
        </w:rPr>
        <w:t>L</w:t>
      </w:r>
      <w:r>
        <w:rPr>
          <w:rFonts w:cs="Times New Roman"/>
        </w:rPr>
        <w:t>.</w:t>
      </w:r>
      <w:r w:rsidRPr="00205501">
        <w:rPr>
          <w:rFonts w:cs="Times New Roman"/>
        </w:rPr>
        <w:t>R</w:t>
      </w:r>
      <w:r>
        <w:rPr>
          <w:rFonts w:cs="Times New Roman"/>
        </w:rPr>
        <w:t>.</w:t>
      </w:r>
      <w:r w:rsidRPr="00205501">
        <w:rPr>
          <w:rFonts w:cs="Times New Roman"/>
        </w:rPr>
        <w:t xml:space="preserve"> 739 </w:t>
      </w:r>
      <w:r>
        <w:rPr>
          <w:rFonts w:cs="Times New Roman"/>
        </w:rPr>
        <w:t xml:space="preserve">(Ont. H.C.), </w:t>
      </w:r>
      <w:r w:rsidRPr="00205501">
        <w:rPr>
          <w:rFonts w:cs="Times New Roman"/>
        </w:rPr>
        <w:t xml:space="preserve">at p. 763, injunction order varied by [1950] </w:t>
      </w:r>
      <w:r>
        <w:rPr>
          <w:rFonts w:cs="Times New Roman"/>
        </w:rPr>
        <w:t xml:space="preserve">3 D.L.R. 159 (Ont. C.A.), </w:t>
      </w:r>
      <w:proofErr w:type="spellStart"/>
      <w:r>
        <w:rPr>
          <w:rFonts w:cs="Times New Roman"/>
        </w:rPr>
        <w:t>aff’d</w:t>
      </w:r>
      <w:proofErr w:type="spellEnd"/>
      <w:r>
        <w:rPr>
          <w:rFonts w:cs="Times New Roman"/>
        </w:rPr>
        <w:t xml:space="preserve"> </w:t>
      </w:r>
      <w:r w:rsidRPr="00205501">
        <w:rPr>
          <w:rFonts w:cs="Times New Roman"/>
        </w:rPr>
        <w:t>[1951] 3 D</w:t>
      </w:r>
      <w:r>
        <w:rPr>
          <w:rFonts w:cs="Times New Roman"/>
        </w:rPr>
        <w:t>.</w:t>
      </w:r>
      <w:r w:rsidRPr="00205501">
        <w:rPr>
          <w:rFonts w:cs="Times New Roman"/>
        </w:rPr>
        <w:t>L</w:t>
      </w:r>
      <w:r>
        <w:rPr>
          <w:rFonts w:cs="Times New Roman"/>
        </w:rPr>
        <w:t>.</w:t>
      </w:r>
      <w:r w:rsidRPr="00205501">
        <w:rPr>
          <w:rFonts w:cs="Times New Roman"/>
        </w:rPr>
        <w:t>R</w:t>
      </w:r>
      <w:r>
        <w:rPr>
          <w:rFonts w:cs="Times New Roman"/>
        </w:rPr>
        <w:t xml:space="preserve">. </w:t>
      </w:r>
      <w:r w:rsidRPr="00205501">
        <w:rPr>
          <w:rFonts w:cs="Times New Roman"/>
        </w:rPr>
        <w:t>577</w:t>
      </w:r>
      <w:r>
        <w:rPr>
          <w:rFonts w:cs="Times New Roman"/>
        </w:rPr>
        <w:t xml:space="preserve"> (P.C.)</w:t>
      </w:r>
      <w:r w:rsidRPr="00205501">
        <w:rPr>
          <w:rFonts w:cs="Times New Roman"/>
        </w:rPr>
        <w:t xml:space="preserve">) including a few more recent cases, such as, for example, </w:t>
      </w:r>
      <w:proofErr w:type="spellStart"/>
      <w:r w:rsidRPr="00205501">
        <w:rPr>
          <w:rFonts w:cs="Times New Roman"/>
          <w:i/>
        </w:rPr>
        <w:t>Jesperson’s</w:t>
      </w:r>
      <w:proofErr w:type="spellEnd"/>
      <w:r w:rsidRPr="00205501">
        <w:rPr>
          <w:rFonts w:cs="Times New Roman"/>
          <w:i/>
        </w:rPr>
        <w:t xml:space="preserve"> </w:t>
      </w:r>
      <w:r w:rsidRPr="00296469">
        <w:rPr>
          <w:rFonts w:cs="Times New Roman"/>
        </w:rPr>
        <w:t>and</w:t>
      </w:r>
      <w:r>
        <w:rPr>
          <w:rFonts w:cs="Times New Roman"/>
          <w:i/>
        </w:rPr>
        <w:t xml:space="preserve"> </w:t>
      </w:r>
      <w:r w:rsidRPr="00205501">
        <w:rPr>
          <w:rFonts w:cs="Times New Roman"/>
          <w:i/>
        </w:rPr>
        <w:t>Airport Realty</w:t>
      </w:r>
      <w:r w:rsidRPr="00205501">
        <w:rPr>
          <w:rFonts w:cs="Times New Roman"/>
        </w:rPr>
        <w:t>.</w:t>
      </w:r>
      <w:r>
        <w:rPr>
          <w:rFonts w:cs="Times New Roman"/>
        </w:rPr>
        <w:t xml:space="preserve"> </w:t>
      </w:r>
      <w:r w:rsidRPr="00205501">
        <w:rPr>
          <w:rFonts w:cs="Times New Roman"/>
        </w:rPr>
        <w:t xml:space="preserve"> A good deal of the jurisprudence is helpfully reviewed in </w:t>
      </w:r>
      <w:r w:rsidRPr="00205501">
        <w:rPr>
          <w:rFonts w:cs="Times New Roman"/>
          <w:i/>
        </w:rPr>
        <w:t>Smith v. Inco Ltd</w:t>
      </w:r>
      <w:r w:rsidR="005461C9">
        <w:rPr>
          <w:rFonts w:cs="Times New Roman"/>
          <w:i/>
        </w:rPr>
        <w:t>.</w:t>
      </w:r>
      <w:r w:rsidRPr="005461C9">
        <w:rPr>
          <w:rFonts w:cs="Times New Roman"/>
        </w:rPr>
        <w:t>,</w:t>
      </w:r>
      <w:r w:rsidRPr="00205501">
        <w:rPr>
          <w:rFonts w:cs="Times New Roman"/>
        </w:rPr>
        <w:t xml:space="preserve"> 2011 ONCA 628</w:t>
      </w:r>
      <w:r>
        <w:rPr>
          <w:rFonts w:cs="Times New Roman"/>
        </w:rPr>
        <w:t>,</w:t>
      </w:r>
      <w:r w:rsidRPr="00205501">
        <w:rPr>
          <w:rFonts w:cs="Times New Roman"/>
        </w:rPr>
        <w:t xml:space="preserve"> 107 O.R. (3d) 321</w:t>
      </w:r>
      <w:r w:rsidR="005461C9">
        <w:rPr>
          <w:rFonts w:cs="Times New Roman"/>
        </w:rPr>
        <w:t>,</w:t>
      </w:r>
      <w:r w:rsidRPr="00205501">
        <w:rPr>
          <w:rFonts w:cs="Times New Roman"/>
        </w:rPr>
        <w:t xml:space="preserve"> at </w:t>
      </w:r>
      <w:proofErr w:type="spellStart"/>
      <w:r w:rsidRPr="00205501">
        <w:rPr>
          <w:rFonts w:cs="Times New Roman"/>
        </w:rPr>
        <w:t>p</w:t>
      </w:r>
      <w:r>
        <w:rPr>
          <w:rFonts w:cs="Times New Roman"/>
        </w:rPr>
        <w:t>aras</w:t>
      </w:r>
      <w:proofErr w:type="spellEnd"/>
      <w:r w:rsidRPr="00205501">
        <w:rPr>
          <w:rFonts w:cs="Times New Roman"/>
        </w:rPr>
        <w:t xml:space="preserve">. </w:t>
      </w:r>
      <w:r>
        <w:rPr>
          <w:rFonts w:cs="Times New Roman"/>
        </w:rPr>
        <w:t>4</w:t>
      </w:r>
      <w:r w:rsidRPr="00205501">
        <w:rPr>
          <w:rFonts w:cs="Times New Roman"/>
        </w:rPr>
        <w:t>5</w:t>
      </w:r>
      <w:r>
        <w:rPr>
          <w:rFonts w:cs="Times New Roman"/>
        </w:rPr>
        <w:t>-50</w:t>
      </w:r>
      <w:proofErr w:type="gramStart"/>
      <w:r w:rsidRPr="00205501">
        <w:rPr>
          <w:rFonts w:cs="Times New Roman"/>
        </w:rPr>
        <w:t>.</w:t>
      </w:r>
      <w:r w:rsidRPr="00205501">
        <w:rPr>
          <w:rFonts w:cs="Times New Roman"/>
          <w:i/>
        </w:rPr>
        <w:t xml:space="preserve">  </w:t>
      </w:r>
      <w:r w:rsidRPr="00205501">
        <w:rPr>
          <w:rFonts w:cs="Times New Roman"/>
        </w:rPr>
        <w:t>At</w:t>
      </w:r>
      <w:proofErr w:type="gramEnd"/>
      <w:r w:rsidRPr="00205501">
        <w:rPr>
          <w:rFonts w:cs="Times New Roman"/>
        </w:rPr>
        <w:t xml:space="preserve"> the same time, </w:t>
      </w:r>
      <w:r>
        <w:rPr>
          <w:rFonts w:cs="Times New Roman"/>
        </w:rPr>
        <w:t>there is a</w:t>
      </w:r>
      <w:r w:rsidRPr="00205501">
        <w:rPr>
          <w:rFonts w:cs="Times New Roman"/>
        </w:rPr>
        <w:t>ppellate</w:t>
      </w:r>
      <w:r>
        <w:rPr>
          <w:rFonts w:cs="Times New Roman"/>
        </w:rPr>
        <w:t xml:space="preserve"> authority</w:t>
      </w:r>
      <w:r w:rsidRPr="00205501">
        <w:rPr>
          <w:rFonts w:cs="Times New Roman"/>
        </w:rPr>
        <w:t xml:space="preserve"> affirm</w:t>
      </w:r>
      <w:r>
        <w:rPr>
          <w:rFonts w:cs="Times New Roman"/>
        </w:rPr>
        <w:t>ing</w:t>
      </w:r>
      <w:r w:rsidRPr="00205501">
        <w:rPr>
          <w:rFonts w:cs="Times New Roman"/>
        </w:rPr>
        <w:t xml:space="preserve"> the need to consider the reasonableness of the interference in every case: </w:t>
      </w:r>
      <w:r w:rsidRPr="00205501">
        <w:rPr>
          <w:rFonts w:cs="Times New Roman"/>
          <w:i/>
        </w:rPr>
        <w:t xml:space="preserve">Susan </w:t>
      </w:r>
      <w:proofErr w:type="spellStart"/>
      <w:r w:rsidRPr="00205501">
        <w:rPr>
          <w:rFonts w:cs="Times New Roman"/>
          <w:i/>
        </w:rPr>
        <w:t>Heyes</w:t>
      </w:r>
      <w:proofErr w:type="spellEnd"/>
      <w:r w:rsidRPr="00205501">
        <w:rPr>
          <w:rFonts w:cs="Times New Roman"/>
          <w:i/>
        </w:rPr>
        <w:t xml:space="preserve"> Inc</w:t>
      </w:r>
      <w:r w:rsidRPr="005461C9">
        <w:rPr>
          <w:rFonts w:cs="Times New Roman"/>
          <w:i/>
        </w:rPr>
        <w:t>.</w:t>
      </w:r>
    </w:p>
    <w:p w:rsidR="00694883" w:rsidRPr="00205501" w:rsidRDefault="00694883" w:rsidP="00694883">
      <w:pPr>
        <w:pStyle w:val="ParaNoNdepar-AltN"/>
        <w:rPr>
          <w:rFonts w:cs="Times New Roman"/>
          <w:i/>
        </w:rPr>
      </w:pPr>
      <w:r w:rsidRPr="00205501">
        <w:rPr>
          <w:rFonts w:cs="Times New Roman"/>
        </w:rPr>
        <w:t xml:space="preserve"> My view is that the reasonableness inquiry should not be short-circuited on the basis of certain categories of interference that are considered self-evidently </w:t>
      </w:r>
      <w:r w:rsidRPr="00205501">
        <w:rPr>
          <w:rFonts w:cs="Times New Roman"/>
        </w:rPr>
        <w:lastRenderedPageBreak/>
        <w:t xml:space="preserve">unreasonable. To the extent that cases such as </w:t>
      </w:r>
      <w:proofErr w:type="spellStart"/>
      <w:r w:rsidRPr="00205501">
        <w:rPr>
          <w:rFonts w:cs="Times New Roman"/>
          <w:i/>
        </w:rPr>
        <w:t>Jesperson’s</w:t>
      </w:r>
      <w:proofErr w:type="spellEnd"/>
      <w:r w:rsidRPr="00205501">
        <w:rPr>
          <w:rFonts w:cs="Times New Roman"/>
          <w:i/>
        </w:rPr>
        <w:t xml:space="preserve"> </w:t>
      </w:r>
      <w:r w:rsidRPr="00205501">
        <w:rPr>
          <w:rFonts w:cs="Times New Roman"/>
        </w:rPr>
        <w:t xml:space="preserve">and </w:t>
      </w:r>
      <w:r w:rsidRPr="00205501">
        <w:rPr>
          <w:rFonts w:cs="Times New Roman"/>
          <w:i/>
        </w:rPr>
        <w:t>Airport Realty</w:t>
      </w:r>
      <w:r w:rsidRPr="00205501">
        <w:rPr>
          <w:rFonts w:cs="Times New Roman"/>
        </w:rPr>
        <w:t xml:space="preserve"> suggest that balancing can simply be dispensed with in the face of material or physical interference, I respectfully disagree. The sort of balancing inherent in the reasonableness analysis is at the heart of the tort of private nuisance.  As La Forest J. put it in </w:t>
      </w:r>
      <w:r w:rsidRPr="00205501">
        <w:rPr>
          <w:rFonts w:cs="Times New Roman"/>
          <w:i/>
        </w:rPr>
        <w:t>Tock</w:t>
      </w:r>
      <w:r w:rsidRPr="00205501">
        <w:rPr>
          <w:rFonts w:cs="Times New Roman"/>
        </w:rPr>
        <w:t xml:space="preserve">, the law only intervenes “to shield persons from interferences to their enjoyment of property that were unreasonable in the light of all the circumstances”: </w:t>
      </w:r>
      <w:r>
        <w:rPr>
          <w:rFonts w:cs="Times New Roman"/>
        </w:rPr>
        <w:t xml:space="preserve"> </w:t>
      </w:r>
      <w:r w:rsidRPr="00205501">
        <w:rPr>
          <w:rFonts w:cs="Times New Roman"/>
        </w:rPr>
        <w:t>p. 1191. The legal analysis in a nuisance case is more likely to yield sound results if this essential balancing exercise is carried out explicitly and transparently rather than implicitly by applying a murky</w:t>
      </w:r>
      <w:r w:rsidR="00FA7304">
        <w:rPr>
          <w:rFonts w:cs="Times New Roman"/>
        </w:rPr>
        <w:t xml:space="preserve"> distinction.</w:t>
      </w:r>
    </w:p>
    <w:p w:rsidR="00694883" w:rsidRPr="00205501" w:rsidRDefault="00694883" w:rsidP="00694883">
      <w:pPr>
        <w:pStyle w:val="ParaNoNdepar-AltN"/>
        <w:rPr>
          <w:rFonts w:cs="Times New Roman"/>
        </w:rPr>
      </w:pPr>
      <w:r w:rsidRPr="00205501">
        <w:rPr>
          <w:rFonts w:cs="Times New Roman"/>
        </w:rPr>
        <w:t xml:space="preserve">   There are obvious difficulties in making the analysis turn on classifying interferences as constituting material or physical damage.  It will not always, or even generally, be a simple matter to distinguish between damage that is “material or physical” and damage that is a simple “loss of amenity”. The distinction proposed by the appellant is particularly difficult to apply in cases like this one, where the nuisance is an interference with access to land. The damage to the appellant here could be considered material in the sense that it caused significant financial loss, but it could perhaps also be considered in some sense to be a loss of amenity because there was no harm to the property itself.  The property declined in value, but that is also the case in s</w:t>
      </w:r>
      <w:r w:rsidR="00FA7304">
        <w:rPr>
          <w:rFonts w:cs="Times New Roman"/>
        </w:rPr>
        <w:t>ome loss of amenity situations.</w:t>
      </w:r>
    </w:p>
    <w:p w:rsidR="00694883" w:rsidRPr="00205501" w:rsidRDefault="00694883" w:rsidP="00694883">
      <w:pPr>
        <w:pStyle w:val="ParaNoNdepar-AltN"/>
        <w:rPr>
          <w:rFonts w:cs="Times New Roman"/>
          <w:i/>
        </w:rPr>
      </w:pPr>
      <w:r w:rsidRPr="00205501">
        <w:rPr>
          <w:rFonts w:cs="Times New Roman"/>
        </w:rPr>
        <w:t xml:space="preserve">While I am not convinced of the usefulness of the distinction between material injury and loss of amenity, I acknowledge that where there is significant and </w:t>
      </w:r>
      <w:r w:rsidRPr="00205501">
        <w:rPr>
          <w:rFonts w:cs="Times New Roman"/>
        </w:rPr>
        <w:lastRenderedPageBreak/>
        <w:t xml:space="preserve">permanent harm caused by </w:t>
      </w:r>
      <w:proofErr w:type="gramStart"/>
      <w:r w:rsidRPr="00205501">
        <w:rPr>
          <w:rFonts w:cs="Times New Roman"/>
        </w:rPr>
        <w:t>an interference</w:t>
      </w:r>
      <w:proofErr w:type="gramEnd"/>
      <w:r w:rsidRPr="00205501">
        <w:rPr>
          <w:rFonts w:cs="Times New Roman"/>
        </w:rPr>
        <w:t xml:space="preserve">, the reasonableness analysis may be very brief. As the British Columbia Court of Appeal noted in </w:t>
      </w:r>
      <w:r w:rsidRPr="00205501">
        <w:rPr>
          <w:rFonts w:cs="Times New Roman"/>
          <w:i/>
        </w:rPr>
        <w:t>Royal Anne Hotel</w:t>
      </w:r>
      <w:r w:rsidR="00FA7304">
        <w:rPr>
          <w:rFonts w:cs="Times New Roman"/>
        </w:rPr>
        <w:t>,</w:t>
      </w:r>
    </w:p>
    <w:p w:rsidR="00694883" w:rsidRPr="00205501" w:rsidRDefault="00694883" w:rsidP="00694883">
      <w:pPr>
        <w:pStyle w:val="Citation-AltC"/>
      </w:pPr>
      <w:r w:rsidRPr="00205501">
        <w:t>Where .</w:t>
      </w:r>
      <w:r>
        <w:t xml:space="preserve"> </w:t>
      </w:r>
      <w:r w:rsidRPr="00205501">
        <w:t>.</w:t>
      </w:r>
      <w:r>
        <w:t xml:space="preserve"> </w:t>
      </w:r>
      <w:r w:rsidRPr="00205501">
        <w:t>. actual physical damage occurs it is not difficult to decide that the interference is in fact unreasonable. Greater difficulty will be found where the interference results in lesser or no physical injury but may give offence by reason of smells, noise, vibration or other intangible causes.</w:t>
      </w:r>
      <w:r>
        <w:t xml:space="preserve">  [p. 760]</w:t>
      </w:r>
    </w:p>
    <w:p w:rsidR="00694883" w:rsidRPr="00205501" w:rsidRDefault="00694883" w:rsidP="00694883">
      <w:pPr>
        <w:pStyle w:val="ContinueParaSuitedupar-AltP"/>
        <w:rPr>
          <w:rFonts w:cs="Times New Roman"/>
        </w:rPr>
      </w:pPr>
      <w:r w:rsidRPr="00205501">
        <w:rPr>
          <w:rFonts w:cs="Times New Roman"/>
        </w:rPr>
        <w:t xml:space="preserve">Thus, even though the reasonableness of the interference should be assessed in every case, the court will sometimes quite readily conclude that some types of interferences are unreasonable without having to engage in a lengthy balancing analysis.  </w:t>
      </w:r>
      <w:proofErr w:type="spellStart"/>
      <w:r w:rsidRPr="00205501">
        <w:rPr>
          <w:rFonts w:cs="Times New Roman"/>
          <w:i/>
        </w:rPr>
        <w:t>Jesperson’s</w:t>
      </w:r>
      <w:proofErr w:type="spellEnd"/>
      <w:r w:rsidRPr="00205501">
        <w:rPr>
          <w:rFonts w:cs="Times New Roman"/>
        </w:rPr>
        <w:t>, for example,</w:t>
      </w:r>
      <w:r w:rsidRPr="00205501">
        <w:rPr>
          <w:rFonts w:cs="Times New Roman"/>
          <w:i/>
        </w:rPr>
        <w:t xml:space="preserve"> </w:t>
      </w:r>
      <w:r w:rsidRPr="00205501">
        <w:rPr>
          <w:rFonts w:cs="Times New Roman"/>
        </w:rPr>
        <w:t>was a case in which the construction of the overpass reduced the market value of the land by 40</w:t>
      </w:r>
      <w:r>
        <w:rPr>
          <w:rFonts w:cs="Times New Roman"/>
        </w:rPr>
        <w:t xml:space="preserve"> percent.</w:t>
      </w:r>
      <w:r w:rsidRPr="00205501">
        <w:rPr>
          <w:rFonts w:cs="Times New Roman"/>
        </w:rPr>
        <w:t xml:space="preserve">  It is not surprising that the Court of Appeal gave short shrift to the suggestion that it was reasonable to impose a burden of that magnitude on the claimant. Similarly, in </w:t>
      </w:r>
      <w:r w:rsidRPr="00205501">
        <w:rPr>
          <w:rFonts w:cs="Times New Roman"/>
          <w:i/>
        </w:rPr>
        <w:t>Airport Realty</w:t>
      </w:r>
      <w:r w:rsidRPr="00296469">
        <w:rPr>
          <w:rFonts w:cs="Times New Roman"/>
        </w:rPr>
        <w:t>,</w:t>
      </w:r>
      <w:r w:rsidRPr="00205501">
        <w:rPr>
          <w:rFonts w:cs="Times New Roman"/>
          <w:i/>
        </w:rPr>
        <w:t xml:space="preserve"> </w:t>
      </w:r>
      <w:r w:rsidRPr="00205501">
        <w:rPr>
          <w:rFonts w:cs="Times New Roman"/>
        </w:rPr>
        <w:t xml:space="preserve">the damage flowing from the interference was assessed at $300,000 thus making the assessment of unreasonableness straightforward: see also on this point </w:t>
      </w:r>
      <w:proofErr w:type="spellStart"/>
      <w:r w:rsidRPr="00205501">
        <w:rPr>
          <w:rFonts w:cs="Times New Roman"/>
          <w:i/>
        </w:rPr>
        <w:t>Schenck</w:t>
      </w:r>
      <w:proofErr w:type="spellEnd"/>
      <w:r w:rsidRPr="00205501">
        <w:rPr>
          <w:rFonts w:cs="Times New Roman"/>
        </w:rPr>
        <w:t>.</w:t>
      </w:r>
    </w:p>
    <w:p w:rsidR="00694883" w:rsidRPr="00205501" w:rsidRDefault="00694883" w:rsidP="00694883">
      <w:pPr>
        <w:pStyle w:val="ParaNoNdepar-AltN"/>
        <w:rPr>
          <w:rFonts w:cs="Times New Roman"/>
        </w:rPr>
      </w:pPr>
      <w:r w:rsidRPr="00205501">
        <w:rPr>
          <w:rFonts w:cs="Times New Roman"/>
        </w:rPr>
        <w:t>I therefore conclude that reasonableness is to be assessed in all cases where private nuisance is alleged.  Once a claimant passes the threshold test of showing harm that is substantial in the sense that it is non-trivial, there ought to be an inquiry into whether the interference is unreasonable, regardless of the type of harm involved.</w:t>
      </w:r>
    </w:p>
    <w:p w:rsidR="00694883" w:rsidRPr="00205501" w:rsidRDefault="00694883" w:rsidP="00694883">
      <w:pPr>
        <w:pStyle w:val="TitleTitre-AltT"/>
        <w:rPr>
          <w:rFonts w:cs="Times New Roman"/>
        </w:rPr>
      </w:pPr>
      <w:r w:rsidRPr="00205501">
        <w:rPr>
          <w:rFonts w:cs="Times New Roman"/>
        </w:rPr>
        <w:lastRenderedPageBreak/>
        <w:t xml:space="preserve">F. </w:t>
      </w:r>
      <w:r w:rsidRPr="00296469">
        <w:rPr>
          <w:rFonts w:cs="Times New Roman"/>
          <w:i/>
        </w:rPr>
        <w:t>Fourth Que</w:t>
      </w:r>
      <w:r>
        <w:rPr>
          <w:rFonts w:cs="Times New Roman"/>
          <w:i/>
        </w:rPr>
        <w:t>stion: Did the Court of Appeal Err in Finding That the Board’s Application of the Law of Nuisance to the Facts Was U</w:t>
      </w:r>
      <w:r w:rsidRPr="00296469">
        <w:rPr>
          <w:rFonts w:cs="Times New Roman"/>
          <w:i/>
        </w:rPr>
        <w:t>nreasonable?</w:t>
      </w:r>
    </w:p>
    <w:p w:rsidR="00694883" w:rsidRPr="00205501" w:rsidRDefault="00694883" w:rsidP="00694883">
      <w:pPr>
        <w:pStyle w:val="ParaNoNdepar-AltN"/>
        <w:rPr>
          <w:rFonts w:cs="Times New Roman"/>
        </w:rPr>
      </w:pPr>
      <w:r w:rsidRPr="00205501">
        <w:rPr>
          <w:rFonts w:cs="Times New Roman"/>
        </w:rPr>
        <w:t>I respectfully disagree with the Court of Appeal’s approach to the balancing exercise to determine whether the interference was unreasonable.  As I see it, there were two errors in its approach.</w:t>
      </w:r>
    </w:p>
    <w:p w:rsidR="00694883" w:rsidRPr="00205501" w:rsidRDefault="00694883" w:rsidP="00694883">
      <w:pPr>
        <w:pStyle w:val="ParaNoNdepar-AltN"/>
        <w:rPr>
          <w:rFonts w:cs="Times New Roman"/>
        </w:rPr>
      </w:pPr>
      <w:r w:rsidRPr="00205501">
        <w:rPr>
          <w:rFonts w:cs="Times New Roman"/>
        </w:rPr>
        <w:t xml:space="preserve">Having identified the factors noted earlier that are often referred to in carrying out the balancing exercise (i.e. the severity of the interference, the character of the neighbourhood, the utility of the defendant’s conduct and the sensitivity of the plaintiff), the Court of Appeal treated them as a mandatory checklist for courts or tribunals considering this issue. It faulted the Board for failing to consider two of the factors that “it was obliged to take into account in assessing the reasonableness of the interference”: </w:t>
      </w:r>
      <w:proofErr w:type="spellStart"/>
      <w:r w:rsidRPr="00205501">
        <w:rPr>
          <w:rFonts w:cs="Times New Roman"/>
        </w:rPr>
        <w:t>para</w:t>
      </w:r>
      <w:proofErr w:type="spellEnd"/>
      <w:r w:rsidRPr="00205501">
        <w:rPr>
          <w:rFonts w:cs="Times New Roman"/>
        </w:rPr>
        <w:t>. 129. In my respectful view, the Court of Appeal erred</w:t>
      </w:r>
      <w:r w:rsidR="00FA7304">
        <w:rPr>
          <w:rFonts w:cs="Times New Roman"/>
        </w:rPr>
        <w:t xml:space="preserve"> in intervening on this ground.</w:t>
      </w:r>
    </w:p>
    <w:p w:rsidR="00694883" w:rsidRPr="00205501" w:rsidRDefault="00694883" w:rsidP="00694883">
      <w:pPr>
        <w:pStyle w:val="ParaNoNdepar-AltN"/>
        <w:rPr>
          <w:rFonts w:cs="Times New Roman"/>
        </w:rPr>
      </w:pPr>
      <w:r w:rsidRPr="00205501">
        <w:rPr>
          <w:rFonts w:cs="Times New Roman"/>
        </w:rPr>
        <w:t xml:space="preserve">Provided that the Board reasonably carried out the analysis in substance, it was not required to specifically enumerate and refer by name to every factor mentioned in the case law.  As La Forest J. made clear in </w:t>
      </w:r>
      <w:r w:rsidRPr="00205501">
        <w:rPr>
          <w:rFonts w:cs="Times New Roman"/>
          <w:i/>
        </w:rPr>
        <w:t>Tock</w:t>
      </w:r>
      <w:r w:rsidRPr="00205501">
        <w:rPr>
          <w:rFonts w:cs="Times New Roman"/>
        </w:rPr>
        <w:t>, the factors he enumerated are simply examples of the sorts of criteria that the courts have articulated as being potentially of assistance in weighing the gravity of the harm with the utility of the defendant’s conduct. They do not make up either an exhaustive or an essential list of matters that must be expressly considered in every case. Failure to expressly mention one or more of these factors is not, o</w:t>
      </w:r>
      <w:r w:rsidR="00FA7304">
        <w:rPr>
          <w:rFonts w:cs="Times New Roman"/>
        </w:rPr>
        <w:t>n its own, a reviewable error.</w:t>
      </w:r>
    </w:p>
    <w:p w:rsidR="00694883" w:rsidRPr="00205501" w:rsidRDefault="00694883" w:rsidP="00694883">
      <w:pPr>
        <w:pStyle w:val="ParaNoNdepar-AltN"/>
        <w:rPr>
          <w:rFonts w:cs="Times New Roman"/>
        </w:rPr>
      </w:pPr>
      <w:r w:rsidRPr="00205501">
        <w:rPr>
          <w:rFonts w:cs="Times New Roman"/>
        </w:rPr>
        <w:lastRenderedPageBreak/>
        <w:t xml:space="preserve">The Board’s task was to determine whether, having regard to all of the circumstances, it was unreasonable to require the appellant to suffer the interference without compensation.  The Board considered the evidence and the leading cases. Although it did not refer to them by name, the Board took into account the relevant factors in this case. In particular, it considered the extent of the changes to Highway 17, the fact that those changes were considered necessary for public safety, </w:t>
      </w:r>
      <w:r>
        <w:rPr>
          <w:rFonts w:cs="Times New Roman"/>
        </w:rPr>
        <w:t>the appellant’s</w:t>
      </w:r>
      <w:r w:rsidRPr="00205501">
        <w:rPr>
          <w:rFonts w:cs="Times New Roman"/>
        </w:rPr>
        <w:t xml:space="preserve"> knowledge of</w:t>
      </w:r>
      <w:r>
        <w:rPr>
          <w:rFonts w:cs="Times New Roman"/>
        </w:rPr>
        <w:t xml:space="preserve"> </w:t>
      </w:r>
      <w:r w:rsidRPr="00205501">
        <w:rPr>
          <w:rFonts w:cs="Times New Roman"/>
        </w:rPr>
        <w:t>—</w:t>
      </w:r>
      <w:r>
        <w:rPr>
          <w:rFonts w:cs="Times New Roman"/>
        </w:rPr>
        <w:t xml:space="preserve"> </w:t>
      </w:r>
      <w:r w:rsidRPr="00205501">
        <w:rPr>
          <w:rFonts w:cs="Times New Roman"/>
        </w:rPr>
        <w:t>and involvement in</w:t>
      </w:r>
      <w:r>
        <w:rPr>
          <w:rFonts w:cs="Times New Roman"/>
        </w:rPr>
        <w:t xml:space="preserve"> </w:t>
      </w:r>
      <w:r w:rsidRPr="00205501">
        <w:rPr>
          <w:rFonts w:cs="Times New Roman"/>
        </w:rPr>
        <w:t>—</w:t>
      </w:r>
      <w:r>
        <w:rPr>
          <w:rFonts w:cs="Times New Roman"/>
        </w:rPr>
        <w:t xml:space="preserve"> </w:t>
      </w:r>
      <w:r w:rsidRPr="00205501">
        <w:rPr>
          <w:rFonts w:cs="Times New Roman"/>
        </w:rPr>
        <w:t xml:space="preserve">the plans to make changes to the highway, and the extent to which </w:t>
      </w:r>
      <w:r>
        <w:rPr>
          <w:rFonts w:cs="Times New Roman"/>
        </w:rPr>
        <w:t>the appellant</w:t>
      </w:r>
      <w:r w:rsidRPr="00205501">
        <w:rPr>
          <w:rFonts w:cs="Times New Roman"/>
        </w:rPr>
        <w:t xml:space="preserve">’s concerns about the new highway were taken into account by the </w:t>
      </w:r>
      <w:r>
        <w:rPr>
          <w:rFonts w:cs="Times New Roman"/>
        </w:rPr>
        <w:t>respondent</w:t>
      </w:r>
      <w:r w:rsidRPr="00205501">
        <w:rPr>
          <w:rFonts w:cs="Times New Roman"/>
        </w:rPr>
        <w:t xml:space="preserve"> in its decision making. The Board concluded that the interference resulting from the construction of the highway was serious and would constitute nuisance but for the fact that the work was constructed pursuant to statutory authority: </w:t>
      </w:r>
      <w:r>
        <w:rPr>
          <w:rFonts w:cs="Times New Roman"/>
        </w:rPr>
        <w:t>p</w:t>
      </w:r>
      <w:r w:rsidR="005461C9">
        <w:rPr>
          <w:rFonts w:cs="Times New Roman"/>
        </w:rPr>
        <w:t>p</w:t>
      </w:r>
      <w:r>
        <w:rPr>
          <w:rFonts w:cs="Times New Roman"/>
        </w:rPr>
        <w:t xml:space="preserve">. </w:t>
      </w:r>
      <w:r w:rsidR="005461C9">
        <w:rPr>
          <w:rFonts w:cs="Times New Roman"/>
        </w:rPr>
        <w:t>110</w:t>
      </w:r>
      <w:r>
        <w:rPr>
          <w:rFonts w:cs="Times New Roman"/>
        </w:rPr>
        <w:t>-</w:t>
      </w:r>
      <w:r w:rsidR="005461C9">
        <w:rPr>
          <w:rFonts w:cs="Times New Roman"/>
        </w:rPr>
        <w:t>15</w:t>
      </w:r>
      <w:r w:rsidRPr="00205501">
        <w:rPr>
          <w:rFonts w:cs="Times New Roman"/>
        </w:rPr>
        <w:t>. There was no reviewable error in this approach.</w:t>
      </w:r>
    </w:p>
    <w:p w:rsidR="00694883" w:rsidRPr="00205501" w:rsidRDefault="00694883" w:rsidP="00694883">
      <w:pPr>
        <w:pStyle w:val="ParaNoNdepar-AltN"/>
        <w:rPr>
          <w:rFonts w:cs="Times New Roman"/>
        </w:rPr>
      </w:pPr>
      <w:r w:rsidRPr="00205501">
        <w:rPr>
          <w:rFonts w:cs="Times New Roman"/>
        </w:rPr>
        <w:t xml:space="preserve">Similarly in my view, the Board did not fail to take account of the utility of the respondent’s activity or fail to engage in the required balancing as the Court of Appeal concluded it had.  As we have seen, the Board adverted to the importance of the highway construction. It did not, however, allow that concern to swamp consideration of whether it was reasonable to require the appellant to bear without compensation the burden inflicted on it by the construction.  The Board properly understood that the purpose of the statutory compensation scheme for injurious affection was to ensure that individuals do not have to bear a disproportionate burden of damage flowing from interference with the use and enjoyment of land caused by </w:t>
      </w:r>
      <w:r w:rsidRPr="00205501">
        <w:rPr>
          <w:rFonts w:cs="Times New Roman"/>
        </w:rPr>
        <w:lastRenderedPageBreak/>
        <w:t>the construction of a public work. It was reasonable for the Board to conclude that in all of the circumstances, the appellant should not be expected to endure permanent interference with the use of its land that caused a significant diminution of its market value in order to serve the greater public good.</w:t>
      </w:r>
    </w:p>
    <w:p w:rsidR="00694883" w:rsidRPr="00205501" w:rsidRDefault="00694883" w:rsidP="00694883">
      <w:pPr>
        <w:pStyle w:val="TitleTitre-AltT"/>
        <w:rPr>
          <w:rFonts w:cs="Times New Roman"/>
        </w:rPr>
      </w:pPr>
      <w:r w:rsidRPr="00205501">
        <w:rPr>
          <w:rFonts w:cs="Times New Roman"/>
        </w:rPr>
        <w:t xml:space="preserve">IV. </w:t>
      </w:r>
      <w:r w:rsidRPr="009445C8">
        <w:rPr>
          <w:rFonts w:cs="Times New Roman"/>
          <w:u w:val="single"/>
        </w:rPr>
        <w:t>Disposition</w:t>
      </w:r>
    </w:p>
    <w:p w:rsidR="00694883" w:rsidRPr="00205501" w:rsidRDefault="00694883" w:rsidP="00694883">
      <w:pPr>
        <w:pStyle w:val="ParaNoNdepar-AltN"/>
        <w:rPr>
          <w:rFonts w:cs="Times New Roman"/>
        </w:rPr>
      </w:pPr>
      <w:r w:rsidRPr="00205501">
        <w:rPr>
          <w:rFonts w:cs="Times New Roman"/>
        </w:rPr>
        <w:t>I would allow the appeal, set aside the order of the Court of Appeal and restore the order of the Ontario Municipal Board. I would not disturb the orders for costs made by the Board or by the Divisional Court. (We were advised that the costs before the Board have been fixed and paid by the respondent.) I would award the appellant costs of the appeal in the Court of Appeal in the agreed upon amount of $20,000 inclusive of disbursements and I would not disturb the Court of Appeal’s disposition of the costs o</w:t>
      </w:r>
      <w:r>
        <w:rPr>
          <w:rFonts w:cs="Times New Roman"/>
        </w:rPr>
        <w:t>f the cross-appeal before that c</w:t>
      </w:r>
      <w:r w:rsidRPr="00205501">
        <w:rPr>
          <w:rFonts w:cs="Times New Roman"/>
        </w:rPr>
        <w:t xml:space="preserve">ourt.  </w:t>
      </w:r>
      <w:r w:rsidRPr="00205501">
        <w:rPr>
          <w:rFonts w:cs="Times New Roman"/>
          <w:lang w:val="en-US"/>
        </w:rPr>
        <w:t xml:space="preserve">In this matter arising under the </w:t>
      </w:r>
      <w:r w:rsidRPr="00205501">
        <w:rPr>
          <w:rFonts w:cs="Times New Roman"/>
          <w:i/>
          <w:lang w:val="en-US"/>
        </w:rPr>
        <w:t>Expropriations Act</w:t>
      </w:r>
      <w:r w:rsidRPr="00205501">
        <w:rPr>
          <w:rFonts w:cs="Times New Roman"/>
          <w:lang w:val="en-US"/>
        </w:rPr>
        <w:t>, I would exercise discretion and award the appellant its costs in this Court, including the application for leave to appeal, o</w:t>
      </w:r>
      <w:r w:rsidR="00FA7304">
        <w:rPr>
          <w:rFonts w:cs="Times New Roman"/>
          <w:lang w:val="en-US"/>
        </w:rPr>
        <w:t>n a solicitor and client basis.</w:t>
      </w:r>
    </w:p>
    <w:p w:rsidR="009B57B3" w:rsidRPr="00592CFE" w:rsidRDefault="002C1AFD" w:rsidP="0036432B">
      <w:pPr>
        <w:pStyle w:val="SCCNormalDoubleSpacing"/>
        <w:spacing w:before="480" w:after="480"/>
      </w:pPr>
      <w:r w:rsidRPr="00592CFE">
        <w:tab/>
      </w:r>
      <w:r w:rsidR="00656313" w:rsidRPr="00592CFE">
        <w:rPr>
          <w:i/>
        </w:rPr>
        <w:t>Appeal</w:t>
      </w:r>
      <w:r w:rsidRPr="00592CFE">
        <w:rPr>
          <w:i/>
        </w:rPr>
        <w:t xml:space="preserve"> </w:t>
      </w:r>
      <w:r w:rsidR="00E84C3F" w:rsidRPr="00592CFE">
        <w:rPr>
          <w:i/>
        </w:rPr>
        <w:t>allowed with costs</w:t>
      </w:r>
      <w:r w:rsidRPr="00592CFE">
        <w:rPr>
          <w:i/>
        </w:rPr>
        <w:t>.</w:t>
      </w:r>
    </w:p>
    <w:p w:rsidR="002C1AFD" w:rsidRPr="00592CFE" w:rsidRDefault="002C1AFD" w:rsidP="0036432B">
      <w:pPr>
        <w:pStyle w:val="SCCLawFirm"/>
        <w:spacing w:before="480" w:after="480"/>
      </w:pPr>
      <w:r w:rsidRPr="00592CFE">
        <w:tab/>
        <w:t>Solicitors for the appellant</w:t>
      </w:r>
      <w:r w:rsidR="0036432B" w:rsidRPr="00592CFE">
        <w:t>:  </w:t>
      </w:r>
      <w:proofErr w:type="spellStart"/>
      <w:r w:rsidRPr="00592CFE">
        <w:t>Rueter</w:t>
      </w:r>
      <w:proofErr w:type="spellEnd"/>
      <w:r w:rsidRPr="00592CFE">
        <w:t xml:space="preserve"> </w:t>
      </w:r>
      <w:proofErr w:type="spellStart"/>
      <w:r w:rsidRPr="00592CFE">
        <w:t>Scargall</w:t>
      </w:r>
      <w:proofErr w:type="spellEnd"/>
      <w:r w:rsidRPr="00592CFE">
        <w:t xml:space="preserve"> Bennett, Toronto.</w:t>
      </w:r>
    </w:p>
    <w:p w:rsidR="002C1AFD" w:rsidRPr="00592CFE" w:rsidRDefault="002C1AFD" w:rsidP="0036432B">
      <w:pPr>
        <w:pStyle w:val="SCCLawFirm"/>
        <w:spacing w:before="480" w:after="480"/>
      </w:pPr>
      <w:r w:rsidRPr="00592CFE">
        <w:tab/>
        <w:t>Solicitor for the respondent</w:t>
      </w:r>
      <w:r w:rsidR="0036432B" w:rsidRPr="00592CFE">
        <w:t>:  </w:t>
      </w:r>
      <w:r w:rsidRPr="00592CFE">
        <w:t>Attorney General of Ontario, Toronto.</w:t>
      </w:r>
    </w:p>
    <w:p w:rsidR="002C1AFD" w:rsidRPr="00592CFE" w:rsidRDefault="002C1AFD" w:rsidP="0036432B">
      <w:pPr>
        <w:pStyle w:val="SCCLawFirm"/>
        <w:spacing w:before="480" w:after="480"/>
      </w:pPr>
      <w:r w:rsidRPr="00592CFE">
        <w:lastRenderedPageBreak/>
        <w:tab/>
        <w:t xml:space="preserve">Solicitor for the intervener </w:t>
      </w:r>
      <w:r w:rsidR="0036432B" w:rsidRPr="00592CFE">
        <w:t>the Attorney General of British </w:t>
      </w:r>
      <w:r w:rsidRPr="00592CFE">
        <w:t>Columbia</w:t>
      </w:r>
      <w:r w:rsidR="0036432B" w:rsidRPr="00592CFE">
        <w:t>:  </w:t>
      </w:r>
      <w:r w:rsidR="00BE3419" w:rsidRPr="00592CFE">
        <w:t>Attorney General of British </w:t>
      </w:r>
      <w:r w:rsidRPr="00592CFE">
        <w:t>Columbia, Vancouver.</w:t>
      </w:r>
    </w:p>
    <w:p w:rsidR="002C1AFD" w:rsidRPr="00592CFE" w:rsidRDefault="002C1AFD" w:rsidP="0036432B">
      <w:pPr>
        <w:pStyle w:val="SCCLawFirm"/>
        <w:spacing w:before="480" w:after="480"/>
      </w:pPr>
      <w:r w:rsidRPr="00592CFE">
        <w:tab/>
        <w:t>Solicitor for the intervener the City of Toronto</w:t>
      </w:r>
      <w:r w:rsidR="0036432B" w:rsidRPr="00592CFE">
        <w:t>:  </w:t>
      </w:r>
      <w:r w:rsidRPr="00592CFE">
        <w:t>City of Toronto, Toronto.</w:t>
      </w:r>
    </w:p>
    <w:p w:rsidR="009B57B3" w:rsidRPr="00592CFE" w:rsidRDefault="002C1AFD" w:rsidP="00FA7304">
      <w:pPr>
        <w:pStyle w:val="SCCLawFirm"/>
      </w:pPr>
      <w:r w:rsidRPr="00592CFE">
        <w:tab/>
        <w:t xml:space="preserve">Solicitors for the intervener </w:t>
      </w:r>
      <w:proofErr w:type="spellStart"/>
      <w:r w:rsidRPr="00592CFE">
        <w:t>Metrolinx</w:t>
      </w:r>
      <w:proofErr w:type="spellEnd"/>
      <w:r w:rsidR="0036432B" w:rsidRPr="00592CFE">
        <w:t>:  </w:t>
      </w:r>
      <w:proofErr w:type="spellStart"/>
      <w:r w:rsidRPr="00592CFE">
        <w:t>Stikeman</w:t>
      </w:r>
      <w:proofErr w:type="spellEnd"/>
      <w:r w:rsidRPr="00592CFE">
        <w:t xml:space="preserve"> Elliott, Toronto.</w:t>
      </w:r>
      <w:r w:rsidR="00FA7304" w:rsidRPr="00592CFE">
        <w:t xml:space="preserve"> </w:t>
      </w:r>
    </w:p>
    <w:sectPr w:rsidR="009B57B3" w:rsidRPr="00592CFE" w:rsidSect="00F01E2E">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A55" w:rsidRDefault="00DD6A55">
      <w:r>
        <w:separator/>
      </w:r>
    </w:p>
  </w:endnote>
  <w:endnote w:type="continuationSeparator" w:id="0">
    <w:p w:rsidR="00DD6A55" w:rsidRDefault="00DD6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A55" w:rsidRDefault="00DD6A55">
      <w:r>
        <w:separator/>
      </w:r>
    </w:p>
  </w:footnote>
  <w:footnote w:type="continuationSeparator" w:id="0">
    <w:p w:rsidR="00DD6A55" w:rsidRDefault="00DD6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5230"/>
      <w:docPartObj>
        <w:docPartGallery w:val="Page Numbers (Top of Page)"/>
        <w:docPartUnique/>
      </w:docPartObj>
    </w:sdtPr>
    <w:sdtContent>
      <w:p w:rsidR="00F01E2E" w:rsidRDefault="00F01E2E" w:rsidP="00F01E2E">
        <w:pPr>
          <w:pStyle w:val="Header"/>
          <w:jc w:val="center"/>
        </w:pPr>
        <w:r>
          <w:t xml:space="preserve">- </w:t>
        </w:r>
        <w:fldSimple w:instr=" PAGE   \* MERGEFORMAT ">
          <w:r w:rsidR="001A6417">
            <w:rPr>
              <w:noProof/>
            </w:rPr>
            <w:t>2</w:t>
          </w:r>
        </w:fldSimple>
        <w:r>
          <w:t xml:space="preserve"> -</w:t>
        </w:r>
      </w:p>
    </w:sdtContent>
  </w:sdt>
  <w:p w:rsidR="00F01E2E" w:rsidRDefault="00F01E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E70623B"/>
    <w:multiLevelType w:val="hybridMultilevel"/>
    <w:tmpl w:val="7BDE857C"/>
    <w:lvl w:ilvl="0" w:tplc="3B2C660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F8C59EA"/>
    <w:multiLevelType w:val="hybridMultilevel"/>
    <w:tmpl w:val="45AAEEBA"/>
    <w:lvl w:ilvl="0" w:tplc="1EF05E9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283EE8"/>
    <w:multiLevelType w:val="multilevel"/>
    <w:tmpl w:val="37D41314"/>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0"/>
  </w:num>
  <w:num w:numId="5">
    <w:abstractNumId w:val="4"/>
  </w:num>
  <w:num w:numId="6">
    <w:abstractNumId w:val="5"/>
  </w:num>
  <w:num w:numId="7">
    <w:abstractNumId w:val="3"/>
  </w:num>
  <w:num w:numId="8">
    <w:abstractNumId w:val="1"/>
  </w:num>
  <w:num w:numId="9">
    <w:abstractNumId w:val="6"/>
  </w:num>
  <w:num w:numId="10">
    <w:abstractNumId w:val="6"/>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rsids>
    <w:rsidRoot w:val="0031414C"/>
    <w:rsid w:val="00000ED4"/>
    <w:rsid w:val="00025198"/>
    <w:rsid w:val="000578A3"/>
    <w:rsid w:val="000648CC"/>
    <w:rsid w:val="000C59B8"/>
    <w:rsid w:val="000C6AF0"/>
    <w:rsid w:val="00104F33"/>
    <w:rsid w:val="00111DE2"/>
    <w:rsid w:val="00116B38"/>
    <w:rsid w:val="00135406"/>
    <w:rsid w:val="00135972"/>
    <w:rsid w:val="001426A9"/>
    <w:rsid w:val="00154D7C"/>
    <w:rsid w:val="00156C3E"/>
    <w:rsid w:val="001570B0"/>
    <w:rsid w:val="0015752C"/>
    <w:rsid w:val="00157737"/>
    <w:rsid w:val="00165277"/>
    <w:rsid w:val="00170592"/>
    <w:rsid w:val="001846F7"/>
    <w:rsid w:val="00186351"/>
    <w:rsid w:val="00195D83"/>
    <w:rsid w:val="001A00C1"/>
    <w:rsid w:val="001A21AB"/>
    <w:rsid w:val="001A6417"/>
    <w:rsid w:val="001B33E0"/>
    <w:rsid w:val="001B4573"/>
    <w:rsid w:val="001C779F"/>
    <w:rsid w:val="001D2AC1"/>
    <w:rsid w:val="001D4DD4"/>
    <w:rsid w:val="001D4E88"/>
    <w:rsid w:val="001E0963"/>
    <w:rsid w:val="00214909"/>
    <w:rsid w:val="00220FC2"/>
    <w:rsid w:val="002222F4"/>
    <w:rsid w:val="00224FC0"/>
    <w:rsid w:val="00225EA4"/>
    <w:rsid w:val="00226EAF"/>
    <w:rsid w:val="00231F3A"/>
    <w:rsid w:val="00234199"/>
    <w:rsid w:val="002406EE"/>
    <w:rsid w:val="00243EC8"/>
    <w:rsid w:val="00270D93"/>
    <w:rsid w:val="002745CC"/>
    <w:rsid w:val="002B4272"/>
    <w:rsid w:val="002B7924"/>
    <w:rsid w:val="002C1AFD"/>
    <w:rsid w:val="002D28C3"/>
    <w:rsid w:val="002D39A4"/>
    <w:rsid w:val="002E6705"/>
    <w:rsid w:val="002E7607"/>
    <w:rsid w:val="00301D08"/>
    <w:rsid w:val="0030329A"/>
    <w:rsid w:val="0031086F"/>
    <w:rsid w:val="0031414C"/>
    <w:rsid w:val="00314E01"/>
    <w:rsid w:val="0032089D"/>
    <w:rsid w:val="00326CD5"/>
    <w:rsid w:val="003310DE"/>
    <w:rsid w:val="003312CC"/>
    <w:rsid w:val="003323B0"/>
    <w:rsid w:val="0034060A"/>
    <w:rsid w:val="0035169A"/>
    <w:rsid w:val="0035259D"/>
    <w:rsid w:val="00364271"/>
    <w:rsid w:val="0036432B"/>
    <w:rsid w:val="00364B18"/>
    <w:rsid w:val="003849E3"/>
    <w:rsid w:val="003A125D"/>
    <w:rsid w:val="003A4C70"/>
    <w:rsid w:val="003B215F"/>
    <w:rsid w:val="003C799C"/>
    <w:rsid w:val="003D0399"/>
    <w:rsid w:val="003E1C71"/>
    <w:rsid w:val="003F327B"/>
    <w:rsid w:val="004017E8"/>
    <w:rsid w:val="00406166"/>
    <w:rsid w:val="0040704B"/>
    <w:rsid w:val="00410A55"/>
    <w:rsid w:val="00411300"/>
    <w:rsid w:val="00415417"/>
    <w:rsid w:val="00426659"/>
    <w:rsid w:val="00450352"/>
    <w:rsid w:val="00454BDB"/>
    <w:rsid w:val="00464800"/>
    <w:rsid w:val="00465132"/>
    <w:rsid w:val="00480C90"/>
    <w:rsid w:val="0048396F"/>
    <w:rsid w:val="00493C18"/>
    <w:rsid w:val="00496B3A"/>
    <w:rsid w:val="004A2163"/>
    <w:rsid w:val="004A600C"/>
    <w:rsid w:val="004A6118"/>
    <w:rsid w:val="004A6D41"/>
    <w:rsid w:val="004C478D"/>
    <w:rsid w:val="004E2C26"/>
    <w:rsid w:val="004F36FF"/>
    <w:rsid w:val="005125A8"/>
    <w:rsid w:val="0051632C"/>
    <w:rsid w:val="00521AE8"/>
    <w:rsid w:val="00527180"/>
    <w:rsid w:val="0054201E"/>
    <w:rsid w:val="005461C9"/>
    <w:rsid w:val="00555291"/>
    <w:rsid w:val="0056116B"/>
    <w:rsid w:val="00566AD1"/>
    <w:rsid w:val="0057683C"/>
    <w:rsid w:val="00583EDE"/>
    <w:rsid w:val="00592CFE"/>
    <w:rsid w:val="005A6079"/>
    <w:rsid w:val="005B1CF1"/>
    <w:rsid w:val="005E1748"/>
    <w:rsid w:val="005E4698"/>
    <w:rsid w:val="005F5798"/>
    <w:rsid w:val="00610539"/>
    <w:rsid w:val="00613969"/>
    <w:rsid w:val="00625C35"/>
    <w:rsid w:val="00635B47"/>
    <w:rsid w:val="00637490"/>
    <w:rsid w:val="00656313"/>
    <w:rsid w:val="006565F4"/>
    <w:rsid w:val="006602F0"/>
    <w:rsid w:val="00684EEA"/>
    <w:rsid w:val="00694883"/>
    <w:rsid w:val="0069689B"/>
    <w:rsid w:val="006A1551"/>
    <w:rsid w:val="006B5FF5"/>
    <w:rsid w:val="006C6D17"/>
    <w:rsid w:val="006F30AF"/>
    <w:rsid w:val="00701759"/>
    <w:rsid w:val="00704168"/>
    <w:rsid w:val="00705C15"/>
    <w:rsid w:val="0071600E"/>
    <w:rsid w:val="007208D1"/>
    <w:rsid w:val="00725ACF"/>
    <w:rsid w:val="00747288"/>
    <w:rsid w:val="00747DD3"/>
    <w:rsid w:val="007549C8"/>
    <w:rsid w:val="00754A0B"/>
    <w:rsid w:val="00766D14"/>
    <w:rsid w:val="00767A0F"/>
    <w:rsid w:val="00771BC4"/>
    <w:rsid w:val="00785B72"/>
    <w:rsid w:val="007A05F6"/>
    <w:rsid w:val="007B6F4A"/>
    <w:rsid w:val="007E1C47"/>
    <w:rsid w:val="007E337A"/>
    <w:rsid w:val="007E5C70"/>
    <w:rsid w:val="007F2FF5"/>
    <w:rsid w:val="007F3F08"/>
    <w:rsid w:val="00804CC6"/>
    <w:rsid w:val="00817190"/>
    <w:rsid w:val="00820EE5"/>
    <w:rsid w:val="008260E2"/>
    <w:rsid w:val="008322BD"/>
    <w:rsid w:val="00833E0A"/>
    <w:rsid w:val="00834F73"/>
    <w:rsid w:val="00847EC7"/>
    <w:rsid w:val="00864CF8"/>
    <w:rsid w:val="00871FC0"/>
    <w:rsid w:val="00872819"/>
    <w:rsid w:val="00874914"/>
    <w:rsid w:val="00891422"/>
    <w:rsid w:val="008914A7"/>
    <w:rsid w:val="00892E1A"/>
    <w:rsid w:val="008A3F29"/>
    <w:rsid w:val="008A5C12"/>
    <w:rsid w:val="008A73C2"/>
    <w:rsid w:val="008B660A"/>
    <w:rsid w:val="008C01DA"/>
    <w:rsid w:val="008C4589"/>
    <w:rsid w:val="008E1609"/>
    <w:rsid w:val="008E3D02"/>
    <w:rsid w:val="008F78E9"/>
    <w:rsid w:val="00911989"/>
    <w:rsid w:val="0091417F"/>
    <w:rsid w:val="00915A87"/>
    <w:rsid w:val="009179F9"/>
    <w:rsid w:val="0092381B"/>
    <w:rsid w:val="00933E5E"/>
    <w:rsid w:val="00935218"/>
    <w:rsid w:val="009403F3"/>
    <w:rsid w:val="009555B7"/>
    <w:rsid w:val="009567AA"/>
    <w:rsid w:val="00956A4C"/>
    <w:rsid w:val="0096374C"/>
    <w:rsid w:val="00967374"/>
    <w:rsid w:val="0099307E"/>
    <w:rsid w:val="009A343A"/>
    <w:rsid w:val="009B2F23"/>
    <w:rsid w:val="009B57B3"/>
    <w:rsid w:val="009C212E"/>
    <w:rsid w:val="009C5B92"/>
    <w:rsid w:val="009D1E4C"/>
    <w:rsid w:val="009D2920"/>
    <w:rsid w:val="009D5AEB"/>
    <w:rsid w:val="009E19B0"/>
    <w:rsid w:val="009F0E33"/>
    <w:rsid w:val="00A030CE"/>
    <w:rsid w:val="00A149DF"/>
    <w:rsid w:val="00A1755C"/>
    <w:rsid w:val="00A21B90"/>
    <w:rsid w:val="00A41805"/>
    <w:rsid w:val="00A42DCD"/>
    <w:rsid w:val="00A52AFB"/>
    <w:rsid w:val="00A54490"/>
    <w:rsid w:val="00A548CB"/>
    <w:rsid w:val="00A5521C"/>
    <w:rsid w:val="00A6273B"/>
    <w:rsid w:val="00A6404E"/>
    <w:rsid w:val="00A643E7"/>
    <w:rsid w:val="00A73C38"/>
    <w:rsid w:val="00AB670D"/>
    <w:rsid w:val="00AF03C5"/>
    <w:rsid w:val="00B000D8"/>
    <w:rsid w:val="00B00F75"/>
    <w:rsid w:val="00B145B6"/>
    <w:rsid w:val="00B279EB"/>
    <w:rsid w:val="00B50C81"/>
    <w:rsid w:val="00B546C1"/>
    <w:rsid w:val="00B557F8"/>
    <w:rsid w:val="00B815FC"/>
    <w:rsid w:val="00B93FBC"/>
    <w:rsid w:val="00BA7DA0"/>
    <w:rsid w:val="00BB2EE4"/>
    <w:rsid w:val="00BC2108"/>
    <w:rsid w:val="00BD0E9E"/>
    <w:rsid w:val="00BD1BEC"/>
    <w:rsid w:val="00BD32FF"/>
    <w:rsid w:val="00BE3419"/>
    <w:rsid w:val="00C02092"/>
    <w:rsid w:val="00C24D91"/>
    <w:rsid w:val="00C3365E"/>
    <w:rsid w:val="00C53F14"/>
    <w:rsid w:val="00C600CF"/>
    <w:rsid w:val="00C6084F"/>
    <w:rsid w:val="00C62A66"/>
    <w:rsid w:val="00C643E0"/>
    <w:rsid w:val="00C71458"/>
    <w:rsid w:val="00C77613"/>
    <w:rsid w:val="00C828E7"/>
    <w:rsid w:val="00C86719"/>
    <w:rsid w:val="00C921DD"/>
    <w:rsid w:val="00CA1310"/>
    <w:rsid w:val="00CA6391"/>
    <w:rsid w:val="00CC34BD"/>
    <w:rsid w:val="00CE161A"/>
    <w:rsid w:val="00CE3171"/>
    <w:rsid w:val="00CF1601"/>
    <w:rsid w:val="00D0172F"/>
    <w:rsid w:val="00D068A7"/>
    <w:rsid w:val="00D1230B"/>
    <w:rsid w:val="00D17476"/>
    <w:rsid w:val="00D32086"/>
    <w:rsid w:val="00D37A3F"/>
    <w:rsid w:val="00D4431D"/>
    <w:rsid w:val="00D4667A"/>
    <w:rsid w:val="00D52983"/>
    <w:rsid w:val="00D63A1C"/>
    <w:rsid w:val="00D66244"/>
    <w:rsid w:val="00D7516F"/>
    <w:rsid w:val="00D8579F"/>
    <w:rsid w:val="00D91CD0"/>
    <w:rsid w:val="00D95F8E"/>
    <w:rsid w:val="00DA0590"/>
    <w:rsid w:val="00DB7BEA"/>
    <w:rsid w:val="00DC1739"/>
    <w:rsid w:val="00DC1788"/>
    <w:rsid w:val="00DC1E5A"/>
    <w:rsid w:val="00DC6860"/>
    <w:rsid w:val="00DD34B0"/>
    <w:rsid w:val="00DD5299"/>
    <w:rsid w:val="00DD6A55"/>
    <w:rsid w:val="00DE319C"/>
    <w:rsid w:val="00DF0CA8"/>
    <w:rsid w:val="00DF2B48"/>
    <w:rsid w:val="00DF2DF5"/>
    <w:rsid w:val="00DF49A7"/>
    <w:rsid w:val="00E07EE2"/>
    <w:rsid w:val="00E07FD1"/>
    <w:rsid w:val="00E24573"/>
    <w:rsid w:val="00E25E1E"/>
    <w:rsid w:val="00E27EE7"/>
    <w:rsid w:val="00E35404"/>
    <w:rsid w:val="00E35F17"/>
    <w:rsid w:val="00E45109"/>
    <w:rsid w:val="00E47B7A"/>
    <w:rsid w:val="00E56A44"/>
    <w:rsid w:val="00E60269"/>
    <w:rsid w:val="00E655D8"/>
    <w:rsid w:val="00E67FF0"/>
    <w:rsid w:val="00E77932"/>
    <w:rsid w:val="00E84C3F"/>
    <w:rsid w:val="00E94FDF"/>
    <w:rsid w:val="00E97830"/>
    <w:rsid w:val="00ED0CB7"/>
    <w:rsid w:val="00EE643C"/>
    <w:rsid w:val="00EF0683"/>
    <w:rsid w:val="00EF40C7"/>
    <w:rsid w:val="00EF69D2"/>
    <w:rsid w:val="00EF766E"/>
    <w:rsid w:val="00F0070C"/>
    <w:rsid w:val="00F00EB7"/>
    <w:rsid w:val="00F01E2E"/>
    <w:rsid w:val="00F20D4F"/>
    <w:rsid w:val="00F36AB6"/>
    <w:rsid w:val="00F37A09"/>
    <w:rsid w:val="00F409CE"/>
    <w:rsid w:val="00F4379D"/>
    <w:rsid w:val="00F50D2D"/>
    <w:rsid w:val="00F56C8B"/>
    <w:rsid w:val="00F6065E"/>
    <w:rsid w:val="00F66810"/>
    <w:rsid w:val="00F77205"/>
    <w:rsid w:val="00F846D9"/>
    <w:rsid w:val="00F84DF4"/>
    <w:rsid w:val="00F85C97"/>
    <w:rsid w:val="00FA7304"/>
    <w:rsid w:val="00FB37D2"/>
    <w:rsid w:val="00FC0F82"/>
    <w:rsid w:val="00FC2967"/>
    <w:rsid w:val="00FC4EFB"/>
    <w:rsid w:val="00FD068D"/>
    <w:rsid w:val="00FD4F28"/>
    <w:rsid w:val="00FE6784"/>
    <w:rsid w:val="00FF2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5B1CF1"/>
    <w:pPr>
      <w:numPr>
        <w:numId w:val="1"/>
      </w:numPr>
      <w:spacing w:before="480" w:after="480" w:line="480" w:lineRule="auto"/>
      <w:jc w:val="both"/>
    </w:pPr>
    <w:rPr>
      <w:rFonts w:eastAsiaTheme="minorEastAsia" w:cstheme="minorBidi"/>
      <w:sz w:val="24"/>
      <w:szCs w:val="22"/>
      <w:lang w:eastAsia="en-US"/>
    </w:rPr>
  </w:style>
  <w:style w:type="paragraph" w:customStyle="1" w:styleId="ContinueParaSuitedupar-AltP">
    <w:name w:val="Continue Para. / Suite du par. - Alt P"/>
    <w:next w:val="ParaNoNdepar-AltN"/>
    <w:uiPriority w:val="1"/>
    <w:qFormat/>
    <w:rsid w:val="005B1CF1"/>
    <w:pPr>
      <w:spacing w:before="480" w:after="480" w:line="480" w:lineRule="auto"/>
      <w:jc w:val="both"/>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694883"/>
    <w:pPr>
      <w:spacing w:after="480"/>
    </w:pPr>
    <w:rPr>
      <w:rFonts w:eastAsiaTheme="minorHAnsi" w:cstheme="minorBidi"/>
      <w:szCs w:val="22"/>
      <w:lang w:eastAsia="en-US"/>
    </w:rPr>
  </w:style>
  <w:style w:type="paragraph" w:customStyle="1" w:styleId="SCCCoram">
    <w:name w:val="SCC.Coram"/>
    <w:basedOn w:val="Normal"/>
    <w:next w:val="Normal"/>
    <w:link w:val="SCCCoramChar"/>
    <w:rsid w:val="0069488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9488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694883"/>
    <w:rPr>
      <w:rFonts w:eastAsiaTheme="minorHAnsi" w:cstheme="minorBidi"/>
      <w:sz w:val="24"/>
      <w:szCs w:val="22"/>
      <w:lang w:eastAsia="en-US"/>
    </w:rPr>
  </w:style>
  <w:style w:type="character" w:customStyle="1" w:styleId="SCCBanSummaryChar">
    <w:name w:val="SCC.BanSummary Char"/>
    <w:basedOn w:val="DefaultParagraphFont"/>
    <w:link w:val="SCCBanSummary"/>
    <w:rsid w:val="00694883"/>
    <w:rPr>
      <w:b/>
      <w:sz w:val="24"/>
    </w:rPr>
  </w:style>
  <w:style w:type="table" w:styleId="TableGrid">
    <w:name w:val="Table Grid"/>
    <w:basedOn w:val="TableNormal"/>
    <w:uiPriority w:val="59"/>
    <w:rsid w:val="006948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694883"/>
    <w:pPr>
      <w:spacing w:after="720"/>
      <w:ind w:left="1166"/>
      <w:contextualSpacing/>
      <w:jc w:val="both"/>
    </w:pPr>
    <w:rPr>
      <w:sz w:val="24"/>
    </w:rPr>
  </w:style>
  <w:style w:type="paragraph" w:customStyle="1" w:styleId="JudgeJuge">
    <w:name w:val="Judge / Juge"/>
    <w:uiPriority w:val="3"/>
    <w:rsid w:val="00694883"/>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694883"/>
    <w:pPr>
      <w:tabs>
        <w:tab w:val="left" w:pos="360"/>
      </w:tabs>
      <w:spacing w:before="480" w:after="720"/>
      <w:ind w:left="360" w:hanging="360"/>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694883"/>
    <w:rPr>
      <w:sz w:val="16"/>
      <w:szCs w:val="16"/>
    </w:rPr>
  </w:style>
  <w:style w:type="paragraph" w:styleId="CommentText">
    <w:name w:val="annotation text"/>
    <w:basedOn w:val="Normal"/>
    <w:link w:val="CommentTextChar"/>
    <w:uiPriority w:val="99"/>
    <w:semiHidden/>
    <w:unhideWhenUsed/>
    <w:rsid w:val="00694883"/>
    <w:rPr>
      <w:sz w:val="20"/>
    </w:rPr>
  </w:style>
  <w:style w:type="character" w:customStyle="1" w:styleId="CommentTextChar">
    <w:name w:val="Comment Text Char"/>
    <w:basedOn w:val="DefaultParagraphFont"/>
    <w:link w:val="CommentText"/>
    <w:uiPriority w:val="99"/>
    <w:semiHidden/>
    <w:rsid w:val="00694883"/>
  </w:style>
  <w:style w:type="paragraph" w:styleId="CommentSubject">
    <w:name w:val="annotation subject"/>
    <w:basedOn w:val="CommentText"/>
    <w:next w:val="CommentText"/>
    <w:link w:val="CommentSubjectChar"/>
    <w:uiPriority w:val="99"/>
    <w:semiHidden/>
    <w:unhideWhenUsed/>
    <w:rsid w:val="00694883"/>
    <w:rPr>
      <w:b/>
      <w:bCs/>
    </w:rPr>
  </w:style>
  <w:style w:type="character" w:customStyle="1" w:styleId="CommentSubjectChar">
    <w:name w:val="Comment Subject Char"/>
    <w:basedOn w:val="CommentTextChar"/>
    <w:link w:val="CommentSubject"/>
    <w:uiPriority w:val="99"/>
    <w:semiHidden/>
    <w:rsid w:val="00694883"/>
    <w:rPr>
      <w:b/>
      <w:bCs/>
    </w:rPr>
  </w:style>
  <w:style w:type="character" w:styleId="SubtleEmphasis">
    <w:name w:val="Subtle Emphasis"/>
    <w:uiPriority w:val="19"/>
    <w:qFormat/>
    <w:rsid w:val="00694883"/>
    <w:rPr>
      <w:i/>
      <w:iCs/>
    </w:rPr>
  </w:style>
  <w:style w:type="character" w:customStyle="1" w:styleId="SCCLowerCourtName">
    <w:name w:val="SCC.LowerCourtName"/>
    <w:basedOn w:val="DefaultParagraphFont"/>
    <w:uiPriority w:val="1"/>
    <w:qFormat/>
    <w:rsid w:val="00694883"/>
    <w:rPr>
      <w:b/>
    </w:rPr>
  </w:style>
  <w:style w:type="character" w:customStyle="1" w:styleId="SCCLowerCourtJudge">
    <w:name w:val="SCC.LowerCourtJudge"/>
    <w:basedOn w:val="DefaultParagraphFont"/>
    <w:uiPriority w:val="1"/>
    <w:qFormat/>
    <w:rsid w:val="00694883"/>
  </w:style>
  <w:style w:type="paragraph" w:customStyle="1" w:styleId="SCCLowerCourtText">
    <w:name w:val="SCC.LowerCourtText"/>
    <w:basedOn w:val="Normal"/>
    <w:next w:val="Normal"/>
    <w:link w:val="SCCLowerCourtTextChar"/>
    <w:qFormat/>
    <w:rsid w:val="00694883"/>
    <w:pPr>
      <w:jc w:val="both"/>
    </w:pPr>
  </w:style>
  <w:style w:type="character" w:customStyle="1" w:styleId="SCCLowerCourtTextChar">
    <w:name w:val="SCC.LowerCourtText Char"/>
    <w:basedOn w:val="DefaultParagraphFont"/>
    <w:link w:val="SCCLowerCourtText"/>
    <w:rsid w:val="00694883"/>
    <w:rPr>
      <w:sz w:val="24"/>
    </w:rPr>
  </w:style>
  <w:style w:type="table" w:customStyle="1" w:styleId="TableGrid1">
    <w:name w:val="Table Grid1"/>
    <w:basedOn w:val="TableNormal"/>
    <w:next w:val="TableGrid"/>
    <w:uiPriority w:val="59"/>
    <w:rsid w:val="001A6417"/>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9135</Words>
  <Characters>46987</Characters>
  <Application>Microsoft Office Word</Application>
  <DocSecurity>0</DocSecurity>
  <Lines>391</Lines>
  <Paragraphs>112</Paragraphs>
  <ScaleCrop>false</ScaleCrop>
  <LinksUpToDate>false</LinksUpToDate>
  <CharactersWithSpaces>56010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2013-03-25T17:31:00Z</dcterms:created>
  <dcterms:modified xsi:type="dcterms:W3CDTF">2014-02-18T18:17:00Z</dcterms:modified>
</cp:coreProperties>
</file>