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58" w:rsidRDefault="00BD6658" w:rsidP="00BD665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6833469" r:id="rId9"/>
        </w:object>
      </w:r>
      <w:r>
        <w:t xml:space="preserve"> </w:t>
      </w:r>
      <w:r>
        <w:ptab w:relativeTo="margin" w:alignment="right" w:leader="none"/>
      </w:r>
    </w:p>
    <w:p w:rsidR="00BD6658" w:rsidRDefault="00BD6658" w:rsidP="00BD6658">
      <w:pPr>
        <w:pStyle w:val="Header"/>
      </w:pPr>
    </w:p>
    <w:p w:rsidR="00BD6658" w:rsidRPr="006B210C" w:rsidRDefault="00BD6658" w:rsidP="00BD6658">
      <w:pPr>
        <w:jc w:val="center"/>
        <w:rPr>
          <w:b/>
        </w:rPr>
      </w:pPr>
      <w:r w:rsidRPr="006B210C">
        <w:rPr>
          <w:b/>
        </w:rPr>
        <w:t>SUPREME COURT OF CANADA</w:t>
      </w:r>
    </w:p>
    <w:p w:rsidR="00BD6658" w:rsidRDefault="00BD6658" w:rsidP="00BD665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D6658" w:rsidRPr="006B210C" w:rsidTr="00C13DB0">
        <w:trPr>
          <w:cantSplit/>
        </w:trPr>
        <w:tc>
          <w:tcPr>
            <w:tcW w:w="6768" w:type="dxa"/>
          </w:tcPr>
          <w:p w:rsidR="00BD6658" w:rsidRPr="006B210C" w:rsidRDefault="00BD6658" w:rsidP="00C13DB0">
            <w:r w:rsidRPr="006B210C">
              <w:rPr>
                <w:b/>
                <w:smallCaps/>
              </w:rPr>
              <w:t>Citation</w:t>
            </w:r>
            <w:r>
              <w:rPr>
                <w:b/>
                <w:smallCaps/>
              </w:rPr>
              <w:t>:</w:t>
            </w:r>
            <w:r w:rsidRPr="006B210C">
              <w:t xml:space="preserve"> </w:t>
            </w:r>
            <w:r>
              <w:t xml:space="preserve"> </w:t>
            </w:r>
            <w:proofErr w:type="spellStart"/>
            <w:r w:rsidRPr="00AB4F49">
              <w:rPr>
                <w:rStyle w:val="SCCAppellantForIndexChar"/>
                <w:rFonts w:eastAsiaTheme="minorHAnsi"/>
                <w:b w:val="0"/>
              </w:rPr>
              <w:t>Behn</w:t>
            </w:r>
            <w:proofErr w:type="spellEnd"/>
            <w:r w:rsidRPr="00AB4F49">
              <w:rPr>
                <w:rStyle w:val="SCCAppellantForIndexChar"/>
                <w:rFonts w:eastAsiaTheme="minorHAnsi"/>
                <w:b w:val="0"/>
              </w:rPr>
              <w:t xml:space="preserve"> </w:t>
            </w:r>
            <w:r w:rsidRPr="00AB4F49">
              <w:rPr>
                <w:i/>
              </w:rPr>
              <w:t>v.</w:t>
            </w:r>
            <w:r w:rsidRPr="007A7FAB">
              <w:rPr>
                <w:b/>
              </w:rPr>
              <w:t xml:space="preserve"> </w:t>
            </w:r>
            <w:r w:rsidRPr="007A7FAB">
              <w:rPr>
                <w:rStyle w:val="SCCRespondentForIndexChar"/>
                <w:rFonts w:eastAsiaTheme="minorHAnsi"/>
                <w:b w:val="0"/>
              </w:rPr>
              <w:t>Moulton Contracting Ltd.</w:t>
            </w:r>
            <w:r>
              <w:rPr>
                <w:rStyle w:val="SCCRespondentForIndexChar"/>
                <w:rFonts w:eastAsiaTheme="minorHAnsi"/>
                <w:b w:val="0"/>
              </w:rPr>
              <w:t xml:space="preserve">, </w:t>
            </w:r>
            <w:r>
              <w:t>2013 SCC 26, [2013] 2 S.C.R. 227</w:t>
            </w:r>
          </w:p>
        </w:tc>
        <w:tc>
          <w:tcPr>
            <w:tcW w:w="2808" w:type="dxa"/>
          </w:tcPr>
          <w:p w:rsidR="00BD6658" w:rsidRPr="006B210C" w:rsidRDefault="00BD6658" w:rsidP="00C13DB0">
            <w:r w:rsidRPr="006B210C">
              <w:rPr>
                <w:b/>
                <w:smallCaps/>
              </w:rPr>
              <w:t>Date</w:t>
            </w:r>
            <w:r>
              <w:rPr>
                <w:b/>
                <w:smallCaps/>
              </w:rPr>
              <w:t>:</w:t>
            </w:r>
            <w:r w:rsidRPr="006B210C">
              <w:t xml:space="preserve"> </w:t>
            </w:r>
            <w:r>
              <w:t>20130509</w:t>
            </w:r>
          </w:p>
          <w:p w:rsidR="00BD6658" w:rsidRPr="006B210C" w:rsidRDefault="00BD6658" w:rsidP="00C13DB0">
            <w:r w:rsidRPr="006B210C">
              <w:rPr>
                <w:b/>
                <w:smallCaps/>
              </w:rPr>
              <w:t>Docket</w:t>
            </w:r>
            <w:r>
              <w:rPr>
                <w:b/>
                <w:smallCaps/>
              </w:rPr>
              <w:t>:</w:t>
            </w:r>
            <w:r w:rsidRPr="006B210C">
              <w:t xml:space="preserve"> </w:t>
            </w:r>
            <w:r>
              <w:t>34404</w:t>
            </w:r>
          </w:p>
        </w:tc>
      </w:tr>
    </w:tbl>
    <w:p w:rsidR="00BD6658" w:rsidRPr="006B210C" w:rsidRDefault="00BD6658" w:rsidP="00BD6658"/>
    <w:p w:rsidR="00BD6658" w:rsidRDefault="00BD6658" w:rsidP="00A021BD">
      <w:pPr>
        <w:pStyle w:val="SCCLsocPrefix"/>
      </w:pPr>
      <w:r>
        <w:t>Between:</w:t>
      </w:r>
    </w:p>
    <w:p w:rsidR="00BD6658" w:rsidRDefault="00BD6658" w:rsidP="00BD6658">
      <w:pPr>
        <w:pStyle w:val="SCCLsocParty"/>
        <w:jc w:val="center"/>
      </w:pPr>
      <w:r>
        <w:t xml:space="preserve">Sally </w:t>
      </w:r>
      <w:proofErr w:type="spellStart"/>
      <w:r>
        <w:t>Behn</w:t>
      </w:r>
      <w:proofErr w:type="spellEnd"/>
      <w:r>
        <w:t xml:space="preserve">, Susan </w:t>
      </w:r>
      <w:proofErr w:type="spellStart"/>
      <w:r>
        <w:t>Behn</w:t>
      </w:r>
      <w:proofErr w:type="spellEnd"/>
      <w:r>
        <w:t xml:space="preserve">, Richard </w:t>
      </w:r>
      <w:proofErr w:type="spellStart"/>
      <w:r>
        <w:t>Behn</w:t>
      </w:r>
      <w:proofErr w:type="spellEnd"/>
      <w:r>
        <w:t xml:space="preserve">, Greg </w:t>
      </w:r>
      <w:proofErr w:type="spellStart"/>
      <w:r>
        <w:t>Behn</w:t>
      </w:r>
      <w:proofErr w:type="spellEnd"/>
      <w:r>
        <w:t xml:space="preserve">, Rupert </w:t>
      </w:r>
      <w:proofErr w:type="spellStart"/>
      <w:r>
        <w:t>Behn</w:t>
      </w:r>
      <w:proofErr w:type="spellEnd"/>
      <w:r>
        <w:t>,</w:t>
      </w:r>
    </w:p>
    <w:p w:rsidR="00BD6658" w:rsidRDefault="00BD6658" w:rsidP="00BD6658">
      <w:pPr>
        <w:pStyle w:val="SCCLsocParty"/>
        <w:jc w:val="center"/>
      </w:pPr>
      <w:proofErr w:type="spellStart"/>
      <w:r>
        <w:t>Lovey</w:t>
      </w:r>
      <w:proofErr w:type="spellEnd"/>
      <w:r>
        <w:t xml:space="preserve"> </w:t>
      </w:r>
      <w:proofErr w:type="spellStart"/>
      <w:r>
        <w:t>Behn</w:t>
      </w:r>
      <w:proofErr w:type="spellEnd"/>
      <w:r>
        <w:t xml:space="preserve">, Mary </w:t>
      </w:r>
      <w:proofErr w:type="spellStart"/>
      <w:r>
        <w:t>Behn</w:t>
      </w:r>
      <w:proofErr w:type="spellEnd"/>
      <w:r>
        <w:t xml:space="preserve">, George </w:t>
      </w:r>
      <w:proofErr w:type="spellStart"/>
      <w:r>
        <w:t>Behn</w:t>
      </w:r>
      <w:proofErr w:type="spellEnd"/>
    </w:p>
    <w:p w:rsidR="00BD6658" w:rsidRDefault="00BD6658" w:rsidP="00BD6658">
      <w:pPr>
        <w:jc w:val="center"/>
      </w:pPr>
      <w:r>
        <w:t>Appellants</w:t>
      </w:r>
    </w:p>
    <w:p w:rsidR="00BD6658" w:rsidRPr="00AB4F49" w:rsidRDefault="00BD6658" w:rsidP="00BD6658">
      <w:pPr>
        <w:pStyle w:val="SCCLsocVersus"/>
        <w:jc w:val="center"/>
        <w:rPr>
          <w:i w:val="0"/>
        </w:rPr>
      </w:pPr>
      <w:proofErr w:type="gramStart"/>
      <w:r w:rsidRPr="00AB4F49">
        <w:rPr>
          <w:i w:val="0"/>
        </w:rPr>
        <w:t>and</w:t>
      </w:r>
      <w:proofErr w:type="gramEnd"/>
    </w:p>
    <w:p w:rsidR="00BD6658" w:rsidRDefault="00BD6658" w:rsidP="00BD6658">
      <w:pPr>
        <w:pStyle w:val="SCCLsocParty"/>
        <w:jc w:val="center"/>
      </w:pPr>
      <w:r>
        <w:t>Moulton Contracting Ltd. and Her Majesty the Queen in</w:t>
      </w:r>
    </w:p>
    <w:p w:rsidR="00BD6658" w:rsidRDefault="00BD6658" w:rsidP="00BD6658">
      <w:pPr>
        <w:pStyle w:val="SCCLsocParty"/>
        <w:jc w:val="center"/>
      </w:pPr>
      <w:r>
        <w:t>Right of the Province of British Columbia</w:t>
      </w:r>
    </w:p>
    <w:p w:rsidR="00BD6658" w:rsidRDefault="00BD6658" w:rsidP="00BD6658">
      <w:pPr>
        <w:jc w:val="center"/>
      </w:pPr>
      <w:r>
        <w:t>Respondents</w:t>
      </w:r>
    </w:p>
    <w:p w:rsidR="00BD6658" w:rsidRDefault="00BD6658" w:rsidP="00BD6658">
      <w:pPr>
        <w:pStyle w:val="SCCLsocOtherPartySeparator"/>
        <w:jc w:val="center"/>
      </w:pPr>
      <w:r>
        <w:t xml:space="preserve">- </w:t>
      </w:r>
      <w:proofErr w:type="gramStart"/>
      <w:r>
        <w:t>and</w:t>
      </w:r>
      <w:proofErr w:type="gramEnd"/>
      <w:r>
        <w:t xml:space="preserve"> -</w:t>
      </w:r>
    </w:p>
    <w:p w:rsidR="00BD6658" w:rsidRDefault="00BD6658" w:rsidP="00BD6658">
      <w:pPr>
        <w:pStyle w:val="SCCLsocParty"/>
        <w:jc w:val="center"/>
      </w:pPr>
      <w:r>
        <w:t>Attorney General of Canada, Chief Liz Logan, on behalf of herself and all</w:t>
      </w:r>
    </w:p>
    <w:p w:rsidR="00BD6658" w:rsidRDefault="00BD6658" w:rsidP="00BD6658">
      <w:pPr>
        <w:pStyle w:val="SCCLsocParty"/>
        <w:jc w:val="center"/>
      </w:pPr>
      <w:proofErr w:type="gramStart"/>
      <w:r>
        <w:t>other</w:t>
      </w:r>
      <w:proofErr w:type="gramEnd"/>
      <w:r>
        <w:t xml:space="preserve"> members of the Fort Nelson First Nation and the said Fort Nelson</w:t>
      </w:r>
    </w:p>
    <w:p w:rsidR="00BD6658" w:rsidRDefault="00BD6658" w:rsidP="00BD6658">
      <w:pPr>
        <w:pStyle w:val="SCCLsocParty"/>
        <w:jc w:val="center"/>
      </w:pPr>
      <w:r>
        <w:t xml:space="preserve">First Nation, Grand Council of the </w:t>
      </w:r>
      <w:proofErr w:type="spellStart"/>
      <w:r>
        <w:t>Crees</w:t>
      </w:r>
      <w:proofErr w:type="spellEnd"/>
      <w:r>
        <w:t xml:space="preserve"> (</w:t>
      </w:r>
      <w:proofErr w:type="spellStart"/>
      <w:r>
        <w:t>Eeyou</w:t>
      </w:r>
      <w:proofErr w:type="spellEnd"/>
      <w:r>
        <w:t xml:space="preserve"> </w:t>
      </w:r>
      <w:proofErr w:type="spellStart"/>
      <w:r>
        <w:t>Istchee</w:t>
      </w:r>
      <w:proofErr w:type="spellEnd"/>
      <w:r>
        <w:t>)/Cree Regional Authority,</w:t>
      </w:r>
    </w:p>
    <w:p w:rsidR="00BD6658" w:rsidRDefault="00BD6658" w:rsidP="00BD6658">
      <w:pPr>
        <w:pStyle w:val="SCCLsocParty"/>
        <w:jc w:val="center"/>
      </w:pPr>
      <w:r>
        <w:t xml:space="preserve">Chief Sally Sam, </w:t>
      </w:r>
      <w:proofErr w:type="spellStart"/>
      <w:r>
        <w:t>Maiyoo</w:t>
      </w:r>
      <w:proofErr w:type="spellEnd"/>
      <w:r>
        <w:t xml:space="preserve"> </w:t>
      </w:r>
      <w:proofErr w:type="spellStart"/>
      <w:r>
        <w:t>Keyoh</w:t>
      </w:r>
      <w:proofErr w:type="spellEnd"/>
      <w:r>
        <w:t xml:space="preserve"> Society, Council of Forest Industries,</w:t>
      </w:r>
    </w:p>
    <w:p w:rsidR="00BD6658" w:rsidRDefault="00BD6658" w:rsidP="00BD6658">
      <w:pPr>
        <w:pStyle w:val="SCCLsocParty"/>
        <w:jc w:val="center"/>
      </w:pPr>
      <w:r>
        <w:t>Alberta Forest Products Association and Moose Cree First Nation</w:t>
      </w:r>
    </w:p>
    <w:p w:rsidR="00BD6658" w:rsidRDefault="00BD6658" w:rsidP="00BD6658">
      <w:pPr>
        <w:jc w:val="center"/>
      </w:pPr>
      <w:r>
        <w:t>Interveners</w:t>
      </w:r>
    </w:p>
    <w:p w:rsidR="00BD6658" w:rsidRDefault="00BD6658" w:rsidP="00BD6658"/>
    <w:p w:rsidR="00BD6658" w:rsidRPr="006B210C" w:rsidRDefault="00BD6658" w:rsidP="00BD6658">
      <w:r w:rsidRPr="006B210C">
        <w:rPr>
          <w:b/>
          <w:smallCaps/>
        </w:rPr>
        <w:t>Coram</w:t>
      </w:r>
      <w:r>
        <w:rPr>
          <w:b/>
          <w:smallCaps/>
        </w:rPr>
        <w:t>:</w:t>
      </w:r>
      <w:r w:rsidRPr="006B210C">
        <w:t xml:space="preserve"> </w:t>
      </w:r>
      <w:r>
        <w:t xml:space="preserve">McLachlin C.J. and </w:t>
      </w:r>
      <w:proofErr w:type="spellStart"/>
      <w:r>
        <w:t>LeBel</w:t>
      </w:r>
      <w:proofErr w:type="spellEnd"/>
      <w:r>
        <w:t xml:space="preserve">, Fish,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BD6658" w:rsidRPr="006B210C" w:rsidRDefault="00BD6658" w:rsidP="00BD66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D6658" w:rsidRPr="006B210C" w:rsidTr="00C13DB0">
        <w:trPr>
          <w:cantSplit/>
        </w:trPr>
        <w:tc>
          <w:tcPr>
            <w:tcW w:w="3618" w:type="dxa"/>
          </w:tcPr>
          <w:p w:rsidR="00BD6658" w:rsidRDefault="00BD6658" w:rsidP="00C13DB0">
            <w:pPr>
              <w:rPr>
                <w:b/>
                <w:smallCaps/>
              </w:rPr>
            </w:pPr>
            <w:r w:rsidRPr="006B210C">
              <w:rPr>
                <w:b/>
                <w:smallCaps/>
              </w:rPr>
              <w:t>Reasons for Judgment</w:t>
            </w:r>
            <w:r>
              <w:rPr>
                <w:b/>
                <w:smallCaps/>
              </w:rPr>
              <w:t>:</w:t>
            </w:r>
          </w:p>
          <w:p w:rsidR="00BD6658" w:rsidRPr="006B210C" w:rsidRDefault="00BD6658" w:rsidP="00C13DB0">
            <w:r>
              <w:t>(</w:t>
            </w:r>
            <w:proofErr w:type="spellStart"/>
            <w:r>
              <w:t>paras</w:t>
            </w:r>
            <w:proofErr w:type="spellEnd"/>
            <w:r>
              <w:t xml:space="preserve">. 1 to </w:t>
            </w:r>
            <w:r w:rsidRPr="00EF40B5">
              <w:t>43</w:t>
            </w:r>
            <w:r>
              <w:t>)</w:t>
            </w:r>
          </w:p>
        </w:tc>
        <w:tc>
          <w:tcPr>
            <w:tcW w:w="5958" w:type="dxa"/>
          </w:tcPr>
          <w:p w:rsidR="00BD6658" w:rsidRPr="006B210C" w:rsidRDefault="00BD6658" w:rsidP="00C13DB0">
            <w:proofErr w:type="spellStart"/>
            <w:r>
              <w:t>LeBel</w:t>
            </w:r>
            <w:proofErr w:type="spellEnd"/>
            <w:r>
              <w:t xml:space="preserve"> J. (McLachlin C.J. and Fish,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 concurring)</w:t>
            </w:r>
          </w:p>
        </w:tc>
      </w:tr>
    </w:tbl>
    <w:p w:rsidR="00BD6658" w:rsidRDefault="00BD6658" w:rsidP="00BD6658"/>
    <w:p w:rsidR="00BD6658" w:rsidRPr="006B210C" w:rsidRDefault="00BD6658" w:rsidP="00BD6658"/>
    <w:p w:rsidR="00BD6658" w:rsidRPr="006B210C" w:rsidRDefault="0043362A" w:rsidP="00BD6658">
      <w:r w:rsidRPr="0043362A">
        <w:rPr>
          <w:noProof/>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BD6658" w:rsidRDefault="00BD6658">
      <w:r>
        <w:br w:type="page"/>
      </w:r>
    </w:p>
    <w:p w:rsidR="00766D14" w:rsidRPr="00A6245B" w:rsidRDefault="00A6245B" w:rsidP="00B639B7">
      <w:pPr>
        <w:spacing w:after="720"/>
        <w:jc w:val="both"/>
      </w:pPr>
      <w:proofErr w:type="spellStart"/>
      <w:r w:rsidRPr="00A6245B">
        <w:lastRenderedPageBreak/>
        <w:t>Behn</w:t>
      </w:r>
      <w:proofErr w:type="spellEnd"/>
      <w:r w:rsidRPr="00A6245B">
        <w:t xml:space="preserve"> </w:t>
      </w:r>
      <w:r w:rsidRPr="00A6245B">
        <w:rPr>
          <w:i/>
        </w:rPr>
        <w:t>v.</w:t>
      </w:r>
      <w:r w:rsidRPr="00A6245B">
        <w:t xml:space="preserve"> Moulton Contracting Ltd.</w:t>
      </w:r>
      <w:r>
        <w:t>, 2013 SCC 26, [2013] 2 S.C.R. 227</w:t>
      </w:r>
    </w:p>
    <w:p w:rsidR="0052363C" w:rsidRPr="00BB311F" w:rsidRDefault="00744F4B" w:rsidP="007D5123">
      <w:pPr>
        <w:pStyle w:val="SCCLsocParty"/>
      </w:pPr>
      <w:r w:rsidRPr="00BB311F">
        <w:t xml:space="preserve">Sally </w:t>
      </w:r>
      <w:proofErr w:type="spellStart"/>
      <w:r w:rsidRPr="00BB311F">
        <w:t>Behn</w:t>
      </w:r>
      <w:proofErr w:type="spellEnd"/>
      <w:r w:rsidRPr="00BB311F">
        <w:t xml:space="preserve">, Susan </w:t>
      </w:r>
      <w:proofErr w:type="spellStart"/>
      <w:r w:rsidRPr="00BB311F">
        <w:t>Behn</w:t>
      </w:r>
      <w:proofErr w:type="spellEnd"/>
      <w:r w:rsidRPr="00BB311F">
        <w:t xml:space="preserve">, Richard </w:t>
      </w:r>
      <w:proofErr w:type="spellStart"/>
      <w:r w:rsidRPr="00BB311F">
        <w:t>Behn</w:t>
      </w:r>
      <w:proofErr w:type="spellEnd"/>
      <w:r w:rsidRPr="00BB311F">
        <w:t xml:space="preserve">, Greg </w:t>
      </w:r>
      <w:proofErr w:type="spellStart"/>
      <w:r w:rsidRPr="00BB311F">
        <w:t>Behn</w:t>
      </w:r>
      <w:proofErr w:type="spellEnd"/>
      <w:r w:rsidRPr="00BB311F">
        <w:t>,</w:t>
      </w:r>
    </w:p>
    <w:p w:rsidR="0052363C" w:rsidRPr="00BB311F" w:rsidRDefault="00744F4B" w:rsidP="00B639B7">
      <w:pPr>
        <w:pStyle w:val="SCCLsocParty"/>
        <w:spacing w:after="720"/>
      </w:pPr>
      <w:r w:rsidRPr="00BB311F">
        <w:t xml:space="preserve">Rupert </w:t>
      </w:r>
      <w:proofErr w:type="spellStart"/>
      <w:r w:rsidRPr="00BB311F">
        <w:t>Behn</w:t>
      </w:r>
      <w:proofErr w:type="spellEnd"/>
      <w:r w:rsidRPr="00BB311F">
        <w:t xml:space="preserve">, </w:t>
      </w:r>
      <w:proofErr w:type="spellStart"/>
      <w:r w:rsidRPr="00BB311F">
        <w:t>Lovey</w:t>
      </w:r>
      <w:proofErr w:type="spellEnd"/>
      <w:r w:rsidRPr="00BB311F">
        <w:t xml:space="preserve"> </w:t>
      </w:r>
      <w:proofErr w:type="spellStart"/>
      <w:r w:rsidRPr="00BB311F">
        <w:t>Behn</w:t>
      </w:r>
      <w:proofErr w:type="spellEnd"/>
      <w:r w:rsidRPr="00BB311F">
        <w:t xml:space="preserve">, Mary </w:t>
      </w:r>
      <w:proofErr w:type="spellStart"/>
      <w:r w:rsidRPr="00BB311F">
        <w:t>Behn</w:t>
      </w:r>
      <w:proofErr w:type="spellEnd"/>
      <w:r w:rsidRPr="00BB311F">
        <w:t xml:space="preserve"> and George </w:t>
      </w:r>
      <w:proofErr w:type="spellStart"/>
      <w:r w:rsidRPr="00BB311F">
        <w:t>Behn</w:t>
      </w:r>
      <w:proofErr w:type="spellEnd"/>
      <w:r w:rsidRPr="00BB311F">
        <w:rPr>
          <w:rStyle w:val="SCCLsocPartyRole"/>
        </w:rPr>
        <w:tab/>
        <w:t>Appellants</w:t>
      </w:r>
    </w:p>
    <w:p w:rsidR="0052363C" w:rsidRPr="00BB311F" w:rsidRDefault="00744F4B" w:rsidP="00B639B7">
      <w:pPr>
        <w:pStyle w:val="SCCLsocVersus"/>
      </w:pPr>
      <w:proofErr w:type="gramStart"/>
      <w:r w:rsidRPr="00BB311F">
        <w:t>v</w:t>
      </w:r>
      <w:proofErr w:type="gramEnd"/>
      <w:r w:rsidRPr="00BB311F">
        <w:t>.</w:t>
      </w:r>
    </w:p>
    <w:p w:rsidR="00744F4B" w:rsidRPr="00BB311F" w:rsidRDefault="00744F4B" w:rsidP="007D5123">
      <w:pPr>
        <w:pStyle w:val="SCCLsocParty"/>
      </w:pPr>
      <w:r w:rsidRPr="00BB311F">
        <w:t>Moulton Co</w:t>
      </w:r>
      <w:r w:rsidR="00B3246A">
        <w:t xml:space="preserve">ntracting Ltd. and Her Majesty </w:t>
      </w:r>
      <w:proofErr w:type="gramStart"/>
      <w:r w:rsidR="00B3246A">
        <w:t>T</w:t>
      </w:r>
      <w:r w:rsidRPr="00BB311F">
        <w:t>he</w:t>
      </w:r>
      <w:proofErr w:type="gramEnd"/>
      <w:r w:rsidRPr="00BB311F">
        <w:t xml:space="preserve"> Queen </w:t>
      </w:r>
    </w:p>
    <w:p w:rsidR="0052363C" w:rsidRPr="00BB311F" w:rsidRDefault="00744F4B" w:rsidP="00B639B7">
      <w:pPr>
        <w:pStyle w:val="SCCLsocParty"/>
        <w:spacing w:after="720"/>
        <w:rPr>
          <w:rStyle w:val="SCCLsocPartyRole"/>
        </w:rPr>
      </w:pPr>
      <w:proofErr w:type="gramStart"/>
      <w:r w:rsidRPr="00BB311F">
        <w:t>in</w:t>
      </w:r>
      <w:proofErr w:type="gramEnd"/>
      <w:r w:rsidRPr="00BB311F">
        <w:t xml:space="preserve"> Right of the Province of British Columbia</w:t>
      </w:r>
      <w:r w:rsidRPr="00BB311F">
        <w:rPr>
          <w:rStyle w:val="SCCLsocPartyRole"/>
        </w:rPr>
        <w:tab/>
        <w:t>Respondents</w:t>
      </w:r>
    </w:p>
    <w:p w:rsidR="0052363C" w:rsidRPr="00BB311F" w:rsidRDefault="00744F4B" w:rsidP="00B639B7">
      <w:pPr>
        <w:pStyle w:val="SCCLsocOtherPartySeparator"/>
      </w:pPr>
      <w:proofErr w:type="gramStart"/>
      <w:r w:rsidRPr="00BB311F">
        <w:t>and</w:t>
      </w:r>
      <w:proofErr w:type="gramEnd"/>
    </w:p>
    <w:p w:rsidR="00744F4B" w:rsidRPr="00BB311F" w:rsidRDefault="00744F4B" w:rsidP="007D5123">
      <w:pPr>
        <w:pStyle w:val="SCCLsocParty"/>
      </w:pPr>
      <w:r w:rsidRPr="00BB311F">
        <w:t xml:space="preserve">Attorney General of Canada, Chief Liz Logan, on behalf of </w:t>
      </w:r>
    </w:p>
    <w:p w:rsidR="00744F4B" w:rsidRPr="00BB311F" w:rsidRDefault="00744F4B" w:rsidP="007D5123">
      <w:pPr>
        <w:pStyle w:val="SCCLsocParty"/>
      </w:pPr>
      <w:proofErr w:type="gramStart"/>
      <w:r w:rsidRPr="00BB311F">
        <w:t>herself</w:t>
      </w:r>
      <w:proofErr w:type="gramEnd"/>
      <w:r w:rsidRPr="00BB311F">
        <w:t xml:space="preserve"> and all other members of the Fort Nelson First Nation </w:t>
      </w:r>
    </w:p>
    <w:p w:rsidR="00744F4B" w:rsidRPr="00BB311F" w:rsidRDefault="00744F4B" w:rsidP="007D5123">
      <w:pPr>
        <w:pStyle w:val="SCCLsocParty"/>
      </w:pPr>
      <w:proofErr w:type="gramStart"/>
      <w:r w:rsidRPr="00BB311F">
        <w:t>and</w:t>
      </w:r>
      <w:proofErr w:type="gramEnd"/>
      <w:r w:rsidRPr="00BB311F">
        <w:t xml:space="preserve"> </w:t>
      </w:r>
      <w:proofErr w:type="spellStart"/>
      <w:r w:rsidRPr="00BB311F">
        <w:t>the</w:t>
      </w:r>
      <w:proofErr w:type="spellEnd"/>
      <w:r w:rsidRPr="00BB311F">
        <w:t xml:space="preserve"> said Fort Nelson First Nation, Grand Council of the </w:t>
      </w:r>
    </w:p>
    <w:p w:rsidR="00744F4B" w:rsidRPr="00BB311F" w:rsidRDefault="00744F4B" w:rsidP="007D5123">
      <w:pPr>
        <w:pStyle w:val="SCCLsocParty"/>
      </w:pPr>
      <w:proofErr w:type="spellStart"/>
      <w:r w:rsidRPr="00BB311F">
        <w:t>Crees</w:t>
      </w:r>
      <w:proofErr w:type="spellEnd"/>
      <w:r w:rsidRPr="00BB311F">
        <w:t xml:space="preserve"> (</w:t>
      </w:r>
      <w:proofErr w:type="spellStart"/>
      <w:r w:rsidRPr="00BB311F">
        <w:t>Eeyou</w:t>
      </w:r>
      <w:proofErr w:type="spellEnd"/>
      <w:r w:rsidRPr="00BB311F">
        <w:t xml:space="preserve"> </w:t>
      </w:r>
      <w:proofErr w:type="spellStart"/>
      <w:r w:rsidRPr="00BB311F">
        <w:t>Istchee</w:t>
      </w:r>
      <w:proofErr w:type="spellEnd"/>
      <w:r w:rsidRPr="00BB311F">
        <w:t>)/Cree Regional Authority, Chief Sally Sam</w:t>
      </w:r>
      <w:r w:rsidR="004142C6" w:rsidRPr="00BB311F">
        <w:t>,</w:t>
      </w:r>
      <w:r w:rsidRPr="00BB311F">
        <w:t xml:space="preserve"> </w:t>
      </w:r>
    </w:p>
    <w:p w:rsidR="00237F28" w:rsidRPr="00BB311F" w:rsidRDefault="00744F4B" w:rsidP="007D5123">
      <w:pPr>
        <w:pStyle w:val="SCCLsocParty"/>
      </w:pPr>
      <w:proofErr w:type="spellStart"/>
      <w:r w:rsidRPr="00BB311F">
        <w:t>Maiyoo</w:t>
      </w:r>
      <w:proofErr w:type="spellEnd"/>
      <w:r w:rsidRPr="00BB311F">
        <w:t xml:space="preserve"> </w:t>
      </w:r>
      <w:proofErr w:type="spellStart"/>
      <w:r w:rsidRPr="00BB311F">
        <w:t>Keyoh</w:t>
      </w:r>
      <w:proofErr w:type="spellEnd"/>
      <w:r w:rsidRPr="00BB311F">
        <w:t xml:space="preserve"> Society, Council of Forest Industries</w:t>
      </w:r>
      <w:r w:rsidR="00237F28" w:rsidRPr="00BB311F">
        <w:t>,</w:t>
      </w:r>
      <w:r w:rsidRPr="00BB311F">
        <w:t xml:space="preserve"> Alberta </w:t>
      </w:r>
    </w:p>
    <w:p w:rsidR="0052363C" w:rsidRPr="00BB311F" w:rsidRDefault="00744F4B" w:rsidP="00B639B7">
      <w:pPr>
        <w:pStyle w:val="SCCLsocParty"/>
        <w:spacing w:after="720"/>
      </w:pPr>
      <w:r w:rsidRPr="00BB311F">
        <w:t>Forest Products Association and Moose Cree First Nation</w:t>
      </w:r>
      <w:r w:rsidRPr="00BB311F">
        <w:rPr>
          <w:rStyle w:val="SCCLsocPartyRole"/>
        </w:rPr>
        <w:tab/>
        <w:t>Interveners</w:t>
      </w:r>
    </w:p>
    <w:p w:rsidR="00426659" w:rsidRPr="00BB311F" w:rsidRDefault="00426659" w:rsidP="00B639B7">
      <w:pPr>
        <w:spacing w:after="720"/>
        <w:jc w:val="both"/>
        <w:rPr>
          <w:b/>
        </w:rPr>
      </w:pPr>
      <w:proofErr w:type="gramStart"/>
      <w:r w:rsidRPr="00BB311F">
        <w:rPr>
          <w:b/>
        </w:rPr>
        <w:t xml:space="preserve">Indexed as:  </w:t>
      </w:r>
      <w:proofErr w:type="spellStart"/>
      <w:r w:rsidRPr="00B03D09">
        <w:rPr>
          <w:b/>
        </w:rPr>
        <w:t>Behn</w:t>
      </w:r>
      <w:proofErr w:type="spellEnd"/>
      <w:r w:rsidRPr="00B03D09">
        <w:rPr>
          <w:b/>
        </w:rPr>
        <w:t xml:space="preserve"> </w:t>
      </w:r>
      <w:r w:rsidRPr="00BB311F">
        <w:rPr>
          <w:b/>
          <w:i/>
        </w:rPr>
        <w:t>v.</w:t>
      </w:r>
      <w:r w:rsidRPr="00BB311F">
        <w:rPr>
          <w:b/>
        </w:rPr>
        <w:t xml:space="preserve"> </w:t>
      </w:r>
      <w:r w:rsidRPr="00B03D09">
        <w:rPr>
          <w:b/>
        </w:rPr>
        <w:t>Moulton Contracting Ltd.</w:t>
      </w:r>
      <w:proofErr w:type="gramEnd"/>
    </w:p>
    <w:p w:rsidR="00426659" w:rsidRPr="00BB311F" w:rsidRDefault="004F36FF" w:rsidP="00B639B7">
      <w:pPr>
        <w:pStyle w:val="SCCSystemYear"/>
        <w:spacing w:after="720"/>
        <w:jc w:val="both"/>
      </w:pPr>
      <w:r w:rsidRPr="00BB311F">
        <w:t>2013</w:t>
      </w:r>
      <w:r w:rsidR="003D0399" w:rsidRPr="00BB311F">
        <w:t xml:space="preserve"> </w:t>
      </w:r>
      <w:r w:rsidR="00EE2006" w:rsidRPr="00BB311F">
        <w:t>SCC 26</w:t>
      </w:r>
    </w:p>
    <w:p w:rsidR="008322BD" w:rsidRPr="00BB311F" w:rsidRDefault="00B639B7" w:rsidP="00B639B7">
      <w:pPr>
        <w:spacing w:after="720"/>
        <w:jc w:val="both"/>
      </w:pPr>
      <w:r w:rsidRPr="00BB311F">
        <w:t>File No.:  </w:t>
      </w:r>
      <w:r w:rsidR="009B57B3" w:rsidRPr="00BB311F">
        <w:t>34404.</w:t>
      </w:r>
    </w:p>
    <w:p w:rsidR="008322BD" w:rsidRPr="00BB311F" w:rsidRDefault="00B639B7" w:rsidP="00B639B7">
      <w:pPr>
        <w:spacing w:after="720"/>
        <w:jc w:val="both"/>
      </w:pPr>
      <w:r w:rsidRPr="00BB311F">
        <w:t>2012:  December </w:t>
      </w:r>
      <w:r w:rsidR="004F36FF" w:rsidRPr="00BB311F">
        <w:t>11</w:t>
      </w:r>
      <w:r w:rsidR="009B57B3" w:rsidRPr="00BB311F">
        <w:t xml:space="preserve">; </w:t>
      </w:r>
      <w:r w:rsidRPr="00BB311F">
        <w:t>2013:  </w:t>
      </w:r>
      <w:r w:rsidR="004142C6" w:rsidRPr="00BB311F">
        <w:t>May 9</w:t>
      </w:r>
      <w:r w:rsidR="009B57B3" w:rsidRPr="00BB311F">
        <w:t>.</w:t>
      </w:r>
    </w:p>
    <w:p w:rsidR="008322BD" w:rsidRPr="00BB311F" w:rsidRDefault="009B57B3" w:rsidP="00B639B7">
      <w:pPr>
        <w:spacing w:after="720"/>
        <w:jc w:val="both"/>
      </w:pPr>
      <w:r w:rsidRPr="00BB311F">
        <w:t xml:space="preserve">Present:  McLachlin C.J. and </w:t>
      </w:r>
      <w:proofErr w:type="spellStart"/>
      <w:r w:rsidRPr="00BB311F">
        <w:t>LeBel</w:t>
      </w:r>
      <w:proofErr w:type="spellEnd"/>
      <w:r w:rsidRPr="00BB311F">
        <w:t xml:space="preserve">, Fish, </w:t>
      </w:r>
      <w:proofErr w:type="spellStart"/>
      <w:r w:rsidRPr="00BB311F">
        <w:t>Abella</w:t>
      </w:r>
      <w:proofErr w:type="spellEnd"/>
      <w:r w:rsidRPr="00BB311F">
        <w:t xml:space="preserve">, Rothstein, Cromwell, </w:t>
      </w:r>
      <w:proofErr w:type="spellStart"/>
      <w:r w:rsidRPr="00BB311F">
        <w:t>Moldaver</w:t>
      </w:r>
      <w:proofErr w:type="spellEnd"/>
      <w:r w:rsidRPr="00BB311F">
        <w:t xml:space="preserve">, </w:t>
      </w:r>
      <w:proofErr w:type="spellStart"/>
      <w:r w:rsidRPr="00BB311F">
        <w:t>Karakatsanis</w:t>
      </w:r>
      <w:proofErr w:type="spellEnd"/>
      <w:r w:rsidRPr="00BB311F">
        <w:t xml:space="preserve"> and Wagner JJ.</w:t>
      </w:r>
    </w:p>
    <w:p w:rsidR="008322BD" w:rsidRPr="00BB311F" w:rsidRDefault="00656313" w:rsidP="00D64734">
      <w:pPr>
        <w:pStyle w:val="SCCLowerCourtNameLowercase"/>
        <w:spacing w:after="480"/>
      </w:pPr>
      <w:r w:rsidRPr="00BB311F">
        <w:lastRenderedPageBreak/>
        <w:t>o</w:t>
      </w:r>
      <w:r w:rsidR="00170592" w:rsidRPr="00BB311F">
        <w:t>n</w:t>
      </w:r>
      <w:r w:rsidR="00224FC0" w:rsidRPr="00BB311F">
        <w:t xml:space="preserve"> </w:t>
      </w:r>
      <w:r w:rsidRPr="00BB311F">
        <w:t>a</w:t>
      </w:r>
      <w:r w:rsidR="00170592" w:rsidRPr="00BB311F">
        <w:t>ppeal</w:t>
      </w:r>
      <w:r w:rsidR="00224FC0" w:rsidRPr="00BB311F">
        <w:t xml:space="preserve"> </w:t>
      </w:r>
      <w:r w:rsidR="00170592" w:rsidRPr="00BB311F">
        <w:t>from</w:t>
      </w:r>
      <w:r w:rsidR="009567AA" w:rsidRPr="00BB311F">
        <w:t xml:space="preserve"> the</w:t>
      </w:r>
      <w:r w:rsidR="00224FC0" w:rsidRPr="00BB311F">
        <w:t xml:space="preserve"> </w:t>
      </w:r>
      <w:r w:rsidR="009B57B3" w:rsidRPr="00BB311F">
        <w:t xml:space="preserve">court of appeal for </w:t>
      </w:r>
      <w:proofErr w:type="spellStart"/>
      <w:proofErr w:type="gramStart"/>
      <w:r w:rsidR="009B57B3" w:rsidRPr="00BB311F">
        <w:t>british</w:t>
      </w:r>
      <w:proofErr w:type="spellEnd"/>
      <w:r w:rsidR="009B57B3" w:rsidRPr="00BB311F">
        <w:t xml:space="preserve"> </w:t>
      </w:r>
      <w:proofErr w:type="spellStart"/>
      <w:r w:rsidR="009B57B3" w:rsidRPr="00BB311F">
        <w:t>columbia</w:t>
      </w:r>
      <w:proofErr w:type="spellEnd"/>
      <w:proofErr w:type="gramEnd"/>
    </w:p>
    <w:p w:rsidR="007C0A84" w:rsidRPr="00BB311F" w:rsidRDefault="007C0A84" w:rsidP="003843F8">
      <w:pPr>
        <w:pStyle w:val="SCCNormalDoubleSpacing"/>
        <w:spacing w:after="480"/>
        <w:rPr>
          <w:i/>
        </w:rPr>
      </w:pPr>
      <w:r w:rsidRPr="00BB311F">
        <w:rPr>
          <w:i/>
        </w:rPr>
        <w:tab/>
        <w:t xml:space="preserve">Civil procedure </w:t>
      </w:r>
      <w:r w:rsidR="003843F8" w:rsidRPr="00BB311F">
        <w:rPr>
          <w:i/>
          <w:lang w:val="en-US"/>
        </w:rPr>
        <w:t xml:space="preserve">— </w:t>
      </w:r>
      <w:r w:rsidRPr="00BB311F">
        <w:rPr>
          <w:i/>
        </w:rPr>
        <w:t xml:space="preserve">Standing </w:t>
      </w:r>
      <w:r w:rsidR="003843F8" w:rsidRPr="00BB311F">
        <w:rPr>
          <w:i/>
          <w:lang w:val="en-US"/>
        </w:rPr>
        <w:t xml:space="preserve">— </w:t>
      </w:r>
      <w:r w:rsidRPr="00BB311F">
        <w:rPr>
          <w:i/>
        </w:rPr>
        <w:t xml:space="preserve">Aboriginal law </w:t>
      </w:r>
      <w:r w:rsidR="003843F8" w:rsidRPr="00BB311F">
        <w:rPr>
          <w:i/>
          <w:lang w:val="en-US"/>
        </w:rPr>
        <w:t xml:space="preserve">— </w:t>
      </w:r>
      <w:r w:rsidRPr="00BB311F">
        <w:rPr>
          <w:i/>
        </w:rPr>
        <w:t xml:space="preserve">Treaty rights </w:t>
      </w:r>
      <w:r w:rsidR="003843F8" w:rsidRPr="00BB311F">
        <w:rPr>
          <w:i/>
          <w:lang w:val="en-US"/>
        </w:rPr>
        <w:t xml:space="preserve">— </w:t>
      </w:r>
      <w:r w:rsidRPr="00BB311F">
        <w:rPr>
          <w:i/>
        </w:rPr>
        <w:t xml:space="preserve">Duty to consult </w:t>
      </w:r>
      <w:r w:rsidR="003843F8" w:rsidRPr="00BB311F">
        <w:rPr>
          <w:i/>
          <w:lang w:val="en-US"/>
        </w:rPr>
        <w:t xml:space="preserve">— </w:t>
      </w:r>
      <w:r w:rsidRPr="00BB311F">
        <w:rPr>
          <w:i/>
        </w:rPr>
        <w:t xml:space="preserve">Individual members of Aboriginal community asserting in defence to tort action against them that issuance of logging licences breached duty to consult and treaty rights </w:t>
      </w:r>
      <w:r w:rsidR="003843F8" w:rsidRPr="00BB311F">
        <w:rPr>
          <w:i/>
          <w:lang w:val="en-US"/>
        </w:rPr>
        <w:t xml:space="preserve">— </w:t>
      </w:r>
      <w:r w:rsidRPr="00BB311F">
        <w:rPr>
          <w:i/>
        </w:rPr>
        <w:t>Whether individual members have standing to assert collective rights in defence.</w:t>
      </w:r>
    </w:p>
    <w:p w:rsidR="007C0A84" w:rsidRPr="00BB311F" w:rsidRDefault="007C0A84" w:rsidP="003843F8">
      <w:pPr>
        <w:pStyle w:val="SCCNormalDoubleSpacing"/>
        <w:spacing w:after="480"/>
        <w:rPr>
          <w:i/>
        </w:rPr>
      </w:pPr>
      <w:r w:rsidRPr="00BB311F">
        <w:rPr>
          <w:i/>
        </w:rPr>
        <w:tab/>
        <w:t xml:space="preserve">Civil procedure </w:t>
      </w:r>
      <w:r w:rsidR="003843F8" w:rsidRPr="00BB311F">
        <w:rPr>
          <w:i/>
          <w:lang w:val="en-US"/>
        </w:rPr>
        <w:t xml:space="preserve">— </w:t>
      </w:r>
      <w:r w:rsidRPr="00BB311F">
        <w:rPr>
          <w:i/>
        </w:rPr>
        <w:t xml:space="preserve">Abuse of process </w:t>
      </w:r>
      <w:r w:rsidR="003843F8" w:rsidRPr="00BB311F">
        <w:rPr>
          <w:i/>
          <w:lang w:val="en-US"/>
        </w:rPr>
        <w:t xml:space="preserve">— </w:t>
      </w:r>
      <w:r w:rsidRPr="00BB311F">
        <w:rPr>
          <w:i/>
        </w:rPr>
        <w:t xml:space="preserve">Motion to strike pleadings </w:t>
      </w:r>
      <w:r w:rsidR="003843F8" w:rsidRPr="00BB311F">
        <w:rPr>
          <w:i/>
          <w:lang w:val="en-US"/>
        </w:rPr>
        <w:t xml:space="preserve">— </w:t>
      </w:r>
      <w:r w:rsidRPr="00BB311F">
        <w:rPr>
          <w:i/>
        </w:rPr>
        <w:t xml:space="preserve">Members of Aboriginal community blocking access to logging site and subsequently asserting in defence to tort action against them that issuance of logging licences breached duty to consult and treaty rights </w:t>
      </w:r>
      <w:r w:rsidR="003843F8" w:rsidRPr="00BB311F">
        <w:rPr>
          <w:i/>
          <w:lang w:val="en-US"/>
        </w:rPr>
        <w:t xml:space="preserve">— </w:t>
      </w:r>
      <w:r w:rsidRPr="00BB311F">
        <w:rPr>
          <w:i/>
        </w:rPr>
        <w:t>Whether raising defences constituted abuse of process.</w:t>
      </w:r>
    </w:p>
    <w:p w:rsidR="007C0A84" w:rsidRPr="00BB311F" w:rsidRDefault="007C0A84" w:rsidP="003843F8">
      <w:pPr>
        <w:pStyle w:val="SCCNormalDoubleSpacing"/>
        <w:spacing w:after="480"/>
      </w:pPr>
      <w:r w:rsidRPr="00BB311F">
        <w:tab/>
        <w:t>After the Crown had granted licences to a logging company to harvest timber in two areas on the territory of the Fort Nelson First Nation in British Columbia, a number of individuals from that First Nation erected a camp that, in effect, blocked the company</w:t>
      </w:r>
      <w:r w:rsidR="00B03D09">
        <w:t>’</w:t>
      </w:r>
      <w:r w:rsidRPr="00BB311F">
        <w:t xml:space="preserve">s access to the logging sites. </w:t>
      </w:r>
      <w:r w:rsidR="004142C6" w:rsidRPr="00BB311F">
        <w:t xml:space="preserve"> </w:t>
      </w:r>
      <w:r w:rsidRPr="00BB311F">
        <w:t xml:space="preserve">The company brought a tort action against the members of the Aboriginal community, who argued in their defences that the licences were void because they had been issued in breach of the constitutional duty to consult and because they violated their treaty rights.  The logging company filed a motion to strike these defences.  The courts below held that the individual members of the Aboriginal community did not have standing to assert collective rights in their defence; only the community could invoke such rights.  They </w:t>
      </w:r>
      <w:r w:rsidRPr="00BB311F">
        <w:lastRenderedPageBreak/>
        <w:t>also concluded that such a challenge to the validity of the licences amounted to a collateral attack or an abuse of process, as the members of the community had failed to challenge the validity of the licences when they were issued.</w:t>
      </w:r>
    </w:p>
    <w:p w:rsidR="007C0A84" w:rsidRPr="00BB311F" w:rsidRDefault="007C0A84" w:rsidP="003843F8">
      <w:pPr>
        <w:pStyle w:val="SCCNormalDoubleSpacing"/>
        <w:spacing w:after="480"/>
      </w:pPr>
      <w:r w:rsidRPr="00BB311F">
        <w:tab/>
      </w:r>
      <w:r w:rsidRPr="00B03D09">
        <w:rPr>
          <w:i/>
        </w:rPr>
        <w:t>Held</w:t>
      </w:r>
      <w:r w:rsidRPr="00D64734">
        <w:t>:</w:t>
      </w:r>
      <w:r w:rsidRPr="00BB311F">
        <w:t xml:space="preserve">  The appeal should be dismissed.</w:t>
      </w:r>
    </w:p>
    <w:p w:rsidR="007C0A84" w:rsidRPr="00BB311F" w:rsidRDefault="007C0A84" w:rsidP="003843F8">
      <w:pPr>
        <w:pStyle w:val="SCCNormalDoubleSpacing"/>
        <w:spacing w:after="480"/>
      </w:pPr>
      <w:r w:rsidRPr="00BB311F">
        <w:tab/>
        <w:t>The duty to consult exists to protect the collective rights of Aboriginal peoples and is owed to the Aboriginal grou</w:t>
      </w:r>
      <w:r w:rsidR="004142C6" w:rsidRPr="00BB311F">
        <w:t>p that holds them.  While</w:t>
      </w:r>
      <w:r w:rsidRPr="00BB311F">
        <w:t xml:space="preserve"> an Aboriginal group can authorize an individual or an organization to represent it for the purpose of asserting its Aboriginal</w:t>
      </w:r>
      <w:r w:rsidR="004142C6" w:rsidRPr="00BB311F">
        <w:t xml:space="preserve"> or treaty rights, here,</w:t>
      </w:r>
      <w:r w:rsidRPr="00BB311F">
        <w:t xml:space="preserve"> it does not appear from the pleadings tha</w:t>
      </w:r>
      <w:r w:rsidR="004142C6" w:rsidRPr="00BB311F">
        <w:t>t the First Nation authorized</w:t>
      </w:r>
      <w:r w:rsidRPr="00BB311F">
        <w:t xml:space="preserve"> the community members to represent it for the purpose of contesting the legality of the licences.  Given the absence of </w:t>
      </w:r>
      <w:r w:rsidR="001739EA" w:rsidRPr="00BB311F">
        <w:t xml:space="preserve">an allegation of </w:t>
      </w:r>
      <w:r w:rsidRPr="00BB311F">
        <w:t xml:space="preserve">authorization, the members cannot assert a breach of the duty to consult on their own. </w:t>
      </w:r>
    </w:p>
    <w:p w:rsidR="007C0A84" w:rsidRPr="00BB311F" w:rsidRDefault="007C0A84" w:rsidP="003843F8">
      <w:pPr>
        <w:pStyle w:val="SCCNormalDoubleSpacing"/>
        <w:spacing w:after="480"/>
      </w:pPr>
      <w:r w:rsidRPr="00BB311F">
        <w:tab/>
        <w:t xml:space="preserve">Certain Aboriginal and treaty rights may have both collective and individual aspects, and it may well be that in appropriate circumstances, individual members can assert them.  Here, it might be argued that because of </w:t>
      </w:r>
      <w:r w:rsidR="001739EA" w:rsidRPr="00BB311F">
        <w:t xml:space="preserve">a </w:t>
      </w:r>
      <w:r w:rsidRPr="00BB311F">
        <w:t>connection between the rights at issue and a specific geographic location within the First Nation</w:t>
      </w:r>
      <w:r w:rsidR="00B03D09">
        <w:t>’</w:t>
      </w:r>
      <w:r w:rsidRPr="00BB311F">
        <w:t>s territory, the community members have a greater interest in the protection of the rights on their traditional family territory than do other members of the First Nation, and that this connection gives them a certain standing to raise the violation of their particular rights as a defence to the tort claim.  However, a definitive pronouncement in this regard cannot be made in the circumstances of this case.</w:t>
      </w:r>
    </w:p>
    <w:p w:rsidR="007C0A84" w:rsidRPr="00BB311F" w:rsidRDefault="007C0A84" w:rsidP="003843F8">
      <w:pPr>
        <w:pStyle w:val="SCCNormalDoubleSpacing"/>
        <w:spacing w:after="480"/>
      </w:pPr>
      <w:r w:rsidRPr="00BB311F">
        <w:lastRenderedPageBreak/>
        <w:tab/>
        <w:t xml:space="preserve">Raising a breach of the duty to consult and of treaty rights as a defence was an abuse of process in the </w:t>
      </w:r>
      <w:r w:rsidR="004142C6" w:rsidRPr="00BB311F">
        <w:t xml:space="preserve">circumstances of this case. </w:t>
      </w:r>
      <w:r w:rsidRPr="00BB311F">
        <w:t xml:space="preserve"> Neither the First Nation nor the community members had made any attempt to </w:t>
      </w:r>
      <w:r w:rsidR="004142C6" w:rsidRPr="00BB311F">
        <w:t>legally challenge the licences</w:t>
      </w:r>
      <w:r w:rsidRPr="00BB311F">
        <w:t xml:space="preserve"> when the Crown granted them.  Had they done so, the logging company would not have been led to believe that it was free to p</w:t>
      </w:r>
      <w:r w:rsidR="004142C6" w:rsidRPr="00BB311F">
        <w:t xml:space="preserve">lan and start its operations. </w:t>
      </w:r>
      <w:r w:rsidRPr="00BB311F">
        <w:t xml:space="preserve"> Furthermore, by blocking access to the logging sites, the community members put the logging company in the position of having either to go to court or to forego harvesting timber after having incurred substantial costs.  To allow the members to raise their defence </w:t>
      </w:r>
      <w:r w:rsidR="001739EA" w:rsidRPr="00BB311F">
        <w:t xml:space="preserve">based on treaty rights and on a breach of the duty to consult </w:t>
      </w:r>
      <w:r w:rsidRPr="00BB311F">
        <w:t>at this point would be tantamount to condoning self-help remedies and would bring the administration</w:t>
      </w:r>
      <w:r w:rsidR="00D64734">
        <w:t xml:space="preserve"> of justice</w:t>
      </w:r>
      <w:r w:rsidRPr="00BB311F">
        <w:t xml:space="preserve"> into disrepute.  It would also amount to a repudiation of the duty of mutual good faith that animates the discharge of the Crown</w:t>
      </w:r>
      <w:r w:rsidR="00B03D09">
        <w:t>’</w:t>
      </w:r>
      <w:r w:rsidRPr="00BB311F">
        <w:t>s constitutional duty to consult First Nations.</w:t>
      </w:r>
    </w:p>
    <w:p w:rsidR="007E1C47" w:rsidRPr="00BB311F" w:rsidRDefault="002E6705" w:rsidP="00B639B7">
      <w:pPr>
        <w:pStyle w:val="SCCNormalDoubleSpacing"/>
        <w:keepNext/>
        <w:spacing w:after="720" w:line="240" w:lineRule="auto"/>
        <w:rPr>
          <w:b/>
        </w:rPr>
      </w:pPr>
      <w:r w:rsidRPr="00BB311F">
        <w:rPr>
          <w:b/>
        </w:rPr>
        <w:t>Cases Cited</w:t>
      </w:r>
    </w:p>
    <w:p w:rsidR="00E40C5C" w:rsidRPr="00BB311F" w:rsidRDefault="002E6705" w:rsidP="00B639B7">
      <w:pPr>
        <w:pStyle w:val="SCCNormalDoubleSpacing"/>
        <w:spacing w:after="480"/>
        <w:rPr>
          <w:szCs w:val="24"/>
        </w:rPr>
      </w:pPr>
      <w:r w:rsidRPr="00BB311F">
        <w:tab/>
      </w:r>
      <w:r w:rsidRPr="00BB311F">
        <w:rPr>
          <w:b/>
        </w:rPr>
        <w:t>Referred to:</w:t>
      </w:r>
      <w:r w:rsidR="00BD0E9E" w:rsidRPr="00BB311F">
        <w:t xml:space="preserve"> </w:t>
      </w:r>
      <w:r w:rsidR="00E90569" w:rsidRPr="00BB311F">
        <w:t xml:space="preserve"> </w:t>
      </w:r>
      <w:r w:rsidR="00E40C5C" w:rsidRPr="00BB311F">
        <w:rPr>
          <w:i/>
          <w:szCs w:val="24"/>
        </w:rPr>
        <w:t>Garland v. Consumers</w:t>
      </w:r>
      <w:r w:rsidR="00B03D09">
        <w:rPr>
          <w:i/>
          <w:szCs w:val="24"/>
        </w:rPr>
        <w:t>’</w:t>
      </w:r>
      <w:r w:rsidR="00E40C5C" w:rsidRPr="00BB311F">
        <w:rPr>
          <w:i/>
          <w:szCs w:val="24"/>
        </w:rPr>
        <w:t xml:space="preserve"> Gas Co.</w:t>
      </w:r>
      <w:r w:rsidR="00E40C5C" w:rsidRPr="00BB311F">
        <w:rPr>
          <w:szCs w:val="24"/>
        </w:rPr>
        <w:t xml:space="preserve">, 2004 SCC 25, [2004] 1 S.C.R. 629; </w:t>
      </w:r>
      <w:proofErr w:type="spellStart"/>
      <w:r w:rsidR="00E40C5C" w:rsidRPr="00BB311F">
        <w:rPr>
          <w:i/>
          <w:szCs w:val="24"/>
        </w:rPr>
        <w:t>Haida</w:t>
      </w:r>
      <w:proofErr w:type="spellEnd"/>
      <w:r w:rsidR="00E40C5C" w:rsidRPr="00BB311F">
        <w:rPr>
          <w:i/>
          <w:szCs w:val="24"/>
        </w:rPr>
        <w:t xml:space="preserve"> Nation v. British Columbia (Minister of Forests)</w:t>
      </w:r>
      <w:r w:rsidR="00E40C5C" w:rsidRPr="00BB311F">
        <w:rPr>
          <w:szCs w:val="24"/>
        </w:rPr>
        <w:t>, 2004 SCC 73, [2004] 3 S.C.R.</w:t>
      </w:r>
      <w:r w:rsidR="004142C6" w:rsidRPr="00BB311F">
        <w:rPr>
          <w:szCs w:val="24"/>
        </w:rPr>
        <w:t xml:space="preserve"> </w:t>
      </w:r>
      <w:r w:rsidR="00E40C5C" w:rsidRPr="00BB311F">
        <w:rPr>
          <w:szCs w:val="24"/>
        </w:rPr>
        <w:t xml:space="preserve">511; </w:t>
      </w:r>
      <w:proofErr w:type="spellStart"/>
      <w:r w:rsidR="00E40C5C" w:rsidRPr="00BB311F">
        <w:rPr>
          <w:i/>
          <w:szCs w:val="24"/>
        </w:rPr>
        <w:t>Mikisew</w:t>
      </w:r>
      <w:proofErr w:type="spellEnd"/>
      <w:r w:rsidR="00E40C5C" w:rsidRPr="00BB311F">
        <w:rPr>
          <w:i/>
          <w:szCs w:val="24"/>
        </w:rPr>
        <w:t xml:space="preserve"> Cree First Nation v. Canada (Minister of Canadian Heritage)</w:t>
      </w:r>
      <w:r w:rsidR="00E40C5C" w:rsidRPr="00BB311F">
        <w:rPr>
          <w:szCs w:val="24"/>
        </w:rPr>
        <w:t xml:space="preserve">, 2005 SCC 69, [2005] 3 S.C.R. 388; </w:t>
      </w:r>
      <w:r w:rsidR="00E40C5C" w:rsidRPr="00BB311F">
        <w:rPr>
          <w:i/>
          <w:szCs w:val="24"/>
        </w:rPr>
        <w:t>Beckman v. Little Salmon/</w:t>
      </w:r>
      <w:proofErr w:type="spellStart"/>
      <w:r w:rsidR="00E40C5C" w:rsidRPr="00BB311F">
        <w:rPr>
          <w:i/>
          <w:szCs w:val="24"/>
        </w:rPr>
        <w:t>Carmacks</w:t>
      </w:r>
      <w:proofErr w:type="spellEnd"/>
      <w:r w:rsidR="00E40C5C" w:rsidRPr="00BB311F">
        <w:rPr>
          <w:i/>
          <w:szCs w:val="24"/>
        </w:rPr>
        <w:t xml:space="preserve"> First Nation</w:t>
      </w:r>
      <w:r w:rsidR="00E40C5C" w:rsidRPr="00BB311F">
        <w:rPr>
          <w:szCs w:val="24"/>
        </w:rPr>
        <w:t xml:space="preserve">, 2010 SCC 53, [2010] 3 S.C.R. 103; </w:t>
      </w:r>
      <w:r w:rsidR="00E40C5C" w:rsidRPr="00BB311F">
        <w:rPr>
          <w:i/>
          <w:szCs w:val="24"/>
          <w:lang w:val="en-US"/>
        </w:rPr>
        <w:t xml:space="preserve">R. v. </w:t>
      </w:r>
      <w:proofErr w:type="spellStart"/>
      <w:r w:rsidR="00E40C5C" w:rsidRPr="00BB311F">
        <w:rPr>
          <w:i/>
          <w:szCs w:val="24"/>
          <w:lang w:val="en-US"/>
        </w:rPr>
        <w:t>Kapp</w:t>
      </w:r>
      <w:proofErr w:type="spellEnd"/>
      <w:r w:rsidR="00E40C5C" w:rsidRPr="00BB311F">
        <w:rPr>
          <w:szCs w:val="24"/>
          <w:lang w:val="en-US"/>
        </w:rPr>
        <w:t>, 2008 SCC 41, [2008] 2 S.C.R. 483</w:t>
      </w:r>
      <w:r w:rsidR="00E40C5C" w:rsidRPr="00BB311F">
        <w:rPr>
          <w:szCs w:val="24"/>
        </w:rPr>
        <w:t xml:space="preserve">; </w:t>
      </w:r>
      <w:proofErr w:type="spellStart"/>
      <w:r w:rsidR="00E40C5C" w:rsidRPr="00BB311F">
        <w:rPr>
          <w:i/>
          <w:szCs w:val="24"/>
        </w:rPr>
        <w:t>Delgamuukw</w:t>
      </w:r>
      <w:proofErr w:type="spellEnd"/>
      <w:r w:rsidR="00E40C5C" w:rsidRPr="00BB311F">
        <w:rPr>
          <w:i/>
          <w:szCs w:val="24"/>
        </w:rPr>
        <w:t xml:space="preserve"> v. British Columbia</w:t>
      </w:r>
      <w:r w:rsidR="00E40C5C" w:rsidRPr="00BB311F">
        <w:rPr>
          <w:szCs w:val="24"/>
        </w:rPr>
        <w:t xml:space="preserve">, [1997] 3 S.C.R. 1010; </w:t>
      </w:r>
      <w:r w:rsidR="00E40C5C" w:rsidRPr="00BB311F">
        <w:rPr>
          <w:i/>
          <w:szCs w:val="24"/>
        </w:rPr>
        <w:t xml:space="preserve">R. v. Van </w:t>
      </w:r>
      <w:proofErr w:type="spellStart"/>
      <w:r w:rsidR="00E40C5C" w:rsidRPr="00BB311F">
        <w:rPr>
          <w:i/>
          <w:szCs w:val="24"/>
        </w:rPr>
        <w:t>der</w:t>
      </w:r>
      <w:proofErr w:type="spellEnd"/>
      <w:r w:rsidR="00E40C5C" w:rsidRPr="00BB311F">
        <w:rPr>
          <w:i/>
          <w:szCs w:val="24"/>
        </w:rPr>
        <w:t xml:space="preserve"> </w:t>
      </w:r>
      <w:proofErr w:type="spellStart"/>
      <w:r w:rsidR="00E40C5C" w:rsidRPr="00BB311F">
        <w:rPr>
          <w:i/>
          <w:szCs w:val="24"/>
        </w:rPr>
        <w:t>Peet</w:t>
      </w:r>
      <w:proofErr w:type="spellEnd"/>
      <w:r w:rsidR="00E40C5C" w:rsidRPr="00BB311F">
        <w:rPr>
          <w:szCs w:val="24"/>
        </w:rPr>
        <w:t xml:space="preserve">, [1996] 2 S.C.R. 507; </w:t>
      </w:r>
      <w:proofErr w:type="spellStart"/>
      <w:r w:rsidR="00E40C5C" w:rsidRPr="00BB311F">
        <w:rPr>
          <w:i/>
          <w:szCs w:val="24"/>
        </w:rPr>
        <w:t>Taku</w:t>
      </w:r>
      <w:proofErr w:type="spellEnd"/>
      <w:r w:rsidR="00E40C5C" w:rsidRPr="00BB311F">
        <w:rPr>
          <w:i/>
          <w:szCs w:val="24"/>
        </w:rPr>
        <w:t xml:space="preserve"> River Tlingit First Nation v. British Columbia </w:t>
      </w:r>
      <w:r w:rsidR="00E40C5C" w:rsidRPr="00BB311F">
        <w:rPr>
          <w:i/>
          <w:szCs w:val="24"/>
        </w:rPr>
        <w:lastRenderedPageBreak/>
        <w:t>(Project Assessment Director)</w:t>
      </w:r>
      <w:r w:rsidR="00E40C5C" w:rsidRPr="00BB311F">
        <w:rPr>
          <w:szCs w:val="24"/>
        </w:rPr>
        <w:t xml:space="preserve">, 2004 SCC 74, [2004] 3 S.C.R. 550; </w:t>
      </w:r>
      <w:proofErr w:type="spellStart"/>
      <w:r w:rsidR="00E40C5C" w:rsidRPr="00BB311F">
        <w:rPr>
          <w:i/>
          <w:szCs w:val="24"/>
        </w:rPr>
        <w:t>Komoyue</w:t>
      </w:r>
      <w:proofErr w:type="spellEnd"/>
      <w:r w:rsidR="00E40C5C" w:rsidRPr="00BB311F">
        <w:rPr>
          <w:i/>
          <w:szCs w:val="24"/>
        </w:rPr>
        <w:t xml:space="preserve"> </w:t>
      </w:r>
      <w:r w:rsidR="00611DA3" w:rsidRPr="00BB311F">
        <w:rPr>
          <w:i/>
          <w:szCs w:val="24"/>
        </w:rPr>
        <w:t xml:space="preserve">Heritage Society </w:t>
      </w:r>
      <w:r w:rsidR="00E40C5C" w:rsidRPr="00BB311F">
        <w:rPr>
          <w:i/>
          <w:szCs w:val="24"/>
        </w:rPr>
        <w:t>v. British Columbia</w:t>
      </w:r>
      <w:r w:rsidR="00611DA3" w:rsidRPr="00BB311F">
        <w:rPr>
          <w:i/>
          <w:szCs w:val="24"/>
        </w:rPr>
        <w:t xml:space="preserve"> (Attorney General)</w:t>
      </w:r>
      <w:r w:rsidR="00E40C5C" w:rsidRPr="00BB311F">
        <w:rPr>
          <w:szCs w:val="24"/>
        </w:rPr>
        <w:t>, 2006 BCSC 1517</w:t>
      </w:r>
      <w:r w:rsidR="00611DA3" w:rsidRPr="00BB311F">
        <w:rPr>
          <w:szCs w:val="24"/>
        </w:rPr>
        <w:t>, 55 Admin. L.R. (4th) 236</w:t>
      </w:r>
      <w:r w:rsidR="00E40C5C" w:rsidRPr="00BB311F">
        <w:rPr>
          <w:szCs w:val="24"/>
        </w:rPr>
        <w:t xml:space="preserve">; </w:t>
      </w:r>
      <w:r w:rsidR="00E40C5C" w:rsidRPr="00BB311F">
        <w:rPr>
          <w:i/>
          <w:szCs w:val="24"/>
        </w:rPr>
        <w:t>R. v. Sparrow</w:t>
      </w:r>
      <w:r w:rsidR="00E40C5C" w:rsidRPr="00BB311F">
        <w:rPr>
          <w:szCs w:val="24"/>
        </w:rPr>
        <w:t xml:space="preserve">, [1990] 1 S.C.R. 1075; </w:t>
      </w:r>
      <w:r w:rsidR="00E40C5C" w:rsidRPr="00BB311F">
        <w:rPr>
          <w:i/>
          <w:szCs w:val="24"/>
        </w:rPr>
        <w:t>R. v. Sundown</w:t>
      </w:r>
      <w:r w:rsidR="00E40C5C" w:rsidRPr="00BB311F">
        <w:rPr>
          <w:szCs w:val="24"/>
        </w:rPr>
        <w:t xml:space="preserve">, [1999] 1 S.C.R. 393; </w:t>
      </w:r>
      <w:r w:rsidR="00E40C5C" w:rsidRPr="00BB311F">
        <w:rPr>
          <w:i/>
          <w:szCs w:val="24"/>
        </w:rPr>
        <w:t>R. v. Marshall</w:t>
      </w:r>
      <w:r w:rsidR="00E40C5C" w:rsidRPr="00BB311F">
        <w:rPr>
          <w:szCs w:val="24"/>
        </w:rPr>
        <w:t xml:space="preserve">, [1999] 3 S.C.R. 533; </w:t>
      </w:r>
      <w:r w:rsidR="00E40C5C" w:rsidRPr="00BB311F">
        <w:rPr>
          <w:i/>
          <w:szCs w:val="24"/>
        </w:rPr>
        <w:t>R. v. Sappier</w:t>
      </w:r>
      <w:r w:rsidR="00E40C5C" w:rsidRPr="00BB311F">
        <w:rPr>
          <w:szCs w:val="24"/>
        </w:rPr>
        <w:t xml:space="preserve">, 2006 SCC 54, [2006] 2 S.C.R. 686; </w:t>
      </w:r>
      <w:r w:rsidR="00E40C5C" w:rsidRPr="00BB311F">
        <w:rPr>
          <w:i/>
          <w:szCs w:val="24"/>
        </w:rPr>
        <w:t>Toronto (City) v. C.U.P.E., Local 79</w:t>
      </w:r>
      <w:r w:rsidR="00E40C5C" w:rsidRPr="00BB311F">
        <w:rPr>
          <w:szCs w:val="24"/>
        </w:rPr>
        <w:t xml:space="preserve">, 2003 SCC 63, [2003] 3 S.C.R. 77; </w:t>
      </w:r>
      <w:r w:rsidR="00E40C5C" w:rsidRPr="00BB311F">
        <w:rPr>
          <w:i/>
          <w:szCs w:val="24"/>
        </w:rPr>
        <w:t>R. v. Pow</w:t>
      </w:r>
      <w:r w:rsidR="00BC758B" w:rsidRPr="00BB311F">
        <w:rPr>
          <w:i/>
          <w:szCs w:val="24"/>
        </w:rPr>
        <w:t>er</w:t>
      </w:r>
      <w:r w:rsidR="00E40C5C" w:rsidRPr="00BB311F">
        <w:rPr>
          <w:szCs w:val="24"/>
        </w:rPr>
        <w:t xml:space="preserve">, </w:t>
      </w:r>
      <w:r w:rsidR="00BC758B" w:rsidRPr="00BB311F">
        <w:rPr>
          <w:szCs w:val="24"/>
        </w:rPr>
        <w:t>[1994] 1</w:t>
      </w:r>
      <w:r w:rsidR="00E40C5C" w:rsidRPr="00BB311F">
        <w:rPr>
          <w:szCs w:val="24"/>
        </w:rPr>
        <w:t xml:space="preserve"> S.C.R. </w:t>
      </w:r>
      <w:r w:rsidR="00BC758B" w:rsidRPr="00BB311F">
        <w:rPr>
          <w:szCs w:val="24"/>
        </w:rPr>
        <w:t>601</w:t>
      </w:r>
      <w:r w:rsidR="00E40C5C" w:rsidRPr="00BB311F">
        <w:rPr>
          <w:szCs w:val="24"/>
        </w:rPr>
        <w:t xml:space="preserve">; </w:t>
      </w:r>
      <w:r w:rsidR="00E40C5C" w:rsidRPr="00BB311F">
        <w:rPr>
          <w:i/>
          <w:szCs w:val="24"/>
        </w:rPr>
        <w:t>R. v. Conway</w:t>
      </w:r>
      <w:r w:rsidR="00E40C5C" w:rsidRPr="00BB311F">
        <w:rPr>
          <w:szCs w:val="24"/>
        </w:rPr>
        <w:t xml:space="preserve">, [1989] 1 S.C.R. 1659; </w:t>
      </w:r>
      <w:r w:rsidR="00E40C5C" w:rsidRPr="00BB311F">
        <w:rPr>
          <w:i/>
          <w:szCs w:val="24"/>
        </w:rPr>
        <w:t>R. v. Scott</w:t>
      </w:r>
      <w:r w:rsidR="00E40C5C" w:rsidRPr="00BB311F">
        <w:rPr>
          <w:szCs w:val="24"/>
        </w:rPr>
        <w:t xml:space="preserve">, [1990] 3 S.C.R. 979; </w:t>
      </w:r>
      <w:proofErr w:type="spellStart"/>
      <w:r w:rsidR="00E40C5C" w:rsidRPr="00BB311F">
        <w:rPr>
          <w:i/>
          <w:szCs w:val="24"/>
        </w:rPr>
        <w:t>Canam</w:t>
      </w:r>
      <w:proofErr w:type="spellEnd"/>
      <w:r w:rsidR="00E40C5C" w:rsidRPr="00BB311F">
        <w:rPr>
          <w:i/>
          <w:szCs w:val="24"/>
        </w:rPr>
        <w:t xml:space="preserve"> Enterprises Inc. v. Coles</w:t>
      </w:r>
      <w:r w:rsidR="00E40C5C" w:rsidRPr="00BB311F">
        <w:rPr>
          <w:szCs w:val="24"/>
        </w:rPr>
        <w:t xml:space="preserve"> (2000), 51 O.R. (3d) 481, </w:t>
      </w:r>
      <w:proofErr w:type="spellStart"/>
      <w:r w:rsidR="00981E15" w:rsidRPr="00BB311F">
        <w:rPr>
          <w:szCs w:val="24"/>
        </w:rPr>
        <w:t>rev</w:t>
      </w:r>
      <w:r w:rsidR="00B03D09">
        <w:rPr>
          <w:szCs w:val="24"/>
        </w:rPr>
        <w:t>’</w:t>
      </w:r>
      <w:r w:rsidR="00060767" w:rsidRPr="00BB311F">
        <w:rPr>
          <w:szCs w:val="24"/>
        </w:rPr>
        <w:t>d</w:t>
      </w:r>
      <w:proofErr w:type="spellEnd"/>
      <w:r w:rsidR="00060767" w:rsidRPr="00BB311F">
        <w:rPr>
          <w:szCs w:val="24"/>
        </w:rPr>
        <w:t xml:space="preserve"> 2002 SCC 63, </w:t>
      </w:r>
      <w:r w:rsidR="00E40C5C" w:rsidRPr="00BB311F">
        <w:rPr>
          <w:szCs w:val="24"/>
        </w:rPr>
        <w:t xml:space="preserve">[2002] 3 S.C.R. 307; </w:t>
      </w:r>
      <w:proofErr w:type="spellStart"/>
      <w:r w:rsidR="00E40C5C" w:rsidRPr="00BB311F">
        <w:rPr>
          <w:i/>
          <w:szCs w:val="24"/>
        </w:rPr>
        <w:t>Blencoe</w:t>
      </w:r>
      <w:proofErr w:type="spellEnd"/>
      <w:r w:rsidR="00E40C5C" w:rsidRPr="00BB311F">
        <w:rPr>
          <w:i/>
          <w:szCs w:val="24"/>
        </w:rPr>
        <w:t xml:space="preserve"> v. British Columbia (Human Rights Commission)</w:t>
      </w:r>
      <w:r w:rsidR="00E40C5C" w:rsidRPr="00BB311F">
        <w:rPr>
          <w:szCs w:val="24"/>
        </w:rPr>
        <w:t>, 2000 SCC 44, [2000] 2 S.C.R. 307.</w:t>
      </w:r>
    </w:p>
    <w:p w:rsidR="003B215F" w:rsidRPr="00BB311F" w:rsidRDefault="002E6705" w:rsidP="00F1354D">
      <w:pPr>
        <w:pStyle w:val="SCCNormalDoubleSpacing"/>
        <w:keepNext/>
        <w:spacing w:after="720" w:line="240" w:lineRule="auto"/>
      </w:pPr>
      <w:r w:rsidRPr="00BB311F">
        <w:rPr>
          <w:b/>
        </w:rPr>
        <w:t>Statutes and Regulations Cite</w:t>
      </w:r>
      <w:r w:rsidR="00A41805" w:rsidRPr="00BB311F">
        <w:rPr>
          <w:b/>
        </w:rPr>
        <w:t>d</w:t>
      </w:r>
    </w:p>
    <w:p w:rsidR="005B4AD2" w:rsidRPr="00BB311F" w:rsidRDefault="005B4AD2" w:rsidP="00B639B7">
      <w:pPr>
        <w:pStyle w:val="SCCNormalDoubleSpacing"/>
        <w:spacing w:after="240" w:line="240" w:lineRule="auto"/>
        <w:ind w:left="547" w:hanging="547"/>
      </w:pPr>
      <w:r w:rsidRPr="00BB311F">
        <w:rPr>
          <w:i/>
        </w:rPr>
        <w:t>Constitution Act, 1982</w:t>
      </w:r>
      <w:r w:rsidR="00B639B7" w:rsidRPr="00BB311F">
        <w:t>, s. </w:t>
      </w:r>
      <w:r w:rsidRPr="00BB311F">
        <w:t>35.</w:t>
      </w:r>
    </w:p>
    <w:p w:rsidR="00281A0C" w:rsidRPr="00BB311F" w:rsidRDefault="003C0D51" w:rsidP="00B639B7">
      <w:pPr>
        <w:pStyle w:val="SCCNormalDoubleSpacing"/>
        <w:spacing w:after="240" w:line="240" w:lineRule="auto"/>
        <w:ind w:left="547" w:hanging="547"/>
      </w:pPr>
      <w:proofErr w:type="gramStart"/>
      <w:r w:rsidRPr="00BB311F">
        <w:rPr>
          <w:i/>
        </w:rPr>
        <w:t>Forest Act</w:t>
      </w:r>
      <w:r w:rsidR="00B639B7" w:rsidRPr="00BB311F">
        <w:t>, R.S.B.C. 1996, c. </w:t>
      </w:r>
      <w:r w:rsidRPr="00BB311F">
        <w:t>157.</w:t>
      </w:r>
      <w:proofErr w:type="gramEnd"/>
      <w:r w:rsidRPr="00BB311F">
        <w:t xml:space="preserve">  </w:t>
      </w:r>
    </w:p>
    <w:p w:rsidR="00281A0C" w:rsidRPr="00BB311F" w:rsidRDefault="00281A0C" w:rsidP="00B639B7">
      <w:pPr>
        <w:pStyle w:val="SCCNormalDoubleSpacing"/>
        <w:spacing w:after="240" w:line="240" w:lineRule="auto"/>
        <w:ind w:left="547" w:hanging="547"/>
      </w:pPr>
      <w:r w:rsidRPr="00BB311F">
        <w:rPr>
          <w:i/>
        </w:rPr>
        <w:t>Indian Act</w:t>
      </w:r>
      <w:r w:rsidR="00B639B7" w:rsidRPr="00BB311F">
        <w:t>, R.S.C. 1985, c. </w:t>
      </w:r>
      <w:r w:rsidRPr="00BB311F">
        <w:t>I</w:t>
      </w:r>
      <w:r w:rsidR="00B639B7" w:rsidRPr="00BB311F">
        <w:noBreakHyphen/>
      </w:r>
      <w:r w:rsidRPr="00BB311F">
        <w:t xml:space="preserve">5. </w:t>
      </w:r>
    </w:p>
    <w:p w:rsidR="003C0D51" w:rsidRPr="00BB311F" w:rsidRDefault="003C0D51" w:rsidP="00B639B7">
      <w:pPr>
        <w:pStyle w:val="SCCNormalDoubleSpacing"/>
        <w:spacing w:after="240" w:line="240" w:lineRule="auto"/>
        <w:ind w:left="547" w:hanging="547"/>
      </w:pPr>
      <w:r w:rsidRPr="00BB311F">
        <w:rPr>
          <w:i/>
        </w:rPr>
        <w:t>Supreme Court Civil Rules</w:t>
      </w:r>
      <w:r w:rsidRPr="00BB311F">
        <w:t>, B.C. Reg. 168/2009</w:t>
      </w:r>
      <w:r w:rsidR="00B639B7" w:rsidRPr="00BB311F">
        <w:t>, r. </w:t>
      </w:r>
      <w:r w:rsidRPr="00BB311F">
        <w:t>9</w:t>
      </w:r>
      <w:r w:rsidR="00B639B7" w:rsidRPr="00BB311F">
        <w:noBreakHyphen/>
      </w:r>
      <w:proofErr w:type="gramStart"/>
      <w:r w:rsidR="004142C6" w:rsidRPr="00BB311F">
        <w:t>5(</w:t>
      </w:r>
      <w:proofErr w:type="gramEnd"/>
      <w:r w:rsidR="004142C6" w:rsidRPr="00BB311F">
        <w:t>1</w:t>
      </w:r>
      <w:r w:rsidRPr="00BB311F">
        <w:t>).</w:t>
      </w:r>
    </w:p>
    <w:p w:rsidR="003C0D51" w:rsidRPr="00BB311F" w:rsidRDefault="003C0D51" w:rsidP="00B639B7">
      <w:pPr>
        <w:pStyle w:val="SCCNormalDoubleSpacing"/>
        <w:spacing w:after="720" w:line="240" w:lineRule="auto"/>
        <w:ind w:left="547" w:hanging="547"/>
      </w:pPr>
      <w:proofErr w:type="gramStart"/>
      <w:r w:rsidRPr="00BB311F">
        <w:rPr>
          <w:i/>
        </w:rPr>
        <w:t>Supreme Court Rules</w:t>
      </w:r>
      <w:r w:rsidRPr="00BB311F">
        <w:t>, B.C. Reg. 221/90 [rep</w:t>
      </w:r>
      <w:r w:rsidR="000D0EBD" w:rsidRPr="00BB311F">
        <w:t>.</w:t>
      </w:r>
      <w:r w:rsidR="00B639B7" w:rsidRPr="00BB311F">
        <w:t>], r. </w:t>
      </w:r>
      <w:r w:rsidRPr="00BB311F">
        <w:t>19(24).</w:t>
      </w:r>
      <w:proofErr w:type="gramEnd"/>
      <w:r w:rsidRPr="00BB311F">
        <w:t xml:space="preserve"> </w:t>
      </w:r>
    </w:p>
    <w:p w:rsidR="00935218" w:rsidRPr="00BB311F" w:rsidRDefault="00A63A2B" w:rsidP="00B639B7">
      <w:pPr>
        <w:pStyle w:val="SCCNormalDoubleSpacing"/>
        <w:keepNext/>
        <w:spacing w:after="720" w:line="240" w:lineRule="auto"/>
        <w:ind w:left="547" w:hanging="547"/>
        <w:rPr>
          <w:b/>
        </w:rPr>
      </w:pPr>
      <w:r w:rsidRPr="00BB311F">
        <w:rPr>
          <w:b/>
        </w:rPr>
        <w:t>Treat</w:t>
      </w:r>
      <w:r w:rsidR="00C95123" w:rsidRPr="00BB311F">
        <w:rPr>
          <w:b/>
        </w:rPr>
        <w:t>ies</w:t>
      </w:r>
      <w:r w:rsidR="00D5742C" w:rsidRPr="00BB311F">
        <w:rPr>
          <w:b/>
        </w:rPr>
        <w:t xml:space="preserve"> and Agreements</w:t>
      </w:r>
    </w:p>
    <w:p w:rsidR="00C95123" w:rsidRPr="00BB311F" w:rsidRDefault="00C95123" w:rsidP="00B639B7">
      <w:pPr>
        <w:pStyle w:val="SCCNormalDoubleSpacing"/>
        <w:spacing w:after="720" w:line="240" w:lineRule="auto"/>
        <w:ind w:left="547" w:hanging="547"/>
      </w:pPr>
      <w:proofErr w:type="gramStart"/>
      <w:r w:rsidRPr="00BB311F">
        <w:t xml:space="preserve">Treaty </w:t>
      </w:r>
      <w:r w:rsidR="00B639B7" w:rsidRPr="00BB311F">
        <w:t>No. </w:t>
      </w:r>
      <w:r w:rsidRPr="00BB311F">
        <w:t>8 (1899).</w:t>
      </w:r>
      <w:proofErr w:type="gramEnd"/>
    </w:p>
    <w:p w:rsidR="002E6705" w:rsidRPr="00BB311F" w:rsidRDefault="002E6705" w:rsidP="00B639B7">
      <w:pPr>
        <w:pStyle w:val="SCCNormalDoubleSpacing"/>
        <w:keepNext/>
        <w:spacing w:after="720" w:line="240" w:lineRule="auto"/>
        <w:rPr>
          <w:b/>
        </w:rPr>
      </w:pPr>
      <w:r w:rsidRPr="00BB311F">
        <w:rPr>
          <w:b/>
        </w:rPr>
        <w:lastRenderedPageBreak/>
        <w:t>Authors Cited</w:t>
      </w:r>
    </w:p>
    <w:p w:rsidR="00DE319C" w:rsidRPr="00BB311F" w:rsidRDefault="002A1618" w:rsidP="00B639B7">
      <w:pPr>
        <w:pStyle w:val="SCCNormalDoubleSpacing"/>
        <w:spacing w:after="240" w:line="240" w:lineRule="auto"/>
        <w:ind w:left="547" w:hanging="547"/>
      </w:pPr>
      <w:r w:rsidRPr="00BB311F">
        <w:t>Newman,</w:t>
      </w:r>
      <w:r w:rsidR="00B639B7" w:rsidRPr="00BB311F">
        <w:t xml:space="preserve"> Dwight </w:t>
      </w:r>
      <w:r w:rsidRPr="00BB311F">
        <w:t xml:space="preserve">G.  </w:t>
      </w:r>
      <w:r w:rsidRPr="00BB311F">
        <w:rPr>
          <w:i/>
        </w:rPr>
        <w:t>The Duty to Consult:  New Relationships with Aboriginal Peoples</w:t>
      </w:r>
      <w:r w:rsidRPr="00BB311F">
        <w:t xml:space="preserve">.  Saskatoon:  </w:t>
      </w:r>
      <w:proofErr w:type="spellStart"/>
      <w:r w:rsidRPr="00BB311F">
        <w:t>Purich</w:t>
      </w:r>
      <w:proofErr w:type="spellEnd"/>
      <w:r w:rsidRPr="00BB311F">
        <w:t>, 2009.</w:t>
      </w:r>
    </w:p>
    <w:p w:rsidR="002A1618" w:rsidRPr="00BB311F" w:rsidRDefault="00AB3C0C" w:rsidP="00B639B7">
      <w:pPr>
        <w:pStyle w:val="SCCNormalDoubleSpacing"/>
        <w:spacing w:after="240" w:line="240" w:lineRule="auto"/>
        <w:ind w:left="547" w:hanging="547"/>
      </w:pPr>
      <w:proofErr w:type="spellStart"/>
      <w:r w:rsidRPr="00BB311F">
        <w:t>Perell</w:t>
      </w:r>
      <w:proofErr w:type="spellEnd"/>
      <w:r w:rsidRPr="00BB311F">
        <w:t>,</w:t>
      </w:r>
      <w:r w:rsidR="00B639B7" w:rsidRPr="00BB311F">
        <w:t xml:space="preserve"> Paul </w:t>
      </w:r>
      <w:r w:rsidRPr="00BB311F">
        <w:t xml:space="preserve">M.  </w:t>
      </w:r>
      <w:proofErr w:type="gramStart"/>
      <w:r w:rsidRPr="00BB311F">
        <w:t>“A Survey of Abuse of Process”, in Todd</w:t>
      </w:r>
      <w:r w:rsidR="003843F8" w:rsidRPr="00BB311F">
        <w:t> </w:t>
      </w:r>
      <w:r w:rsidRPr="00BB311F">
        <w:t>L. Archibald and Randall Scott Echlin, ed</w:t>
      </w:r>
      <w:r w:rsidR="0070677A" w:rsidRPr="00BB311F">
        <w:t>s</w:t>
      </w:r>
      <w:r w:rsidRPr="00BB311F">
        <w:t xml:space="preserve">., </w:t>
      </w:r>
      <w:r w:rsidRPr="00BB311F">
        <w:rPr>
          <w:i/>
        </w:rPr>
        <w:t>Annual Review of Civil Litigation 2007</w:t>
      </w:r>
      <w:r w:rsidRPr="00BB311F">
        <w:t>.</w:t>
      </w:r>
      <w:proofErr w:type="gramEnd"/>
      <w:r w:rsidRPr="00BB311F">
        <w:t xml:space="preserve">  Toronto:  Thomson </w:t>
      </w:r>
      <w:proofErr w:type="spellStart"/>
      <w:r w:rsidRPr="00BB311F">
        <w:t>Carswell</w:t>
      </w:r>
      <w:proofErr w:type="spellEnd"/>
      <w:r w:rsidRPr="00BB311F">
        <w:t>, 2007, 243.</w:t>
      </w:r>
    </w:p>
    <w:p w:rsidR="00A149DF" w:rsidRPr="00BB311F" w:rsidRDefault="006E348D" w:rsidP="00B639B7">
      <w:pPr>
        <w:pStyle w:val="SCCNormalDoubleSpacing"/>
        <w:spacing w:after="720" w:line="240" w:lineRule="auto"/>
        <w:ind w:left="547" w:hanging="547"/>
      </w:pPr>
      <w:r w:rsidRPr="00BB311F">
        <w:t xml:space="preserve">Woodward, Jack.  </w:t>
      </w:r>
      <w:proofErr w:type="gramStart"/>
      <w:r w:rsidRPr="00BB311F">
        <w:rPr>
          <w:i/>
        </w:rPr>
        <w:t>Native Law</w:t>
      </w:r>
      <w:r w:rsidRPr="00BB311F">
        <w:t xml:space="preserve">, </w:t>
      </w:r>
      <w:r w:rsidR="00B639B7" w:rsidRPr="00BB311F">
        <w:t>vol. </w:t>
      </w:r>
      <w:r w:rsidRPr="00BB311F">
        <w:t>1.</w:t>
      </w:r>
      <w:proofErr w:type="gramEnd"/>
      <w:r w:rsidRPr="00BB311F">
        <w:t xml:space="preserve">  Toronto:  </w:t>
      </w:r>
      <w:proofErr w:type="spellStart"/>
      <w:r w:rsidRPr="00BB311F">
        <w:t>Carswell</w:t>
      </w:r>
      <w:proofErr w:type="spellEnd"/>
      <w:r w:rsidRPr="00BB311F">
        <w:t>, 1994 (loose</w:t>
      </w:r>
      <w:r w:rsidR="00B639B7" w:rsidRPr="00BB311F">
        <w:noBreakHyphen/>
      </w:r>
      <w:r w:rsidRPr="00BB311F">
        <w:t xml:space="preserve">leaf updated 2012, release 5). </w:t>
      </w:r>
    </w:p>
    <w:p w:rsidR="00DA4AF1" w:rsidRPr="00BB311F" w:rsidRDefault="00D216B7" w:rsidP="00B639B7">
      <w:pPr>
        <w:pStyle w:val="SCCNormalDoubleSpacing"/>
        <w:spacing w:after="480"/>
      </w:pPr>
      <w:r w:rsidRPr="00BB311F">
        <w:tab/>
      </w:r>
      <w:r w:rsidR="009B57B3" w:rsidRPr="00BB311F">
        <w:t xml:space="preserve">APPEAL from a judgment of the </w:t>
      </w:r>
      <w:r w:rsidRPr="00BB311F">
        <w:t xml:space="preserve">British Columbia </w:t>
      </w:r>
      <w:r w:rsidR="009B57B3" w:rsidRPr="00BB311F">
        <w:t>Court of Appeal (</w:t>
      </w:r>
      <w:r w:rsidRPr="00BB311F">
        <w:t xml:space="preserve">Saunders, </w:t>
      </w:r>
      <w:proofErr w:type="spellStart"/>
      <w:r w:rsidRPr="00BB311F">
        <w:t>Chiasson</w:t>
      </w:r>
      <w:proofErr w:type="spellEnd"/>
      <w:r w:rsidRPr="00BB311F">
        <w:t xml:space="preserve"> and Frankel JJ.A.</w:t>
      </w:r>
      <w:r w:rsidR="009B57B3" w:rsidRPr="00BB311F">
        <w:t>)</w:t>
      </w:r>
      <w:r w:rsidRPr="00BB311F">
        <w:t xml:space="preserve">, </w:t>
      </w:r>
      <w:r w:rsidR="009B20C0" w:rsidRPr="00BB311F">
        <w:t xml:space="preserve">2011 BCCA 311, 20 B.C.L.R. (5th) 35, 309 B.C.A.C. 15, 523 W.A.C. 15, [2011] 3 C.N.L.R. 271, 335 D.L.R. (4th) 330, [2011] B.C.J. </w:t>
      </w:r>
      <w:r w:rsidR="00B639B7" w:rsidRPr="00BB311F">
        <w:t>No. </w:t>
      </w:r>
      <w:r w:rsidR="009B20C0" w:rsidRPr="00BB311F">
        <w:t xml:space="preserve">1271 (QL), 2011 </w:t>
      </w:r>
      <w:proofErr w:type="spellStart"/>
      <w:r w:rsidR="009B20C0" w:rsidRPr="00BB311F">
        <w:t>CarswellBC</w:t>
      </w:r>
      <w:proofErr w:type="spellEnd"/>
      <w:r w:rsidR="009B20C0" w:rsidRPr="00BB311F">
        <w:t xml:space="preserve"> 1693, affirming a decision of</w:t>
      </w:r>
      <w:r w:rsidR="003843F8" w:rsidRPr="00BB311F">
        <w:t xml:space="preserve"> </w:t>
      </w:r>
      <w:proofErr w:type="spellStart"/>
      <w:r w:rsidR="003843F8" w:rsidRPr="00BB311F">
        <w:t>Hinkson</w:t>
      </w:r>
      <w:proofErr w:type="spellEnd"/>
      <w:r w:rsidR="003843F8" w:rsidRPr="00BB311F">
        <w:t> </w:t>
      </w:r>
      <w:r w:rsidR="009B20C0" w:rsidRPr="00BB311F">
        <w:t xml:space="preserve">J., </w:t>
      </w:r>
      <w:r w:rsidR="00DA4AF1" w:rsidRPr="00BB311F">
        <w:t xml:space="preserve">2010 BCSC 506, [2010] 4 C.N.L.R. 132, [2010] B.C.J. </w:t>
      </w:r>
      <w:r w:rsidR="00B639B7" w:rsidRPr="00BB311F">
        <w:t>No. </w:t>
      </w:r>
      <w:r w:rsidR="00DA4AF1" w:rsidRPr="00BB311F">
        <w:t xml:space="preserve">665 (QL), 2010 </w:t>
      </w:r>
      <w:proofErr w:type="spellStart"/>
      <w:r w:rsidR="00DA4AF1" w:rsidRPr="00BB311F">
        <w:t>CarswellBC</w:t>
      </w:r>
      <w:proofErr w:type="spellEnd"/>
      <w:r w:rsidR="00DA4AF1" w:rsidRPr="00BB311F">
        <w:t xml:space="preserve"> 889.  Appeal dismissed.</w:t>
      </w:r>
    </w:p>
    <w:p w:rsidR="0052363C" w:rsidRPr="00BB311F" w:rsidRDefault="00B639B7" w:rsidP="00B639B7">
      <w:pPr>
        <w:pStyle w:val="SCCNormalDoubleSpacing"/>
        <w:spacing w:after="480"/>
      </w:pPr>
      <w:r w:rsidRPr="00B03D09">
        <w:rPr>
          <w:i/>
        </w:rPr>
        <w:tab/>
      </w:r>
      <w:proofErr w:type="gramStart"/>
      <w:r w:rsidRPr="00B03D09">
        <w:rPr>
          <w:i/>
        </w:rPr>
        <w:t>Robert </w:t>
      </w:r>
      <w:r w:rsidR="00744F4B" w:rsidRPr="00B03D09">
        <w:rPr>
          <w:i/>
        </w:rPr>
        <w:t>J.</w:t>
      </w:r>
      <w:r w:rsidRPr="00B03D09">
        <w:rPr>
          <w:i/>
        </w:rPr>
        <w:t> </w:t>
      </w:r>
      <w:r w:rsidR="00744F4B" w:rsidRPr="00B03D09">
        <w:rPr>
          <w:i/>
        </w:rPr>
        <w:t xml:space="preserve">M. </w:t>
      </w:r>
      <w:proofErr w:type="spellStart"/>
      <w:r w:rsidR="00744F4B" w:rsidRPr="00B03D09">
        <w:rPr>
          <w:i/>
        </w:rPr>
        <w:t>Janes</w:t>
      </w:r>
      <w:proofErr w:type="spellEnd"/>
      <w:r w:rsidR="00B91AB9" w:rsidRPr="00E668FE">
        <w:t xml:space="preserve"> and</w:t>
      </w:r>
      <w:r w:rsidR="00744F4B" w:rsidRPr="00BB311F">
        <w:t xml:space="preserve"> </w:t>
      </w:r>
      <w:proofErr w:type="spellStart"/>
      <w:r w:rsidRPr="00B03D09">
        <w:rPr>
          <w:i/>
        </w:rPr>
        <w:t>Karey</w:t>
      </w:r>
      <w:proofErr w:type="spellEnd"/>
      <w:r w:rsidRPr="00B03D09">
        <w:rPr>
          <w:i/>
        </w:rPr>
        <w:t> </w:t>
      </w:r>
      <w:r w:rsidR="00B91AB9" w:rsidRPr="00B03D09">
        <w:rPr>
          <w:i/>
        </w:rPr>
        <w:t xml:space="preserve">M. </w:t>
      </w:r>
      <w:r w:rsidR="00744F4B" w:rsidRPr="00B03D09">
        <w:rPr>
          <w:i/>
        </w:rPr>
        <w:t>Brooks</w:t>
      </w:r>
      <w:r w:rsidR="00744F4B" w:rsidRPr="00BB311F">
        <w:t>, for the appellant</w:t>
      </w:r>
      <w:r w:rsidR="00B91AB9" w:rsidRPr="00BB311F">
        <w:t>s</w:t>
      </w:r>
      <w:r w:rsidR="00744F4B" w:rsidRPr="00BB311F">
        <w:t>.</w:t>
      </w:r>
      <w:proofErr w:type="gramEnd"/>
    </w:p>
    <w:p w:rsidR="0052363C" w:rsidRPr="00BB311F" w:rsidRDefault="00B639B7" w:rsidP="00B639B7">
      <w:pPr>
        <w:pStyle w:val="SCCNormalDoubleSpacing"/>
        <w:spacing w:after="480"/>
      </w:pPr>
      <w:r w:rsidRPr="00B03D09">
        <w:rPr>
          <w:i/>
        </w:rPr>
        <w:tab/>
      </w:r>
      <w:proofErr w:type="gramStart"/>
      <w:r w:rsidRPr="00B03D09">
        <w:rPr>
          <w:i/>
        </w:rPr>
        <w:t>Charles </w:t>
      </w:r>
      <w:r w:rsidR="00744F4B" w:rsidRPr="00B03D09">
        <w:rPr>
          <w:i/>
        </w:rPr>
        <w:t xml:space="preserve">F. </w:t>
      </w:r>
      <w:proofErr w:type="spellStart"/>
      <w:r w:rsidR="00744F4B" w:rsidRPr="00B03D09">
        <w:rPr>
          <w:i/>
        </w:rPr>
        <w:t>Willms</w:t>
      </w:r>
      <w:proofErr w:type="spellEnd"/>
      <w:r w:rsidR="00744F4B" w:rsidRPr="00BB311F">
        <w:t xml:space="preserve"> and </w:t>
      </w:r>
      <w:r w:rsidR="00D717CB" w:rsidRPr="00BB311F">
        <w:rPr>
          <w:i/>
        </w:rPr>
        <w:t xml:space="preserve">Bridget </w:t>
      </w:r>
      <w:proofErr w:type="spellStart"/>
      <w:r w:rsidR="00D717CB" w:rsidRPr="00BB311F">
        <w:rPr>
          <w:i/>
        </w:rPr>
        <w:t>Gilbride</w:t>
      </w:r>
      <w:proofErr w:type="spellEnd"/>
      <w:r w:rsidR="00744F4B" w:rsidRPr="00BB311F">
        <w:t>, for the respondent</w:t>
      </w:r>
      <w:r w:rsidR="00D717CB" w:rsidRPr="00BB311F">
        <w:t xml:space="preserve"> Moulton Contracting Ltd</w:t>
      </w:r>
      <w:r w:rsidR="00744F4B" w:rsidRPr="00BB311F">
        <w:t>.</w:t>
      </w:r>
      <w:proofErr w:type="gramEnd"/>
    </w:p>
    <w:p w:rsidR="0052363C" w:rsidRPr="00BB311F" w:rsidRDefault="00B639B7" w:rsidP="00B639B7">
      <w:pPr>
        <w:pStyle w:val="SCCNormalDoubleSpacing"/>
        <w:spacing w:after="480"/>
      </w:pPr>
      <w:r w:rsidRPr="00B03D09">
        <w:rPr>
          <w:i/>
        </w:rPr>
        <w:tab/>
      </w:r>
      <w:proofErr w:type="gramStart"/>
      <w:r w:rsidRPr="00B03D09">
        <w:rPr>
          <w:i/>
        </w:rPr>
        <w:t>Keith </w:t>
      </w:r>
      <w:r w:rsidR="00744F4B" w:rsidRPr="00B03D09">
        <w:rPr>
          <w:i/>
        </w:rPr>
        <w:t>J. Phillips</w:t>
      </w:r>
      <w:r w:rsidR="00744F4B" w:rsidRPr="00BB311F">
        <w:t xml:space="preserve"> and </w:t>
      </w:r>
      <w:r w:rsidR="00744F4B" w:rsidRPr="00B03D09">
        <w:rPr>
          <w:i/>
        </w:rPr>
        <w:t>Joel Oliphant</w:t>
      </w:r>
      <w:r w:rsidR="00744F4B" w:rsidRPr="00BB311F">
        <w:t>, for the respondent</w:t>
      </w:r>
      <w:r w:rsidR="00D51C6D" w:rsidRPr="00BB311F">
        <w:t xml:space="preserve"> Her Majesty the Queen in Right of the Province of British Columbia</w:t>
      </w:r>
      <w:r w:rsidR="00744F4B" w:rsidRPr="00BB311F">
        <w:t>.</w:t>
      </w:r>
      <w:proofErr w:type="gramEnd"/>
    </w:p>
    <w:p w:rsidR="0061216C" w:rsidRPr="00BB311F" w:rsidRDefault="0061216C" w:rsidP="00B639B7">
      <w:pPr>
        <w:pStyle w:val="SCCNormalDoubleSpacing"/>
        <w:spacing w:after="480"/>
      </w:pPr>
      <w:r w:rsidRPr="00B03D09">
        <w:rPr>
          <w:i/>
        </w:rPr>
        <w:tab/>
      </w:r>
      <w:proofErr w:type="gramStart"/>
      <w:r w:rsidRPr="00B03D09">
        <w:rPr>
          <w:i/>
        </w:rPr>
        <w:t>Brian McLaughlin</w:t>
      </w:r>
      <w:r w:rsidRPr="00BB311F">
        <w:t>, for the intervener the Attorney General of Canada.</w:t>
      </w:r>
      <w:proofErr w:type="gramEnd"/>
    </w:p>
    <w:p w:rsidR="0052363C" w:rsidRPr="00BB311F" w:rsidRDefault="00744F4B" w:rsidP="00B639B7">
      <w:pPr>
        <w:pStyle w:val="SCCNormalDoubleSpacing"/>
        <w:spacing w:after="480"/>
      </w:pPr>
      <w:r w:rsidRPr="00B03D09">
        <w:rPr>
          <w:i/>
        </w:rPr>
        <w:lastRenderedPageBreak/>
        <w:tab/>
      </w:r>
      <w:proofErr w:type="spellStart"/>
      <w:r w:rsidRPr="00B03D09">
        <w:rPr>
          <w:i/>
        </w:rPr>
        <w:t>Allisun</w:t>
      </w:r>
      <w:proofErr w:type="spellEnd"/>
      <w:r w:rsidRPr="00B03D09">
        <w:rPr>
          <w:i/>
        </w:rPr>
        <w:t xml:space="preserve"> </w:t>
      </w:r>
      <w:proofErr w:type="spellStart"/>
      <w:r w:rsidRPr="00B03D09">
        <w:rPr>
          <w:i/>
        </w:rPr>
        <w:t>Rana</w:t>
      </w:r>
      <w:proofErr w:type="spellEnd"/>
      <w:r w:rsidRPr="00BB311F">
        <w:t xml:space="preserve"> and </w:t>
      </w:r>
      <w:r w:rsidRPr="00B03D09">
        <w:rPr>
          <w:i/>
        </w:rPr>
        <w:t xml:space="preserve">Julie </w:t>
      </w:r>
      <w:proofErr w:type="spellStart"/>
      <w:r w:rsidRPr="00B03D09">
        <w:rPr>
          <w:i/>
        </w:rPr>
        <w:t>Tannahill</w:t>
      </w:r>
      <w:proofErr w:type="spellEnd"/>
      <w:r w:rsidRPr="00BB311F">
        <w:t>, for the intervener</w:t>
      </w:r>
      <w:r w:rsidR="005B6AA5" w:rsidRPr="00BB311F">
        <w:t>s</w:t>
      </w:r>
      <w:r w:rsidRPr="00BB311F">
        <w:t xml:space="preserve"> Chief Liz Logan, on behalf of herself and all other members of the Fort Nelson First Nation and the said Fort Nelson First Nation.</w:t>
      </w:r>
    </w:p>
    <w:p w:rsidR="0052363C" w:rsidRPr="00BB311F" w:rsidRDefault="00744F4B" w:rsidP="00B639B7">
      <w:pPr>
        <w:pStyle w:val="SCCNormalDoubleSpacing"/>
        <w:spacing w:after="480"/>
      </w:pPr>
      <w:r w:rsidRPr="00B03D09">
        <w:rPr>
          <w:i/>
        </w:rPr>
        <w:tab/>
      </w:r>
      <w:proofErr w:type="gramStart"/>
      <w:r w:rsidRPr="00B03D09">
        <w:rPr>
          <w:i/>
        </w:rPr>
        <w:t>John Hurley</w:t>
      </w:r>
      <w:r w:rsidR="008641AF" w:rsidRPr="00E668FE">
        <w:t xml:space="preserve"> and</w:t>
      </w:r>
      <w:r w:rsidR="008641AF" w:rsidRPr="00B03D09">
        <w:rPr>
          <w:i/>
        </w:rPr>
        <w:t xml:space="preserve"> François </w:t>
      </w:r>
      <w:proofErr w:type="spellStart"/>
      <w:r w:rsidR="008641AF" w:rsidRPr="00B03D09">
        <w:rPr>
          <w:i/>
        </w:rPr>
        <w:t>Dandonneau</w:t>
      </w:r>
      <w:proofErr w:type="spellEnd"/>
      <w:r w:rsidRPr="00BB311F">
        <w:t>, for the intervener</w:t>
      </w:r>
      <w:r w:rsidR="00172BC3" w:rsidRPr="00BB311F">
        <w:t>s</w:t>
      </w:r>
      <w:r w:rsidRPr="00BB311F">
        <w:t xml:space="preserve"> </w:t>
      </w:r>
      <w:r w:rsidR="008641AF" w:rsidRPr="00BB311F">
        <w:t xml:space="preserve">the </w:t>
      </w:r>
      <w:r w:rsidRPr="00BB311F">
        <w:t xml:space="preserve">Grand Council of the </w:t>
      </w:r>
      <w:proofErr w:type="spellStart"/>
      <w:r w:rsidRPr="00BB311F">
        <w:t>Crees</w:t>
      </w:r>
      <w:proofErr w:type="spellEnd"/>
      <w:r w:rsidRPr="00BB311F">
        <w:t xml:space="preserve"> (</w:t>
      </w:r>
      <w:proofErr w:type="spellStart"/>
      <w:r w:rsidRPr="00BB311F">
        <w:t>Eeyou</w:t>
      </w:r>
      <w:proofErr w:type="spellEnd"/>
      <w:r w:rsidRPr="00BB311F">
        <w:t xml:space="preserve"> </w:t>
      </w:r>
      <w:proofErr w:type="spellStart"/>
      <w:r w:rsidRPr="00BB311F">
        <w:t>Istchee</w:t>
      </w:r>
      <w:proofErr w:type="spellEnd"/>
      <w:r w:rsidRPr="00BB311F">
        <w:t>)/Cree Regional Authority.</w:t>
      </w:r>
      <w:proofErr w:type="gramEnd"/>
    </w:p>
    <w:p w:rsidR="0052363C" w:rsidRPr="00BB311F" w:rsidRDefault="00744F4B" w:rsidP="00B639B7">
      <w:pPr>
        <w:pStyle w:val="SCCNormalDoubleSpacing"/>
        <w:spacing w:after="480"/>
      </w:pPr>
      <w:r w:rsidRPr="00B03D09">
        <w:rPr>
          <w:i/>
        </w:rPr>
        <w:tab/>
      </w:r>
      <w:proofErr w:type="gramStart"/>
      <w:r w:rsidRPr="00B03D09">
        <w:rPr>
          <w:i/>
        </w:rPr>
        <w:t>Christopher</w:t>
      </w:r>
      <w:r w:rsidR="00B639B7" w:rsidRPr="00B03D09">
        <w:rPr>
          <w:i/>
        </w:rPr>
        <w:t> </w:t>
      </w:r>
      <w:r w:rsidRPr="00B03D09">
        <w:rPr>
          <w:i/>
        </w:rPr>
        <w:t>G. Devlin</w:t>
      </w:r>
      <w:r w:rsidRPr="00BB311F">
        <w:t xml:space="preserve"> and </w:t>
      </w:r>
      <w:r w:rsidRPr="00B03D09">
        <w:rPr>
          <w:i/>
        </w:rPr>
        <w:t>John</w:t>
      </w:r>
      <w:r w:rsidR="00B639B7" w:rsidRPr="00B03D09">
        <w:rPr>
          <w:i/>
        </w:rPr>
        <w:t> </w:t>
      </w:r>
      <w:r w:rsidR="00F87C98" w:rsidRPr="00B03D09">
        <w:rPr>
          <w:i/>
        </w:rPr>
        <w:t>W.</w:t>
      </w:r>
      <w:r w:rsidRPr="00B03D09">
        <w:rPr>
          <w:i/>
        </w:rPr>
        <w:t xml:space="preserve"> </w:t>
      </w:r>
      <w:proofErr w:type="spellStart"/>
      <w:r w:rsidRPr="00B03D09">
        <w:rPr>
          <w:i/>
        </w:rPr>
        <w:t>Gailus</w:t>
      </w:r>
      <w:proofErr w:type="spellEnd"/>
      <w:r w:rsidRPr="00BB311F">
        <w:t>, for the intervener</w:t>
      </w:r>
      <w:r w:rsidR="00F87C98" w:rsidRPr="00BB311F">
        <w:t>s</w:t>
      </w:r>
      <w:r w:rsidRPr="00BB311F">
        <w:t xml:space="preserve"> Chief Sally Sam and </w:t>
      </w:r>
      <w:r w:rsidR="00F87C98" w:rsidRPr="00BB311F">
        <w:t xml:space="preserve">the </w:t>
      </w:r>
      <w:proofErr w:type="spellStart"/>
      <w:r w:rsidRPr="00BB311F">
        <w:t>Maiyoo</w:t>
      </w:r>
      <w:proofErr w:type="spellEnd"/>
      <w:r w:rsidRPr="00BB311F">
        <w:t xml:space="preserve"> </w:t>
      </w:r>
      <w:proofErr w:type="spellStart"/>
      <w:r w:rsidRPr="00BB311F">
        <w:t>Keyoh</w:t>
      </w:r>
      <w:proofErr w:type="spellEnd"/>
      <w:r w:rsidRPr="00BB311F">
        <w:t xml:space="preserve"> Society.</w:t>
      </w:r>
      <w:proofErr w:type="gramEnd"/>
    </w:p>
    <w:p w:rsidR="0052363C" w:rsidRPr="00BB311F" w:rsidRDefault="00B639B7" w:rsidP="00B639B7">
      <w:pPr>
        <w:pStyle w:val="SCCNormalDoubleSpacing"/>
        <w:spacing w:after="480"/>
      </w:pPr>
      <w:r w:rsidRPr="00B03D09">
        <w:rPr>
          <w:i/>
        </w:rPr>
        <w:tab/>
      </w:r>
      <w:proofErr w:type="gramStart"/>
      <w:r w:rsidRPr="00B03D09">
        <w:rPr>
          <w:i/>
        </w:rPr>
        <w:t>John </w:t>
      </w:r>
      <w:r w:rsidR="00744F4B" w:rsidRPr="00B03D09">
        <w:rPr>
          <w:i/>
        </w:rPr>
        <w:t>J.</w:t>
      </w:r>
      <w:r w:rsidRPr="00B03D09">
        <w:rPr>
          <w:i/>
        </w:rPr>
        <w:t> </w:t>
      </w:r>
      <w:r w:rsidR="00744F4B" w:rsidRPr="00B03D09">
        <w:rPr>
          <w:i/>
        </w:rPr>
        <w:t>L. Hunter</w:t>
      </w:r>
      <w:r w:rsidR="00744F4B" w:rsidRPr="00E668FE">
        <w:t>,</w:t>
      </w:r>
      <w:r w:rsidR="00744F4B" w:rsidRPr="00B03D09">
        <w:rPr>
          <w:i/>
        </w:rPr>
        <w:t xml:space="preserve"> Q.C.</w:t>
      </w:r>
      <w:r w:rsidR="000A069E" w:rsidRPr="00E668FE">
        <w:t>,</w:t>
      </w:r>
      <w:r w:rsidR="00744F4B" w:rsidRPr="00BB311F">
        <w:t xml:space="preserve"> </w:t>
      </w:r>
      <w:r w:rsidR="00744F4B" w:rsidRPr="00B03D09">
        <w:rPr>
          <w:i/>
        </w:rPr>
        <w:t xml:space="preserve">Mark S. </w:t>
      </w:r>
      <w:proofErr w:type="spellStart"/>
      <w:r w:rsidR="00744F4B" w:rsidRPr="00B03D09">
        <w:rPr>
          <w:i/>
        </w:rPr>
        <w:t>Oulton</w:t>
      </w:r>
      <w:proofErr w:type="spellEnd"/>
      <w:r w:rsidR="000A069E" w:rsidRPr="00E668FE">
        <w:t xml:space="preserve"> and</w:t>
      </w:r>
      <w:r w:rsidR="000A069E" w:rsidRPr="00B03D09">
        <w:rPr>
          <w:i/>
        </w:rPr>
        <w:t xml:space="preserve"> Stephanie McHugh</w:t>
      </w:r>
      <w:r w:rsidR="00744F4B" w:rsidRPr="00BB311F">
        <w:t>, for the intervener</w:t>
      </w:r>
      <w:r w:rsidR="000A069E" w:rsidRPr="00BB311F">
        <w:t>s</w:t>
      </w:r>
      <w:r w:rsidR="00744F4B" w:rsidRPr="00BB311F">
        <w:t xml:space="preserve"> </w:t>
      </w:r>
      <w:r w:rsidR="000A069E" w:rsidRPr="00BB311F">
        <w:t xml:space="preserve">the </w:t>
      </w:r>
      <w:r w:rsidR="00744F4B" w:rsidRPr="00BB311F">
        <w:t xml:space="preserve">Council of Forest Industries and </w:t>
      </w:r>
      <w:r w:rsidR="000A069E" w:rsidRPr="00BB311F">
        <w:t xml:space="preserve">the </w:t>
      </w:r>
      <w:r w:rsidR="00744F4B" w:rsidRPr="00BB311F">
        <w:t>Alberta Forest Products Association.</w:t>
      </w:r>
      <w:proofErr w:type="gramEnd"/>
    </w:p>
    <w:p w:rsidR="00E24573" w:rsidRDefault="00744F4B" w:rsidP="00892CE3">
      <w:pPr>
        <w:pStyle w:val="SCCNormalDoubleSpacing"/>
        <w:spacing w:after="480"/>
        <w:rPr>
          <w:i/>
        </w:rPr>
      </w:pPr>
      <w:r w:rsidRPr="00B03D09">
        <w:rPr>
          <w:i/>
        </w:rPr>
        <w:tab/>
      </w:r>
      <w:proofErr w:type="gramStart"/>
      <w:r w:rsidRPr="00B03D09">
        <w:rPr>
          <w:i/>
        </w:rPr>
        <w:t xml:space="preserve">Jean </w:t>
      </w:r>
      <w:proofErr w:type="spellStart"/>
      <w:r w:rsidRPr="00B03D09">
        <w:rPr>
          <w:i/>
        </w:rPr>
        <w:t>Teillet</w:t>
      </w:r>
      <w:proofErr w:type="spellEnd"/>
      <w:r w:rsidRPr="00BB311F">
        <w:t xml:space="preserve"> and </w:t>
      </w:r>
      <w:proofErr w:type="spellStart"/>
      <w:r w:rsidR="00B639B7" w:rsidRPr="00B03D09">
        <w:rPr>
          <w:i/>
        </w:rPr>
        <w:t>Nuri</w:t>
      </w:r>
      <w:proofErr w:type="spellEnd"/>
      <w:r w:rsidR="00B639B7" w:rsidRPr="00B03D09">
        <w:rPr>
          <w:i/>
        </w:rPr>
        <w:t> </w:t>
      </w:r>
      <w:r w:rsidRPr="00B03D09">
        <w:rPr>
          <w:i/>
        </w:rPr>
        <w:t>G. Frame</w:t>
      </w:r>
      <w:r w:rsidRPr="00BB311F">
        <w:t xml:space="preserve">, for the intervener </w:t>
      </w:r>
      <w:r w:rsidR="002F6953">
        <w:t xml:space="preserve">the </w:t>
      </w:r>
      <w:r w:rsidRPr="00BB311F">
        <w:t>Moose Cree First Nation.</w:t>
      </w:r>
      <w:proofErr w:type="gramEnd"/>
    </w:p>
    <w:p w:rsidR="00892CE3" w:rsidRPr="00E668FE" w:rsidRDefault="00E668FE" w:rsidP="00892CE3">
      <w:pPr>
        <w:pStyle w:val="JudgeJuge"/>
        <w:rPr>
          <w:smallCaps w:val="0"/>
        </w:rPr>
      </w:pPr>
      <w:r>
        <w:tab/>
      </w:r>
      <w:r w:rsidRPr="00E668FE">
        <w:rPr>
          <w:smallCaps w:val="0"/>
        </w:rPr>
        <w:t>The ju</w:t>
      </w:r>
      <w:r>
        <w:rPr>
          <w:smallCaps w:val="0"/>
        </w:rPr>
        <w:t>dgment of the Court was delivered by</w:t>
      </w:r>
    </w:p>
    <w:p w:rsidR="00892CE3" w:rsidRPr="007A189D" w:rsidRDefault="00892CE3" w:rsidP="00892CE3">
      <w:pPr>
        <w:pStyle w:val="JudgeJuge"/>
      </w:pPr>
      <w:r w:rsidRPr="007A189D">
        <w:tab/>
      </w:r>
      <w:proofErr w:type="spellStart"/>
      <w:r w:rsidRPr="007A189D">
        <w:t>LeBel</w:t>
      </w:r>
      <w:proofErr w:type="spellEnd"/>
      <w:r w:rsidRPr="007A189D">
        <w:t xml:space="preserve"> J. — </w:t>
      </w:r>
    </w:p>
    <w:p w:rsidR="00892CE3" w:rsidRPr="007A189D" w:rsidRDefault="00892CE3" w:rsidP="00E668FE">
      <w:pPr>
        <w:pStyle w:val="TitleTitre-AltT"/>
        <w:tabs>
          <w:tab w:val="clear" w:pos="360"/>
          <w:tab w:val="left" w:pos="540"/>
        </w:tabs>
        <w:ind w:left="540" w:hanging="540"/>
        <w:rPr>
          <w:rFonts w:cs="Times New Roman"/>
        </w:rPr>
      </w:pPr>
      <w:r w:rsidRPr="007A189D">
        <w:rPr>
          <w:rFonts w:cs="Times New Roman"/>
        </w:rPr>
        <w:t>I.</w:t>
      </w:r>
      <w:r w:rsidRPr="007A189D">
        <w:rPr>
          <w:rFonts w:cs="Times New Roman"/>
        </w:rPr>
        <w:tab/>
      </w:r>
      <w:r w:rsidRPr="007A189D">
        <w:rPr>
          <w:rFonts w:cs="Times New Roman"/>
          <w:u w:val="single"/>
        </w:rPr>
        <w:t>Introduction — Overview</w:t>
      </w:r>
    </w:p>
    <w:p w:rsidR="00892CE3" w:rsidRPr="007A189D" w:rsidRDefault="00892CE3" w:rsidP="00892CE3">
      <w:pPr>
        <w:pStyle w:val="ParaNoNdepar-AltN"/>
        <w:rPr>
          <w:rFonts w:cs="Times New Roman"/>
        </w:rPr>
      </w:pPr>
      <w:r w:rsidRPr="007A189D">
        <w:rPr>
          <w:rFonts w:cs="Times New Roman"/>
        </w:rPr>
        <w:lastRenderedPageBreak/>
        <w:t>This appeal raises issues of standing and abuse of process in the context of relations between members of an Aboriginal community, a logging company, and a provincial government.  After the Crown had granted licences to a logging company to harvest timber in two areas on the territory of the Fort Nelson First Nation (“FNFN”) in British Columbia, a number of individuals from that First Nation erected a camp that, in effect, blocked the company’s access to the logging sites.  The company brought a tort action against these members of the Aboriginal community, who argued in their defence that the licences were void because they had been issued in breach of the constitutional duty to consult and because they violated the community members’ treaty rights.</w:t>
      </w:r>
    </w:p>
    <w:p w:rsidR="00892CE3" w:rsidRPr="007A189D" w:rsidRDefault="00892CE3" w:rsidP="00892CE3">
      <w:pPr>
        <w:pStyle w:val="ParaNoNdepar-AltN"/>
        <w:rPr>
          <w:rFonts w:cs="Times New Roman"/>
        </w:rPr>
      </w:pPr>
      <w:r w:rsidRPr="007A189D">
        <w:rPr>
          <w:rFonts w:cs="Times New Roman"/>
        </w:rPr>
        <w:t>The logging company filed a motion to strike these defences.  The courts below held that the individual members of the Aborig</w:t>
      </w:r>
      <w:r w:rsidR="001C67E5">
        <w:rPr>
          <w:rFonts w:cs="Times New Roman"/>
        </w:rPr>
        <w:t>inal community (the “</w:t>
      </w:r>
      <w:proofErr w:type="spellStart"/>
      <w:r w:rsidR="001C67E5">
        <w:rPr>
          <w:rFonts w:cs="Times New Roman"/>
        </w:rPr>
        <w:t>Behns</w:t>
      </w:r>
      <w:proofErr w:type="spellEnd"/>
      <w:r w:rsidR="001C67E5">
        <w:rPr>
          <w:rFonts w:cs="Times New Roman"/>
        </w:rPr>
        <w:t>”)</w:t>
      </w:r>
      <w:r w:rsidRPr="007A189D">
        <w:rPr>
          <w:rFonts w:cs="Times New Roman"/>
        </w:rPr>
        <w:t xml:space="preserve"> did not have standing to assert collective rights in their defence; only the community could raise such rights.  The courts below also concluded that such a challenge to the validity of the licences amounted to a collateral attack or an abuse of process, as the </w:t>
      </w:r>
      <w:proofErr w:type="spellStart"/>
      <w:r w:rsidRPr="007A189D">
        <w:rPr>
          <w:rFonts w:cs="Times New Roman"/>
        </w:rPr>
        <w:t>Behns</w:t>
      </w:r>
      <w:proofErr w:type="spellEnd"/>
      <w:r w:rsidRPr="007A189D">
        <w:rPr>
          <w:rFonts w:cs="Times New Roman"/>
        </w:rPr>
        <w:t xml:space="preserve"> had failed to challenge the validity of the licences when they were issued.</w:t>
      </w:r>
    </w:p>
    <w:p w:rsidR="00892CE3" w:rsidRPr="007A189D" w:rsidRDefault="00892CE3" w:rsidP="00892CE3">
      <w:pPr>
        <w:pStyle w:val="ParaNoNdepar-AltN"/>
        <w:rPr>
          <w:rFonts w:cs="Times New Roman"/>
        </w:rPr>
      </w:pPr>
      <w:r w:rsidRPr="007A189D">
        <w:rPr>
          <w:rFonts w:cs="Times New Roman"/>
        </w:rPr>
        <w:t xml:space="preserve">The Court is asked to consider in this appeal whether an individual member or group of members of an Aboriginal community can raise a breach of Aboriginal and treaty rights as a defence to a tort action and, if so, in what circumstances.  But, as this question of standing is not determinative for the purposes </w:t>
      </w:r>
      <w:r w:rsidRPr="007A189D">
        <w:rPr>
          <w:rFonts w:cs="Times New Roman"/>
        </w:rPr>
        <w:lastRenderedPageBreak/>
        <w:t>of this appeal, the Court must also decide whether the doctrine of abuse of process applies in this case.</w:t>
      </w:r>
    </w:p>
    <w:p w:rsidR="00892CE3" w:rsidRPr="007A189D" w:rsidRDefault="00892CE3" w:rsidP="00892CE3">
      <w:pPr>
        <w:pStyle w:val="ParaNoNdepar-AltN"/>
        <w:rPr>
          <w:rFonts w:cs="Times New Roman"/>
        </w:rPr>
      </w:pPr>
      <w:r w:rsidRPr="007A189D">
        <w:rPr>
          <w:rFonts w:cs="Times New Roman"/>
        </w:rPr>
        <w:t>For the reasons that follow, I would dismiss the appeal.</w:t>
      </w:r>
    </w:p>
    <w:p w:rsidR="00892CE3" w:rsidRPr="007A189D" w:rsidRDefault="00892CE3" w:rsidP="00892CE3">
      <w:pPr>
        <w:pStyle w:val="TitleTitre-AltT"/>
        <w:rPr>
          <w:rFonts w:cs="Times New Roman"/>
        </w:rPr>
      </w:pPr>
      <w:r w:rsidRPr="007A189D">
        <w:rPr>
          <w:rFonts w:cs="Times New Roman"/>
        </w:rPr>
        <w:t>II.</w:t>
      </w:r>
      <w:r w:rsidRPr="007A189D">
        <w:rPr>
          <w:rFonts w:cs="Times New Roman"/>
        </w:rPr>
        <w:tab/>
      </w:r>
      <w:r w:rsidRPr="007A189D">
        <w:rPr>
          <w:rFonts w:cs="Times New Roman"/>
          <w:u w:val="single"/>
        </w:rPr>
        <w:t>Facts</w:t>
      </w:r>
    </w:p>
    <w:p w:rsidR="00892CE3" w:rsidRPr="007A189D" w:rsidRDefault="00892CE3" w:rsidP="00892CE3">
      <w:pPr>
        <w:pStyle w:val="ParaNoNdepar-AltN"/>
        <w:rPr>
          <w:rFonts w:cs="Times New Roman"/>
        </w:rPr>
      </w:pPr>
      <w:r w:rsidRPr="007A189D">
        <w:rPr>
          <w:rFonts w:cs="Times New Roman"/>
        </w:rPr>
        <w:t xml:space="preserve">As this is an appeal from a decision on a motion to strike pleadings, the following facts are taken from the pleadings. </w:t>
      </w:r>
      <w:r>
        <w:rPr>
          <w:rFonts w:cs="Times New Roman"/>
        </w:rPr>
        <w:t xml:space="preserve"> </w:t>
      </w:r>
      <w:r w:rsidRPr="007A189D">
        <w:rPr>
          <w:rFonts w:cs="Times New Roman"/>
        </w:rPr>
        <w:t xml:space="preserve">The </w:t>
      </w:r>
      <w:proofErr w:type="spellStart"/>
      <w:r w:rsidRPr="007A189D">
        <w:rPr>
          <w:rFonts w:cs="Times New Roman"/>
        </w:rPr>
        <w:t>Behns</w:t>
      </w:r>
      <w:proofErr w:type="spellEnd"/>
      <w:r w:rsidRPr="007A189D">
        <w:rPr>
          <w:rFonts w:cs="Times New Roman"/>
        </w:rPr>
        <w:t xml:space="preserve"> are, with one exception, members of the FNFN, a “band” within the meaning of the </w:t>
      </w:r>
      <w:r w:rsidRPr="007A189D">
        <w:rPr>
          <w:rFonts w:cs="Times New Roman"/>
          <w:i/>
        </w:rPr>
        <w:t>Indian Act</w:t>
      </w:r>
      <w:r w:rsidRPr="007A189D">
        <w:rPr>
          <w:rFonts w:cs="Times New Roman"/>
        </w:rPr>
        <w:t xml:space="preserve">, R.S.C. 1985, </w:t>
      </w:r>
      <w:proofErr w:type="gramStart"/>
      <w:r w:rsidRPr="007A189D">
        <w:rPr>
          <w:rFonts w:cs="Times New Roman"/>
        </w:rPr>
        <w:t>c</w:t>
      </w:r>
      <w:proofErr w:type="gramEnd"/>
      <w:r w:rsidRPr="007A189D">
        <w:rPr>
          <w:rFonts w:cs="Times New Roman"/>
        </w:rPr>
        <w:t xml:space="preserve">. I-5.  The FNFN is a party to Treaty No. 8 of 1899, which covers an area comprising parts of Alberta, British Columbia, Saskatchewan and the Northwest Territories.  The </w:t>
      </w:r>
      <w:proofErr w:type="spellStart"/>
      <w:r w:rsidRPr="007A189D">
        <w:rPr>
          <w:rFonts w:cs="Times New Roman"/>
        </w:rPr>
        <w:t>Behns</w:t>
      </w:r>
      <w:proofErr w:type="spellEnd"/>
      <w:r w:rsidRPr="007A189D">
        <w:rPr>
          <w:rFonts w:cs="Times New Roman"/>
        </w:rPr>
        <w:t xml:space="preserve"> allege that they have traditionally hunted and trapped on a part of the FNFN’s territory that has historically been allocated to their family.</w:t>
      </w:r>
    </w:p>
    <w:p w:rsidR="00892CE3" w:rsidRPr="007A189D" w:rsidRDefault="00892CE3" w:rsidP="00892CE3">
      <w:pPr>
        <w:pStyle w:val="ParaNoNdepar-AltN"/>
        <w:rPr>
          <w:rFonts w:cs="Times New Roman"/>
        </w:rPr>
      </w:pPr>
      <w:r w:rsidRPr="007A189D">
        <w:rPr>
          <w:rFonts w:cs="Times New Roman"/>
        </w:rPr>
        <w:t xml:space="preserve">Moulton Contracting Ltd. (“Moulton”) is a company incorporated pursuant to the laws of British Columbia.  On June 27, 2006, the British Columbia Ministry of Forests (“MOF”) granted Moulton two timber sale licences and a road permit (the “Authorizations”) pursuant to the </w:t>
      </w:r>
      <w:r w:rsidRPr="007A189D">
        <w:rPr>
          <w:rFonts w:cs="Times New Roman"/>
          <w:i/>
        </w:rPr>
        <w:t>Forest Act</w:t>
      </w:r>
      <w:r w:rsidRPr="007A189D">
        <w:rPr>
          <w:rFonts w:cs="Times New Roman"/>
        </w:rPr>
        <w:t xml:space="preserve">, R.S.B.C. 1996, </w:t>
      </w:r>
      <w:proofErr w:type="gramStart"/>
      <w:r w:rsidRPr="007A189D">
        <w:rPr>
          <w:rFonts w:cs="Times New Roman"/>
        </w:rPr>
        <w:t>c</w:t>
      </w:r>
      <w:proofErr w:type="gramEnd"/>
      <w:r w:rsidRPr="007A189D">
        <w:rPr>
          <w:rFonts w:cs="Times New Roman"/>
        </w:rPr>
        <w:t xml:space="preserve">. 157.  These Authorizations entitled Moulton to harvest timber on two parcels of land within the FNFN’s territory, both of which are within the </w:t>
      </w:r>
      <w:proofErr w:type="spellStart"/>
      <w:r w:rsidRPr="007A189D">
        <w:rPr>
          <w:rFonts w:cs="Times New Roman"/>
        </w:rPr>
        <w:t>Behn</w:t>
      </w:r>
      <w:proofErr w:type="spellEnd"/>
      <w:r w:rsidRPr="007A189D">
        <w:rPr>
          <w:rFonts w:cs="Times New Roman"/>
        </w:rPr>
        <w:t xml:space="preserve"> family </w:t>
      </w:r>
      <w:proofErr w:type="spellStart"/>
      <w:r w:rsidRPr="007A189D">
        <w:rPr>
          <w:rFonts w:cs="Times New Roman"/>
        </w:rPr>
        <w:t>trapline</w:t>
      </w:r>
      <w:proofErr w:type="spellEnd"/>
      <w:r w:rsidRPr="007A189D">
        <w:rPr>
          <w:rFonts w:cs="Times New Roman"/>
        </w:rPr>
        <w:t xml:space="preserve">.  The </w:t>
      </w:r>
      <w:proofErr w:type="spellStart"/>
      <w:r w:rsidRPr="007A189D">
        <w:rPr>
          <w:rFonts w:cs="Times New Roman"/>
        </w:rPr>
        <w:t>Behns</w:t>
      </w:r>
      <w:proofErr w:type="spellEnd"/>
      <w:r w:rsidRPr="007A189D">
        <w:rPr>
          <w:rFonts w:cs="Times New Roman"/>
        </w:rPr>
        <w:t xml:space="preserve"> stated in their Amended Statement of Defence that the FNFN manages its territory by allocating parts of it (called </w:t>
      </w:r>
      <w:proofErr w:type="spellStart"/>
      <w:r w:rsidRPr="007A189D">
        <w:rPr>
          <w:rFonts w:cs="Times New Roman"/>
        </w:rPr>
        <w:t>traplines</w:t>
      </w:r>
      <w:proofErr w:type="spellEnd"/>
      <w:r w:rsidRPr="007A189D">
        <w:rPr>
          <w:rFonts w:cs="Times New Roman"/>
        </w:rPr>
        <w:t>) to specific families:</w:t>
      </w:r>
    </w:p>
    <w:p w:rsidR="00892CE3" w:rsidRPr="007A189D" w:rsidRDefault="00892CE3" w:rsidP="00892CE3">
      <w:pPr>
        <w:pStyle w:val="Citation-AltC"/>
      </w:pPr>
      <w:r w:rsidRPr="007A189D">
        <w:lastRenderedPageBreak/>
        <w:t>While the rights provided for in the Treaty # 8 extended throughout the tract described in the treaty, most of the aboriginal people comprising the Fort Nelson First Nation traditionally ordered themselves so that the rights to hunt and trap set out in Treaty 8 were exercised in tracts of land associated with different extended families. These extended families were headed by a headman. [A.R., at p. 89]</w:t>
      </w:r>
    </w:p>
    <w:p w:rsidR="00892CE3" w:rsidRPr="007A189D" w:rsidRDefault="00892CE3" w:rsidP="00892CE3">
      <w:pPr>
        <w:pStyle w:val="ParaNoNdepar-AltN"/>
        <w:rPr>
          <w:rFonts w:cs="Times New Roman"/>
        </w:rPr>
      </w:pPr>
      <w:r w:rsidRPr="007A189D">
        <w:rPr>
          <w:rFonts w:cs="Times New Roman"/>
        </w:rPr>
        <w:t xml:space="preserve">Before granting the Authorizations, the MOF had contacted representatives of the FNFN and individual trappers, including George </w:t>
      </w:r>
      <w:proofErr w:type="spellStart"/>
      <w:r w:rsidRPr="007A189D">
        <w:rPr>
          <w:rFonts w:cs="Times New Roman"/>
        </w:rPr>
        <w:t>Behn</w:t>
      </w:r>
      <w:proofErr w:type="spellEnd"/>
      <w:r w:rsidRPr="007A189D">
        <w:rPr>
          <w:rFonts w:cs="Times New Roman"/>
        </w:rPr>
        <w:t xml:space="preserve">, the headman of the </w:t>
      </w:r>
      <w:proofErr w:type="spellStart"/>
      <w:r w:rsidRPr="007A189D">
        <w:rPr>
          <w:rFonts w:cs="Times New Roman"/>
        </w:rPr>
        <w:t>Behn</w:t>
      </w:r>
      <w:proofErr w:type="spellEnd"/>
      <w:r w:rsidRPr="007A189D">
        <w:rPr>
          <w:rFonts w:cs="Times New Roman"/>
        </w:rPr>
        <w:t xml:space="preserve"> family, in developing and amending its forest development plan (“FDP”).  The MOF contacted the FNFN in August 2004 and individual trappers, including Mr. </w:t>
      </w:r>
      <w:proofErr w:type="spellStart"/>
      <w:r w:rsidRPr="007A189D">
        <w:rPr>
          <w:rFonts w:cs="Times New Roman"/>
        </w:rPr>
        <w:t>Behn</w:t>
      </w:r>
      <w:proofErr w:type="spellEnd"/>
      <w:r w:rsidRPr="007A189D">
        <w:rPr>
          <w:rFonts w:cs="Times New Roman"/>
        </w:rPr>
        <w:t xml:space="preserve">, in September 2004 to notify them </w:t>
      </w:r>
      <w:proofErr w:type="gramStart"/>
      <w:r w:rsidRPr="007A189D">
        <w:rPr>
          <w:rFonts w:cs="Times New Roman"/>
        </w:rPr>
        <w:t>that additional harvesting blocks</w:t>
      </w:r>
      <w:proofErr w:type="gramEnd"/>
      <w:r w:rsidRPr="007A189D">
        <w:rPr>
          <w:rFonts w:cs="Times New Roman"/>
        </w:rPr>
        <w:t xml:space="preserve"> were being proposed.  The trappers it contacted were invited to advise it of any concerns they had or provide it with comments by October 20, 2004.  MOF officials met a representative of the FNFN in November 2004 to discuss consultation on </w:t>
      </w:r>
      <w:r w:rsidR="00E668FE">
        <w:rPr>
          <w:rFonts w:cs="Times New Roman"/>
        </w:rPr>
        <w:t>the proposed amendment to the F</w:t>
      </w:r>
      <w:r w:rsidRPr="007A189D">
        <w:rPr>
          <w:rFonts w:cs="Times New Roman"/>
        </w:rPr>
        <w:t>D</w:t>
      </w:r>
      <w:r w:rsidR="00E668FE">
        <w:rPr>
          <w:rFonts w:cs="Times New Roman"/>
        </w:rPr>
        <w:t>P</w:t>
      </w:r>
      <w:r w:rsidRPr="007A189D">
        <w:rPr>
          <w:rFonts w:cs="Times New Roman"/>
        </w:rPr>
        <w:t>.  The issue of funding to enable the FNFN to provide information to the MOF was discussed at that meeting.  Funding was ultimately refused.  On January 31, 2005, the MOF wrote to the FNFN to advise it that archaeological impact assessments would be conducted for certain areas proposed for harvesting in the amendment to the FDP.  Two archaeological impact assessments were completed in August 2005, and copies of them were delivered to the FNFN.  The MOF and the FNFN met again on September 21, 2005 to discuss the proposed amendment further.</w:t>
      </w:r>
    </w:p>
    <w:p w:rsidR="00892CE3" w:rsidRPr="007A189D" w:rsidRDefault="00892CE3" w:rsidP="00892CE3">
      <w:pPr>
        <w:pStyle w:val="ParaNoNdepar-AltN"/>
        <w:rPr>
          <w:rFonts w:cs="Times New Roman"/>
        </w:rPr>
      </w:pPr>
      <w:r w:rsidRPr="007A189D">
        <w:rPr>
          <w:rFonts w:cs="Times New Roman"/>
        </w:rPr>
        <w:t xml:space="preserve">The MOF approved the amendment to the FDP.  On June 2, 2006, it put the two timber sale licences relevant to this appeal up for sale.  After granting the </w:t>
      </w:r>
      <w:r w:rsidRPr="007A189D">
        <w:rPr>
          <w:rFonts w:cs="Times New Roman"/>
        </w:rPr>
        <w:lastRenderedPageBreak/>
        <w:t xml:space="preserve">Authorizations to Moulton, the MOF wrote to George </w:t>
      </w:r>
      <w:proofErr w:type="spellStart"/>
      <w:r w:rsidRPr="007A189D">
        <w:rPr>
          <w:rFonts w:cs="Times New Roman"/>
        </w:rPr>
        <w:t>Behn</w:t>
      </w:r>
      <w:proofErr w:type="spellEnd"/>
      <w:r w:rsidRPr="007A189D">
        <w:rPr>
          <w:rFonts w:cs="Times New Roman"/>
        </w:rPr>
        <w:t xml:space="preserve"> on June 28, 2006</w:t>
      </w:r>
      <w:r w:rsidR="009F1065">
        <w:rPr>
          <w:rFonts w:cs="Times New Roman"/>
        </w:rPr>
        <w:t>,</w:t>
      </w:r>
      <w:r w:rsidRPr="007A189D">
        <w:rPr>
          <w:rFonts w:cs="Times New Roman"/>
        </w:rPr>
        <w:t xml:space="preserve"> to advise him that Moulton had been awarded licences to harvest timber within his trapping area.  In that letter, George </w:t>
      </w:r>
      <w:proofErr w:type="spellStart"/>
      <w:r w:rsidRPr="007A189D">
        <w:rPr>
          <w:rFonts w:cs="Times New Roman"/>
        </w:rPr>
        <w:t>Behn</w:t>
      </w:r>
      <w:proofErr w:type="spellEnd"/>
      <w:r w:rsidRPr="007A189D">
        <w:rPr>
          <w:rFonts w:cs="Times New Roman"/>
        </w:rPr>
        <w:t xml:space="preserve"> was advised to contact Moulton directly to confirm the date its harvesting operations were to commence.  The MOF again wrote to Mr. </w:t>
      </w:r>
      <w:proofErr w:type="spellStart"/>
      <w:r w:rsidRPr="007A189D">
        <w:rPr>
          <w:rFonts w:cs="Times New Roman"/>
        </w:rPr>
        <w:t>Behn</w:t>
      </w:r>
      <w:proofErr w:type="spellEnd"/>
      <w:r w:rsidRPr="007A189D">
        <w:rPr>
          <w:rFonts w:cs="Times New Roman"/>
        </w:rPr>
        <w:t xml:space="preserve"> on July 17, 2006</w:t>
      </w:r>
      <w:r w:rsidR="009F1065">
        <w:rPr>
          <w:rFonts w:cs="Times New Roman"/>
        </w:rPr>
        <w:t>,</w:t>
      </w:r>
      <w:r w:rsidRPr="007A189D">
        <w:rPr>
          <w:rFonts w:cs="Times New Roman"/>
        </w:rPr>
        <w:t xml:space="preserve"> to advise him that the operations would begin on August 1, 2006.  On August 31, 2006, George </w:t>
      </w:r>
      <w:proofErr w:type="spellStart"/>
      <w:r w:rsidRPr="007A189D">
        <w:rPr>
          <w:rFonts w:cs="Times New Roman"/>
        </w:rPr>
        <w:t>Behn</w:t>
      </w:r>
      <w:proofErr w:type="spellEnd"/>
      <w:r w:rsidRPr="007A189D">
        <w:rPr>
          <w:rFonts w:cs="Times New Roman"/>
        </w:rPr>
        <w:t xml:space="preserve"> wrote to the MOF, requesting that the Authorizations granted to Moulton be cancelled and seeking consultation.  No copy of this letter was sent to Moulton.</w:t>
      </w:r>
    </w:p>
    <w:p w:rsidR="00892CE3" w:rsidRPr="007A189D" w:rsidRDefault="00892CE3" w:rsidP="00892CE3">
      <w:pPr>
        <w:pStyle w:val="ParaNoNdepar-AltN"/>
        <w:rPr>
          <w:rFonts w:cs="Times New Roman"/>
        </w:rPr>
      </w:pPr>
      <w:r w:rsidRPr="007A189D">
        <w:rPr>
          <w:rFonts w:cs="Times New Roman"/>
        </w:rPr>
        <w:t xml:space="preserve">Between September 19 and September 22, 2006, Moulton started moving its equipment to one of the two sites to which the Authorizations applied.  On September 25, 2006, the MOF notified Moulton that there was a potential problem with George </w:t>
      </w:r>
      <w:proofErr w:type="spellStart"/>
      <w:r w:rsidRPr="007A189D">
        <w:rPr>
          <w:rFonts w:cs="Times New Roman"/>
        </w:rPr>
        <w:t>Behn</w:t>
      </w:r>
      <w:proofErr w:type="spellEnd"/>
      <w:r w:rsidRPr="007A189D">
        <w:rPr>
          <w:rFonts w:cs="Times New Roman"/>
        </w:rPr>
        <w:t>.  The MOF requested that Moulton move its operations to the second site.  Moulton replied that it could not do so because it had commitments to a mill to deliver timber from the first site.</w:t>
      </w:r>
    </w:p>
    <w:p w:rsidR="00892CE3" w:rsidRPr="007A189D" w:rsidRDefault="00892CE3" w:rsidP="00892CE3">
      <w:pPr>
        <w:pStyle w:val="ParaNoNdepar-AltN"/>
        <w:rPr>
          <w:rFonts w:cs="Times New Roman"/>
        </w:rPr>
      </w:pPr>
      <w:r w:rsidRPr="007A189D">
        <w:rPr>
          <w:rFonts w:cs="Times New Roman"/>
        </w:rPr>
        <w:t xml:space="preserve">In early October 2006, the </w:t>
      </w:r>
      <w:proofErr w:type="spellStart"/>
      <w:r w:rsidRPr="007A189D">
        <w:rPr>
          <w:rFonts w:cs="Times New Roman"/>
        </w:rPr>
        <w:t>Behns</w:t>
      </w:r>
      <w:proofErr w:type="spellEnd"/>
      <w:r w:rsidRPr="007A189D">
        <w:rPr>
          <w:rFonts w:cs="Times New Roman"/>
        </w:rPr>
        <w:t xml:space="preserve"> erected a camp on the access road leading to the parcels of land to which the Authorizations applied.  The camp blocked access to the land where Moulton was authorized to harvest timber.</w:t>
      </w:r>
    </w:p>
    <w:p w:rsidR="00892CE3" w:rsidRPr="007A189D" w:rsidRDefault="00892CE3" w:rsidP="00892CE3">
      <w:pPr>
        <w:pStyle w:val="ParaNoNdepar-AltN"/>
        <w:rPr>
          <w:rFonts w:cs="Times New Roman"/>
        </w:rPr>
      </w:pPr>
      <w:r w:rsidRPr="007A189D">
        <w:rPr>
          <w:rFonts w:cs="Times New Roman"/>
        </w:rPr>
        <w:t xml:space="preserve">On November 23, 2006, Moulton filed a statement of claim in the British Columbia Supreme Court against the </w:t>
      </w:r>
      <w:proofErr w:type="spellStart"/>
      <w:r w:rsidRPr="007A189D">
        <w:rPr>
          <w:rFonts w:cs="Times New Roman"/>
        </w:rPr>
        <w:t>Behns</w:t>
      </w:r>
      <w:proofErr w:type="spellEnd"/>
      <w:r w:rsidRPr="007A189D">
        <w:rPr>
          <w:rFonts w:cs="Times New Roman"/>
        </w:rPr>
        <w:t xml:space="preserve">, Chief Logan on behalf of herself and the FNFN, and the Crown.  Moulton claimed damages from the </w:t>
      </w:r>
      <w:proofErr w:type="spellStart"/>
      <w:r w:rsidRPr="007A189D">
        <w:rPr>
          <w:rFonts w:cs="Times New Roman"/>
        </w:rPr>
        <w:t>Behns</w:t>
      </w:r>
      <w:proofErr w:type="spellEnd"/>
      <w:r w:rsidRPr="007A189D">
        <w:rPr>
          <w:rFonts w:cs="Times New Roman"/>
        </w:rPr>
        <w:t xml:space="preserve"> for interference with contractual relations.  In their statement of defence, the </w:t>
      </w:r>
      <w:proofErr w:type="spellStart"/>
      <w:r w:rsidRPr="007A189D">
        <w:rPr>
          <w:rFonts w:cs="Times New Roman"/>
        </w:rPr>
        <w:t>Behns</w:t>
      </w:r>
      <w:proofErr w:type="spellEnd"/>
      <w:r w:rsidRPr="007A189D">
        <w:rPr>
          <w:rFonts w:cs="Times New Roman"/>
        </w:rPr>
        <w:t xml:space="preserve"> denied that their </w:t>
      </w:r>
      <w:r w:rsidRPr="007A189D">
        <w:rPr>
          <w:rFonts w:cs="Times New Roman"/>
        </w:rPr>
        <w:lastRenderedPageBreak/>
        <w:t>conduct was unlawful.  They alleged that the Authorizations were illegal for two reasons.  First, the Crown had failed to fulfil its duty to consult in issuing the Authorizations.  Second, the Authorizations infringed their hunting and trapping rights under Treaty No. 8.</w:t>
      </w:r>
    </w:p>
    <w:p w:rsidR="00892CE3" w:rsidRPr="007A189D" w:rsidRDefault="00892CE3" w:rsidP="00892CE3">
      <w:pPr>
        <w:pStyle w:val="ParaNoNdepar-AltN"/>
        <w:rPr>
          <w:rFonts w:cs="Times New Roman"/>
        </w:rPr>
      </w:pPr>
      <w:r w:rsidRPr="007A189D">
        <w:rPr>
          <w:rFonts w:cs="Times New Roman"/>
        </w:rPr>
        <w:t xml:space="preserve">Moulton applied under Rule 19(24) of the </w:t>
      </w:r>
      <w:r w:rsidRPr="007A189D">
        <w:rPr>
          <w:rFonts w:cs="Times New Roman"/>
          <w:i/>
        </w:rPr>
        <w:t>Supreme Court Rules</w:t>
      </w:r>
      <w:r w:rsidRPr="007A189D">
        <w:rPr>
          <w:rFonts w:cs="Times New Roman"/>
        </w:rPr>
        <w:t xml:space="preserve">, B.C. Reg. 221/90 [repealed] (now Rule 9-5(1), </w:t>
      </w:r>
      <w:r w:rsidRPr="007A189D">
        <w:rPr>
          <w:rFonts w:cs="Times New Roman"/>
          <w:i/>
        </w:rPr>
        <w:t>Supreme Court Civil Rules</w:t>
      </w:r>
      <w:r w:rsidRPr="007A189D">
        <w:rPr>
          <w:rFonts w:cs="Times New Roman"/>
        </w:rPr>
        <w:t xml:space="preserve">, B.C. Reg. 168/2009), to have a number of paragraphs struck out of the </w:t>
      </w:r>
      <w:proofErr w:type="spellStart"/>
      <w:r w:rsidRPr="007A189D">
        <w:rPr>
          <w:rFonts w:cs="Times New Roman"/>
        </w:rPr>
        <w:t>Behns</w:t>
      </w:r>
      <w:proofErr w:type="spellEnd"/>
      <w:r w:rsidRPr="007A189D">
        <w:rPr>
          <w:rFonts w:cs="Times New Roman"/>
        </w:rPr>
        <w:t xml:space="preserve">’ statement of defence on the ground (1) that it was plain and obvious that they did not disclose a reasonable defence, or (2) that the relief being sought in them constituted an abuse of process.  In substance, the paragraphs Moulton sought to have struck related to the </w:t>
      </w:r>
      <w:proofErr w:type="spellStart"/>
      <w:r w:rsidRPr="007A189D">
        <w:rPr>
          <w:rFonts w:cs="Times New Roman"/>
        </w:rPr>
        <w:t>Behns</w:t>
      </w:r>
      <w:proofErr w:type="spellEnd"/>
      <w:r w:rsidRPr="007A189D">
        <w:rPr>
          <w:rFonts w:cs="Times New Roman"/>
        </w:rPr>
        <w:t xml:space="preserve">’ allegations that the Authorizations were invalid because they had been issued in breach of the Crown’s duty to consult and because they violated the </w:t>
      </w:r>
      <w:proofErr w:type="spellStart"/>
      <w:r w:rsidRPr="007A189D">
        <w:rPr>
          <w:rFonts w:cs="Times New Roman"/>
        </w:rPr>
        <w:t>Behns</w:t>
      </w:r>
      <w:proofErr w:type="spellEnd"/>
      <w:r w:rsidRPr="007A189D">
        <w:rPr>
          <w:rFonts w:cs="Times New Roman"/>
        </w:rPr>
        <w:t xml:space="preserve">’ treaty rights, and to their allegations that their acts were neither illegal nor </w:t>
      </w:r>
      <w:proofErr w:type="spellStart"/>
      <w:r w:rsidRPr="007A189D">
        <w:rPr>
          <w:rFonts w:cs="Times New Roman"/>
        </w:rPr>
        <w:t>tortious</w:t>
      </w:r>
      <w:proofErr w:type="spellEnd"/>
      <w:r w:rsidRPr="007A189D">
        <w:rPr>
          <w:rFonts w:cs="Times New Roman"/>
        </w:rPr>
        <w:t xml:space="preserve">.  The Crown supported Moulton’s application and further submitted that the </w:t>
      </w:r>
      <w:proofErr w:type="spellStart"/>
      <w:r w:rsidRPr="007A189D">
        <w:rPr>
          <w:rFonts w:cs="Times New Roman"/>
        </w:rPr>
        <w:t>Behns</w:t>
      </w:r>
      <w:proofErr w:type="spellEnd"/>
      <w:r w:rsidRPr="007A189D">
        <w:rPr>
          <w:rFonts w:cs="Times New Roman"/>
        </w:rPr>
        <w:t xml:space="preserve"> lacked standing to raise a breach of the duty to consult or of treaty rights, as only the FNFN had such standing.</w:t>
      </w:r>
    </w:p>
    <w:p w:rsidR="00892CE3" w:rsidRPr="007A189D" w:rsidRDefault="00892CE3" w:rsidP="00D410BB">
      <w:pPr>
        <w:pStyle w:val="TitleTitre-AltT"/>
        <w:tabs>
          <w:tab w:val="clear" w:pos="360"/>
          <w:tab w:val="left" w:pos="540"/>
        </w:tabs>
        <w:ind w:left="540" w:hanging="540"/>
        <w:rPr>
          <w:rFonts w:cs="Times New Roman"/>
        </w:rPr>
      </w:pPr>
      <w:r w:rsidRPr="007A189D">
        <w:rPr>
          <w:rFonts w:cs="Times New Roman"/>
        </w:rPr>
        <w:t>III.</w:t>
      </w:r>
      <w:r w:rsidRPr="007A189D">
        <w:rPr>
          <w:rFonts w:cs="Times New Roman"/>
        </w:rPr>
        <w:tab/>
      </w:r>
      <w:r w:rsidRPr="007A189D">
        <w:rPr>
          <w:rFonts w:cs="Times New Roman"/>
          <w:u w:val="single"/>
        </w:rPr>
        <w:t>Judicial History</w:t>
      </w:r>
    </w:p>
    <w:p w:rsidR="00892CE3" w:rsidRPr="007A189D" w:rsidRDefault="00892CE3" w:rsidP="00892CE3">
      <w:pPr>
        <w:tabs>
          <w:tab w:val="left" w:pos="360"/>
        </w:tabs>
        <w:rPr>
          <w:i/>
        </w:rPr>
      </w:pPr>
      <w:r w:rsidRPr="007A189D">
        <w:t>A.</w:t>
      </w:r>
      <w:r w:rsidRPr="007A189D">
        <w:tab/>
      </w:r>
      <w:r w:rsidRPr="007A189D">
        <w:rPr>
          <w:i/>
        </w:rPr>
        <w:t>British Columbia Supreme Court, 2010 BCSC 506, [2010] 4 C.N.L.R. 132</w:t>
      </w:r>
    </w:p>
    <w:p w:rsidR="00892CE3" w:rsidRPr="007A189D" w:rsidRDefault="00892CE3" w:rsidP="00892CE3">
      <w:pPr>
        <w:pStyle w:val="ParaNoNdepar-AltN"/>
        <w:rPr>
          <w:rFonts w:cs="Times New Roman"/>
        </w:rPr>
      </w:pPr>
      <w:proofErr w:type="spellStart"/>
      <w:r w:rsidRPr="007A189D">
        <w:rPr>
          <w:rFonts w:cs="Times New Roman"/>
        </w:rPr>
        <w:t>Hinkson</w:t>
      </w:r>
      <w:proofErr w:type="spellEnd"/>
      <w:r w:rsidRPr="007A189D">
        <w:rPr>
          <w:rFonts w:cs="Times New Roman"/>
        </w:rPr>
        <w:t xml:space="preserve"> J. held that the </w:t>
      </w:r>
      <w:proofErr w:type="spellStart"/>
      <w:r w:rsidRPr="007A189D">
        <w:rPr>
          <w:rFonts w:cs="Times New Roman"/>
        </w:rPr>
        <w:t>Behns</w:t>
      </w:r>
      <w:proofErr w:type="spellEnd"/>
      <w:r w:rsidRPr="007A189D">
        <w:rPr>
          <w:rFonts w:cs="Times New Roman"/>
        </w:rPr>
        <w:t xml:space="preserve"> lacked standing to raise the defences pertaining to the duty to consult and treaty rights.  He stated that although Aboriginal </w:t>
      </w:r>
      <w:r w:rsidRPr="007A189D">
        <w:rPr>
          <w:rFonts w:cs="Times New Roman"/>
        </w:rPr>
        <w:lastRenderedPageBreak/>
        <w:t xml:space="preserve">and treaty rights are exercised by individuals, they are collective in nature.  As a result, they are not possessed by nor do they reside with individuals.  He mentioned that collective rights can be asserted by individuals only if the individuals are authorized to do so by the collective.  </w:t>
      </w:r>
      <w:proofErr w:type="spellStart"/>
      <w:r w:rsidRPr="007A189D">
        <w:rPr>
          <w:rFonts w:cs="Times New Roman"/>
        </w:rPr>
        <w:t>Hinkson</w:t>
      </w:r>
      <w:proofErr w:type="spellEnd"/>
      <w:r w:rsidRPr="007A189D">
        <w:rPr>
          <w:rFonts w:cs="Times New Roman"/>
        </w:rPr>
        <w:t xml:space="preserve"> J. found that the FNFN had not authorized the </w:t>
      </w:r>
      <w:proofErr w:type="spellStart"/>
      <w:r w:rsidRPr="007A189D">
        <w:rPr>
          <w:rFonts w:cs="Times New Roman"/>
        </w:rPr>
        <w:t>Behns</w:t>
      </w:r>
      <w:proofErr w:type="spellEnd"/>
      <w:r w:rsidRPr="007A189D">
        <w:rPr>
          <w:rFonts w:cs="Times New Roman"/>
        </w:rPr>
        <w:t xml:space="preserve"> to assert these rights.</w:t>
      </w:r>
    </w:p>
    <w:p w:rsidR="00892CE3" w:rsidRPr="007A189D" w:rsidRDefault="00892CE3" w:rsidP="00892CE3">
      <w:pPr>
        <w:pStyle w:val="ParaNoNdepar-AltN"/>
        <w:rPr>
          <w:rFonts w:cs="Times New Roman"/>
        </w:rPr>
      </w:pPr>
      <w:proofErr w:type="spellStart"/>
      <w:r w:rsidRPr="007A189D">
        <w:rPr>
          <w:rFonts w:cs="Times New Roman"/>
        </w:rPr>
        <w:t>Hinkson</w:t>
      </w:r>
      <w:proofErr w:type="spellEnd"/>
      <w:r w:rsidRPr="007A189D">
        <w:rPr>
          <w:rFonts w:cs="Times New Roman"/>
        </w:rPr>
        <w:t xml:space="preserve"> J. also held that the impugned paragraphs in which the </w:t>
      </w:r>
      <w:proofErr w:type="spellStart"/>
      <w:r w:rsidRPr="007A189D">
        <w:rPr>
          <w:rFonts w:cs="Times New Roman"/>
        </w:rPr>
        <w:t>Behns</w:t>
      </w:r>
      <w:proofErr w:type="spellEnd"/>
      <w:r w:rsidRPr="007A189D">
        <w:rPr>
          <w:rFonts w:cs="Times New Roman"/>
        </w:rPr>
        <w:t xml:space="preserve"> submitted that the Authorizations were invalid had to be struck out as an abuse of process under Rule 19(24) of the </w:t>
      </w:r>
      <w:r w:rsidRPr="007A189D">
        <w:rPr>
          <w:rFonts w:cs="Times New Roman"/>
          <w:i/>
        </w:rPr>
        <w:t>Supreme Court Rules</w:t>
      </w:r>
      <w:r w:rsidRPr="007A189D">
        <w:rPr>
          <w:rFonts w:cs="Times New Roman"/>
        </w:rPr>
        <w:t xml:space="preserve">.  He reasoned that the </w:t>
      </w:r>
      <w:proofErr w:type="spellStart"/>
      <w:r w:rsidRPr="007A189D">
        <w:rPr>
          <w:rFonts w:cs="Times New Roman"/>
        </w:rPr>
        <w:t>Behns</w:t>
      </w:r>
      <w:proofErr w:type="spellEnd"/>
      <w:r w:rsidRPr="007A189D">
        <w:rPr>
          <w:rFonts w:cs="Times New Roman"/>
        </w:rPr>
        <w:t xml:space="preserve"> could not be permitted to introduce the subject matter of the invalidity of the Authorizations now in their statement of defence, as they should instead have applied for judicial review.</w:t>
      </w:r>
    </w:p>
    <w:p w:rsidR="00892CE3" w:rsidRPr="007A189D" w:rsidRDefault="00892CE3" w:rsidP="00892CE3">
      <w:pPr>
        <w:pStyle w:val="ParaNoNdepar-AltN"/>
        <w:rPr>
          <w:rFonts w:cs="Times New Roman"/>
        </w:rPr>
      </w:pPr>
      <w:r w:rsidRPr="007A189D">
        <w:rPr>
          <w:rFonts w:cs="Times New Roman"/>
        </w:rPr>
        <w:t>It should be noted that the trial then proceeded from September to November 2011 in the British Columbia Supreme Court on the basis of the paragraphs that had survived the motion to strike.  The trial judge has reserved his judgment until this Court disposes of this appeal.</w:t>
      </w:r>
    </w:p>
    <w:p w:rsidR="00892CE3" w:rsidRPr="007A189D" w:rsidRDefault="00892CE3" w:rsidP="00D410BB">
      <w:pPr>
        <w:tabs>
          <w:tab w:val="left" w:pos="540"/>
        </w:tabs>
        <w:ind w:left="540" w:hanging="540"/>
      </w:pPr>
      <w:r w:rsidRPr="007A189D">
        <w:t>B.</w:t>
      </w:r>
      <w:r w:rsidRPr="007A189D">
        <w:tab/>
      </w:r>
      <w:r w:rsidRPr="007A189D">
        <w:rPr>
          <w:i/>
        </w:rPr>
        <w:t>British Columbia Court of Appeal, 2011 BCCA 311, 20 B.C.L.R. (5th) 35</w:t>
      </w:r>
    </w:p>
    <w:p w:rsidR="00892CE3" w:rsidRPr="007A189D" w:rsidRDefault="00892CE3" w:rsidP="00892CE3">
      <w:pPr>
        <w:pStyle w:val="ParaNoNdepar-AltN"/>
        <w:rPr>
          <w:rFonts w:cs="Times New Roman"/>
        </w:rPr>
      </w:pPr>
      <w:r w:rsidRPr="007A189D">
        <w:rPr>
          <w:rFonts w:cs="Times New Roman"/>
        </w:rPr>
        <w:t>Saunders J.A., writing for the Court</w:t>
      </w:r>
      <w:r w:rsidR="00D410BB">
        <w:rPr>
          <w:rFonts w:cs="Times New Roman"/>
        </w:rPr>
        <w:t xml:space="preserve"> of Appeal</w:t>
      </w:r>
      <w:r w:rsidRPr="007A189D">
        <w:rPr>
          <w:rFonts w:cs="Times New Roman"/>
        </w:rPr>
        <w:t xml:space="preserve">, agreed with </w:t>
      </w:r>
      <w:proofErr w:type="spellStart"/>
      <w:r w:rsidRPr="007A189D">
        <w:rPr>
          <w:rFonts w:cs="Times New Roman"/>
        </w:rPr>
        <w:t>Hinkson</w:t>
      </w:r>
      <w:proofErr w:type="spellEnd"/>
      <w:r w:rsidRPr="007A189D">
        <w:rPr>
          <w:rFonts w:cs="Times New Roman"/>
        </w:rPr>
        <w:t xml:space="preserve"> J. that the </w:t>
      </w:r>
      <w:proofErr w:type="spellStart"/>
      <w:r w:rsidRPr="007A189D">
        <w:rPr>
          <w:rFonts w:cs="Times New Roman"/>
        </w:rPr>
        <w:t>Behns</w:t>
      </w:r>
      <w:proofErr w:type="spellEnd"/>
      <w:r w:rsidRPr="007A189D">
        <w:rPr>
          <w:rFonts w:cs="Times New Roman"/>
        </w:rPr>
        <w:t xml:space="preserve"> lacked standing to assert that the duty to consult owed to the FNFN had not been met and that collective rights had been infringed by the issuance of the Authorizations.  She said, at </w:t>
      </w:r>
      <w:proofErr w:type="spellStart"/>
      <w:r w:rsidRPr="007A189D">
        <w:rPr>
          <w:rFonts w:cs="Times New Roman"/>
        </w:rPr>
        <w:t>para</w:t>
      </w:r>
      <w:proofErr w:type="spellEnd"/>
      <w:r w:rsidRPr="007A189D">
        <w:rPr>
          <w:rFonts w:cs="Times New Roman"/>
        </w:rPr>
        <w:t xml:space="preserve">. </w:t>
      </w:r>
      <w:proofErr w:type="gramStart"/>
      <w:r w:rsidRPr="007A189D">
        <w:rPr>
          <w:rFonts w:cs="Times New Roman"/>
        </w:rPr>
        <w:t>39, that</w:t>
      </w:r>
      <w:proofErr w:type="gramEnd"/>
      <w:r w:rsidRPr="007A189D">
        <w:rPr>
          <w:rFonts w:cs="Times New Roman"/>
        </w:rPr>
        <w:t xml:space="preserve"> “an attack on a non-Aboriginal party’s </w:t>
      </w:r>
      <w:r w:rsidRPr="007A189D">
        <w:rPr>
          <w:rFonts w:cs="Times New Roman"/>
        </w:rPr>
        <w:lastRenderedPageBreak/>
        <w:t xml:space="preserve">rights, on the basis of treaty or constitutional propositions, requires authorization by the collective in whom the treaty and constitutional rights inhere”.  In this case, the </w:t>
      </w:r>
      <w:proofErr w:type="spellStart"/>
      <w:r w:rsidRPr="007A189D">
        <w:rPr>
          <w:rFonts w:cs="Times New Roman"/>
        </w:rPr>
        <w:t>Behns</w:t>
      </w:r>
      <w:proofErr w:type="spellEnd"/>
      <w:r w:rsidRPr="007A189D">
        <w:rPr>
          <w:rFonts w:cs="Times New Roman"/>
        </w:rPr>
        <w:t xml:space="preserve"> had received no such authorization by the FNFN.  Saunders J.A. was careful to point out that she was not suggesting that collective rights could never provide a defence to individual members of an Aboriginal community.</w:t>
      </w:r>
    </w:p>
    <w:p w:rsidR="00892CE3" w:rsidRPr="007A189D" w:rsidRDefault="00892CE3" w:rsidP="00892CE3">
      <w:pPr>
        <w:pStyle w:val="ParaNoNdepar-AltN"/>
        <w:rPr>
          <w:rFonts w:cs="Times New Roman"/>
        </w:rPr>
      </w:pPr>
      <w:r w:rsidRPr="007A189D">
        <w:rPr>
          <w:rFonts w:cs="Times New Roman"/>
        </w:rPr>
        <w:t xml:space="preserve">Saunders J.A. also concluded that the defences raised by the </w:t>
      </w:r>
      <w:proofErr w:type="spellStart"/>
      <w:r w:rsidRPr="007A189D">
        <w:rPr>
          <w:rFonts w:cs="Times New Roman"/>
        </w:rPr>
        <w:t>Behns</w:t>
      </w:r>
      <w:proofErr w:type="spellEnd"/>
      <w:r w:rsidRPr="007A189D">
        <w:rPr>
          <w:rFonts w:cs="Times New Roman"/>
        </w:rPr>
        <w:t xml:space="preserve"> constituted an impermissible collateral attack upon the Authorizations granted to Moulton.  She added that this conclusion was not incompatible with the proper administration of justice, since the FNFN, as a collective, had the capacity to challenge the Authorizations through a number of legal avenues.  She therefore upheld </w:t>
      </w:r>
      <w:proofErr w:type="spellStart"/>
      <w:r w:rsidRPr="007A189D">
        <w:rPr>
          <w:rFonts w:cs="Times New Roman"/>
        </w:rPr>
        <w:t>Hinkson</w:t>
      </w:r>
      <w:proofErr w:type="spellEnd"/>
      <w:r w:rsidRPr="007A189D">
        <w:rPr>
          <w:rFonts w:cs="Times New Roman"/>
        </w:rPr>
        <w:t xml:space="preserve"> J.’s conclusion that the impugned defences constituted an abuse of process.</w:t>
      </w:r>
    </w:p>
    <w:p w:rsidR="00892CE3" w:rsidRPr="007A189D" w:rsidRDefault="00892CE3" w:rsidP="00D410BB">
      <w:pPr>
        <w:pStyle w:val="TitleTitre-AltT"/>
        <w:tabs>
          <w:tab w:val="clear" w:pos="360"/>
          <w:tab w:val="left" w:pos="540"/>
        </w:tabs>
        <w:ind w:left="540" w:hanging="540"/>
        <w:rPr>
          <w:rFonts w:cs="Times New Roman"/>
        </w:rPr>
      </w:pPr>
      <w:r w:rsidRPr="007A189D">
        <w:rPr>
          <w:rFonts w:cs="Times New Roman"/>
        </w:rPr>
        <w:t>IV.</w:t>
      </w:r>
      <w:r w:rsidRPr="007A189D">
        <w:rPr>
          <w:rFonts w:cs="Times New Roman"/>
        </w:rPr>
        <w:tab/>
      </w:r>
      <w:r w:rsidRPr="007A189D">
        <w:rPr>
          <w:rFonts w:cs="Times New Roman"/>
          <w:u w:val="single"/>
        </w:rPr>
        <w:t>Analysis</w:t>
      </w:r>
    </w:p>
    <w:p w:rsidR="00892CE3" w:rsidRPr="007A189D" w:rsidRDefault="00892CE3" w:rsidP="00D410BB">
      <w:pPr>
        <w:tabs>
          <w:tab w:val="left" w:pos="540"/>
        </w:tabs>
        <w:ind w:left="540" w:hanging="540"/>
      </w:pPr>
      <w:r w:rsidRPr="007A189D">
        <w:t>A.</w:t>
      </w:r>
      <w:r w:rsidRPr="007A189D">
        <w:tab/>
      </w:r>
      <w:r w:rsidRPr="007A189D">
        <w:rPr>
          <w:i/>
        </w:rPr>
        <w:t>Issues</w:t>
      </w:r>
    </w:p>
    <w:p w:rsidR="00892CE3" w:rsidRPr="007A189D" w:rsidRDefault="00892CE3" w:rsidP="00892CE3">
      <w:pPr>
        <w:pStyle w:val="ParaNoNdepar-AltN"/>
        <w:rPr>
          <w:rFonts w:cs="Times New Roman"/>
        </w:rPr>
      </w:pPr>
      <w:r w:rsidRPr="007A189D">
        <w:rPr>
          <w:rFonts w:cs="Times New Roman"/>
        </w:rPr>
        <w:t xml:space="preserve">Three issues must be addressed in this appeal. First, can the </w:t>
      </w:r>
      <w:proofErr w:type="spellStart"/>
      <w:r w:rsidRPr="007A189D">
        <w:rPr>
          <w:rFonts w:cs="Times New Roman"/>
        </w:rPr>
        <w:t>Behns</w:t>
      </w:r>
      <w:proofErr w:type="spellEnd"/>
      <w:r w:rsidRPr="007A189D">
        <w:rPr>
          <w:rFonts w:cs="Times New Roman"/>
        </w:rPr>
        <w:t xml:space="preserve">, as individual members of an Aboriginal community, assert a breach of the duty to consult?  This issue raises the question to </w:t>
      </w:r>
      <w:proofErr w:type="gramStart"/>
      <w:r w:rsidRPr="007A189D">
        <w:rPr>
          <w:rFonts w:cs="Times New Roman"/>
        </w:rPr>
        <w:t>whom</w:t>
      </w:r>
      <w:proofErr w:type="gramEnd"/>
      <w:r w:rsidRPr="007A189D">
        <w:rPr>
          <w:rFonts w:cs="Times New Roman"/>
        </w:rPr>
        <w:t xml:space="preserve"> the Crown owes a duty to consult.  Second, can treaty rights be invoked by individual members of an Aboriginal community?  These two issues relate to standing.</w:t>
      </w:r>
    </w:p>
    <w:p w:rsidR="00892CE3" w:rsidRPr="007A189D" w:rsidRDefault="00892CE3" w:rsidP="00892CE3">
      <w:pPr>
        <w:pStyle w:val="ParaNoNdepar-AltN"/>
        <w:rPr>
          <w:rFonts w:cs="Times New Roman"/>
        </w:rPr>
      </w:pPr>
      <w:r w:rsidRPr="007A189D">
        <w:rPr>
          <w:rFonts w:cs="Times New Roman"/>
        </w:rPr>
        <w:lastRenderedPageBreak/>
        <w:t xml:space="preserve">The third issue relates to abuse of process.  Does it amount to an abuse of process for the </w:t>
      </w:r>
      <w:proofErr w:type="spellStart"/>
      <w:r w:rsidRPr="007A189D">
        <w:rPr>
          <w:rFonts w:cs="Times New Roman"/>
        </w:rPr>
        <w:t>Behns</w:t>
      </w:r>
      <w:proofErr w:type="spellEnd"/>
      <w:r w:rsidRPr="007A189D">
        <w:rPr>
          <w:rFonts w:cs="Times New Roman"/>
        </w:rPr>
        <w:t xml:space="preserve"> to challenge the validity of the Authorizations now that they are being sued by Moulton after having failed to take legal action when the Authorizations were first issued even though they objected to their validity at the time?</w:t>
      </w:r>
    </w:p>
    <w:p w:rsidR="00892CE3" w:rsidRPr="007A189D" w:rsidRDefault="00892CE3" w:rsidP="00D410BB">
      <w:pPr>
        <w:tabs>
          <w:tab w:val="left" w:pos="540"/>
        </w:tabs>
        <w:spacing w:after="480"/>
      </w:pPr>
      <w:r w:rsidRPr="007A189D">
        <w:t>B.</w:t>
      </w:r>
      <w:r w:rsidRPr="007A189D">
        <w:tab/>
      </w:r>
      <w:r w:rsidRPr="007A189D">
        <w:rPr>
          <w:i/>
        </w:rPr>
        <w:t>Positions of the Parties</w:t>
      </w:r>
    </w:p>
    <w:p w:rsidR="00892CE3" w:rsidRPr="007A189D" w:rsidRDefault="00892CE3" w:rsidP="00892CE3"/>
    <w:p w:rsidR="00892CE3" w:rsidRPr="007A189D" w:rsidRDefault="00D410BB" w:rsidP="00D410BB">
      <w:pPr>
        <w:tabs>
          <w:tab w:val="left" w:pos="1170"/>
          <w:tab w:val="left" w:pos="1710"/>
        </w:tabs>
        <w:ind w:left="1710" w:hanging="1710"/>
      </w:pPr>
      <w:r>
        <w:tab/>
      </w:r>
      <w:r w:rsidR="00892CE3" w:rsidRPr="007A189D">
        <w:t>(1)</w:t>
      </w:r>
      <w:r w:rsidR="00892CE3" w:rsidRPr="007A189D">
        <w:tab/>
      </w:r>
      <w:proofErr w:type="spellStart"/>
      <w:r w:rsidR="00892CE3" w:rsidRPr="007A189D">
        <w:rPr>
          <w:u w:val="single"/>
        </w:rPr>
        <w:t>Behns</w:t>
      </w:r>
      <w:proofErr w:type="spellEnd"/>
    </w:p>
    <w:p w:rsidR="00892CE3" w:rsidRPr="007A189D" w:rsidRDefault="00892CE3" w:rsidP="00892CE3">
      <w:pPr>
        <w:pStyle w:val="ParaNoNdepar-AltN"/>
        <w:rPr>
          <w:rFonts w:cs="Times New Roman"/>
        </w:rPr>
      </w:pPr>
      <w:r w:rsidRPr="007A189D">
        <w:rPr>
          <w:rFonts w:cs="Times New Roman"/>
        </w:rPr>
        <w:t xml:space="preserve">The </w:t>
      </w:r>
      <w:proofErr w:type="spellStart"/>
      <w:r w:rsidRPr="007A189D">
        <w:rPr>
          <w:rFonts w:cs="Times New Roman"/>
        </w:rPr>
        <w:t>Behns</w:t>
      </w:r>
      <w:proofErr w:type="spellEnd"/>
      <w:r w:rsidRPr="007A189D">
        <w:rPr>
          <w:rFonts w:cs="Times New Roman"/>
        </w:rPr>
        <w:t xml:space="preserve"> submit that the Court of Appeal erred in holding that they lacked standing to assert defences based on treaty rights and that challenging the validity of the Authorizations constituted an impermissible collateral attack. </w:t>
      </w:r>
      <w:r>
        <w:rPr>
          <w:rFonts w:cs="Times New Roman"/>
        </w:rPr>
        <w:t xml:space="preserve"> </w:t>
      </w:r>
      <w:r w:rsidRPr="007A189D">
        <w:rPr>
          <w:rFonts w:cs="Times New Roman"/>
        </w:rPr>
        <w:t xml:space="preserve">The </w:t>
      </w:r>
      <w:proofErr w:type="spellStart"/>
      <w:r w:rsidRPr="007A189D">
        <w:rPr>
          <w:rFonts w:cs="Times New Roman"/>
        </w:rPr>
        <w:t>Behns</w:t>
      </w:r>
      <w:proofErr w:type="spellEnd"/>
      <w:r w:rsidRPr="007A189D">
        <w:rPr>
          <w:rFonts w:cs="Times New Roman"/>
        </w:rPr>
        <w:t xml:space="preserve"> contend that the principles related to standing apply to the assertion of a claim, not of a defence.  As a result, they do not apply in this case, since the </w:t>
      </w:r>
      <w:proofErr w:type="spellStart"/>
      <w:r w:rsidRPr="007A189D">
        <w:rPr>
          <w:rFonts w:cs="Times New Roman"/>
        </w:rPr>
        <w:t>Behns</w:t>
      </w:r>
      <w:proofErr w:type="spellEnd"/>
      <w:r w:rsidRPr="007A189D">
        <w:rPr>
          <w:rFonts w:cs="Times New Roman"/>
        </w:rPr>
        <w:t xml:space="preserve"> are simply defending against an action.  In the alternative, the </w:t>
      </w:r>
      <w:proofErr w:type="spellStart"/>
      <w:r w:rsidRPr="007A189D">
        <w:rPr>
          <w:rFonts w:cs="Times New Roman"/>
        </w:rPr>
        <w:t>Behns</w:t>
      </w:r>
      <w:proofErr w:type="spellEnd"/>
      <w:r w:rsidRPr="007A189D">
        <w:rPr>
          <w:rFonts w:cs="Times New Roman"/>
        </w:rPr>
        <w:t xml:space="preserve"> assert that they have standing because, as members of the FNFN, they have a substantial and direct interest in their rights under Treaty No. 8.</w:t>
      </w:r>
    </w:p>
    <w:p w:rsidR="00892CE3" w:rsidRPr="007A189D" w:rsidRDefault="00892CE3" w:rsidP="00892CE3">
      <w:pPr>
        <w:pStyle w:val="ParaNoNdepar-AltN"/>
        <w:rPr>
          <w:rFonts w:cs="Times New Roman"/>
        </w:rPr>
      </w:pPr>
      <w:r w:rsidRPr="007A189D">
        <w:rPr>
          <w:rFonts w:cs="Times New Roman"/>
        </w:rPr>
        <w:t xml:space="preserve">On the collateral attack issue, the </w:t>
      </w:r>
      <w:proofErr w:type="spellStart"/>
      <w:r w:rsidRPr="007A189D">
        <w:rPr>
          <w:rFonts w:cs="Times New Roman"/>
        </w:rPr>
        <w:t>Behns</w:t>
      </w:r>
      <w:proofErr w:type="spellEnd"/>
      <w:r w:rsidRPr="007A189D">
        <w:rPr>
          <w:rFonts w:cs="Times New Roman"/>
        </w:rPr>
        <w:t xml:space="preserve"> argue, relying on </w:t>
      </w:r>
      <w:r w:rsidRPr="007A189D">
        <w:rPr>
          <w:rFonts w:cs="Times New Roman"/>
          <w:i/>
        </w:rPr>
        <w:t>Garland v. Consumers’ Gas Co.</w:t>
      </w:r>
      <w:r w:rsidRPr="007A189D">
        <w:rPr>
          <w:rFonts w:cs="Times New Roman"/>
        </w:rPr>
        <w:t xml:space="preserve">, 2004 SCC 25, [2004] 1 S.C.R. 629, that the defences they assert do not constitute a collateral attack, since they are not parties to the Authorizations.  Alternatively, they submit that, if the impugned paragraphs do constitute a collateral attack, the attack is permissible, because the legislature did not </w:t>
      </w:r>
      <w:r w:rsidRPr="007A189D">
        <w:rPr>
          <w:rFonts w:cs="Times New Roman"/>
        </w:rPr>
        <w:lastRenderedPageBreak/>
        <w:t>intend that any attempt to question the lawfulness of the Authorizations could be made only by applying for judicial review.</w:t>
      </w:r>
    </w:p>
    <w:p w:rsidR="00892CE3" w:rsidRPr="007A189D" w:rsidRDefault="00892CE3" w:rsidP="00892CE3">
      <w:pPr>
        <w:pStyle w:val="ParaNoNdepar-AltN"/>
        <w:rPr>
          <w:rFonts w:cs="Times New Roman"/>
        </w:rPr>
      </w:pPr>
      <w:r w:rsidRPr="007A189D">
        <w:rPr>
          <w:rFonts w:cs="Times New Roman"/>
        </w:rPr>
        <w:t xml:space="preserve">Finally, the </w:t>
      </w:r>
      <w:proofErr w:type="spellStart"/>
      <w:r w:rsidRPr="007A189D">
        <w:rPr>
          <w:rFonts w:cs="Times New Roman"/>
        </w:rPr>
        <w:t>Behns</w:t>
      </w:r>
      <w:proofErr w:type="spellEnd"/>
      <w:r w:rsidRPr="007A189D">
        <w:rPr>
          <w:rFonts w:cs="Times New Roman"/>
        </w:rPr>
        <w:t xml:space="preserve"> submit that the principle of the rule of law will be violated if they cannot assert their defences.  They contend that whether their conduct was lawful cannot be determined without also addressing the lawfulness of the Authorizations.</w:t>
      </w:r>
    </w:p>
    <w:p w:rsidR="00892CE3" w:rsidRPr="007A189D" w:rsidRDefault="00D410BB" w:rsidP="00D410BB">
      <w:pPr>
        <w:tabs>
          <w:tab w:val="left" w:pos="1170"/>
          <w:tab w:val="left" w:pos="1710"/>
        </w:tabs>
        <w:ind w:left="1710" w:hanging="1710"/>
        <w:rPr>
          <w:u w:val="single"/>
        </w:rPr>
      </w:pPr>
      <w:r>
        <w:tab/>
      </w:r>
      <w:r w:rsidR="00892CE3" w:rsidRPr="007A189D">
        <w:t>(2)</w:t>
      </w:r>
      <w:r w:rsidR="00892CE3" w:rsidRPr="007A189D">
        <w:tab/>
      </w:r>
      <w:r w:rsidR="00892CE3" w:rsidRPr="007A189D">
        <w:rPr>
          <w:u w:val="single"/>
        </w:rPr>
        <w:t>Moulton</w:t>
      </w:r>
    </w:p>
    <w:p w:rsidR="00892CE3" w:rsidRPr="007A189D" w:rsidRDefault="00892CE3" w:rsidP="00D410BB">
      <w:pPr>
        <w:pStyle w:val="ParaNoNdepar-AltN"/>
        <w:tabs>
          <w:tab w:val="clear" w:pos="1152"/>
          <w:tab w:val="left" w:pos="1166"/>
        </w:tabs>
        <w:rPr>
          <w:rFonts w:cs="Times New Roman"/>
        </w:rPr>
      </w:pPr>
      <w:r w:rsidRPr="007A189D">
        <w:rPr>
          <w:rFonts w:cs="Times New Roman"/>
        </w:rPr>
        <w:t xml:space="preserve">Moulton responds that the </w:t>
      </w:r>
      <w:proofErr w:type="spellStart"/>
      <w:r w:rsidRPr="007A189D">
        <w:rPr>
          <w:rFonts w:cs="Times New Roman"/>
        </w:rPr>
        <w:t>Behns</w:t>
      </w:r>
      <w:proofErr w:type="spellEnd"/>
      <w:r w:rsidRPr="007A189D">
        <w:rPr>
          <w:rFonts w:cs="Times New Roman"/>
        </w:rPr>
        <w:t xml:space="preserve"> have no standing to raise a defence based on Aboriginal or treaty rights, because only the FNFN, as the collective, can assert a claim that these rights have been infringed.  Moulton also contends that the Crown’s duty to consult is owed to the collective, not to individual members of the collective.  Responding to the </w:t>
      </w:r>
      <w:proofErr w:type="spellStart"/>
      <w:r w:rsidRPr="007A189D">
        <w:rPr>
          <w:rFonts w:cs="Times New Roman"/>
        </w:rPr>
        <w:t>Behns</w:t>
      </w:r>
      <w:proofErr w:type="spellEnd"/>
      <w:r w:rsidRPr="007A189D">
        <w:rPr>
          <w:rFonts w:cs="Times New Roman"/>
        </w:rPr>
        <w:t xml:space="preserve">’ submission that they have standing because they are only seeking the dismissal of the action, Moulton submits that they are relying on an affirmative defence that requires an order declaring the Authorizations to be invalid.  Moulton adds that the activity for which the </w:t>
      </w:r>
      <w:proofErr w:type="spellStart"/>
      <w:r w:rsidRPr="007A189D">
        <w:rPr>
          <w:rFonts w:cs="Times New Roman"/>
        </w:rPr>
        <w:t>Behns</w:t>
      </w:r>
      <w:proofErr w:type="spellEnd"/>
      <w:r w:rsidRPr="007A189D">
        <w:rPr>
          <w:rFonts w:cs="Times New Roman"/>
        </w:rPr>
        <w:t xml:space="preserve"> are now being sued — erecting and participating in a blockade — is not a right protected under Treaty No. 8.  Finally, since the </w:t>
      </w:r>
      <w:proofErr w:type="spellStart"/>
      <w:r w:rsidRPr="007A189D">
        <w:rPr>
          <w:rFonts w:cs="Times New Roman"/>
        </w:rPr>
        <w:t>Behns</w:t>
      </w:r>
      <w:proofErr w:type="spellEnd"/>
      <w:r w:rsidRPr="007A189D">
        <w:rPr>
          <w:rFonts w:cs="Times New Roman"/>
        </w:rPr>
        <w:t xml:space="preserve"> could have challenged the legality of the Authorizations by applying for judicial review when they were issued, Moulton submits that it amounts to a collateral attack for the </w:t>
      </w:r>
      <w:proofErr w:type="spellStart"/>
      <w:r w:rsidRPr="007A189D">
        <w:rPr>
          <w:rFonts w:cs="Times New Roman"/>
        </w:rPr>
        <w:t>Behns</w:t>
      </w:r>
      <w:proofErr w:type="spellEnd"/>
      <w:r w:rsidRPr="007A189D">
        <w:rPr>
          <w:rFonts w:cs="Times New Roman"/>
        </w:rPr>
        <w:t xml:space="preserve"> to challenge their validity now as a defence to a tort claim.</w:t>
      </w:r>
    </w:p>
    <w:p w:rsidR="00892CE3" w:rsidRPr="007A189D" w:rsidRDefault="00D410BB" w:rsidP="00D410BB">
      <w:pPr>
        <w:tabs>
          <w:tab w:val="left" w:pos="1170"/>
          <w:tab w:val="left" w:pos="1710"/>
        </w:tabs>
        <w:ind w:left="1710" w:hanging="1710"/>
      </w:pPr>
      <w:r>
        <w:lastRenderedPageBreak/>
        <w:tab/>
      </w:r>
      <w:r w:rsidR="00892CE3" w:rsidRPr="007A189D">
        <w:t>(3)</w:t>
      </w:r>
      <w:r w:rsidR="00892CE3" w:rsidRPr="007A189D">
        <w:tab/>
      </w:r>
      <w:r w:rsidR="00892CE3" w:rsidRPr="001C67E5">
        <w:rPr>
          <w:u w:val="single"/>
        </w:rPr>
        <w:t>Crown</w:t>
      </w:r>
    </w:p>
    <w:p w:rsidR="00892CE3" w:rsidRPr="007A189D" w:rsidRDefault="00892CE3" w:rsidP="00892CE3">
      <w:pPr>
        <w:pStyle w:val="ParaNoNdepar-AltN"/>
        <w:rPr>
          <w:rFonts w:cs="Times New Roman"/>
        </w:rPr>
      </w:pPr>
      <w:r w:rsidRPr="007A189D">
        <w:rPr>
          <w:rFonts w:cs="Times New Roman"/>
        </w:rPr>
        <w:t xml:space="preserve">According to the Crown, the collective nature of Aboriginal and treaty rights means that claims in relation to such rights must be brought by, or on behalf of, the Aboriginal community.  Although the Crown recognizes the </w:t>
      </w:r>
      <w:proofErr w:type="spellStart"/>
      <w:r w:rsidRPr="007A189D">
        <w:rPr>
          <w:rFonts w:cs="Times New Roman"/>
        </w:rPr>
        <w:t>Behns</w:t>
      </w:r>
      <w:proofErr w:type="spellEnd"/>
      <w:r w:rsidRPr="007A189D">
        <w:rPr>
          <w:rFonts w:cs="Times New Roman"/>
        </w:rPr>
        <w:t xml:space="preserve">’ interest in their treaty rights, it submits that their position on this issue disregards two factors: (1) the issue arising in the litigation concerns a defence to a claim related to a blockade, not to the exercise of hunting or trapping rights; and (2) the FNFN is named as a party to the proceedings and therefore represents the community in them.  The Crown further submits that having a substantial and </w:t>
      </w:r>
      <w:proofErr w:type="gramStart"/>
      <w:r w:rsidRPr="007A189D">
        <w:rPr>
          <w:rFonts w:cs="Times New Roman"/>
        </w:rPr>
        <w:t>direct</w:t>
      </w:r>
      <w:proofErr w:type="gramEnd"/>
      <w:r w:rsidRPr="007A189D">
        <w:rPr>
          <w:rFonts w:cs="Times New Roman"/>
        </w:rPr>
        <w:t xml:space="preserve"> interest in a treaty right does not entitle an individual to bring a treaty rights claim or defence.</w:t>
      </w:r>
    </w:p>
    <w:p w:rsidR="00892CE3" w:rsidRPr="007A189D" w:rsidRDefault="00892CE3" w:rsidP="00892CE3">
      <w:pPr>
        <w:pStyle w:val="ParaNoNdepar-AltN"/>
        <w:rPr>
          <w:rFonts w:cs="Times New Roman"/>
        </w:rPr>
      </w:pPr>
      <w:r w:rsidRPr="007A189D">
        <w:rPr>
          <w:rFonts w:cs="Times New Roman"/>
        </w:rPr>
        <w:t xml:space="preserve">On whether the impugned paragraphs constitute an impermissible collateral attack, the Crown submits that the question is whether the claimant is content to let the government’s decision stand.  In the instant case, the impugned defences raise an unequivocal challenge to the validity and legal force of the Authorizations.  Furthermore, the Crown submits that the </w:t>
      </w:r>
      <w:proofErr w:type="spellStart"/>
      <w:r w:rsidRPr="007A189D">
        <w:rPr>
          <w:rFonts w:cs="Times New Roman"/>
        </w:rPr>
        <w:t>Behns</w:t>
      </w:r>
      <w:proofErr w:type="spellEnd"/>
      <w:r w:rsidRPr="007A189D">
        <w:rPr>
          <w:rFonts w:cs="Times New Roman"/>
        </w:rPr>
        <w:t xml:space="preserve"> could have challenged the validity of the Authorizations by applying for judicial review instead of blockading a road.</w:t>
      </w:r>
    </w:p>
    <w:p w:rsidR="00892CE3" w:rsidRPr="007A189D" w:rsidRDefault="00892CE3" w:rsidP="00C84CE2">
      <w:pPr>
        <w:tabs>
          <w:tab w:val="left" w:pos="540"/>
        </w:tabs>
        <w:spacing w:after="480"/>
      </w:pPr>
      <w:r w:rsidRPr="007A189D">
        <w:t>C.</w:t>
      </w:r>
      <w:r w:rsidRPr="007A189D">
        <w:tab/>
      </w:r>
      <w:r w:rsidRPr="007A189D">
        <w:rPr>
          <w:i/>
        </w:rPr>
        <w:t>Standing</w:t>
      </w:r>
    </w:p>
    <w:p w:rsidR="00892CE3" w:rsidRPr="007A189D" w:rsidRDefault="00C84CE2" w:rsidP="00C84CE2">
      <w:pPr>
        <w:tabs>
          <w:tab w:val="left" w:pos="1170"/>
          <w:tab w:val="left" w:pos="1710"/>
        </w:tabs>
        <w:spacing w:after="480"/>
        <w:ind w:left="1710" w:hanging="1710"/>
      </w:pPr>
      <w:r>
        <w:tab/>
      </w:r>
      <w:r w:rsidR="00892CE3" w:rsidRPr="007A189D">
        <w:t>(1)</w:t>
      </w:r>
      <w:r w:rsidR="00892CE3" w:rsidRPr="007A189D">
        <w:tab/>
      </w:r>
      <w:r w:rsidR="00892CE3" w:rsidRPr="007A189D">
        <w:rPr>
          <w:u w:val="single"/>
        </w:rPr>
        <w:t>Duty to Consult</w:t>
      </w:r>
    </w:p>
    <w:p w:rsidR="00892CE3" w:rsidRPr="007A189D" w:rsidRDefault="00892CE3" w:rsidP="00892CE3">
      <w:pPr>
        <w:pStyle w:val="ParaNoNdepar-AltN"/>
        <w:rPr>
          <w:rFonts w:cs="Times New Roman"/>
        </w:rPr>
      </w:pPr>
      <w:r w:rsidRPr="007A189D">
        <w:rPr>
          <w:rFonts w:cs="Times New Roman"/>
        </w:rPr>
        <w:lastRenderedPageBreak/>
        <w:t xml:space="preserve">In defence to Moulton’s claim, as I mentioned above, the </w:t>
      </w:r>
      <w:proofErr w:type="spellStart"/>
      <w:r w:rsidRPr="007A189D">
        <w:rPr>
          <w:rFonts w:cs="Times New Roman"/>
        </w:rPr>
        <w:t>Behns</w:t>
      </w:r>
      <w:proofErr w:type="spellEnd"/>
      <w:r w:rsidRPr="007A189D">
        <w:rPr>
          <w:rFonts w:cs="Times New Roman"/>
        </w:rPr>
        <w:t xml:space="preserve"> argue, </w:t>
      </w:r>
      <w:r w:rsidRPr="007A189D">
        <w:rPr>
          <w:rFonts w:cs="Times New Roman"/>
          <w:i/>
        </w:rPr>
        <w:t>inter alia</w:t>
      </w:r>
      <w:r w:rsidRPr="007A189D">
        <w:rPr>
          <w:rFonts w:cs="Times New Roman"/>
        </w:rPr>
        <w:t xml:space="preserve">, that their conduct was not illegal, because the Crown had issued the Authorizations in breach of the duty to consult and the Authorizations were therefore invalid.  The question that arises with respect to this particular defence is whether the </w:t>
      </w:r>
      <w:proofErr w:type="spellStart"/>
      <w:r w:rsidRPr="007A189D">
        <w:rPr>
          <w:rFonts w:cs="Times New Roman"/>
        </w:rPr>
        <w:t>Behns</w:t>
      </w:r>
      <w:proofErr w:type="spellEnd"/>
      <w:r w:rsidRPr="007A189D">
        <w:rPr>
          <w:rFonts w:cs="Times New Roman"/>
        </w:rPr>
        <w:t xml:space="preserve"> can assert the duty to consult on their own in the first place.</w:t>
      </w:r>
    </w:p>
    <w:p w:rsidR="00892CE3" w:rsidRPr="007A189D" w:rsidRDefault="00892CE3" w:rsidP="00892CE3">
      <w:pPr>
        <w:pStyle w:val="ParaNoNdepar-AltN"/>
        <w:rPr>
          <w:rFonts w:cs="Times New Roman"/>
        </w:rPr>
      </w:pPr>
      <w:r w:rsidRPr="007A189D">
        <w:rPr>
          <w:rFonts w:cs="Times New Roman"/>
        </w:rPr>
        <w:t xml:space="preserve">In </w:t>
      </w:r>
      <w:proofErr w:type="spellStart"/>
      <w:r w:rsidRPr="007A189D">
        <w:rPr>
          <w:rFonts w:cs="Times New Roman"/>
          <w:i/>
        </w:rPr>
        <w:t>Haida</w:t>
      </w:r>
      <w:proofErr w:type="spellEnd"/>
      <w:r w:rsidRPr="007A189D">
        <w:rPr>
          <w:rFonts w:cs="Times New Roman"/>
          <w:i/>
        </w:rPr>
        <w:t xml:space="preserve"> Nation v. British Columbia (Minister of Forests)</w:t>
      </w:r>
      <w:r w:rsidRPr="007A189D">
        <w:rPr>
          <w:rFonts w:cs="Times New Roman"/>
        </w:rPr>
        <w:t xml:space="preserve">, 2004 SCC 73, [2004] 3 S.C.R. 511, this Court confirmed that the Crown has a duty to consult Aboriginal peoples and explained the scope of application of that duty in respect of Aboriginal rights, stating that “consultation and accommodation before final claims resolution, while challenging, is not impossible, and indeed is an essential corollary to the honourable process of reconciliation that s. 35 [of the </w:t>
      </w:r>
      <w:r w:rsidRPr="007A189D">
        <w:rPr>
          <w:rFonts w:cs="Times New Roman"/>
          <w:i/>
        </w:rPr>
        <w:t>Constitution Act, 1982</w:t>
      </w:r>
      <w:r w:rsidRPr="007A189D">
        <w:rPr>
          <w:rFonts w:cs="Times New Roman"/>
        </w:rPr>
        <w:t>] demands”</w:t>
      </w:r>
      <w:r w:rsidR="007A7DCB">
        <w:rPr>
          <w:rFonts w:cs="Times New Roman"/>
        </w:rPr>
        <w:t>:</w:t>
      </w:r>
      <w:r w:rsidRPr="007A189D">
        <w:rPr>
          <w:rFonts w:cs="Times New Roman"/>
        </w:rPr>
        <w:t xml:space="preserve"> </w:t>
      </w:r>
      <w:proofErr w:type="spellStart"/>
      <w:r w:rsidRPr="007A189D">
        <w:rPr>
          <w:rFonts w:cs="Times New Roman"/>
        </w:rPr>
        <w:t>para</w:t>
      </w:r>
      <w:proofErr w:type="spellEnd"/>
      <w:r w:rsidRPr="007A189D">
        <w:rPr>
          <w:rFonts w:cs="Times New Roman"/>
        </w:rPr>
        <w:t xml:space="preserve">. 38.  In </w:t>
      </w:r>
      <w:proofErr w:type="spellStart"/>
      <w:r w:rsidRPr="007A189D">
        <w:rPr>
          <w:rFonts w:cs="Times New Roman"/>
          <w:i/>
        </w:rPr>
        <w:t>Mikisew</w:t>
      </w:r>
      <w:proofErr w:type="spellEnd"/>
      <w:r w:rsidRPr="007A189D">
        <w:rPr>
          <w:rFonts w:cs="Times New Roman"/>
          <w:i/>
        </w:rPr>
        <w:t xml:space="preserve"> Cree First Nation v. Canada (Minister of Canadian Heritage)</w:t>
      </w:r>
      <w:r w:rsidRPr="007A189D">
        <w:rPr>
          <w:rFonts w:cs="Times New Roman"/>
        </w:rPr>
        <w:t>, 2005 SCC 69, [2005] 3 S.C.R. 388, the Court held that the duty to consult applies in the context of treaty rights</w:t>
      </w:r>
      <w:r w:rsidR="007A7DCB">
        <w:rPr>
          <w:rFonts w:cs="Times New Roman"/>
        </w:rPr>
        <w:t>:</w:t>
      </w:r>
      <w:r w:rsidRPr="007A189D">
        <w:rPr>
          <w:rFonts w:cs="Times New Roman"/>
        </w:rPr>
        <w:t xml:space="preserve"> </w:t>
      </w:r>
      <w:proofErr w:type="spellStart"/>
      <w:r w:rsidRPr="007A189D">
        <w:rPr>
          <w:rFonts w:cs="Times New Roman"/>
        </w:rPr>
        <w:t>paras</w:t>
      </w:r>
      <w:proofErr w:type="spellEnd"/>
      <w:r w:rsidRPr="007A189D">
        <w:rPr>
          <w:rFonts w:cs="Times New Roman"/>
        </w:rPr>
        <w:t xml:space="preserve">. 32-34.  The Crown cannot in a treaty contract out of its duty to consult Aboriginal peoples, as this duty “applies independently of the expressed or implied intention of the parties”: </w:t>
      </w:r>
      <w:r w:rsidRPr="007A189D">
        <w:rPr>
          <w:rFonts w:cs="Times New Roman"/>
          <w:i/>
        </w:rPr>
        <w:t>Beckman v. Little Salmon/</w:t>
      </w:r>
      <w:proofErr w:type="spellStart"/>
      <w:r w:rsidRPr="007A189D">
        <w:rPr>
          <w:rFonts w:cs="Times New Roman"/>
          <w:i/>
        </w:rPr>
        <w:t>Carmacks</w:t>
      </w:r>
      <w:proofErr w:type="spellEnd"/>
      <w:r w:rsidRPr="007A189D">
        <w:rPr>
          <w:rFonts w:cs="Times New Roman"/>
          <w:i/>
        </w:rPr>
        <w:t xml:space="preserve"> First Nation</w:t>
      </w:r>
      <w:r w:rsidRPr="007A189D">
        <w:rPr>
          <w:rFonts w:cs="Times New Roman"/>
        </w:rPr>
        <w:t xml:space="preserve">, 2010 SCC 53, [2010] 3 S.C.R. 103, at </w:t>
      </w:r>
      <w:proofErr w:type="spellStart"/>
      <w:r w:rsidRPr="007A189D">
        <w:rPr>
          <w:rFonts w:cs="Times New Roman"/>
        </w:rPr>
        <w:t>para</w:t>
      </w:r>
      <w:proofErr w:type="spellEnd"/>
      <w:r w:rsidRPr="007A189D">
        <w:rPr>
          <w:rFonts w:cs="Times New Roman"/>
        </w:rPr>
        <w:t>. 61.</w:t>
      </w:r>
    </w:p>
    <w:p w:rsidR="00892CE3" w:rsidRPr="007A189D" w:rsidRDefault="00892CE3" w:rsidP="00892CE3">
      <w:pPr>
        <w:pStyle w:val="ParaNoNdepar-AltN"/>
        <w:rPr>
          <w:rFonts w:cs="Times New Roman"/>
        </w:rPr>
      </w:pPr>
      <w:r w:rsidRPr="007A189D">
        <w:rPr>
          <w:rFonts w:cs="Times New Roman"/>
        </w:rPr>
        <w:t xml:space="preserve">The duty to consult is both a legal and a constitutional duty: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10; </w:t>
      </w:r>
      <w:r w:rsidRPr="007A189D">
        <w:rPr>
          <w:rFonts w:cs="Times New Roman"/>
          <w:i/>
        </w:rPr>
        <w:t xml:space="preserve">R. v. </w:t>
      </w:r>
      <w:proofErr w:type="spellStart"/>
      <w:r w:rsidRPr="007A189D">
        <w:rPr>
          <w:rFonts w:cs="Times New Roman"/>
          <w:i/>
        </w:rPr>
        <w:t>Kapp</w:t>
      </w:r>
      <w:proofErr w:type="spellEnd"/>
      <w:r w:rsidRPr="007A189D">
        <w:rPr>
          <w:rFonts w:cs="Times New Roman"/>
        </w:rPr>
        <w:t xml:space="preserve">, 2008 SCC 41, [2008] 2 S.C.R. 483, at </w:t>
      </w:r>
      <w:proofErr w:type="spellStart"/>
      <w:r w:rsidRPr="007A189D">
        <w:rPr>
          <w:rFonts w:cs="Times New Roman"/>
        </w:rPr>
        <w:t>para</w:t>
      </w:r>
      <w:proofErr w:type="spellEnd"/>
      <w:r w:rsidRPr="007A189D">
        <w:rPr>
          <w:rFonts w:cs="Times New Roman"/>
        </w:rPr>
        <w:t xml:space="preserve">. 6; see also J. Woodward, </w:t>
      </w:r>
      <w:r w:rsidRPr="007A189D">
        <w:rPr>
          <w:rFonts w:cs="Times New Roman"/>
          <w:i/>
        </w:rPr>
        <w:t>Native Law</w:t>
      </w:r>
      <w:r w:rsidRPr="007A189D">
        <w:rPr>
          <w:rFonts w:cs="Times New Roman"/>
        </w:rPr>
        <w:t xml:space="preserve">, vol. 1 (loose-leaf), at p. 5-38.  This duty is grounded in the honour of the Crown: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w:t>
      </w:r>
      <w:r w:rsidRPr="007A189D">
        <w:rPr>
          <w:rFonts w:cs="Times New Roman"/>
          <w:i/>
        </w:rPr>
        <w:t>Beckman</w:t>
      </w:r>
      <w:r w:rsidR="001C67E5">
        <w:rPr>
          <w:rFonts w:cs="Times New Roman"/>
        </w:rPr>
        <w:t xml:space="preserve">, at </w:t>
      </w:r>
      <w:proofErr w:type="spellStart"/>
      <w:r w:rsidR="001C67E5">
        <w:rPr>
          <w:rFonts w:cs="Times New Roman"/>
        </w:rPr>
        <w:t>para</w:t>
      </w:r>
      <w:proofErr w:type="spellEnd"/>
      <w:r w:rsidR="001C67E5">
        <w:rPr>
          <w:rFonts w:cs="Times New Roman"/>
        </w:rPr>
        <w:t>. 38;</w:t>
      </w:r>
      <w:r w:rsidRPr="007A189D">
        <w:rPr>
          <w:rFonts w:cs="Times New Roman"/>
        </w:rPr>
        <w:t xml:space="preserve"> </w:t>
      </w:r>
      <w:proofErr w:type="spellStart"/>
      <w:r w:rsidRPr="007A189D">
        <w:rPr>
          <w:rFonts w:cs="Times New Roman"/>
          <w:i/>
        </w:rPr>
        <w:t>Kapp</w:t>
      </w:r>
      <w:proofErr w:type="spellEnd"/>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6.  As </w:t>
      </w:r>
      <w:proofErr w:type="spellStart"/>
      <w:r w:rsidRPr="007A189D">
        <w:rPr>
          <w:rFonts w:cs="Times New Roman"/>
        </w:rPr>
        <w:lastRenderedPageBreak/>
        <w:t>Binnie</w:t>
      </w:r>
      <w:proofErr w:type="spellEnd"/>
      <w:r w:rsidRPr="007A189D">
        <w:rPr>
          <w:rFonts w:cs="Times New Roman"/>
        </w:rPr>
        <w:t xml:space="preserve"> J. said in </w:t>
      </w:r>
      <w:r w:rsidRPr="007A189D">
        <w:rPr>
          <w:rFonts w:cs="Times New Roman"/>
          <w:i/>
        </w:rPr>
        <w:t>Beckman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44, “[t]he concept of the duty to consult is a valuable adjunct to the honour of the Crown, but it plays a supporting role, and should not be viewed independently from its purpose.”  The duty to consult is part of the process for achieving “the reconciliation of the pre-existence of aboriginal societies with the sovereignty of the Crown”: </w:t>
      </w:r>
      <w:proofErr w:type="spellStart"/>
      <w:r w:rsidRPr="007A189D">
        <w:rPr>
          <w:rFonts w:cs="Times New Roman"/>
          <w:i/>
        </w:rPr>
        <w:t>Delgamuukw</w:t>
      </w:r>
      <w:proofErr w:type="spellEnd"/>
      <w:r w:rsidRPr="007A189D">
        <w:rPr>
          <w:rFonts w:cs="Times New Roman"/>
          <w:i/>
        </w:rPr>
        <w:t xml:space="preserve"> v. British Columbia</w:t>
      </w:r>
      <w:r w:rsidRPr="007A189D">
        <w:rPr>
          <w:rFonts w:cs="Times New Roman"/>
        </w:rPr>
        <w:t xml:space="preserve">, [1997] 3 S.C.R. 1010, at </w:t>
      </w:r>
      <w:proofErr w:type="spellStart"/>
      <w:r w:rsidRPr="007A189D">
        <w:rPr>
          <w:rFonts w:cs="Times New Roman"/>
        </w:rPr>
        <w:t>para</w:t>
      </w:r>
      <w:proofErr w:type="spellEnd"/>
      <w:r w:rsidRPr="007A189D">
        <w:rPr>
          <w:rFonts w:cs="Times New Roman"/>
        </w:rPr>
        <w:t xml:space="preserve">. 186, quoting </w:t>
      </w:r>
      <w:r w:rsidRPr="007A189D">
        <w:rPr>
          <w:rFonts w:cs="Times New Roman"/>
          <w:i/>
        </w:rPr>
        <w:t xml:space="preserve">R. v. Van </w:t>
      </w:r>
      <w:proofErr w:type="spellStart"/>
      <w:r w:rsidRPr="007A189D">
        <w:rPr>
          <w:rFonts w:cs="Times New Roman"/>
          <w:i/>
        </w:rPr>
        <w:t>der</w:t>
      </w:r>
      <w:proofErr w:type="spellEnd"/>
      <w:r w:rsidRPr="007A189D">
        <w:rPr>
          <w:rFonts w:cs="Times New Roman"/>
          <w:i/>
        </w:rPr>
        <w:t xml:space="preserve"> </w:t>
      </w:r>
      <w:proofErr w:type="spellStart"/>
      <w:r w:rsidRPr="007A189D">
        <w:rPr>
          <w:rFonts w:cs="Times New Roman"/>
          <w:i/>
        </w:rPr>
        <w:t>Peet</w:t>
      </w:r>
      <w:proofErr w:type="spellEnd"/>
      <w:r w:rsidRPr="007A189D">
        <w:rPr>
          <w:rFonts w:cs="Times New Roman"/>
        </w:rPr>
        <w:t xml:space="preserve">, [1996] 2 S.C.R. 507, at </w:t>
      </w:r>
      <w:proofErr w:type="spellStart"/>
      <w:r w:rsidRPr="007A189D">
        <w:rPr>
          <w:rFonts w:cs="Times New Roman"/>
        </w:rPr>
        <w:t>para</w:t>
      </w:r>
      <w:proofErr w:type="spellEnd"/>
      <w:r w:rsidRPr="007A189D">
        <w:rPr>
          <w:rFonts w:cs="Times New Roman"/>
        </w:rPr>
        <w:t xml:space="preserve">. 31;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17; see also D. G. Newman, </w:t>
      </w:r>
      <w:r w:rsidRPr="007A189D">
        <w:rPr>
          <w:rFonts w:cs="Times New Roman"/>
          <w:i/>
        </w:rPr>
        <w:t>The Duty to Consult: New Relationships with Aboriginal Peoples</w:t>
      </w:r>
      <w:r w:rsidRPr="007A189D">
        <w:rPr>
          <w:rFonts w:cs="Times New Roman"/>
        </w:rPr>
        <w:t xml:space="preserve"> (2009).</w:t>
      </w:r>
    </w:p>
    <w:p w:rsidR="00892CE3" w:rsidRPr="007A189D" w:rsidRDefault="00892CE3" w:rsidP="00892CE3">
      <w:pPr>
        <w:pStyle w:val="ParaNoNdepar-AltN"/>
        <w:rPr>
          <w:rFonts w:cs="Times New Roman"/>
        </w:rPr>
      </w:pPr>
      <w:r w:rsidRPr="007A189D">
        <w:rPr>
          <w:rFonts w:cs="Times New Roman"/>
        </w:rPr>
        <w:t xml:space="preserve">The duty to consult is triggered “when the Crown has knowledge, real or constructive, of the potential existence of the Aboriginal right or title and contemplates conduct that might adversely affect it”: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35.  The content of the duty varies depending on the context, as it lies on a spectrum of different actions to be taken by the Crown: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43.  An important component of the duty to consult is a requirement that good faith be shown by both the Crown and the Aboriginal people in question: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42.  Both parties must take a reasonable and fair approach in their dealings. </w:t>
      </w:r>
      <w:r>
        <w:rPr>
          <w:rFonts w:cs="Times New Roman"/>
        </w:rPr>
        <w:t xml:space="preserve"> </w:t>
      </w:r>
      <w:r w:rsidRPr="007A189D">
        <w:rPr>
          <w:rFonts w:cs="Times New Roman"/>
        </w:rPr>
        <w:t xml:space="preserve">The duty does not require that an agreement be reached, nor does it give Aboriginal peoples a veto: </w:t>
      </w:r>
      <w:proofErr w:type="spellStart"/>
      <w:r w:rsidRPr="007A189D">
        <w:rPr>
          <w:rFonts w:cs="Times New Roman"/>
          <w:i/>
        </w:rPr>
        <w:t>Taku</w:t>
      </w:r>
      <w:proofErr w:type="spellEnd"/>
      <w:r w:rsidRPr="007A189D">
        <w:rPr>
          <w:rFonts w:cs="Times New Roman"/>
          <w:i/>
        </w:rPr>
        <w:t xml:space="preserve"> River Tlingit First Nation v. British Columbia (Project Assessment Director)</w:t>
      </w:r>
      <w:r w:rsidRPr="007A189D">
        <w:rPr>
          <w:rFonts w:cs="Times New Roman"/>
        </w:rPr>
        <w:t xml:space="preserve">, 2004 SCC 74, [2004] 3 S.C.R. 550, at </w:t>
      </w:r>
      <w:proofErr w:type="spellStart"/>
      <w:r w:rsidRPr="007A189D">
        <w:rPr>
          <w:rFonts w:cs="Times New Roman"/>
        </w:rPr>
        <w:t>paras</w:t>
      </w:r>
      <w:proofErr w:type="spellEnd"/>
      <w:r w:rsidRPr="007A189D">
        <w:rPr>
          <w:rFonts w:cs="Times New Roman"/>
        </w:rPr>
        <w:t xml:space="preserve">. 2 and 22; </w:t>
      </w:r>
      <w:proofErr w:type="spellStart"/>
      <w:r w:rsidRPr="007A189D">
        <w:rPr>
          <w:rFonts w:cs="Times New Roman"/>
          <w:i/>
        </w:rPr>
        <w:t>Haida</w:t>
      </w:r>
      <w:proofErr w:type="spellEnd"/>
      <w:r w:rsidRPr="007A189D">
        <w:rPr>
          <w:rFonts w:cs="Times New Roman"/>
          <w:i/>
        </w:rPr>
        <w:t xml:space="preserve"> Nation</w:t>
      </w:r>
      <w:r w:rsidRPr="007A189D">
        <w:rPr>
          <w:rFonts w:cs="Times New Roman"/>
        </w:rPr>
        <w:t xml:space="preserve">, at </w:t>
      </w:r>
      <w:proofErr w:type="spellStart"/>
      <w:r w:rsidRPr="007A189D">
        <w:rPr>
          <w:rFonts w:cs="Times New Roman"/>
        </w:rPr>
        <w:t>para</w:t>
      </w:r>
      <w:proofErr w:type="spellEnd"/>
      <w:r w:rsidRPr="007A189D">
        <w:rPr>
          <w:rFonts w:cs="Times New Roman"/>
        </w:rPr>
        <w:t>. 48.</w:t>
      </w:r>
    </w:p>
    <w:p w:rsidR="00892CE3" w:rsidRPr="007A189D" w:rsidRDefault="00892CE3" w:rsidP="00892CE3">
      <w:pPr>
        <w:pStyle w:val="ParaNoNdepar-AltN"/>
        <w:rPr>
          <w:rFonts w:cs="Times New Roman"/>
        </w:rPr>
      </w:pPr>
      <w:r w:rsidRPr="007A189D">
        <w:rPr>
          <w:rFonts w:cs="Times New Roman"/>
        </w:rPr>
        <w:t xml:space="preserve">The duty to consult exists to protect the collective rights of Aboriginal peoples.  For this reason, it is owed to the Aboriginal group that holds the s. 35 rights, </w:t>
      </w:r>
      <w:r w:rsidRPr="007A189D">
        <w:rPr>
          <w:rFonts w:cs="Times New Roman"/>
        </w:rPr>
        <w:lastRenderedPageBreak/>
        <w:t xml:space="preserve">which are collective in nature: </w:t>
      </w:r>
      <w:r w:rsidRPr="007A189D">
        <w:rPr>
          <w:rFonts w:cs="Times New Roman"/>
          <w:i/>
        </w:rPr>
        <w:t>Beckman</w:t>
      </w:r>
      <w:r w:rsidRPr="007A189D">
        <w:rPr>
          <w:rFonts w:cs="Times New Roman"/>
        </w:rPr>
        <w:t xml:space="preserve">, at </w:t>
      </w:r>
      <w:proofErr w:type="spellStart"/>
      <w:r w:rsidRPr="007A189D">
        <w:rPr>
          <w:rFonts w:cs="Times New Roman"/>
        </w:rPr>
        <w:t>para</w:t>
      </w:r>
      <w:proofErr w:type="spellEnd"/>
      <w:r w:rsidRPr="007A189D">
        <w:rPr>
          <w:rFonts w:cs="Times New Roman"/>
        </w:rPr>
        <w:t>. 35; Woodward, at p. 5-55.  But an Aboriginal group can authorize an individual or an organization to represent it for the purpose of asserting its s. 35 rights: see</w:t>
      </w:r>
      <w:r w:rsidR="001C67E5">
        <w:rPr>
          <w:rFonts w:cs="Times New Roman"/>
        </w:rPr>
        <w:t>,</w:t>
      </w:r>
      <w:r w:rsidRPr="007A189D">
        <w:rPr>
          <w:rFonts w:cs="Times New Roman"/>
        </w:rPr>
        <w:t xml:space="preserve"> e.g.</w:t>
      </w:r>
      <w:r w:rsidR="001C67E5">
        <w:rPr>
          <w:rFonts w:cs="Times New Roman"/>
        </w:rPr>
        <w:t>,</w:t>
      </w:r>
      <w:r w:rsidRPr="007A189D">
        <w:rPr>
          <w:rFonts w:cs="Times New Roman"/>
        </w:rPr>
        <w:t xml:space="preserve"> </w:t>
      </w:r>
      <w:proofErr w:type="spellStart"/>
      <w:r w:rsidRPr="007A189D">
        <w:rPr>
          <w:rFonts w:cs="Times New Roman"/>
          <w:i/>
        </w:rPr>
        <w:t>Komoyue</w:t>
      </w:r>
      <w:proofErr w:type="spellEnd"/>
      <w:r w:rsidRPr="007A189D">
        <w:rPr>
          <w:rFonts w:cs="Times New Roman"/>
          <w:i/>
        </w:rPr>
        <w:t xml:space="preserve"> Heritage Society v. British Columbia (Attorney General)</w:t>
      </w:r>
      <w:r w:rsidRPr="007A189D">
        <w:rPr>
          <w:rFonts w:cs="Times New Roman"/>
        </w:rPr>
        <w:t>, 2006 BCSC 1517, 55 Admin. L.R. (4th) 236.</w:t>
      </w:r>
    </w:p>
    <w:p w:rsidR="00892CE3" w:rsidRPr="007A189D" w:rsidRDefault="00892CE3" w:rsidP="00892CE3">
      <w:pPr>
        <w:pStyle w:val="ParaNoNdepar-AltN"/>
        <w:rPr>
          <w:rFonts w:cs="Times New Roman"/>
        </w:rPr>
      </w:pPr>
      <w:r w:rsidRPr="007A189D">
        <w:rPr>
          <w:rFonts w:cs="Times New Roman"/>
        </w:rPr>
        <w:t xml:space="preserve">In this appeal, it does not appear from the pleadings that the FNFN authorized George </w:t>
      </w:r>
      <w:proofErr w:type="spellStart"/>
      <w:r w:rsidRPr="007A189D">
        <w:rPr>
          <w:rFonts w:cs="Times New Roman"/>
        </w:rPr>
        <w:t>Behn</w:t>
      </w:r>
      <w:proofErr w:type="spellEnd"/>
      <w:r w:rsidRPr="007A189D">
        <w:rPr>
          <w:rFonts w:cs="Times New Roman"/>
        </w:rPr>
        <w:t xml:space="preserve"> or any other person to represent it for the purpose of contesting the legality of the Authorizations.  I note, though, that it is alleged in the pleadings of other parties before this Court that the FNFN had implicitly authorized the </w:t>
      </w:r>
      <w:proofErr w:type="spellStart"/>
      <w:r w:rsidRPr="007A189D">
        <w:rPr>
          <w:rFonts w:cs="Times New Roman"/>
        </w:rPr>
        <w:t>Behns</w:t>
      </w:r>
      <w:proofErr w:type="spellEnd"/>
      <w:r w:rsidRPr="007A189D">
        <w:rPr>
          <w:rFonts w:cs="Times New Roman"/>
        </w:rPr>
        <w:t xml:space="preserve"> to represent it. </w:t>
      </w:r>
      <w:r>
        <w:rPr>
          <w:rFonts w:cs="Times New Roman"/>
        </w:rPr>
        <w:t xml:space="preserve"> </w:t>
      </w:r>
      <w:r w:rsidRPr="007A189D">
        <w:rPr>
          <w:rFonts w:cs="Times New Roman"/>
        </w:rPr>
        <w:t xml:space="preserve">As a matter of fact, the FNFN was a party in the proceedings in the courts below, because Moulton was arguing that it had combined or conspired with others to block access to Moulton’s logging sites. </w:t>
      </w:r>
      <w:r>
        <w:rPr>
          <w:rFonts w:cs="Times New Roman"/>
        </w:rPr>
        <w:t xml:space="preserve"> </w:t>
      </w:r>
      <w:r w:rsidRPr="007A189D">
        <w:rPr>
          <w:rFonts w:cs="Times New Roman"/>
        </w:rPr>
        <w:t xml:space="preserve">The FNFN is also an intervener in this Court.  But, given the absence of an allegation of an authorization from the FNFN, in the circumstances of this case, the </w:t>
      </w:r>
      <w:proofErr w:type="spellStart"/>
      <w:r w:rsidRPr="007A189D">
        <w:rPr>
          <w:rFonts w:cs="Times New Roman"/>
        </w:rPr>
        <w:t>Behns</w:t>
      </w:r>
      <w:proofErr w:type="spellEnd"/>
      <w:r w:rsidRPr="007A189D">
        <w:rPr>
          <w:rFonts w:cs="Times New Roman"/>
        </w:rPr>
        <w:t xml:space="preserve"> cannot assert a breach of the duty to consult on their own, as that duty is owed to the Aboriginal community, the FNFN. </w:t>
      </w:r>
      <w:r>
        <w:rPr>
          <w:rFonts w:cs="Times New Roman"/>
        </w:rPr>
        <w:t xml:space="preserve"> </w:t>
      </w:r>
      <w:r w:rsidRPr="007A189D">
        <w:rPr>
          <w:rFonts w:cs="Times New Roman"/>
        </w:rPr>
        <w:t>Even if it were assumed that such a claim by individuals is possible, the allegations in the pleadings provide no basis for one in the context of this appeal.</w:t>
      </w:r>
    </w:p>
    <w:p w:rsidR="00892CE3" w:rsidRPr="007A189D" w:rsidRDefault="00C84CE2" w:rsidP="00C84CE2">
      <w:pPr>
        <w:tabs>
          <w:tab w:val="left" w:pos="1170"/>
          <w:tab w:val="left" w:pos="1710"/>
        </w:tabs>
        <w:spacing w:after="480"/>
        <w:ind w:left="1710" w:hanging="1710"/>
      </w:pPr>
      <w:r>
        <w:tab/>
      </w:r>
      <w:r w:rsidR="00892CE3" w:rsidRPr="007A189D">
        <w:t>(2)</w:t>
      </w:r>
      <w:r w:rsidR="00892CE3" w:rsidRPr="007A189D">
        <w:tab/>
      </w:r>
      <w:r w:rsidR="00892CE3" w:rsidRPr="007A189D">
        <w:rPr>
          <w:u w:val="single"/>
        </w:rPr>
        <w:t>Aboriginal or Treaty Rights</w:t>
      </w:r>
    </w:p>
    <w:p w:rsidR="00892CE3" w:rsidRPr="007A189D" w:rsidRDefault="00892CE3" w:rsidP="00892CE3">
      <w:pPr>
        <w:pStyle w:val="ParaNoNdepar-AltN"/>
        <w:rPr>
          <w:rFonts w:cs="Times New Roman"/>
        </w:rPr>
      </w:pPr>
      <w:r w:rsidRPr="007A189D">
        <w:rPr>
          <w:rFonts w:cs="Times New Roman"/>
        </w:rPr>
        <w:t xml:space="preserve">The </w:t>
      </w:r>
      <w:proofErr w:type="spellStart"/>
      <w:r w:rsidRPr="007A189D">
        <w:rPr>
          <w:rFonts w:cs="Times New Roman"/>
        </w:rPr>
        <w:t>Behns</w:t>
      </w:r>
      <w:proofErr w:type="spellEnd"/>
      <w:r w:rsidRPr="007A189D">
        <w:rPr>
          <w:rFonts w:cs="Times New Roman"/>
        </w:rPr>
        <w:t xml:space="preserve"> also challenge the legality of the Authorizations on the basis that they breach their rights to hunt and trap under Treaty No. 8.  This is an important issue, but a definitive pronouncement in this regard cannot be made in the </w:t>
      </w:r>
      <w:r w:rsidRPr="007A189D">
        <w:rPr>
          <w:rFonts w:cs="Times New Roman"/>
        </w:rPr>
        <w:lastRenderedPageBreak/>
        <w:t xml:space="preserve">circumstances of this case. </w:t>
      </w:r>
      <w:r>
        <w:rPr>
          <w:rFonts w:cs="Times New Roman"/>
        </w:rPr>
        <w:t xml:space="preserve"> </w:t>
      </w:r>
      <w:r w:rsidRPr="007A189D">
        <w:rPr>
          <w:rFonts w:cs="Times New Roman"/>
        </w:rPr>
        <w:t xml:space="preserve">I would caution against doing so at this stage of the proceedings and of the development of the law. </w:t>
      </w:r>
    </w:p>
    <w:p w:rsidR="00892CE3" w:rsidRPr="007A189D" w:rsidRDefault="00892CE3" w:rsidP="00892CE3">
      <w:pPr>
        <w:pStyle w:val="ParaNoNdepar-AltN"/>
        <w:rPr>
          <w:rFonts w:cs="Times New Roman"/>
        </w:rPr>
      </w:pPr>
      <w:r w:rsidRPr="007A189D">
        <w:rPr>
          <w:rFonts w:cs="Times New Roman"/>
        </w:rPr>
        <w:t xml:space="preserve">The Crown argues that claims in relation to treaty rights must be brought by, or on behalf of, the Aboriginal community.  This general proposition is too narrow.  It is true that Aboriginal and treaty rights are collective in nature: see </w:t>
      </w:r>
      <w:r w:rsidRPr="007A189D">
        <w:rPr>
          <w:rFonts w:cs="Times New Roman"/>
          <w:i/>
        </w:rPr>
        <w:t>R. v. Sparrow</w:t>
      </w:r>
      <w:r w:rsidRPr="007A189D">
        <w:rPr>
          <w:rFonts w:cs="Times New Roman"/>
        </w:rPr>
        <w:t xml:space="preserve">, [1990] 1 S.C.R. 1075, at p. 1112; </w:t>
      </w:r>
      <w:proofErr w:type="spellStart"/>
      <w:r w:rsidR="00C84CE2">
        <w:rPr>
          <w:rFonts w:cs="Times New Roman"/>
          <w:i/>
        </w:rPr>
        <w:t>Delgamuu</w:t>
      </w:r>
      <w:r w:rsidRPr="007A189D">
        <w:rPr>
          <w:rFonts w:cs="Times New Roman"/>
          <w:i/>
        </w:rPr>
        <w:t>kw</w:t>
      </w:r>
      <w:proofErr w:type="spellEnd"/>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115; </w:t>
      </w:r>
      <w:r w:rsidRPr="007A189D">
        <w:rPr>
          <w:rFonts w:cs="Times New Roman"/>
          <w:i/>
        </w:rPr>
        <w:t>R. v. Sundown</w:t>
      </w:r>
      <w:r w:rsidRPr="007A189D">
        <w:rPr>
          <w:rFonts w:cs="Times New Roman"/>
        </w:rPr>
        <w:t xml:space="preserve">, [1999] 1 S.C.R. 393, at </w:t>
      </w:r>
      <w:proofErr w:type="spellStart"/>
      <w:r w:rsidRPr="007A189D">
        <w:rPr>
          <w:rFonts w:cs="Times New Roman"/>
        </w:rPr>
        <w:t>para</w:t>
      </w:r>
      <w:proofErr w:type="spellEnd"/>
      <w:r w:rsidRPr="007A189D">
        <w:rPr>
          <w:rFonts w:cs="Times New Roman"/>
        </w:rPr>
        <w:t xml:space="preserve">. 36; </w:t>
      </w:r>
      <w:r w:rsidRPr="007A189D">
        <w:rPr>
          <w:rFonts w:cs="Times New Roman"/>
          <w:i/>
        </w:rPr>
        <w:t>R. v. Marshall</w:t>
      </w:r>
      <w:r w:rsidRPr="007A189D">
        <w:rPr>
          <w:rFonts w:cs="Times New Roman"/>
        </w:rPr>
        <w:t xml:space="preserve">, [1999] 3 S.C.R. 533, at </w:t>
      </w:r>
      <w:proofErr w:type="spellStart"/>
      <w:r w:rsidRPr="007A189D">
        <w:rPr>
          <w:rFonts w:cs="Times New Roman"/>
        </w:rPr>
        <w:t>paras</w:t>
      </w:r>
      <w:proofErr w:type="spellEnd"/>
      <w:r w:rsidRPr="007A189D">
        <w:rPr>
          <w:rFonts w:cs="Times New Roman"/>
        </w:rPr>
        <w:t xml:space="preserve">. 17 and 37; </w:t>
      </w:r>
      <w:r w:rsidRPr="007A189D">
        <w:rPr>
          <w:rFonts w:cs="Times New Roman"/>
          <w:i/>
        </w:rPr>
        <w:t>R. v. Sappier</w:t>
      </w:r>
      <w:r w:rsidRPr="007A189D">
        <w:rPr>
          <w:rFonts w:cs="Times New Roman"/>
        </w:rPr>
        <w:t xml:space="preserve">, 2006 SCC 54, [2006] 2 S.C.R. 686, at </w:t>
      </w:r>
      <w:proofErr w:type="spellStart"/>
      <w:r w:rsidRPr="007A189D">
        <w:rPr>
          <w:rFonts w:cs="Times New Roman"/>
        </w:rPr>
        <w:t>para</w:t>
      </w:r>
      <w:proofErr w:type="spellEnd"/>
      <w:r w:rsidRPr="007A189D">
        <w:rPr>
          <w:rFonts w:cs="Times New Roman"/>
        </w:rPr>
        <w:t xml:space="preserve">. 31; </w:t>
      </w:r>
      <w:r w:rsidRPr="007A189D">
        <w:rPr>
          <w:rFonts w:cs="Times New Roman"/>
          <w:i/>
        </w:rPr>
        <w:t>Beckman</w:t>
      </w:r>
      <w:r w:rsidRPr="007A189D">
        <w:rPr>
          <w:rFonts w:cs="Times New Roman"/>
        </w:rPr>
        <w:t xml:space="preserve">, at </w:t>
      </w:r>
      <w:proofErr w:type="spellStart"/>
      <w:r w:rsidRPr="007A189D">
        <w:rPr>
          <w:rFonts w:cs="Times New Roman"/>
        </w:rPr>
        <w:t>para</w:t>
      </w:r>
      <w:proofErr w:type="spellEnd"/>
      <w:r w:rsidRPr="007A189D">
        <w:rPr>
          <w:rFonts w:cs="Times New Roman"/>
        </w:rPr>
        <w:t xml:space="preserve">. 35.  However, certain rights, despite being held by the Aboriginal community, are nonetheless exercised by individual members or assigned to them.  These rights may therefore have both collective and individual aspects. Individual members of a community may have a vested interest in the protection of these rights. It may well be that, in appropriate </w:t>
      </w:r>
      <w:proofErr w:type="gramStart"/>
      <w:r w:rsidRPr="007A189D">
        <w:rPr>
          <w:rFonts w:cs="Times New Roman"/>
        </w:rPr>
        <w:t>circumstances,</w:t>
      </w:r>
      <w:proofErr w:type="gramEnd"/>
      <w:r w:rsidRPr="007A189D">
        <w:rPr>
          <w:rFonts w:cs="Times New Roman"/>
        </w:rPr>
        <w:t xml:space="preserve"> individual members can assert certain Aboriginal or treaty rights, as some of the interveners have proposed.</w:t>
      </w:r>
    </w:p>
    <w:p w:rsidR="00892CE3" w:rsidRPr="007A189D" w:rsidRDefault="00892CE3" w:rsidP="00892CE3">
      <w:pPr>
        <w:pStyle w:val="ParaNoNdepar-AltN"/>
        <w:rPr>
          <w:rFonts w:cs="Times New Roman"/>
        </w:rPr>
      </w:pPr>
      <w:r w:rsidRPr="007A189D">
        <w:rPr>
          <w:rFonts w:cs="Times New Roman"/>
        </w:rPr>
        <w:t xml:space="preserve">Some interesting suggestions have been made in respect of the classification of Aboriginal and treaty rights. </w:t>
      </w:r>
      <w:r>
        <w:rPr>
          <w:rFonts w:cs="Times New Roman"/>
        </w:rPr>
        <w:t xml:space="preserve"> </w:t>
      </w:r>
      <w:r w:rsidRPr="007A189D">
        <w:rPr>
          <w:rFonts w:cs="Times New Roman"/>
        </w:rPr>
        <w:t xml:space="preserve">For example, the interveners Grand Council of the </w:t>
      </w:r>
      <w:proofErr w:type="spellStart"/>
      <w:r w:rsidRPr="007A189D">
        <w:rPr>
          <w:rFonts w:cs="Times New Roman"/>
        </w:rPr>
        <w:t>Crees</w:t>
      </w:r>
      <w:proofErr w:type="spellEnd"/>
      <w:r w:rsidRPr="007A189D">
        <w:rPr>
          <w:rFonts w:cs="Times New Roman"/>
        </w:rPr>
        <w:t xml:space="preserve"> and Cree Regional Authority propose in their factum, </w:t>
      </w:r>
      <w:r>
        <w:rPr>
          <w:rFonts w:cs="Times New Roman"/>
        </w:rPr>
        <w:t xml:space="preserve">at </w:t>
      </w:r>
      <w:proofErr w:type="spellStart"/>
      <w:r>
        <w:rPr>
          <w:rFonts w:cs="Times New Roman"/>
        </w:rPr>
        <w:t>para</w:t>
      </w:r>
      <w:proofErr w:type="spellEnd"/>
      <w:r>
        <w:rPr>
          <w:rFonts w:cs="Times New Roman"/>
        </w:rPr>
        <w:t>. </w:t>
      </w:r>
      <w:r w:rsidRPr="007A189D">
        <w:rPr>
          <w:rFonts w:cs="Times New Roman"/>
        </w:rPr>
        <w:t xml:space="preserve">14, that a distinction </w:t>
      </w:r>
      <w:proofErr w:type="gramStart"/>
      <w:r w:rsidRPr="007A189D">
        <w:rPr>
          <w:rFonts w:cs="Times New Roman"/>
        </w:rPr>
        <w:t>be</w:t>
      </w:r>
      <w:proofErr w:type="gramEnd"/>
      <w:r w:rsidRPr="007A189D">
        <w:rPr>
          <w:rFonts w:cs="Times New Roman"/>
        </w:rPr>
        <w:t xml:space="preserve"> made between three types of Aboriginal and treaty rights: (a) rights that are exclusively collective; (b) rights that are mixed; and (c) rights that are predominantly individual. </w:t>
      </w:r>
      <w:r>
        <w:rPr>
          <w:rFonts w:cs="Times New Roman"/>
        </w:rPr>
        <w:t xml:space="preserve"> </w:t>
      </w:r>
      <w:r w:rsidRPr="007A189D">
        <w:rPr>
          <w:rFonts w:cs="Times New Roman"/>
        </w:rPr>
        <w:t>These interveners also attempt to classify a variety of rights on the basis of these three categories.</w:t>
      </w:r>
    </w:p>
    <w:p w:rsidR="00892CE3" w:rsidRPr="007A189D" w:rsidRDefault="00892CE3" w:rsidP="00892CE3">
      <w:pPr>
        <w:pStyle w:val="ParaNoNdepar-AltN"/>
        <w:rPr>
          <w:rFonts w:cs="Times New Roman"/>
        </w:rPr>
      </w:pPr>
      <w:r w:rsidRPr="007A189D">
        <w:rPr>
          <w:rFonts w:cs="Times New Roman"/>
        </w:rPr>
        <w:lastRenderedPageBreak/>
        <w:t xml:space="preserve">These suggestions bear witness to the diversity of Aboriginal and treaty rights. </w:t>
      </w:r>
      <w:r>
        <w:rPr>
          <w:rFonts w:cs="Times New Roman"/>
        </w:rPr>
        <w:t xml:space="preserve"> </w:t>
      </w:r>
      <w:r w:rsidRPr="007A189D">
        <w:rPr>
          <w:rFonts w:cs="Times New Roman"/>
        </w:rPr>
        <w:t xml:space="preserve">But I would not, on the occasion of this appeal and at this stage of the development of the law, try to develop broad categories for these rights and to slot each right in the appropriate one. </w:t>
      </w:r>
      <w:r>
        <w:rPr>
          <w:rFonts w:cs="Times New Roman"/>
        </w:rPr>
        <w:t xml:space="preserve"> </w:t>
      </w:r>
      <w:r w:rsidRPr="007A189D">
        <w:rPr>
          <w:rFonts w:cs="Times New Roman"/>
        </w:rPr>
        <w:t xml:space="preserve">It will suffice to acknowledge that, despite the critical importance of the collective aspect of Aboriginal and treaty rights, rights may sometimes be assigned to or exercised by individual members of Aboriginal communities, and entitlements may sometimes be created in their favour. </w:t>
      </w:r>
      <w:r>
        <w:rPr>
          <w:rFonts w:cs="Times New Roman"/>
        </w:rPr>
        <w:t xml:space="preserve"> </w:t>
      </w:r>
      <w:r w:rsidRPr="007A189D">
        <w:rPr>
          <w:rFonts w:cs="Times New Roman"/>
        </w:rPr>
        <w:t xml:space="preserve">In a broad sense, it could be said that these rights might belong to them or that they have an individual aspect regardless of their collective nature. </w:t>
      </w:r>
      <w:r>
        <w:rPr>
          <w:rFonts w:cs="Times New Roman"/>
        </w:rPr>
        <w:t xml:space="preserve"> </w:t>
      </w:r>
      <w:r w:rsidRPr="007A189D">
        <w:rPr>
          <w:rFonts w:cs="Times New Roman"/>
        </w:rPr>
        <w:t xml:space="preserve">Nothing more need be said at this time. </w:t>
      </w:r>
    </w:p>
    <w:p w:rsidR="00892CE3" w:rsidRPr="007A189D" w:rsidRDefault="00892CE3" w:rsidP="00892CE3">
      <w:pPr>
        <w:pStyle w:val="ParaNoNdepar-AltN"/>
        <w:rPr>
          <w:rFonts w:cs="Times New Roman"/>
        </w:rPr>
      </w:pPr>
      <w:r w:rsidRPr="007A189D">
        <w:rPr>
          <w:rFonts w:cs="Times New Roman"/>
        </w:rPr>
        <w:t xml:space="preserve">In this appeal, the </w:t>
      </w:r>
      <w:proofErr w:type="spellStart"/>
      <w:r w:rsidRPr="007A189D">
        <w:rPr>
          <w:rFonts w:cs="Times New Roman"/>
        </w:rPr>
        <w:t>Behns</w:t>
      </w:r>
      <w:proofErr w:type="spellEnd"/>
      <w:r w:rsidRPr="007A189D">
        <w:rPr>
          <w:rFonts w:cs="Times New Roman"/>
        </w:rPr>
        <w:t xml:space="preserve"> assert in their defence that the Authorizations are illegal because they breach their treaty rights to hunt and trap. </w:t>
      </w:r>
      <w:r>
        <w:rPr>
          <w:rFonts w:cs="Times New Roman"/>
        </w:rPr>
        <w:t xml:space="preserve"> </w:t>
      </w:r>
      <w:r w:rsidRPr="007A189D">
        <w:rPr>
          <w:rFonts w:cs="Times New Roman"/>
        </w:rPr>
        <w:t xml:space="preserve">They recognize that these rights have traditionally been held by the FNFN, which is a party to Treaty No. 8. </w:t>
      </w:r>
      <w:r>
        <w:rPr>
          <w:rFonts w:cs="Times New Roman"/>
        </w:rPr>
        <w:t xml:space="preserve"> </w:t>
      </w:r>
      <w:r w:rsidRPr="007A189D">
        <w:rPr>
          <w:rFonts w:cs="Times New Roman"/>
        </w:rPr>
        <w:t xml:space="preserve">But they also allege that specific tracts of land have traditionally been assigned to and associated with particular family groups. </w:t>
      </w:r>
      <w:r>
        <w:rPr>
          <w:rFonts w:cs="Times New Roman"/>
        </w:rPr>
        <w:t xml:space="preserve"> </w:t>
      </w:r>
      <w:r w:rsidRPr="007A189D">
        <w:rPr>
          <w:rFonts w:cs="Times New Roman"/>
        </w:rPr>
        <w:t xml:space="preserve">They assert in their pleadings that the Authorizations granted to Moulton are for logging in specific areas within the territory traditionally assigned to the </w:t>
      </w:r>
      <w:proofErr w:type="spellStart"/>
      <w:r w:rsidRPr="007A189D">
        <w:rPr>
          <w:rFonts w:cs="Times New Roman"/>
        </w:rPr>
        <w:t>Behns</w:t>
      </w:r>
      <w:proofErr w:type="spellEnd"/>
      <w:r w:rsidRPr="007A189D">
        <w:rPr>
          <w:rFonts w:cs="Times New Roman"/>
        </w:rPr>
        <w:t xml:space="preserve">, where they have exercised their rights to hunt and trap.  On the basis of an allegation of a connection between their rights to hunt and trap and a specific geographic location within the FNFN territory, the </w:t>
      </w:r>
      <w:proofErr w:type="spellStart"/>
      <w:r w:rsidRPr="007A189D">
        <w:rPr>
          <w:rFonts w:cs="Times New Roman"/>
        </w:rPr>
        <w:t>Behns</w:t>
      </w:r>
      <w:proofErr w:type="spellEnd"/>
      <w:r w:rsidRPr="007A189D">
        <w:rPr>
          <w:rFonts w:cs="Times New Roman"/>
        </w:rPr>
        <w:t xml:space="preserve"> assert that they have a greater interest in the protection of hunting and trapping rights on their traditional family territory than do other members of the FNFN. </w:t>
      </w:r>
      <w:r>
        <w:rPr>
          <w:rFonts w:cs="Times New Roman"/>
        </w:rPr>
        <w:t xml:space="preserve"> </w:t>
      </w:r>
      <w:r w:rsidRPr="007A189D">
        <w:rPr>
          <w:rFonts w:cs="Times New Roman"/>
        </w:rPr>
        <w:t xml:space="preserve">It might be argued that this connection gives them a certain standing to raise </w:t>
      </w:r>
      <w:r w:rsidRPr="007A189D">
        <w:rPr>
          <w:rFonts w:cs="Times New Roman"/>
        </w:rPr>
        <w:lastRenderedPageBreak/>
        <w:t xml:space="preserve">the violation of their particular rights as a defence to Moulton’s tort claim. </w:t>
      </w:r>
      <w:r>
        <w:rPr>
          <w:rFonts w:cs="Times New Roman"/>
        </w:rPr>
        <w:t xml:space="preserve"> </w:t>
      </w:r>
      <w:r w:rsidRPr="007A189D">
        <w:rPr>
          <w:rFonts w:cs="Times New Roman"/>
        </w:rPr>
        <w:t>But a final decision on this issue of standing is not necessary in this appeal, because another issue will be determinative, that of abuse of process.</w:t>
      </w:r>
    </w:p>
    <w:p w:rsidR="00892CE3" w:rsidRPr="007A189D" w:rsidRDefault="00892CE3" w:rsidP="0017782F">
      <w:pPr>
        <w:tabs>
          <w:tab w:val="left" w:pos="540"/>
        </w:tabs>
        <w:ind w:left="540" w:hanging="540"/>
      </w:pPr>
      <w:r w:rsidRPr="007A189D">
        <w:t>D.</w:t>
      </w:r>
      <w:r w:rsidRPr="007A189D">
        <w:tab/>
      </w:r>
      <w:r w:rsidRPr="007A189D">
        <w:rPr>
          <w:i/>
        </w:rPr>
        <w:t>Abuse of Process</w:t>
      </w:r>
    </w:p>
    <w:p w:rsidR="00892CE3" w:rsidRPr="007A189D" w:rsidRDefault="00892CE3" w:rsidP="00892CE3">
      <w:pPr>
        <w:pStyle w:val="ParaNoNdepar-AltN"/>
        <w:rPr>
          <w:rFonts w:cs="Times New Roman"/>
        </w:rPr>
      </w:pPr>
      <w:r w:rsidRPr="007A189D">
        <w:rPr>
          <w:rFonts w:cs="Times New Roman"/>
        </w:rPr>
        <w:t xml:space="preserve">The key issue in this appeal is whether the </w:t>
      </w:r>
      <w:proofErr w:type="spellStart"/>
      <w:r w:rsidRPr="007A189D">
        <w:rPr>
          <w:rFonts w:cs="Times New Roman"/>
        </w:rPr>
        <w:t>Behns</w:t>
      </w:r>
      <w:proofErr w:type="spellEnd"/>
      <w:r w:rsidRPr="007A189D">
        <w:rPr>
          <w:rFonts w:cs="Times New Roman"/>
        </w:rPr>
        <w:t xml:space="preserve">’ acts constitute an abuse of process. </w:t>
      </w:r>
      <w:r>
        <w:rPr>
          <w:rFonts w:cs="Times New Roman"/>
        </w:rPr>
        <w:t xml:space="preserve"> </w:t>
      </w:r>
      <w:r w:rsidRPr="007A189D">
        <w:rPr>
          <w:rFonts w:cs="Times New Roman"/>
        </w:rPr>
        <w:t xml:space="preserve">In my opinion, in the circumstances of this case, raising a breach of the duty to consult and of treaty rights as a defence was an abuse of process. </w:t>
      </w:r>
      <w:r>
        <w:rPr>
          <w:rFonts w:cs="Times New Roman"/>
        </w:rPr>
        <w:t xml:space="preserve"> </w:t>
      </w:r>
      <w:r w:rsidRPr="007A189D">
        <w:rPr>
          <w:rFonts w:cs="Times New Roman"/>
        </w:rPr>
        <w:t xml:space="preserve">If the </w:t>
      </w:r>
      <w:proofErr w:type="spellStart"/>
      <w:r w:rsidRPr="007A189D">
        <w:rPr>
          <w:rFonts w:cs="Times New Roman"/>
        </w:rPr>
        <w:t>Behns</w:t>
      </w:r>
      <w:proofErr w:type="spellEnd"/>
      <w:r w:rsidRPr="007A189D">
        <w:rPr>
          <w:rFonts w:cs="Times New Roman"/>
        </w:rPr>
        <w:t xml:space="preserve"> were of the view that they had standing, themselves or through the FNFN, they should have raised the issue at the appropriate time. </w:t>
      </w:r>
      <w:r>
        <w:rPr>
          <w:rFonts w:cs="Times New Roman"/>
        </w:rPr>
        <w:t xml:space="preserve"> </w:t>
      </w:r>
      <w:r w:rsidRPr="007A189D">
        <w:rPr>
          <w:rFonts w:cs="Times New Roman"/>
        </w:rPr>
        <w:t xml:space="preserve">Neither the </w:t>
      </w:r>
      <w:proofErr w:type="spellStart"/>
      <w:r w:rsidRPr="007A189D">
        <w:rPr>
          <w:rFonts w:cs="Times New Roman"/>
        </w:rPr>
        <w:t>Behns</w:t>
      </w:r>
      <w:proofErr w:type="spellEnd"/>
      <w:r w:rsidRPr="007A189D">
        <w:rPr>
          <w:rFonts w:cs="Times New Roman"/>
        </w:rPr>
        <w:t xml:space="preserve"> nor the FNFN had made any attempt to legally challenge the Authorizations when the British Columbia government granted them. </w:t>
      </w:r>
      <w:r>
        <w:rPr>
          <w:rFonts w:cs="Times New Roman"/>
        </w:rPr>
        <w:t xml:space="preserve"> </w:t>
      </w:r>
      <w:r w:rsidRPr="007A189D">
        <w:rPr>
          <w:rFonts w:cs="Times New Roman"/>
        </w:rPr>
        <w:t xml:space="preserve">It is common ground that the </w:t>
      </w:r>
      <w:proofErr w:type="spellStart"/>
      <w:r w:rsidRPr="007A189D">
        <w:rPr>
          <w:rFonts w:cs="Times New Roman"/>
        </w:rPr>
        <w:t>Behns</w:t>
      </w:r>
      <w:proofErr w:type="spellEnd"/>
      <w:r w:rsidRPr="007A189D">
        <w:rPr>
          <w:rFonts w:cs="Times New Roman"/>
        </w:rPr>
        <w:t xml:space="preserve"> did not apply for judicial review, ask for an injunction or seek any other form of judicial relief against the province or against Moulton. </w:t>
      </w:r>
      <w:r>
        <w:rPr>
          <w:rFonts w:cs="Times New Roman"/>
        </w:rPr>
        <w:t xml:space="preserve"> </w:t>
      </w:r>
      <w:r w:rsidRPr="007A189D">
        <w:rPr>
          <w:rFonts w:cs="Times New Roman"/>
        </w:rPr>
        <w:t xml:space="preserve">Nor did the FNFN make any such move. </w:t>
      </w:r>
    </w:p>
    <w:p w:rsidR="00892CE3" w:rsidRPr="007A189D" w:rsidRDefault="0017782F" w:rsidP="00892CE3">
      <w:pPr>
        <w:pStyle w:val="ParaNoNdepar-AltN"/>
        <w:rPr>
          <w:rFonts w:cs="Times New Roman"/>
        </w:rPr>
      </w:pPr>
      <w:r>
        <w:rPr>
          <w:rFonts w:cs="Times New Roman"/>
        </w:rPr>
        <w:t xml:space="preserve">Had the </w:t>
      </w:r>
      <w:proofErr w:type="spellStart"/>
      <w:r>
        <w:rPr>
          <w:rFonts w:cs="Times New Roman"/>
        </w:rPr>
        <w:t>Behns</w:t>
      </w:r>
      <w:proofErr w:type="spellEnd"/>
      <w:r>
        <w:rPr>
          <w:rFonts w:cs="Times New Roman"/>
        </w:rPr>
        <w:t xml:space="preserve"> acted when the A</w:t>
      </w:r>
      <w:r w:rsidR="00892CE3" w:rsidRPr="007A189D">
        <w:rPr>
          <w:rFonts w:cs="Times New Roman"/>
        </w:rPr>
        <w:t xml:space="preserve">uthorizations were granted, clause 9.00 of the timber sale agreements provided that the Timber Sales Manager had the power to suspend the Authorizations until the legal issues were resolved: trial judgment, at </w:t>
      </w:r>
      <w:proofErr w:type="spellStart"/>
      <w:r w:rsidR="00892CE3" w:rsidRPr="007A189D">
        <w:rPr>
          <w:rFonts w:cs="Times New Roman"/>
        </w:rPr>
        <w:t>para</w:t>
      </w:r>
      <w:proofErr w:type="spellEnd"/>
      <w:r w:rsidR="00892CE3" w:rsidRPr="007A189D">
        <w:rPr>
          <w:rFonts w:cs="Times New Roman"/>
        </w:rPr>
        <w:t xml:space="preserve">. 16.  Moulton would not then have been led to believe that it was free to plan and start its logging operations. </w:t>
      </w:r>
      <w:r w:rsidR="00892CE3">
        <w:rPr>
          <w:rFonts w:cs="Times New Roman"/>
        </w:rPr>
        <w:t xml:space="preserve"> </w:t>
      </w:r>
      <w:r w:rsidR="00892CE3" w:rsidRPr="007A189D">
        <w:rPr>
          <w:rFonts w:cs="Times New Roman"/>
        </w:rPr>
        <w:t>Moreover, legal issues like standing could have been addressed at the proper time and in the appropriate context.</w:t>
      </w:r>
    </w:p>
    <w:p w:rsidR="00892CE3" w:rsidRPr="007A189D" w:rsidRDefault="00892CE3" w:rsidP="00892CE3">
      <w:pPr>
        <w:pStyle w:val="ParaNoNdepar-AltN"/>
        <w:rPr>
          <w:rFonts w:cs="Times New Roman"/>
        </w:rPr>
      </w:pPr>
      <w:r w:rsidRPr="007A189D">
        <w:rPr>
          <w:rFonts w:cs="Times New Roman"/>
        </w:rPr>
        <w:lastRenderedPageBreak/>
        <w:t xml:space="preserve">In </w:t>
      </w:r>
      <w:r w:rsidRPr="007A189D">
        <w:rPr>
          <w:rFonts w:cs="Times New Roman"/>
          <w:i/>
        </w:rPr>
        <w:t>Toronto (City) v. C.U.P.E., Local 79</w:t>
      </w:r>
      <w:r w:rsidRPr="007A189D">
        <w:rPr>
          <w:rFonts w:cs="Times New Roman"/>
        </w:rPr>
        <w:t>, 2003 SCC 63, [2003] 3 S.C.R. 77, Arbour J. wrote for the majority of this Court that the doctrine of abuse of process has its roots in a judge’s inherent and residual discretion to preve</w:t>
      </w:r>
      <w:r w:rsidR="00973275">
        <w:rPr>
          <w:rFonts w:cs="Times New Roman"/>
        </w:rPr>
        <w:t xml:space="preserve">nt abuse of the court’s process: </w:t>
      </w:r>
      <w:proofErr w:type="spellStart"/>
      <w:r w:rsidRPr="007A189D">
        <w:rPr>
          <w:rFonts w:cs="Times New Roman"/>
        </w:rPr>
        <w:t>para</w:t>
      </w:r>
      <w:proofErr w:type="spellEnd"/>
      <w:r w:rsidRPr="007A189D">
        <w:rPr>
          <w:rFonts w:cs="Times New Roman"/>
        </w:rPr>
        <w:t xml:space="preserve">. 35; see also P. M. </w:t>
      </w:r>
      <w:proofErr w:type="spellStart"/>
      <w:r w:rsidRPr="007A189D">
        <w:rPr>
          <w:rFonts w:cs="Times New Roman"/>
        </w:rPr>
        <w:t>Perell</w:t>
      </w:r>
      <w:proofErr w:type="spellEnd"/>
      <w:r w:rsidRPr="007A189D">
        <w:rPr>
          <w:rFonts w:cs="Times New Roman"/>
        </w:rPr>
        <w:t xml:space="preserve">, “A Survey of Abuse of Process”, in T. L. Archibald and R. S. Echlin, eds., </w:t>
      </w:r>
      <w:r w:rsidRPr="007A189D">
        <w:rPr>
          <w:rFonts w:cs="Times New Roman"/>
          <w:i/>
        </w:rPr>
        <w:t>Annual Review of Civil Litigation 2007</w:t>
      </w:r>
      <w:r w:rsidRPr="007A189D">
        <w:rPr>
          <w:rFonts w:cs="Times New Roman"/>
        </w:rPr>
        <w:t xml:space="preserve"> (2007), 243.  Abuse of process was described in </w:t>
      </w:r>
      <w:r w:rsidRPr="007A189D">
        <w:rPr>
          <w:rFonts w:cs="Times New Roman"/>
          <w:i/>
        </w:rPr>
        <w:t>R. v. Power</w:t>
      </w:r>
      <w:r w:rsidRPr="007A189D">
        <w:rPr>
          <w:rFonts w:cs="Times New Roman"/>
        </w:rPr>
        <w:t xml:space="preserve">, [1994] 1 S.C.R. 601, at p. 616, as the bringing of proceedings that are “unfair to the point that they are contrary to the interest of justice”, and in </w:t>
      </w:r>
      <w:r w:rsidRPr="007A189D">
        <w:rPr>
          <w:rFonts w:cs="Times New Roman"/>
          <w:i/>
        </w:rPr>
        <w:t>R. v. Conway</w:t>
      </w:r>
      <w:r w:rsidRPr="007A189D">
        <w:rPr>
          <w:rFonts w:cs="Times New Roman"/>
        </w:rPr>
        <w:t>, [1989] 1 S.C.R. 1659, at p. 1667, as “oppressive treatment”</w:t>
      </w:r>
      <w:r w:rsidR="00476293">
        <w:rPr>
          <w:rFonts w:cs="Times New Roman"/>
        </w:rPr>
        <w:t>.</w:t>
      </w:r>
      <w:r w:rsidRPr="007A189D">
        <w:rPr>
          <w:rFonts w:cs="Times New Roman"/>
        </w:rPr>
        <w:t xml:space="preserve">  In addition to proceedings that are oppressive or vexatious and that violate the principles of justice, McLachlin J. (as she then was) said in her dissent in </w:t>
      </w:r>
      <w:r w:rsidRPr="007A189D">
        <w:rPr>
          <w:rFonts w:cs="Times New Roman"/>
          <w:i/>
        </w:rPr>
        <w:t>R. v. Scott</w:t>
      </w:r>
      <w:r w:rsidRPr="007A189D">
        <w:rPr>
          <w:rFonts w:cs="Times New Roman"/>
        </w:rPr>
        <w:t xml:space="preserve">, [1990] 3 S.C.R. 979, at p. 1007, that the doctrine of abuse of process evokes the “public interest in a fair and just trial process and the proper administration of justice”.  Arbour J. observed in </w:t>
      </w:r>
      <w:r w:rsidRPr="007A189D">
        <w:rPr>
          <w:rFonts w:cs="Times New Roman"/>
          <w:i/>
        </w:rPr>
        <w:t>C.U.P.E.</w:t>
      </w:r>
      <w:r w:rsidRPr="007A189D">
        <w:rPr>
          <w:rFonts w:cs="Times New Roman"/>
        </w:rPr>
        <w:t xml:space="preserve"> that the doctrine is not limited to criminal law, but applies in a variety of legal contexts</w:t>
      </w:r>
      <w:r w:rsidR="00973275">
        <w:rPr>
          <w:rFonts w:cs="Times New Roman"/>
        </w:rPr>
        <w:t>:</w:t>
      </w:r>
      <w:r w:rsidRPr="007A189D">
        <w:rPr>
          <w:rFonts w:cs="Times New Roman"/>
        </w:rPr>
        <w:t xml:space="preserve"> </w:t>
      </w:r>
      <w:proofErr w:type="spellStart"/>
      <w:r w:rsidRPr="007A189D">
        <w:rPr>
          <w:rFonts w:cs="Times New Roman"/>
        </w:rPr>
        <w:t>para</w:t>
      </w:r>
      <w:proofErr w:type="spellEnd"/>
      <w:r w:rsidRPr="007A189D">
        <w:rPr>
          <w:rFonts w:cs="Times New Roman"/>
        </w:rPr>
        <w:t>. 36.</w:t>
      </w:r>
    </w:p>
    <w:p w:rsidR="00892CE3" w:rsidRPr="007A189D" w:rsidRDefault="00892CE3" w:rsidP="00892CE3">
      <w:pPr>
        <w:pStyle w:val="ParaNoNdepar-AltN"/>
        <w:rPr>
          <w:rFonts w:cs="Times New Roman"/>
        </w:rPr>
      </w:pPr>
      <w:r w:rsidRPr="007A189D">
        <w:rPr>
          <w:rFonts w:cs="Times New Roman"/>
        </w:rPr>
        <w:t xml:space="preserve">The doctrine of abuse of process is characterized by its flexibility.  Unlike the concepts of </w:t>
      </w:r>
      <w:r w:rsidRPr="007A189D">
        <w:rPr>
          <w:rFonts w:cs="Times New Roman"/>
          <w:i/>
        </w:rPr>
        <w:t xml:space="preserve">res </w:t>
      </w:r>
      <w:proofErr w:type="spellStart"/>
      <w:r w:rsidRPr="007A189D">
        <w:rPr>
          <w:rFonts w:cs="Times New Roman"/>
          <w:i/>
        </w:rPr>
        <w:t>judicata</w:t>
      </w:r>
      <w:proofErr w:type="spellEnd"/>
      <w:r w:rsidRPr="007A189D">
        <w:rPr>
          <w:rFonts w:cs="Times New Roman"/>
        </w:rPr>
        <w:t xml:space="preserve"> and issue </w:t>
      </w:r>
      <w:proofErr w:type="spellStart"/>
      <w:r w:rsidRPr="007A189D">
        <w:rPr>
          <w:rFonts w:cs="Times New Roman"/>
        </w:rPr>
        <w:t>estoppel</w:t>
      </w:r>
      <w:proofErr w:type="spellEnd"/>
      <w:r w:rsidRPr="007A189D">
        <w:rPr>
          <w:rFonts w:cs="Times New Roman"/>
        </w:rPr>
        <w:t xml:space="preserve">, abuse of process is unencumbered by specific requirements.  In </w:t>
      </w:r>
      <w:proofErr w:type="spellStart"/>
      <w:r w:rsidRPr="007A189D">
        <w:rPr>
          <w:rFonts w:cs="Times New Roman"/>
          <w:i/>
        </w:rPr>
        <w:t>Canam</w:t>
      </w:r>
      <w:proofErr w:type="spellEnd"/>
      <w:r w:rsidRPr="007A189D">
        <w:rPr>
          <w:rFonts w:cs="Times New Roman"/>
          <w:i/>
        </w:rPr>
        <w:t xml:space="preserve"> Enterprises Inc. v. Coles</w:t>
      </w:r>
      <w:r w:rsidRPr="007A189D">
        <w:rPr>
          <w:rFonts w:cs="Times New Roman"/>
        </w:rPr>
        <w:t xml:space="preserve"> (2000), 51 O.R. (3d) 481 (C.A.), </w:t>
      </w:r>
      <w:proofErr w:type="spellStart"/>
      <w:r w:rsidRPr="007A189D">
        <w:rPr>
          <w:rFonts w:cs="Times New Roman"/>
        </w:rPr>
        <w:t>Goudge</w:t>
      </w:r>
      <w:proofErr w:type="spellEnd"/>
      <w:r w:rsidRPr="007A189D">
        <w:rPr>
          <w:rFonts w:cs="Times New Roman"/>
        </w:rPr>
        <w:t xml:space="preserve"> J.A., who was dissenting, but whose reasons this Court subsequently approved (</w:t>
      </w:r>
      <w:r>
        <w:rPr>
          <w:rFonts w:cs="Times New Roman"/>
        </w:rPr>
        <w:t xml:space="preserve">2002 SCC 63, </w:t>
      </w:r>
      <w:r w:rsidRPr="007A189D">
        <w:rPr>
          <w:rFonts w:cs="Times New Roman"/>
        </w:rPr>
        <w:t xml:space="preserve">[2002] 3 S.C.R. 307), stated at </w:t>
      </w:r>
      <w:proofErr w:type="spellStart"/>
      <w:r w:rsidRPr="007A189D">
        <w:rPr>
          <w:rFonts w:cs="Times New Roman"/>
        </w:rPr>
        <w:t>paras</w:t>
      </w:r>
      <w:proofErr w:type="spellEnd"/>
      <w:r w:rsidRPr="007A189D">
        <w:rPr>
          <w:rFonts w:cs="Times New Roman"/>
        </w:rPr>
        <w:t>. 55-56 that the doctrine of abuse of process</w:t>
      </w:r>
    </w:p>
    <w:p w:rsidR="00892CE3" w:rsidRPr="007A189D" w:rsidRDefault="00892CE3" w:rsidP="00892CE3">
      <w:pPr>
        <w:pStyle w:val="Citation-AltC"/>
      </w:pPr>
      <w:proofErr w:type="gramStart"/>
      <w:r w:rsidRPr="007A189D">
        <w:t>engages</w:t>
      </w:r>
      <w:proofErr w:type="gramEnd"/>
      <w:r w:rsidRPr="007A189D">
        <w:t xml:space="preserve"> the inherent power of the court </w:t>
      </w:r>
      <w:r w:rsidRPr="007A189D">
        <w:rPr>
          <w:u w:val="single"/>
        </w:rPr>
        <w:t xml:space="preserve">to prevent the misuse of its procedure, in a way that would be manifestly unfair to a party to the </w:t>
      </w:r>
      <w:r w:rsidRPr="007A189D">
        <w:rPr>
          <w:u w:val="single"/>
        </w:rPr>
        <w:lastRenderedPageBreak/>
        <w:t>litigation before it or would in some other way bring the administration of justice into disrepute</w:t>
      </w:r>
      <w:r w:rsidRPr="007A189D">
        <w:t xml:space="preserve">.  It is a flexible doctrine unencumbered by the specific requirements of concepts such as issue </w:t>
      </w:r>
      <w:proofErr w:type="spellStart"/>
      <w:r w:rsidRPr="007A189D">
        <w:t>estoppel</w:t>
      </w:r>
      <w:proofErr w:type="spellEnd"/>
      <w:r w:rsidRPr="007A189D">
        <w:t xml:space="preserve">.  See </w:t>
      </w:r>
      <w:r w:rsidRPr="007A189D">
        <w:rPr>
          <w:i/>
        </w:rPr>
        <w:t>House of Spring Gardens Ltd. v. Waite</w:t>
      </w:r>
      <w:r w:rsidRPr="007A189D">
        <w:t>, [1990] 3 W.L.R. 347 [</w:t>
      </w:r>
      <w:r w:rsidR="008B14A3">
        <w:t>(</w:t>
      </w:r>
      <w:r w:rsidRPr="007A189D">
        <w:t>C.A.</w:t>
      </w:r>
      <w:r w:rsidR="008B14A3">
        <w:t>)</w:t>
      </w:r>
      <w:r w:rsidRPr="007A189D">
        <w:t xml:space="preserve">], at p. </w:t>
      </w:r>
      <w:proofErr w:type="gramStart"/>
      <w:r w:rsidRPr="007A189D">
        <w:t>358</w:t>
      </w:r>
      <w:r w:rsidR="008B14A3">
        <w:t xml:space="preserve"> </w:t>
      </w:r>
      <w:r w:rsidRPr="007A189D">
        <w:t>.</w:t>
      </w:r>
      <w:proofErr w:type="gramEnd"/>
      <w:r w:rsidR="001C67E5">
        <w:t> . . </w:t>
      </w:r>
      <w:r w:rsidR="008B14A3">
        <w:t>.</w:t>
      </w:r>
    </w:p>
    <w:p w:rsidR="00892CE3" w:rsidRPr="007A189D" w:rsidRDefault="00892CE3" w:rsidP="00892CE3">
      <w:pPr>
        <w:pStyle w:val="Citation-AltC"/>
      </w:pPr>
    </w:p>
    <w:p w:rsidR="00892CE3" w:rsidRPr="007A189D" w:rsidRDefault="008B14A3" w:rsidP="008B14A3">
      <w:pPr>
        <w:pStyle w:val="Citation-AltC"/>
        <w:tabs>
          <w:tab w:val="left" w:pos="1710"/>
        </w:tabs>
        <w:ind w:hanging="1166"/>
      </w:pPr>
      <w:r>
        <w:tab/>
      </w:r>
      <w:r>
        <w:tab/>
      </w:r>
      <w:r w:rsidR="00892CE3" w:rsidRPr="007A189D">
        <w:t xml:space="preserve">One circumstance in which abuse of process has been applied is where the litigation before the court is found to be in essence an attempt to </w:t>
      </w:r>
      <w:proofErr w:type="spellStart"/>
      <w:r w:rsidR="00892CE3" w:rsidRPr="007A189D">
        <w:t>relitigate</w:t>
      </w:r>
      <w:proofErr w:type="spellEnd"/>
      <w:r w:rsidR="00892CE3" w:rsidRPr="007A189D">
        <w:t xml:space="preserve"> a claim which the court has already determined.  See </w:t>
      </w:r>
      <w:r w:rsidR="00892CE3" w:rsidRPr="007A189D">
        <w:rPr>
          <w:i/>
        </w:rPr>
        <w:t>Solomon v. Smith</w:t>
      </w:r>
      <w:r w:rsidR="00892CE3" w:rsidRPr="007A189D">
        <w:t xml:space="preserve">, </w:t>
      </w:r>
      <w:r w:rsidR="00892CE3" w:rsidRPr="007A189D">
        <w:rPr>
          <w:i/>
        </w:rPr>
        <w:t>supra</w:t>
      </w:r>
      <w:r w:rsidR="00892CE3" w:rsidRPr="007A189D">
        <w:t xml:space="preserve">.  It is on that basis that </w:t>
      </w:r>
      <w:proofErr w:type="spellStart"/>
      <w:r w:rsidR="00892CE3" w:rsidRPr="007A189D">
        <w:t>Nordheimer</w:t>
      </w:r>
      <w:proofErr w:type="spellEnd"/>
      <w:r w:rsidR="00892CE3" w:rsidRPr="007A189D">
        <w:t xml:space="preserve"> J. found that this third party claim ought to be terminated as an abuse of process. [Emphasis added.]</w:t>
      </w:r>
    </w:p>
    <w:p w:rsidR="00892CE3" w:rsidRPr="007A189D" w:rsidRDefault="00892CE3" w:rsidP="00892CE3">
      <w:pPr>
        <w:pStyle w:val="ParaNoNdepar-AltN"/>
        <w:rPr>
          <w:rFonts w:cs="Times New Roman"/>
        </w:rPr>
      </w:pPr>
      <w:r w:rsidRPr="007A189D">
        <w:rPr>
          <w:rFonts w:cs="Times New Roman"/>
        </w:rPr>
        <w:t xml:space="preserve">As can be seen from the case law, the administration of justice and fairness are at the heart of the doctrine of abuse of process.  In </w:t>
      </w:r>
      <w:proofErr w:type="spellStart"/>
      <w:r w:rsidRPr="007A189D">
        <w:rPr>
          <w:rFonts w:cs="Times New Roman"/>
          <w:i/>
        </w:rPr>
        <w:t>Canam</w:t>
      </w:r>
      <w:proofErr w:type="spellEnd"/>
      <w:r w:rsidRPr="007A189D">
        <w:rPr>
          <w:rFonts w:cs="Times New Roman"/>
          <w:i/>
        </w:rPr>
        <w:t xml:space="preserve"> Enterprises</w:t>
      </w:r>
      <w:r w:rsidRPr="007A189D">
        <w:rPr>
          <w:rFonts w:cs="Times New Roman"/>
        </w:rPr>
        <w:t xml:space="preserve"> and in </w:t>
      </w:r>
      <w:r w:rsidRPr="007A189D">
        <w:rPr>
          <w:rFonts w:cs="Times New Roman"/>
          <w:i/>
        </w:rPr>
        <w:t>C.U.P.E.</w:t>
      </w:r>
      <w:r w:rsidRPr="007A189D">
        <w:rPr>
          <w:rFonts w:cs="Times New Roman"/>
        </w:rPr>
        <w:t xml:space="preserve">, the doctrine was used to preclude </w:t>
      </w:r>
      <w:proofErr w:type="spellStart"/>
      <w:r w:rsidRPr="007A189D">
        <w:rPr>
          <w:rFonts w:cs="Times New Roman"/>
        </w:rPr>
        <w:t>relitigation</w:t>
      </w:r>
      <w:proofErr w:type="spellEnd"/>
      <w:r w:rsidRPr="007A189D">
        <w:rPr>
          <w:rFonts w:cs="Times New Roman"/>
        </w:rPr>
        <w:t xml:space="preserve"> of an issue in circumstances in which the requirements for issue </w:t>
      </w:r>
      <w:proofErr w:type="spellStart"/>
      <w:r w:rsidRPr="007A189D">
        <w:rPr>
          <w:rFonts w:cs="Times New Roman"/>
        </w:rPr>
        <w:t>estoppel</w:t>
      </w:r>
      <w:proofErr w:type="spellEnd"/>
      <w:r w:rsidRPr="007A189D">
        <w:rPr>
          <w:rFonts w:cs="Times New Roman"/>
        </w:rPr>
        <w:t xml:space="preserve"> were not met.  But it is not limited to preventing </w:t>
      </w:r>
      <w:proofErr w:type="spellStart"/>
      <w:r w:rsidRPr="007A189D">
        <w:rPr>
          <w:rFonts w:cs="Times New Roman"/>
        </w:rPr>
        <w:t>relitigation</w:t>
      </w:r>
      <w:proofErr w:type="spellEnd"/>
      <w:r w:rsidRPr="007A189D">
        <w:rPr>
          <w:rFonts w:cs="Times New Roman"/>
        </w:rPr>
        <w:t xml:space="preserve">.  For example, in </w:t>
      </w:r>
      <w:proofErr w:type="spellStart"/>
      <w:r w:rsidRPr="007A189D">
        <w:rPr>
          <w:rFonts w:cs="Times New Roman"/>
          <w:i/>
        </w:rPr>
        <w:t>Blencoe</w:t>
      </w:r>
      <w:proofErr w:type="spellEnd"/>
      <w:r w:rsidRPr="007A189D">
        <w:rPr>
          <w:rFonts w:cs="Times New Roman"/>
          <w:i/>
        </w:rPr>
        <w:t xml:space="preserve"> v. British Columbia (Human Rights Commission)</w:t>
      </w:r>
      <w:r w:rsidRPr="007A189D">
        <w:rPr>
          <w:rFonts w:cs="Times New Roman"/>
        </w:rPr>
        <w:t xml:space="preserve">, 2000 SCC 44, [2000] 2 S.C.R. 307, the Court held that an unreasonable delay that causes serious prejudice could amount to an abuse of process </w:t>
      </w:r>
      <w:r w:rsidR="001C67E5">
        <w:rPr>
          <w:rFonts w:cs="Times New Roman"/>
        </w:rPr>
        <w:t>(</w:t>
      </w:r>
      <w:proofErr w:type="spellStart"/>
      <w:r w:rsidRPr="007A189D">
        <w:rPr>
          <w:rFonts w:cs="Times New Roman"/>
        </w:rPr>
        <w:t>paras</w:t>
      </w:r>
      <w:proofErr w:type="spellEnd"/>
      <w:r w:rsidRPr="007A189D">
        <w:rPr>
          <w:rFonts w:cs="Times New Roman"/>
        </w:rPr>
        <w:t>. 101-21</w:t>
      </w:r>
      <w:r w:rsidR="001C67E5">
        <w:rPr>
          <w:rFonts w:cs="Times New Roman"/>
        </w:rPr>
        <w:t>)</w:t>
      </w:r>
      <w:r w:rsidRPr="007A189D">
        <w:rPr>
          <w:rFonts w:cs="Times New Roman"/>
        </w:rPr>
        <w:t>.  The doctrine of abuse of process is flexible, and it exists to ensure that the administration of justice is not brought into disrepute.</w:t>
      </w:r>
    </w:p>
    <w:p w:rsidR="00892CE3" w:rsidRPr="007A189D" w:rsidRDefault="00892CE3" w:rsidP="00892CE3">
      <w:pPr>
        <w:pStyle w:val="ParaNoNdepar-AltN"/>
        <w:rPr>
          <w:rFonts w:cs="Times New Roman"/>
        </w:rPr>
      </w:pPr>
      <w:r w:rsidRPr="007A189D">
        <w:rPr>
          <w:rFonts w:cs="Times New Roman"/>
        </w:rPr>
        <w:t xml:space="preserve">In my opinion, the </w:t>
      </w:r>
      <w:proofErr w:type="spellStart"/>
      <w:r w:rsidRPr="007A189D">
        <w:rPr>
          <w:rFonts w:cs="Times New Roman"/>
        </w:rPr>
        <w:t>Behns</w:t>
      </w:r>
      <w:proofErr w:type="spellEnd"/>
      <w:r w:rsidRPr="007A189D">
        <w:rPr>
          <w:rFonts w:cs="Times New Roman"/>
        </w:rPr>
        <w:t xml:space="preserve">’ acts amount to an abuse of process.  The </w:t>
      </w:r>
      <w:proofErr w:type="spellStart"/>
      <w:r w:rsidRPr="007A189D">
        <w:rPr>
          <w:rFonts w:cs="Times New Roman"/>
        </w:rPr>
        <w:t>Behns</w:t>
      </w:r>
      <w:proofErr w:type="spellEnd"/>
      <w:r w:rsidRPr="007A189D">
        <w:rPr>
          <w:rFonts w:cs="Times New Roman"/>
        </w:rPr>
        <w:t xml:space="preserve"> clearly objected to the validity of the Authorizations on the grounds that the Authorizations infringed their treaty rights and that the Crown had breached its duty to consult.  On the face of the record, whereas they now claim to have standing to raise these issues, the </w:t>
      </w:r>
      <w:proofErr w:type="spellStart"/>
      <w:r w:rsidRPr="007A189D">
        <w:rPr>
          <w:rFonts w:cs="Times New Roman"/>
        </w:rPr>
        <w:t>Behns</w:t>
      </w:r>
      <w:proofErr w:type="spellEnd"/>
      <w:r w:rsidRPr="007A189D">
        <w:rPr>
          <w:rFonts w:cs="Times New Roman"/>
        </w:rPr>
        <w:t xml:space="preserve"> did not seek to resolve the issue of standing, nor </w:t>
      </w:r>
      <w:r>
        <w:rPr>
          <w:rFonts w:cs="Times New Roman"/>
        </w:rPr>
        <w:t>did they</w:t>
      </w:r>
      <w:r w:rsidRPr="007A189D">
        <w:rPr>
          <w:rFonts w:cs="Times New Roman"/>
        </w:rPr>
        <w:t xml:space="preserve"> contest the validity of the Authorizations by legal means when they were issued. </w:t>
      </w:r>
      <w:r>
        <w:rPr>
          <w:rFonts w:cs="Times New Roman"/>
        </w:rPr>
        <w:t xml:space="preserve"> </w:t>
      </w:r>
      <w:r w:rsidRPr="007A189D">
        <w:rPr>
          <w:rFonts w:cs="Times New Roman"/>
        </w:rPr>
        <w:lastRenderedPageBreak/>
        <w:t xml:space="preserve">They did not raise their concerns with Moulton after the Authorizations were issued.  Instead, without any warning, they set up a camp that blocked access to the logging sites assigned to Moulton.  By doing so, the </w:t>
      </w:r>
      <w:proofErr w:type="spellStart"/>
      <w:r w:rsidRPr="007A189D">
        <w:rPr>
          <w:rFonts w:cs="Times New Roman"/>
        </w:rPr>
        <w:t>Behns</w:t>
      </w:r>
      <w:proofErr w:type="spellEnd"/>
      <w:r w:rsidRPr="007A189D">
        <w:rPr>
          <w:rFonts w:cs="Times New Roman"/>
        </w:rPr>
        <w:t xml:space="preserve"> put Moulton in the position of having either to go to court or to forgo harvesting timber pursuant to the Authorizations it had received after having incurred substantial costs to start its operations.  To allow the </w:t>
      </w:r>
      <w:proofErr w:type="spellStart"/>
      <w:r w:rsidRPr="007A189D">
        <w:rPr>
          <w:rFonts w:cs="Times New Roman"/>
        </w:rPr>
        <w:t>Behns</w:t>
      </w:r>
      <w:proofErr w:type="spellEnd"/>
      <w:r w:rsidRPr="007A189D">
        <w:rPr>
          <w:rFonts w:cs="Times New Roman"/>
        </w:rPr>
        <w:t xml:space="preserve"> to raise their defence based on treaty rights and on a breach of the duty to consult at this point would be tantamount to condoning self-help remedies and would bring the administration of justice into disrepute. </w:t>
      </w:r>
      <w:r>
        <w:rPr>
          <w:rFonts w:cs="Times New Roman"/>
        </w:rPr>
        <w:t xml:space="preserve"> </w:t>
      </w:r>
      <w:r w:rsidRPr="007A189D">
        <w:rPr>
          <w:rFonts w:cs="Times New Roman"/>
        </w:rPr>
        <w:t xml:space="preserve">It would also amount to a repudiation of the duty of mutual good faith that animates the discharge of the Crown’s constitutional duty to consult First Nations. </w:t>
      </w:r>
      <w:r>
        <w:rPr>
          <w:rFonts w:cs="Times New Roman"/>
        </w:rPr>
        <w:t xml:space="preserve"> </w:t>
      </w:r>
      <w:r w:rsidRPr="007A189D">
        <w:rPr>
          <w:rFonts w:cs="Times New Roman"/>
        </w:rPr>
        <w:t>The doctrine of abuse of process applies, and the appellants cannot raise a breach of their treaty rights and of the duty to consult as a defence.</w:t>
      </w:r>
    </w:p>
    <w:p w:rsidR="00892CE3" w:rsidRPr="007A189D" w:rsidRDefault="00892CE3" w:rsidP="006A1CE9">
      <w:pPr>
        <w:pStyle w:val="TitleTitre-AltT"/>
        <w:tabs>
          <w:tab w:val="clear" w:pos="360"/>
          <w:tab w:val="left" w:pos="540"/>
        </w:tabs>
        <w:ind w:left="540" w:hanging="540"/>
        <w:rPr>
          <w:rFonts w:cs="Times New Roman"/>
        </w:rPr>
      </w:pPr>
      <w:r w:rsidRPr="007A189D">
        <w:rPr>
          <w:rFonts w:cs="Times New Roman"/>
        </w:rPr>
        <w:t>V.</w:t>
      </w:r>
      <w:r w:rsidRPr="007A189D">
        <w:rPr>
          <w:rFonts w:cs="Times New Roman"/>
        </w:rPr>
        <w:tab/>
      </w:r>
      <w:r w:rsidRPr="007A189D">
        <w:rPr>
          <w:rFonts w:cs="Times New Roman"/>
          <w:u w:val="single"/>
        </w:rPr>
        <w:t>Conclusion</w:t>
      </w:r>
    </w:p>
    <w:p w:rsidR="00892CE3" w:rsidRPr="007A189D" w:rsidRDefault="00892CE3" w:rsidP="00892CE3">
      <w:pPr>
        <w:pStyle w:val="ParaNoNdepar-AltN"/>
        <w:rPr>
          <w:rFonts w:cs="Times New Roman"/>
        </w:rPr>
      </w:pPr>
      <w:r w:rsidRPr="007A189D">
        <w:rPr>
          <w:rFonts w:cs="Times New Roman"/>
        </w:rPr>
        <w:t>For these reasons, I would dismiss the appeal with costs to the respondent Moulton.</w:t>
      </w:r>
    </w:p>
    <w:p w:rsidR="00A149DF" w:rsidRPr="00BB311F" w:rsidRDefault="00327615" w:rsidP="00B639B7">
      <w:pPr>
        <w:pStyle w:val="SCCNormalDoubleSpacing"/>
        <w:spacing w:after="480"/>
        <w:rPr>
          <w:i/>
        </w:rPr>
      </w:pPr>
      <w:r w:rsidRPr="00BB311F">
        <w:tab/>
      </w:r>
      <w:r w:rsidR="00656313" w:rsidRPr="00BB311F">
        <w:rPr>
          <w:i/>
        </w:rPr>
        <w:t>Appeal</w:t>
      </w:r>
      <w:r w:rsidRPr="00BB311F">
        <w:rPr>
          <w:i/>
        </w:rPr>
        <w:t xml:space="preserve"> dismissed with costs.</w:t>
      </w:r>
    </w:p>
    <w:p w:rsidR="000E6927" w:rsidRPr="00BB311F" w:rsidRDefault="000E6927" w:rsidP="00B639B7">
      <w:pPr>
        <w:pStyle w:val="SCCLawFirm"/>
        <w:spacing w:after="480"/>
      </w:pPr>
      <w:r w:rsidRPr="00BB311F">
        <w:tab/>
      </w:r>
      <w:r w:rsidR="00B639B7" w:rsidRPr="00BB311F">
        <w:t>Solicitors for the appellants:  </w:t>
      </w:r>
      <w:proofErr w:type="spellStart"/>
      <w:r w:rsidRPr="00BB311F">
        <w:t>Janes</w:t>
      </w:r>
      <w:proofErr w:type="spellEnd"/>
      <w:r w:rsidRPr="00BB311F">
        <w:t xml:space="preserve"> Freedman Kyle Law Corporation, Vancouver.</w:t>
      </w:r>
    </w:p>
    <w:p w:rsidR="000E6927" w:rsidRPr="00BB311F" w:rsidRDefault="000E6927" w:rsidP="00B639B7">
      <w:pPr>
        <w:pStyle w:val="SCCLawFirm"/>
        <w:spacing w:after="480"/>
      </w:pPr>
      <w:r w:rsidRPr="00BB311F">
        <w:lastRenderedPageBreak/>
        <w:tab/>
        <w:t>Solicitors for the respo</w:t>
      </w:r>
      <w:r w:rsidR="00B639B7" w:rsidRPr="00BB311F">
        <w:t>ndent Moulton Contracting Ltd.:  </w:t>
      </w:r>
      <w:proofErr w:type="spellStart"/>
      <w:r w:rsidRPr="00BB311F">
        <w:t>Fasken</w:t>
      </w:r>
      <w:proofErr w:type="spellEnd"/>
      <w:r w:rsidRPr="00BB311F">
        <w:t xml:space="preserve"> Martineau </w:t>
      </w:r>
      <w:proofErr w:type="spellStart"/>
      <w:r w:rsidRPr="00BB311F">
        <w:t>DuMoulin</w:t>
      </w:r>
      <w:proofErr w:type="spellEnd"/>
      <w:r w:rsidRPr="00BB311F">
        <w:t>, Vancouver.</w:t>
      </w:r>
    </w:p>
    <w:p w:rsidR="000E6927" w:rsidRPr="00BB311F" w:rsidRDefault="000E6927" w:rsidP="00B639B7">
      <w:pPr>
        <w:pStyle w:val="SCCLawFirm"/>
        <w:spacing w:after="480"/>
      </w:pPr>
      <w:r w:rsidRPr="00BB311F">
        <w:tab/>
        <w:t>Solicitor for the respondent Her Majesty the Queen in Right of the</w:t>
      </w:r>
      <w:r w:rsidR="00B639B7" w:rsidRPr="00BB311F">
        <w:t xml:space="preserve"> Province of British Columbia:  </w:t>
      </w:r>
      <w:r w:rsidRPr="00BB311F">
        <w:t>Attorney General of British Columbia, Victoria.</w:t>
      </w:r>
    </w:p>
    <w:p w:rsidR="000E6927" w:rsidRPr="00BB311F" w:rsidRDefault="000E6927" w:rsidP="00B639B7">
      <w:pPr>
        <w:pStyle w:val="SCCLawFirm"/>
        <w:spacing w:after="480"/>
      </w:pPr>
      <w:r w:rsidRPr="00BB311F">
        <w:tab/>
        <w:t>Solicitor for the intervener t</w:t>
      </w:r>
      <w:r w:rsidR="00B639B7" w:rsidRPr="00BB311F">
        <w:t>he Attorney General of Canada:  </w:t>
      </w:r>
      <w:r w:rsidRPr="00BB311F">
        <w:t>Attorney General of Canada, Vancouver.</w:t>
      </w:r>
    </w:p>
    <w:p w:rsidR="000E6927" w:rsidRPr="00BB311F" w:rsidRDefault="000E6927" w:rsidP="00B639B7">
      <w:pPr>
        <w:pStyle w:val="SCCLawFirm"/>
        <w:spacing w:after="480"/>
      </w:pPr>
      <w:r w:rsidRPr="00BB311F">
        <w:tab/>
        <w:t xml:space="preserve">Solicitors for the interveners Chief Liz Logan, on behalf of herself and all other members of the Fort Nelson First Nation and the </w:t>
      </w:r>
      <w:r w:rsidR="00B639B7" w:rsidRPr="00BB311F">
        <w:t>said Fort Nelson First Nation:  </w:t>
      </w:r>
      <w:proofErr w:type="spellStart"/>
      <w:r w:rsidRPr="00BB311F">
        <w:t>Rana</w:t>
      </w:r>
      <w:proofErr w:type="spellEnd"/>
      <w:r w:rsidRPr="00BB311F">
        <w:t xml:space="preserve"> Law, Calgary.</w:t>
      </w:r>
    </w:p>
    <w:p w:rsidR="000E6927" w:rsidRPr="00BB311F" w:rsidRDefault="000E6927" w:rsidP="00B639B7">
      <w:pPr>
        <w:pStyle w:val="SCCLawFirm"/>
        <w:spacing w:after="480"/>
      </w:pPr>
      <w:r w:rsidRPr="00BB311F">
        <w:tab/>
        <w:t>Solicitors for the intervener</w:t>
      </w:r>
      <w:r w:rsidR="00172BC3" w:rsidRPr="00BB311F">
        <w:t>s</w:t>
      </w:r>
      <w:r w:rsidRPr="00BB311F">
        <w:t xml:space="preserve"> the Grand Council of the </w:t>
      </w:r>
      <w:proofErr w:type="spellStart"/>
      <w:r w:rsidRPr="00BB311F">
        <w:t>Crees</w:t>
      </w:r>
      <w:proofErr w:type="spellEnd"/>
      <w:r w:rsidRPr="00BB311F">
        <w:t xml:space="preserve"> (</w:t>
      </w:r>
      <w:proofErr w:type="spellStart"/>
      <w:r w:rsidRPr="00BB311F">
        <w:t>Eeyou</w:t>
      </w:r>
      <w:proofErr w:type="spellEnd"/>
      <w:r w:rsidRPr="00BB311F">
        <w:t xml:space="preserve"> </w:t>
      </w:r>
      <w:proofErr w:type="spellStart"/>
      <w:r w:rsidRPr="00BB311F">
        <w:t>Ist</w:t>
      </w:r>
      <w:r w:rsidR="00B639B7" w:rsidRPr="00BB311F">
        <w:t>chee</w:t>
      </w:r>
      <w:proofErr w:type="spellEnd"/>
      <w:r w:rsidR="00B639B7" w:rsidRPr="00BB311F">
        <w:t>)/Cree Regional Authority:  </w:t>
      </w:r>
      <w:proofErr w:type="spellStart"/>
      <w:r w:rsidRPr="00BB311F">
        <w:t>Gowling</w:t>
      </w:r>
      <w:proofErr w:type="spellEnd"/>
      <w:r w:rsidRPr="00BB311F">
        <w:t xml:space="preserve"> </w:t>
      </w:r>
      <w:proofErr w:type="spellStart"/>
      <w:r w:rsidRPr="00BB311F">
        <w:t>Lafleur</w:t>
      </w:r>
      <w:proofErr w:type="spellEnd"/>
      <w:r w:rsidRPr="00BB311F">
        <w:t xml:space="preserve"> Henderson, Montréal.</w:t>
      </w:r>
    </w:p>
    <w:p w:rsidR="000E6927" w:rsidRPr="00BB311F" w:rsidRDefault="000E6927" w:rsidP="00B639B7">
      <w:pPr>
        <w:pStyle w:val="SCCLawFirm"/>
        <w:spacing w:after="480"/>
      </w:pPr>
      <w:r w:rsidRPr="00BB311F">
        <w:tab/>
        <w:t>Solicitors for the interveners Chief Sally Sam</w:t>
      </w:r>
      <w:r w:rsidR="00B639B7" w:rsidRPr="00BB311F">
        <w:t xml:space="preserve"> and the </w:t>
      </w:r>
      <w:proofErr w:type="spellStart"/>
      <w:r w:rsidR="00B639B7" w:rsidRPr="00BB311F">
        <w:t>Maiyoo</w:t>
      </w:r>
      <w:proofErr w:type="spellEnd"/>
      <w:r w:rsidR="00B639B7" w:rsidRPr="00BB311F">
        <w:t xml:space="preserve"> </w:t>
      </w:r>
      <w:proofErr w:type="spellStart"/>
      <w:r w:rsidR="00B639B7" w:rsidRPr="00BB311F">
        <w:t>Keyoh</w:t>
      </w:r>
      <w:proofErr w:type="spellEnd"/>
      <w:r w:rsidR="00B639B7" w:rsidRPr="00BB311F">
        <w:t xml:space="preserve"> Society:  </w:t>
      </w:r>
      <w:r w:rsidRPr="00BB311F">
        <w:t xml:space="preserve">Devlin </w:t>
      </w:r>
      <w:proofErr w:type="spellStart"/>
      <w:r w:rsidRPr="00BB311F">
        <w:t>Gailus</w:t>
      </w:r>
      <w:proofErr w:type="spellEnd"/>
      <w:r w:rsidRPr="00BB311F">
        <w:t>, Victoria.</w:t>
      </w:r>
    </w:p>
    <w:p w:rsidR="000E6927" w:rsidRPr="00BB311F" w:rsidRDefault="000E6927" w:rsidP="00B639B7">
      <w:pPr>
        <w:pStyle w:val="SCCLawFirm"/>
        <w:spacing w:after="480"/>
      </w:pPr>
      <w:r w:rsidRPr="00BB311F">
        <w:tab/>
        <w:t>Solicitors for the interveners the Council of Forest Industries and the Albert</w:t>
      </w:r>
      <w:r w:rsidR="00B639B7" w:rsidRPr="00BB311F">
        <w:t>a Forest Products Association:  </w:t>
      </w:r>
      <w:r w:rsidRPr="00BB311F">
        <w:t>Hunter Litigation Chambers Law Corporation, Vancouver.</w:t>
      </w:r>
    </w:p>
    <w:p w:rsidR="009B57B3" w:rsidRDefault="000E6927" w:rsidP="00892CE3">
      <w:pPr>
        <w:pStyle w:val="SCCLawFirm"/>
      </w:pPr>
      <w:r w:rsidRPr="00BB311F">
        <w:lastRenderedPageBreak/>
        <w:tab/>
        <w:t>Solicitors for the interven</w:t>
      </w:r>
      <w:r w:rsidR="00F1354D" w:rsidRPr="00BB311F">
        <w:t>er the Moose Cree First Nation:  </w:t>
      </w:r>
      <w:proofErr w:type="spellStart"/>
      <w:r w:rsidRPr="00BB311F">
        <w:t>Pape</w:t>
      </w:r>
      <w:proofErr w:type="spellEnd"/>
      <w:r w:rsidRPr="00BB311F">
        <w:t xml:space="preserve"> Salter </w:t>
      </w:r>
      <w:proofErr w:type="spellStart"/>
      <w:r w:rsidRPr="00BB311F">
        <w:t>Teillet</w:t>
      </w:r>
      <w:proofErr w:type="spellEnd"/>
      <w:r w:rsidRPr="00BB311F">
        <w:t>, Toronto.</w:t>
      </w:r>
    </w:p>
    <w:p w:rsidR="00892CE3" w:rsidRDefault="00892CE3" w:rsidP="00892CE3">
      <w:pPr>
        <w:pStyle w:val="SCCNormalDoubleSpacing"/>
      </w:pPr>
    </w:p>
    <w:p w:rsidR="00892CE3" w:rsidRPr="00892CE3" w:rsidRDefault="00892CE3" w:rsidP="00892CE3">
      <w:pPr>
        <w:pStyle w:val="SCCNormalDoubleSpacing"/>
      </w:pPr>
    </w:p>
    <w:p w:rsidR="001C566C" w:rsidRPr="00974743" w:rsidRDefault="001C566C" w:rsidP="007D5123"/>
    <w:sectPr w:rsidR="001C566C" w:rsidRPr="00974743" w:rsidSect="00D6473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49" w:rsidRDefault="00ED3749">
      <w:r>
        <w:separator/>
      </w:r>
    </w:p>
  </w:endnote>
  <w:endnote w:type="continuationSeparator" w:id="0">
    <w:p w:rsidR="00ED3749" w:rsidRDefault="00ED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49" w:rsidRDefault="00ED3749">
      <w:r>
        <w:separator/>
      </w:r>
    </w:p>
  </w:footnote>
  <w:footnote w:type="continuationSeparator" w:id="0">
    <w:p w:rsidR="00ED3749" w:rsidRDefault="00ED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350"/>
      <w:docPartObj>
        <w:docPartGallery w:val="Page Numbers (Top of Page)"/>
        <w:docPartUnique/>
      </w:docPartObj>
    </w:sdtPr>
    <w:sdtContent>
      <w:p w:rsidR="00D64734" w:rsidRDefault="00D64734">
        <w:pPr>
          <w:pStyle w:val="Header"/>
          <w:jc w:val="center"/>
        </w:pPr>
        <w:r>
          <w:t xml:space="preserve">- </w:t>
        </w:r>
        <w:fldSimple w:instr=" PAGE   \* MERGEFORMAT ">
          <w:r w:rsidR="00A021BD">
            <w:rPr>
              <w:noProof/>
            </w:rPr>
            <w:t>2</w:t>
          </w:r>
        </w:fldSimple>
        <w:r>
          <w:t xml:space="preserve"> -</w:t>
        </w:r>
      </w:p>
    </w:sdtContent>
  </w:sdt>
  <w:p w:rsidR="00ED3749" w:rsidRPr="00450352" w:rsidRDefault="00ED374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F3C0CA66">
      <w:start w:val="1"/>
      <w:numFmt w:val="decimal"/>
      <w:lvlText w:val="%1."/>
      <w:lvlJc w:val="left"/>
      <w:pPr>
        <w:ind w:left="720" w:hanging="360"/>
      </w:pPr>
    </w:lvl>
    <w:lvl w:ilvl="1" w:tplc="46A6B906" w:tentative="1">
      <w:start w:val="1"/>
      <w:numFmt w:val="lowerLetter"/>
      <w:lvlText w:val="%2."/>
      <w:lvlJc w:val="left"/>
      <w:pPr>
        <w:ind w:left="1440" w:hanging="360"/>
      </w:pPr>
    </w:lvl>
    <w:lvl w:ilvl="2" w:tplc="C630CADE" w:tentative="1">
      <w:start w:val="1"/>
      <w:numFmt w:val="lowerRoman"/>
      <w:lvlText w:val="%3."/>
      <w:lvlJc w:val="right"/>
      <w:pPr>
        <w:ind w:left="2160" w:hanging="180"/>
      </w:pPr>
    </w:lvl>
    <w:lvl w:ilvl="3" w:tplc="4A6A491A" w:tentative="1">
      <w:start w:val="1"/>
      <w:numFmt w:val="decimal"/>
      <w:lvlText w:val="%4."/>
      <w:lvlJc w:val="left"/>
      <w:pPr>
        <w:ind w:left="2880" w:hanging="360"/>
      </w:pPr>
    </w:lvl>
    <w:lvl w:ilvl="4" w:tplc="F128292A" w:tentative="1">
      <w:start w:val="1"/>
      <w:numFmt w:val="lowerLetter"/>
      <w:lvlText w:val="%5."/>
      <w:lvlJc w:val="left"/>
      <w:pPr>
        <w:ind w:left="3600" w:hanging="360"/>
      </w:pPr>
    </w:lvl>
    <w:lvl w:ilvl="5" w:tplc="76CA915A" w:tentative="1">
      <w:start w:val="1"/>
      <w:numFmt w:val="lowerRoman"/>
      <w:lvlText w:val="%6."/>
      <w:lvlJc w:val="right"/>
      <w:pPr>
        <w:ind w:left="4320" w:hanging="180"/>
      </w:pPr>
    </w:lvl>
    <w:lvl w:ilvl="6" w:tplc="B34035A0" w:tentative="1">
      <w:start w:val="1"/>
      <w:numFmt w:val="decimal"/>
      <w:lvlText w:val="%7."/>
      <w:lvlJc w:val="left"/>
      <w:pPr>
        <w:ind w:left="5040" w:hanging="360"/>
      </w:pPr>
    </w:lvl>
    <w:lvl w:ilvl="7" w:tplc="9EB0503A" w:tentative="1">
      <w:start w:val="1"/>
      <w:numFmt w:val="lowerLetter"/>
      <w:lvlText w:val="%8."/>
      <w:lvlJc w:val="left"/>
      <w:pPr>
        <w:ind w:left="5760" w:hanging="360"/>
      </w:pPr>
    </w:lvl>
    <w:lvl w:ilvl="8" w:tplc="4F90C44A" w:tentative="1">
      <w:start w:val="1"/>
      <w:numFmt w:val="lowerRoman"/>
      <w:lvlText w:val="%9."/>
      <w:lvlJc w:val="right"/>
      <w:pPr>
        <w:ind w:left="6480" w:hanging="180"/>
      </w:pPr>
    </w:lvl>
  </w:abstractNum>
  <w:abstractNum w:abstractNumId="2">
    <w:nsid w:val="4C035C40"/>
    <w:multiLevelType w:val="hybridMultilevel"/>
    <w:tmpl w:val="02E69B28"/>
    <w:lvl w:ilvl="0" w:tplc="1009000F">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
    <w:nsid w:val="54283EE8"/>
    <w:multiLevelType w:val="multilevel"/>
    <w:tmpl w:val="29FE6228"/>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DC786E46">
      <w:start w:val="1"/>
      <w:numFmt w:val="decimal"/>
      <w:lvlText w:val="%1."/>
      <w:lvlJc w:val="left"/>
      <w:pPr>
        <w:ind w:left="720" w:hanging="360"/>
      </w:pPr>
    </w:lvl>
    <w:lvl w:ilvl="1" w:tplc="E4EA7062">
      <w:start w:val="1"/>
      <w:numFmt w:val="lowerLetter"/>
      <w:lvlText w:val="%2."/>
      <w:lvlJc w:val="left"/>
      <w:pPr>
        <w:ind w:left="1440" w:hanging="360"/>
      </w:pPr>
    </w:lvl>
    <w:lvl w:ilvl="2" w:tplc="C7E2B520">
      <w:start w:val="1"/>
      <w:numFmt w:val="lowerRoman"/>
      <w:lvlText w:val="%3."/>
      <w:lvlJc w:val="right"/>
      <w:pPr>
        <w:ind w:left="2160" w:hanging="180"/>
      </w:pPr>
    </w:lvl>
    <w:lvl w:ilvl="3" w:tplc="3E640208" w:tentative="1">
      <w:start w:val="1"/>
      <w:numFmt w:val="decimal"/>
      <w:lvlText w:val="%4."/>
      <w:lvlJc w:val="left"/>
      <w:pPr>
        <w:ind w:left="2880" w:hanging="360"/>
      </w:pPr>
    </w:lvl>
    <w:lvl w:ilvl="4" w:tplc="6A245976" w:tentative="1">
      <w:start w:val="1"/>
      <w:numFmt w:val="lowerLetter"/>
      <w:lvlText w:val="%5."/>
      <w:lvlJc w:val="left"/>
      <w:pPr>
        <w:ind w:left="3600" w:hanging="360"/>
      </w:pPr>
    </w:lvl>
    <w:lvl w:ilvl="5" w:tplc="65A615AE" w:tentative="1">
      <w:start w:val="1"/>
      <w:numFmt w:val="lowerRoman"/>
      <w:lvlText w:val="%6."/>
      <w:lvlJc w:val="right"/>
      <w:pPr>
        <w:ind w:left="4320" w:hanging="180"/>
      </w:pPr>
    </w:lvl>
    <w:lvl w:ilvl="6" w:tplc="071032EC" w:tentative="1">
      <w:start w:val="1"/>
      <w:numFmt w:val="decimal"/>
      <w:lvlText w:val="%7."/>
      <w:lvlJc w:val="left"/>
      <w:pPr>
        <w:ind w:left="5040" w:hanging="360"/>
      </w:pPr>
    </w:lvl>
    <w:lvl w:ilvl="7" w:tplc="E39C61D6" w:tentative="1">
      <w:start w:val="1"/>
      <w:numFmt w:val="lowerLetter"/>
      <w:lvlText w:val="%8."/>
      <w:lvlJc w:val="left"/>
      <w:pPr>
        <w:ind w:left="5760" w:hanging="360"/>
      </w:pPr>
    </w:lvl>
    <w:lvl w:ilvl="8" w:tplc="B2A28B82"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25198"/>
    <w:rsid w:val="000528F8"/>
    <w:rsid w:val="000578A3"/>
    <w:rsid w:val="00060767"/>
    <w:rsid w:val="00062FBF"/>
    <w:rsid w:val="000648CC"/>
    <w:rsid w:val="00067013"/>
    <w:rsid w:val="00067882"/>
    <w:rsid w:val="000A069E"/>
    <w:rsid w:val="000B7013"/>
    <w:rsid w:val="000C59B8"/>
    <w:rsid w:val="000C6AF0"/>
    <w:rsid w:val="000D0EBD"/>
    <w:rsid w:val="000E6927"/>
    <w:rsid w:val="00104F33"/>
    <w:rsid w:val="00111DE2"/>
    <w:rsid w:val="00116B38"/>
    <w:rsid w:val="00135406"/>
    <w:rsid w:val="00135972"/>
    <w:rsid w:val="001426A9"/>
    <w:rsid w:val="001426E9"/>
    <w:rsid w:val="001540FF"/>
    <w:rsid w:val="00154D7C"/>
    <w:rsid w:val="001570B0"/>
    <w:rsid w:val="0015752C"/>
    <w:rsid w:val="00157737"/>
    <w:rsid w:val="00165277"/>
    <w:rsid w:val="00170592"/>
    <w:rsid w:val="00172BC3"/>
    <w:rsid w:val="001739EA"/>
    <w:rsid w:val="0017782F"/>
    <w:rsid w:val="00186351"/>
    <w:rsid w:val="00195D83"/>
    <w:rsid w:val="001A00C1"/>
    <w:rsid w:val="001A09C3"/>
    <w:rsid w:val="001B33E0"/>
    <w:rsid w:val="001B4573"/>
    <w:rsid w:val="001C566C"/>
    <w:rsid w:val="001C67E5"/>
    <w:rsid w:val="001C779F"/>
    <w:rsid w:val="001D2AC1"/>
    <w:rsid w:val="001D4E88"/>
    <w:rsid w:val="001E2E57"/>
    <w:rsid w:val="00201DFB"/>
    <w:rsid w:val="00220FC2"/>
    <w:rsid w:val="002222F4"/>
    <w:rsid w:val="00224FC0"/>
    <w:rsid w:val="00225188"/>
    <w:rsid w:val="00225EA4"/>
    <w:rsid w:val="00226EAF"/>
    <w:rsid w:val="00231F3A"/>
    <w:rsid w:val="00234199"/>
    <w:rsid w:val="00237F28"/>
    <w:rsid w:val="002406EE"/>
    <w:rsid w:val="00243EC8"/>
    <w:rsid w:val="002462C8"/>
    <w:rsid w:val="00270D93"/>
    <w:rsid w:val="002745CC"/>
    <w:rsid w:val="00281A0C"/>
    <w:rsid w:val="002A1618"/>
    <w:rsid w:val="002B7924"/>
    <w:rsid w:val="002D28C3"/>
    <w:rsid w:val="002D39A4"/>
    <w:rsid w:val="002E6705"/>
    <w:rsid w:val="002F192F"/>
    <w:rsid w:val="002F6953"/>
    <w:rsid w:val="00301D08"/>
    <w:rsid w:val="0030329A"/>
    <w:rsid w:val="0031086F"/>
    <w:rsid w:val="0031414C"/>
    <w:rsid w:val="00314E01"/>
    <w:rsid w:val="0032089D"/>
    <w:rsid w:val="00327615"/>
    <w:rsid w:val="003310DE"/>
    <w:rsid w:val="003323B0"/>
    <w:rsid w:val="0035169A"/>
    <w:rsid w:val="00351BF4"/>
    <w:rsid w:val="0035259D"/>
    <w:rsid w:val="00354A3D"/>
    <w:rsid w:val="00364B18"/>
    <w:rsid w:val="003843F8"/>
    <w:rsid w:val="003A125D"/>
    <w:rsid w:val="003A4C70"/>
    <w:rsid w:val="003B215F"/>
    <w:rsid w:val="003C0D51"/>
    <w:rsid w:val="003C799C"/>
    <w:rsid w:val="003D0399"/>
    <w:rsid w:val="003E1C71"/>
    <w:rsid w:val="003F0A16"/>
    <w:rsid w:val="003F327B"/>
    <w:rsid w:val="00406166"/>
    <w:rsid w:val="0040704B"/>
    <w:rsid w:val="00410A55"/>
    <w:rsid w:val="00411300"/>
    <w:rsid w:val="004142C6"/>
    <w:rsid w:val="00415417"/>
    <w:rsid w:val="00426659"/>
    <w:rsid w:val="0043362A"/>
    <w:rsid w:val="004437DB"/>
    <w:rsid w:val="00450352"/>
    <w:rsid w:val="00454BDB"/>
    <w:rsid w:val="00464800"/>
    <w:rsid w:val="00465132"/>
    <w:rsid w:val="00476293"/>
    <w:rsid w:val="00480C90"/>
    <w:rsid w:val="0048396F"/>
    <w:rsid w:val="00493C18"/>
    <w:rsid w:val="004A600C"/>
    <w:rsid w:val="004A6118"/>
    <w:rsid w:val="004C478D"/>
    <w:rsid w:val="004E2C26"/>
    <w:rsid w:val="004F0CA5"/>
    <w:rsid w:val="004F36FF"/>
    <w:rsid w:val="005125A8"/>
    <w:rsid w:val="00521AE8"/>
    <w:rsid w:val="0052363C"/>
    <w:rsid w:val="00527180"/>
    <w:rsid w:val="0054201E"/>
    <w:rsid w:val="005423E8"/>
    <w:rsid w:val="00555291"/>
    <w:rsid w:val="00566AD1"/>
    <w:rsid w:val="00583EDE"/>
    <w:rsid w:val="005A6079"/>
    <w:rsid w:val="005B4AD2"/>
    <w:rsid w:val="005B6AA5"/>
    <w:rsid w:val="005E4698"/>
    <w:rsid w:val="005F3208"/>
    <w:rsid w:val="00610539"/>
    <w:rsid w:val="00611DA3"/>
    <w:rsid w:val="0061216C"/>
    <w:rsid w:val="00613969"/>
    <w:rsid w:val="00625C35"/>
    <w:rsid w:val="00656313"/>
    <w:rsid w:val="006565F4"/>
    <w:rsid w:val="00684EEA"/>
    <w:rsid w:val="0069689B"/>
    <w:rsid w:val="006A1551"/>
    <w:rsid w:val="006A1CE9"/>
    <w:rsid w:val="006B5FF5"/>
    <w:rsid w:val="006E348D"/>
    <w:rsid w:val="006F30AF"/>
    <w:rsid w:val="00701759"/>
    <w:rsid w:val="00705C15"/>
    <w:rsid w:val="0070677A"/>
    <w:rsid w:val="0071600E"/>
    <w:rsid w:val="007208D1"/>
    <w:rsid w:val="00744F4B"/>
    <w:rsid w:val="00747288"/>
    <w:rsid w:val="00747DD3"/>
    <w:rsid w:val="007549C8"/>
    <w:rsid w:val="00754A0B"/>
    <w:rsid w:val="00766D14"/>
    <w:rsid w:val="00767A0F"/>
    <w:rsid w:val="00794D3E"/>
    <w:rsid w:val="007A05F6"/>
    <w:rsid w:val="007A7DCB"/>
    <w:rsid w:val="007B08CB"/>
    <w:rsid w:val="007B6F4A"/>
    <w:rsid w:val="007C0A84"/>
    <w:rsid w:val="007D5123"/>
    <w:rsid w:val="007E1C47"/>
    <w:rsid w:val="007E337A"/>
    <w:rsid w:val="007E5C70"/>
    <w:rsid w:val="007F2FF5"/>
    <w:rsid w:val="007F3F08"/>
    <w:rsid w:val="00804CC6"/>
    <w:rsid w:val="00817190"/>
    <w:rsid w:val="00820EE5"/>
    <w:rsid w:val="00823171"/>
    <w:rsid w:val="008260E2"/>
    <w:rsid w:val="008322BD"/>
    <w:rsid w:val="00833E0A"/>
    <w:rsid w:val="00834F73"/>
    <w:rsid w:val="0083694A"/>
    <w:rsid w:val="008641AF"/>
    <w:rsid w:val="00864CF8"/>
    <w:rsid w:val="00867F89"/>
    <w:rsid w:val="00872819"/>
    <w:rsid w:val="00874914"/>
    <w:rsid w:val="00891422"/>
    <w:rsid w:val="00892CE3"/>
    <w:rsid w:val="00892E1A"/>
    <w:rsid w:val="00894FFE"/>
    <w:rsid w:val="008A3F29"/>
    <w:rsid w:val="008B14A3"/>
    <w:rsid w:val="008B660A"/>
    <w:rsid w:val="008C01DA"/>
    <w:rsid w:val="008C49AE"/>
    <w:rsid w:val="008C612B"/>
    <w:rsid w:val="008F78E9"/>
    <w:rsid w:val="00907A69"/>
    <w:rsid w:val="00911989"/>
    <w:rsid w:val="009179F9"/>
    <w:rsid w:val="00932A6D"/>
    <w:rsid w:val="00933E5E"/>
    <w:rsid w:val="00935218"/>
    <w:rsid w:val="009403F3"/>
    <w:rsid w:val="00945DD7"/>
    <w:rsid w:val="009555B7"/>
    <w:rsid w:val="009567AA"/>
    <w:rsid w:val="00967374"/>
    <w:rsid w:val="00973275"/>
    <w:rsid w:val="00974743"/>
    <w:rsid w:val="0098141F"/>
    <w:rsid w:val="00981E15"/>
    <w:rsid w:val="009A343A"/>
    <w:rsid w:val="009B20C0"/>
    <w:rsid w:val="009B2F23"/>
    <w:rsid w:val="009B57B3"/>
    <w:rsid w:val="009C5B92"/>
    <w:rsid w:val="009D2920"/>
    <w:rsid w:val="009D5AEB"/>
    <w:rsid w:val="009F0E33"/>
    <w:rsid w:val="009F1065"/>
    <w:rsid w:val="00A021BD"/>
    <w:rsid w:val="00A030CE"/>
    <w:rsid w:val="00A134E6"/>
    <w:rsid w:val="00A149DF"/>
    <w:rsid w:val="00A1755C"/>
    <w:rsid w:val="00A21B90"/>
    <w:rsid w:val="00A37D6D"/>
    <w:rsid w:val="00A41805"/>
    <w:rsid w:val="00A42DCD"/>
    <w:rsid w:val="00A52AFB"/>
    <w:rsid w:val="00A548CB"/>
    <w:rsid w:val="00A5521C"/>
    <w:rsid w:val="00A6245B"/>
    <w:rsid w:val="00A63A2B"/>
    <w:rsid w:val="00A643E7"/>
    <w:rsid w:val="00A73C38"/>
    <w:rsid w:val="00AB3C0C"/>
    <w:rsid w:val="00AB4F49"/>
    <w:rsid w:val="00AB670D"/>
    <w:rsid w:val="00AF03C5"/>
    <w:rsid w:val="00B000D8"/>
    <w:rsid w:val="00B00F75"/>
    <w:rsid w:val="00B03D09"/>
    <w:rsid w:val="00B145B6"/>
    <w:rsid w:val="00B20FB1"/>
    <w:rsid w:val="00B279EB"/>
    <w:rsid w:val="00B3246A"/>
    <w:rsid w:val="00B50C81"/>
    <w:rsid w:val="00B557F8"/>
    <w:rsid w:val="00B639B7"/>
    <w:rsid w:val="00B815FC"/>
    <w:rsid w:val="00B91A12"/>
    <w:rsid w:val="00B91AB9"/>
    <w:rsid w:val="00B93FBC"/>
    <w:rsid w:val="00BA7DA0"/>
    <w:rsid w:val="00BB2EE4"/>
    <w:rsid w:val="00BB311F"/>
    <w:rsid w:val="00BC2108"/>
    <w:rsid w:val="00BC758B"/>
    <w:rsid w:val="00BD0E9E"/>
    <w:rsid w:val="00BD1BEC"/>
    <w:rsid w:val="00BD32FF"/>
    <w:rsid w:val="00BD6658"/>
    <w:rsid w:val="00C02092"/>
    <w:rsid w:val="00C24D91"/>
    <w:rsid w:val="00C53F14"/>
    <w:rsid w:val="00C600CF"/>
    <w:rsid w:val="00C6084F"/>
    <w:rsid w:val="00C62A66"/>
    <w:rsid w:val="00C7008C"/>
    <w:rsid w:val="00C71458"/>
    <w:rsid w:val="00C77613"/>
    <w:rsid w:val="00C828E7"/>
    <w:rsid w:val="00C84CE2"/>
    <w:rsid w:val="00C86719"/>
    <w:rsid w:val="00C921DD"/>
    <w:rsid w:val="00C95123"/>
    <w:rsid w:val="00CA6391"/>
    <w:rsid w:val="00CC0D0B"/>
    <w:rsid w:val="00CC34BD"/>
    <w:rsid w:val="00CE161A"/>
    <w:rsid w:val="00CE3171"/>
    <w:rsid w:val="00CF1601"/>
    <w:rsid w:val="00CF5220"/>
    <w:rsid w:val="00D0172F"/>
    <w:rsid w:val="00D068A7"/>
    <w:rsid w:val="00D17476"/>
    <w:rsid w:val="00D216B7"/>
    <w:rsid w:val="00D32086"/>
    <w:rsid w:val="00D37A3F"/>
    <w:rsid w:val="00D410BB"/>
    <w:rsid w:val="00D4431D"/>
    <w:rsid w:val="00D4667A"/>
    <w:rsid w:val="00D51C6D"/>
    <w:rsid w:val="00D53819"/>
    <w:rsid w:val="00D5742C"/>
    <w:rsid w:val="00D60A5E"/>
    <w:rsid w:val="00D63A1C"/>
    <w:rsid w:val="00D64734"/>
    <w:rsid w:val="00D717CB"/>
    <w:rsid w:val="00D7516F"/>
    <w:rsid w:val="00D8579F"/>
    <w:rsid w:val="00D95F8E"/>
    <w:rsid w:val="00DA0590"/>
    <w:rsid w:val="00DA4AF1"/>
    <w:rsid w:val="00DA5C9A"/>
    <w:rsid w:val="00DB7BEA"/>
    <w:rsid w:val="00DC1739"/>
    <w:rsid w:val="00DC1788"/>
    <w:rsid w:val="00DD3BC1"/>
    <w:rsid w:val="00DE0464"/>
    <w:rsid w:val="00DE1334"/>
    <w:rsid w:val="00DE319C"/>
    <w:rsid w:val="00DF0CA8"/>
    <w:rsid w:val="00DF2B48"/>
    <w:rsid w:val="00DF49A7"/>
    <w:rsid w:val="00E07EE2"/>
    <w:rsid w:val="00E07FD1"/>
    <w:rsid w:val="00E24573"/>
    <w:rsid w:val="00E25E1E"/>
    <w:rsid w:val="00E27EE7"/>
    <w:rsid w:val="00E35404"/>
    <w:rsid w:val="00E40C5C"/>
    <w:rsid w:val="00E45109"/>
    <w:rsid w:val="00E47B7A"/>
    <w:rsid w:val="00E56A44"/>
    <w:rsid w:val="00E60269"/>
    <w:rsid w:val="00E65186"/>
    <w:rsid w:val="00E668FE"/>
    <w:rsid w:val="00E74286"/>
    <w:rsid w:val="00E753CA"/>
    <w:rsid w:val="00E77932"/>
    <w:rsid w:val="00E90569"/>
    <w:rsid w:val="00E97830"/>
    <w:rsid w:val="00EC1D6E"/>
    <w:rsid w:val="00ED3749"/>
    <w:rsid w:val="00EE2006"/>
    <w:rsid w:val="00EE643C"/>
    <w:rsid w:val="00EF0683"/>
    <w:rsid w:val="00EF69D2"/>
    <w:rsid w:val="00EF766E"/>
    <w:rsid w:val="00F0070C"/>
    <w:rsid w:val="00F00EB7"/>
    <w:rsid w:val="00F1354D"/>
    <w:rsid w:val="00F15426"/>
    <w:rsid w:val="00F36AB6"/>
    <w:rsid w:val="00F37A09"/>
    <w:rsid w:val="00F409CE"/>
    <w:rsid w:val="00F4379D"/>
    <w:rsid w:val="00F50D2D"/>
    <w:rsid w:val="00F56C8B"/>
    <w:rsid w:val="00F66810"/>
    <w:rsid w:val="00F846D9"/>
    <w:rsid w:val="00F84DF4"/>
    <w:rsid w:val="00F85C97"/>
    <w:rsid w:val="00F87C98"/>
    <w:rsid w:val="00FB36AD"/>
    <w:rsid w:val="00FB37D2"/>
    <w:rsid w:val="00FC4EFB"/>
    <w:rsid w:val="00FC78A8"/>
    <w:rsid w:val="00FD068D"/>
    <w:rsid w:val="00FD4F28"/>
    <w:rsid w:val="00FD778C"/>
    <w:rsid w:val="00FE23F6"/>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CE3"/>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CE3"/>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CE3"/>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2CE3"/>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2CE3"/>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2CE3"/>
    <w:pPr>
      <w:keepNext/>
      <w:keepLines/>
      <w:spacing w:before="200"/>
      <w:ind w:left="50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92CE3"/>
    <w:pPr>
      <w:keepNext/>
      <w:keepLines/>
      <w:spacing w:before="200"/>
      <w:ind w:left="576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semiHidden/>
    <w:rsid w:val="00892CE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892CE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92CE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92CE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92CE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92CE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92CE3"/>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892CE3"/>
    <w:pPr>
      <w:spacing w:after="480"/>
    </w:pPr>
    <w:rPr>
      <w:rFonts w:eastAsiaTheme="minorHAnsi" w:cstheme="minorBidi"/>
      <w:szCs w:val="22"/>
      <w:lang w:eastAsia="en-US"/>
    </w:rPr>
  </w:style>
  <w:style w:type="paragraph" w:customStyle="1" w:styleId="SCCCoram">
    <w:name w:val="SCC.Coram"/>
    <w:basedOn w:val="Normal"/>
    <w:next w:val="Normal"/>
    <w:link w:val="SCCCoramChar"/>
    <w:rsid w:val="00892CE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92CE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92CE3"/>
    <w:rPr>
      <w:rFonts w:eastAsiaTheme="minorHAnsi" w:cstheme="minorBidi"/>
      <w:sz w:val="24"/>
      <w:szCs w:val="22"/>
      <w:lang w:eastAsia="en-US"/>
    </w:rPr>
  </w:style>
  <w:style w:type="character" w:customStyle="1" w:styleId="SCCBanSummaryChar">
    <w:name w:val="SCC.BanSummary Char"/>
    <w:basedOn w:val="DefaultParagraphFont"/>
    <w:link w:val="SCCBanSummary"/>
    <w:rsid w:val="00892CE3"/>
    <w:rPr>
      <w:b/>
      <w:sz w:val="24"/>
    </w:rPr>
  </w:style>
  <w:style w:type="table" w:styleId="TableGrid">
    <w:name w:val="Table Grid"/>
    <w:basedOn w:val="TableNormal"/>
    <w:uiPriority w:val="59"/>
    <w:rsid w:val="00892C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92CE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92CE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92CE3"/>
    <w:pPr>
      <w:tabs>
        <w:tab w:val="left" w:pos="1166"/>
      </w:tabs>
      <w:spacing w:after="480" w:line="480" w:lineRule="auto"/>
    </w:pPr>
    <w:rPr>
      <w:smallCaps/>
      <w:sz w:val="24"/>
    </w:rPr>
  </w:style>
  <w:style w:type="paragraph" w:customStyle="1" w:styleId="ParaNoNdepar-AltN">
    <w:name w:val="Para. No. / Nº de par. - Alt N"/>
    <w:qFormat/>
    <w:rsid w:val="00892CE3"/>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92CE3"/>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892CE3"/>
    <w:rPr>
      <w:sz w:val="16"/>
      <w:szCs w:val="16"/>
    </w:rPr>
  </w:style>
  <w:style w:type="paragraph" w:styleId="CommentText">
    <w:name w:val="annotation text"/>
    <w:basedOn w:val="Normal"/>
    <w:link w:val="CommentTextChar"/>
    <w:uiPriority w:val="99"/>
    <w:semiHidden/>
    <w:unhideWhenUsed/>
    <w:rsid w:val="00892CE3"/>
    <w:rPr>
      <w:sz w:val="20"/>
    </w:rPr>
  </w:style>
  <w:style w:type="character" w:customStyle="1" w:styleId="CommentTextChar">
    <w:name w:val="Comment Text Char"/>
    <w:basedOn w:val="DefaultParagraphFont"/>
    <w:link w:val="CommentText"/>
    <w:uiPriority w:val="99"/>
    <w:semiHidden/>
    <w:rsid w:val="00892CE3"/>
  </w:style>
  <w:style w:type="paragraph" w:styleId="CommentSubject">
    <w:name w:val="annotation subject"/>
    <w:basedOn w:val="CommentText"/>
    <w:next w:val="CommentText"/>
    <w:link w:val="CommentSubjectChar"/>
    <w:uiPriority w:val="99"/>
    <w:semiHidden/>
    <w:unhideWhenUsed/>
    <w:rsid w:val="00892CE3"/>
    <w:rPr>
      <w:b/>
      <w:bCs/>
    </w:rPr>
  </w:style>
  <w:style w:type="character" w:customStyle="1" w:styleId="CommentSubjectChar">
    <w:name w:val="Comment Subject Char"/>
    <w:basedOn w:val="CommentTextChar"/>
    <w:link w:val="CommentSubject"/>
    <w:uiPriority w:val="99"/>
    <w:semiHidden/>
    <w:rsid w:val="00892CE3"/>
    <w:rPr>
      <w:b/>
      <w:bCs/>
    </w:rPr>
  </w:style>
  <w:style w:type="character" w:customStyle="1" w:styleId="SCCLsocPartyRoleChar">
    <w:name w:val="SCC.Lsoc.PartyRole Char"/>
    <w:basedOn w:val="DefaultParagraphFont"/>
    <w:rsid w:val="00BD6658"/>
    <w:rPr>
      <w:lang w:val="en-CA"/>
    </w:rPr>
  </w:style>
  <w:style w:type="paragraph" w:customStyle="1" w:styleId="SCCLsocPrefix">
    <w:name w:val="SCC.Lsoc.Prefix"/>
    <w:basedOn w:val="Normal"/>
    <w:next w:val="Normal"/>
    <w:link w:val="SCCLsocPrefixChar"/>
    <w:rsid w:val="00BD6658"/>
    <w:rPr>
      <w:rFonts w:eastAsiaTheme="minorHAnsi" w:cstheme="minorBidi"/>
      <w:b/>
      <w:smallCaps/>
      <w:szCs w:val="24"/>
      <w:lang w:eastAsia="en-US"/>
    </w:rPr>
  </w:style>
  <w:style w:type="character" w:customStyle="1" w:styleId="SCCLsocPrefixChar">
    <w:name w:val="SCC.Lsoc.Prefix Char"/>
    <w:basedOn w:val="DefaultParagraphFont"/>
    <w:link w:val="SCCLsocPrefix"/>
    <w:rsid w:val="00BD6658"/>
    <w:rPr>
      <w:rFonts w:eastAsiaTheme="minorHAnsi" w:cstheme="minorBidi"/>
      <w:b/>
      <w:smallCaps/>
      <w:sz w:val="24"/>
      <w:szCs w:val="24"/>
      <w:lang w:eastAsia="en-US"/>
    </w:rPr>
  </w:style>
  <w:style w:type="paragraph" w:customStyle="1" w:styleId="SCCAppellantForIndex">
    <w:name w:val="SCC.AppellantForIndex"/>
    <w:basedOn w:val="Normal"/>
    <w:next w:val="Normal"/>
    <w:link w:val="SCCAppellantForIndexChar"/>
    <w:rsid w:val="00BD6658"/>
    <w:rPr>
      <w:b/>
    </w:rPr>
  </w:style>
  <w:style w:type="character" w:customStyle="1" w:styleId="SCCAppellantForIndexChar">
    <w:name w:val="SCC.AppellantForIndex Char"/>
    <w:basedOn w:val="DefaultParagraphFont"/>
    <w:link w:val="SCCAppellantForIndex"/>
    <w:rsid w:val="00BD6658"/>
    <w:rPr>
      <w:b/>
      <w:sz w:val="24"/>
    </w:rPr>
  </w:style>
  <w:style w:type="paragraph" w:customStyle="1" w:styleId="SCCRespondentForIndex">
    <w:name w:val="SCC.RespondentForIndex"/>
    <w:basedOn w:val="Normal"/>
    <w:next w:val="Normal"/>
    <w:link w:val="SCCRespondentForIndexChar"/>
    <w:rsid w:val="00BD6658"/>
    <w:rPr>
      <w:b/>
    </w:rPr>
  </w:style>
  <w:style w:type="character" w:customStyle="1" w:styleId="SCCRespondentForIndexChar">
    <w:name w:val="SCC.RespondentForIndex Char"/>
    <w:basedOn w:val="DefaultParagraphFont"/>
    <w:link w:val="SCCRespondentForIndex"/>
    <w:rsid w:val="00BD6658"/>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6D63C-9333-4638-A185-D7BDDE95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6625</Words>
  <Characters>33165</Characters>
  <Application>Microsoft Office Word</Application>
  <DocSecurity>0</DocSecurity>
  <Lines>276</Lines>
  <Paragraphs>79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2013-05-15T16:43:00Z</dcterms:created>
  <dcterms:modified xsi:type="dcterms:W3CDTF">2014-03-20T19:11:00Z</dcterms:modified>
</cp:coreProperties>
</file>