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357" w:rsidRPr="00BA1504" w:rsidRDefault="00C11357" w:rsidP="00C11357">
      <w:pPr>
        <w:tabs>
          <w:tab w:val="center" w:pos="4680"/>
          <w:tab w:val="right" w:pos="9360"/>
        </w:tabs>
        <w:jc w:val="center"/>
        <w:rPr>
          <w:rFonts w:eastAsiaTheme="minorHAnsi" w:cstheme="minorBidi"/>
          <w:szCs w:val="24"/>
          <w:lang w:eastAsia="en-US"/>
        </w:rPr>
      </w:pPr>
      <w:r w:rsidRPr="00BA1504">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1pt;height:64.9pt" o:ole="">
            <v:imagedata r:id="rId7" o:title=""/>
          </v:shape>
          <o:OLEObject Type="Embed" ProgID="Presentations.Drawing.13" ShapeID="_x0000_i1025" DrawAspect="Content" ObjectID="_1458032161" r:id="rId8"/>
        </w:object>
      </w:r>
    </w:p>
    <w:p w:rsidR="00C11357" w:rsidRPr="00BA1504" w:rsidRDefault="00C11357" w:rsidP="00C11357">
      <w:pPr>
        <w:tabs>
          <w:tab w:val="center" w:pos="4680"/>
          <w:tab w:val="right" w:pos="9360"/>
        </w:tabs>
        <w:rPr>
          <w:rFonts w:eastAsiaTheme="minorHAnsi" w:cstheme="minorBidi"/>
          <w:szCs w:val="24"/>
          <w:lang w:eastAsia="en-US"/>
        </w:rPr>
      </w:pPr>
    </w:p>
    <w:p w:rsidR="00C11357" w:rsidRPr="00BA1504" w:rsidRDefault="00C11357" w:rsidP="00C11357">
      <w:pPr>
        <w:jc w:val="center"/>
        <w:rPr>
          <w:rFonts w:eastAsiaTheme="minorHAnsi" w:cstheme="minorBidi"/>
          <w:b/>
          <w:szCs w:val="24"/>
          <w:lang w:eastAsia="en-US"/>
        </w:rPr>
      </w:pPr>
      <w:r w:rsidRPr="00BA1504">
        <w:rPr>
          <w:rFonts w:eastAsiaTheme="minorHAnsi" w:cstheme="minorBidi"/>
          <w:b/>
          <w:szCs w:val="24"/>
          <w:lang w:eastAsia="en-US"/>
        </w:rPr>
        <w:t>SUPREME COURT OF CANADA</w:t>
      </w:r>
    </w:p>
    <w:p w:rsidR="00C11357" w:rsidRPr="00BA1504" w:rsidRDefault="00C11357" w:rsidP="00C11357">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C11357" w:rsidRPr="00BA1504" w:rsidTr="00A91E19">
        <w:trPr>
          <w:cantSplit/>
        </w:trPr>
        <w:tc>
          <w:tcPr>
            <w:tcW w:w="6768" w:type="dxa"/>
          </w:tcPr>
          <w:p w:rsidR="00C11357" w:rsidRPr="00BA1504" w:rsidRDefault="00C11357" w:rsidP="00A91E19">
            <w:r w:rsidRPr="00BA1504">
              <w:rPr>
                <w:b/>
                <w:smallCaps/>
              </w:rPr>
              <w:t>Citation:</w:t>
            </w:r>
            <w:r w:rsidRPr="00BA1504">
              <w:t xml:space="preserve"> Alberta (Information and Privacy Commissioner) </w:t>
            </w:r>
            <w:r w:rsidRPr="00BA1504">
              <w:rPr>
                <w:i/>
              </w:rPr>
              <w:t>v.</w:t>
            </w:r>
            <w:r w:rsidRPr="00BA1504">
              <w:t xml:space="preserve"> United Food and Commercial Workers, Local 401, 2013 SCC 62</w:t>
            </w:r>
            <w:r>
              <w:t>, [2013] 3 S.C.R. 733</w:t>
            </w:r>
          </w:p>
        </w:tc>
        <w:tc>
          <w:tcPr>
            <w:tcW w:w="2808" w:type="dxa"/>
          </w:tcPr>
          <w:p w:rsidR="00C11357" w:rsidRPr="00BA1504" w:rsidRDefault="00C11357" w:rsidP="00A91E19">
            <w:r w:rsidRPr="00BA1504">
              <w:rPr>
                <w:b/>
                <w:smallCaps/>
              </w:rPr>
              <w:t>Date:</w:t>
            </w:r>
            <w:r w:rsidRPr="00BA1504">
              <w:t xml:space="preserve"> 20131115</w:t>
            </w:r>
          </w:p>
          <w:p w:rsidR="00C11357" w:rsidRPr="00BA1504" w:rsidRDefault="00C11357" w:rsidP="00A91E19">
            <w:r w:rsidRPr="00BA1504">
              <w:rPr>
                <w:b/>
                <w:smallCaps/>
              </w:rPr>
              <w:t>Docket:</w:t>
            </w:r>
            <w:r w:rsidRPr="00BA1504">
              <w:t xml:space="preserve"> 34890</w:t>
            </w:r>
          </w:p>
        </w:tc>
      </w:tr>
    </w:tbl>
    <w:p w:rsidR="00C11357" w:rsidRPr="00BA1504" w:rsidRDefault="00C11357" w:rsidP="00C11357">
      <w:pPr>
        <w:rPr>
          <w:rFonts w:eastAsiaTheme="minorHAnsi" w:cstheme="minorBidi"/>
          <w:szCs w:val="24"/>
          <w:lang w:eastAsia="en-US"/>
        </w:rPr>
      </w:pPr>
    </w:p>
    <w:p w:rsidR="00C11357" w:rsidRPr="00BA1504" w:rsidRDefault="00C11357" w:rsidP="00C11357">
      <w:pPr>
        <w:rPr>
          <w:rFonts w:eastAsiaTheme="minorHAnsi" w:cstheme="minorBidi"/>
          <w:b/>
          <w:smallCaps/>
          <w:szCs w:val="24"/>
          <w:lang w:eastAsia="en-US"/>
        </w:rPr>
      </w:pPr>
      <w:r w:rsidRPr="00BA1504">
        <w:rPr>
          <w:rFonts w:eastAsiaTheme="minorHAnsi" w:cstheme="minorBidi"/>
          <w:b/>
          <w:smallCaps/>
          <w:szCs w:val="24"/>
          <w:lang w:eastAsia="en-US"/>
        </w:rPr>
        <w:t>Between:</w:t>
      </w:r>
    </w:p>
    <w:p w:rsidR="00C11357" w:rsidRPr="00BA1504" w:rsidRDefault="00C11357" w:rsidP="00C11357">
      <w:pPr>
        <w:jc w:val="center"/>
        <w:rPr>
          <w:rFonts w:eastAsiaTheme="minorHAnsi" w:cstheme="minorBidi"/>
          <w:b/>
          <w:szCs w:val="24"/>
          <w:lang w:eastAsia="en-US"/>
        </w:rPr>
      </w:pPr>
      <w:r w:rsidRPr="00BA1504">
        <w:rPr>
          <w:rFonts w:eastAsiaTheme="minorHAnsi" w:cstheme="minorBidi"/>
          <w:b/>
          <w:szCs w:val="24"/>
          <w:lang w:eastAsia="en-US"/>
        </w:rPr>
        <w:t>Information and Privacy Commissioner of Alberta</w:t>
      </w:r>
    </w:p>
    <w:p w:rsidR="00C11357" w:rsidRPr="00BA1504" w:rsidRDefault="00C11357" w:rsidP="00C11357">
      <w:pPr>
        <w:jc w:val="center"/>
        <w:rPr>
          <w:rFonts w:eastAsiaTheme="minorHAnsi" w:cstheme="minorBidi"/>
          <w:szCs w:val="24"/>
          <w:lang w:eastAsia="en-US"/>
        </w:rPr>
      </w:pPr>
      <w:r w:rsidRPr="00BA1504">
        <w:rPr>
          <w:rFonts w:eastAsiaTheme="minorHAnsi" w:cstheme="minorBidi"/>
          <w:szCs w:val="24"/>
          <w:lang w:eastAsia="en-US"/>
        </w:rPr>
        <w:t>Appellant</w:t>
      </w:r>
    </w:p>
    <w:p w:rsidR="00C11357" w:rsidRPr="00BA1504" w:rsidRDefault="00C11357" w:rsidP="00C11357">
      <w:pPr>
        <w:jc w:val="center"/>
        <w:rPr>
          <w:rFonts w:eastAsiaTheme="minorHAnsi" w:cstheme="minorBidi"/>
          <w:szCs w:val="24"/>
          <w:lang w:eastAsia="en-US"/>
        </w:rPr>
      </w:pPr>
      <w:r w:rsidRPr="00BA1504">
        <w:rPr>
          <w:rFonts w:eastAsiaTheme="minorHAnsi" w:cstheme="minorBidi"/>
          <w:szCs w:val="24"/>
          <w:lang w:eastAsia="en-US"/>
        </w:rPr>
        <w:t>and</w:t>
      </w:r>
    </w:p>
    <w:p w:rsidR="00C11357" w:rsidRPr="00BA1504" w:rsidRDefault="00C11357" w:rsidP="00C11357">
      <w:pPr>
        <w:jc w:val="center"/>
        <w:rPr>
          <w:rFonts w:eastAsiaTheme="minorHAnsi" w:cstheme="minorBidi"/>
          <w:b/>
          <w:szCs w:val="24"/>
          <w:lang w:eastAsia="en-US"/>
        </w:rPr>
      </w:pPr>
      <w:r w:rsidRPr="00BA1504">
        <w:rPr>
          <w:rFonts w:eastAsiaTheme="minorHAnsi" w:cstheme="minorBidi"/>
          <w:b/>
          <w:szCs w:val="24"/>
          <w:lang w:eastAsia="en-US"/>
        </w:rPr>
        <w:t>United Food and Commercial Workers, Local 401</w:t>
      </w:r>
    </w:p>
    <w:p w:rsidR="00C11357" w:rsidRPr="00BA1504" w:rsidRDefault="00C11357" w:rsidP="00C11357">
      <w:pPr>
        <w:jc w:val="center"/>
        <w:rPr>
          <w:rFonts w:eastAsiaTheme="minorHAnsi" w:cstheme="minorBidi"/>
          <w:szCs w:val="24"/>
          <w:lang w:eastAsia="en-US"/>
        </w:rPr>
      </w:pPr>
      <w:r w:rsidRPr="00BA1504">
        <w:rPr>
          <w:rFonts w:eastAsiaTheme="minorHAnsi" w:cstheme="minorBidi"/>
          <w:szCs w:val="24"/>
          <w:lang w:eastAsia="en-US"/>
        </w:rPr>
        <w:t>Respondent</w:t>
      </w:r>
    </w:p>
    <w:p w:rsidR="00C11357" w:rsidRPr="00BA1504" w:rsidRDefault="00C11357" w:rsidP="00C11357">
      <w:pPr>
        <w:rPr>
          <w:rFonts w:eastAsiaTheme="minorHAnsi" w:cstheme="minorBidi"/>
          <w:b/>
          <w:smallCaps/>
          <w:szCs w:val="24"/>
          <w:lang w:eastAsia="en-US"/>
        </w:rPr>
      </w:pPr>
      <w:r w:rsidRPr="00BA1504">
        <w:rPr>
          <w:rFonts w:eastAsiaTheme="minorHAnsi" w:cstheme="minorBidi"/>
          <w:b/>
          <w:smallCaps/>
          <w:szCs w:val="24"/>
          <w:lang w:eastAsia="en-US"/>
        </w:rPr>
        <w:t>AND BETWEEN:</w:t>
      </w:r>
    </w:p>
    <w:p w:rsidR="00C11357" w:rsidRPr="00BA1504" w:rsidRDefault="00C11357" w:rsidP="00C11357">
      <w:pPr>
        <w:jc w:val="center"/>
        <w:rPr>
          <w:rFonts w:eastAsiaTheme="minorHAnsi" w:cstheme="minorBidi"/>
          <w:b/>
          <w:szCs w:val="24"/>
          <w:lang w:eastAsia="en-US"/>
        </w:rPr>
      </w:pPr>
      <w:r w:rsidRPr="00BA1504">
        <w:rPr>
          <w:rFonts w:eastAsiaTheme="minorHAnsi" w:cstheme="minorBidi"/>
          <w:b/>
          <w:szCs w:val="24"/>
          <w:lang w:eastAsia="en-US"/>
        </w:rPr>
        <w:t>Attorney General of Alberta</w:t>
      </w:r>
    </w:p>
    <w:p w:rsidR="00C11357" w:rsidRPr="00BA1504" w:rsidRDefault="00C11357" w:rsidP="00C11357">
      <w:pPr>
        <w:jc w:val="center"/>
        <w:rPr>
          <w:rFonts w:eastAsiaTheme="minorHAnsi" w:cstheme="minorBidi"/>
          <w:szCs w:val="24"/>
          <w:lang w:eastAsia="en-US"/>
        </w:rPr>
      </w:pPr>
      <w:r w:rsidRPr="00BA1504">
        <w:rPr>
          <w:rFonts w:eastAsiaTheme="minorHAnsi" w:cstheme="minorBidi"/>
          <w:szCs w:val="24"/>
          <w:lang w:eastAsia="en-US"/>
        </w:rPr>
        <w:t>Appellant</w:t>
      </w:r>
    </w:p>
    <w:p w:rsidR="00C11357" w:rsidRPr="00BA1504" w:rsidRDefault="00C11357" w:rsidP="00C11357">
      <w:pPr>
        <w:jc w:val="center"/>
        <w:rPr>
          <w:rFonts w:eastAsiaTheme="minorHAnsi" w:cstheme="minorBidi"/>
          <w:szCs w:val="24"/>
          <w:lang w:eastAsia="en-US"/>
        </w:rPr>
      </w:pPr>
      <w:r w:rsidRPr="00BA1504">
        <w:rPr>
          <w:rFonts w:eastAsiaTheme="minorHAnsi" w:cstheme="minorBidi"/>
          <w:szCs w:val="24"/>
          <w:lang w:eastAsia="en-US"/>
        </w:rPr>
        <w:t>and</w:t>
      </w:r>
    </w:p>
    <w:p w:rsidR="00C11357" w:rsidRPr="00BA1504" w:rsidRDefault="00C11357" w:rsidP="00C11357">
      <w:pPr>
        <w:jc w:val="center"/>
        <w:rPr>
          <w:rFonts w:eastAsiaTheme="minorHAnsi" w:cstheme="minorBidi"/>
          <w:b/>
          <w:szCs w:val="24"/>
          <w:lang w:eastAsia="en-US"/>
        </w:rPr>
      </w:pPr>
      <w:r w:rsidRPr="00BA1504">
        <w:rPr>
          <w:rFonts w:eastAsiaTheme="minorHAnsi" w:cstheme="minorBidi"/>
          <w:b/>
          <w:szCs w:val="24"/>
          <w:lang w:eastAsia="en-US"/>
        </w:rPr>
        <w:t>United Food and Commercial Workers, Local 401</w:t>
      </w:r>
    </w:p>
    <w:p w:rsidR="00C11357" w:rsidRPr="00BA1504" w:rsidRDefault="00C11357" w:rsidP="00C11357">
      <w:pPr>
        <w:jc w:val="center"/>
        <w:rPr>
          <w:rFonts w:eastAsiaTheme="minorHAnsi" w:cstheme="minorBidi"/>
          <w:szCs w:val="24"/>
          <w:lang w:eastAsia="en-US"/>
        </w:rPr>
      </w:pPr>
      <w:r w:rsidRPr="00BA1504">
        <w:rPr>
          <w:rFonts w:eastAsiaTheme="minorHAnsi" w:cstheme="minorBidi"/>
          <w:szCs w:val="24"/>
          <w:lang w:eastAsia="en-US"/>
        </w:rPr>
        <w:t>Respondent</w:t>
      </w:r>
    </w:p>
    <w:p w:rsidR="00C11357" w:rsidRPr="00BA1504" w:rsidRDefault="00C11357" w:rsidP="00C11357">
      <w:pPr>
        <w:jc w:val="center"/>
        <w:rPr>
          <w:rFonts w:eastAsiaTheme="minorHAnsi" w:cstheme="minorBidi"/>
          <w:szCs w:val="24"/>
          <w:lang w:eastAsia="en-US"/>
        </w:rPr>
      </w:pPr>
      <w:r w:rsidRPr="00BA1504">
        <w:rPr>
          <w:rFonts w:eastAsiaTheme="minorHAnsi" w:cstheme="minorBidi"/>
          <w:szCs w:val="24"/>
          <w:lang w:eastAsia="en-US"/>
        </w:rPr>
        <w:t>- and -</w:t>
      </w:r>
    </w:p>
    <w:p w:rsidR="00C11357" w:rsidRPr="00BA1504" w:rsidRDefault="00C11357" w:rsidP="00C11357">
      <w:pPr>
        <w:jc w:val="center"/>
        <w:rPr>
          <w:rFonts w:eastAsiaTheme="minorHAnsi" w:cstheme="minorBidi"/>
          <w:b/>
          <w:szCs w:val="24"/>
          <w:lang w:eastAsia="en-US"/>
        </w:rPr>
      </w:pPr>
      <w:r w:rsidRPr="00BA1504">
        <w:rPr>
          <w:rFonts w:eastAsiaTheme="minorHAnsi" w:cstheme="minorBidi"/>
          <w:b/>
          <w:szCs w:val="24"/>
          <w:lang w:eastAsia="en-US"/>
        </w:rPr>
        <w:t>Attorney General of Canada, Attorney General of Ontario, Privacy Commissioner of Canada, Canadian Civil Liberties Association, British Columbia Civil Liberties Association, Information and Privacy Commissioner of Ontario, Coalition of British Columbia Businesses, Merit Canada, Information and Privacy Commissioner of British Columbia and Alberta Federation of Labour</w:t>
      </w:r>
    </w:p>
    <w:p w:rsidR="00C11357" w:rsidRPr="00BA1504" w:rsidRDefault="00C11357" w:rsidP="00C11357">
      <w:pPr>
        <w:jc w:val="center"/>
        <w:rPr>
          <w:rFonts w:eastAsiaTheme="minorHAnsi" w:cstheme="minorBidi"/>
          <w:szCs w:val="24"/>
          <w:lang w:eastAsia="en-US"/>
        </w:rPr>
      </w:pPr>
      <w:r w:rsidRPr="00BA1504">
        <w:rPr>
          <w:rFonts w:eastAsiaTheme="minorHAnsi" w:cstheme="minorBidi"/>
          <w:szCs w:val="24"/>
          <w:lang w:eastAsia="en-US"/>
        </w:rPr>
        <w:t>Interveners</w:t>
      </w:r>
    </w:p>
    <w:p w:rsidR="00C11357" w:rsidRPr="00BA1504" w:rsidRDefault="00C11357" w:rsidP="00C11357">
      <w:pPr>
        <w:rPr>
          <w:rFonts w:eastAsiaTheme="minorHAnsi" w:cstheme="minorBidi"/>
          <w:b/>
          <w:smallCaps/>
          <w:szCs w:val="24"/>
          <w:lang w:eastAsia="en-US"/>
        </w:rPr>
      </w:pPr>
    </w:p>
    <w:p w:rsidR="00C11357" w:rsidRPr="00BA1504" w:rsidRDefault="00C11357" w:rsidP="00C11357">
      <w:pPr>
        <w:rPr>
          <w:rFonts w:eastAsiaTheme="minorHAnsi" w:cstheme="minorBidi"/>
          <w:szCs w:val="24"/>
          <w:lang w:eastAsia="en-US"/>
        </w:rPr>
      </w:pPr>
      <w:r w:rsidRPr="00BA1504">
        <w:rPr>
          <w:rFonts w:eastAsiaTheme="minorHAnsi" w:cstheme="minorBidi"/>
          <w:b/>
          <w:smallCaps/>
          <w:szCs w:val="24"/>
          <w:lang w:eastAsia="en-US"/>
        </w:rPr>
        <w:t>Coram:</w:t>
      </w:r>
      <w:r w:rsidRPr="00BA1504">
        <w:rPr>
          <w:rFonts w:eastAsiaTheme="minorHAnsi" w:cstheme="minorBidi"/>
          <w:szCs w:val="24"/>
          <w:lang w:eastAsia="en-US"/>
        </w:rPr>
        <w:t xml:space="preserve"> McLachlin C.J. and LeBel, Fish, Abella, Rothstein, Cromwell, Moldaver, Karakatsanis and Wagner JJ.</w:t>
      </w:r>
    </w:p>
    <w:p w:rsidR="00C11357" w:rsidRPr="00BA1504" w:rsidRDefault="00C11357" w:rsidP="00C11357">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C11357" w:rsidRPr="00BA1504" w:rsidTr="00A91E19">
        <w:trPr>
          <w:cantSplit/>
        </w:trPr>
        <w:tc>
          <w:tcPr>
            <w:tcW w:w="3618" w:type="dxa"/>
          </w:tcPr>
          <w:p w:rsidR="00C11357" w:rsidRPr="00BA1504" w:rsidRDefault="0013141A" w:rsidP="00A91E19">
            <w:pPr>
              <w:rPr>
                <w:b/>
                <w:smallCaps/>
              </w:rPr>
            </w:pPr>
            <w:r>
              <w:rPr>
                <w:b/>
                <w:smallCaps/>
              </w:rPr>
              <w:t xml:space="preserve">Joint </w:t>
            </w:r>
            <w:r w:rsidR="00C11357" w:rsidRPr="00BA1504">
              <w:rPr>
                <w:b/>
                <w:smallCaps/>
              </w:rPr>
              <w:t>Reasons for Judgment:</w:t>
            </w:r>
          </w:p>
          <w:p w:rsidR="00C11357" w:rsidRPr="00BA1504" w:rsidRDefault="00C11357" w:rsidP="00A91E19">
            <w:r w:rsidRPr="00BA1504">
              <w:t>(paras. 1 to 42)</w:t>
            </w:r>
          </w:p>
        </w:tc>
        <w:tc>
          <w:tcPr>
            <w:tcW w:w="5958" w:type="dxa"/>
          </w:tcPr>
          <w:p w:rsidR="00C11357" w:rsidRPr="00BA1504" w:rsidRDefault="00C11357" w:rsidP="00A91E19">
            <w:r w:rsidRPr="00BA1504">
              <w:t>Abella and Cromwell JJ. (McLachlin C.J. and LeBel, Fish, Rothstein, Moldaver, Karakatsanis and Wagner JJ. concurring)</w:t>
            </w:r>
          </w:p>
        </w:tc>
      </w:tr>
    </w:tbl>
    <w:p w:rsidR="00C11357" w:rsidRPr="00BA1504" w:rsidRDefault="00C11357" w:rsidP="00C11357">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mso-position-horizontal-relative:text;mso-position-vertical-relative:text" o:connectortype="straight"/>
        </w:pict>
      </w:r>
    </w:p>
    <w:p w:rsidR="00C11357" w:rsidRDefault="00C11357" w:rsidP="00C11357">
      <w:pPr>
        <w:rPr>
          <w:smallCaps/>
        </w:rPr>
      </w:pPr>
      <w:r>
        <w:rPr>
          <w:smallCaps/>
        </w:rPr>
        <w:br w:type="page"/>
      </w:r>
    </w:p>
    <w:p w:rsidR="008322BD" w:rsidRPr="00A22CCF" w:rsidRDefault="00A22CCF" w:rsidP="00A90400">
      <w:pPr>
        <w:spacing w:after="720"/>
        <w:jc w:val="both"/>
        <w:rPr>
          <w:smallCaps/>
        </w:rPr>
      </w:pPr>
      <w:r w:rsidRPr="00A22CCF">
        <w:lastRenderedPageBreak/>
        <w:t xml:space="preserve">Alberta (Information and Privacy Commissioner) </w:t>
      </w:r>
      <w:r w:rsidRPr="00A22CCF">
        <w:rPr>
          <w:i/>
        </w:rPr>
        <w:t>v.</w:t>
      </w:r>
      <w:r w:rsidRPr="00A22CCF">
        <w:t xml:space="preserve"> United Food and Commercial Workers, Local 401</w:t>
      </w:r>
      <w:r>
        <w:t xml:space="preserve">, 2013 SCC 62, [2013] 3 S.C.R. </w:t>
      </w:r>
      <w:r w:rsidR="00D410C6">
        <w:t>733</w:t>
      </w:r>
    </w:p>
    <w:p w:rsidR="003E0231" w:rsidRPr="009E6B7F" w:rsidRDefault="00283327" w:rsidP="00A90400">
      <w:pPr>
        <w:pStyle w:val="SCCLsocLastPartyInRole"/>
      </w:pPr>
      <w:r w:rsidRPr="009E6B7F">
        <w:t>Information and Privacy Commissioner</w:t>
      </w:r>
      <w:r w:rsidR="00F822B4" w:rsidRPr="009E6B7F">
        <w:t xml:space="preserve"> of Alberta</w:t>
      </w:r>
      <w:r w:rsidRPr="009E6B7F">
        <w:rPr>
          <w:rStyle w:val="SCCLsocPartyRole"/>
        </w:rPr>
        <w:tab/>
        <w:t>Appellant</w:t>
      </w:r>
    </w:p>
    <w:p w:rsidR="003E0231" w:rsidRPr="009E6B7F" w:rsidRDefault="00283327" w:rsidP="00A90400">
      <w:pPr>
        <w:pStyle w:val="SCCLsocVersus"/>
      </w:pPr>
      <w:r w:rsidRPr="009E6B7F">
        <w:t>v.</w:t>
      </w:r>
    </w:p>
    <w:p w:rsidR="003E0231" w:rsidRPr="009E6B7F" w:rsidRDefault="00283327" w:rsidP="00A90400">
      <w:pPr>
        <w:pStyle w:val="SCCLsocLastPartyInRole"/>
      </w:pPr>
      <w:r w:rsidRPr="009E6B7F">
        <w:t>United Food and Commercial Workers, Local 401</w:t>
      </w:r>
      <w:r w:rsidRPr="009E6B7F">
        <w:rPr>
          <w:rStyle w:val="SCCLsocPartyRole"/>
        </w:rPr>
        <w:tab/>
        <w:t>Respondent</w:t>
      </w:r>
    </w:p>
    <w:p w:rsidR="003E0231" w:rsidRPr="009E6B7F" w:rsidRDefault="00060E2D" w:rsidP="00A90400">
      <w:pPr>
        <w:pStyle w:val="SCCLsocOtherPartySeparator"/>
      </w:pPr>
      <w:r w:rsidRPr="009E6B7F">
        <w:noBreakHyphen/>
      </w:r>
      <w:r w:rsidR="00776886" w:rsidRPr="009E6B7F">
        <w:t xml:space="preserve"> </w:t>
      </w:r>
      <w:r w:rsidR="00283327" w:rsidRPr="009E6B7F">
        <w:t>and</w:t>
      </w:r>
      <w:r w:rsidR="00776886" w:rsidRPr="009E6B7F">
        <w:t xml:space="preserve"> </w:t>
      </w:r>
      <w:r w:rsidRPr="009E6B7F">
        <w:noBreakHyphen/>
      </w:r>
    </w:p>
    <w:p w:rsidR="002F5D7E" w:rsidRPr="009E6B7F" w:rsidRDefault="002F5D7E" w:rsidP="00A90400">
      <w:pPr>
        <w:pStyle w:val="SCCLsocLastPartyInRole"/>
      </w:pPr>
      <w:r w:rsidRPr="009E6B7F">
        <w:t>Attorney General of Alberta</w:t>
      </w:r>
      <w:r w:rsidRPr="009E6B7F">
        <w:rPr>
          <w:rStyle w:val="SCCLsocPartyRole"/>
        </w:rPr>
        <w:tab/>
        <w:t>Appellant</w:t>
      </w:r>
    </w:p>
    <w:p w:rsidR="002F5D7E" w:rsidRPr="009E6B7F" w:rsidRDefault="002F5D7E" w:rsidP="00A90400">
      <w:pPr>
        <w:pStyle w:val="SCCLsocVersus"/>
      </w:pPr>
      <w:r w:rsidRPr="009E6B7F">
        <w:t>v.</w:t>
      </w:r>
    </w:p>
    <w:p w:rsidR="002F5D7E" w:rsidRPr="009E6B7F" w:rsidRDefault="002F5D7E" w:rsidP="00A90400">
      <w:pPr>
        <w:pStyle w:val="SCCLsocLastPartyInRole"/>
      </w:pPr>
      <w:r w:rsidRPr="009E6B7F">
        <w:t>United Food and Commercial Workers, Local 401</w:t>
      </w:r>
      <w:r w:rsidRPr="009E6B7F">
        <w:rPr>
          <w:rStyle w:val="SCCLsocPartyRole"/>
        </w:rPr>
        <w:tab/>
        <w:t>Respondent</w:t>
      </w:r>
    </w:p>
    <w:p w:rsidR="002F5D7E" w:rsidRPr="009E6B7F" w:rsidRDefault="002F5D7E" w:rsidP="00A90400">
      <w:pPr>
        <w:pStyle w:val="SCCLsocOtherPartySeparator"/>
      </w:pPr>
      <w:r w:rsidRPr="009E6B7F">
        <w:t>and</w:t>
      </w:r>
    </w:p>
    <w:p w:rsidR="003E0231" w:rsidRPr="009E6B7F" w:rsidRDefault="00283327" w:rsidP="00A90400">
      <w:pPr>
        <w:pStyle w:val="SCCLsocParty"/>
      </w:pPr>
      <w:r w:rsidRPr="009E6B7F">
        <w:t>Attorney General of Canada,</w:t>
      </w:r>
      <w:r w:rsidR="00684597" w:rsidRPr="009E6B7F">
        <w:t xml:space="preserve"> </w:t>
      </w:r>
      <w:r w:rsidRPr="009E6B7F">
        <w:t>Attorney General of Ontario,</w:t>
      </w:r>
      <w:r w:rsidR="00684597" w:rsidRPr="009E6B7F">
        <w:t xml:space="preserve"> </w:t>
      </w:r>
    </w:p>
    <w:p w:rsidR="00393824" w:rsidRPr="009E6B7F" w:rsidRDefault="00283327" w:rsidP="00A90400">
      <w:pPr>
        <w:pStyle w:val="SCCLsocParty"/>
      </w:pPr>
      <w:r w:rsidRPr="009E6B7F">
        <w:t>Privacy Commissioner of Canada,</w:t>
      </w:r>
      <w:r w:rsidR="00684597" w:rsidRPr="009E6B7F">
        <w:t xml:space="preserve"> </w:t>
      </w:r>
      <w:r w:rsidR="00393824" w:rsidRPr="009E6B7F">
        <w:t xml:space="preserve">Canadian Civil Liberties </w:t>
      </w:r>
    </w:p>
    <w:p w:rsidR="00393824" w:rsidRPr="009E6B7F" w:rsidRDefault="00393824" w:rsidP="00A90400">
      <w:pPr>
        <w:pStyle w:val="SCCLsocParty"/>
      </w:pPr>
      <w:r w:rsidRPr="009E6B7F">
        <w:t xml:space="preserve">Association, British Columbia Civil Liberties Association, </w:t>
      </w:r>
    </w:p>
    <w:p w:rsidR="00393824" w:rsidRPr="009E6B7F" w:rsidRDefault="00283327" w:rsidP="00A90400">
      <w:pPr>
        <w:pStyle w:val="SCCLsocParty"/>
      </w:pPr>
      <w:r w:rsidRPr="009E6B7F">
        <w:t>Information and Privacy Commissioner of Ontario,</w:t>
      </w:r>
      <w:r w:rsidR="00684597" w:rsidRPr="009E6B7F">
        <w:t xml:space="preserve"> </w:t>
      </w:r>
    </w:p>
    <w:p w:rsidR="00393824" w:rsidRPr="009E6B7F" w:rsidRDefault="00393824" w:rsidP="00A90400">
      <w:pPr>
        <w:pStyle w:val="SCCLsocParty"/>
      </w:pPr>
      <w:r w:rsidRPr="009E6B7F">
        <w:t>Coalition of British Columbia Businesses, Merit Canada,</w:t>
      </w:r>
    </w:p>
    <w:p w:rsidR="00393824" w:rsidRPr="009E6B7F" w:rsidRDefault="00C16CBB" w:rsidP="00A90400">
      <w:pPr>
        <w:pStyle w:val="SCCLsocParty"/>
      </w:pPr>
      <w:r w:rsidRPr="009E6B7F">
        <w:t xml:space="preserve">Information and Privacy Commissioner of British Columbia, </w:t>
      </w:r>
    </w:p>
    <w:p w:rsidR="003E0231" w:rsidRPr="009E6B7F" w:rsidRDefault="00684597" w:rsidP="00A90400">
      <w:pPr>
        <w:pStyle w:val="SCCLsocParty"/>
        <w:spacing w:after="720"/>
      </w:pPr>
      <w:r w:rsidRPr="009E6B7F">
        <w:t xml:space="preserve">and </w:t>
      </w:r>
      <w:r w:rsidR="00283327" w:rsidRPr="009E6B7F">
        <w:t>Alberta Federation of Labour</w:t>
      </w:r>
      <w:r w:rsidR="00283327" w:rsidRPr="009E6B7F">
        <w:rPr>
          <w:rStyle w:val="SCCLsocPartyRole"/>
        </w:rPr>
        <w:tab/>
        <w:t>Interveners</w:t>
      </w:r>
    </w:p>
    <w:p w:rsidR="00426659" w:rsidRPr="00CB682B" w:rsidRDefault="00426659" w:rsidP="00CB682B">
      <w:pPr>
        <w:spacing w:after="720"/>
        <w:jc w:val="both"/>
        <w:rPr>
          <w:b/>
        </w:rPr>
      </w:pPr>
      <w:r w:rsidRPr="009E6B7F">
        <w:rPr>
          <w:b/>
        </w:rPr>
        <w:t xml:space="preserve">Indexed as: </w:t>
      </w:r>
      <w:r w:rsidR="00684597" w:rsidRPr="009E6B7F">
        <w:rPr>
          <w:b/>
        </w:rPr>
        <w:t xml:space="preserve"> Alberta (</w:t>
      </w:r>
      <w:r w:rsidRPr="00CB682B">
        <w:rPr>
          <w:b/>
        </w:rPr>
        <w:t>Information and Pri</w:t>
      </w:r>
      <w:r w:rsidR="00684597" w:rsidRPr="00CB682B">
        <w:rPr>
          <w:b/>
        </w:rPr>
        <w:t>vacy Commissioner)</w:t>
      </w:r>
      <w:r w:rsidRPr="009E6B7F">
        <w:rPr>
          <w:b/>
        </w:rPr>
        <w:t xml:space="preserve"> </w:t>
      </w:r>
      <w:r w:rsidRPr="009E6B7F">
        <w:rPr>
          <w:b/>
          <w:i/>
        </w:rPr>
        <w:t>v.</w:t>
      </w:r>
      <w:r w:rsidRPr="009E6B7F">
        <w:rPr>
          <w:b/>
        </w:rPr>
        <w:t xml:space="preserve"> </w:t>
      </w:r>
      <w:r w:rsidRPr="00CB682B">
        <w:rPr>
          <w:b/>
        </w:rPr>
        <w:t>United Food and Com</w:t>
      </w:r>
      <w:r w:rsidR="00684597" w:rsidRPr="00CB682B">
        <w:rPr>
          <w:b/>
        </w:rPr>
        <w:t>mercial Workers, Local 401</w:t>
      </w:r>
    </w:p>
    <w:p w:rsidR="00426659" w:rsidRPr="009E6B7F" w:rsidRDefault="004F36FF" w:rsidP="00CB682B">
      <w:pPr>
        <w:pStyle w:val="SCCSystemYear"/>
        <w:spacing w:after="720"/>
        <w:jc w:val="both"/>
      </w:pPr>
      <w:r w:rsidRPr="009E6B7F">
        <w:lastRenderedPageBreak/>
        <w:t>2013</w:t>
      </w:r>
      <w:r w:rsidR="003D0399" w:rsidRPr="009E6B7F">
        <w:t xml:space="preserve"> </w:t>
      </w:r>
      <w:r w:rsidR="00426659" w:rsidRPr="009E6B7F">
        <w:t>SCC </w:t>
      </w:r>
      <w:r w:rsidR="00281E5E" w:rsidRPr="009E6B7F">
        <w:t>62</w:t>
      </w:r>
    </w:p>
    <w:p w:rsidR="008322BD" w:rsidRPr="009E6B7F" w:rsidRDefault="009B57B3" w:rsidP="00CB682B">
      <w:pPr>
        <w:spacing w:after="720"/>
        <w:jc w:val="both"/>
      </w:pPr>
      <w:r w:rsidRPr="009E6B7F">
        <w:t>File No.:  34890.</w:t>
      </w:r>
    </w:p>
    <w:p w:rsidR="008322BD" w:rsidRPr="009E6B7F" w:rsidRDefault="00060E2D" w:rsidP="001F4810">
      <w:pPr>
        <w:spacing w:after="720" w:line="480" w:lineRule="auto"/>
        <w:jc w:val="both"/>
      </w:pPr>
      <w:r w:rsidRPr="009E6B7F">
        <w:t>2013:  June </w:t>
      </w:r>
      <w:r w:rsidR="004F36FF" w:rsidRPr="009E6B7F">
        <w:t>11</w:t>
      </w:r>
      <w:r w:rsidR="009B57B3" w:rsidRPr="009E6B7F">
        <w:t xml:space="preserve">; </w:t>
      </w:r>
      <w:r w:rsidRPr="009E6B7F">
        <w:t>2013:  November </w:t>
      </w:r>
      <w:r w:rsidR="008A3D34" w:rsidRPr="009E6B7F">
        <w:t>1</w:t>
      </w:r>
      <w:r w:rsidR="00C702F8" w:rsidRPr="009E6B7F">
        <w:t>5</w:t>
      </w:r>
      <w:r w:rsidR="009B57B3" w:rsidRPr="009E6B7F">
        <w:t>.</w:t>
      </w:r>
    </w:p>
    <w:p w:rsidR="008322BD" w:rsidRPr="009E6B7F" w:rsidRDefault="009B57B3" w:rsidP="00A90400">
      <w:pPr>
        <w:spacing w:after="720"/>
        <w:jc w:val="both"/>
      </w:pPr>
      <w:r w:rsidRPr="009E6B7F">
        <w:t>Present:  McLachlin C.J. and LeBel, Fish, Abella, Rothstein, Cromwell, Moldaver, Karakatsanis and Wagner JJ.</w:t>
      </w:r>
    </w:p>
    <w:p w:rsidR="008322BD" w:rsidRPr="009E6B7F" w:rsidRDefault="00656313" w:rsidP="00A90400">
      <w:pPr>
        <w:pStyle w:val="SCCLowerCourtNameLowercase"/>
        <w:spacing w:after="720" w:line="240" w:lineRule="auto"/>
      </w:pPr>
      <w:r w:rsidRPr="009E6B7F">
        <w:t>o</w:t>
      </w:r>
      <w:r w:rsidR="00170592" w:rsidRPr="009E6B7F">
        <w:t>n</w:t>
      </w:r>
      <w:r w:rsidR="00224FC0" w:rsidRPr="009E6B7F">
        <w:t xml:space="preserve"> </w:t>
      </w:r>
      <w:r w:rsidRPr="009E6B7F">
        <w:t>a</w:t>
      </w:r>
      <w:r w:rsidR="00170592" w:rsidRPr="009E6B7F">
        <w:t>ppeal</w:t>
      </w:r>
      <w:r w:rsidR="00224FC0" w:rsidRPr="009E6B7F">
        <w:t xml:space="preserve"> </w:t>
      </w:r>
      <w:r w:rsidR="00170592" w:rsidRPr="009E6B7F">
        <w:t>from</w:t>
      </w:r>
      <w:r w:rsidR="009567AA" w:rsidRPr="009E6B7F">
        <w:t xml:space="preserve"> the</w:t>
      </w:r>
      <w:r w:rsidR="00224FC0" w:rsidRPr="009E6B7F">
        <w:t xml:space="preserve"> </w:t>
      </w:r>
      <w:r w:rsidR="00684597" w:rsidRPr="009E6B7F">
        <w:t xml:space="preserve">court of appeal </w:t>
      </w:r>
      <w:r w:rsidR="009B57B3" w:rsidRPr="009E6B7F">
        <w:t>f</w:t>
      </w:r>
      <w:r w:rsidR="00684597" w:rsidRPr="009E6B7F">
        <w:t>or</w:t>
      </w:r>
      <w:r w:rsidR="009B57B3" w:rsidRPr="009E6B7F">
        <w:t xml:space="preserve"> alberta</w:t>
      </w:r>
    </w:p>
    <w:p w:rsidR="00232A63" w:rsidRPr="005969AB" w:rsidRDefault="009B57B3" w:rsidP="00A90400">
      <w:pPr>
        <w:pStyle w:val="SCCNormalDoubleSpacing"/>
        <w:spacing w:before="480" w:after="480"/>
        <w:rPr>
          <w:i/>
          <w:iCs/>
        </w:rPr>
      </w:pPr>
      <w:r w:rsidRPr="009E6B7F">
        <w:tab/>
      </w:r>
      <w:r w:rsidR="00232A63" w:rsidRPr="009E6B7F">
        <w:rPr>
          <w:i/>
          <w:iCs/>
        </w:rPr>
        <w:t>Constitutional law — Charter of</w:t>
      </w:r>
      <w:r w:rsidR="005969AB">
        <w:rPr>
          <w:i/>
          <w:iCs/>
        </w:rPr>
        <w:t xml:space="preserve"> r</w:t>
      </w:r>
      <w:r w:rsidR="00060E2D" w:rsidRPr="009E6B7F">
        <w:rPr>
          <w:i/>
          <w:iCs/>
        </w:rPr>
        <w:t>ights — Freedom of expression</w:t>
      </w:r>
      <w:r w:rsidR="00232A63" w:rsidRPr="009E6B7F">
        <w:rPr>
          <w:i/>
          <w:iCs/>
        </w:rPr>
        <w:t xml:space="preserve"> — Labour relations — Privacy — Union </w:t>
      </w:r>
      <w:r w:rsidR="00060E2D" w:rsidRPr="009E6B7F">
        <w:rPr>
          <w:i/>
          <w:iCs/>
        </w:rPr>
        <w:t>video</w:t>
      </w:r>
      <w:r w:rsidR="00060E2D" w:rsidRPr="009E6B7F">
        <w:rPr>
          <w:i/>
          <w:iCs/>
        </w:rPr>
        <w:noBreakHyphen/>
        <w:t xml:space="preserve">taping and photographing </w:t>
      </w:r>
      <w:r w:rsidR="00232A63" w:rsidRPr="009E6B7F">
        <w:rPr>
          <w:i/>
          <w:iCs/>
        </w:rPr>
        <w:t>individuals crossing its picket line for use in its labour dispute — Whether legislation restricting the collection, use and disclosure of personal information violates un</w:t>
      </w:r>
      <w:r w:rsidR="00060E2D" w:rsidRPr="009E6B7F">
        <w:rPr>
          <w:i/>
          <w:iCs/>
        </w:rPr>
        <w:t>ion’s expressive right under s. </w:t>
      </w:r>
      <w:r w:rsidR="00232A63" w:rsidRPr="009E6B7F">
        <w:rPr>
          <w:i/>
          <w:iCs/>
        </w:rPr>
        <w:t>2(b) of Charter and, if so, whether violation is justified — Canadian Char</w:t>
      </w:r>
      <w:r w:rsidR="00060E2D" w:rsidRPr="009E6B7F">
        <w:rPr>
          <w:i/>
          <w:iCs/>
        </w:rPr>
        <w:t>ter of Rights and Freedoms, ss. </w:t>
      </w:r>
      <w:r w:rsidR="00232A63" w:rsidRPr="009E6B7F">
        <w:rPr>
          <w:i/>
          <w:iCs/>
        </w:rPr>
        <w:t>1, 2(b) — Personal Informatio</w:t>
      </w:r>
      <w:r w:rsidR="00060E2D" w:rsidRPr="009E6B7F">
        <w:rPr>
          <w:i/>
          <w:iCs/>
        </w:rPr>
        <w:t>n Protection Act, S.A. 2003, c. </w:t>
      </w:r>
      <w:r w:rsidR="00232A63" w:rsidRPr="009E6B7F">
        <w:rPr>
          <w:i/>
          <w:iCs/>
        </w:rPr>
        <w:t>P</w:t>
      </w:r>
      <w:r w:rsidR="00060E2D" w:rsidRPr="009E6B7F">
        <w:rPr>
          <w:i/>
          <w:iCs/>
        </w:rPr>
        <w:noBreakHyphen/>
      </w:r>
      <w:r w:rsidR="00232A63" w:rsidRPr="009E6B7F">
        <w:rPr>
          <w:i/>
          <w:iCs/>
        </w:rPr>
        <w:t>6.5</w:t>
      </w:r>
      <w:r w:rsidR="00232A63" w:rsidRPr="009E6B7F">
        <w:rPr>
          <w:i/>
        </w:rPr>
        <w:t xml:space="preserve"> </w:t>
      </w:r>
      <w:r w:rsidR="00060E2D" w:rsidRPr="009E6B7F">
        <w:rPr>
          <w:i/>
          <w:iCs/>
        </w:rPr>
        <w:t xml:space="preserve">— </w:t>
      </w:r>
      <w:r w:rsidR="00232A63" w:rsidRPr="009E6B7F">
        <w:rPr>
          <w:i/>
        </w:rPr>
        <w:t>Personal Information Protection Act Regulation</w:t>
      </w:r>
      <w:r w:rsidR="00232A63" w:rsidRPr="005969AB">
        <w:rPr>
          <w:i/>
        </w:rPr>
        <w:t>, Alta</w:t>
      </w:r>
      <w:r w:rsidR="005969AB">
        <w:rPr>
          <w:i/>
        </w:rPr>
        <w:t>.</w:t>
      </w:r>
      <w:r w:rsidR="00232A63" w:rsidRPr="005969AB">
        <w:rPr>
          <w:i/>
        </w:rPr>
        <w:t xml:space="preserve"> Reg. 366/2003.</w:t>
      </w:r>
    </w:p>
    <w:p w:rsidR="00232A63" w:rsidRPr="009E6B7F" w:rsidRDefault="00060E2D" w:rsidP="00A90400">
      <w:pPr>
        <w:pStyle w:val="SCCNormalDoubleSpacing"/>
        <w:spacing w:before="480" w:after="480"/>
      </w:pPr>
      <w:r w:rsidRPr="009E6B7F">
        <w:tab/>
      </w:r>
      <w:r w:rsidR="00232A63" w:rsidRPr="009E6B7F">
        <w:t>Dur</w:t>
      </w:r>
      <w:r w:rsidR="0017174E" w:rsidRPr="009E6B7F">
        <w:t>ing a lawful strike lasting 305 </w:t>
      </w:r>
      <w:r w:rsidR="00232A63" w:rsidRPr="009E6B7F">
        <w:t>days, both the Union and the employer video</w:t>
      </w:r>
      <w:r w:rsidRPr="009E6B7F">
        <w:noBreakHyphen/>
      </w:r>
      <w:r w:rsidR="00232A63" w:rsidRPr="009E6B7F">
        <w:t>taped and photographed individuals crossing the picketline.  The Union posted signs in the area of the picketing stating that images of persons crossing the picketline</w:t>
      </w:r>
      <w:r w:rsidR="00232A63" w:rsidRPr="009E6B7F">
        <w:rPr>
          <w:b/>
        </w:rPr>
        <w:t xml:space="preserve"> </w:t>
      </w:r>
      <w:r w:rsidR="00232A63" w:rsidRPr="009E6B7F">
        <w:t>might be placed on a website.</w:t>
      </w:r>
      <w:r w:rsidR="00A85CEC" w:rsidRPr="009E6B7F">
        <w:t xml:space="preserve">  </w:t>
      </w:r>
      <w:r w:rsidR="00232A63" w:rsidRPr="009E6B7F">
        <w:t xml:space="preserve">Several individuals who were recorded crossing the </w:t>
      </w:r>
      <w:r w:rsidR="00232A63" w:rsidRPr="009E6B7F">
        <w:lastRenderedPageBreak/>
        <w:t>picketline filed complaints with the Alberta Information and Privacy Commissioner</w:t>
      </w:r>
      <w:r w:rsidR="00232A63" w:rsidRPr="009E6B7F">
        <w:rPr>
          <w:iCs/>
        </w:rPr>
        <w:t>.</w:t>
      </w:r>
      <w:r w:rsidR="00A85CEC" w:rsidRPr="009E6B7F">
        <w:rPr>
          <w:iCs/>
        </w:rPr>
        <w:t xml:space="preserve">  </w:t>
      </w:r>
      <w:r w:rsidR="00232A63" w:rsidRPr="009E6B7F">
        <w:t xml:space="preserve">The Commissioner appointed an Adjudicator to decide whether the Union had contravened the </w:t>
      </w:r>
      <w:r w:rsidR="00232A63" w:rsidRPr="009E6B7F">
        <w:rPr>
          <w:i/>
          <w:iCs/>
        </w:rPr>
        <w:t>Personal Information Protection Act</w:t>
      </w:r>
      <w:r w:rsidR="00232A63" w:rsidRPr="009E6B7F">
        <w:rPr>
          <w:iCs/>
        </w:rPr>
        <w:t xml:space="preserve"> (</w:t>
      </w:r>
      <w:r w:rsidR="00232A63" w:rsidRPr="009E6B7F">
        <w:rPr>
          <w:i/>
          <w:iCs/>
        </w:rPr>
        <w:t>PIPA</w:t>
      </w:r>
      <w:r w:rsidR="00232A63" w:rsidRPr="009E6B7F">
        <w:rPr>
          <w:iCs/>
        </w:rPr>
        <w:t>)</w:t>
      </w:r>
      <w:r w:rsidR="00232A63" w:rsidRPr="009E6B7F">
        <w:t xml:space="preserve">.  The Adjudicator </w:t>
      </w:r>
      <w:r w:rsidR="00232A63" w:rsidRPr="009E6B7F">
        <w:rPr>
          <w:szCs w:val="24"/>
        </w:rPr>
        <w:t xml:space="preserve">concluded that the Union’s collection, use and disclosure of the information was not authorized by </w:t>
      </w:r>
      <w:r w:rsidR="00232A63" w:rsidRPr="009E6B7F">
        <w:rPr>
          <w:i/>
          <w:szCs w:val="24"/>
        </w:rPr>
        <w:t>PIPA</w:t>
      </w:r>
      <w:r w:rsidR="00232A63" w:rsidRPr="009E6B7F">
        <w:rPr>
          <w:szCs w:val="24"/>
        </w:rPr>
        <w:t>.</w:t>
      </w:r>
      <w:r w:rsidR="00A85CEC" w:rsidRPr="009E6B7F">
        <w:rPr>
          <w:szCs w:val="24"/>
        </w:rPr>
        <w:t xml:space="preserve">  </w:t>
      </w:r>
      <w:r w:rsidR="00232A63" w:rsidRPr="009E6B7F">
        <w:t xml:space="preserve">On judicial review, </w:t>
      </w:r>
      <w:r w:rsidR="00232A63" w:rsidRPr="009E6B7F">
        <w:rPr>
          <w:i/>
        </w:rPr>
        <w:t xml:space="preserve">PIPA </w:t>
      </w:r>
      <w:r w:rsidR="00232A63" w:rsidRPr="009E6B7F">
        <w:t>was found to viol</w:t>
      </w:r>
      <w:r w:rsidRPr="009E6B7F">
        <w:t>ate the Union’s rights under s. </w:t>
      </w:r>
      <w:r w:rsidR="00232A63" w:rsidRPr="009E6B7F">
        <w:t>2(</w:t>
      </w:r>
      <w:r w:rsidR="00232A63" w:rsidRPr="009E6B7F">
        <w:rPr>
          <w:i/>
        </w:rPr>
        <w:t>b</w:t>
      </w:r>
      <w:r w:rsidR="00232A63" w:rsidRPr="009E6B7F">
        <w:t xml:space="preserve">) of the </w:t>
      </w:r>
      <w:r w:rsidR="00232A63" w:rsidRPr="009E6B7F">
        <w:rPr>
          <w:i/>
        </w:rPr>
        <w:t>Charter</w:t>
      </w:r>
      <w:r w:rsidR="00232A63" w:rsidRPr="009E6B7F">
        <w:t>.</w:t>
      </w:r>
      <w:r w:rsidR="00A85CEC" w:rsidRPr="009E6B7F">
        <w:t xml:space="preserve">  </w:t>
      </w:r>
      <w:r w:rsidR="00232A63" w:rsidRPr="009E6B7F">
        <w:t xml:space="preserve">The Court of Appeal agreed and granted the Union a constitutional exemption from the application of </w:t>
      </w:r>
      <w:r w:rsidR="00232A63" w:rsidRPr="009E6B7F">
        <w:rPr>
          <w:i/>
        </w:rPr>
        <w:t>PIPA</w:t>
      </w:r>
      <w:r w:rsidR="00232A63" w:rsidRPr="009E6B7F">
        <w:t xml:space="preserve">.  </w:t>
      </w:r>
    </w:p>
    <w:p w:rsidR="00232A63" w:rsidRPr="009E6B7F" w:rsidRDefault="00060E2D" w:rsidP="00A90400">
      <w:pPr>
        <w:pStyle w:val="SCCNormalDoubleSpacing"/>
        <w:spacing w:before="480" w:after="480"/>
      </w:pPr>
      <w:r w:rsidRPr="009E6B7F">
        <w:rPr>
          <w:i/>
        </w:rPr>
        <w:tab/>
      </w:r>
      <w:r w:rsidR="00232A63" w:rsidRPr="009E6B7F">
        <w:rPr>
          <w:i/>
        </w:rPr>
        <w:t>Held</w:t>
      </w:r>
      <w:r w:rsidR="00232A63" w:rsidRPr="00212B8A">
        <w:t xml:space="preserve">: </w:t>
      </w:r>
      <w:r w:rsidRPr="009E6B7F">
        <w:rPr>
          <w:i/>
        </w:rPr>
        <w:t xml:space="preserve"> </w:t>
      </w:r>
      <w:r w:rsidR="00232A63" w:rsidRPr="009E6B7F">
        <w:t>The appeal is substantially dismissed.</w:t>
      </w:r>
    </w:p>
    <w:p w:rsidR="00232A63" w:rsidRPr="009E6B7F" w:rsidRDefault="00232A63" w:rsidP="00A90400">
      <w:pPr>
        <w:pStyle w:val="SCCNormalDoubleSpacing"/>
        <w:spacing w:before="480" w:after="480"/>
      </w:pPr>
      <w:r w:rsidRPr="009E6B7F">
        <w:rPr>
          <w:i/>
        </w:rPr>
        <w:tab/>
        <w:t>PIPA</w:t>
      </w:r>
      <w:r w:rsidRPr="009E6B7F">
        <w:t xml:space="preserve"> establishes a general rule that organizations cannot collect, use or disclose personal information without consent.</w:t>
      </w:r>
      <w:r w:rsidR="00A85CEC" w:rsidRPr="009E6B7F">
        <w:t xml:space="preserve">  </w:t>
      </w:r>
      <w:r w:rsidRPr="009E6B7F">
        <w:t xml:space="preserve">None of </w:t>
      </w:r>
      <w:r w:rsidRPr="009E6B7F">
        <w:rPr>
          <w:i/>
        </w:rPr>
        <w:t>PIPA</w:t>
      </w:r>
      <w:r w:rsidRPr="00212B8A">
        <w:t xml:space="preserve">’s </w:t>
      </w:r>
      <w:r w:rsidRPr="009E6B7F">
        <w:t>exemptions permit the Union to collect, use and disclose personal information for the purpose of advancing its interests in a labour dispute.</w:t>
      </w:r>
      <w:r w:rsidR="00A85CEC" w:rsidRPr="009E6B7F">
        <w:t xml:space="preserve">  </w:t>
      </w:r>
      <w:r w:rsidRPr="009E6B7F">
        <w:t xml:space="preserve">The central issue is whether </w:t>
      </w:r>
      <w:r w:rsidRPr="009E6B7F">
        <w:rPr>
          <w:i/>
        </w:rPr>
        <w:t>PIPA</w:t>
      </w:r>
      <w:r w:rsidRPr="009E6B7F">
        <w:t xml:space="preserve"> achieves a constitutionally acceptable balance between the interests of individuals in controlling the collection, use and disclosure of their personal information and a union’s freedom of expression.</w:t>
      </w:r>
      <w:r w:rsidR="00A85CEC" w:rsidRPr="009E6B7F">
        <w:t xml:space="preserve">  </w:t>
      </w:r>
      <w:r w:rsidRPr="009E6B7F">
        <w:t xml:space="preserve">To the extent that </w:t>
      </w:r>
      <w:r w:rsidRPr="009E6B7F">
        <w:rPr>
          <w:i/>
        </w:rPr>
        <w:t xml:space="preserve">PIPA </w:t>
      </w:r>
      <w:r w:rsidRPr="009E6B7F">
        <w:t xml:space="preserve">restricts collection for legitimate labour relations </w:t>
      </w:r>
      <w:r w:rsidR="00060E2D" w:rsidRPr="009E6B7F">
        <w:t>purposes, it is in breach of s. </w:t>
      </w:r>
      <w:r w:rsidRPr="009E6B7F">
        <w:t>2(</w:t>
      </w:r>
      <w:r w:rsidRPr="009E6B7F">
        <w:rPr>
          <w:i/>
        </w:rPr>
        <w:t>b</w:t>
      </w:r>
      <w:r w:rsidRPr="009E6B7F">
        <w:t xml:space="preserve">) of the </w:t>
      </w:r>
      <w:r w:rsidRPr="009E6B7F">
        <w:rPr>
          <w:i/>
        </w:rPr>
        <w:t xml:space="preserve">Charter </w:t>
      </w:r>
      <w:r w:rsidRPr="009E6B7F">
        <w:t>and cannot be justified under s.</w:t>
      </w:r>
      <w:r w:rsidR="00060E2D" w:rsidRPr="009E6B7F">
        <w:t> </w:t>
      </w:r>
      <w:r w:rsidRPr="009E6B7F">
        <w:t xml:space="preserve">1.  </w:t>
      </w:r>
    </w:p>
    <w:p w:rsidR="00232A63" w:rsidRPr="009E6B7F" w:rsidRDefault="00060E2D" w:rsidP="00A90400">
      <w:pPr>
        <w:pStyle w:val="SCCNormalDoubleSpacing"/>
        <w:spacing w:before="480" w:after="480"/>
      </w:pPr>
      <w:r w:rsidRPr="009E6B7F">
        <w:tab/>
      </w:r>
      <w:r w:rsidR="00232A63" w:rsidRPr="009E6B7F">
        <w:t xml:space="preserve">The purpose of </w:t>
      </w:r>
      <w:r w:rsidR="00232A63" w:rsidRPr="009E6B7F">
        <w:rPr>
          <w:i/>
        </w:rPr>
        <w:t>PIPA</w:t>
      </w:r>
      <w:r w:rsidR="00232A63" w:rsidRPr="009E6B7F">
        <w:t xml:space="preserve"> is to enhance an individual’s control over his or her personal information by restricting the collection, use and disclosure of personal information without that individual’s consent.</w:t>
      </w:r>
      <w:r w:rsidR="00A85CEC" w:rsidRPr="009E6B7F">
        <w:t xml:space="preserve">  </w:t>
      </w:r>
      <w:r w:rsidR="00232A63" w:rsidRPr="009E6B7F">
        <w:t xml:space="preserve">The objective of providing an </w:t>
      </w:r>
      <w:r w:rsidR="00232A63" w:rsidRPr="009E6B7F">
        <w:lastRenderedPageBreak/>
        <w:t>individual with this measure of control is intimately connected to individual autonomy, dignity and privacy, self</w:t>
      </w:r>
      <w:r w:rsidRPr="009E6B7F">
        <w:noBreakHyphen/>
      </w:r>
      <w:r w:rsidR="00232A63" w:rsidRPr="009E6B7F">
        <w:t xml:space="preserve">evidently significant social values.  </w:t>
      </w:r>
    </w:p>
    <w:p w:rsidR="00232A63" w:rsidRPr="009E6B7F" w:rsidRDefault="00060E2D" w:rsidP="00A90400">
      <w:pPr>
        <w:pStyle w:val="SCCNormalDoubleSpacing"/>
        <w:spacing w:before="480" w:after="480"/>
      </w:pPr>
      <w:r w:rsidRPr="009E6B7F">
        <w:tab/>
      </w:r>
      <w:r w:rsidR="00232A63" w:rsidRPr="009E6B7F">
        <w:t xml:space="preserve">But the </w:t>
      </w:r>
      <w:r w:rsidR="00232A63" w:rsidRPr="009E6B7F">
        <w:rPr>
          <w:i/>
        </w:rPr>
        <w:t xml:space="preserve">Act </w:t>
      </w:r>
      <w:r w:rsidR="00232A63" w:rsidRPr="009E6B7F">
        <w:t>does not include any mechanisms by which a union’s constitutional right to freedom of expression may be balanced with the interests protected by the legislation.</w:t>
      </w:r>
      <w:r w:rsidR="00A85CEC" w:rsidRPr="009E6B7F">
        <w:t xml:space="preserve">  </w:t>
      </w:r>
      <w:r w:rsidR="00232A63" w:rsidRPr="009E6B7F">
        <w:t>This Court has long recognized the fundamental importance of freedom of expression in the context of labour disputes.</w:t>
      </w:r>
      <w:r w:rsidRPr="009E6B7F">
        <w:t xml:space="preserve"> </w:t>
      </w:r>
      <w:r w:rsidR="00232A63" w:rsidRPr="009E6B7F">
        <w:rPr>
          <w:i/>
        </w:rPr>
        <w:t xml:space="preserve"> PIPA</w:t>
      </w:r>
      <w:r w:rsidR="00232A63" w:rsidRPr="009E6B7F">
        <w:t xml:space="preserve"> prohibits the collection, use, or disclosure of personal information for many legitimate, expressive purposes related to labour relations.</w:t>
      </w:r>
      <w:r w:rsidR="00A85CEC" w:rsidRPr="009E6B7F">
        <w:t xml:space="preserve">  </w:t>
      </w:r>
      <w:r w:rsidR="00232A63" w:rsidRPr="009E6B7F">
        <w:t>Picketing represents a particularly crucial form of expression with strong historical roots.</w:t>
      </w:r>
      <w:r w:rsidR="00A85CEC" w:rsidRPr="009E6B7F">
        <w:t xml:space="preserve">  </w:t>
      </w:r>
      <w:r w:rsidR="00232A63" w:rsidRPr="009E6B7F">
        <w:rPr>
          <w:i/>
        </w:rPr>
        <w:t>PIPA</w:t>
      </w:r>
      <w:r w:rsidR="00232A63" w:rsidRPr="009E6B7F">
        <w:t xml:space="preserve"> imposes r</w:t>
      </w:r>
      <w:r w:rsidR="00232A63" w:rsidRPr="009E6B7F">
        <w:rPr>
          <w:szCs w:val="24"/>
        </w:rPr>
        <w:t>estrictions on a union’s ability to communicate and persuade the public of its cause, impairing its ability to use one of its most effective bargaining strategies in the course of a lawful strike.  This infringement of the right to freedom of expression is disproportionate to the government’s objective of providing individuals with control over the personal information that t</w:t>
      </w:r>
      <w:r w:rsidR="00212B8A">
        <w:rPr>
          <w:szCs w:val="24"/>
        </w:rPr>
        <w:t>hey expose by crossing a picket</w:t>
      </w:r>
      <w:r w:rsidR="00232A63" w:rsidRPr="009E6B7F">
        <w:rPr>
          <w:szCs w:val="24"/>
        </w:rPr>
        <w:t>line.</w:t>
      </w:r>
      <w:r w:rsidR="00232A63" w:rsidRPr="009E6B7F">
        <w:t xml:space="preserve">  It is t</w:t>
      </w:r>
      <w:r w:rsidRPr="009E6B7F">
        <w:t>herefore not justified under s. </w:t>
      </w:r>
      <w:r w:rsidR="00232A63" w:rsidRPr="009E6B7F">
        <w:t xml:space="preserve">1 of the </w:t>
      </w:r>
      <w:r w:rsidR="00232A63" w:rsidRPr="009E6B7F">
        <w:rPr>
          <w:i/>
        </w:rPr>
        <w:t>Charter</w:t>
      </w:r>
      <w:r w:rsidR="00232A63" w:rsidRPr="009E6B7F">
        <w:t>.</w:t>
      </w:r>
    </w:p>
    <w:p w:rsidR="008A3D34" w:rsidRPr="009E6B7F" w:rsidRDefault="00060E2D" w:rsidP="00A90400">
      <w:pPr>
        <w:pStyle w:val="SCCNormalDoubleSpacing"/>
        <w:spacing w:before="480" w:after="480"/>
      </w:pPr>
      <w:r w:rsidRPr="009E6B7F">
        <w:tab/>
      </w:r>
      <w:r w:rsidR="00232A63" w:rsidRPr="009E6B7F">
        <w:t xml:space="preserve">Given the comprehensive and integrated structure of the statute, the Government of Alberta and the Information and Privacy Commissioner requested that the Court not select specific amendments, requesting instead that the entire statute be declared invalid so that the legislature can consider the </w:t>
      </w:r>
      <w:r w:rsidR="00232A63" w:rsidRPr="009E6B7F">
        <w:rPr>
          <w:i/>
        </w:rPr>
        <w:t>Act</w:t>
      </w:r>
      <w:r w:rsidR="00232A63" w:rsidRPr="009E6B7F">
        <w:t xml:space="preserve"> as a whole.</w:t>
      </w:r>
      <w:r w:rsidRPr="009E6B7F">
        <w:t xml:space="preserve"> </w:t>
      </w:r>
      <w:r w:rsidR="00232A63" w:rsidRPr="009E6B7F">
        <w:t xml:space="preserve"> The declaration of invalidity is therefore granted but </w:t>
      </w:r>
      <w:r w:rsidRPr="009E6B7F">
        <w:t xml:space="preserve">is suspended for a period of </w:t>
      </w:r>
      <w:r w:rsidRPr="009E6B7F">
        <w:lastRenderedPageBreak/>
        <w:t>12 </w:t>
      </w:r>
      <w:r w:rsidR="00232A63" w:rsidRPr="009E6B7F">
        <w:t>months to give the legislature the opportunity to decide how best to make the legislation constitutionally compliant.</w:t>
      </w:r>
    </w:p>
    <w:p w:rsidR="007E1C47" w:rsidRPr="009E6B7F" w:rsidRDefault="002E6705" w:rsidP="00A90400">
      <w:pPr>
        <w:pStyle w:val="SCCNormalDoubleSpacing"/>
        <w:keepNext/>
        <w:spacing w:after="720" w:line="360" w:lineRule="auto"/>
        <w:rPr>
          <w:b/>
        </w:rPr>
      </w:pPr>
      <w:r w:rsidRPr="009E6B7F">
        <w:rPr>
          <w:b/>
        </w:rPr>
        <w:t>Cases Cited</w:t>
      </w:r>
    </w:p>
    <w:p w:rsidR="004E2C26" w:rsidRPr="009E6B7F" w:rsidRDefault="002E6705" w:rsidP="00A90400">
      <w:pPr>
        <w:pStyle w:val="SCCNormalDoubleSpacing"/>
        <w:spacing w:after="480"/>
      </w:pPr>
      <w:r w:rsidRPr="009E6B7F">
        <w:tab/>
      </w:r>
      <w:r w:rsidRPr="009E6B7F">
        <w:rPr>
          <w:b/>
        </w:rPr>
        <w:t>Referred to:</w:t>
      </w:r>
      <w:r w:rsidR="00BD0E9E" w:rsidRPr="009E6B7F">
        <w:t xml:space="preserve"> </w:t>
      </w:r>
      <w:r w:rsidR="00501A9D" w:rsidRPr="009E6B7F">
        <w:t xml:space="preserve"> </w:t>
      </w:r>
      <w:r w:rsidR="00501A9D" w:rsidRPr="009E6B7F">
        <w:rPr>
          <w:i/>
        </w:rPr>
        <w:t>Order P2010</w:t>
      </w:r>
      <w:r w:rsidR="00060E2D" w:rsidRPr="009E6B7F">
        <w:rPr>
          <w:i/>
        </w:rPr>
        <w:noBreakHyphen/>
      </w:r>
      <w:r w:rsidR="00501A9D" w:rsidRPr="009E6B7F">
        <w:rPr>
          <w:i/>
        </w:rPr>
        <w:t>003; Synergen Housing Co</w:t>
      </w:r>
      <w:r w:rsidR="00060E2D" w:rsidRPr="009E6B7F">
        <w:rPr>
          <w:i/>
        </w:rPr>
        <w:noBreakHyphen/>
      </w:r>
      <w:r w:rsidR="00501A9D" w:rsidRPr="009E6B7F">
        <w:rPr>
          <w:i/>
        </w:rPr>
        <w:t>op Ltd.</w:t>
      </w:r>
      <w:r w:rsidR="00501A9D" w:rsidRPr="009E6B7F">
        <w:t>, 2010 CanLII 98626</w:t>
      </w:r>
      <w:r w:rsidR="00865981" w:rsidRPr="009E6B7F">
        <w:t xml:space="preserve">; </w:t>
      </w:r>
      <w:r w:rsidR="00865981" w:rsidRPr="009E6B7F">
        <w:rPr>
          <w:i/>
          <w:iCs/>
        </w:rPr>
        <w:t>Lavigne v. Canada (Office of the Commissioner of Official Languages)</w:t>
      </w:r>
      <w:r w:rsidR="00865981" w:rsidRPr="009E6B7F">
        <w:t xml:space="preserve">, 2002 SCC 53, [2002] 2 S.C.R. 773; </w:t>
      </w:r>
      <w:r w:rsidR="00865981" w:rsidRPr="009E6B7F">
        <w:rPr>
          <w:i/>
        </w:rPr>
        <w:t>Dagg v. Canada (Minister of Finance)</w:t>
      </w:r>
      <w:r w:rsidR="00865981" w:rsidRPr="009E6B7F">
        <w:t xml:space="preserve">, [1997] 2 S.C.R. 403; </w:t>
      </w:r>
      <w:r w:rsidR="00865981" w:rsidRPr="009E6B7F">
        <w:rPr>
          <w:i/>
        </w:rPr>
        <w:t>H.J. Heinz Co. of Canada Ltd. v. Canada (Attorney General)</w:t>
      </w:r>
      <w:r w:rsidR="00865981" w:rsidRPr="009E6B7F">
        <w:t>, 200</w:t>
      </w:r>
      <w:r w:rsidR="007D5A65" w:rsidRPr="009E6B7F">
        <w:t>6</w:t>
      </w:r>
      <w:r w:rsidR="00865981" w:rsidRPr="009E6B7F">
        <w:t xml:space="preserve"> SCC 13, [2006] 1 S.C.R. 441</w:t>
      </w:r>
      <w:r w:rsidR="007D73BA" w:rsidRPr="009E6B7F">
        <w:t xml:space="preserve">; </w:t>
      </w:r>
      <w:r w:rsidR="00C91064" w:rsidRPr="009E6B7F">
        <w:rPr>
          <w:i/>
        </w:rPr>
        <w:t>R.W.D.S.U., Local 558 v. Pepsi</w:t>
      </w:r>
      <w:r w:rsidR="00060E2D" w:rsidRPr="009E6B7F">
        <w:rPr>
          <w:i/>
        </w:rPr>
        <w:noBreakHyphen/>
      </w:r>
      <w:r w:rsidR="00C91064" w:rsidRPr="009E6B7F">
        <w:rPr>
          <w:i/>
        </w:rPr>
        <w:t>Cola Canada Beverages (West) Ltd.</w:t>
      </w:r>
      <w:r w:rsidR="00C91064" w:rsidRPr="009E6B7F">
        <w:t>, 2002 SCC 8, [2002] 1 S.C.R. 156;</w:t>
      </w:r>
      <w:r w:rsidR="000D1698" w:rsidRPr="009E6B7F">
        <w:t xml:space="preserve"> </w:t>
      </w:r>
      <w:r w:rsidR="000D1698" w:rsidRPr="009E6B7F">
        <w:rPr>
          <w:i/>
        </w:rPr>
        <w:t>U.F.C.W.,</w:t>
      </w:r>
      <w:r w:rsidR="00C91064" w:rsidRPr="009E6B7F">
        <w:rPr>
          <w:i/>
        </w:rPr>
        <w:t xml:space="preserve"> Local 1518 v. </w:t>
      </w:r>
      <w:r w:rsidR="00C91064" w:rsidRPr="009E6B7F">
        <w:rPr>
          <w:i/>
          <w:iCs/>
        </w:rPr>
        <w:t>KMart Canada Ltd</w:t>
      </w:r>
      <w:r w:rsidR="000D1698" w:rsidRPr="009E6B7F">
        <w:rPr>
          <w:i/>
          <w:iCs/>
        </w:rPr>
        <w:t>.</w:t>
      </w:r>
      <w:r w:rsidR="00C91064" w:rsidRPr="009E6B7F">
        <w:t>, [1999] 2 S.C.R. 1083</w:t>
      </w:r>
      <w:r w:rsidR="0055042E" w:rsidRPr="009E6B7F">
        <w:t xml:space="preserve">; </w:t>
      </w:r>
      <w:r w:rsidR="0055042E" w:rsidRPr="009E6B7F">
        <w:rPr>
          <w:i/>
        </w:rPr>
        <w:t>Ontario (Attorney General) v. Fraser</w:t>
      </w:r>
      <w:r w:rsidR="0055042E" w:rsidRPr="009E6B7F">
        <w:t>, 2011 SCC 20, [2011] 2 S.C.R. 3</w:t>
      </w:r>
      <w:r w:rsidR="003C602F" w:rsidRPr="009E6B7F">
        <w:t xml:space="preserve">; </w:t>
      </w:r>
      <w:r w:rsidR="003C602F" w:rsidRPr="009E6B7F">
        <w:rPr>
          <w:i/>
          <w:iCs/>
        </w:rPr>
        <w:t>Reference re</w:t>
      </w:r>
      <w:r w:rsidR="003C602F" w:rsidRPr="009E6B7F">
        <w:t xml:space="preserve"> </w:t>
      </w:r>
      <w:r w:rsidR="003C602F" w:rsidRPr="009E6B7F">
        <w:rPr>
          <w:i/>
          <w:iCs/>
        </w:rPr>
        <w:t>Public Service Employee Relations Act (Alta.)</w:t>
      </w:r>
      <w:r w:rsidR="003C602F" w:rsidRPr="009E6B7F">
        <w:t>, [1987] 1 S.C.R. 313</w:t>
      </w:r>
      <w:r w:rsidR="0014041B" w:rsidRPr="009E6B7F">
        <w:t xml:space="preserve">; </w:t>
      </w:r>
      <w:r w:rsidR="0014041B" w:rsidRPr="009E6B7F">
        <w:rPr>
          <w:i/>
        </w:rPr>
        <w:t>Great Atlantic &amp; Pacific Co. of Canada</w:t>
      </w:r>
      <w:r w:rsidR="0014041B" w:rsidRPr="009E6B7F">
        <w:t>, [1994] O.L.R.B. Re</w:t>
      </w:r>
      <w:r w:rsidR="00060E2D" w:rsidRPr="009E6B7F">
        <w:t>p. </w:t>
      </w:r>
      <w:r w:rsidR="0014041B" w:rsidRPr="009E6B7F">
        <w:t>March 303</w:t>
      </w:r>
      <w:r w:rsidR="00423AC4" w:rsidRPr="009E6B7F">
        <w:t xml:space="preserve">; </w:t>
      </w:r>
      <w:r w:rsidR="00423AC4" w:rsidRPr="009E6B7F">
        <w:rPr>
          <w:i/>
        </w:rPr>
        <w:t>R. v. Morgentaler</w:t>
      </w:r>
      <w:r w:rsidR="00423AC4" w:rsidRPr="009E6B7F">
        <w:t xml:space="preserve">, [1988] 1 S.C.R. 30; </w:t>
      </w:r>
      <w:r w:rsidR="00423AC4" w:rsidRPr="009E6B7F">
        <w:rPr>
          <w:i/>
        </w:rPr>
        <w:t>Schachter v. Canada</w:t>
      </w:r>
      <w:r w:rsidR="00423AC4" w:rsidRPr="009E6B7F">
        <w:t>, [1992] 2 S.C.R. 679</w:t>
      </w:r>
      <w:r w:rsidR="007D73BA" w:rsidRPr="009E6B7F">
        <w:t xml:space="preserve">. </w:t>
      </w:r>
    </w:p>
    <w:p w:rsidR="003B215F" w:rsidRPr="009E6B7F" w:rsidRDefault="002E6705" w:rsidP="00A90400">
      <w:pPr>
        <w:pStyle w:val="SCCNormalDoubleSpacing"/>
        <w:keepNext/>
        <w:spacing w:after="720" w:line="360" w:lineRule="auto"/>
      </w:pPr>
      <w:r w:rsidRPr="009E6B7F">
        <w:rPr>
          <w:b/>
        </w:rPr>
        <w:t>Statutes and Regulations Cite</w:t>
      </w:r>
      <w:r w:rsidR="00A41805" w:rsidRPr="009E6B7F">
        <w:rPr>
          <w:b/>
        </w:rPr>
        <w:t>d</w:t>
      </w:r>
    </w:p>
    <w:p w:rsidR="00A41805" w:rsidRPr="009E6B7F" w:rsidRDefault="00FE7306" w:rsidP="007B3967">
      <w:pPr>
        <w:pStyle w:val="SCCNormalDoubleSpacing"/>
        <w:spacing w:after="240" w:line="240" w:lineRule="auto"/>
        <w:ind w:left="600" w:hanging="600"/>
      </w:pPr>
      <w:r w:rsidRPr="009E6B7F">
        <w:rPr>
          <w:i/>
        </w:rPr>
        <w:t>Administrative Procedures and Jurisdiction Act</w:t>
      </w:r>
      <w:r w:rsidRPr="009E6B7F">
        <w:t xml:space="preserve">, </w:t>
      </w:r>
      <w:r w:rsidR="00060E2D" w:rsidRPr="009E6B7F">
        <w:t>R.S.A. 2000, c. </w:t>
      </w:r>
      <w:r w:rsidRPr="009E6B7F">
        <w:t>A</w:t>
      </w:r>
      <w:r w:rsidR="00060E2D" w:rsidRPr="009E6B7F">
        <w:noBreakHyphen/>
      </w:r>
      <w:r w:rsidRPr="009E6B7F">
        <w:t>3.</w:t>
      </w:r>
    </w:p>
    <w:p w:rsidR="00C56E51" w:rsidRPr="009E6B7F" w:rsidRDefault="00C56E51" w:rsidP="007B3967">
      <w:pPr>
        <w:pStyle w:val="SCCNormalDoubleSpacing"/>
        <w:spacing w:after="240" w:line="240" w:lineRule="auto"/>
        <w:ind w:left="600" w:hanging="600"/>
      </w:pPr>
      <w:r w:rsidRPr="009E6B7F">
        <w:rPr>
          <w:i/>
        </w:rPr>
        <w:t>Canadian Charter of Rights and Freedoms</w:t>
      </w:r>
      <w:r w:rsidRPr="009E6B7F">
        <w:t xml:space="preserve">, </w:t>
      </w:r>
      <w:r w:rsidR="00060E2D" w:rsidRPr="009E6B7F">
        <w:t>ss. </w:t>
      </w:r>
      <w:r w:rsidRPr="009E6B7F">
        <w:t>1, 2(</w:t>
      </w:r>
      <w:r w:rsidRPr="009E6B7F">
        <w:rPr>
          <w:i/>
        </w:rPr>
        <w:t>b</w:t>
      </w:r>
      <w:r w:rsidRPr="009E6B7F">
        <w:t>).</w:t>
      </w:r>
    </w:p>
    <w:p w:rsidR="00991D4F" w:rsidRPr="009E6B7F" w:rsidRDefault="00BE1F05" w:rsidP="007B3967">
      <w:pPr>
        <w:pStyle w:val="SCCNormalDoubleSpacing"/>
        <w:spacing w:after="240" w:line="240" w:lineRule="auto"/>
        <w:ind w:left="600" w:hanging="600"/>
        <w:rPr>
          <w:i/>
        </w:rPr>
      </w:pPr>
      <w:r w:rsidRPr="009E6B7F">
        <w:rPr>
          <w:i/>
        </w:rPr>
        <w:t>Personal Information Protection Act</w:t>
      </w:r>
      <w:r w:rsidR="00060E2D" w:rsidRPr="009E6B7F">
        <w:t>, S.A. 2003, c. </w:t>
      </w:r>
      <w:r w:rsidRPr="009E6B7F">
        <w:t>P</w:t>
      </w:r>
      <w:r w:rsidR="00060E2D" w:rsidRPr="009E6B7F">
        <w:noBreakHyphen/>
      </w:r>
      <w:r w:rsidRPr="009E6B7F">
        <w:t>6.5</w:t>
      </w:r>
      <w:r w:rsidR="002376FB" w:rsidRPr="009E6B7F">
        <w:t xml:space="preserve">, </w:t>
      </w:r>
      <w:r w:rsidR="00060E2D" w:rsidRPr="009E6B7F">
        <w:t>ss. </w:t>
      </w:r>
      <w:r w:rsidR="00DB0223" w:rsidRPr="009E6B7F">
        <w:t xml:space="preserve">1(1)(i) “organization”, (k) “personal information”, </w:t>
      </w:r>
      <w:r w:rsidR="002376FB" w:rsidRPr="009E6B7F">
        <w:t>3</w:t>
      </w:r>
      <w:r w:rsidR="00174B05" w:rsidRPr="009E6B7F">
        <w:t>,</w:t>
      </w:r>
      <w:r w:rsidR="001B63E6" w:rsidRPr="009E6B7F">
        <w:t xml:space="preserve"> 4</w:t>
      </w:r>
      <w:r w:rsidR="00EF12C3" w:rsidRPr="009E6B7F">
        <w:t xml:space="preserve">(1), </w:t>
      </w:r>
      <w:r w:rsidR="001B63E6" w:rsidRPr="009E6B7F">
        <w:t>(3</w:t>
      </w:r>
      <w:r w:rsidR="00EF12C3" w:rsidRPr="009E6B7F">
        <w:t>)(a</w:t>
      </w:r>
      <w:r w:rsidR="001B63E6" w:rsidRPr="009E6B7F">
        <w:t>)</w:t>
      </w:r>
      <w:r w:rsidR="00EF12C3" w:rsidRPr="009E6B7F">
        <w:t>, (b), (c)</w:t>
      </w:r>
      <w:r w:rsidR="001B63E6" w:rsidRPr="009E6B7F">
        <w:t>,</w:t>
      </w:r>
      <w:r w:rsidR="00174B05" w:rsidRPr="009E6B7F">
        <w:t xml:space="preserve"> 7</w:t>
      </w:r>
      <w:r w:rsidR="003B0E16" w:rsidRPr="009E6B7F">
        <w:t>(1)</w:t>
      </w:r>
      <w:r w:rsidR="00E85949" w:rsidRPr="009E6B7F">
        <w:rPr>
          <w:lang w:val="en-US"/>
        </w:rPr>
        <w:t>, 14(d), (e), 17(d), (e), 20(f), (j), (m),</w:t>
      </w:r>
      <w:r w:rsidR="001B63E6" w:rsidRPr="009E6B7F">
        <w:t xml:space="preserve"> 56(2), (3)</w:t>
      </w:r>
      <w:r w:rsidRPr="009E6B7F">
        <w:t>.</w:t>
      </w:r>
      <w:r w:rsidR="00991D4F" w:rsidRPr="009E6B7F">
        <w:rPr>
          <w:i/>
        </w:rPr>
        <w:t xml:space="preserve"> </w:t>
      </w:r>
    </w:p>
    <w:p w:rsidR="00991D4F" w:rsidRPr="009E6B7F" w:rsidRDefault="00991D4F" w:rsidP="007B3967">
      <w:pPr>
        <w:pStyle w:val="SCCNormalDoubleSpacing"/>
        <w:spacing w:after="240" w:line="240" w:lineRule="auto"/>
        <w:ind w:left="600" w:hanging="600"/>
      </w:pPr>
      <w:r w:rsidRPr="009E6B7F">
        <w:rPr>
          <w:i/>
        </w:rPr>
        <w:lastRenderedPageBreak/>
        <w:t>Personal Information Protection Act Regulation</w:t>
      </w:r>
      <w:r w:rsidRPr="009E6B7F">
        <w:t>, Alta</w:t>
      </w:r>
      <w:r w:rsidR="00212B8A">
        <w:t>.</w:t>
      </w:r>
      <w:r w:rsidRPr="009E6B7F">
        <w:t xml:space="preserve"> Reg. 366/2003</w:t>
      </w:r>
      <w:r w:rsidR="00060E2D" w:rsidRPr="009E6B7F">
        <w:t>, s. </w:t>
      </w:r>
      <w:r w:rsidR="00D45DF1" w:rsidRPr="009E6B7F">
        <w:t>7</w:t>
      </w:r>
      <w:r w:rsidRPr="009E6B7F">
        <w:t>.</w:t>
      </w:r>
    </w:p>
    <w:p w:rsidR="00255172" w:rsidRPr="009E6B7F" w:rsidRDefault="00991D4F" w:rsidP="007B3967">
      <w:pPr>
        <w:pStyle w:val="SCCNormalDoubleSpacing"/>
        <w:spacing w:after="720" w:line="240" w:lineRule="auto"/>
        <w:ind w:left="600" w:hanging="600"/>
      </w:pPr>
      <w:r w:rsidRPr="009E6B7F">
        <w:rPr>
          <w:i/>
        </w:rPr>
        <w:t>Personal Information Protection and Electronic Documents Act</w:t>
      </w:r>
      <w:r w:rsidRPr="009E6B7F">
        <w:t xml:space="preserve">, S.C. </w:t>
      </w:r>
      <w:r w:rsidR="00060E2D" w:rsidRPr="009E6B7F">
        <w:t>2000, c. </w:t>
      </w:r>
      <w:r w:rsidRPr="009E6B7F">
        <w:t>5</w:t>
      </w:r>
      <w:r w:rsidR="00060E2D" w:rsidRPr="009E6B7F">
        <w:t>, s. </w:t>
      </w:r>
      <w:r w:rsidR="002376FB" w:rsidRPr="009E6B7F">
        <w:t>26(2)(</w:t>
      </w:r>
      <w:r w:rsidR="002376FB" w:rsidRPr="009E6B7F">
        <w:rPr>
          <w:i/>
        </w:rPr>
        <w:t>b</w:t>
      </w:r>
      <w:r w:rsidR="002376FB" w:rsidRPr="009E6B7F">
        <w:t>)</w:t>
      </w:r>
      <w:r w:rsidRPr="009E6B7F">
        <w:t>.</w:t>
      </w:r>
    </w:p>
    <w:p w:rsidR="002E6705" w:rsidRPr="009E6B7F" w:rsidRDefault="002E6705" w:rsidP="00A90400">
      <w:pPr>
        <w:pStyle w:val="SCCNormalDoubleSpacing"/>
        <w:keepNext/>
        <w:spacing w:after="720" w:line="360" w:lineRule="auto"/>
        <w:rPr>
          <w:b/>
        </w:rPr>
      </w:pPr>
      <w:r w:rsidRPr="009E6B7F">
        <w:rPr>
          <w:b/>
        </w:rPr>
        <w:t>Authors Cited</w:t>
      </w:r>
    </w:p>
    <w:p w:rsidR="00E12598" w:rsidRPr="009E6B7F" w:rsidRDefault="00E12598" w:rsidP="007B3967">
      <w:pPr>
        <w:pStyle w:val="SCCNormalDoubleSpacing"/>
        <w:spacing w:after="240" w:line="240" w:lineRule="auto"/>
        <w:ind w:left="600" w:hanging="600"/>
      </w:pPr>
      <w:r w:rsidRPr="009E6B7F">
        <w:t>Adams, George</w:t>
      </w:r>
      <w:r w:rsidR="00060E2D" w:rsidRPr="009E6B7F">
        <w:t> </w:t>
      </w:r>
      <w:r w:rsidRPr="009E6B7F">
        <w:t xml:space="preserve">W.  </w:t>
      </w:r>
      <w:r w:rsidRPr="009E6B7F">
        <w:rPr>
          <w:i/>
        </w:rPr>
        <w:t>Canadian Labour Law</w:t>
      </w:r>
      <w:r w:rsidRPr="009E6B7F">
        <w:t>, 2nd ed.</w:t>
      </w:r>
      <w:r w:rsidR="004D02AB">
        <w:t>, vol. 1.</w:t>
      </w:r>
      <w:r w:rsidRPr="009E6B7F">
        <w:t xml:space="preserve">  Aurora, Ont.:  Canada Law Book, 1993 (loose</w:t>
      </w:r>
      <w:r w:rsidR="00212B8A">
        <w:t>-</w:t>
      </w:r>
      <w:r w:rsidRPr="009E6B7F">
        <w:t>leaf updated June 2013, release 46).</w:t>
      </w:r>
    </w:p>
    <w:p w:rsidR="00996B43" w:rsidRPr="009E6B7F" w:rsidRDefault="00996B43" w:rsidP="007B3967">
      <w:pPr>
        <w:pStyle w:val="SCCNormalDoubleSpacing"/>
        <w:spacing w:after="240" w:line="240" w:lineRule="auto"/>
        <w:ind w:left="600" w:hanging="600"/>
      </w:pPr>
      <w:r w:rsidRPr="009E6B7F">
        <w:t xml:space="preserve">Canada.  Report of a Task Force established jointly by Department of Communications/Department of Justice.  </w:t>
      </w:r>
      <w:r w:rsidRPr="009E6B7F">
        <w:rPr>
          <w:i/>
        </w:rPr>
        <w:t>Privacy and Computers</w:t>
      </w:r>
      <w:r w:rsidRPr="009E6B7F">
        <w:t xml:space="preserve">.  Ottawa:  Information Canada, 1972.  </w:t>
      </w:r>
    </w:p>
    <w:p w:rsidR="00B5009E" w:rsidRPr="009E6B7F" w:rsidRDefault="00685774" w:rsidP="007B3967">
      <w:pPr>
        <w:pStyle w:val="SCCNormalDoubleSpacing"/>
        <w:spacing w:after="240" w:line="240" w:lineRule="auto"/>
        <w:ind w:left="600" w:hanging="600"/>
      </w:pPr>
      <w:r w:rsidRPr="009E6B7F">
        <w:t>Craig,</w:t>
      </w:r>
      <w:r w:rsidR="00060E2D" w:rsidRPr="009E6B7F">
        <w:t xml:space="preserve"> John </w:t>
      </w:r>
      <w:r w:rsidRPr="009E6B7F">
        <w:t>D.</w:t>
      </w:r>
      <w:r w:rsidR="00060E2D" w:rsidRPr="009E6B7F">
        <w:t> </w:t>
      </w:r>
      <w:r w:rsidRPr="009E6B7F">
        <w:t xml:space="preserve">R.  “Invasion of Privacy and </w:t>
      </w:r>
      <w:r w:rsidRPr="009E6B7F">
        <w:rPr>
          <w:i/>
        </w:rPr>
        <w:t>Charter</w:t>
      </w:r>
      <w:r w:rsidRPr="009E6B7F">
        <w:t xml:space="preserve"> Values: </w:t>
      </w:r>
      <w:r w:rsidR="00B5009E" w:rsidRPr="009E6B7F">
        <w:t xml:space="preserve"> </w:t>
      </w:r>
      <w:r w:rsidRPr="009E6B7F">
        <w:t>The Common</w:t>
      </w:r>
      <w:r w:rsidR="00060E2D" w:rsidRPr="009E6B7F">
        <w:noBreakHyphen/>
      </w:r>
      <w:r w:rsidRPr="009E6B7F">
        <w:t>Law Tort Awakens” (1997)</w:t>
      </w:r>
      <w:r w:rsidR="00212B8A">
        <w:t>,</w:t>
      </w:r>
      <w:r w:rsidRPr="009E6B7F">
        <w:t xml:space="preserve"> 42 </w:t>
      </w:r>
      <w:r w:rsidRPr="009E6B7F">
        <w:rPr>
          <w:i/>
        </w:rPr>
        <w:t>McGill L.J.</w:t>
      </w:r>
      <w:r w:rsidRPr="009E6B7F">
        <w:t xml:space="preserve"> 355</w:t>
      </w:r>
      <w:r w:rsidR="00B5009E" w:rsidRPr="009E6B7F">
        <w:t>.</w:t>
      </w:r>
    </w:p>
    <w:p w:rsidR="00B87369" w:rsidRPr="009E6B7F" w:rsidRDefault="00060E2D" w:rsidP="007B3967">
      <w:pPr>
        <w:pStyle w:val="SCCNormalDoubleSpacing"/>
        <w:spacing w:after="240" w:line="240" w:lineRule="auto"/>
        <w:ind w:left="600" w:hanging="600"/>
      </w:pPr>
      <w:r w:rsidRPr="009E6B7F">
        <w:rPr>
          <w:lang w:val="fr-CA"/>
        </w:rPr>
        <w:t>Drapeau, Michel </w:t>
      </w:r>
      <w:r w:rsidR="00B87369" w:rsidRPr="009E6B7F">
        <w:rPr>
          <w:lang w:val="fr-CA"/>
        </w:rPr>
        <w:t>W., and Marc</w:t>
      </w:r>
      <w:r w:rsidRPr="009E6B7F">
        <w:rPr>
          <w:lang w:val="fr-CA"/>
        </w:rPr>
        <w:noBreakHyphen/>
      </w:r>
      <w:r w:rsidR="00B87369" w:rsidRPr="009E6B7F">
        <w:rPr>
          <w:lang w:val="fr-CA"/>
        </w:rPr>
        <w:t xml:space="preserve">Aurèle Racicot.  </w:t>
      </w:r>
      <w:r w:rsidR="00B87369" w:rsidRPr="009E6B7F">
        <w:rPr>
          <w:i/>
        </w:rPr>
        <w:t>Protection of Privacy in the Canadian Private and Health Sectors 2013</w:t>
      </w:r>
      <w:r w:rsidR="00B87369" w:rsidRPr="009E6B7F">
        <w:t>.  Toronto:  Carswell, 2012.</w:t>
      </w:r>
    </w:p>
    <w:p w:rsidR="00DE319C" w:rsidRPr="009E6B7F" w:rsidRDefault="0051375A" w:rsidP="007B3967">
      <w:pPr>
        <w:pStyle w:val="SCCNormalDoubleSpacing"/>
        <w:spacing w:after="240" w:line="240" w:lineRule="auto"/>
        <w:ind w:left="600" w:hanging="600"/>
      </w:pPr>
      <w:r w:rsidRPr="009E6B7F">
        <w:t xml:space="preserve">Gratton, Éloïse.  </w:t>
      </w:r>
      <w:r w:rsidRPr="009E6B7F">
        <w:rPr>
          <w:i/>
        </w:rPr>
        <w:t>Understanding Personal Information:  Managing Privacy Risks</w:t>
      </w:r>
      <w:r w:rsidRPr="009E6B7F">
        <w:t>.  Markham, Ont.:  LexisNexis, 2013.</w:t>
      </w:r>
    </w:p>
    <w:p w:rsidR="00547538" w:rsidRPr="009E6B7F" w:rsidRDefault="00060E2D" w:rsidP="007B3967">
      <w:pPr>
        <w:pStyle w:val="SCCNormalDoubleSpacing"/>
        <w:spacing w:after="240" w:line="240" w:lineRule="auto"/>
        <w:ind w:left="600" w:hanging="600"/>
      </w:pPr>
      <w:r w:rsidRPr="009E6B7F">
        <w:t>Hogg, Peter </w:t>
      </w:r>
      <w:r w:rsidR="00B736DD" w:rsidRPr="009E6B7F">
        <w:t xml:space="preserve">W.  </w:t>
      </w:r>
      <w:r w:rsidR="00B736DD" w:rsidRPr="009E6B7F">
        <w:rPr>
          <w:i/>
        </w:rPr>
        <w:t>Constitutional Law of Canada</w:t>
      </w:r>
      <w:r w:rsidR="00B736DD" w:rsidRPr="009E6B7F">
        <w:t xml:space="preserve">, 5th ed. Supp., </w:t>
      </w:r>
      <w:r w:rsidRPr="009E6B7F">
        <w:t>vol. </w:t>
      </w:r>
      <w:r w:rsidR="00B736DD" w:rsidRPr="009E6B7F">
        <w:t xml:space="preserve">2.  Toronto: </w:t>
      </w:r>
      <w:r w:rsidR="001D0007" w:rsidRPr="009E6B7F">
        <w:t xml:space="preserve"> </w:t>
      </w:r>
      <w:r w:rsidR="00B736DD" w:rsidRPr="009E6B7F">
        <w:t>Thomson/Carswell, 2007 (updated 2012, release 1).</w:t>
      </w:r>
    </w:p>
    <w:p w:rsidR="000505EE" w:rsidRPr="009E6B7F" w:rsidRDefault="00B5009E" w:rsidP="007B3967">
      <w:pPr>
        <w:pStyle w:val="SCCNormalDoubleSpacing"/>
        <w:spacing w:after="240" w:line="240" w:lineRule="auto"/>
        <w:ind w:left="600" w:hanging="600"/>
      </w:pPr>
      <w:r w:rsidRPr="009E6B7F">
        <w:t>Hunt</w:t>
      </w:r>
      <w:r w:rsidR="00060E2D" w:rsidRPr="009E6B7F">
        <w:t>, Chris </w:t>
      </w:r>
      <w:r w:rsidR="000505EE" w:rsidRPr="009E6B7F">
        <w:t>D.</w:t>
      </w:r>
      <w:r w:rsidR="00060E2D" w:rsidRPr="009E6B7F">
        <w:t> </w:t>
      </w:r>
      <w:r w:rsidR="000505EE" w:rsidRPr="009E6B7F">
        <w:t>L.</w:t>
      </w:r>
      <w:r w:rsidRPr="009E6B7F">
        <w:t xml:space="preserve">  “Conceptualizing Privacy and Elucidating its Importance:</w:t>
      </w:r>
      <w:r w:rsidR="000505EE" w:rsidRPr="009E6B7F">
        <w:t xml:space="preserve"> </w:t>
      </w:r>
      <w:r w:rsidRPr="009E6B7F">
        <w:t xml:space="preserve"> Foundational Considerations for the De</w:t>
      </w:r>
      <w:r w:rsidR="000505EE" w:rsidRPr="009E6B7F">
        <w:t>velopment of Canada’</w:t>
      </w:r>
      <w:r w:rsidRPr="009E6B7F">
        <w:t xml:space="preserve">s Fledgling Privacy Tort” (2011), 37 </w:t>
      </w:r>
      <w:r w:rsidRPr="009E6B7F">
        <w:rPr>
          <w:i/>
        </w:rPr>
        <w:t>Queen</w:t>
      </w:r>
      <w:r w:rsidR="000505EE" w:rsidRPr="009E6B7F">
        <w:rPr>
          <w:i/>
        </w:rPr>
        <w:t>’</w:t>
      </w:r>
      <w:r w:rsidRPr="009E6B7F">
        <w:rPr>
          <w:i/>
        </w:rPr>
        <w:t>s L.J.</w:t>
      </w:r>
      <w:r w:rsidRPr="009E6B7F">
        <w:t xml:space="preserve"> 167</w:t>
      </w:r>
      <w:r w:rsidR="000505EE" w:rsidRPr="009E6B7F">
        <w:t>.</w:t>
      </w:r>
    </w:p>
    <w:p w:rsidR="00B5009E" w:rsidRDefault="002D4E6A" w:rsidP="00212B8A">
      <w:pPr>
        <w:pStyle w:val="SCCNormalDoubleSpacing"/>
        <w:spacing w:after="240" w:line="240" w:lineRule="auto"/>
        <w:ind w:left="605" w:hanging="605"/>
      </w:pPr>
      <w:r w:rsidRPr="009E6B7F">
        <w:t>International Labour O</w:t>
      </w:r>
      <w:r w:rsidR="001555A8" w:rsidRPr="009E6B7F">
        <w:t>rganization</w:t>
      </w:r>
      <w:r w:rsidRPr="009E6B7F">
        <w:t xml:space="preserve">.  </w:t>
      </w:r>
      <w:r w:rsidRPr="009E6B7F">
        <w:rPr>
          <w:i/>
        </w:rPr>
        <w:t>Report of the Director</w:t>
      </w:r>
      <w:r w:rsidR="00060E2D" w:rsidRPr="009E6B7F">
        <w:rPr>
          <w:i/>
        </w:rPr>
        <w:noBreakHyphen/>
      </w:r>
      <w:r w:rsidRPr="009E6B7F">
        <w:rPr>
          <w:i/>
        </w:rPr>
        <w:t>General:  Freedom of association in practice:  Lessons learned</w:t>
      </w:r>
      <w:r w:rsidRPr="009E6B7F">
        <w:t>.  Geneva:  International Labour Office, 2008</w:t>
      </w:r>
      <w:r w:rsidR="001555A8" w:rsidRPr="009E6B7F">
        <w:t xml:space="preserve"> (online:http://www.ilo.org/wcmsp5/groups/public/</w:t>
      </w:r>
      <w:r w:rsidR="004412BB">
        <w:rPr>
          <w:lang w:val="en-US"/>
        </w:rPr>
        <w:t>@</w:t>
      </w:r>
      <w:r w:rsidR="001555A8" w:rsidRPr="009E6B7F">
        <w:t>dgreports/</w:t>
      </w:r>
      <w:r w:rsidR="004412BB">
        <w:rPr>
          <w:lang w:val="en-US"/>
        </w:rPr>
        <w:t>@</w:t>
      </w:r>
      <w:r w:rsidR="001555A8" w:rsidRPr="009E6B7F">
        <w:t>dcomm/documents/publication/wcms_096122.pdf)</w:t>
      </w:r>
      <w:r w:rsidRPr="009E6B7F">
        <w:t>.</w:t>
      </w:r>
    </w:p>
    <w:p w:rsidR="002D4E6A" w:rsidRPr="009E6B7F" w:rsidRDefault="00C6239F" w:rsidP="007B3967">
      <w:pPr>
        <w:pStyle w:val="SCCNormalDoubleSpacing"/>
        <w:spacing w:after="240" w:line="240" w:lineRule="auto"/>
        <w:ind w:left="600" w:hanging="600"/>
      </w:pPr>
      <w:r w:rsidRPr="009E6B7F">
        <w:t xml:space="preserve">MacNeil, Michael.  “Unions and the </w:t>
      </w:r>
      <w:r w:rsidRPr="009E6B7F">
        <w:rPr>
          <w:i/>
        </w:rPr>
        <w:t>Charter</w:t>
      </w:r>
      <w:r w:rsidRPr="009E6B7F">
        <w:t>:</w:t>
      </w:r>
      <w:r w:rsidR="00116D6B" w:rsidRPr="009E6B7F">
        <w:t xml:space="preserve"> </w:t>
      </w:r>
      <w:r w:rsidRPr="009E6B7F">
        <w:t xml:space="preserve"> The Supreme Court of Canada and Democratic Values” (2003), 10 </w:t>
      </w:r>
      <w:r w:rsidRPr="009E6B7F">
        <w:rPr>
          <w:i/>
        </w:rPr>
        <w:t>C.L.E.L.J.</w:t>
      </w:r>
      <w:r w:rsidRPr="009E6B7F">
        <w:t xml:space="preserve"> 3.</w:t>
      </w:r>
    </w:p>
    <w:p w:rsidR="00C7515F" w:rsidRPr="009E6B7F" w:rsidRDefault="00C7515F" w:rsidP="007B3967">
      <w:pPr>
        <w:pStyle w:val="SCCNormalDoubleSpacing"/>
        <w:spacing w:after="720" w:line="240" w:lineRule="auto"/>
        <w:ind w:left="600" w:hanging="600"/>
      </w:pPr>
      <w:r w:rsidRPr="009E6B7F">
        <w:t>Rayner, Wesley</w:t>
      </w:r>
      <w:r w:rsidR="00060E2D" w:rsidRPr="009E6B7F">
        <w:t> </w:t>
      </w:r>
      <w:r w:rsidRPr="009E6B7F">
        <w:t xml:space="preserve">B.  </w:t>
      </w:r>
      <w:r w:rsidRPr="009E6B7F">
        <w:rPr>
          <w:i/>
        </w:rPr>
        <w:t>Canadian Collective Bargaining Law</w:t>
      </w:r>
      <w:r w:rsidRPr="009E6B7F">
        <w:t>, 2nd ed.  Markham, Ont.:  LexisNexis, 2007.</w:t>
      </w:r>
    </w:p>
    <w:p w:rsidR="003C3FA7" w:rsidRPr="009E6B7F" w:rsidRDefault="009B57B3" w:rsidP="00A90400">
      <w:pPr>
        <w:pStyle w:val="SCCNormalDoubleSpacing"/>
        <w:spacing w:after="480"/>
      </w:pPr>
      <w:r w:rsidRPr="009E6B7F">
        <w:lastRenderedPageBreak/>
        <w:tab/>
        <w:t xml:space="preserve">APPEAL from a judgment of the </w:t>
      </w:r>
      <w:r w:rsidR="00547538" w:rsidRPr="009E6B7F">
        <w:t xml:space="preserve">Alberta </w:t>
      </w:r>
      <w:r w:rsidRPr="009E6B7F">
        <w:t xml:space="preserve">Court of Appeal </w:t>
      </w:r>
      <w:r w:rsidR="00547538" w:rsidRPr="009E6B7F">
        <w:t>(Slatter</w:t>
      </w:r>
      <w:r w:rsidR="00060E2D" w:rsidRPr="009E6B7F">
        <w:t xml:space="preserve"> and McDonald JJ.A. and Read </w:t>
      </w:r>
      <w:r w:rsidR="00547538" w:rsidRPr="009E6B7F">
        <w:t>J. (</w:t>
      </w:r>
      <w:r w:rsidR="00547538" w:rsidRPr="009E6B7F">
        <w:rPr>
          <w:i/>
        </w:rPr>
        <w:t>ad hoc</w:t>
      </w:r>
      <w:r w:rsidR="00547538" w:rsidRPr="009E6B7F">
        <w:t>)</w:t>
      </w:r>
      <w:r w:rsidR="000C1A97" w:rsidRPr="009E6B7F">
        <w:t>)</w:t>
      </w:r>
      <w:r w:rsidR="00547538" w:rsidRPr="009E6B7F">
        <w:t>, 2012 ABCA 130, 57 Alta. L.R. (5th) 249, 522 A.R. 197, 544 W.A.C. 197, 349 D.L.R. (4th) 654, 258 C.R.R. (2d) 110, 33 Admin. L.R. (5th) 321, [2012] 6 W.W.R. 211</w:t>
      </w:r>
      <w:r w:rsidR="00AA03B4" w:rsidRPr="009E6B7F">
        <w:t>, 2012 CLLC ¶210</w:t>
      </w:r>
      <w:r w:rsidR="00060E2D" w:rsidRPr="009E6B7F">
        <w:noBreakHyphen/>
      </w:r>
      <w:r w:rsidR="00AA03B4" w:rsidRPr="009E6B7F">
        <w:t>025</w:t>
      </w:r>
      <w:r w:rsidR="00547538" w:rsidRPr="009E6B7F">
        <w:t xml:space="preserve">, [2012] A.J. </w:t>
      </w:r>
      <w:r w:rsidR="00060E2D" w:rsidRPr="009E6B7F">
        <w:t>No. </w:t>
      </w:r>
      <w:r w:rsidR="00547538" w:rsidRPr="009E6B7F">
        <w:t xml:space="preserve">427 (QL), 2012 CarswellAlta 760, </w:t>
      </w:r>
      <w:r w:rsidR="003F2ACC" w:rsidRPr="009E6B7F">
        <w:t xml:space="preserve">allowing in part (only to the extent the remedy was varied) </w:t>
      </w:r>
      <w:r w:rsidR="003C3FA7" w:rsidRPr="009E6B7F">
        <w:t>a decision of Goss</w:t>
      </w:r>
      <w:r w:rsidR="0017174E" w:rsidRPr="009E6B7F">
        <w:t> </w:t>
      </w:r>
      <w:r w:rsidR="003C3FA7" w:rsidRPr="009E6B7F">
        <w:t>J., 2011 ABQB 415, 53 Alta. L.R. (5th) 235, 509 A.R. 150, 339 D.L.R. (4th) 279, 32 Admin. L.R. (5th) 107, [2012] 4 W.W.R. 324, 2011 CLLC ¶210</w:t>
      </w:r>
      <w:r w:rsidR="00060E2D" w:rsidRPr="009E6B7F">
        <w:noBreakHyphen/>
      </w:r>
      <w:r w:rsidR="003C3FA7" w:rsidRPr="009E6B7F">
        <w:t xml:space="preserve">055, [2011] A.J. </w:t>
      </w:r>
      <w:r w:rsidR="00060E2D" w:rsidRPr="009E6B7F">
        <w:t>No. </w:t>
      </w:r>
      <w:r w:rsidR="003C3FA7" w:rsidRPr="009E6B7F">
        <w:t>940 (QL), 2011 CarswellAlta 1486</w:t>
      </w:r>
      <w:r w:rsidR="00902741">
        <w:t xml:space="preserve">, setting aside a decision of the Information and Privacy Commissioner, </w:t>
      </w:r>
      <w:r w:rsidR="00F74501">
        <w:t xml:space="preserve">Order P2008-008, </w:t>
      </w:r>
      <w:r w:rsidR="00902741">
        <w:t>2009 CanLII 90942</w:t>
      </w:r>
      <w:r w:rsidR="003C3FA7" w:rsidRPr="009E6B7F">
        <w:t xml:space="preserve">.  Appeal </w:t>
      </w:r>
      <w:r w:rsidR="00AA37D2" w:rsidRPr="009E6B7F">
        <w:t xml:space="preserve">substantially </w:t>
      </w:r>
      <w:r w:rsidR="00C94435" w:rsidRPr="009E6B7F">
        <w:t>dismissed.</w:t>
      </w:r>
      <w:r w:rsidR="00AA37D2" w:rsidRPr="009E6B7F">
        <w:t xml:space="preserve"> </w:t>
      </w:r>
    </w:p>
    <w:p w:rsidR="003E0231" w:rsidRPr="009E6B7F" w:rsidRDefault="00283327" w:rsidP="00A90400">
      <w:pPr>
        <w:pStyle w:val="SCCNormalDoubleSpacing"/>
        <w:spacing w:before="480" w:after="480"/>
      </w:pPr>
      <w:r w:rsidRPr="00CB682B">
        <w:rPr>
          <w:i/>
        </w:rPr>
        <w:tab/>
        <w:t>Glenn Solomon</w:t>
      </w:r>
      <w:r w:rsidR="00145506" w:rsidRPr="00212B8A">
        <w:t xml:space="preserve">, </w:t>
      </w:r>
      <w:r w:rsidR="00145506" w:rsidRPr="00CB682B">
        <w:rPr>
          <w:i/>
        </w:rPr>
        <w:t>Q.C.</w:t>
      </w:r>
      <w:r w:rsidR="00145506" w:rsidRPr="00212B8A">
        <w:t>,</w:t>
      </w:r>
      <w:r w:rsidRPr="00212B8A">
        <w:t xml:space="preserve"> </w:t>
      </w:r>
      <w:r w:rsidRPr="009E6B7F">
        <w:t xml:space="preserve">and </w:t>
      </w:r>
      <w:r w:rsidRPr="00CB682B">
        <w:rPr>
          <w:i/>
        </w:rPr>
        <w:t>Rob</w:t>
      </w:r>
      <w:r w:rsidR="00145506" w:rsidRPr="00CB682B">
        <w:rPr>
          <w:i/>
        </w:rPr>
        <w:t>ert</w:t>
      </w:r>
      <w:r w:rsidR="00060E2D" w:rsidRPr="00CB682B">
        <w:rPr>
          <w:i/>
        </w:rPr>
        <w:t> </w:t>
      </w:r>
      <w:r w:rsidRPr="00CB682B">
        <w:rPr>
          <w:i/>
        </w:rPr>
        <w:t>W. Armstrong</w:t>
      </w:r>
      <w:r w:rsidRPr="009E6B7F">
        <w:t>, for the appellant</w:t>
      </w:r>
      <w:r w:rsidR="00145506" w:rsidRPr="009E6B7F">
        <w:t xml:space="preserve"> the Information and Privacy Commissioner</w:t>
      </w:r>
      <w:r w:rsidR="00F822B4" w:rsidRPr="009E6B7F">
        <w:t xml:space="preserve"> of Alberta</w:t>
      </w:r>
      <w:r w:rsidRPr="009E6B7F">
        <w:t>.</w:t>
      </w:r>
    </w:p>
    <w:p w:rsidR="003E0231" w:rsidRPr="009E6B7F" w:rsidRDefault="00283327" w:rsidP="00A90400">
      <w:pPr>
        <w:pStyle w:val="SCCNormalDoubleSpacing"/>
        <w:spacing w:before="480" w:after="480"/>
      </w:pPr>
      <w:r w:rsidRPr="00CB682B">
        <w:rPr>
          <w:i/>
        </w:rPr>
        <w:tab/>
        <w:t>Roderick Wiltshire</w:t>
      </w:r>
      <w:r w:rsidRPr="009E6B7F">
        <w:t>, for the appellant</w:t>
      </w:r>
      <w:r w:rsidR="00145506" w:rsidRPr="009E6B7F">
        <w:t xml:space="preserve"> the Attorney General of Alberta</w:t>
      </w:r>
      <w:r w:rsidRPr="009E6B7F">
        <w:t>.</w:t>
      </w:r>
    </w:p>
    <w:p w:rsidR="003E0231" w:rsidRPr="009E6B7F" w:rsidRDefault="00060E2D" w:rsidP="00A90400">
      <w:pPr>
        <w:pStyle w:val="SCCNormalDoubleSpacing"/>
        <w:spacing w:before="480" w:after="480"/>
      </w:pPr>
      <w:r w:rsidRPr="00CB682B">
        <w:rPr>
          <w:i/>
        </w:rPr>
        <w:tab/>
        <w:t>Gwen </w:t>
      </w:r>
      <w:r w:rsidR="00283327" w:rsidRPr="00CB682B">
        <w:rPr>
          <w:i/>
        </w:rPr>
        <w:t>J. Gray</w:t>
      </w:r>
      <w:r w:rsidR="00283327" w:rsidRPr="00212B8A">
        <w:t xml:space="preserve">, </w:t>
      </w:r>
      <w:r w:rsidR="00283327" w:rsidRPr="00CB682B">
        <w:rPr>
          <w:i/>
        </w:rPr>
        <w:t>Q.C.</w:t>
      </w:r>
      <w:r w:rsidR="00145506" w:rsidRPr="00212B8A">
        <w:t>,</w:t>
      </w:r>
      <w:r w:rsidR="00283327" w:rsidRPr="00212B8A">
        <w:t xml:space="preserve"> </w:t>
      </w:r>
      <w:r w:rsidR="00283327" w:rsidRPr="009E6B7F">
        <w:t xml:space="preserve">and </w:t>
      </w:r>
      <w:r w:rsidR="00283327" w:rsidRPr="00CB682B">
        <w:rPr>
          <w:i/>
        </w:rPr>
        <w:t>Vanessa Cosco</w:t>
      </w:r>
      <w:r w:rsidR="00283327" w:rsidRPr="009E6B7F">
        <w:t>, for the respondent.</w:t>
      </w:r>
    </w:p>
    <w:p w:rsidR="003E0231" w:rsidRPr="009E6B7F" w:rsidRDefault="00283327" w:rsidP="00A90400">
      <w:pPr>
        <w:pStyle w:val="SCCNormalDoubleSpacing"/>
        <w:spacing w:before="480" w:after="480"/>
      </w:pPr>
      <w:r w:rsidRPr="00CB682B">
        <w:rPr>
          <w:i/>
        </w:rPr>
        <w:tab/>
        <w:t>Sean Gaudet</w:t>
      </w:r>
      <w:r w:rsidRPr="009E6B7F">
        <w:t xml:space="preserve">, for the intervener </w:t>
      </w:r>
      <w:r w:rsidR="00145506" w:rsidRPr="009E6B7F">
        <w:t xml:space="preserve">the </w:t>
      </w:r>
      <w:r w:rsidRPr="009E6B7F">
        <w:t>Attorney General of Canada.</w:t>
      </w:r>
    </w:p>
    <w:p w:rsidR="003E0231" w:rsidRPr="009E6B7F" w:rsidRDefault="00060E2D" w:rsidP="00A90400">
      <w:pPr>
        <w:pStyle w:val="SCCNormalDoubleSpacing"/>
        <w:spacing w:before="480" w:after="480"/>
      </w:pPr>
      <w:r w:rsidRPr="00CB682B">
        <w:rPr>
          <w:i/>
        </w:rPr>
        <w:tab/>
        <w:t>Rochelle </w:t>
      </w:r>
      <w:r w:rsidR="00AA37D2" w:rsidRPr="00CB682B">
        <w:rPr>
          <w:i/>
        </w:rPr>
        <w:t xml:space="preserve">S. </w:t>
      </w:r>
      <w:r w:rsidR="00283327" w:rsidRPr="00CB682B">
        <w:rPr>
          <w:i/>
        </w:rPr>
        <w:t>Fox</w:t>
      </w:r>
      <w:r w:rsidR="00283327" w:rsidRPr="009E6B7F">
        <w:t xml:space="preserve"> and </w:t>
      </w:r>
      <w:r w:rsidR="00283327" w:rsidRPr="00CB682B">
        <w:rPr>
          <w:i/>
        </w:rPr>
        <w:t>Sara Weinrib</w:t>
      </w:r>
      <w:r w:rsidR="00283327" w:rsidRPr="009E6B7F">
        <w:t xml:space="preserve">, for the intervener </w:t>
      </w:r>
      <w:r w:rsidR="007629FA" w:rsidRPr="009E6B7F">
        <w:t xml:space="preserve">the </w:t>
      </w:r>
      <w:r w:rsidR="00283327" w:rsidRPr="009E6B7F">
        <w:t>Attorney General of Ontario.</w:t>
      </w:r>
    </w:p>
    <w:p w:rsidR="007629FA" w:rsidRPr="009E6B7F" w:rsidRDefault="007629FA" w:rsidP="00A90400">
      <w:pPr>
        <w:pStyle w:val="SCCNormalDoubleSpacing"/>
        <w:spacing w:before="480" w:after="480"/>
      </w:pPr>
      <w:r w:rsidRPr="00CB682B">
        <w:rPr>
          <w:i/>
        </w:rPr>
        <w:lastRenderedPageBreak/>
        <w:tab/>
        <w:t>Mahmud Jamal</w:t>
      </w:r>
      <w:r w:rsidRPr="009E6B7F">
        <w:t xml:space="preserve">, </w:t>
      </w:r>
      <w:r w:rsidRPr="00CB682B">
        <w:rPr>
          <w:i/>
        </w:rPr>
        <w:t>Patricia Kosseim</w:t>
      </w:r>
      <w:r w:rsidRPr="00212B8A">
        <w:t xml:space="preserve">, </w:t>
      </w:r>
      <w:r w:rsidRPr="00CB682B">
        <w:rPr>
          <w:i/>
        </w:rPr>
        <w:t>Regan Morris</w:t>
      </w:r>
      <w:r w:rsidRPr="009E6B7F">
        <w:t xml:space="preserve"> and </w:t>
      </w:r>
      <w:r w:rsidRPr="00CB682B">
        <w:rPr>
          <w:i/>
        </w:rPr>
        <w:t>Kirk Shannon</w:t>
      </w:r>
      <w:r w:rsidRPr="009E6B7F">
        <w:t>, for the intervener the Privacy Commissioner of Canada.</w:t>
      </w:r>
    </w:p>
    <w:p w:rsidR="008057A6" w:rsidRPr="009E6B7F" w:rsidRDefault="008057A6" w:rsidP="00A90400">
      <w:pPr>
        <w:pStyle w:val="SCCNormalDoubleSpacing"/>
        <w:spacing w:before="480" w:after="480"/>
      </w:pPr>
      <w:r w:rsidRPr="00CB682B">
        <w:rPr>
          <w:i/>
        </w:rPr>
        <w:tab/>
        <w:t>Patricia</w:t>
      </w:r>
      <w:r w:rsidR="00060E2D" w:rsidRPr="00CB682B">
        <w:rPr>
          <w:i/>
        </w:rPr>
        <w:t> D. </w:t>
      </w:r>
      <w:r w:rsidRPr="00CB682B">
        <w:rPr>
          <w:i/>
        </w:rPr>
        <w:t>S. Jackson</w:t>
      </w:r>
      <w:r w:rsidRPr="009E6B7F">
        <w:t xml:space="preserve"> and </w:t>
      </w:r>
      <w:r w:rsidRPr="00CB682B">
        <w:rPr>
          <w:i/>
        </w:rPr>
        <w:t>Sarah Whitmore</w:t>
      </w:r>
      <w:r w:rsidRPr="009E6B7F">
        <w:t>, for the intervener the Canadian Civil Liberties Association.</w:t>
      </w:r>
    </w:p>
    <w:p w:rsidR="008057A6" w:rsidRPr="009E6B7F" w:rsidRDefault="00060E2D" w:rsidP="00A90400">
      <w:pPr>
        <w:pStyle w:val="SCCNormalDoubleSpacing"/>
        <w:spacing w:before="480" w:after="480"/>
      </w:pPr>
      <w:r w:rsidRPr="00CB682B">
        <w:rPr>
          <w:i/>
        </w:rPr>
        <w:tab/>
        <w:t>Lindsay </w:t>
      </w:r>
      <w:r w:rsidR="008057A6" w:rsidRPr="00CB682B">
        <w:rPr>
          <w:i/>
        </w:rPr>
        <w:t>M. Lyster</w:t>
      </w:r>
      <w:r w:rsidR="008057A6" w:rsidRPr="009E6B7F">
        <w:t>, for the intervener the British Columbia Civil Liberties Association.</w:t>
      </w:r>
    </w:p>
    <w:p w:rsidR="00D8280C" w:rsidRPr="009E6B7F" w:rsidRDefault="008057A6" w:rsidP="00A90400">
      <w:pPr>
        <w:pStyle w:val="SCCNormalDoubleSpacing"/>
        <w:spacing w:before="480" w:after="480"/>
      </w:pPr>
      <w:r w:rsidRPr="00CB682B">
        <w:rPr>
          <w:i/>
        </w:rPr>
        <w:tab/>
      </w:r>
      <w:r w:rsidR="00060E2D" w:rsidRPr="00CB682B">
        <w:rPr>
          <w:i/>
        </w:rPr>
        <w:t>William </w:t>
      </w:r>
      <w:r w:rsidR="00D8280C" w:rsidRPr="00CB682B">
        <w:rPr>
          <w:i/>
        </w:rPr>
        <w:t>S. Challis</w:t>
      </w:r>
      <w:r w:rsidR="00D8280C" w:rsidRPr="009E6B7F">
        <w:t>, for the intervener the Information and Privacy Commissioner of Ontario.</w:t>
      </w:r>
    </w:p>
    <w:p w:rsidR="008057A6" w:rsidRPr="009E6B7F" w:rsidRDefault="004A2F3D" w:rsidP="00A90400">
      <w:pPr>
        <w:pStyle w:val="SCCNormalDoubleSpacing"/>
        <w:spacing w:before="480" w:after="480"/>
      </w:pPr>
      <w:r w:rsidRPr="00CB682B">
        <w:rPr>
          <w:i/>
        </w:rPr>
        <w:tab/>
      </w:r>
      <w:r w:rsidR="008057A6" w:rsidRPr="00CB682B">
        <w:rPr>
          <w:i/>
        </w:rPr>
        <w:t>Simon Ruel</w:t>
      </w:r>
      <w:r w:rsidR="008057A6" w:rsidRPr="009E6B7F">
        <w:t>, for the interveners the Coalition of British Columbia Businesses and Merit Canada.</w:t>
      </w:r>
    </w:p>
    <w:p w:rsidR="004A2F3D" w:rsidRPr="009E6B7F" w:rsidRDefault="008057A6" w:rsidP="00A90400">
      <w:pPr>
        <w:pStyle w:val="SCCNormalDoubleSpacing"/>
        <w:spacing w:before="480" w:after="480"/>
      </w:pPr>
      <w:r w:rsidRPr="00CB682B">
        <w:rPr>
          <w:i/>
        </w:rPr>
        <w:tab/>
      </w:r>
      <w:r w:rsidR="004A2F3D" w:rsidRPr="00212B8A">
        <w:t>Written submissions only by</w:t>
      </w:r>
      <w:r w:rsidR="004A2F3D" w:rsidRPr="00CB682B">
        <w:rPr>
          <w:i/>
        </w:rPr>
        <w:t xml:space="preserve"> Nitya Iyer</w:t>
      </w:r>
      <w:r w:rsidR="004A2F3D" w:rsidRPr="009E6B7F">
        <w:t>, for the intervener the Information and Privacy Commissioner of British Columbia.</w:t>
      </w:r>
    </w:p>
    <w:p w:rsidR="003E0231" w:rsidRPr="009E6B7F" w:rsidRDefault="00283327" w:rsidP="00A90400">
      <w:pPr>
        <w:pStyle w:val="SCCNormalDoubleSpacing"/>
        <w:spacing w:before="480" w:after="480"/>
      </w:pPr>
      <w:r w:rsidRPr="00CB682B">
        <w:rPr>
          <w:i/>
        </w:rPr>
        <w:tab/>
        <w:t>David Williams</w:t>
      </w:r>
      <w:r w:rsidRPr="009E6B7F">
        <w:t xml:space="preserve"> and </w:t>
      </w:r>
      <w:r w:rsidRPr="00CB682B">
        <w:rPr>
          <w:i/>
        </w:rPr>
        <w:t>Kristan McLeod</w:t>
      </w:r>
      <w:r w:rsidRPr="009E6B7F">
        <w:t xml:space="preserve">, for the intervener </w:t>
      </w:r>
      <w:r w:rsidR="004A2F3D" w:rsidRPr="009E6B7F">
        <w:t xml:space="preserve">the </w:t>
      </w:r>
      <w:r w:rsidRPr="009E6B7F">
        <w:t>Alberta Federation of Labour.</w:t>
      </w:r>
    </w:p>
    <w:p w:rsidR="00DF5A2C" w:rsidRPr="00212B8A" w:rsidRDefault="00212B8A" w:rsidP="00DF5A2C">
      <w:pPr>
        <w:pStyle w:val="JudgeJuge"/>
        <w:jc w:val="both"/>
        <w:rPr>
          <w:smallCaps w:val="0"/>
        </w:rPr>
      </w:pPr>
      <w:r>
        <w:tab/>
      </w:r>
      <w:r w:rsidRPr="00212B8A">
        <w:rPr>
          <w:smallCaps w:val="0"/>
        </w:rPr>
        <w:t>The judgment</w:t>
      </w:r>
      <w:r>
        <w:rPr>
          <w:smallCaps w:val="0"/>
        </w:rPr>
        <w:t xml:space="preserve"> of the Court was delivered by</w:t>
      </w:r>
    </w:p>
    <w:p w:rsidR="00DF5A2C" w:rsidRPr="007561FC" w:rsidRDefault="00DF5A2C" w:rsidP="00DF5A2C">
      <w:pPr>
        <w:pStyle w:val="JudgeJuge"/>
        <w:jc w:val="both"/>
      </w:pPr>
      <w:r w:rsidRPr="007561FC">
        <w:tab/>
        <w:t xml:space="preserve">Abella and Cromwell JJ. — </w:t>
      </w:r>
    </w:p>
    <w:p w:rsidR="00DF5A2C" w:rsidRPr="007561FC" w:rsidRDefault="00DF5A2C" w:rsidP="00DF5A2C">
      <w:pPr>
        <w:pStyle w:val="TitleTitre-AltT"/>
        <w:rPr>
          <w:rFonts w:cs="Times New Roman"/>
          <w:u w:val="single"/>
        </w:rPr>
      </w:pPr>
      <w:r w:rsidRPr="007561FC">
        <w:rPr>
          <w:rFonts w:cs="Times New Roman"/>
          <w:u w:val="single"/>
        </w:rPr>
        <w:lastRenderedPageBreak/>
        <w:t>Overview</w:t>
      </w:r>
    </w:p>
    <w:p w:rsidR="00DF5A2C" w:rsidRPr="007561FC" w:rsidRDefault="00DF5A2C" w:rsidP="00DF5A2C">
      <w:pPr>
        <w:pStyle w:val="ParaNoNdepar-AltN"/>
        <w:rPr>
          <w:rFonts w:cs="Times New Roman"/>
          <w:u w:val="single"/>
        </w:rPr>
      </w:pPr>
      <w:r w:rsidRPr="007561FC">
        <w:rPr>
          <w:rFonts w:cs="Times New Roman"/>
        </w:rPr>
        <w:t xml:space="preserve">This appeal requires the Court to determine whether Alberta’s </w:t>
      </w:r>
      <w:r w:rsidRPr="007561FC">
        <w:rPr>
          <w:rFonts w:cs="Times New Roman"/>
          <w:i/>
        </w:rPr>
        <w:t>Personal Information Protection Act</w:t>
      </w:r>
      <w:r w:rsidRPr="007561FC">
        <w:rPr>
          <w:rFonts w:cs="Times New Roman"/>
        </w:rPr>
        <w:t xml:space="preserve"> unjustifiably limits a union’s right to freedom of expression in the context of a lawful strike. At issue is whether the </w:t>
      </w:r>
      <w:r w:rsidRPr="007561FC">
        <w:rPr>
          <w:rFonts w:cs="Times New Roman"/>
          <w:i/>
        </w:rPr>
        <w:t>Act</w:t>
      </w:r>
      <w:r w:rsidRPr="007561FC">
        <w:rPr>
          <w:rFonts w:cs="Times New Roman"/>
        </w:rPr>
        <w:t xml:space="preserve"> achieves a constitutionally acceptable balance between the interests of individuals in controlling the collection, use and disclosure of their personal information and a union’s freedom of expression. </w:t>
      </w:r>
    </w:p>
    <w:p w:rsidR="00DF5A2C" w:rsidRPr="007561FC" w:rsidRDefault="00DF5A2C" w:rsidP="00DF5A2C">
      <w:pPr>
        <w:pStyle w:val="ParaNoNdepar-AltN"/>
        <w:rPr>
          <w:rFonts w:cs="Times New Roman"/>
          <w:u w:val="single"/>
        </w:rPr>
      </w:pPr>
      <w:r w:rsidRPr="007561FC">
        <w:rPr>
          <w:rFonts w:cs="Times New Roman"/>
        </w:rPr>
        <w:t xml:space="preserve">The dispute in this case arose when the United Food and Commercial Workers, Local 401 recorded and photographed individuals crossing its picketline for use in its labour dispute. Several individuals whose images were captured complained to the Information and Privacy Commissioner of Alberta that the Union’s activities contravened the </w:t>
      </w:r>
      <w:r w:rsidRPr="007561FC">
        <w:rPr>
          <w:rFonts w:cs="Times New Roman"/>
          <w:i/>
        </w:rPr>
        <w:t>Personal Information Protection Act</w:t>
      </w:r>
      <w:r w:rsidRPr="007561FC">
        <w:rPr>
          <w:rFonts w:cs="Times New Roman"/>
        </w:rPr>
        <w:t>, S.A. 2003, c. P-6.5 (“</w:t>
      </w:r>
      <w:r w:rsidRPr="007561FC">
        <w:rPr>
          <w:rFonts w:cs="Times New Roman"/>
          <w:i/>
        </w:rPr>
        <w:t>PIPA</w:t>
      </w:r>
      <w:r w:rsidRPr="007561FC">
        <w:rPr>
          <w:rFonts w:cs="Times New Roman"/>
        </w:rPr>
        <w:t>”), which restricts the collection, use and disclosure of personal information by a range of organizations. Those individuals were successful, prompting an application for judicial review on the basis that the legislation infringed the Union’s right to freedom of expression under s. 2(</w:t>
      </w:r>
      <w:r w:rsidRPr="007561FC">
        <w:rPr>
          <w:rFonts w:cs="Times New Roman"/>
          <w:i/>
        </w:rPr>
        <w:t>b</w:t>
      </w:r>
      <w:r w:rsidRPr="007561FC">
        <w:rPr>
          <w:rFonts w:cs="Times New Roman"/>
        </w:rPr>
        <w:t xml:space="preserve">) of the </w:t>
      </w:r>
      <w:r w:rsidRPr="007561FC">
        <w:rPr>
          <w:rFonts w:cs="Times New Roman"/>
          <w:i/>
        </w:rPr>
        <w:t xml:space="preserve">Canadian Charter of Rights and Freedoms </w:t>
      </w:r>
      <w:r w:rsidRPr="007561FC">
        <w:rPr>
          <w:rFonts w:cs="Times New Roman"/>
        </w:rPr>
        <w:t xml:space="preserve">and that this infringement was not justified under s. 1. </w:t>
      </w:r>
    </w:p>
    <w:p w:rsidR="00DF5A2C" w:rsidRPr="007561FC" w:rsidRDefault="00DF5A2C" w:rsidP="00DF5A2C">
      <w:pPr>
        <w:pStyle w:val="ParaNoNdepar-AltN"/>
        <w:rPr>
          <w:rFonts w:cs="Times New Roman"/>
          <w:u w:val="single"/>
        </w:rPr>
      </w:pPr>
      <w:r w:rsidRPr="007561FC">
        <w:rPr>
          <w:rFonts w:cs="Times New Roman"/>
        </w:rPr>
        <w:t>In our view, the legislation violates s. 2(</w:t>
      </w:r>
      <w:r w:rsidRPr="007561FC">
        <w:rPr>
          <w:rFonts w:cs="Times New Roman"/>
          <w:i/>
        </w:rPr>
        <w:t>b</w:t>
      </w:r>
      <w:r w:rsidRPr="007561FC">
        <w:rPr>
          <w:rFonts w:cs="Times New Roman"/>
        </w:rPr>
        <w:t>) because its impact on freedom of expression in the labour context is disproportionate and the infringement is not justified under s.</w:t>
      </w:r>
      <w:r w:rsidR="00094B92">
        <w:rPr>
          <w:rFonts w:cs="Times New Roman"/>
        </w:rPr>
        <w:t xml:space="preserve"> </w:t>
      </w:r>
      <w:r w:rsidRPr="007561FC">
        <w:rPr>
          <w:rFonts w:cs="Times New Roman"/>
        </w:rPr>
        <w:t xml:space="preserve">1.  </w:t>
      </w:r>
    </w:p>
    <w:p w:rsidR="00DF5A2C" w:rsidRPr="007561FC" w:rsidRDefault="00DF5A2C" w:rsidP="00DF5A2C">
      <w:pPr>
        <w:pStyle w:val="ParaNoNdepar-AltN"/>
        <w:numPr>
          <w:ilvl w:val="0"/>
          <w:numId w:val="0"/>
        </w:numPr>
        <w:rPr>
          <w:rFonts w:cs="Times New Roman"/>
          <w:u w:val="single"/>
        </w:rPr>
      </w:pPr>
      <w:r w:rsidRPr="007561FC">
        <w:rPr>
          <w:rFonts w:cs="Times New Roman"/>
          <w:u w:val="single"/>
        </w:rPr>
        <w:lastRenderedPageBreak/>
        <w:t>Facts</w:t>
      </w:r>
    </w:p>
    <w:p w:rsidR="00DF5A2C" w:rsidRPr="007561FC" w:rsidRDefault="00DF5A2C" w:rsidP="00DF5A2C">
      <w:pPr>
        <w:pStyle w:val="ParaNoNdepar-AltN"/>
        <w:rPr>
          <w:rFonts w:cs="Times New Roman"/>
        </w:rPr>
      </w:pPr>
      <w:r w:rsidRPr="007561FC">
        <w:rPr>
          <w:rFonts w:cs="Times New Roman"/>
        </w:rPr>
        <w:t xml:space="preserve">The Union represents employees at the Palace Casino at West Edmonton Mall in Alberta.  In 2006, during a lawful strike which lasted 305 days, both the Union and a security company hired by the employer video-taped and photographed the picketline near the main entrance to the Casino.  The Union posted signs in the area of the picketing stating that images of persons crossing the picketline might be placed on a website called www.casinoscabs.ca.  </w:t>
      </w:r>
    </w:p>
    <w:p w:rsidR="00DF5A2C" w:rsidRPr="007561FC" w:rsidRDefault="00DF5A2C" w:rsidP="00DF5A2C">
      <w:pPr>
        <w:pStyle w:val="ParaNoNdepar-AltN"/>
        <w:rPr>
          <w:rFonts w:cs="Times New Roman"/>
        </w:rPr>
      </w:pPr>
      <w:r w:rsidRPr="007561FC">
        <w:rPr>
          <w:rFonts w:cs="Times New Roman"/>
        </w:rPr>
        <w:t xml:space="preserve">Several individuals who were recorded crossing the picketline filed complaints with the Alberta Information and Privacy Commissioner under </w:t>
      </w:r>
      <w:r w:rsidRPr="007561FC">
        <w:rPr>
          <w:rFonts w:cs="Times New Roman"/>
          <w:i/>
        </w:rPr>
        <w:t>PIPA</w:t>
      </w:r>
      <w:r w:rsidRPr="00094B92">
        <w:rPr>
          <w:rFonts w:cs="Times New Roman"/>
        </w:rPr>
        <w:t>.</w:t>
      </w:r>
      <w:r w:rsidRPr="007561FC">
        <w:rPr>
          <w:rFonts w:cs="Times New Roman"/>
          <w:i/>
        </w:rPr>
        <w:t xml:space="preserve">  </w:t>
      </w:r>
      <w:r w:rsidRPr="007561FC">
        <w:rPr>
          <w:rFonts w:cs="Times New Roman"/>
        </w:rPr>
        <w:t xml:space="preserve">The Vice-President of the Casino complained that he was photographed or video-taped and that two pictures of him were used on a poster displayed at the picketline with the text: “This is [x’s] Police Mugshot.” Images of his head were also used in union newsletters and strike leaflets with captions intended to be humorous.  Another complainant, a member of the public, testified that cameras were trained on the entrance to the Casino where he would regularly meet friends.  A third complainant testified that she had been photographed and video-taped while working near the Casino entrance.  No recordings of the complainants were placed on the website.  </w:t>
      </w:r>
    </w:p>
    <w:p w:rsidR="00DF5A2C" w:rsidRPr="007561FC" w:rsidRDefault="00DF5A2C" w:rsidP="00DF5A2C">
      <w:pPr>
        <w:pStyle w:val="ParaNoNdepar-AltN"/>
        <w:rPr>
          <w:rFonts w:cs="Times New Roman"/>
        </w:rPr>
      </w:pPr>
      <w:r w:rsidRPr="007561FC">
        <w:rPr>
          <w:rFonts w:cs="Times New Roman"/>
        </w:rPr>
        <w:t xml:space="preserve">The Commissioner appointed an Adjudicator to decide whether the Union, in collecting, using and disclosing personal information about individuals without their consent had contravened </w:t>
      </w:r>
      <w:r w:rsidRPr="007561FC">
        <w:rPr>
          <w:rFonts w:cs="Times New Roman"/>
          <w:i/>
        </w:rPr>
        <w:t>PIPA</w:t>
      </w:r>
      <w:r w:rsidRPr="007561FC">
        <w:rPr>
          <w:rFonts w:cs="Times New Roman"/>
        </w:rPr>
        <w:t xml:space="preserve">.  In Alberta, the </w:t>
      </w:r>
      <w:r w:rsidRPr="007561FC">
        <w:rPr>
          <w:rFonts w:cs="Times New Roman"/>
          <w:i/>
        </w:rPr>
        <w:t>Administrative Procedures and Jurisdiction Act</w:t>
      </w:r>
      <w:r w:rsidRPr="007561FC">
        <w:rPr>
          <w:rFonts w:cs="Times New Roman"/>
        </w:rPr>
        <w:t>,</w:t>
      </w:r>
      <w:r w:rsidRPr="007561FC">
        <w:rPr>
          <w:rFonts w:cs="Times New Roman"/>
          <w:i/>
        </w:rPr>
        <w:t xml:space="preserve"> </w:t>
      </w:r>
      <w:r w:rsidRPr="007561FC">
        <w:rPr>
          <w:rFonts w:cs="Times New Roman"/>
        </w:rPr>
        <w:t>R.S.A. 2000, c. A-3,</w:t>
      </w:r>
      <w:r w:rsidRPr="007561FC">
        <w:rPr>
          <w:rFonts w:cs="Times New Roman"/>
          <w:i/>
        </w:rPr>
        <w:t xml:space="preserve"> </w:t>
      </w:r>
      <w:r w:rsidRPr="007561FC">
        <w:rPr>
          <w:rFonts w:cs="Times New Roman"/>
        </w:rPr>
        <w:t xml:space="preserve">and accompanying regulations </w:t>
      </w:r>
      <w:r w:rsidRPr="007561FC">
        <w:rPr>
          <w:rFonts w:cs="Times New Roman"/>
        </w:rPr>
        <w:lastRenderedPageBreak/>
        <w:t xml:space="preserve">prevent the Commissioner from deciding questions of constitutional law.  As a result, the Adjudicator lacked jurisdiction to consider the Union’s arguments on the constitutionality of </w:t>
      </w:r>
      <w:r w:rsidRPr="007561FC">
        <w:rPr>
          <w:rFonts w:cs="Times New Roman"/>
          <w:i/>
        </w:rPr>
        <w:t xml:space="preserve">PIPA </w:t>
      </w:r>
      <w:r w:rsidRPr="007561FC">
        <w:rPr>
          <w:rFonts w:cs="Times New Roman"/>
        </w:rPr>
        <w:t>or its application to the Union’s activities.  The Adjudicator accepted the Union’s evidence that it is common practice in Alberta for both employers and unions to video-tape and photograph picketlines and that the Union did so for the following reasons:</w:t>
      </w:r>
    </w:p>
    <w:p w:rsidR="00DF5A2C" w:rsidRPr="007561FC" w:rsidRDefault="00DF5A2C" w:rsidP="00094B92">
      <w:pPr>
        <w:pStyle w:val="Citation-AltC"/>
        <w:numPr>
          <w:ilvl w:val="0"/>
          <w:numId w:val="4"/>
        </w:numPr>
        <w:ind w:left="720" w:hanging="720"/>
      </w:pPr>
      <w:r w:rsidRPr="007561FC">
        <w:t>informing the public about the strike, including through pamphlets, newsletters and a website;</w:t>
      </w:r>
    </w:p>
    <w:p w:rsidR="00DF5A2C" w:rsidRPr="007561FC" w:rsidRDefault="00DF5A2C" w:rsidP="00DF5A2C">
      <w:pPr>
        <w:pStyle w:val="Citation-AltC"/>
        <w:ind w:left="1526"/>
      </w:pPr>
    </w:p>
    <w:p w:rsidR="00DF5A2C" w:rsidRPr="007561FC" w:rsidRDefault="00DF5A2C" w:rsidP="00094B92">
      <w:pPr>
        <w:pStyle w:val="Citation-AltC"/>
        <w:numPr>
          <w:ilvl w:val="0"/>
          <w:numId w:val="4"/>
        </w:numPr>
        <w:ind w:left="720" w:hanging="720"/>
      </w:pPr>
      <w:r w:rsidRPr="007561FC">
        <w:t>informing picketing Union members about the strike, including through pamphlets, newsletters and a website;</w:t>
      </w:r>
    </w:p>
    <w:p w:rsidR="00DF5A2C" w:rsidRPr="007561FC" w:rsidRDefault="00DF5A2C" w:rsidP="00DF5A2C">
      <w:pPr>
        <w:pStyle w:val="Citation-AltC"/>
        <w:ind w:left="1526"/>
      </w:pPr>
    </w:p>
    <w:p w:rsidR="00DF5A2C" w:rsidRPr="007561FC" w:rsidRDefault="00DF5A2C" w:rsidP="00094B92">
      <w:pPr>
        <w:pStyle w:val="Citation-AltC"/>
        <w:numPr>
          <w:ilvl w:val="0"/>
          <w:numId w:val="4"/>
        </w:numPr>
        <w:ind w:left="720" w:hanging="720"/>
      </w:pPr>
      <w:r w:rsidRPr="007561FC">
        <w:t xml:space="preserve">dissuading people from crossing the picketline; </w:t>
      </w:r>
    </w:p>
    <w:p w:rsidR="00DF5A2C" w:rsidRPr="007561FC" w:rsidRDefault="00DF5A2C" w:rsidP="00DF5A2C">
      <w:pPr>
        <w:pStyle w:val="Citation-AltC"/>
        <w:ind w:left="1526"/>
      </w:pPr>
    </w:p>
    <w:p w:rsidR="00DF5A2C" w:rsidRPr="007561FC" w:rsidRDefault="00DF5A2C" w:rsidP="00094B92">
      <w:pPr>
        <w:pStyle w:val="Citation-AltC"/>
        <w:numPr>
          <w:ilvl w:val="0"/>
          <w:numId w:val="4"/>
        </w:numPr>
        <w:ind w:left="720" w:hanging="720"/>
      </w:pPr>
      <w:r w:rsidRPr="007561FC">
        <w:t xml:space="preserve">acting as a deterrent to violence from non-picketers; </w:t>
      </w:r>
    </w:p>
    <w:p w:rsidR="00DF5A2C" w:rsidRPr="007561FC" w:rsidRDefault="00DF5A2C" w:rsidP="00DF5A2C">
      <w:pPr>
        <w:pStyle w:val="Citation-AltC"/>
        <w:ind w:left="1526"/>
      </w:pPr>
    </w:p>
    <w:p w:rsidR="00DF5A2C" w:rsidRPr="007561FC" w:rsidRDefault="00DF5A2C" w:rsidP="00094B92">
      <w:pPr>
        <w:pStyle w:val="Citation-AltC"/>
        <w:numPr>
          <w:ilvl w:val="0"/>
          <w:numId w:val="4"/>
        </w:numPr>
        <w:ind w:left="720" w:hanging="720"/>
      </w:pPr>
      <w:r w:rsidRPr="007561FC">
        <w:t xml:space="preserve">gathering evidence should it become relevant to an investigation or legal proceeding (both of altercations as well as to show long periods of peaceful picketing); </w:t>
      </w:r>
    </w:p>
    <w:p w:rsidR="00DF5A2C" w:rsidRPr="007561FC" w:rsidRDefault="00DF5A2C" w:rsidP="00DF5A2C">
      <w:pPr>
        <w:pStyle w:val="Citation-AltC"/>
        <w:ind w:left="1526"/>
      </w:pPr>
    </w:p>
    <w:p w:rsidR="00DF5A2C" w:rsidRPr="007561FC" w:rsidRDefault="00DF5A2C" w:rsidP="00094B92">
      <w:pPr>
        <w:pStyle w:val="Citation-AltC"/>
        <w:numPr>
          <w:ilvl w:val="0"/>
          <w:numId w:val="4"/>
        </w:numPr>
        <w:ind w:left="720" w:hanging="720"/>
      </w:pPr>
      <w:r w:rsidRPr="007561FC">
        <w:t xml:space="preserve">creating material for use as a training tool for Union members; </w:t>
      </w:r>
    </w:p>
    <w:p w:rsidR="00DF5A2C" w:rsidRPr="007561FC" w:rsidRDefault="00DF5A2C" w:rsidP="00DF5A2C">
      <w:pPr>
        <w:pStyle w:val="Citation-AltC"/>
        <w:ind w:left="1526"/>
      </w:pPr>
    </w:p>
    <w:p w:rsidR="00DF5A2C" w:rsidRPr="007561FC" w:rsidRDefault="00DF5A2C" w:rsidP="00094B92">
      <w:pPr>
        <w:pStyle w:val="Citation-AltC"/>
        <w:numPr>
          <w:ilvl w:val="0"/>
          <w:numId w:val="4"/>
        </w:numPr>
        <w:ind w:left="720" w:hanging="720"/>
      </w:pPr>
      <w:r w:rsidRPr="007561FC">
        <w:t>providing material to other unions for educational purposes;</w:t>
      </w:r>
    </w:p>
    <w:p w:rsidR="00DF5A2C" w:rsidRPr="007561FC" w:rsidRDefault="00DF5A2C" w:rsidP="00094B92">
      <w:pPr>
        <w:pStyle w:val="Citation-AltC"/>
        <w:ind w:left="720"/>
      </w:pPr>
    </w:p>
    <w:p w:rsidR="00DF5A2C" w:rsidRPr="007561FC" w:rsidRDefault="00DF5A2C" w:rsidP="00094B92">
      <w:pPr>
        <w:pStyle w:val="Citation-AltC"/>
        <w:numPr>
          <w:ilvl w:val="0"/>
          <w:numId w:val="4"/>
        </w:numPr>
        <w:ind w:left="720" w:hanging="720"/>
      </w:pPr>
      <w:r w:rsidRPr="007561FC">
        <w:t>supporting morale on the picket</w:t>
      </w:r>
      <w:r w:rsidR="00094B92">
        <w:t xml:space="preserve"> </w:t>
      </w:r>
      <w:r w:rsidRPr="007561FC">
        <w:t xml:space="preserve">line with the use of humour; </w:t>
      </w:r>
    </w:p>
    <w:p w:rsidR="00DF5A2C" w:rsidRPr="007561FC" w:rsidRDefault="00DF5A2C" w:rsidP="00DF5A2C">
      <w:pPr>
        <w:pStyle w:val="Citation-AltC"/>
        <w:ind w:left="1526"/>
      </w:pPr>
    </w:p>
    <w:p w:rsidR="00DF5A2C" w:rsidRPr="007561FC" w:rsidRDefault="00DF5A2C" w:rsidP="00094B92">
      <w:pPr>
        <w:pStyle w:val="Citation-AltC"/>
        <w:numPr>
          <w:ilvl w:val="0"/>
          <w:numId w:val="4"/>
        </w:numPr>
        <w:ind w:left="720" w:hanging="720"/>
      </w:pPr>
      <w:r w:rsidRPr="007561FC">
        <w:t>responding to similar activity on the part of the employer; and</w:t>
      </w:r>
    </w:p>
    <w:p w:rsidR="00DF5A2C" w:rsidRPr="007561FC" w:rsidRDefault="00DF5A2C" w:rsidP="00DF5A2C">
      <w:pPr>
        <w:pStyle w:val="Citation-AltC"/>
        <w:ind w:left="1526"/>
      </w:pPr>
    </w:p>
    <w:p w:rsidR="00DF5A2C" w:rsidRPr="007561FC" w:rsidRDefault="00DF5A2C" w:rsidP="00094B92">
      <w:pPr>
        <w:pStyle w:val="Citation-AltC"/>
        <w:numPr>
          <w:ilvl w:val="0"/>
          <w:numId w:val="4"/>
        </w:numPr>
        <w:ind w:left="720" w:hanging="720"/>
      </w:pPr>
      <w:r w:rsidRPr="007561FC">
        <w:t>deterring theft of Union property.</w:t>
      </w:r>
    </w:p>
    <w:p w:rsidR="00DF5A2C" w:rsidRPr="007561FC" w:rsidRDefault="00DF5A2C" w:rsidP="00094B92">
      <w:pPr>
        <w:pStyle w:val="ContinueParaSuitedupar-AltP"/>
        <w:spacing w:before="0" w:after="720" w:line="240" w:lineRule="auto"/>
        <w:rPr>
          <w:rFonts w:cs="Times New Roman"/>
        </w:rPr>
      </w:pPr>
      <w:r w:rsidRPr="007561FC">
        <w:rPr>
          <w:rStyle w:val="SCCLowerCourtJudge"/>
          <w:rFonts w:cs="Times New Roman"/>
        </w:rPr>
        <w:t>(</w:t>
      </w:r>
      <w:r w:rsidRPr="007561FC">
        <w:rPr>
          <w:rStyle w:val="SCCLowerCourtJudge"/>
          <w:rFonts w:cs="Times New Roman"/>
          <w:i/>
        </w:rPr>
        <w:t>Order P2008-008; United Food and Commercial Workers, Local 401</w:t>
      </w:r>
      <w:r w:rsidR="00094B92">
        <w:rPr>
          <w:rStyle w:val="SCCLowerCourtJudge"/>
          <w:rFonts w:cs="Times New Roman"/>
        </w:rPr>
        <w:t>, 2009 Can</w:t>
      </w:r>
      <w:r w:rsidRPr="007561FC">
        <w:rPr>
          <w:rStyle w:val="SCCLowerCourtJudge"/>
          <w:rFonts w:cs="Times New Roman"/>
        </w:rPr>
        <w:t>LII 90942 (AB OIPC), at para. 20)</w:t>
      </w:r>
      <w:r w:rsidRPr="007561FC">
        <w:rPr>
          <w:rFonts w:cs="Times New Roman"/>
        </w:rPr>
        <w:t xml:space="preserve"> </w:t>
      </w:r>
    </w:p>
    <w:p w:rsidR="00DF5A2C" w:rsidRPr="007561FC" w:rsidRDefault="00DF5A2C" w:rsidP="00DF5A2C">
      <w:pPr>
        <w:spacing w:line="480" w:lineRule="auto"/>
        <w:jc w:val="both"/>
        <w:rPr>
          <w:szCs w:val="24"/>
        </w:rPr>
      </w:pPr>
      <w:r w:rsidRPr="007561FC">
        <w:lastRenderedPageBreak/>
        <w:t xml:space="preserve">The Adjudicator concluded that “many of these purposes also promoted the underlying purpose of the strike — that of achieving a resolution to the labour dispute [in favour] of the Union”: para. 20.  </w:t>
      </w:r>
      <w:r w:rsidRPr="007561FC">
        <w:rPr>
          <w:szCs w:val="24"/>
        </w:rPr>
        <w:t xml:space="preserve">The Adjudicator concluded that the Union’s collection, use and disclosure of private information was for an expressive purpose.  As she put it, “one of the primary purposes of the Union’s information collection was to dissuade people from crossing the picket line”: para. 51.  She also concluded that she was not aware of, and had not been referred to, any provisions of </w:t>
      </w:r>
      <w:r w:rsidRPr="007561FC">
        <w:rPr>
          <w:i/>
          <w:szCs w:val="24"/>
        </w:rPr>
        <w:t>PIPA</w:t>
      </w:r>
      <w:r w:rsidRPr="007561FC">
        <w:rPr>
          <w:szCs w:val="24"/>
        </w:rPr>
        <w:t xml:space="preserve"> that would authorize collection, use and disclosure of personal information for that purpose: para. 67.  </w:t>
      </w:r>
      <w:r w:rsidRPr="007561FC">
        <w:t xml:space="preserve">She rejected the Union’s claim that it was covered by the “journalistic purposes” exemption because its activities were also aimed at resolving the labour dispute in its favour.  The “journalistic purposes” exemption in the </w:t>
      </w:r>
      <w:r w:rsidRPr="007561FC">
        <w:rPr>
          <w:i/>
        </w:rPr>
        <w:t>Act</w:t>
      </w:r>
      <w:r w:rsidRPr="007561FC">
        <w:t xml:space="preserve"> therefore did not apply to the extent that the information was collected, used or disclosed for other purposes.  The Union’s ancillary argument — that the collection, use and disclosure of personal information was authorized under another exemption — a possible investigation or legal proceeding — was accepted, but was not sufficient to exempt the Union’s activity from </w:t>
      </w:r>
      <w:r w:rsidRPr="007561FC">
        <w:rPr>
          <w:i/>
        </w:rPr>
        <w:t xml:space="preserve">PIPA </w:t>
      </w:r>
      <w:r w:rsidRPr="007561FC">
        <w:t xml:space="preserve">for any other purpose.  The Union was ordered to stop collecting the personal information for any purposes other than a possible investigation or legal proceeding and to destroy any personal information it had in its possession that had been obtained in contravention of the </w:t>
      </w:r>
      <w:r w:rsidRPr="007561FC">
        <w:rPr>
          <w:i/>
        </w:rPr>
        <w:t>Act</w:t>
      </w:r>
      <w:r w:rsidRPr="007561FC">
        <w:t>.</w:t>
      </w:r>
    </w:p>
    <w:p w:rsidR="00DF5A2C" w:rsidRPr="007561FC" w:rsidRDefault="00DF5A2C" w:rsidP="00DF5A2C">
      <w:pPr>
        <w:pStyle w:val="ParaNoNdepar-AltN"/>
        <w:rPr>
          <w:rFonts w:cs="Times New Roman"/>
        </w:rPr>
      </w:pPr>
      <w:r w:rsidRPr="007561FC">
        <w:rPr>
          <w:rFonts w:cs="Times New Roman"/>
        </w:rPr>
        <w:t xml:space="preserve">On judicial review, the Union argued that the provisions of </w:t>
      </w:r>
      <w:r w:rsidRPr="007561FC">
        <w:rPr>
          <w:rFonts w:cs="Times New Roman"/>
          <w:i/>
        </w:rPr>
        <w:t xml:space="preserve">PIPA </w:t>
      </w:r>
      <w:r w:rsidRPr="007561FC">
        <w:rPr>
          <w:rFonts w:cs="Times New Roman"/>
        </w:rPr>
        <w:t>that prevent it from collecting, using and disclosing personal information obtained from its lawful picketline infringed s. 2(</w:t>
      </w:r>
      <w:r w:rsidRPr="007561FC">
        <w:rPr>
          <w:rFonts w:cs="Times New Roman"/>
          <w:i/>
        </w:rPr>
        <w:t>b</w:t>
      </w:r>
      <w:r w:rsidRPr="007561FC">
        <w:rPr>
          <w:rFonts w:cs="Times New Roman"/>
        </w:rPr>
        <w:t xml:space="preserve">) of the </w:t>
      </w:r>
      <w:r w:rsidRPr="007561FC">
        <w:rPr>
          <w:rFonts w:cs="Times New Roman"/>
          <w:i/>
        </w:rPr>
        <w:t xml:space="preserve">Charter </w:t>
      </w:r>
      <w:r w:rsidRPr="007561FC">
        <w:rPr>
          <w:rFonts w:cs="Times New Roman"/>
        </w:rPr>
        <w:t xml:space="preserve">(2011 ABQB 415, 53 Alta. L.R. </w:t>
      </w:r>
      <w:r w:rsidRPr="007561FC">
        <w:rPr>
          <w:rFonts w:cs="Times New Roman"/>
        </w:rPr>
        <w:lastRenderedPageBreak/>
        <w:t>(5th) 235)</w:t>
      </w:r>
      <w:r w:rsidRPr="0081717D">
        <w:rPr>
          <w:rFonts w:cs="Times New Roman"/>
        </w:rPr>
        <w:t>.</w:t>
      </w:r>
      <w:r w:rsidRPr="007561FC">
        <w:rPr>
          <w:rFonts w:cs="Times New Roman"/>
          <w:i/>
        </w:rPr>
        <w:t xml:space="preserve"> </w:t>
      </w:r>
      <w:r w:rsidRPr="007561FC">
        <w:rPr>
          <w:rFonts w:cs="Times New Roman"/>
        </w:rPr>
        <w:t>The chambers judge found that the Union’s activity had expressive content and that there was no reason to exclude it from the protection of s. 2(</w:t>
      </w:r>
      <w:r w:rsidRPr="007561FC">
        <w:rPr>
          <w:rFonts w:cs="Times New Roman"/>
          <w:i/>
        </w:rPr>
        <w:t>b</w:t>
      </w:r>
      <w:r w:rsidRPr="007561FC">
        <w:rPr>
          <w:rFonts w:cs="Times New Roman"/>
        </w:rPr>
        <w:t xml:space="preserve">).  She found that </w:t>
      </w:r>
      <w:r w:rsidRPr="007561FC">
        <w:rPr>
          <w:rFonts w:cs="Times New Roman"/>
          <w:i/>
        </w:rPr>
        <w:t>PIPA</w:t>
      </w:r>
      <w:r w:rsidRPr="007561FC">
        <w:rPr>
          <w:rFonts w:cs="Times New Roman"/>
        </w:rPr>
        <w:t>,</w:t>
      </w:r>
      <w:r w:rsidRPr="007561FC">
        <w:rPr>
          <w:rFonts w:cs="Times New Roman"/>
          <w:i/>
        </w:rPr>
        <w:t xml:space="preserve"> </w:t>
      </w:r>
      <w:r w:rsidRPr="007561FC">
        <w:rPr>
          <w:rFonts w:cs="Times New Roman"/>
        </w:rPr>
        <w:t xml:space="preserve">as interpreted by the Adjudicator, directly limited the Union’s freedom of expression by preventing the Union from collecting, using, and disclosing personal information obtained about individuals while they were in public view.  She also concluded that the breach could not be justified under s. 1. </w:t>
      </w:r>
    </w:p>
    <w:p w:rsidR="00DF5A2C" w:rsidRPr="007561FC" w:rsidRDefault="00DF5A2C" w:rsidP="00DF5A2C">
      <w:pPr>
        <w:pStyle w:val="ParaNoNdepar-AltN"/>
        <w:rPr>
          <w:rFonts w:cs="Times New Roman"/>
        </w:rPr>
      </w:pPr>
      <w:r w:rsidRPr="007561FC">
        <w:rPr>
          <w:rFonts w:cs="Times New Roman"/>
        </w:rPr>
        <w:t xml:space="preserve">The Court of Appeal was of the view that the real issue in the case was whether it was justifiable to restrain expression in support of labour relations and collective bargaining activities (2012 ABCA 130, 57 Alta. L.R. (5th) 249).  It concluded that </w:t>
      </w:r>
      <w:r w:rsidRPr="007561FC">
        <w:rPr>
          <w:rFonts w:cs="Times New Roman"/>
          <w:i/>
        </w:rPr>
        <w:t>PIPA</w:t>
      </w:r>
      <w:r w:rsidRPr="007561FC">
        <w:rPr>
          <w:rFonts w:cs="Times New Roman"/>
        </w:rPr>
        <w:t xml:space="preserve"> was overbroad.  The privacy interest at stake was minor since the complainants were in a public place, crossing a picketline, and had notice that images were being collected.  On the other side of the balance was the right of workers to engage in collective bargaining and of the Union to communicate with the public: para. 74.  The Court of Appeal agreed with the chambers judge that there was a breach of s. 2(</w:t>
      </w:r>
      <w:r w:rsidRPr="007561FC">
        <w:rPr>
          <w:rFonts w:cs="Times New Roman"/>
          <w:i/>
        </w:rPr>
        <w:t>b</w:t>
      </w:r>
      <w:r w:rsidRPr="007561FC">
        <w:rPr>
          <w:rFonts w:cs="Times New Roman"/>
        </w:rPr>
        <w:t xml:space="preserve">) that could not be saved under s. 1 and it therefore granted the Union a constitutional exemption from the application of </w:t>
      </w:r>
      <w:r w:rsidRPr="007561FC">
        <w:rPr>
          <w:rFonts w:cs="Times New Roman"/>
          <w:i/>
        </w:rPr>
        <w:t>PIPA</w:t>
      </w:r>
      <w:r w:rsidRPr="007561FC">
        <w:rPr>
          <w:rFonts w:cs="Times New Roman"/>
        </w:rPr>
        <w:t xml:space="preserve">.   </w:t>
      </w:r>
    </w:p>
    <w:p w:rsidR="00DF5A2C" w:rsidRPr="007561FC" w:rsidRDefault="00DF5A2C" w:rsidP="00DF5A2C">
      <w:pPr>
        <w:pStyle w:val="TitleTitre-AltT"/>
        <w:rPr>
          <w:rFonts w:cs="Times New Roman"/>
          <w:u w:val="single"/>
        </w:rPr>
      </w:pPr>
      <w:r w:rsidRPr="007561FC">
        <w:rPr>
          <w:rFonts w:cs="Times New Roman"/>
          <w:u w:val="single"/>
        </w:rPr>
        <w:t>Analysis</w:t>
      </w:r>
    </w:p>
    <w:p w:rsidR="00DF5A2C" w:rsidRPr="007561FC" w:rsidRDefault="00DF5A2C" w:rsidP="00DF5A2C">
      <w:pPr>
        <w:pStyle w:val="ParaNoNdepar-AltN"/>
        <w:rPr>
          <w:rFonts w:cs="Times New Roman"/>
        </w:rPr>
      </w:pPr>
      <w:r w:rsidRPr="007561FC">
        <w:rPr>
          <w:rFonts w:cs="Times New Roman"/>
        </w:rPr>
        <w:t>The stated constitutional questions in this case are:</w:t>
      </w:r>
    </w:p>
    <w:p w:rsidR="00DF5A2C" w:rsidRPr="007561FC" w:rsidRDefault="00DF5A2C" w:rsidP="0081717D">
      <w:pPr>
        <w:pStyle w:val="Citation-AltC"/>
        <w:ind w:left="1440" w:hanging="360"/>
      </w:pPr>
      <w:r w:rsidRPr="007561FC">
        <w:t xml:space="preserve">1. </w:t>
      </w:r>
      <w:r w:rsidRPr="007561FC">
        <w:tab/>
        <w:t xml:space="preserve">Do the </w:t>
      </w:r>
      <w:r w:rsidRPr="007561FC">
        <w:rPr>
          <w:i/>
        </w:rPr>
        <w:t>Personal Information Protection Act</w:t>
      </w:r>
      <w:r w:rsidRPr="007561FC">
        <w:t xml:space="preserve">, S.A. 2003, c. P-6.5, and the </w:t>
      </w:r>
      <w:r w:rsidRPr="007561FC">
        <w:rPr>
          <w:i/>
        </w:rPr>
        <w:t>Personal Information Protection Act Regulation</w:t>
      </w:r>
      <w:r w:rsidRPr="007561FC">
        <w:t>, Alta</w:t>
      </w:r>
      <w:r w:rsidR="007A161D">
        <w:t>.</w:t>
      </w:r>
      <w:r w:rsidRPr="007561FC">
        <w:t xml:space="preserve"> Reg. 366/2003, violate s. 2(</w:t>
      </w:r>
      <w:r w:rsidRPr="007561FC">
        <w:rPr>
          <w:i/>
        </w:rPr>
        <w:t>b</w:t>
      </w:r>
      <w:r w:rsidRPr="007561FC">
        <w:t xml:space="preserve">) of the </w:t>
      </w:r>
      <w:r w:rsidRPr="007561FC">
        <w:rPr>
          <w:i/>
        </w:rPr>
        <w:t xml:space="preserve">Canadian Charter of Rights and </w:t>
      </w:r>
      <w:r w:rsidRPr="007561FC">
        <w:rPr>
          <w:i/>
        </w:rPr>
        <w:lastRenderedPageBreak/>
        <w:t>Freedoms</w:t>
      </w:r>
      <w:r w:rsidRPr="007561FC">
        <w:t xml:space="preserve"> insofar as they restrict a union’s ability to collect, use or disclose personal information during the course of a lawful strike?</w:t>
      </w:r>
    </w:p>
    <w:p w:rsidR="00DF5A2C" w:rsidRPr="007561FC" w:rsidRDefault="00DF5A2C" w:rsidP="00DF5A2C">
      <w:pPr>
        <w:pStyle w:val="Citation-AltC"/>
      </w:pPr>
    </w:p>
    <w:p w:rsidR="00DF5A2C" w:rsidRPr="007561FC" w:rsidRDefault="00DF5A2C" w:rsidP="0081717D">
      <w:pPr>
        <w:pStyle w:val="Citation-AltC"/>
        <w:ind w:left="1440" w:hanging="360"/>
      </w:pPr>
      <w:r w:rsidRPr="007561FC">
        <w:t>2.</w:t>
      </w:r>
      <w:r w:rsidRPr="007561FC">
        <w:tab/>
        <w:t xml:space="preserve">If so, is the infringement a reasonable limit prescribed by law, which can be demonstrably justified in a free and democratic society under s. 1 of the </w:t>
      </w:r>
      <w:r w:rsidRPr="007561FC">
        <w:rPr>
          <w:i/>
        </w:rPr>
        <w:t>Canadian Charter of Rights and Freedoms</w:t>
      </w:r>
      <w:r w:rsidRPr="007561FC">
        <w:t>?</w:t>
      </w:r>
    </w:p>
    <w:p w:rsidR="00DF5A2C" w:rsidRPr="007561FC" w:rsidRDefault="00DF5A2C" w:rsidP="00DF5A2C">
      <w:pPr>
        <w:pStyle w:val="ParaNoNdepar-AltN"/>
        <w:rPr>
          <w:rFonts w:cs="Times New Roman"/>
        </w:rPr>
      </w:pPr>
      <w:r w:rsidRPr="007561FC">
        <w:rPr>
          <w:rFonts w:cs="Times New Roman"/>
        </w:rPr>
        <w:t xml:space="preserve">We turn first to the question of whether </w:t>
      </w:r>
      <w:r w:rsidRPr="007561FC">
        <w:rPr>
          <w:rFonts w:cs="Times New Roman"/>
          <w:i/>
        </w:rPr>
        <w:t>PIPA</w:t>
      </w:r>
      <w:r w:rsidRPr="007561FC">
        <w:rPr>
          <w:rFonts w:cs="Times New Roman"/>
        </w:rPr>
        <w:t xml:space="preserve"> limits freedom of expression.  This case arises in the specific factual context that was before the Adjudicator, but the challenge is to </w:t>
      </w:r>
      <w:r w:rsidRPr="007561FC">
        <w:rPr>
          <w:rFonts w:cs="Times New Roman"/>
          <w:i/>
        </w:rPr>
        <w:t>PIPA</w:t>
      </w:r>
      <w:r w:rsidRPr="007561FC">
        <w:rPr>
          <w:rFonts w:cs="Times New Roman"/>
        </w:rPr>
        <w:t xml:space="preserve"> as a whole.  While there was some debate about whether particular aspects of the conduct engaged in by the Union were protected by s. 2(</w:t>
      </w:r>
      <w:r w:rsidRPr="007561FC">
        <w:rPr>
          <w:rFonts w:cs="Times New Roman"/>
          <w:i/>
        </w:rPr>
        <w:t>b</w:t>
      </w:r>
      <w:r w:rsidRPr="007561FC">
        <w:rPr>
          <w:rFonts w:cs="Times New Roman"/>
        </w:rPr>
        <w:t xml:space="preserve">), there can be no doubt, in our view, that </w:t>
      </w:r>
      <w:r w:rsidRPr="007561FC">
        <w:rPr>
          <w:rFonts w:cs="Times New Roman"/>
          <w:i/>
        </w:rPr>
        <w:t>PIPA</w:t>
      </w:r>
      <w:r w:rsidRPr="007561FC">
        <w:rPr>
          <w:rFonts w:cs="Times New Roman"/>
        </w:rPr>
        <w:t xml:space="preserve"> limits expressive activity that is so protected. The reviewing judge and the Court of Appeal both recognized that the collection, use and disclosure of personal information by the Union in the context of picketing during a lawful strike is inherently expressive. We agree. </w:t>
      </w:r>
    </w:p>
    <w:p w:rsidR="00DF5A2C" w:rsidRPr="007561FC" w:rsidRDefault="00DF5A2C" w:rsidP="00DF5A2C">
      <w:pPr>
        <w:pStyle w:val="ParaNoNdepar-AltN"/>
        <w:rPr>
          <w:rFonts w:cs="Times New Roman"/>
        </w:rPr>
      </w:pPr>
      <w:r w:rsidRPr="007561FC">
        <w:rPr>
          <w:rFonts w:cs="Times New Roman"/>
        </w:rPr>
        <w:t>As the parties conceded, freedom of expression under s. 2(</w:t>
      </w:r>
      <w:r w:rsidRPr="007561FC">
        <w:rPr>
          <w:rFonts w:cs="Times New Roman"/>
          <w:i/>
        </w:rPr>
        <w:t>b</w:t>
      </w:r>
      <w:r w:rsidRPr="007561FC">
        <w:rPr>
          <w:rFonts w:cs="Times New Roman"/>
        </w:rPr>
        <w:t xml:space="preserve">) is clearly engaged by the Union’s activities.  The Union collected personal information by recording the picketline.  One of the primary purposes for the Union’s </w:t>
      </w:r>
      <w:r w:rsidRPr="007561FC">
        <w:rPr>
          <w:rFonts w:cs="Times New Roman"/>
          <w:i/>
        </w:rPr>
        <w:t>collection</w:t>
      </w:r>
      <w:r w:rsidRPr="007561FC">
        <w:rPr>
          <w:rFonts w:cs="Times New Roman"/>
        </w:rPr>
        <w:t xml:space="preserve"> of personal information was, as the Adjudicator recognized, to dissuade people from crossing the picketline: </w:t>
      </w:r>
      <w:r w:rsidR="007A161D">
        <w:rPr>
          <w:rFonts w:cs="Times New Roman"/>
        </w:rPr>
        <w:t>para. 51; Goss J., at paras. 31-</w:t>
      </w:r>
      <w:r w:rsidRPr="007561FC">
        <w:rPr>
          <w:rFonts w:cs="Times New Roman"/>
        </w:rPr>
        <w:t>34; Court of Appeal, at para. 64.  Recording conduct related to picketing and, in particular, recording a lawful</w:t>
      </w:r>
      <w:r>
        <w:rPr>
          <w:rFonts w:cs="Times New Roman"/>
        </w:rPr>
        <w:t xml:space="preserve"> picket</w:t>
      </w:r>
      <w:r w:rsidRPr="007561FC">
        <w:rPr>
          <w:rFonts w:cs="Times New Roman"/>
        </w:rPr>
        <w:t xml:space="preserve">line and any individuals who crossed it, is expressive activity: its purpose was to persuade individuals to support the Union.  So too is recording and potentially </w:t>
      </w:r>
      <w:r w:rsidRPr="007561FC">
        <w:rPr>
          <w:rFonts w:cs="Times New Roman"/>
        </w:rPr>
        <w:lastRenderedPageBreak/>
        <w:t xml:space="preserve">using or distributing recordings of persons crossing the picketline for deterring people from crossing the picketline and informing the public about the strike.  </w:t>
      </w:r>
    </w:p>
    <w:p w:rsidR="00DF5A2C" w:rsidRPr="007561FC" w:rsidRDefault="00DF5A2C" w:rsidP="00DF5A2C">
      <w:pPr>
        <w:pStyle w:val="ParaNoNdepar-AltN"/>
        <w:rPr>
          <w:rFonts w:cs="Times New Roman"/>
        </w:rPr>
      </w:pPr>
      <w:r w:rsidRPr="007561FC">
        <w:rPr>
          <w:rFonts w:cs="Times New Roman"/>
        </w:rPr>
        <w:t xml:space="preserve">To understand how </w:t>
      </w:r>
      <w:r w:rsidRPr="007561FC">
        <w:rPr>
          <w:rFonts w:cs="Times New Roman"/>
          <w:i/>
        </w:rPr>
        <w:t xml:space="preserve">PIPA </w:t>
      </w:r>
      <w:r w:rsidRPr="007561FC">
        <w:rPr>
          <w:rFonts w:cs="Times New Roman"/>
        </w:rPr>
        <w:t xml:space="preserve">limited the Union’s expressive activities, it is helpful to review the legislation in some detail. </w:t>
      </w:r>
    </w:p>
    <w:p w:rsidR="00DF5A2C" w:rsidRPr="007561FC" w:rsidRDefault="00DF5A2C" w:rsidP="00DF5A2C">
      <w:pPr>
        <w:pStyle w:val="ParaNoNdepar-AltN"/>
        <w:rPr>
          <w:rFonts w:cs="Times New Roman"/>
        </w:rPr>
      </w:pPr>
      <w:r w:rsidRPr="007561FC">
        <w:rPr>
          <w:rFonts w:cs="Times New Roman"/>
        </w:rPr>
        <w:t xml:space="preserve">Alberta’s </w:t>
      </w:r>
      <w:r w:rsidRPr="007561FC">
        <w:rPr>
          <w:rFonts w:cs="Times New Roman"/>
          <w:i/>
        </w:rPr>
        <w:t xml:space="preserve">PIPA </w:t>
      </w:r>
      <w:r w:rsidRPr="007561FC">
        <w:rPr>
          <w:rFonts w:cs="Times New Roman"/>
        </w:rPr>
        <w:t xml:space="preserve">was inspired by the federal </w:t>
      </w:r>
      <w:r w:rsidRPr="007561FC">
        <w:rPr>
          <w:rFonts w:cs="Times New Roman"/>
          <w:i/>
        </w:rPr>
        <w:t>Personal Information Protection and Electronic Documents Act</w:t>
      </w:r>
      <w:r w:rsidRPr="007561FC">
        <w:rPr>
          <w:rFonts w:cs="Times New Roman"/>
        </w:rPr>
        <w:t>, S.C. 2000, c. 5 (“</w:t>
      </w:r>
      <w:r w:rsidRPr="007561FC">
        <w:rPr>
          <w:rFonts w:cs="Times New Roman"/>
          <w:i/>
        </w:rPr>
        <w:t>PIPEDA</w:t>
      </w:r>
      <w:r w:rsidRPr="007561FC">
        <w:rPr>
          <w:rFonts w:cs="Times New Roman"/>
        </w:rPr>
        <w:t xml:space="preserve">”).  Both pieces of legislation are part of an international movement towards giving individuals better control over their personal information: Éloïse Gratton, </w:t>
      </w:r>
      <w:r w:rsidRPr="007561FC">
        <w:rPr>
          <w:rFonts w:cs="Times New Roman"/>
          <w:i/>
        </w:rPr>
        <w:t>Understanding Personal Information: Managing Privacy Risks</w:t>
      </w:r>
      <w:r w:rsidRPr="007561FC">
        <w:rPr>
          <w:rFonts w:cs="Times New Roman"/>
        </w:rPr>
        <w:t xml:space="preserve"> (2013), at pp. 6 ff.  </w:t>
      </w:r>
      <w:r w:rsidRPr="007561FC">
        <w:rPr>
          <w:rFonts w:cs="Times New Roman"/>
          <w:i/>
        </w:rPr>
        <w:t>PIPEDA</w:t>
      </w:r>
      <w:r w:rsidRPr="007561FC">
        <w:rPr>
          <w:rFonts w:cs="Times New Roman"/>
        </w:rPr>
        <w:t xml:space="preserve"> generally applies to private sector organizations engaged in commercial activities in any province.  It does not apply, however, if the Governor in Council determines that there is comparable protection in place in the province, as is the case with respect to </w:t>
      </w:r>
      <w:r w:rsidRPr="007561FC">
        <w:rPr>
          <w:rFonts w:cs="Times New Roman"/>
          <w:i/>
        </w:rPr>
        <w:t xml:space="preserve">PIPA </w:t>
      </w:r>
      <w:r w:rsidRPr="007561FC">
        <w:rPr>
          <w:rFonts w:cs="Times New Roman"/>
        </w:rPr>
        <w:t xml:space="preserve">in Alberta: </w:t>
      </w:r>
      <w:r w:rsidRPr="007561FC">
        <w:rPr>
          <w:rFonts w:cs="Times New Roman"/>
          <w:i/>
        </w:rPr>
        <w:t>PIPEDA</w:t>
      </w:r>
      <w:r w:rsidRPr="007561FC">
        <w:rPr>
          <w:rFonts w:cs="Times New Roman"/>
        </w:rPr>
        <w:t>, s. 26(2)(</w:t>
      </w:r>
      <w:r w:rsidRPr="007561FC">
        <w:rPr>
          <w:rFonts w:cs="Times New Roman"/>
          <w:i/>
        </w:rPr>
        <w:t>b</w:t>
      </w:r>
      <w:r w:rsidRPr="007561FC">
        <w:rPr>
          <w:rFonts w:cs="Times New Roman"/>
        </w:rPr>
        <w:t xml:space="preserve">); Michel W. Drapeau and Marc-Aurèle Racicot, </w:t>
      </w:r>
      <w:r w:rsidRPr="007561FC">
        <w:rPr>
          <w:rFonts w:cs="Times New Roman"/>
          <w:i/>
        </w:rPr>
        <w:t>Protection of Privacy in the Canadian Private and Health Sectors 2013</w:t>
      </w:r>
      <w:r w:rsidRPr="007561FC">
        <w:rPr>
          <w:rFonts w:cs="Times New Roman"/>
        </w:rPr>
        <w:t xml:space="preserve"> (2012), at p. AB-3.  </w:t>
      </w:r>
    </w:p>
    <w:p w:rsidR="00DF5A2C" w:rsidRPr="007561FC" w:rsidRDefault="00DF5A2C" w:rsidP="00DF5A2C">
      <w:pPr>
        <w:pStyle w:val="ParaNoNdepar-AltN"/>
        <w:rPr>
          <w:rFonts w:cs="Times New Roman"/>
        </w:rPr>
      </w:pPr>
      <w:r w:rsidRPr="007561FC">
        <w:rPr>
          <w:rFonts w:cs="Times New Roman"/>
          <w:i/>
        </w:rPr>
        <w:t>PIPA</w:t>
      </w:r>
      <w:r w:rsidRPr="00B04050">
        <w:rPr>
          <w:rFonts w:cs="Times New Roman"/>
        </w:rPr>
        <w:t>’s</w:t>
      </w:r>
      <w:r w:rsidRPr="007561FC">
        <w:rPr>
          <w:rFonts w:cs="Times New Roman"/>
          <w:i/>
        </w:rPr>
        <w:t xml:space="preserve"> </w:t>
      </w:r>
      <w:r w:rsidRPr="007561FC">
        <w:rPr>
          <w:rFonts w:cs="Times New Roman"/>
        </w:rPr>
        <w:t xml:space="preserve">stated purpose is almost identical to that of the </w:t>
      </w:r>
      <w:r w:rsidRPr="007561FC">
        <w:rPr>
          <w:rFonts w:cs="Times New Roman"/>
          <w:i/>
        </w:rPr>
        <w:t>PIPEDA</w:t>
      </w:r>
      <w:r w:rsidRPr="007561FC">
        <w:rPr>
          <w:rFonts w:cs="Times New Roman"/>
        </w:rPr>
        <w:t xml:space="preserve">. </w:t>
      </w:r>
      <w:r w:rsidRPr="007561FC">
        <w:rPr>
          <w:rFonts w:cs="Times New Roman"/>
          <w:i/>
        </w:rPr>
        <w:t>PIPA</w:t>
      </w:r>
      <w:r w:rsidRPr="00B04050">
        <w:rPr>
          <w:rFonts w:cs="Times New Roman"/>
        </w:rPr>
        <w:t xml:space="preserve">’s </w:t>
      </w:r>
      <w:r w:rsidRPr="007561FC">
        <w:rPr>
          <w:rFonts w:cs="Times New Roman"/>
        </w:rPr>
        <w:t>purpose is explicitly set out in s. 3, which states that it is</w:t>
      </w:r>
    </w:p>
    <w:p w:rsidR="00DF5A2C" w:rsidRPr="007561FC" w:rsidRDefault="00DF5A2C" w:rsidP="00DF5A2C">
      <w:pPr>
        <w:pStyle w:val="Citation-AltC"/>
      </w:pPr>
      <w:r w:rsidRPr="007561FC">
        <w:t>to govern the collection, use and disclosure of personal information by organizations in a manner that recognizes both the right of an individual to have his or her personal information protected and the need of organizations to collect, use or disclose personal information for purposes that are reasonable.</w:t>
      </w:r>
    </w:p>
    <w:p w:rsidR="00DF5A2C" w:rsidRPr="007561FC" w:rsidRDefault="00DF5A2C" w:rsidP="00DF5A2C">
      <w:pPr>
        <w:pStyle w:val="ParaNoNdepar-AltN"/>
        <w:rPr>
          <w:rFonts w:cs="Times New Roman"/>
        </w:rPr>
      </w:pPr>
      <w:r w:rsidRPr="007561FC">
        <w:rPr>
          <w:rFonts w:cs="Times New Roman"/>
        </w:rPr>
        <w:lastRenderedPageBreak/>
        <w:t xml:space="preserve">The scope of </w:t>
      </w:r>
      <w:r w:rsidRPr="007561FC">
        <w:rPr>
          <w:rFonts w:cs="Times New Roman"/>
          <w:i/>
        </w:rPr>
        <w:t>PIPA</w:t>
      </w:r>
      <w:r w:rsidRPr="007561FC">
        <w:rPr>
          <w:rFonts w:cs="Times New Roman"/>
        </w:rPr>
        <w:t xml:space="preserve"> is, however, considerably broader than that of </w:t>
      </w:r>
      <w:r w:rsidRPr="007561FC">
        <w:rPr>
          <w:rFonts w:cs="Times New Roman"/>
          <w:i/>
        </w:rPr>
        <w:t>PIPEDA</w:t>
      </w:r>
      <w:r w:rsidRPr="007561FC">
        <w:rPr>
          <w:rFonts w:cs="Times New Roman"/>
        </w:rPr>
        <w:t xml:space="preserve">. Unlike </w:t>
      </w:r>
      <w:r w:rsidRPr="007561FC">
        <w:rPr>
          <w:rFonts w:cs="Times New Roman"/>
          <w:i/>
        </w:rPr>
        <w:t>PIPEDA</w:t>
      </w:r>
      <w:r w:rsidRPr="007561FC">
        <w:rPr>
          <w:rFonts w:cs="Times New Roman"/>
        </w:rPr>
        <w:t xml:space="preserve">, </w:t>
      </w:r>
      <w:r w:rsidRPr="007561FC">
        <w:rPr>
          <w:rFonts w:cs="Times New Roman"/>
          <w:i/>
        </w:rPr>
        <w:t>PIPA</w:t>
      </w:r>
      <w:r w:rsidRPr="007561FC">
        <w:rPr>
          <w:rFonts w:cs="Times New Roman"/>
        </w:rPr>
        <w:t xml:space="preserve">’s limitations on the collection, use and disclosure of personal information are not restricted to those activities undertaken for commercial purposes.  Instead, </w:t>
      </w:r>
      <w:r w:rsidRPr="007561FC">
        <w:rPr>
          <w:rFonts w:cs="Times New Roman"/>
          <w:i/>
        </w:rPr>
        <w:t>PIPA</w:t>
      </w:r>
      <w:r w:rsidRPr="007561FC">
        <w:rPr>
          <w:rFonts w:cs="Times New Roman"/>
        </w:rPr>
        <w:t xml:space="preserve"> establishes a general rule that organizations cannot collect, use or disclose personal information without consent: s. 7(1).  Except as provided for by </w:t>
      </w:r>
      <w:r w:rsidRPr="007561FC">
        <w:rPr>
          <w:rFonts w:cs="Times New Roman"/>
          <w:i/>
        </w:rPr>
        <w:t>PIPA</w:t>
      </w:r>
      <w:r w:rsidRPr="007561FC">
        <w:rPr>
          <w:rFonts w:cs="Times New Roman"/>
        </w:rPr>
        <w:t>, it “applies to every organization and in respect of all personal information”: s. 4(1).  The term “organization” includes a corporation, an unincorporated association, a trade union, a partnership, or an individual acting in a commercial capacity: s. 1(1)(i). The term “personal information” is defined broadly to mean “information about an identifiable individual”: s. 1(1)(k).  The Commissioner has made it clear that personal information includes information that is not “private”, so that “personal information does not lose its character as personal information if the i</w:t>
      </w:r>
      <w:r w:rsidR="00B04050">
        <w:rPr>
          <w:rFonts w:cs="Times New Roman"/>
        </w:rPr>
        <w:t>nformation is widely or public</w:t>
      </w:r>
      <w:r w:rsidRPr="007561FC">
        <w:rPr>
          <w:rFonts w:cs="Times New Roman"/>
        </w:rPr>
        <w:t xml:space="preserve">ly known”: </w:t>
      </w:r>
      <w:r w:rsidRPr="007561FC">
        <w:rPr>
          <w:rFonts w:cs="Times New Roman"/>
          <w:i/>
        </w:rPr>
        <w:t>Order P2010-003;</w:t>
      </w:r>
      <w:r w:rsidRPr="007561FC">
        <w:rPr>
          <w:rFonts w:cs="Times New Roman"/>
        </w:rPr>
        <w:t xml:space="preserve"> </w:t>
      </w:r>
      <w:r w:rsidRPr="007561FC">
        <w:rPr>
          <w:rFonts w:cs="Times New Roman"/>
          <w:i/>
        </w:rPr>
        <w:t>Synergen Housing Co</w:t>
      </w:r>
      <w:r w:rsidR="008B727A">
        <w:rPr>
          <w:rFonts w:cs="Times New Roman"/>
          <w:i/>
        </w:rPr>
        <w:t>-</w:t>
      </w:r>
      <w:r w:rsidRPr="007561FC">
        <w:rPr>
          <w:rFonts w:cs="Times New Roman"/>
          <w:i/>
        </w:rPr>
        <w:t>op Ltd.</w:t>
      </w:r>
      <w:r w:rsidRPr="007561FC">
        <w:rPr>
          <w:rFonts w:cs="Times New Roman"/>
        </w:rPr>
        <w:t xml:space="preserve">, 2010 CanLII 98626 (AB OIPC), at para. 17. </w:t>
      </w:r>
    </w:p>
    <w:p w:rsidR="00DF5A2C" w:rsidRPr="007561FC" w:rsidRDefault="00DF5A2C" w:rsidP="00DF5A2C">
      <w:pPr>
        <w:pStyle w:val="ParaNoNdepar-AltN"/>
        <w:rPr>
          <w:rFonts w:cs="Times New Roman"/>
        </w:rPr>
      </w:pPr>
      <w:r w:rsidRPr="007561FC">
        <w:rPr>
          <w:rFonts w:cs="Times New Roman"/>
        </w:rPr>
        <w:t xml:space="preserve">The breadth of </w:t>
      </w:r>
      <w:r w:rsidRPr="007561FC">
        <w:rPr>
          <w:rFonts w:cs="Times New Roman"/>
          <w:i/>
        </w:rPr>
        <w:t>PIPA</w:t>
      </w:r>
      <w:r w:rsidRPr="007561FC">
        <w:rPr>
          <w:rFonts w:cs="Times New Roman"/>
        </w:rPr>
        <w:t xml:space="preserve"> is mitigated by a series of exemptions.  The most relevant include the following.  First, through a restriction on the definition of “organization”, </w:t>
      </w:r>
      <w:r w:rsidRPr="007561FC">
        <w:rPr>
          <w:rFonts w:cs="Times New Roman"/>
          <w:i/>
        </w:rPr>
        <w:t>PIPA</w:t>
      </w:r>
      <w:r w:rsidRPr="007561FC">
        <w:rPr>
          <w:rFonts w:cs="Times New Roman"/>
        </w:rPr>
        <w:t xml:space="preserve"> excludes from its application individuals acting in a “personal or domestic capacity”: s</w:t>
      </w:r>
      <w:r w:rsidR="00F502AC">
        <w:rPr>
          <w:rFonts w:cs="Times New Roman"/>
        </w:rPr>
        <w:t>s</w:t>
      </w:r>
      <w:r w:rsidRPr="007561FC">
        <w:rPr>
          <w:rFonts w:cs="Times New Roman"/>
        </w:rPr>
        <w:t xml:space="preserve">. 1(1)(i) and 4(3)(a). Second, s. 56(2) and (3) operate together so that </w:t>
      </w:r>
      <w:r w:rsidRPr="007561FC">
        <w:rPr>
          <w:rFonts w:cs="Times New Roman"/>
          <w:i/>
        </w:rPr>
        <w:t>PIPA</w:t>
      </w:r>
      <w:r w:rsidRPr="007561FC">
        <w:rPr>
          <w:rFonts w:cs="Times New Roman"/>
        </w:rPr>
        <w:t xml:space="preserve"> does not apply to a non-profit organization unless that organization collects, uses, or discloses information in connection with a commercial activity. Third, the application provision indicates that </w:t>
      </w:r>
      <w:r w:rsidRPr="007561FC">
        <w:rPr>
          <w:rFonts w:cs="Times New Roman"/>
          <w:i/>
        </w:rPr>
        <w:t>PIPA</w:t>
      </w:r>
      <w:r w:rsidRPr="007561FC">
        <w:rPr>
          <w:rFonts w:cs="Times New Roman"/>
        </w:rPr>
        <w:t xml:space="preserve"> does not apply in certain circumstances, including when information is collected, used, or disclosed for </w:t>
      </w:r>
      <w:r w:rsidRPr="007561FC">
        <w:rPr>
          <w:rFonts w:cs="Times New Roman"/>
        </w:rPr>
        <w:lastRenderedPageBreak/>
        <w:t xml:space="preserve">“artistic or literary purposes and for no other purpose” (s. 4(3)(b)) or when it is collected, used or disclosed for “journalistic purposes </w:t>
      </w:r>
      <w:r w:rsidRPr="007561FC">
        <w:rPr>
          <w:rFonts w:cs="Times New Roman"/>
          <w:i/>
        </w:rPr>
        <w:t>and for no other purpose</w:t>
      </w:r>
      <w:r w:rsidRPr="007561FC">
        <w:rPr>
          <w:rFonts w:cs="Times New Roman"/>
        </w:rPr>
        <w:t xml:space="preserve">” (s. 4(3)(c)). Finally, </w:t>
      </w:r>
      <w:r w:rsidRPr="007561FC">
        <w:rPr>
          <w:rFonts w:cs="Times New Roman"/>
          <w:i/>
        </w:rPr>
        <w:t>PIPA</w:t>
      </w:r>
      <w:r w:rsidRPr="007561FC">
        <w:rPr>
          <w:rFonts w:cs="Times New Roman"/>
        </w:rPr>
        <w:t xml:space="preserve"> creates an exception to the consent requirement where the collection, use or disclosure of the information is reasonable for the purposes of an investigation or a legal proceeding (ss. 14(d), 17(d), 20(f) and (m)) or the information is “publicly available as prescribed or otherwise determined by the regulations” (</w:t>
      </w:r>
      <w:r w:rsidR="00A06B53">
        <w:rPr>
          <w:rFonts w:cs="Times New Roman"/>
        </w:rPr>
        <w:t>s</w:t>
      </w:r>
      <w:r w:rsidRPr="007561FC">
        <w:rPr>
          <w:rFonts w:cs="Times New Roman"/>
        </w:rPr>
        <w:t xml:space="preserve">s. 14(e), 17(e) and 20(j)). The term “publicly available” is narrowly defined in s. 7 of the </w:t>
      </w:r>
      <w:r w:rsidRPr="007561FC">
        <w:rPr>
          <w:rFonts w:cs="Times New Roman"/>
          <w:i/>
        </w:rPr>
        <w:t>Personal Information Protection Act Regulation</w:t>
      </w:r>
      <w:r w:rsidRPr="007561FC">
        <w:rPr>
          <w:rFonts w:cs="Times New Roman"/>
        </w:rPr>
        <w:t>, Alta. Reg</w:t>
      </w:r>
      <w:r w:rsidR="00E623CC">
        <w:rPr>
          <w:rFonts w:cs="Times New Roman"/>
        </w:rPr>
        <w:t>.</w:t>
      </w:r>
      <w:r w:rsidRPr="007561FC">
        <w:rPr>
          <w:rFonts w:cs="Times New Roman"/>
        </w:rPr>
        <w:t xml:space="preserve"> 366/2003, to mean information that is available: in a telephone or business directory (or other similar registry); in a record of a quasi-judicial body; or in a magazine, book, or newspaper. </w:t>
      </w:r>
    </w:p>
    <w:p w:rsidR="00DF5A2C" w:rsidRPr="007561FC" w:rsidRDefault="00DF5A2C" w:rsidP="00DF5A2C">
      <w:pPr>
        <w:pStyle w:val="ParaNoNdepar-AltN"/>
        <w:rPr>
          <w:rFonts w:cs="Times New Roman"/>
        </w:rPr>
      </w:pPr>
      <w:r w:rsidRPr="007561FC">
        <w:rPr>
          <w:rFonts w:cs="Times New Roman"/>
        </w:rPr>
        <w:t xml:space="preserve"> Given the Adjudicator’s finding that none of these exemptions applied to allow the Union to collect, use and disclose personal information for the purpose of advancing its interests in a labour dispute, we conclude without difficulty that it restricts freedom of expression.  </w:t>
      </w:r>
    </w:p>
    <w:p w:rsidR="00DF5A2C" w:rsidRPr="007561FC" w:rsidRDefault="00DF5A2C" w:rsidP="00DF5A2C">
      <w:pPr>
        <w:pStyle w:val="ParaNoNdepar-AltN"/>
        <w:rPr>
          <w:rFonts w:cs="Times New Roman"/>
        </w:rPr>
      </w:pPr>
      <w:r w:rsidRPr="007561FC">
        <w:rPr>
          <w:rFonts w:cs="Times New Roman"/>
        </w:rPr>
        <w:t xml:space="preserve">This brings us to the s. 1 analysis.  At this stage, we must determine whether </w:t>
      </w:r>
      <w:r w:rsidRPr="007561FC">
        <w:rPr>
          <w:rFonts w:cs="Times New Roman"/>
          <w:i/>
        </w:rPr>
        <w:t>PIPA</w:t>
      </w:r>
      <w:r w:rsidRPr="007561FC">
        <w:rPr>
          <w:rFonts w:cs="Times New Roman"/>
        </w:rPr>
        <w:t xml:space="preserve"> serves a pressing and substantial objective and, if so, whether its provisions are rationally connected to that objective, whether it impairs the right to freedom of expression no more than is necessary, and whether its effects are proportionate to the government’s objective.  While </w:t>
      </w:r>
      <w:r w:rsidRPr="007561FC">
        <w:rPr>
          <w:rFonts w:cs="Times New Roman"/>
          <w:i/>
        </w:rPr>
        <w:t>PIPA</w:t>
      </w:r>
      <w:r w:rsidRPr="007561FC">
        <w:rPr>
          <w:rFonts w:cs="Times New Roman"/>
        </w:rPr>
        <w:t xml:space="preserve"> is rationally connected to a pressing and substantial objective, its broad limitations on freedom of expression are </w:t>
      </w:r>
      <w:r w:rsidRPr="007561FC">
        <w:rPr>
          <w:rFonts w:cs="Times New Roman"/>
        </w:rPr>
        <w:lastRenderedPageBreak/>
        <w:t>not demonstrably justified because its limitations on expression are disproportionate to the benefits the legislation seeks to promote.</w:t>
      </w:r>
    </w:p>
    <w:p w:rsidR="00DF5A2C" w:rsidRPr="007561FC" w:rsidRDefault="00DF5A2C" w:rsidP="00DF5A2C">
      <w:pPr>
        <w:pStyle w:val="ParaNoNdepar-AltN"/>
        <w:rPr>
          <w:rFonts w:cs="Times New Roman"/>
        </w:rPr>
      </w:pPr>
      <w:r w:rsidRPr="007561FC">
        <w:rPr>
          <w:rFonts w:cs="Times New Roman"/>
        </w:rPr>
        <w:t xml:space="preserve">There is no dispute that </w:t>
      </w:r>
      <w:r w:rsidRPr="007561FC">
        <w:rPr>
          <w:rFonts w:cs="Times New Roman"/>
          <w:i/>
        </w:rPr>
        <w:t>PIPA</w:t>
      </w:r>
      <w:r w:rsidRPr="007561FC">
        <w:rPr>
          <w:rFonts w:cs="Times New Roman"/>
        </w:rPr>
        <w:t xml:space="preserve"> has a pressing and substantial objective. The purpose of </w:t>
      </w:r>
      <w:r w:rsidRPr="007561FC">
        <w:rPr>
          <w:rFonts w:cs="Times New Roman"/>
          <w:i/>
        </w:rPr>
        <w:t xml:space="preserve">PIPA </w:t>
      </w:r>
      <w:r w:rsidRPr="007561FC">
        <w:rPr>
          <w:rFonts w:cs="Times New Roman"/>
        </w:rPr>
        <w:t xml:space="preserve">is explicitly set out in s. 3, as previously noted, which states: </w:t>
      </w:r>
    </w:p>
    <w:p w:rsidR="00DF5A2C" w:rsidRPr="007561FC" w:rsidRDefault="00E623CC" w:rsidP="00DF5A2C">
      <w:pPr>
        <w:pStyle w:val="Citation-AltC"/>
      </w:pPr>
      <w:r w:rsidRPr="00E623CC">
        <w:rPr>
          <w:b/>
        </w:rPr>
        <w:t>3</w:t>
      </w:r>
      <w:r w:rsidR="001A17D6">
        <w:rPr>
          <w:b/>
        </w:rPr>
        <w:t xml:space="preserve">  </w:t>
      </w:r>
      <w:r w:rsidR="00DF5A2C" w:rsidRPr="007561FC">
        <w:t>The purpose of this Act is to govern the collection, use and disclosure of personal information by organizations in a manner that recognizes both the right of an individual to have his or her personal information protected and the need of organizations to collect, use or disclose personal information for purposes that are reasonable.</w:t>
      </w:r>
    </w:p>
    <w:p w:rsidR="00DF5A2C" w:rsidRPr="007561FC" w:rsidRDefault="00DF5A2C" w:rsidP="00DF5A2C">
      <w:pPr>
        <w:pStyle w:val="ContinueParaSuitedupar-AltP"/>
        <w:rPr>
          <w:rFonts w:cs="Times New Roman"/>
        </w:rPr>
      </w:pPr>
      <w:r w:rsidRPr="007561FC">
        <w:rPr>
          <w:rFonts w:cs="Times New Roman"/>
        </w:rPr>
        <w:t>The focus is on providing an individual with some measure of control over his or her personal information: Gratton, at pp. 6 ff.   The ability of individuals to control their personal information is intimately connected to their individual autonomy, dignity and privacy.  These are fundamental values that lie at the heart of a democracy.  As this Court has previously recognized, legislation which aims to protect control over personal information should be characterized as “</w:t>
      </w:r>
      <w:r w:rsidRPr="007561FC">
        <w:rPr>
          <w:rFonts w:cs="Times New Roman"/>
          <w:bCs/>
        </w:rPr>
        <w:t>quasi-constitutional</w:t>
      </w:r>
      <w:r w:rsidRPr="007561FC">
        <w:rPr>
          <w:rFonts w:cs="Times New Roman"/>
        </w:rPr>
        <w:t xml:space="preserve">” because of the fundamental role </w:t>
      </w:r>
      <w:r w:rsidRPr="007561FC">
        <w:rPr>
          <w:rFonts w:cs="Times New Roman"/>
          <w:bCs/>
        </w:rPr>
        <w:t>privacy</w:t>
      </w:r>
      <w:r w:rsidRPr="007561FC">
        <w:rPr>
          <w:rFonts w:cs="Times New Roman"/>
        </w:rPr>
        <w:t xml:space="preserve"> plays in the preservation of a free and democratic society: </w:t>
      </w:r>
      <w:r w:rsidRPr="007561FC">
        <w:rPr>
          <w:rFonts w:cs="Times New Roman"/>
          <w:i/>
          <w:iCs/>
        </w:rPr>
        <w:t>Lavigne v. Canada (Office of the Commissioner of Official Languages)</w:t>
      </w:r>
      <w:r w:rsidRPr="007561FC">
        <w:rPr>
          <w:rFonts w:cs="Times New Roman"/>
        </w:rPr>
        <w:t xml:space="preserve">, [2002] 2 S.C.R. 773, at para. 24; </w:t>
      </w:r>
      <w:r w:rsidRPr="007561FC">
        <w:rPr>
          <w:rFonts w:cs="Times New Roman"/>
          <w:i/>
        </w:rPr>
        <w:t>Dagg v. Canada (Minister of Finance)</w:t>
      </w:r>
      <w:r w:rsidRPr="007561FC">
        <w:rPr>
          <w:rFonts w:cs="Times New Roman"/>
        </w:rPr>
        <w:t xml:space="preserve">, [1997] 2 S.C.R. 403, at paras. 65-66; </w:t>
      </w:r>
      <w:r w:rsidRPr="007561FC">
        <w:rPr>
          <w:rFonts w:cs="Times New Roman"/>
          <w:i/>
        </w:rPr>
        <w:t>H.J. Heinz Co. of Canada Ltd. v. Canada (Attorney General)</w:t>
      </w:r>
      <w:r w:rsidRPr="007561FC">
        <w:rPr>
          <w:rFonts w:cs="Times New Roman"/>
        </w:rPr>
        <w:t xml:space="preserve">, [2006] 1 S.C.R. 441, at para. 28. </w:t>
      </w:r>
    </w:p>
    <w:p w:rsidR="00DF5A2C" w:rsidRPr="007561FC" w:rsidRDefault="00DF5A2C" w:rsidP="00DF5A2C">
      <w:pPr>
        <w:pStyle w:val="ParaNoNdepar-AltN"/>
        <w:rPr>
          <w:rFonts w:cs="Times New Roman"/>
        </w:rPr>
      </w:pPr>
      <w:r w:rsidRPr="007561FC">
        <w:rPr>
          <w:rFonts w:cs="Times New Roman"/>
          <w:i/>
        </w:rPr>
        <w:t>PIPA</w:t>
      </w:r>
      <w:r w:rsidRPr="007561FC">
        <w:rPr>
          <w:rFonts w:cs="Times New Roman"/>
        </w:rPr>
        <w:t xml:space="preserve">’s objective is increasingly significant in the modern context, where new technologies give organizations an almost unlimited capacity to collect personal </w:t>
      </w:r>
      <w:r w:rsidRPr="007561FC">
        <w:rPr>
          <w:rFonts w:cs="Times New Roman"/>
        </w:rPr>
        <w:lastRenderedPageBreak/>
        <w:t xml:space="preserve">information, analyze it, use it and communicate it to others for their own purposes. There is also no serious question that </w:t>
      </w:r>
      <w:r w:rsidRPr="007561FC">
        <w:rPr>
          <w:rFonts w:cs="Times New Roman"/>
          <w:i/>
        </w:rPr>
        <w:t xml:space="preserve">PIPA </w:t>
      </w:r>
      <w:r w:rsidRPr="007561FC">
        <w:rPr>
          <w:rFonts w:cs="Times New Roman"/>
        </w:rPr>
        <w:t xml:space="preserve">is rationally connected to this important objective. As the Union acknowledges, </w:t>
      </w:r>
      <w:r w:rsidRPr="007561FC">
        <w:rPr>
          <w:rFonts w:cs="Times New Roman"/>
          <w:i/>
        </w:rPr>
        <w:t xml:space="preserve">PIPA </w:t>
      </w:r>
      <w:r w:rsidRPr="007561FC">
        <w:rPr>
          <w:rFonts w:cs="Times New Roman"/>
        </w:rPr>
        <w:t xml:space="preserve">directly addresses the objective by imposing broad restrictions on the collection, use and disclosure of personal information. However, in our view, these broad restrictions are not justified because they are disproportionate to the benefits the legislation seeks to promote.  In other words, “the </w:t>
      </w:r>
      <w:r w:rsidRPr="007561FC">
        <w:rPr>
          <w:rFonts w:cs="Times New Roman"/>
          <w:i/>
        </w:rPr>
        <w:t xml:space="preserve">Charter </w:t>
      </w:r>
      <w:r w:rsidRPr="007561FC">
        <w:rPr>
          <w:rFonts w:cs="Times New Roman"/>
        </w:rPr>
        <w:t xml:space="preserve">infringement is too high a price to pay for the benefit of the law”: Peter W. Hogg, </w:t>
      </w:r>
      <w:r w:rsidRPr="007561FC">
        <w:rPr>
          <w:rFonts w:cs="Times New Roman"/>
          <w:i/>
        </w:rPr>
        <w:t>Constitutional Law of Canada</w:t>
      </w:r>
      <w:r w:rsidRPr="007561FC">
        <w:rPr>
          <w:rFonts w:cs="Times New Roman"/>
        </w:rPr>
        <w:t xml:space="preserve"> (5th ed. Supp.), vol. 2, at p. 38-43.</w:t>
      </w:r>
    </w:p>
    <w:p w:rsidR="00DF5A2C" w:rsidRPr="007561FC" w:rsidRDefault="00DF5A2C" w:rsidP="00DF5A2C">
      <w:pPr>
        <w:pStyle w:val="ParaNoNdepar-AltN"/>
        <w:tabs>
          <w:tab w:val="clear" w:pos="1166"/>
          <w:tab w:val="num" w:pos="1152"/>
        </w:tabs>
        <w:rPr>
          <w:rFonts w:cs="Times New Roman"/>
        </w:rPr>
      </w:pPr>
      <w:r w:rsidRPr="007561FC">
        <w:rPr>
          <w:rFonts w:cs="Times New Roman"/>
        </w:rPr>
        <w:t xml:space="preserve">The beneficial effects of </w:t>
      </w:r>
      <w:r w:rsidRPr="007561FC">
        <w:rPr>
          <w:rFonts w:cs="Times New Roman"/>
          <w:i/>
        </w:rPr>
        <w:t>PIPA</w:t>
      </w:r>
      <w:r w:rsidRPr="007561FC">
        <w:rPr>
          <w:rFonts w:cs="Times New Roman"/>
        </w:rPr>
        <w:t xml:space="preserve">’s goal are demonstrable.  </w:t>
      </w:r>
      <w:r w:rsidRPr="007561FC">
        <w:rPr>
          <w:rFonts w:cs="Times New Roman"/>
          <w:i/>
        </w:rPr>
        <w:t xml:space="preserve">PIPA </w:t>
      </w:r>
      <w:r w:rsidRPr="007561FC">
        <w:rPr>
          <w:rFonts w:cs="Times New Roman"/>
        </w:rPr>
        <w:t xml:space="preserve">seeks to enhance an individual’s control over his or her personal information by restricting who can collect, use and disclose personal information without that individual’s consent and the scope of such collection, use and disclosure.  </w:t>
      </w:r>
      <w:r w:rsidRPr="007561FC">
        <w:rPr>
          <w:rFonts w:cs="Times New Roman"/>
          <w:i/>
        </w:rPr>
        <w:t>PIPA</w:t>
      </w:r>
      <w:r w:rsidRPr="007561FC">
        <w:rPr>
          <w:rFonts w:cs="Times New Roman"/>
        </w:rPr>
        <w:t xml:space="preserve"> and legislation like it reflect an emerging recognition that the list of those who may access and use personal information has expanded dramatically and now includes many private sector actors.  </w:t>
      </w:r>
      <w:r w:rsidRPr="007561FC">
        <w:rPr>
          <w:rFonts w:cs="Times New Roman"/>
          <w:i/>
        </w:rPr>
        <w:t>PIPA</w:t>
      </w:r>
      <w:r w:rsidRPr="007561FC">
        <w:rPr>
          <w:rFonts w:cs="Times New Roman"/>
        </w:rPr>
        <w:t xml:space="preserve"> seeks to regulate the use of personal information and thereby to protect informational privacy, the foundational principle of which is that “all information about a person is in a fundamental way his own, for him to communicate or retain . . . as he sees fit”: Report of a Task Force established jointly by the Department o</w:t>
      </w:r>
      <w:r w:rsidR="00E623CC">
        <w:rPr>
          <w:rFonts w:cs="Times New Roman"/>
        </w:rPr>
        <w:t>f Communications/Department of J</w:t>
      </w:r>
      <w:r w:rsidRPr="007561FC">
        <w:rPr>
          <w:rFonts w:cs="Times New Roman"/>
        </w:rPr>
        <w:t xml:space="preserve">ustice, </w:t>
      </w:r>
      <w:r w:rsidRPr="007561FC">
        <w:rPr>
          <w:rFonts w:cs="Times New Roman"/>
          <w:i/>
        </w:rPr>
        <w:t>Privacy and Computers</w:t>
      </w:r>
      <w:r w:rsidRPr="007561FC">
        <w:rPr>
          <w:rFonts w:cs="Times New Roman"/>
        </w:rPr>
        <w:t xml:space="preserve"> (1972), at p. 13.</w:t>
      </w:r>
    </w:p>
    <w:p w:rsidR="00DF5A2C" w:rsidRPr="007561FC" w:rsidRDefault="00DF5A2C" w:rsidP="00DF5A2C">
      <w:pPr>
        <w:pStyle w:val="ParaNoNdepar-AltN"/>
        <w:tabs>
          <w:tab w:val="clear" w:pos="1166"/>
          <w:tab w:val="num" w:pos="1152"/>
        </w:tabs>
        <w:rPr>
          <w:rFonts w:cs="Times New Roman"/>
        </w:rPr>
      </w:pPr>
      <w:r w:rsidRPr="007561FC">
        <w:rPr>
          <w:rFonts w:cs="Times New Roman"/>
        </w:rPr>
        <w:lastRenderedPageBreak/>
        <w:t xml:space="preserve">Insofar as </w:t>
      </w:r>
      <w:r w:rsidRPr="007561FC">
        <w:rPr>
          <w:rFonts w:cs="Times New Roman"/>
          <w:i/>
        </w:rPr>
        <w:t xml:space="preserve">PIPA </w:t>
      </w:r>
      <w:r w:rsidRPr="007561FC">
        <w:rPr>
          <w:rFonts w:cs="Times New Roman"/>
        </w:rPr>
        <w:t xml:space="preserve">seeks to safeguard informational privacy, it is “quasi-constitutional” in nature: </w:t>
      </w:r>
      <w:r w:rsidRPr="007561FC">
        <w:rPr>
          <w:rFonts w:cs="Times New Roman"/>
          <w:i/>
          <w:iCs/>
        </w:rPr>
        <w:t>Lavigne</w:t>
      </w:r>
      <w:r w:rsidRPr="007561FC">
        <w:rPr>
          <w:rFonts w:cs="Times New Roman"/>
        </w:rPr>
        <w:t xml:space="preserve">, at para. 24; </w:t>
      </w:r>
      <w:r w:rsidRPr="007561FC">
        <w:rPr>
          <w:rFonts w:cs="Times New Roman"/>
          <w:i/>
        </w:rPr>
        <w:t>Dagg</w:t>
      </w:r>
      <w:r w:rsidRPr="007561FC">
        <w:rPr>
          <w:rFonts w:cs="Times New Roman"/>
        </w:rPr>
        <w:t xml:space="preserve">, at paras. 65-66; </w:t>
      </w:r>
      <w:r w:rsidRPr="007561FC">
        <w:rPr>
          <w:rFonts w:cs="Times New Roman"/>
          <w:i/>
        </w:rPr>
        <w:t>H.J. Heinz</w:t>
      </w:r>
      <w:r w:rsidRPr="007561FC">
        <w:rPr>
          <w:rFonts w:cs="Times New Roman"/>
        </w:rPr>
        <w:t xml:space="preserve">, at para. 28.  The importance of the protection of privacy in a vibrant democracy cannot be overstated: see John D. R. Craig, “Invasion of Privacy and </w:t>
      </w:r>
      <w:r w:rsidRPr="007561FC">
        <w:rPr>
          <w:rFonts w:cs="Times New Roman"/>
          <w:i/>
        </w:rPr>
        <w:t>Charter</w:t>
      </w:r>
      <w:r w:rsidRPr="007561FC">
        <w:rPr>
          <w:rFonts w:cs="Times New Roman"/>
        </w:rPr>
        <w:t xml:space="preserve"> Values: The Common-Law Tort Awakens” (1997), 42 </w:t>
      </w:r>
      <w:r w:rsidRPr="007561FC">
        <w:rPr>
          <w:rFonts w:cs="Times New Roman"/>
          <w:i/>
        </w:rPr>
        <w:t>McGill L.J.</w:t>
      </w:r>
      <w:r w:rsidRPr="007561FC">
        <w:rPr>
          <w:rFonts w:cs="Times New Roman"/>
        </w:rPr>
        <w:t xml:space="preserve"> 355, at p</w:t>
      </w:r>
      <w:r w:rsidR="00B553B0">
        <w:rPr>
          <w:rFonts w:cs="Times New Roman"/>
        </w:rPr>
        <w:t>p. 360-61.  As Chris D. </w:t>
      </w:r>
      <w:r w:rsidRPr="007561FC">
        <w:rPr>
          <w:rFonts w:cs="Times New Roman"/>
        </w:rPr>
        <w:t xml:space="preserve">L. Hunt writes in “Conceptualizing Privacy and Elucidating its Importance: Foundational Considerations for the Development of Canada’s Fledgling Privacy Tort” (2011), 37 </w:t>
      </w:r>
      <w:r w:rsidRPr="007561FC">
        <w:rPr>
          <w:rFonts w:cs="Times New Roman"/>
          <w:i/>
        </w:rPr>
        <w:t>Queen’s L.J.</w:t>
      </w:r>
      <w:r w:rsidRPr="007561FC">
        <w:rPr>
          <w:rFonts w:cs="Times New Roman"/>
        </w:rPr>
        <w:t xml:space="preserve"> 167, at p. 217, “[d]emocracy depends on an autonomous, self-actualized citizenry that is free to formulate and express unconventional views. If invasions of privacy inhibit individuality and produce conformity, democracy itself suffers.” </w:t>
      </w:r>
    </w:p>
    <w:p w:rsidR="00DF5A2C" w:rsidRPr="007561FC" w:rsidRDefault="00DF5A2C" w:rsidP="00DF5A2C">
      <w:pPr>
        <w:pStyle w:val="ParaNoNdepar-AltN"/>
        <w:tabs>
          <w:tab w:val="clear" w:pos="1166"/>
          <w:tab w:val="num" w:pos="1152"/>
        </w:tabs>
        <w:rPr>
          <w:rFonts w:cs="Times New Roman"/>
        </w:rPr>
      </w:pPr>
      <w:r w:rsidRPr="007561FC">
        <w:rPr>
          <w:rFonts w:cs="Times New Roman"/>
          <w:i/>
        </w:rPr>
        <w:t xml:space="preserve">PIPA </w:t>
      </w:r>
      <w:r w:rsidRPr="007561FC">
        <w:rPr>
          <w:rFonts w:cs="Times New Roman"/>
        </w:rPr>
        <w:t xml:space="preserve">also seeks to avoid the potential harm that flows from the permanent storage or unlimited dissemination of personal information through the Internet or other forms of technology without an individual’s consent.  </w:t>
      </w:r>
    </w:p>
    <w:p w:rsidR="00DF5A2C" w:rsidRPr="007561FC" w:rsidRDefault="00DF5A2C" w:rsidP="00DF5A2C">
      <w:pPr>
        <w:pStyle w:val="ParaNoNdepar-AltN"/>
        <w:tabs>
          <w:tab w:val="clear" w:pos="1166"/>
          <w:tab w:val="num" w:pos="1152"/>
        </w:tabs>
        <w:rPr>
          <w:rFonts w:cs="Times New Roman"/>
        </w:rPr>
      </w:pPr>
      <w:r w:rsidRPr="007561FC">
        <w:rPr>
          <w:rFonts w:cs="Times New Roman"/>
        </w:rPr>
        <w:t xml:space="preserve">Finally, as discussed above, the objective of providing an individual with some measure of control over his or her personal information is intimately connected to individual autonomy, dignity and privacy, self-evidently significant social values.  </w:t>
      </w:r>
    </w:p>
    <w:p w:rsidR="00DF5A2C" w:rsidRPr="007561FC" w:rsidRDefault="00DF5A2C" w:rsidP="00DF5A2C">
      <w:pPr>
        <w:pStyle w:val="ParaNoNdepar-AltN"/>
        <w:rPr>
          <w:rFonts w:cs="Times New Roman"/>
        </w:rPr>
      </w:pPr>
      <w:r w:rsidRPr="007561FC">
        <w:rPr>
          <w:rFonts w:cs="Times New Roman"/>
        </w:rPr>
        <w:t xml:space="preserve"> The price </w:t>
      </w:r>
      <w:r w:rsidRPr="007561FC">
        <w:rPr>
          <w:rFonts w:cs="Times New Roman"/>
          <w:i/>
        </w:rPr>
        <w:t xml:space="preserve">PIPA </w:t>
      </w:r>
      <w:r w:rsidRPr="007561FC">
        <w:rPr>
          <w:rFonts w:cs="Times New Roman"/>
        </w:rPr>
        <w:t>exacts, however, is disproportionate to the benefits it promotes.</w:t>
      </w:r>
      <w:r w:rsidRPr="007561FC">
        <w:rPr>
          <w:rFonts w:cs="Times New Roman"/>
          <w:i/>
        </w:rPr>
        <w:t xml:space="preserve"> PIPA </w:t>
      </w:r>
      <w:r w:rsidRPr="007561FC">
        <w:rPr>
          <w:rFonts w:cs="Times New Roman"/>
        </w:rPr>
        <w:t xml:space="preserve">limits the collection, use and disclosure of personal information other than with consent without regard for the nature of the personal information, the purpose for which it is collected, used or disclosed, and the situational context for that </w:t>
      </w:r>
      <w:r w:rsidRPr="007561FC">
        <w:rPr>
          <w:rFonts w:cs="Times New Roman"/>
        </w:rPr>
        <w:lastRenderedPageBreak/>
        <w:t xml:space="preserve">information.  As the Adjudicator recognized in her decision, </w:t>
      </w:r>
      <w:r w:rsidRPr="007561FC">
        <w:rPr>
          <w:rFonts w:cs="Times New Roman"/>
          <w:i/>
        </w:rPr>
        <w:t>PIPA</w:t>
      </w:r>
      <w:r w:rsidRPr="007561FC">
        <w:rPr>
          <w:rFonts w:cs="Times New Roman"/>
        </w:rPr>
        <w:t xml:space="preserve"> does not provide any way to accommodate the expressive purposes of unions engaged in lawful strikes. Indeed, the </w:t>
      </w:r>
      <w:r w:rsidRPr="007561FC">
        <w:rPr>
          <w:rFonts w:cs="Times New Roman"/>
          <w:i/>
        </w:rPr>
        <w:t xml:space="preserve">Act </w:t>
      </w:r>
      <w:r w:rsidRPr="007561FC">
        <w:rPr>
          <w:rFonts w:cs="Times New Roman"/>
        </w:rPr>
        <w:t xml:space="preserve">does not include any mechanisms by which a union’s constitutional right to freedom of expression may be balanced with the interests protected by the legislation. As counsel for the Commissioner conceded during oral submissions, </w:t>
      </w:r>
      <w:r w:rsidRPr="007561FC">
        <w:rPr>
          <w:rFonts w:cs="Times New Roman"/>
          <w:i/>
        </w:rPr>
        <w:t>PIPA</w:t>
      </w:r>
      <w:r w:rsidRPr="007561FC">
        <w:rPr>
          <w:rFonts w:cs="Times New Roman"/>
        </w:rPr>
        <w:t xml:space="preserve"> contains a general prohibition of the Union’s use of personal information (absent consent or deemed consent) to further its collective bargaining objectives.  As a result, </w:t>
      </w:r>
      <w:r w:rsidRPr="007561FC">
        <w:rPr>
          <w:rFonts w:cs="Times New Roman"/>
          <w:i/>
        </w:rPr>
        <w:t>PIPA</w:t>
      </w:r>
      <w:r w:rsidRPr="007561FC">
        <w:rPr>
          <w:rFonts w:cs="Times New Roman"/>
        </w:rPr>
        <w:t xml:space="preserve"> deems virtually all personal information to be protected regardless of context. </w:t>
      </w:r>
    </w:p>
    <w:p w:rsidR="00DF5A2C" w:rsidRPr="007561FC" w:rsidRDefault="00DF5A2C" w:rsidP="00DF5A2C">
      <w:pPr>
        <w:pStyle w:val="ParaNoNdepar-AltN"/>
        <w:rPr>
          <w:rFonts w:cs="Times New Roman"/>
        </w:rPr>
      </w:pPr>
      <w:r w:rsidRPr="007561FC">
        <w:rPr>
          <w:rFonts w:cs="Times New Roman"/>
        </w:rPr>
        <w:t>But the extent to which</w:t>
      </w:r>
      <w:r>
        <w:rPr>
          <w:rFonts w:cs="Times New Roman"/>
        </w:rPr>
        <w:t xml:space="preserve"> </w:t>
      </w:r>
      <w:r w:rsidRPr="007561FC">
        <w:rPr>
          <w:rFonts w:cs="Times New Roman"/>
        </w:rPr>
        <w:t>significant values were actually impaired in the context of this case must be kept in context.   The personal information was collected by the Union at an open political demonstration where it was readily and publicly observable.  Those crossing the picketline would reasonably expect that their image could be caught and disseminated by others such as journalists, for example.  Moreover, the personal information collected, used and disclosed by the Union was limited to images of individuals crossing a picketline and did not include intimate biographical details.  No intimate details of the lifestyle or personal choices of the individuals were revealed.</w:t>
      </w:r>
    </w:p>
    <w:p w:rsidR="00DF5A2C" w:rsidRPr="007561FC" w:rsidRDefault="00DF5A2C" w:rsidP="00DF5A2C">
      <w:pPr>
        <w:pStyle w:val="ParaNoNdepar-AltN"/>
        <w:rPr>
          <w:rFonts w:cs="Times New Roman"/>
        </w:rPr>
      </w:pPr>
      <w:r w:rsidRPr="007561FC">
        <w:rPr>
          <w:rFonts w:cs="Times New Roman"/>
        </w:rPr>
        <w:t xml:space="preserve">It goes without saying that by appearing in public, an individual does not automatically forfeit his or her interest in retaining control over the personal information which is thereby exposed.  This is especially true given the developments </w:t>
      </w:r>
      <w:r w:rsidRPr="007561FC">
        <w:rPr>
          <w:rFonts w:cs="Times New Roman"/>
        </w:rPr>
        <w:lastRenderedPageBreak/>
        <w:t xml:space="preserve">in technology that make it possible for personal information to be recorded with ease, distributed to an almost infinite audience, and stored indefinitely.  Nevertheless, </w:t>
      </w:r>
      <w:r w:rsidRPr="007561FC">
        <w:rPr>
          <w:rFonts w:cs="Times New Roman"/>
          <w:i/>
        </w:rPr>
        <w:t>PIPA</w:t>
      </w:r>
      <w:r w:rsidRPr="007561FC">
        <w:rPr>
          <w:rFonts w:cs="Times New Roman"/>
        </w:rPr>
        <w:t xml:space="preserve">’s restrictions operate in the context of a case like this one to impede the formulation and expression of views on matters of significant public interest and importance.  </w:t>
      </w:r>
    </w:p>
    <w:p w:rsidR="00DF5A2C" w:rsidRPr="007561FC" w:rsidRDefault="00DF5A2C" w:rsidP="00DF5A2C">
      <w:pPr>
        <w:pStyle w:val="ParaNoNdepar-AltN"/>
        <w:tabs>
          <w:tab w:val="clear" w:pos="1166"/>
          <w:tab w:val="num" w:pos="1152"/>
        </w:tabs>
        <w:rPr>
          <w:rFonts w:cs="Times New Roman"/>
        </w:rPr>
      </w:pPr>
      <w:r w:rsidRPr="007561FC">
        <w:rPr>
          <w:rFonts w:cs="Times New Roman"/>
          <w:i/>
        </w:rPr>
        <w:t>PIPA</w:t>
      </w:r>
      <w:r w:rsidRPr="007561FC">
        <w:rPr>
          <w:rFonts w:cs="Times New Roman"/>
        </w:rPr>
        <w:t xml:space="preserve">’s deleterious effects weigh heavily in the balance.  What is of the utmost significance in our view is that </w:t>
      </w:r>
      <w:r w:rsidRPr="007561FC">
        <w:rPr>
          <w:rFonts w:cs="Times New Roman"/>
          <w:i/>
        </w:rPr>
        <w:t>PIPA</w:t>
      </w:r>
      <w:r w:rsidRPr="007561FC">
        <w:rPr>
          <w:rFonts w:cs="Times New Roman"/>
        </w:rPr>
        <w:t xml:space="preserve"> prohibits the collection, use, or disclosure of personal information for many legitimate, expressive purposes related to labour relations.  These purposes include ensuring the safety of union members, attempting to persuade the public not to do business with an employer and bringing debate on the labour conditions with an employer into the public realm.  These objectives are at the core of protected expressive activity under s. 2(</w:t>
      </w:r>
      <w:r w:rsidRPr="007561FC">
        <w:rPr>
          <w:rFonts w:cs="Times New Roman"/>
          <w:i/>
        </w:rPr>
        <w:t>b</w:t>
      </w:r>
      <w:r w:rsidRPr="007561FC">
        <w:rPr>
          <w:rFonts w:cs="Times New Roman"/>
        </w:rPr>
        <w:t xml:space="preserve">).  </w:t>
      </w:r>
    </w:p>
    <w:p w:rsidR="00DF5A2C" w:rsidRPr="007561FC" w:rsidRDefault="00DF5A2C" w:rsidP="00DF5A2C">
      <w:pPr>
        <w:pStyle w:val="ParaNoNdepar-AltN"/>
        <w:tabs>
          <w:tab w:val="clear" w:pos="1166"/>
          <w:tab w:val="num" w:pos="1152"/>
        </w:tabs>
        <w:rPr>
          <w:rFonts w:cs="Times New Roman"/>
        </w:rPr>
      </w:pPr>
      <w:r w:rsidRPr="007561FC">
        <w:rPr>
          <w:rFonts w:cs="Times New Roman"/>
        </w:rPr>
        <w:t xml:space="preserve">This Court has long recognized the fundamental importance of freedom of expression in the context of labour disputes: </w:t>
      </w:r>
      <w:r w:rsidRPr="007561FC">
        <w:rPr>
          <w:rFonts w:cs="Times New Roman"/>
          <w:i/>
        </w:rPr>
        <w:t>R.W.D.S.U., Local 558 v. Pepsi-Cola Canada Beverages (West)</w:t>
      </w:r>
      <w:r w:rsidR="00774945">
        <w:rPr>
          <w:rFonts w:cs="Times New Roman"/>
          <w:i/>
        </w:rPr>
        <w:t xml:space="preserve"> Ltd.</w:t>
      </w:r>
      <w:r w:rsidRPr="007561FC">
        <w:rPr>
          <w:rFonts w:cs="Times New Roman"/>
        </w:rPr>
        <w:t>, [2002] 1 S.C.R. 156 (“</w:t>
      </w:r>
      <w:r w:rsidRPr="007561FC">
        <w:rPr>
          <w:rFonts w:cs="Times New Roman"/>
          <w:i/>
        </w:rPr>
        <w:t>Pepsi</w:t>
      </w:r>
      <w:r w:rsidRPr="007561FC">
        <w:rPr>
          <w:rFonts w:cs="Times New Roman"/>
        </w:rPr>
        <w:t>”),</w:t>
      </w:r>
      <w:r w:rsidRPr="007561FC">
        <w:rPr>
          <w:rFonts w:cs="Times New Roman"/>
          <w:i/>
        </w:rPr>
        <w:t xml:space="preserve"> </w:t>
      </w:r>
      <w:r w:rsidRPr="007561FC">
        <w:rPr>
          <w:rFonts w:cs="Times New Roman"/>
        </w:rPr>
        <w:t xml:space="preserve">at para. 33.  In </w:t>
      </w:r>
      <w:r w:rsidRPr="007561FC">
        <w:rPr>
          <w:rFonts w:cs="Times New Roman"/>
          <w:i/>
        </w:rPr>
        <w:t xml:space="preserve">U.F.C.W., Local 1518 v. </w:t>
      </w:r>
      <w:r w:rsidRPr="007561FC">
        <w:rPr>
          <w:rFonts w:cs="Times New Roman"/>
          <w:i/>
          <w:iCs/>
        </w:rPr>
        <w:t>KMart Canada Ltd.</w:t>
      </w:r>
      <w:r w:rsidRPr="007561FC">
        <w:rPr>
          <w:rFonts w:cs="Times New Roman"/>
          <w:iCs/>
        </w:rPr>
        <w:t>,</w:t>
      </w:r>
      <w:r w:rsidRPr="007561FC">
        <w:rPr>
          <w:rFonts w:cs="Times New Roman"/>
          <w:i/>
          <w:iCs/>
        </w:rPr>
        <w:t xml:space="preserve"> </w:t>
      </w:r>
      <w:r w:rsidRPr="007561FC">
        <w:rPr>
          <w:rFonts w:cs="Times New Roman"/>
        </w:rPr>
        <w:t>[1999] 2 S.C.R. 1083</w:t>
      </w:r>
      <w:r w:rsidR="00496A9F">
        <w:rPr>
          <w:rFonts w:cs="Times New Roman"/>
        </w:rPr>
        <w:t xml:space="preserve"> </w:t>
      </w:r>
      <w:r w:rsidR="00496A9F" w:rsidRPr="007561FC">
        <w:rPr>
          <w:rFonts w:cs="Times New Roman"/>
          <w:iCs/>
        </w:rPr>
        <w:t>(“</w:t>
      </w:r>
      <w:r w:rsidR="00D76950">
        <w:rPr>
          <w:rFonts w:cs="Times New Roman"/>
          <w:i/>
          <w:iCs/>
        </w:rPr>
        <w:t>KM</w:t>
      </w:r>
      <w:r w:rsidR="00496A9F" w:rsidRPr="00EE7481">
        <w:rPr>
          <w:rFonts w:cs="Times New Roman"/>
          <w:i/>
          <w:iCs/>
        </w:rPr>
        <w:t>art</w:t>
      </w:r>
      <w:r w:rsidR="00496A9F" w:rsidRPr="007561FC">
        <w:rPr>
          <w:rFonts w:cs="Times New Roman"/>
          <w:iCs/>
        </w:rPr>
        <w:t>”)</w:t>
      </w:r>
      <w:r w:rsidRPr="007561FC">
        <w:rPr>
          <w:rFonts w:cs="Times New Roman"/>
        </w:rPr>
        <w:t xml:space="preserve">, Cory J., writing for the Court, held that “[f]or employees, freedom of expression becomes not only an important but an </w:t>
      </w:r>
      <w:r w:rsidRPr="007561FC">
        <w:rPr>
          <w:rFonts w:cs="Times New Roman"/>
          <w:i/>
        </w:rPr>
        <w:t>essential</w:t>
      </w:r>
      <w:r w:rsidRPr="007561FC">
        <w:rPr>
          <w:rFonts w:cs="Times New Roman"/>
        </w:rPr>
        <w:t xml:space="preserve"> component of labour relations</w:t>
      </w:r>
      <w:r>
        <w:rPr>
          <w:rFonts w:cs="Times New Roman"/>
        </w:rPr>
        <w:t>”</w:t>
      </w:r>
      <w:r w:rsidRPr="007561FC">
        <w:rPr>
          <w:rFonts w:cs="Times New Roman"/>
        </w:rPr>
        <w:t xml:space="preserve">: para. 25 (emphasis added).  </w:t>
      </w:r>
    </w:p>
    <w:p w:rsidR="00DF5A2C" w:rsidRPr="007561FC" w:rsidRDefault="00DF5A2C" w:rsidP="00DF5A2C">
      <w:pPr>
        <w:pStyle w:val="ParaNoNdepar-AltN"/>
        <w:tabs>
          <w:tab w:val="clear" w:pos="1166"/>
          <w:tab w:val="num" w:pos="1152"/>
        </w:tabs>
        <w:rPr>
          <w:rFonts w:cs="Times New Roman"/>
        </w:rPr>
      </w:pPr>
      <w:r w:rsidRPr="007561FC">
        <w:rPr>
          <w:rFonts w:cs="Times New Roman"/>
        </w:rPr>
        <w:t xml:space="preserve">Expressive activity in the labour context is directly related to the </w:t>
      </w:r>
      <w:r w:rsidRPr="007561FC">
        <w:rPr>
          <w:rFonts w:cs="Times New Roman"/>
          <w:i/>
        </w:rPr>
        <w:t xml:space="preserve">Charter </w:t>
      </w:r>
      <w:r w:rsidRPr="007561FC">
        <w:rPr>
          <w:rFonts w:cs="Times New Roman"/>
        </w:rPr>
        <w:t xml:space="preserve">protected right of workers to associate to further common workplace goals under s. </w:t>
      </w:r>
      <w:r w:rsidRPr="007561FC">
        <w:rPr>
          <w:rFonts w:cs="Times New Roman"/>
        </w:rPr>
        <w:lastRenderedPageBreak/>
        <w:t>2(</w:t>
      </w:r>
      <w:r w:rsidRPr="007561FC">
        <w:rPr>
          <w:rFonts w:cs="Times New Roman"/>
          <w:i/>
        </w:rPr>
        <w:t>d</w:t>
      </w:r>
      <w:r w:rsidRPr="007561FC">
        <w:rPr>
          <w:rFonts w:cs="Times New Roman"/>
        </w:rPr>
        <w:t xml:space="preserve">) of the </w:t>
      </w:r>
      <w:r w:rsidRPr="007561FC">
        <w:rPr>
          <w:rFonts w:cs="Times New Roman"/>
          <w:i/>
        </w:rPr>
        <w:t>Charter</w:t>
      </w:r>
      <w:r w:rsidRPr="007561FC">
        <w:rPr>
          <w:rFonts w:cs="Times New Roman"/>
        </w:rPr>
        <w:t>:</w:t>
      </w:r>
      <w:r w:rsidRPr="007561FC">
        <w:rPr>
          <w:rFonts w:cs="Times New Roman"/>
          <w:i/>
        </w:rPr>
        <w:t xml:space="preserve"> Ontario (Attorney General) v. Fraser</w:t>
      </w:r>
      <w:r w:rsidRPr="007561FC">
        <w:rPr>
          <w:rFonts w:cs="Times New Roman"/>
        </w:rPr>
        <w:t>,</w:t>
      </w:r>
      <w:r w:rsidRPr="007561FC">
        <w:rPr>
          <w:rFonts w:cs="Times New Roman"/>
          <w:i/>
        </w:rPr>
        <w:t xml:space="preserve"> </w:t>
      </w:r>
      <w:r w:rsidRPr="007561FC">
        <w:rPr>
          <w:rFonts w:cs="Times New Roman"/>
        </w:rPr>
        <w:t xml:space="preserve">[2011] 2 S.C.R. 3, at para. 38.  As the International Labour Organization observed, “[t]he exercise of freedom of association and collective bargaining is dependent on the maintenance of fundamental civil liberties, in particular, . . .  freedom of opinion and expression”: </w:t>
      </w:r>
      <w:r w:rsidRPr="007561FC">
        <w:rPr>
          <w:rFonts w:cs="Times New Roman"/>
          <w:i/>
        </w:rPr>
        <w:t>Report of the Director-General: Freedom of association in practice: Lessons learned</w:t>
      </w:r>
      <w:r w:rsidRPr="007561FC">
        <w:rPr>
          <w:rFonts w:cs="Times New Roman"/>
        </w:rPr>
        <w:t xml:space="preserve"> (2008), at para. 34.  </w:t>
      </w:r>
    </w:p>
    <w:p w:rsidR="00DF5A2C" w:rsidRPr="007561FC" w:rsidRDefault="00DF5A2C" w:rsidP="00DF5A2C">
      <w:pPr>
        <w:pStyle w:val="ParaNoNdepar-AltN"/>
        <w:tabs>
          <w:tab w:val="clear" w:pos="1166"/>
          <w:tab w:val="num" w:pos="1152"/>
        </w:tabs>
        <w:rPr>
          <w:rFonts w:cs="Times New Roman"/>
        </w:rPr>
      </w:pPr>
      <w:r w:rsidRPr="007561FC">
        <w:rPr>
          <w:rFonts w:cs="Times New Roman"/>
        </w:rPr>
        <w:t xml:space="preserve">A person’s employment and the conditions of their workplace can inform their identity, emotional health, and sense of self-worth: </w:t>
      </w:r>
      <w:r w:rsidRPr="007561FC">
        <w:rPr>
          <w:rFonts w:cs="Times New Roman"/>
          <w:i/>
          <w:iCs/>
        </w:rPr>
        <w:t>Reference re</w:t>
      </w:r>
      <w:r w:rsidRPr="007561FC">
        <w:rPr>
          <w:rFonts w:cs="Times New Roman"/>
        </w:rPr>
        <w:t xml:space="preserve"> </w:t>
      </w:r>
      <w:r w:rsidRPr="007561FC">
        <w:rPr>
          <w:rFonts w:cs="Times New Roman"/>
          <w:i/>
          <w:iCs/>
        </w:rPr>
        <w:t>Public Service Employee Relations Act (Alta.)</w:t>
      </w:r>
      <w:r w:rsidRPr="007561FC">
        <w:rPr>
          <w:rFonts w:cs="Times New Roman"/>
        </w:rPr>
        <w:t xml:space="preserve">, [1987] 1 S.C.R. 313, at p. 368.  As McLachlin C.J. and LeBel J. recognized in </w:t>
      </w:r>
      <w:r w:rsidRPr="007561FC">
        <w:rPr>
          <w:rFonts w:cs="Times New Roman"/>
          <w:i/>
        </w:rPr>
        <w:t>Pepsi</w:t>
      </w:r>
      <w:r w:rsidRPr="007561FC">
        <w:rPr>
          <w:rFonts w:cs="Times New Roman"/>
        </w:rPr>
        <w:t>,</w:t>
      </w:r>
      <w:r w:rsidRPr="007561FC">
        <w:rPr>
          <w:rFonts w:cs="Times New Roman"/>
          <w:i/>
        </w:rPr>
        <w:t xml:space="preserve"> </w:t>
      </w:r>
      <w:r w:rsidRPr="007561FC">
        <w:rPr>
          <w:rFonts w:cs="Times New Roman"/>
        </w:rPr>
        <w:t xml:space="preserve">free expression on these issues therefore “contributes to self-understanding, as well as to the ability to influence one’s working and non-working life”: para. 34.  </w:t>
      </w:r>
    </w:p>
    <w:p w:rsidR="00DF5A2C" w:rsidRPr="007561FC" w:rsidRDefault="00DF5A2C" w:rsidP="00DF5A2C">
      <w:pPr>
        <w:pStyle w:val="ParaNoNdepar-AltN"/>
        <w:tabs>
          <w:tab w:val="clear" w:pos="1166"/>
          <w:tab w:val="num" w:pos="1152"/>
        </w:tabs>
        <w:rPr>
          <w:rFonts w:cs="Times New Roman"/>
        </w:rPr>
      </w:pPr>
      <w:r w:rsidRPr="007561FC">
        <w:rPr>
          <w:rFonts w:cs="Times New Roman"/>
        </w:rPr>
        <w:t xml:space="preserve">Free expression in the labour context can also play a significant role in redressing or alleviating the presumptive imbalance between the employer’s economic power and the relative vulnerability of the individual worker: </w:t>
      </w:r>
      <w:r w:rsidRPr="007561FC">
        <w:rPr>
          <w:rFonts w:cs="Times New Roman"/>
          <w:i/>
        </w:rPr>
        <w:t>Pepsi</w:t>
      </w:r>
      <w:r w:rsidRPr="007561FC">
        <w:rPr>
          <w:rFonts w:cs="Times New Roman"/>
        </w:rPr>
        <w:t>,</w:t>
      </w:r>
      <w:r w:rsidRPr="007561FC">
        <w:rPr>
          <w:rFonts w:cs="Times New Roman"/>
          <w:i/>
        </w:rPr>
        <w:t xml:space="preserve"> </w:t>
      </w:r>
      <w:r w:rsidRPr="007561FC">
        <w:rPr>
          <w:rFonts w:cs="Times New Roman"/>
        </w:rPr>
        <w:t xml:space="preserve">at para. 34.  It is through their expressive activities that unions are able to articulate and promote their common interests, and, in the event of a labour dispute, to attempt to persuade the employer.  </w:t>
      </w:r>
    </w:p>
    <w:p w:rsidR="00DF5A2C" w:rsidRPr="007561FC" w:rsidRDefault="00DF5A2C" w:rsidP="00DF5A2C">
      <w:pPr>
        <w:pStyle w:val="ParaNoNdepar-AltN"/>
        <w:tabs>
          <w:tab w:val="clear" w:pos="1166"/>
          <w:tab w:val="num" w:pos="1152"/>
        </w:tabs>
        <w:rPr>
          <w:rFonts w:cs="Times New Roman"/>
        </w:rPr>
      </w:pPr>
      <w:r w:rsidRPr="007561FC">
        <w:rPr>
          <w:rFonts w:cs="Times New Roman"/>
        </w:rPr>
        <w:t xml:space="preserve">Finally, in the labour context, freedom of expression can enhance broader societal interests.  As this Court found in </w:t>
      </w:r>
      <w:r w:rsidRPr="007561FC">
        <w:rPr>
          <w:rFonts w:cs="Times New Roman"/>
          <w:i/>
        </w:rPr>
        <w:t>Pepsi</w:t>
      </w:r>
      <w:r w:rsidRPr="007561FC">
        <w:rPr>
          <w:rFonts w:cs="Times New Roman"/>
        </w:rPr>
        <w:t>,</w:t>
      </w:r>
      <w:r w:rsidRPr="007561FC">
        <w:rPr>
          <w:rFonts w:cs="Times New Roman"/>
          <w:i/>
        </w:rPr>
        <w:t xml:space="preserve"> </w:t>
      </w:r>
      <w:r w:rsidRPr="007561FC">
        <w:rPr>
          <w:rFonts w:cs="Times New Roman"/>
        </w:rPr>
        <w:t xml:space="preserve">the free flow of expression by unions and their members during a labour dispute plays an important role in bringing issues </w:t>
      </w:r>
      <w:r w:rsidRPr="007561FC">
        <w:rPr>
          <w:rFonts w:cs="Times New Roman"/>
        </w:rPr>
        <w:lastRenderedPageBreak/>
        <w:t xml:space="preserve">relating to labour conditions into the public arena for discussion and debate: paras. 34-35. As this Court emphasized in </w:t>
      </w:r>
      <w:r w:rsidRPr="007561FC">
        <w:rPr>
          <w:rFonts w:cs="Times New Roman"/>
          <w:i/>
        </w:rPr>
        <w:t>Pepsi</w:t>
      </w:r>
      <w:r w:rsidRPr="007561FC">
        <w:rPr>
          <w:rFonts w:cs="Times New Roman"/>
        </w:rPr>
        <w:t xml:space="preserve">, free expression provides “an avenue for unions to promote collective bargaining issues as public ones to be played out in civic society, rather than being confined to a narrow realm of individualized economic disputes”: Michael MacNeil, “Unions and the </w:t>
      </w:r>
      <w:r w:rsidRPr="007561FC">
        <w:rPr>
          <w:rFonts w:cs="Times New Roman"/>
          <w:i/>
        </w:rPr>
        <w:t>Charter</w:t>
      </w:r>
      <w:r w:rsidRPr="007561FC">
        <w:rPr>
          <w:rFonts w:cs="Times New Roman"/>
        </w:rPr>
        <w:t>:</w:t>
      </w:r>
      <w:r w:rsidRPr="007561FC">
        <w:rPr>
          <w:rFonts w:cs="Times New Roman"/>
          <w:i/>
        </w:rPr>
        <w:t xml:space="preserve"> </w:t>
      </w:r>
      <w:r w:rsidRPr="007561FC">
        <w:rPr>
          <w:rFonts w:cs="Times New Roman"/>
        </w:rPr>
        <w:t xml:space="preserve">The Supreme Court of Canada and Democratic Values” (2003), 10 </w:t>
      </w:r>
      <w:r w:rsidRPr="007561FC">
        <w:rPr>
          <w:rFonts w:cs="Times New Roman"/>
          <w:i/>
        </w:rPr>
        <w:t>C.L.E.L.J.</w:t>
      </w:r>
      <w:r w:rsidRPr="007561FC">
        <w:rPr>
          <w:rFonts w:cs="Times New Roman"/>
        </w:rPr>
        <w:t xml:space="preserve"> 3, at p. 24.  </w:t>
      </w:r>
    </w:p>
    <w:p w:rsidR="00DF5A2C" w:rsidRPr="007561FC" w:rsidRDefault="00DF5A2C" w:rsidP="00DF5A2C">
      <w:pPr>
        <w:pStyle w:val="ParaNoNdepar-AltN"/>
        <w:tabs>
          <w:tab w:val="clear" w:pos="1166"/>
          <w:tab w:val="num" w:pos="1152"/>
        </w:tabs>
        <w:rPr>
          <w:rFonts w:cs="Times New Roman"/>
        </w:rPr>
      </w:pPr>
      <w:r w:rsidRPr="007561FC">
        <w:rPr>
          <w:rFonts w:cs="Times New Roman"/>
        </w:rPr>
        <w:t xml:space="preserve">Since the Second World War, the Canadian government has recognized that unions have a role to play in the Canadian economy and society more broadly: George W. Adams, </w:t>
      </w:r>
      <w:r w:rsidRPr="007561FC">
        <w:rPr>
          <w:rFonts w:cs="Times New Roman"/>
          <w:i/>
        </w:rPr>
        <w:t>Canadian Labour Law</w:t>
      </w:r>
      <w:r w:rsidRPr="007561FC">
        <w:rPr>
          <w:rFonts w:cs="Times New Roman"/>
        </w:rPr>
        <w:t xml:space="preserve"> (2nd ed. (loose-leaf)), vol. 1, at pp. 1-11 to 1-16.  This recognition includes a general acceptance that workers have the right to associate and bargain collectively and that when collective bargaining breaks down, unions and employers may, in certain circumstances, legitimately exert economic sanctions in order to facilitate resolution of the dispute in their favour: Wesley B. Rayner, </w:t>
      </w:r>
      <w:r w:rsidRPr="007561FC">
        <w:rPr>
          <w:rFonts w:cs="Times New Roman"/>
          <w:i/>
        </w:rPr>
        <w:t xml:space="preserve">Canadian Collective Bargaining Law </w:t>
      </w:r>
      <w:r w:rsidRPr="007561FC">
        <w:rPr>
          <w:rFonts w:cs="Times New Roman"/>
        </w:rPr>
        <w:t xml:space="preserve">(2nd ed. 2007), at pp. 2 and 457.  </w:t>
      </w:r>
    </w:p>
    <w:p w:rsidR="00DF5A2C" w:rsidRPr="007561FC" w:rsidRDefault="00DF5A2C" w:rsidP="00DF5A2C">
      <w:pPr>
        <w:pStyle w:val="ParaNoNdepar-AltN"/>
        <w:tabs>
          <w:tab w:val="clear" w:pos="1166"/>
          <w:tab w:val="num" w:pos="1152"/>
        </w:tabs>
        <w:rPr>
          <w:rFonts w:cs="Times New Roman"/>
        </w:rPr>
      </w:pPr>
      <w:r w:rsidRPr="007561FC">
        <w:rPr>
          <w:rFonts w:cs="Times New Roman"/>
        </w:rPr>
        <w:t>Within the labour context, picketing represents a particularly crucial form of expression with strong historical roots.  Strikes and picketlines have been used by Canadian unions to exert economic pressure and bargain with employers for over a century: affidavit of Dr. Jeffery M. Taylor, A.R.</w:t>
      </w:r>
      <w:r w:rsidR="00496A9F">
        <w:rPr>
          <w:rFonts w:cs="Times New Roman"/>
        </w:rPr>
        <w:t>,</w:t>
      </w:r>
      <w:r w:rsidRPr="007561FC">
        <w:rPr>
          <w:rFonts w:cs="Times New Roman"/>
        </w:rPr>
        <w:t xml:space="preserve"> vol. IV, at p. 35.  The use of picket</w:t>
      </w:r>
      <w:r>
        <w:rPr>
          <w:rFonts w:cs="Times New Roman"/>
        </w:rPr>
        <w:t>lines</w:t>
      </w:r>
      <w:r w:rsidRPr="007561FC">
        <w:rPr>
          <w:rFonts w:cs="Times New Roman"/>
        </w:rPr>
        <w:t xml:space="preserve"> is an invaluable tool in the economic arsenal of workers in the collective bargaining process: Rayner, at p. 483.  As Judith McCormack, then Chair of the </w:t>
      </w:r>
      <w:r w:rsidRPr="007561FC">
        <w:rPr>
          <w:rFonts w:cs="Times New Roman"/>
        </w:rPr>
        <w:lastRenderedPageBreak/>
        <w:t xml:space="preserve">Ontario Labour Relations Board, explained in </w:t>
      </w:r>
      <w:r w:rsidRPr="007561FC">
        <w:rPr>
          <w:rFonts w:cs="Times New Roman"/>
          <w:i/>
        </w:rPr>
        <w:t>Great Atlantic &amp; Pacific Co. of Canada</w:t>
      </w:r>
      <w:r w:rsidRPr="007561FC">
        <w:rPr>
          <w:rFonts w:cs="Times New Roman"/>
        </w:rPr>
        <w:t>, [1994] O.L.R.B. Rep. March 303:</w:t>
      </w:r>
    </w:p>
    <w:p w:rsidR="00DF5A2C" w:rsidRPr="007561FC" w:rsidRDefault="00DF5A2C" w:rsidP="00DF5A2C">
      <w:pPr>
        <w:ind w:left="1440"/>
        <w:jc w:val="both"/>
        <w:rPr>
          <w:szCs w:val="24"/>
        </w:rPr>
      </w:pPr>
      <w:r w:rsidRPr="007561FC">
        <w:rPr>
          <w:szCs w:val="24"/>
        </w:rPr>
        <w:t>Picketing is . . . part of a group of economic sanctions which are considered key to the scheme of collective bargaining as a whole. While such sanctions are not frequently resorted to in the overall landscape of collective bargaining, it is axiomatic that the underlying threat of such economic conflict is what drives the vast majority of uneventful negotiations and contract settlements. [para. 35]</w:t>
      </w:r>
    </w:p>
    <w:p w:rsidR="00DF5A2C" w:rsidRPr="007561FC" w:rsidRDefault="00DF5A2C" w:rsidP="00DF5A2C">
      <w:pPr>
        <w:pStyle w:val="ParaNoNdepar-AltN"/>
        <w:tabs>
          <w:tab w:val="clear" w:pos="1166"/>
          <w:tab w:val="num" w:pos="1152"/>
        </w:tabs>
        <w:rPr>
          <w:rFonts w:cs="Times New Roman"/>
        </w:rPr>
      </w:pPr>
      <w:r w:rsidRPr="007561FC">
        <w:rPr>
          <w:rFonts w:cs="Times New Roman"/>
        </w:rPr>
        <w:t xml:space="preserve">The effectiveness of picketlines is dependent on the ability of the union to try to convince the public not to cross the picketline and do business with the employer.  Cory J. recognized the significance of the role of public opinion in </w:t>
      </w:r>
      <w:r w:rsidRPr="007561FC">
        <w:rPr>
          <w:rFonts w:cs="Times New Roman"/>
          <w:i/>
        </w:rPr>
        <w:t>KMart</w:t>
      </w:r>
      <w:r w:rsidRPr="007561FC">
        <w:rPr>
          <w:rFonts w:cs="Times New Roman"/>
        </w:rPr>
        <w:t>,</w:t>
      </w:r>
      <w:r w:rsidRPr="007561FC">
        <w:rPr>
          <w:rFonts w:cs="Times New Roman"/>
          <w:i/>
        </w:rPr>
        <w:t xml:space="preserve"> </w:t>
      </w:r>
      <w:r w:rsidRPr="007561FC">
        <w:rPr>
          <w:rFonts w:cs="Times New Roman"/>
        </w:rPr>
        <w:t>where he observed that</w:t>
      </w:r>
      <w:r w:rsidRPr="007561FC">
        <w:rPr>
          <w:rFonts w:cs="Times New Roman"/>
          <w:i/>
        </w:rPr>
        <w:t xml:space="preserve"> </w:t>
      </w:r>
      <w:r w:rsidRPr="007561FC">
        <w:rPr>
          <w:rFonts w:cs="Times New Roman"/>
        </w:rPr>
        <w:t>“it is often the weight of public opinion which will determine the outcome of the dispute”: para. 46.  In some cases, this goal may be achieved simply by making others aware of the labour dispute.  In others, however, a union may achieve its goal by putting pressure on those</w:t>
      </w:r>
      <w:r>
        <w:rPr>
          <w:rFonts w:cs="Times New Roman"/>
        </w:rPr>
        <w:t xml:space="preserve"> who intend to cross the picket</w:t>
      </w:r>
      <w:r w:rsidRPr="007561FC">
        <w:rPr>
          <w:rFonts w:cs="Times New Roman"/>
        </w:rPr>
        <w:t xml:space="preserve">line.  The imposition of public or economic pressure has come to be accepted as a legitimate price to pay to encourage the parties to resolve their dispute.  As McLachlin C.J. and LeBel J. observed in </w:t>
      </w:r>
      <w:r w:rsidRPr="007561FC">
        <w:rPr>
          <w:rFonts w:cs="Times New Roman"/>
          <w:i/>
        </w:rPr>
        <w:t>Pepsi</w:t>
      </w:r>
      <w:r w:rsidRPr="007561FC">
        <w:rPr>
          <w:rFonts w:cs="Times New Roman"/>
        </w:rPr>
        <w:t>,</w:t>
      </w:r>
      <w:r w:rsidRPr="007561FC">
        <w:rPr>
          <w:rFonts w:cs="Times New Roman"/>
          <w:i/>
        </w:rPr>
        <w:t xml:space="preserve"> </w:t>
      </w:r>
      <w:r w:rsidRPr="007561FC">
        <w:rPr>
          <w:rFonts w:cs="Times New Roman"/>
        </w:rPr>
        <w:t xml:space="preserve">strikes are not tea parties: para. 90.  This Court has acknowledged that such pressure is permissible as long as it does not rise to the level of a tortious or criminal act: </w:t>
      </w:r>
      <w:r w:rsidRPr="007561FC">
        <w:rPr>
          <w:rFonts w:cs="Times New Roman"/>
          <w:i/>
        </w:rPr>
        <w:t>Pepsi</w:t>
      </w:r>
      <w:r w:rsidRPr="007561FC">
        <w:rPr>
          <w:rFonts w:cs="Times New Roman"/>
        </w:rPr>
        <w:t>,</w:t>
      </w:r>
      <w:r w:rsidRPr="007561FC">
        <w:rPr>
          <w:rFonts w:cs="Times New Roman"/>
          <w:i/>
        </w:rPr>
        <w:t xml:space="preserve"> </w:t>
      </w:r>
      <w:r w:rsidRPr="007561FC">
        <w:rPr>
          <w:rFonts w:cs="Times New Roman"/>
        </w:rPr>
        <w:t xml:space="preserve">at paras. 96 and 101-7.    </w:t>
      </w:r>
    </w:p>
    <w:p w:rsidR="00DF5A2C" w:rsidRPr="007561FC" w:rsidRDefault="00DF5A2C" w:rsidP="00DF5A2C">
      <w:pPr>
        <w:pStyle w:val="ParaNoNdepar-AltN"/>
        <w:tabs>
          <w:tab w:val="clear" w:pos="1166"/>
          <w:tab w:val="num" w:pos="1152"/>
        </w:tabs>
        <w:rPr>
          <w:rFonts w:cs="Times New Roman"/>
        </w:rPr>
      </w:pPr>
      <w:r w:rsidRPr="007561FC">
        <w:rPr>
          <w:rFonts w:cs="Times New Roman"/>
          <w:i/>
        </w:rPr>
        <w:t>PIPA</w:t>
      </w:r>
      <w:r w:rsidRPr="007561FC">
        <w:rPr>
          <w:rFonts w:cs="Times New Roman"/>
        </w:rPr>
        <w:t xml:space="preserve"> imposes r</w:t>
      </w:r>
      <w:r w:rsidRPr="007561FC">
        <w:rPr>
          <w:rFonts w:eastAsia="Times New Roman" w:cs="Times New Roman"/>
          <w:szCs w:val="24"/>
          <w:lang w:eastAsia="en-CA"/>
        </w:rPr>
        <w:t xml:space="preserve">estrictions on a union’s ability to communicate and persuade the public of its cause, impairing its ability to use one of its most effective bargaining strategies in the course of a lawful strike.  In our view, this infringement of the right to freedom of expression is disproportionate to the government’s </w:t>
      </w:r>
      <w:r w:rsidRPr="007561FC">
        <w:rPr>
          <w:rFonts w:eastAsia="Times New Roman" w:cs="Times New Roman"/>
          <w:szCs w:val="24"/>
          <w:lang w:eastAsia="en-CA"/>
        </w:rPr>
        <w:lastRenderedPageBreak/>
        <w:t xml:space="preserve">objective of providing individuals with control over personal information that they expose by crossing a picketline. </w:t>
      </w:r>
    </w:p>
    <w:p w:rsidR="00DF5A2C" w:rsidRPr="007561FC" w:rsidRDefault="00DF5A2C" w:rsidP="00DF5A2C">
      <w:pPr>
        <w:pStyle w:val="ParaNoNdepar-AltN"/>
        <w:tabs>
          <w:tab w:val="clear" w:pos="1166"/>
          <w:tab w:val="num" w:pos="1152"/>
        </w:tabs>
        <w:rPr>
          <w:rFonts w:cs="Times New Roman"/>
        </w:rPr>
      </w:pPr>
      <w:r w:rsidRPr="007561FC">
        <w:rPr>
          <w:rFonts w:cs="Times New Roman"/>
        </w:rPr>
        <w:t xml:space="preserve">This conclusion does not require that we condone all of the Union’s activities.  The breadth of </w:t>
      </w:r>
      <w:r w:rsidRPr="005D286C">
        <w:rPr>
          <w:rFonts w:cs="Times New Roman"/>
          <w:i/>
        </w:rPr>
        <w:t>PIPA</w:t>
      </w:r>
      <w:r w:rsidRPr="00CA5DB8">
        <w:rPr>
          <w:rFonts w:cs="Times New Roman"/>
        </w:rPr>
        <w:t>’s</w:t>
      </w:r>
      <w:r w:rsidRPr="007561FC">
        <w:rPr>
          <w:rFonts w:cs="Times New Roman"/>
          <w:i/>
        </w:rPr>
        <w:t xml:space="preserve"> </w:t>
      </w:r>
      <w:r w:rsidRPr="007561FC">
        <w:rPr>
          <w:rFonts w:cs="Times New Roman"/>
        </w:rPr>
        <w:t xml:space="preserve">restrictions makes it unnecessary to examine the precise expressive activity at issue in this case.  It is enough to note that, like privacy, freedom of expression is not an absolute value and both the nature of the privacy interests implicated and the nature of the expression must be considered in striking an appropriate balance.  To the extent that </w:t>
      </w:r>
      <w:r w:rsidRPr="007561FC">
        <w:rPr>
          <w:rFonts w:cs="Times New Roman"/>
          <w:i/>
        </w:rPr>
        <w:t xml:space="preserve">PIPA </w:t>
      </w:r>
      <w:r w:rsidRPr="007561FC">
        <w:rPr>
          <w:rFonts w:cs="Times New Roman"/>
        </w:rPr>
        <w:t xml:space="preserve">restricted the Union’s collection, use and disclosure of personal information for legitimate labour relations purposes, the </w:t>
      </w:r>
      <w:r w:rsidRPr="007561FC">
        <w:rPr>
          <w:rFonts w:cs="Times New Roman"/>
          <w:i/>
        </w:rPr>
        <w:t>Act</w:t>
      </w:r>
      <w:r w:rsidRPr="007561FC">
        <w:rPr>
          <w:rFonts w:cs="Times New Roman"/>
        </w:rPr>
        <w:t xml:space="preserve"> violates s. 2(</w:t>
      </w:r>
      <w:r w:rsidRPr="007561FC">
        <w:rPr>
          <w:rFonts w:cs="Times New Roman"/>
          <w:i/>
        </w:rPr>
        <w:t>b</w:t>
      </w:r>
      <w:r w:rsidRPr="007561FC">
        <w:rPr>
          <w:rFonts w:cs="Times New Roman"/>
        </w:rPr>
        <w:t xml:space="preserve">) of the </w:t>
      </w:r>
      <w:r w:rsidRPr="007561FC">
        <w:rPr>
          <w:rFonts w:cs="Times New Roman"/>
          <w:i/>
        </w:rPr>
        <w:t xml:space="preserve">Charter </w:t>
      </w:r>
      <w:r w:rsidRPr="007561FC">
        <w:rPr>
          <w:rFonts w:cs="Times New Roman"/>
        </w:rPr>
        <w:t>and cannot be justified under s. 1.</w:t>
      </w:r>
    </w:p>
    <w:p w:rsidR="00DF5A2C" w:rsidRPr="007561FC" w:rsidRDefault="00DF5A2C" w:rsidP="00DF5A2C">
      <w:pPr>
        <w:pStyle w:val="ParaNoNdepar-AltN"/>
        <w:rPr>
          <w:rFonts w:cs="Times New Roman"/>
        </w:rPr>
      </w:pPr>
      <w:r w:rsidRPr="007561FC">
        <w:rPr>
          <w:rFonts w:cs="Times New Roman"/>
        </w:rPr>
        <w:t xml:space="preserve">Accordingly, we would answer the constitutional questions as follows: </w:t>
      </w:r>
    </w:p>
    <w:p w:rsidR="00DF5A2C" w:rsidRPr="007561FC" w:rsidRDefault="00DF5A2C" w:rsidP="001A17D6">
      <w:pPr>
        <w:pStyle w:val="Citation-AltC"/>
        <w:ind w:left="1627" w:hanging="461"/>
        <w:contextualSpacing w:val="0"/>
      </w:pPr>
      <w:r w:rsidRPr="007561FC">
        <w:t xml:space="preserve">1. </w:t>
      </w:r>
      <w:r w:rsidRPr="007561FC">
        <w:tab/>
        <w:t xml:space="preserve">Do the </w:t>
      </w:r>
      <w:r w:rsidRPr="007561FC">
        <w:rPr>
          <w:i/>
        </w:rPr>
        <w:t>Personal Information Protection Act</w:t>
      </w:r>
      <w:r w:rsidRPr="007561FC">
        <w:t>, S.A. 2003, c. P-6.5</w:t>
      </w:r>
      <w:r>
        <w:t>,</w:t>
      </w:r>
      <w:r w:rsidRPr="007561FC">
        <w:t xml:space="preserve"> and the </w:t>
      </w:r>
      <w:r w:rsidRPr="007561FC">
        <w:rPr>
          <w:i/>
        </w:rPr>
        <w:t>Personal Information Protection Act Regulation</w:t>
      </w:r>
      <w:r w:rsidRPr="007561FC">
        <w:t>, Alta</w:t>
      </w:r>
      <w:r w:rsidR="001A17D6">
        <w:t>.</w:t>
      </w:r>
      <w:r w:rsidRPr="007561FC">
        <w:t xml:space="preserve"> Reg. 366/2003</w:t>
      </w:r>
      <w:r>
        <w:t>,</w:t>
      </w:r>
      <w:r w:rsidRPr="007561FC">
        <w:t xml:space="preserve"> violate s. 2(</w:t>
      </w:r>
      <w:r w:rsidRPr="007561FC">
        <w:rPr>
          <w:i/>
        </w:rPr>
        <w:t>b</w:t>
      </w:r>
      <w:r w:rsidRPr="007561FC">
        <w:t xml:space="preserve">) of the </w:t>
      </w:r>
      <w:r w:rsidRPr="007561FC">
        <w:rPr>
          <w:i/>
        </w:rPr>
        <w:t>Canadian Charter of Rights and Freedoms</w:t>
      </w:r>
      <w:r w:rsidRPr="007561FC">
        <w:t xml:space="preserve"> insofar as they restrict a union’s ability to collect, use or disclose personal information during the course of a lawful strike?</w:t>
      </w:r>
    </w:p>
    <w:p w:rsidR="00DF5A2C" w:rsidRPr="007561FC" w:rsidRDefault="001A17D6" w:rsidP="001A17D6">
      <w:pPr>
        <w:pStyle w:val="Citation-AltC"/>
        <w:spacing w:after="480" w:line="480" w:lineRule="auto"/>
        <w:ind w:left="0"/>
        <w:contextualSpacing w:val="0"/>
      </w:pPr>
      <w:r>
        <w:t xml:space="preserve">Answer: </w:t>
      </w:r>
      <w:r w:rsidR="00DF5A2C" w:rsidRPr="007561FC">
        <w:t>Yes.</w:t>
      </w:r>
    </w:p>
    <w:p w:rsidR="00DF5A2C" w:rsidRPr="007561FC" w:rsidRDefault="00DF5A2C" w:rsidP="001A17D6">
      <w:pPr>
        <w:pStyle w:val="Citation-AltC"/>
        <w:ind w:left="1627" w:hanging="461"/>
        <w:contextualSpacing w:val="0"/>
      </w:pPr>
      <w:r w:rsidRPr="007561FC">
        <w:t>2.</w:t>
      </w:r>
      <w:r w:rsidRPr="007561FC">
        <w:tab/>
        <w:t xml:space="preserve">If so, is the infringement a reasonable limit prescribed by law, which can be demonstrably justified in a free and democratic society under s. 1 of the </w:t>
      </w:r>
      <w:r w:rsidRPr="007561FC">
        <w:rPr>
          <w:i/>
        </w:rPr>
        <w:t>Canadian Charter of Rights and Freedoms</w:t>
      </w:r>
      <w:r w:rsidRPr="007561FC">
        <w:t>?</w:t>
      </w:r>
    </w:p>
    <w:p w:rsidR="00DF5A2C" w:rsidRPr="007561FC" w:rsidRDefault="001A17D6" w:rsidP="001A17D6">
      <w:pPr>
        <w:pStyle w:val="Citation-AltC"/>
        <w:spacing w:after="480" w:line="480" w:lineRule="auto"/>
        <w:ind w:left="0"/>
      </w:pPr>
      <w:r>
        <w:t xml:space="preserve">Answer: </w:t>
      </w:r>
      <w:r w:rsidR="00DF5A2C" w:rsidRPr="007561FC">
        <w:t xml:space="preserve">No. </w:t>
      </w:r>
    </w:p>
    <w:p w:rsidR="00DF5A2C" w:rsidRPr="007561FC" w:rsidRDefault="00DF5A2C" w:rsidP="00DF5A2C">
      <w:pPr>
        <w:pStyle w:val="ParaNoNdepar-AltN"/>
        <w:rPr>
          <w:rFonts w:cs="Times New Roman"/>
          <w:lang w:val="en-US"/>
        </w:rPr>
      </w:pPr>
      <w:r w:rsidRPr="007561FC">
        <w:rPr>
          <w:rFonts w:cs="Times New Roman"/>
        </w:rPr>
        <w:lastRenderedPageBreak/>
        <w:t xml:space="preserve">Both the Information and Privacy Commissioner of Alberta and the Attorney General of Alberta stated in oral argument that if they were unsuccessful, they would prefer that </w:t>
      </w:r>
      <w:r w:rsidRPr="007561FC">
        <w:rPr>
          <w:rFonts w:cs="Times New Roman"/>
          <w:i/>
        </w:rPr>
        <w:t>PIPA</w:t>
      </w:r>
      <w:r w:rsidRPr="007561FC">
        <w:rPr>
          <w:rFonts w:cs="Times New Roman"/>
        </w:rPr>
        <w:t xml:space="preserve"> be struck down in its entirety.  We agree. </w:t>
      </w:r>
      <w:r w:rsidRPr="007561FC">
        <w:rPr>
          <w:rFonts w:cs="Times New Roman"/>
          <w:lang w:val="en-US"/>
        </w:rPr>
        <w:t xml:space="preserve"> G</w:t>
      </w:r>
      <w:r w:rsidRPr="007561FC">
        <w:rPr>
          <w:rFonts w:cs="Times New Roman"/>
        </w:rPr>
        <w:t xml:space="preserve">iven the comprehensive and integrated structure of the statute, we do not think it is appropriate to pick and choose among the various amendments that would make </w:t>
      </w:r>
      <w:r w:rsidRPr="007561FC">
        <w:rPr>
          <w:rFonts w:cs="Times New Roman"/>
          <w:i/>
        </w:rPr>
        <w:t>PIPA</w:t>
      </w:r>
      <w:r w:rsidRPr="007561FC">
        <w:rPr>
          <w:rFonts w:cs="Times New Roman"/>
        </w:rPr>
        <w:t xml:space="preserve"> constitutionally compliant: </w:t>
      </w:r>
      <w:r w:rsidRPr="007561FC">
        <w:rPr>
          <w:rFonts w:cs="Times New Roman"/>
          <w:i/>
        </w:rPr>
        <w:t>R. v. Morgentaler</w:t>
      </w:r>
      <w:r w:rsidRPr="007561FC">
        <w:rPr>
          <w:rFonts w:cs="Times New Roman"/>
        </w:rPr>
        <w:t>,</w:t>
      </w:r>
      <w:r w:rsidRPr="007561FC">
        <w:rPr>
          <w:rFonts w:cs="Times New Roman"/>
          <w:i/>
        </w:rPr>
        <w:t xml:space="preserve"> </w:t>
      </w:r>
      <w:r w:rsidRPr="007561FC">
        <w:rPr>
          <w:rFonts w:cs="Times New Roman"/>
        </w:rPr>
        <w:t xml:space="preserve">[1988] 1 S.C.R. 30, at p. 80; </w:t>
      </w:r>
      <w:r w:rsidRPr="007561FC">
        <w:rPr>
          <w:rFonts w:cs="Times New Roman"/>
          <w:i/>
        </w:rPr>
        <w:t>Schachter v. Canada</w:t>
      </w:r>
      <w:r w:rsidRPr="007561FC">
        <w:rPr>
          <w:rFonts w:cs="Times New Roman"/>
        </w:rPr>
        <w:t>,</w:t>
      </w:r>
      <w:r w:rsidRPr="007561FC">
        <w:rPr>
          <w:rFonts w:cs="Times New Roman"/>
          <w:i/>
        </w:rPr>
        <w:t xml:space="preserve"> </w:t>
      </w:r>
      <w:r w:rsidRPr="007561FC">
        <w:rPr>
          <w:rFonts w:cs="Times New Roman"/>
        </w:rPr>
        <w:t xml:space="preserve">[1992] 2 S.C.R. 679, at p. 707.  </w:t>
      </w:r>
    </w:p>
    <w:p w:rsidR="00DF5A2C" w:rsidRPr="007561FC" w:rsidRDefault="00DF5A2C" w:rsidP="00DF5A2C">
      <w:pPr>
        <w:pStyle w:val="ParaNoNdepar-AltN"/>
        <w:rPr>
          <w:rFonts w:cs="Times New Roman"/>
        </w:rPr>
      </w:pPr>
      <w:r w:rsidRPr="007561FC">
        <w:rPr>
          <w:rFonts w:cs="Times New Roman"/>
        </w:rPr>
        <w:t xml:space="preserve">We would therefore declare </w:t>
      </w:r>
      <w:r w:rsidRPr="007561FC">
        <w:rPr>
          <w:rFonts w:cs="Times New Roman"/>
          <w:i/>
        </w:rPr>
        <w:t xml:space="preserve">PIPA </w:t>
      </w:r>
      <w:r w:rsidRPr="007561FC">
        <w:rPr>
          <w:rFonts w:cs="Times New Roman"/>
        </w:rPr>
        <w:t>to be invalid but suspend the declaration of invalidity for a period of 12 months to give the legislature time to decide how best to make the legislation constitutional.  Rather than sustain the constitutional exemption ordered by the Court of Appeal, we would simply quash the Adjudicator’s order.</w:t>
      </w:r>
    </w:p>
    <w:p w:rsidR="00DF5A2C" w:rsidRPr="007561FC" w:rsidRDefault="00DF5A2C" w:rsidP="00DF5A2C">
      <w:pPr>
        <w:pStyle w:val="ParaNoNdepar-AltN"/>
        <w:rPr>
          <w:rFonts w:cs="Times New Roman"/>
        </w:rPr>
      </w:pPr>
      <w:r w:rsidRPr="007561FC">
        <w:rPr>
          <w:rFonts w:cs="Times New Roman"/>
        </w:rPr>
        <w:t xml:space="preserve">The Union is entitled to its costs.  </w:t>
      </w:r>
    </w:p>
    <w:p w:rsidR="009B57B3" w:rsidRPr="009E6B7F" w:rsidRDefault="00BB78CA" w:rsidP="00A90400">
      <w:pPr>
        <w:pStyle w:val="SCCNormalDoubleSpacing"/>
        <w:spacing w:before="480" w:after="480"/>
        <w:rPr>
          <w:i/>
        </w:rPr>
      </w:pPr>
      <w:r w:rsidRPr="009E6B7F">
        <w:tab/>
      </w:r>
      <w:r w:rsidR="00656313" w:rsidRPr="009E6B7F">
        <w:rPr>
          <w:i/>
        </w:rPr>
        <w:t>Appeal</w:t>
      </w:r>
      <w:r w:rsidRPr="009E6B7F">
        <w:rPr>
          <w:i/>
        </w:rPr>
        <w:t xml:space="preserve"> </w:t>
      </w:r>
      <w:r w:rsidR="00232A63" w:rsidRPr="009E6B7F">
        <w:rPr>
          <w:i/>
        </w:rPr>
        <w:t xml:space="preserve">substantially </w:t>
      </w:r>
      <w:r w:rsidRPr="009E6B7F">
        <w:rPr>
          <w:i/>
        </w:rPr>
        <w:t>dismissed</w:t>
      </w:r>
      <w:r w:rsidR="00255172" w:rsidRPr="009E6B7F">
        <w:rPr>
          <w:i/>
        </w:rPr>
        <w:t xml:space="preserve"> with costs</w:t>
      </w:r>
      <w:r w:rsidRPr="009E6B7F">
        <w:rPr>
          <w:i/>
        </w:rPr>
        <w:t>.</w:t>
      </w:r>
    </w:p>
    <w:p w:rsidR="001159D3" w:rsidRPr="009E6B7F" w:rsidRDefault="001159D3" w:rsidP="00A90400">
      <w:pPr>
        <w:pStyle w:val="SCCLawFirm"/>
        <w:spacing w:before="480" w:after="480"/>
      </w:pPr>
      <w:r w:rsidRPr="009E6B7F">
        <w:tab/>
        <w:t>Solicitors for the appellant the Information and Privacy Commissioner</w:t>
      </w:r>
      <w:r w:rsidR="00F822B4" w:rsidRPr="009E6B7F">
        <w:t xml:space="preserve"> of Alberta</w:t>
      </w:r>
      <w:r w:rsidR="00144B61" w:rsidRPr="009E6B7F">
        <w:t>:  </w:t>
      </w:r>
      <w:r w:rsidRPr="009E6B7F">
        <w:t>Jensen Shawa Solomon Duguid Hawkes, Calgary.</w:t>
      </w:r>
    </w:p>
    <w:p w:rsidR="001159D3" w:rsidRPr="009E6B7F" w:rsidRDefault="001159D3" w:rsidP="00A90400">
      <w:pPr>
        <w:pStyle w:val="SCCLawFirm"/>
        <w:spacing w:before="480" w:after="480"/>
      </w:pPr>
      <w:r w:rsidRPr="009E6B7F">
        <w:tab/>
        <w:t>Solicitor for the appellant the Attorney General of Alberta</w:t>
      </w:r>
      <w:r w:rsidR="00144B61" w:rsidRPr="009E6B7F">
        <w:t>:  </w:t>
      </w:r>
      <w:r w:rsidRPr="009E6B7F">
        <w:t>Attorney General of Alberta, Edmonton.</w:t>
      </w:r>
    </w:p>
    <w:p w:rsidR="001159D3" w:rsidRPr="009E6B7F" w:rsidRDefault="001159D3" w:rsidP="00A90400">
      <w:pPr>
        <w:pStyle w:val="SCCLawFirm"/>
        <w:spacing w:before="480" w:after="480"/>
      </w:pPr>
      <w:r w:rsidRPr="009E6B7F">
        <w:lastRenderedPageBreak/>
        <w:tab/>
        <w:t>Solicitors for the respondent</w:t>
      </w:r>
      <w:r w:rsidR="00144B61" w:rsidRPr="009E6B7F">
        <w:t>:  </w:t>
      </w:r>
      <w:r w:rsidRPr="009E6B7F">
        <w:t>Chivers Carpenter, Edmonton.</w:t>
      </w:r>
    </w:p>
    <w:p w:rsidR="008057A6" w:rsidRPr="009E6B7F" w:rsidRDefault="001159D3" w:rsidP="00A90400">
      <w:pPr>
        <w:pStyle w:val="SCCLawFirm"/>
        <w:spacing w:before="480" w:after="480"/>
      </w:pPr>
      <w:r w:rsidRPr="009E6B7F">
        <w:tab/>
      </w:r>
      <w:r w:rsidR="008057A6" w:rsidRPr="009E6B7F">
        <w:t>Solicitor for the intervener the Attorney General of Canada</w:t>
      </w:r>
      <w:r w:rsidR="00144B61" w:rsidRPr="009E6B7F">
        <w:t>:  </w:t>
      </w:r>
      <w:r w:rsidR="008057A6" w:rsidRPr="009E6B7F">
        <w:t>Attorney General of Canada, Toronto.</w:t>
      </w:r>
    </w:p>
    <w:p w:rsidR="008057A6" w:rsidRPr="009E6B7F" w:rsidRDefault="008057A6" w:rsidP="00A90400">
      <w:pPr>
        <w:pStyle w:val="SCCLawFirm"/>
        <w:spacing w:before="480" w:after="480"/>
      </w:pPr>
      <w:r w:rsidRPr="009E6B7F">
        <w:tab/>
        <w:t>Solicitor for the intervener the Attorney General of Ontario</w:t>
      </w:r>
      <w:r w:rsidR="00144B61" w:rsidRPr="009E6B7F">
        <w:t>:  </w:t>
      </w:r>
      <w:r w:rsidRPr="009E6B7F">
        <w:t>Attorney General of Ontario, Toronto.</w:t>
      </w:r>
    </w:p>
    <w:p w:rsidR="008057A6" w:rsidRPr="009E6B7F" w:rsidRDefault="008057A6" w:rsidP="00A90400">
      <w:pPr>
        <w:pStyle w:val="SCCLawFirm"/>
        <w:spacing w:before="480" w:after="480"/>
      </w:pPr>
      <w:r w:rsidRPr="009E6B7F">
        <w:tab/>
        <w:t>Solicitors for the intervener the Privacy Commissioner of Canada</w:t>
      </w:r>
      <w:r w:rsidR="00144B61" w:rsidRPr="009E6B7F">
        <w:t>:  </w:t>
      </w:r>
      <w:r w:rsidRPr="009E6B7F">
        <w:t>Osler, Hoskin &amp; Harcourt, Toronto; Office of the Privacy Commissioner of Canada, Ottawa.</w:t>
      </w:r>
    </w:p>
    <w:p w:rsidR="008057A6" w:rsidRPr="009E6B7F" w:rsidRDefault="008057A6" w:rsidP="00A90400">
      <w:pPr>
        <w:pStyle w:val="SCCLawFirm"/>
        <w:spacing w:before="480" w:after="480"/>
      </w:pPr>
      <w:r w:rsidRPr="009E6B7F">
        <w:tab/>
        <w:t>Solicitors for the intervener the Canadian Civil Liberties Association</w:t>
      </w:r>
      <w:r w:rsidR="00144B61" w:rsidRPr="009E6B7F">
        <w:t>:  </w:t>
      </w:r>
      <w:r w:rsidRPr="009E6B7F">
        <w:t>Torys, Toronto.</w:t>
      </w:r>
    </w:p>
    <w:p w:rsidR="008057A6" w:rsidRPr="009E6B7F" w:rsidRDefault="008057A6" w:rsidP="00A90400">
      <w:pPr>
        <w:pStyle w:val="SCCLawFirm"/>
        <w:spacing w:before="480" w:after="480"/>
      </w:pPr>
      <w:r w:rsidRPr="009E6B7F">
        <w:tab/>
      </w:r>
      <w:r w:rsidRPr="009E6B7F">
        <w:tab/>
        <w:t>Solicitors for the intervener the British Columbia Civil Liberties Association</w:t>
      </w:r>
      <w:r w:rsidR="00144B61" w:rsidRPr="009E6B7F">
        <w:t>:  </w:t>
      </w:r>
      <w:r w:rsidRPr="009E6B7F">
        <w:t>Moore, Edgar, Lyster, Vancouver.</w:t>
      </w:r>
    </w:p>
    <w:p w:rsidR="008057A6" w:rsidRPr="009E6B7F" w:rsidRDefault="008057A6" w:rsidP="00A90400">
      <w:pPr>
        <w:pStyle w:val="SCCLawFirm"/>
        <w:spacing w:before="480" w:after="480"/>
      </w:pPr>
      <w:r w:rsidRPr="009E6B7F">
        <w:tab/>
        <w:t>Solicitor for the intervener the Information and Privacy Commissioner of Ontario</w:t>
      </w:r>
      <w:r w:rsidR="00144B61" w:rsidRPr="009E6B7F">
        <w:t>:  </w:t>
      </w:r>
      <w:r w:rsidRPr="009E6B7F">
        <w:t>Information and Privacy Commissioner of Ontario, Toronto.</w:t>
      </w:r>
    </w:p>
    <w:p w:rsidR="008057A6" w:rsidRPr="009E6B7F" w:rsidRDefault="008057A6" w:rsidP="00A90400">
      <w:pPr>
        <w:pStyle w:val="SCCLawFirm"/>
        <w:spacing w:before="480" w:after="480"/>
      </w:pPr>
      <w:r w:rsidRPr="009E6B7F">
        <w:tab/>
        <w:t>Solicitors for the interveners the Coalition of British Columbia Businesses and Merit Canada</w:t>
      </w:r>
      <w:r w:rsidR="00144B61" w:rsidRPr="009E6B7F">
        <w:t>:  </w:t>
      </w:r>
      <w:r w:rsidRPr="009E6B7F">
        <w:t>Heenan Blaikie, Ottawa.</w:t>
      </w:r>
    </w:p>
    <w:p w:rsidR="008057A6" w:rsidRPr="009E6B7F" w:rsidRDefault="008057A6" w:rsidP="00A90400">
      <w:pPr>
        <w:pStyle w:val="SCCLawFirm"/>
        <w:spacing w:before="480" w:after="480"/>
      </w:pPr>
      <w:r w:rsidRPr="009E6B7F">
        <w:lastRenderedPageBreak/>
        <w:tab/>
        <w:t>Solicitors for the intervener the Information and Privacy Commissioner of British Columbia</w:t>
      </w:r>
      <w:r w:rsidR="00144B61" w:rsidRPr="009E6B7F">
        <w:t>:  </w:t>
      </w:r>
      <w:r w:rsidRPr="009E6B7F">
        <w:t>Lovett Westmacott, Vancouver.</w:t>
      </w:r>
    </w:p>
    <w:p w:rsidR="00052007" w:rsidRDefault="008057A6" w:rsidP="00DF5A2C">
      <w:pPr>
        <w:pStyle w:val="SCCLawFirm"/>
        <w:rPr>
          <w:b/>
          <w:i w:val="0"/>
        </w:rPr>
      </w:pPr>
      <w:r w:rsidRPr="009E6B7F">
        <w:tab/>
        <w:t>Solicitors for the intervener the Alberta Federation of Labour</w:t>
      </w:r>
      <w:r w:rsidR="00144B61" w:rsidRPr="009E6B7F">
        <w:t>:  </w:t>
      </w:r>
      <w:r w:rsidRPr="009E6B7F">
        <w:t>Chivers Carpenter, Edmonton.</w:t>
      </w:r>
    </w:p>
    <w:p w:rsidR="00DF5A2C" w:rsidRPr="00DF5A2C" w:rsidRDefault="00DF5A2C" w:rsidP="00DF5A2C">
      <w:pPr>
        <w:pStyle w:val="SCCNormalDoubleSpacing"/>
      </w:pPr>
    </w:p>
    <w:sectPr w:rsidR="00DF5A2C" w:rsidRPr="00DF5A2C" w:rsidSect="005969AB">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A9F" w:rsidRDefault="00496A9F">
      <w:r>
        <w:separator/>
      </w:r>
    </w:p>
  </w:endnote>
  <w:endnote w:type="continuationSeparator" w:id="0">
    <w:p w:rsidR="00496A9F" w:rsidRDefault="00496A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A9F" w:rsidRDefault="00496A9F">
      <w:r>
        <w:separator/>
      </w:r>
    </w:p>
  </w:footnote>
  <w:footnote w:type="continuationSeparator" w:id="0">
    <w:p w:rsidR="00496A9F" w:rsidRDefault="00496A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13922"/>
      <w:docPartObj>
        <w:docPartGallery w:val="Page Numbers (Top of Page)"/>
        <w:docPartUnique/>
      </w:docPartObj>
    </w:sdtPr>
    <w:sdtContent>
      <w:p w:rsidR="00496A9F" w:rsidRDefault="00496A9F">
        <w:pPr>
          <w:pStyle w:val="Header"/>
          <w:jc w:val="center"/>
        </w:pPr>
        <w:r>
          <w:t xml:space="preserve">- </w:t>
        </w:r>
        <w:fldSimple w:instr=" PAGE   \* MERGEFORMAT ">
          <w:r w:rsidR="00C11357">
            <w:rPr>
              <w:noProof/>
            </w:rPr>
            <w:t>2</w:t>
          </w:r>
        </w:fldSimple>
        <w:r>
          <w:t xml:space="preserve"> -</w:t>
        </w:r>
      </w:p>
    </w:sdtContent>
  </w:sdt>
  <w:p w:rsidR="00496A9F" w:rsidRPr="00450352" w:rsidRDefault="00496A9F"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9432CF58"/>
    <w:lvl w:ilvl="0">
      <w:start w:val="1"/>
      <w:numFmt w:val="decimal"/>
      <w:pStyle w:val="ParaNoNdepar-AltN"/>
      <w:lvlText w:val="[%1]"/>
      <w:lvlJc w:val="left"/>
      <w:pPr>
        <w:tabs>
          <w:tab w:val="num" w:pos="1152"/>
        </w:tabs>
        <w:ind w:left="0" w:firstLine="0"/>
      </w:pPr>
      <w:rPr>
        <w:rFonts w:ascii="Times New Roman" w:hAnsi="Times New Roman" w:hint="default"/>
        <w:i w:val="0"/>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627442D7"/>
    <w:multiLevelType w:val="hybridMultilevel"/>
    <w:tmpl w:val="93EAED0E"/>
    <w:lvl w:ilvl="0" w:tplc="73BA2F3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8D0909"/>
    <w:multiLevelType w:val="hybridMultilevel"/>
    <w:tmpl w:val="C05C1B10"/>
    <w:lvl w:ilvl="0" w:tplc="10090001">
      <w:start w:val="1"/>
      <w:numFmt w:val="bullet"/>
      <w:lvlText w:val=""/>
      <w:lvlJc w:val="left"/>
      <w:pPr>
        <w:ind w:left="1526" w:hanging="360"/>
      </w:pPr>
      <w:rPr>
        <w:rFonts w:ascii="Symbol" w:hAnsi="Symbol" w:hint="default"/>
      </w:rPr>
    </w:lvl>
    <w:lvl w:ilvl="1" w:tplc="10090003" w:tentative="1">
      <w:start w:val="1"/>
      <w:numFmt w:val="bullet"/>
      <w:lvlText w:val="o"/>
      <w:lvlJc w:val="left"/>
      <w:pPr>
        <w:ind w:left="2246" w:hanging="360"/>
      </w:pPr>
      <w:rPr>
        <w:rFonts w:ascii="Courier New" w:hAnsi="Courier New" w:cs="Courier New" w:hint="default"/>
      </w:rPr>
    </w:lvl>
    <w:lvl w:ilvl="2" w:tplc="10090005" w:tentative="1">
      <w:start w:val="1"/>
      <w:numFmt w:val="bullet"/>
      <w:lvlText w:val=""/>
      <w:lvlJc w:val="left"/>
      <w:pPr>
        <w:ind w:left="2966" w:hanging="360"/>
      </w:pPr>
      <w:rPr>
        <w:rFonts w:ascii="Wingdings" w:hAnsi="Wingdings" w:hint="default"/>
      </w:rPr>
    </w:lvl>
    <w:lvl w:ilvl="3" w:tplc="10090001" w:tentative="1">
      <w:start w:val="1"/>
      <w:numFmt w:val="bullet"/>
      <w:lvlText w:val=""/>
      <w:lvlJc w:val="left"/>
      <w:pPr>
        <w:ind w:left="3686" w:hanging="360"/>
      </w:pPr>
      <w:rPr>
        <w:rFonts w:ascii="Symbol" w:hAnsi="Symbol" w:hint="default"/>
      </w:rPr>
    </w:lvl>
    <w:lvl w:ilvl="4" w:tplc="10090003" w:tentative="1">
      <w:start w:val="1"/>
      <w:numFmt w:val="bullet"/>
      <w:lvlText w:val="o"/>
      <w:lvlJc w:val="left"/>
      <w:pPr>
        <w:ind w:left="4406" w:hanging="360"/>
      </w:pPr>
      <w:rPr>
        <w:rFonts w:ascii="Courier New" w:hAnsi="Courier New" w:cs="Courier New" w:hint="default"/>
      </w:rPr>
    </w:lvl>
    <w:lvl w:ilvl="5" w:tplc="10090005" w:tentative="1">
      <w:start w:val="1"/>
      <w:numFmt w:val="bullet"/>
      <w:lvlText w:val=""/>
      <w:lvlJc w:val="left"/>
      <w:pPr>
        <w:ind w:left="5126" w:hanging="360"/>
      </w:pPr>
      <w:rPr>
        <w:rFonts w:ascii="Wingdings" w:hAnsi="Wingdings" w:hint="default"/>
      </w:rPr>
    </w:lvl>
    <w:lvl w:ilvl="6" w:tplc="10090001" w:tentative="1">
      <w:start w:val="1"/>
      <w:numFmt w:val="bullet"/>
      <w:lvlText w:val=""/>
      <w:lvlJc w:val="left"/>
      <w:pPr>
        <w:ind w:left="5846" w:hanging="360"/>
      </w:pPr>
      <w:rPr>
        <w:rFonts w:ascii="Symbol" w:hAnsi="Symbol" w:hint="default"/>
      </w:rPr>
    </w:lvl>
    <w:lvl w:ilvl="7" w:tplc="10090003" w:tentative="1">
      <w:start w:val="1"/>
      <w:numFmt w:val="bullet"/>
      <w:lvlText w:val="o"/>
      <w:lvlJc w:val="left"/>
      <w:pPr>
        <w:ind w:left="6566" w:hanging="360"/>
      </w:pPr>
      <w:rPr>
        <w:rFonts w:ascii="Courier New" w:hAnsi="Courier New" w:cs="Courier New" w:hint="default"/>
      </w:rPr>
    </w:lvl>
    <w:lvl w:ilvl="8" w:tplc="10090005" w:tentative="1">
      <w:start w:val="1"/>
      <w:numFmt w:val="bullet"/>
      <w:lvlText w:val=""/>
      <w:lvlJc w:val="left"/>
      <w:pPr>
        <w:ind w:left="7286" w:hanging="360"/>
      </w:pPr>
      <w:rPr>
        <w:rFonts w:ascii="Wingdings" w:hAnsi="Wingdings" w:hint="default"/>
      </w:rPr>
    </w:lvl>
  </w:abstractNum>
  <w:abstractNum w:abstractNumId="3">
    <w:nsid w:val="7F02314C"/>
    <w:multiLevelType w:val="hybridMultilevel"/>
    <w:tmpl w:val="8418F40A"/>
    <w:lvl w:ilvl="0" w:tplc="E268592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57697"/>
  </w:hdrShapeDefaults>
  <w:footnotePr>
    <w:footnote w:id="-1"/>
    <w:footnote w:id="0"/>
  </w:footnotePr>
  <w:endnotePr>
    <w:endnote w:id="-1"/>
    <w:endnote w:id="0"/>
  </w:endnotePr>
  <w:compat/>
  <w:rsids>
    <w:rsidRoot w:val="0031414C"/>
    <w:rsid w:val="00000ED4"/>
    <w:rsid w:val="00024BA6"/>
    <w:rsid w:val="00025198"/>
    <w:rsid w:val="000435D5"/>
    <w:rsid w:val="000505EE"/>
    <w:rsid w:val="00052007"/>
    <w:rsid w:val="000578A3"/>
    <w:rsid w:val="00060E2D"/>
    <w:rsid w:val="000648CC"/>
    <w:rsid w:val="00091147"/>
    <w:rsid w:val="00094B92"/>
    <w:rsid w:val="000C1A97"/>
    <w:rsid w:val="000C59B8"/>
    <w:rsid w:val="000C6AF0"/>
    <w:rsid w:val="000D1698"/>
    <w:rsid w:val="00104F33"/>
    <w:rsid w:val="00111DE2"/>
    <w:rsid w:val="001159D3"/>
    <w:rsid w:val="00116B38"/>
    <w:rsid w:val="00116D6B"/>
    <w:rsid w:val="0013141A"/>
    <w:rsid w:val="0013297E"/>
    <w:rsid w:val="00135406"/>
    <w:rsid w:val="00135972"/>
    <w:rsid w:val="0014041B"/>
    <w:rsid w:val="001426A9"/>
    <w:rsid w:val="00144B61"/>
    <w:rsid w:val="00145506"/>
    <w:rsid w:val="00154D7C"/>
    <w:rsid w:val="001555A8"/>
    <w:rsid w:val="001570B0"/>
    <w:rsid w:val="0015752C"/>
    <w:rsid w:val="00157737"/>
    <w:rsid w:val="00165277"/>
    <w:rsid w:val="00170592"/>
    <w:rsid w:val="0017174E"/>
    <w:rsid w:val="001739EC"/>
    <w:rsid w:val="00174B05"/>
    <w:rsid w:val="00185A98"/>
    <w:rsid w:val="00186351"/>
    <w:rsid w:val="00195D83"/>
    <w:rsid w:val="001A00C1"/>
    <w:rsid w:val="001A17D6"/>
    <w:rsid w:val="001B33E0"/>
    <w:rsid w:val="001B4573"/>
    <w:rsid w:val="001B63E6"/>
    <w:rsid w:val="001C0FF6"/>
    <w:rsid w:val="001C779F"/>
    <w:rsid w:val="001D0007"/>
    <w:rsid w:val="001D0F06"/>
    <w:rsid w:val="001D2AC1"/>
    <w:rsid w:val="001D3CA9"/>
    <w:rsid w:val="001D4E88"/>
    <w:rsid w:val="001F4810"/>
    <w:rsid w:val="00207E7D"/>
    <w:rsid w:val="00212B8A"/>
    <w:rsid w:val="00214B3B"/>
    <w:rsid w:val="00220FC2"/>
    <w:rsid w:val="002222F4"/>
    <w:rsid w:val="00224FC0"/>
    <w:rsid w:val="00225EA4"/>
    <w:rsid w:val="00226EAF"/>
    <w:rsid w:val="00231F3A"/>
    <w:rsid w:val="00232A63"/>
    <w:rsid w:val="0023339A"/>
    <w:rsid w:val="00233FF3"/>
    <w:rsid w:val="00234199"/>
    <w:rsid w:val="002376FB"/>
    <w:rsid w:val="002406EE"/>
    <w:rsid w:val="00243EC8"/>
    <w:rsid w:val="00255172"/>
    <w:rsid w:val="00270D93"/>
    <w:rsid w:val="002745CC"/>
    <w:rsid w:val="00276788"/>
    <w:rsid w:val="00281E5E"/>
    <w:rsid w:val="00283327"/>
    <w:rsid w:val="002B7924"/>
    <w:rsid w:val="002D28C3"/>
    <w:rsid w:val="002D39A4"/>
    <w:rsid w:val="002D4E6A"/>
    <w:rsid w:val="002D53E6"/>
    <w:rsid w:val="002E6705"/>
    <w:rsid w:val="002F5D7E"/>
    <w:rsid w:val="00301D08"/>
    <w:rsid w:val="0030329A"/>
    <w:rsid w:val="0031086F"/>
    <w:rsid w:val="0031414C"/>
    <w:rsid w:val="00314E01"/>
    <w:rsid w:val="0031609D"/>
    <w:rsid w:val="0032089D"/>
    <w:rsid w:val="003310DE"/>
    <w:rsid w:val="003316A6"/>
    <w:rsid w:val="003323B0"/>
    <w:rsid w:val="003401AC"/>
    <w:rsid w:val="0035169A"/>
    <w:rsid w:val="0035259D"/>
    <w:rsid w:val="00355DC4"/>
    <w:rsid w:val="00364B18"/>
    <w:rsid w:val="00393824"/>
    <w:rsid w:val="003A125D"/>
    <w:rsid w:val="003A4C70"/>
    <w:rsid w:val="003B0C92"/>
    <w:rsid w:val="003B0E16"/>
    <w:rsid w:val="003B215F"/>
    <w:rsid w:val="003C3FA7"/>
    <w:rsid w:val="003C602F"/>
    <w:rsid w:val="003C7033"/>
    <w:rsid w:val="003C799C"/>
    <w:rsid w:val="003D0399"/>
    <w:rsid w:val="003E0231"/>
    <w:rsid w:val="003E1C71"/>
    <w:rsid w:val="003E6BD8"/>
    <w:rsid w:val="003F2ACC"/>
    <w:rsid w:val="003F327B"/>
    <w:rsid w:val="00406166"/>
    <w:rsid w:val="0040704B"/>
    <w:rsid w:val="00410A55"/>
    <w:rsid w:val="00411300"/>
    <w:rsid w:val="00415417"/>
    <w:rsid w:val="00423AC4"/>
    <w:rsid w:val="00426659"/>
    <w:rsid w:val="004412BB"/>
    <w:rsid w:val="00445372"/>
    <w:rsid w:val="00450352"/>
    <w:rsid w:val="00454BDB"/>
    <w:rsid w:val="00464800"/>
    <w:rsid w:val="00465132"/>
    <w:rsid w:val="00480C90"/>
    <w:rsid w:val="0048396F"/>
    <w:rsid w:val="00493C18"/>
    <w:rsid w:val="00496A9F"/>
    <w:rsid w:val="004A2F3D"/>
    <w:rsid w:val="004A600C"/>
    <w:rsid w:val="004A6118"/>
    <w:rsid w:val="004A61E6"/>
    <w:rsid w:val="004C0D7F"/>
    <w:rsid w:val="004C478D"/>
    <w:rsid w:val="004D02AB"/>
    <w:rsid w:val="004E2C26"/>
    <w:rsid w:val="004F36FF"/>
    <w:rsid w:val="00501A9D"/>
    <w:rsid w:val="0051152B"/>
    <w:rsid w:val="005125A8"/>
    <w:rsid w:val="00512F8D"/>
    <w:rsid w:val="0051375A"/>
    <w:rsid w:val="005148DF"/>
    <w:rsid w:val="00521AE8"/>
    <w:rsid w:val="00527180"/>
    <w:rsid w:val="0054201E"/>
    <w:rsid w:val="00547538"/>
    <w:rsid w:val="0055042E"/>
    <w:rsid w:val="00555291"/>
    <w:rsid w:val="00566AD1"/>
    <w:rsid w:val="00583EDE"/>
    <w:rsid w:val="00584947"/>
    <w:rsid w:val="005969AB"/>
    <w:rsid w:val="005A1A0F"/>
    <w:rsid w:val="005A6079"/>
    <w:rsid w:val="005E4698"/>
    <w:rsid w:val="00610539"/>
    <w:rsid w:val="0061074F"/>
    <w:rsid w:val="00613969"/>
    <w:rsid w:val="00625C35"/>
    <w:rsid w:val="00656313"/>
    <w:rsid w:val="006565F4"/>
    <w:rsid w:val="00684597"/>
    <w:rsid w:val="00684EEA"/>
    <w:rsid w:val="00685774"/>
    <w:rsid w:val="0069689B"/>
    <w:rsid w:val="00696C52"/>
    <w:rsid w:val="006A1551"/>
    <w:rsid w:val="006B28DC"/>
    <w:rsid w:val="006B5FF5"/>
    <w:rsid w:val="006F30AF"/>
    <w:rsid w:val="00701759"/>
    <w:rsid w:val="00705C15"/>
    <w:rsid w:val="0071600E"/>
    <w:rsid w:val="007208D1"/>
    <w:rsid w:val="00730F86"/>
    <w:rsid w:val="00747288"/>
    <w:rsid w:val="00747DD3"/>
    <w:rsid w:val="007549C8"/>
    <w:rsid w:val="00754A0B"/>
    <w:rsid w:val="007629FA"/>
    <w:rsid w:val="00766D14"/>
    <w:rsid w:val="00767A0F"/>
    <w:rsid w:val="00774945"/>
    <w:rsid w:val="00776886"/>
    <w:rsid w:val="007769C6"/>
    <w:rsid w:val="007829A0"/>
    <w:rsid w:val="00784FC2"/>
    <w:rsid w:val="007A05F6"/>
    <w:rsid w:val="007A161D"/>
    <w:rsid w:val="007B3967"/>
    <w:rsid w:val="007B6F4A"/>
    <w:rsid w:val="007D5A65"/>
    <w:rsid w:val="007D73BA"/>
    <w:rsid w:val="007E1C47"/>
    <w:rsid w:val="007E337A"/>
    <w:rsid w:val="007E5C70"/>
    <w:rsid w:val="007F2FF5"/>
    <w:rsid w:val="007F3F08"/>
    <w:rsid w:val="008010AE"/>
    <w:rsid w:val="00804CC6"/>
    <w:rsid w:val="00805712"/>
    <w:rsid w:val="008057A6"/>
    <w:rsid w:val="0081717D"/>
    <w:rsid w:val="00817190"/>
    <w:rsid w:val="00820EE5"/>
    <w:rsid w:val="008260E2"/>
    <w:rsid w:val="008322BD"/>
    <w:rsid w:val="00833E0A"/>
    <w:rsid w:val="00834F73"/>
    <w:rsid w:val="00860EF5"/>
    <w:rsid w:val="00864CF8"/>
    <w:rsid w:val="00865981"/>
    <w:rsid w:val="00872819"/>
    <w:rsid w:val="00874914"/>
    <w:rsid w:val="0088502E"/>
    <w:rsid w:val="00891422"/>
    <w:rsid w:val="00892E1A"/>
    <w:rsid w:val="008A3D34"/>
    <w:rsid w:val="008A3F29"/>
    <w:rsid w:val="008B660A"/>
    <w:rsid w:val="008B727A"/>
    <w:rsid w:val="008C01DA"/>
    <w:rsid w:val="008F647D"/>
    <w:rsid w:val="008F78E9"/>
    <w:rsid w:val="00902741"/>
    <w:rsid w:val="00911989"/>
    <w:rsid w:val="009179F9"/>
    <w:rsid w:val="00933E5E"/>
    <w:rsid w:val="00935218"/>
    <w:rsid w:val="009403F3"/>
    <w:rsid w:val="009555B7"/>
    <w:rsid w:val="009567AA"/>
    <w:rsid w:val="00967374"/>
    <w:rsid w:val="00991D4F"/>
    <w:rsid w:val="00996B43"/>
    <w:rsid w:val="009A343A"/>
    <w:rsid w:val="009B2F23"/>
    <w:rsid w:val="009B57B3"/>
    <w:rsid w:val="009C5B92"/>
    <w:rsid w:val="009D2920"/>
    <w:rsid w:val="009D5AEB"/>
    <w:rsid w:val="009E20EA"/>
    <w:rsid w:val="009E536F"/>
    <w:rsid w:val="009E6B7F"/>
    <w:rsid w:val="009F0E33"/>
    <w:rsid w:val="00A030CE"/>
    <w:rsid w:val="00A06B53"/>
    <w:rsid w:val="00A1050E"/>
    <w:rsid w:val="00A149DF"/>
    <w:rsid w:val="00A1755C"/>
    <w:rsid w:val="00A21B90"/>
    <w:rsid w:val="00A22CCF"/>
    <w:rsid w:val="00A41805"/>
    <w:rsid w:val="00A42DCD"/>
    <w:rsid w:val="00A52AFB"/>
    <w:rsid w:val="00A548CB"/>
    <w:rsid w:val="00A5521C"/>
    <w:rsid w:val="00A643E7"/>
    <w:rsid w:val="00A7077C"/>
    <w:rsid w:val="00A73C38"/>
    <w:rsid w:val="00A85CEC"/>
    <w:rsid w:val="00A90400"/>
    <w:rsid w:val="00AA03B4"/>
    <w:rsid w:val="00AA054F"/>
    <w:rsid w:val="00AA37D2"/>
    <w:rsid w:val="00AB670D"/>
    <w:rsid w:val="00AF03C5"/>
    <w:rsid w:val="00B000D8"/>
    <w:rsid w:val="00B00F75"/>
    <w:rsid w:val="00B04050"/>
    <w:rsid w:val="00B145B6"/>
    <w:rsid w:val="00B279EB"/>
    <w:rsid w:val="00B44A86"/>
    <w:rsid w:val="00B5009E"/>
    <w:rsid w:val="00B50C81"/>
    <w:rsid w:val="00B553B0"/>
    <w:rsid w:val="00B557F8"/>
    <w:rsid w:val="00B63704"/>
    <w:rsid w:val="00B6738E"/>
    <w:rsid w:val="00B736DD"/>
    <w:rsid w:val="00B75FB2"/>
    <w:rsid w:val="00B815FC"/>
    <w:rsid w:val="00B87369"/>
    <w:rsid w:val="00B93FBC"/>
    <w:rsid w:val="00BA7DA0"/>
    <w:rsid w:val="00BB2EE4"/>
    <w:rsid w:val="00BB78CA"/>
    <w:rsid w:val="00BC2108"/>
    <w:rsid w:val="00BC6747"/>
    <w:rsid w:val="00BD0E9E"/>
    <w:rsid w:val="00BD1BEC"/>
    <w:rsid w:val="00BD32FF"/>
    <w:rsid w:val="00BE1F05"/>
    <w:rsid w:val="00C02092"/>
    <w:rsid w:val="00C11357"/>
    <w:rsid w:val="00C16CBB"/>
    <w:rsid w:val="00C24D91"/>
    <w:rsid w:val="00C27F35"/>
    <w:rsid w:val="00C425AC"/>
    <w:rsid w:val="00C50D10"/>
    <w:rsid w:val="00C53F14"/>
    <w:rsid w:val="00C56E51"/>
    <w:rsid w:val="00C600CF"/>
    <w:rsid w:val="00C6084F"/>
    <w:rsid w:val="00C6239F"/>
    <w:rsid w:val="00C62A66"/>
    <w:rsid w:val="00C702F8"/>
    <w:rsid w:val="00C70FAE"/>
    <w:rsid w:val="00C71458"/>
    <w:rsid w:val="00C7515F"/>
    <w:rsid w:val="00C77613"/>
    <w:rsid w:val="00C828E7"/>
    <w:rsid w:val="00C86719"/>
    <w:rsid w:val="00C91064"/>
    <w:rsid w:val="00C921DD"/>
    <w:rsid w:val="00C94435"/>
    <w:rsid w:val="00C97B52"/>
    <w:rsid w:val="00CA544E"/>
    <w:rsid w:val="00CA6391"/>
    <w:rsid w:val="00CB682B"/>
    <w:rsid w:val="00CC34BD"/>
    <w:rsid w:val="00CE161A"/>
    <w:rsid w:val="00CE3171"/>
    <w:rsid w:val="00CF1601"/>
    <w:rsid w:val="00D0172F"/>
    <w:rsid w:val="00D068A7"/>
    <w:rsid w:val="00D17476"/>
    <w:rsid w:val="00D3057F"/>
    <w:rsid w:val="00D32086"/>
    <w:rsid w:val="00D3533C"/>
    <w:rsid w:val="00D37A3F"/>
    <w:rsid w:val="00D410C6"/>
    <w:rsid w:val="00D44203"/>
    <w:rsid w:val="00D4431D"/>
    <w:rsid w:val="00D45DF1"/>
    <w:rsid w:val="00D4667A"/>
    <w:rsid w:val="00D63A1C"/>
    <w:rsid w:val="00D7516F"/>
    <w:rsid w:val="00D76950"/>
    <w:rsid w:val="00D8280C"/>
    <w:rsid w:val="00D8579F"/>
    <w:rsid w:val="00D95AC5"/>
    <w:rsid w:val="00D95F8E"/>
    <w:rsid w:val="00DA0590"/>
    <w:rsid w:val="00DA599C"/>
    <w:rsid w:val="00DB0223"/>
    <w:rsid w:val="00DB7BEA"/>
    <w:rsid w:val="00DC1739"/>
    <w:rsid w:val="00DC1788"/>
    <w:rsid w:val="00DE2BEF"/>
    <w:rsid w:val="00DE319C"/>
    <w:rsid w:val="00DF0CA8"/>
    <w:rsid w:val="00DF2B48"/>
    <w:rsid w:val="00DF49A7"/>
    <w:rsid w:val="00DF5A2C"/>
    <w:rsid w:val="00E036E3"/>
    <w:rsid w:val="00E07EE2"/>
    <w:rsid w:val="00E07FD1"/>
    <w:rsid w:val="00E12598"/>
    <w:rsid w:val="00E24573"/>
    <w:rsid w:val="00E2524A"/>
    <w:rsid w:val="00E25E1E"/>
    <w:rsid w:val="00E27EE7"/>
    <w:rsid w:val="00E31584"/>
    <w:rsid w:val="00E35404"/>
    <w:rsid w:val="00E45109"/>
    <w:rsid w:val="00E47B7A"/>
    <w:rsid w:val="00E56A44"/>
    <w:rsid w:val="00E60269"/>
    <w:rsid w:val="00E623CC"/>
    <w:rsid w:val="00E67336"/>
    <w:rsid w:val="00E75E83"/>
    <w:rsid w:val="00E77932"/>
    <w:rsid w:val="00E85949"/>
    <w:rsid w:val="00E91F21"/>
    <w:rsid w:val="00E97830"/>
    <w:rsid w:val="00EB1C37"/>
    <w:rsid w:val="00EE643C"/>
    <w:rsid w:val="00EE6A91"/>
    <w:rsid w:val="00EF060E"/>
    <w:rsid w:val="00EF0683"/>
    <w:rsid w:val="00EF12C3"/>
    <w:rsid w:val="00EF2C27"/>
    <w:rsid w:val="00EF69D2"/>
    <w:rsid w:val="00EF766E"/>
    <w:rsid w:val="00F0070C"/>
    <w:rsid w:val="00F00EB7"/>
    <w:rsid w:val="00F26E4A"/>
    <w:rsid w:val="00F309B3"/>
    <w:rsid w:val="00F36AB6"/>
    <w:rsid w:val="00F37A09"/>
    <w:rsid w:val="00F409CE"/>
    <w:rsid w:val="00F4379D"/>
    <w:rsid w:val="00F502AC"/>
    <w:rsid w:val="00F50D2D"/>
    <w:rsid w:val="00F52A5E"/>
    <w:rsid w:val="00F54A13"/>
    <w:rsid w:val="00F56C8B"/>
    <w:rsid w:val="00F66810"/>
    <w:rsid w:val="00F74501"/>
    <w:rsid w:val="00F822B4"/>
    <w:rsid w:val="00F83000"/>
    <w:rsid w:val="00F846D9"/>
    <w:rsid w:val="00F84DF4"/>
    <w:rsid w:val="00F85C97"/>
    <w:rsid w:val="00FB37D2"/>
    <w:rsid w:val="00FC4EFB"/>
    <w:rsid w:val="00FD068D"/>
    <w:rsid w:val="00FD4F28"/>
    <w:rsid w:val="00FE6784"/>
    <w:rsid w:val="00FE73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styleId="ListParagraph">
    <w:name w:val="List Paragraph"/>
    <w:basedOn w:val="Normal"/>
    <w:uiPriority w:val="34"/>
    <w:qFormat/>
    <w:rsid w:val="002F5D7E"/>
    <w:pPr>
      <w:ind w:left="720"/>
      <w:contextualSpacing/>
    </w:pPr>
  </w:style>
  <w:style w:type="paragraph" w:customStyle="1" w:styleId="ParaNoNdepar-AltN">
    <w:name w:val="Para. No. / Nº de par. - Alt N"/>
    <w:qFormat/>
    <w:rsid w:val="008A3D34"/>
    <w:pPr>
      <w:numPr>
        <w:numId w:val="3"/>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SCCCoram">
    <w:name w:val="SCC.Coram"/>
    <w:basedOn w:val="Normal"/>
    <w:next w:val="Normal"/>
    <w:link w:val="SCCCoramChar"/>
    <w:rsid w:val="00DF5A2C"/>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DF5A2C"/>
    <w:rPr>
      <w:rFonts w:eastAsiaTheme="minorHAnsi" w:cstheme="minorBidi"/>
      <w:sz w:val="24"/>
      <w:szCs w:val="22"/>
      <w:lang w:eastAsia="en-US"/>
    </w:rPr>
  </w:style>
  <w:style w:type="table" w:styleId="TableGrid">
    <w:name w:val="Table Grid"/>
    <w:basedOn w:val="TableNormal"/>
    <w:uiPriority w:val="59"/>
    <w:rsid w:val="00DF5A2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DF5A2C"/>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DF5A2C"/>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DF5A2C"/>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DF5A2C"/>
    <w:pPr>
      <w:tabs>
        <w:tab w:val="left" w:pos="360"/>
      </w:tabs>
      <w:spacing w:before="480" w:after="720"/>
      <w:ind w:left="360" w:hanging="360"/>
      <w:jc w:val="both"/>
    </w:pPr>
    <w:rPr>
      <w:rFonts w:eastAsiaTheme="minorHAnsi" w:cstheme="minorBidi"/>
      <w:sz w:val="24"/>
      <w:szCs w:val="22"/>
      <w:lang w:eastAsia="en-US"/>
    </w:rPr>
  </w:style>
  <w:style w:type="character" w:customStyle="1" w:styleId="SCCLowerCourtJudge">
    <w:name w:val="SCC.LowerCourtJudge"/>
    <w:basedOn w:val="DefaultParagraphFont"/>
    <w:uiPriority w:val="1"/>
    <w:qFormat/>
    <w:rsid w:val="00DF5A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6436</Words>
  <Characters>35626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2014-04-03T16:02:00Z</dcterms:created>
  <dcterms:modified xsi:type="dcterms:W3CDTF">2014-04-03T16:05:00Z</dcterms:modified>
</cp:coreProperties>
</file>