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59" w:rsidRPr="00FD6159" w:rsidRDefault="00FD6159" w:rsidP="00361C43">
      <w:pPr>
        <w:tabs>
          <w:tab w:val="center" w:pos="4680"/>
          <w:tab w:val="right" w:pos="9360"/>
        </w:tabs>
        <w:jc w:val="center"/>
        <w:rPr>
          <w:rFonts w:eastAsiaTheme="minorHAnsi" w:cstheme="minorBidi"/>
          <w:szCs w:val="24"/>
          <w:lang w:eastAsia="en-US"/>
        </w:rPr>
      </w:pPr>
      <w:r w:rsidRPr="00FD615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64.8pt" o:ole="">
            <v:imagedata r:id="rId7" o:title=""/>
          </v:shape>
          <o:OLEObject Type="Embed" ProgID="Presentations.Drawing.13" ShapeID="_x0000_i1025" DrawAspect="Content" ObjectID="_1465124810" r:id="rId8"/>
        </w:object>
      </w:r>
    </w:p>
    <w:p w:rsidR="00FD6159" w:rsidRPr="00FD6159" w:rsidRDefault="00FD6159" w:rsidP="00FD6159">
      <w:pPr>
        <w:tabs>
          <w:tab w:val="center" w:pos="4680"/>
          <w:tab w:val="right" w:pos="9360"/>
        </w:tabs>
        <w:rPr>
          <w:rFonts w:eastAsiaTheme="minorHAnsi" w:cstheme="minorBidi"/>
          <w:szCs w:val="24"/>
          <w:lang w:eastAsia="en-US"/>
        </w:rPr>
      </w:pPr>
    </w:p>
    <w:p w:rsidR="00FD6159" w:rsidRPr="00FD6159" w:rsidRDefault="00FD6159" w:rsidP="00FD6159">
      <w:pPr>
        <w:jc w:val="center"/>
        <w:rPr>
          <w:rFonts w:eastAsiaTheme="minorHAnsi" w:cstheme="minorBidi"/>
          <w:b/>
          <w:szCs w:val="24"/>
          <w:lang w:eastAsia="en-US"/>
        </w:rPr>
      </w:pPr>
      <w:r w:rsidRPr="00FD6159">
        <w:rPr>
          <w:rFonts w:eastAsiaTheme="minorHAnsi" w:cstheme="minorBidi"/>
          <w:b/>
          <w:szCs w:val="24"/>
          <w:lang w:eastAsia="en-US"/>
        </w:rPr>
        <w:t>SUPREME COURT OF CANADA</w:t>
      </w:r>
    </w:p>
    <w:p w:rsidR="00FD6159" w:rsidRPr="00FD6159" w:rsidRDefault="00FD6159" w:rsidP="00FD615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D6159" w:rsidRPr="00FD6159" w:rsidTr="008548F6">
        <w:trPr>
          <w:cantSplit/>
        </w:trPr>
        <w:tc>
          <w:tcPr>
            <w:tcW w:w="6768" w:type="dxa"/>
          </w:tcPr>
          <w:p w:rsidR="00FD6159" w:rsidRPr="00FD6159" w:rsidRDefault="00FD6159" w:rsidP="00FD6159">
            <w:r w:rsidRPr="00FD6159">
              <w:rPr>
                <w:b/>
                <w:smallCaps/>
              </w:rPr>
              <w:t>Citation:</w:t>
            </w:r>
            <w:r w:rsidRPr="00FD6159">
              <w:t xml:space="preserve"> </w:t>
            </w:r>
            <w:r w:rsidRPr="00FD6159">
              <w:rPr>
                <w:iCs/>
                <w:color w:val="000000" w:themeColor="text1"/>
              </w:rPr>
              <w:t xml:space="preserve">R. </w:t>
            </w:r>
            <w:r w:rsidRPr="00FD6159">
              <w:rPr>
                <w:i/>
                <w:iCs/>
                <w:color w:val="000000" w:themeColor="text1"/>
              </w:rPr>
              <w:t>v.</w:t>
            </w:r>
            <w:r w:rsidRPr="00FD6159">
              <w:rPr>
                <w:iCs/>
                <w:color w:val="000000" w:themeColor="text1"/>
              </w:rPr>
              <w:t xml:space="preserve"> </w:t>
            </w:r>
            <w:r w:rsidRPr="00FD6159">
              <w:t>MacDonald</w:t>
            </w:r>
            <w:r w:rsidRPr="00FD6159">
              <w:rPr>
                <w:iCs/>
                <w:color w:val="000000" w:themeColor="text1"/>
              </w:rPr>
              <w:t>,</w:t>
            </w:r>
            <w:r w:rsidRPr="00FD6159">
              <w:rPr>
                <w:i/>
              </w:rPr>
              <w:t xml:space="preserve"> </w:t>
            </w:r>
            <w:r w:rsidRPr="00FD6159">
              <w:t>2014 SCC 3, [2014] 1 S.C.R. 37</w:t>
            </w:r>
          </w:p>
        </w:tc>
        <w:tc>
          <w:tcPr>
            <w:tcW w:w="2808" w:type="dxa"/>
          </w:tcPr>
          <w:p w:rsidR="00FD6159" w:rsidRPr="00FD6159" w:rsidRDefault="00FD6159" w:rsidP="00FD6159">
            <w:r w:rsidRPr="00FD6159">
              <w:rPr>
                <w:b/>
                <w:smallCaps/>
              </w:rPr>
              <w:t>Date:</w:t>
            </w:r>
            <w:r w:rsidRPr="00FD6159">
              <w:t xml:space="preserve"> 20140117</w:t>
            </w:r>
          </w:p>
          <w:p w:rsidR="00FD6159" w:rsidRPr="00FD6159" w:rsidRDefault="00FD6159" w:rsidP="00FD6159">
            <w:r w:rsidRPr="00FD6159">
              <w:rPr>
                <w:b/>
                <w:smallCaps/>
              </w:rPr>
              <w:t>Docket:</w:t>
            </w:r>
            <w:r w:rsidRPr="00FD6159">
              <w:t xml:space="preserve"> 34914</w:t>
            </w:r>
          </w:p>
        </w:tc>
      </w:tr>
    </w:tbl>
    <w:p w:rsidR="00FD6159" w:rsidRPr="00FD6159" w:rsidRDefault="00FD6159" w:rsidP="00FD6159">
      <w:pPr>
        <w:rPr>
          <w:rFonts w:eastAsiaTheme="minorHAnsi" w:cstheme="minorBidi"/>
          <w:szCs w:val="24"/>
          <w:lang w:eastAsia="en-US"/>
        </w:rPr>
      </w:pPr>
    </w:p>
    <w:p w:rsidR="00FD6159" w:rsidRPr="00FD6159" w:rsidRDefault="00FD6159" w:rsidP="00FD6159">
      <w:pPr>
        <w:rPr>
          <w:rFonts w:eastAsiaTheme="minorHAnsi" w:cstheme="minorBidi"/>
          <w:b/>
          <w:smallCaps/>
          <w:szCs w:val="24"/>
          <w:lang w:eastAsia="en-US"/>
        </w:rPr>
      </w:pPr>
      <w:r w:rsidRPr="00FD6159">
        <w:rPr>
          <w:rFonts w:eastAsiaTheme="minorHAnsi" w:cstheme="minorBidi"/>
          <w:b/>
          <w:smallCaps/>
          <w:szCs w:val="24"/>
          <w:lang w:eastAsia="en-US"/>
        </w:rPr>
        <w:t>Between:</w:t>
      </w:r>
    </w:p>
    <w:p w:rsidR="00FD6159" w:rsidRPr="00FD6159" w:rsidRDefault="00FD6159" w:rsidP="00FD6159">
      <w:pPr>
        <w:jc w:val="center"/>
        <w:rPr>
          <w:rFonts w:eastAsiaTheme="minorHAnsi" w:cstheme="minorBidi"/>
          <w:b/>
          <w:szCs w:val="24"/>
          <w:lang w:eastAsia="en-US"/>
        </w:rPr>
      </w:pPr>
      <w:r w:rsidRPr="00FD6159">
        <w:rPr>
          <w:rFonts w:eastAsiaTheme="minorHAnsi" w:cstheme="minorBidi"/>
          <w:b/>
          <w:szCs w:val="24"/>
          <w:lang w:eastAsia="en-US"/>
        </w:rPr>
        <w:t>Erin Lee MacDonald</w:t>
      </w:r>
    </w:p>
    <w:p w:rsidR="00FD6159" w:rsidRPr="00FD6159" w:rsidRDefault="00FD6159" w:rsidP="00FD6159">
      <w:pPr>
        <w:jc w:val="center"/>
        <w:rPr>
          <w:rFonts w:eastAsiaTheme="minorHAnsi" w:cstheme="minorBidi"/>
          <w:szCs w:val="24"/>
          <w:lang w:eastAsia="en-US"/>
        </w:rPr>
      </w:pPr>
      <w:r w:rsidRPr="00FD6159">
        <w:rPr>
          <w:rFonts w:eastAsiaTheme="minorHAnsi" w:cstheme="minorBidi"/>
          <w:szCs w:val="24"/>
          <w:lang w:eastAsia="en-US"/>
        </w:rPr>
        <w:t>Appellant</w:t>
      </w:r>
    </w:p>
    <w:p w:rsidR="00FD6159" w:rsidRPr="00FD6159" w:rsidRDefault="00FD6159" w:rsidP="00FD6159">
      <w:pPr>
        <w:jc w:val="center"/>
        <w:rPr>
          <w:rFonts w:eastAsiaTheme="minorHAnsi" w:cstheme="minorBidi"/>
          <w:szCs w:val="24"/>
          <w:lang w:eastAsia="en-US"/>
        </w:rPr>
      </w:pPr>
      <w:proofErr w:type="gramStart"/>
      <w:r w:rsidRPr="00FD6159">
        <w:rPr>
          <w:rFonts w:eastAsiaTheme="minorHAnsi" w:cstheme="minorBidi"/>
          <w:szCs w:val="24"/>
          <w:lang w:eastAsia="en-US"/>
        </w:rPr>
        <w:t>and</w:t>
      </w:r>
      <w:proofErr w:type="gramEnd"/>
    </w:p>
    <w:p w:rsidR="00FD6159" w:rsidRPr="00FD6159" w:rsidRDefault="00FD6159" w:rsidP="00FD6159">
      <w:pPr>
        <w:jc w:val="center"/>
        <w:rPr>
          <w:rFonts w:eastAsiaTheme="minorHAnsi" w:cstheme="minorBidi"/>
          <w:b/>
          <w:szCs w:val="24"/>
          <w:lang w:eastAsia="en-US"/>
        </w:rPr>
      </w:pPr>
      <w:r w:rsidRPr="00FD6159">
        <w:rPr>
          <w:rFonts w:eastAsiaTheme="minorHAnsi" w:cstheme="minorBidi"/>
          <w:b/>
          <w:szCs w:val="24"/>
          <w:lang w:eastAsia="en-US"/>
        </w:rPr>
        <w:t xml:space="preserve">Her Majesty </w:t>
      </w:r>
      <w:proofErr w:type="gramStart"/>
      <w:r w:rsidRPr="00FD6159">
        <w:rPr>
          <w:rFonts w:eastAsiaTheme="minorHAnsi" w:cstheme="minorBidi"/>
          <w:b/>
          <w:szCs w:val="24"/>
          <w:lang w:eastAsia="en-US"/>
        </w:rPr>
        <w:t>The</w:t>
      </w:r>
      <w:proofErr w:type="gramEnd"/>
      <w:r w:rsidRPr="00FD6159">
        <w:rPr>
          <w:rFonts w:eastAsiaTheme="minorHAnsi" w:cstheme="minorBidi"/>
          <w:b/>
          <w:szCs w:val="24"/>
          <w:lang w:eastAsia="en-US"/>
        </w:rPr>
        <w:t xml:space="preserve"> Queen</w:t>
      </w:r>
    </w:p>
    <w:p w:rsidR="00FD6159" w:rsidRPr="00FD6159" w:rsidRDefault="00FD6159" w:rsidP="00FD6159">
      <w:pPr>
        <w:jc w:val="center"/>
        <w:rPr>
          <w:rFonts w:eastAsiaTheme="minorHAnsi" w:cstheme="minorBidi"/>
          <w:szCs w:val="24"/>
          <w:lang w:eastAsia="en-US"/>
        </w:rPr>
      </w:pPr>
      <w:r w:rsidRPr="00FD6159">
        <w:rPr>
          <w:rFonts w:eastAsiaTheme="minorHAnsi" w:cstheme="minorBidi"/>
          <w:szCs w:val="24"/>
          <w:lang w:eastAsia="en-US"/>
        </w:rPr>
        <w:t>Respondent</w:t>
      </w:r>
    </w:p>
    <w:p w:rsidR="00FD6159" w:rsidRPr="00FD6159" w:rsidRDefault="00FD6159" w:rsidP="00FD6159">
      <w:pPr>
        <w:rPr>
          <w:rFonts w:eastAsiaTheme="minorHAnsi" w:cstheme="minorBidi"/>
          <w:b/>
          <w:smallCaps/>
          <w:szCs w:val="24"/>
          <w:lang w:eastAsia="en-US"/>
        </w:rPr>
      </w:pPr>
      <w:r w:rsidRPr="00FD6159">
        <w:rPr>
          <w:rFonts w:eastAsiaTheme="minorHAnsi" w:cstheme="minorBidi"/>
          <w:b/>
          <w:smallCaps/>
          <w:szCs w:val="24"/>
          <w:lang w:eastAsia="en-US"/>
        </w:rPr>
        <w:t>And Between:</w:t>
      </w:r>
    </w:p>
    <w:p w:rsidR="00FD6159" w:rsidRPr="00FD6159" w:rsidRDefault="00FD6159" w:rsidP="00FD6159">
      <w:pPr>
        <w:jc w:val="center"/>
        <w:rPr>
          <w:rFonts w:eastAsiaTheme="minorHAnsi" w:cstheme="minorBidi"/>
          <w:b/>
          <w:szCs w:val="24"/>
          <w:lang w:eastAsia="en-US"/>
        </w:rPr>
      </w:pPr>
      <w:r w:rsidRPr="00FD6159">
        <w:rPr>
          <w:rFonts w:eastAsiaTheme="minorHAnsi" w:cstheme="minorBidi"/>
          <w:b/>
          <w:szCs w:val="24"/>
          <w:lang w:eastAsia="en-US"/>
        </w:rPr>
        <w:t xml:space="preserve">Her Majesty </w:t>
      </w:r>
      <w:proofErr w:type="gramStart"/>
      <w:r w:rsidRPr="00FD6159">
        <w:rPr>
          <w:rFonts w:eastAsiaTheme="minorHAnsi" w:cstheme="minorBidi"/>
          <w:b/>
          <w:szCs w:val="24"/>
          <w:lang w:eastAsia="en-US"/>
        </w:rPr>
        <w:t>The</w:t>
      </w:r>
      <w:proofErr w:type="gramEnd"/>
      <w:r w:rsidRPr="00FD6159">
        <w:rPr>
          <w:rFonts w:eastAsiaTheme="minorHAnsi" w:cstheme="minorBidi"/>
          <w:b/>
          <w:szCs w:val="24"/>
          <w:lang w:eastAsia="en-US"/>
        </w:rPr>
        <w:t xml:space="preserve"> Queen</w:t>
      </w:r>
    </w:p>
    <w:p w:rsidR="00FD6159" w:rsidRPr="00FD6159" w:rsidRDefault="00FD6159" w:rsidP="00FD6159">
      <w:pPr>
        <w:jc w:val="center"/>
        <w:rPr>
          <w:rFonts w:eastAsiaTheme="minorHAnsi" w:cstheme="minorBidi"/>
          <w:szCs w:val="24"/>
          <w:lang w:eastAsia="en-US"/>
        </w:rPr>
      </w:pPr>
      <w:r w:rsidRPr="00FD6159">
        <w:rPr>
          <w:rFonts w:eastAsiaTheme="minorHAnsi" w:cstheme="minorBidi"/>
          <w:szCs w:val="24"/>
          <w:lang w:eastAsia="en-US"/>
        </w:rPr>
        <w:t>Appellant</w:t>
      </w:r>
    </w:p>
    <w:p w:rsidR="00FD6159" w:rsidRPr="00FD6159" w:rsidRDefault="00FD6159" w:rsidP="00FD6159">
      <w:pPr>
        <w:jc w:val="center"/>
        <w:rPr>
          <w:rFonts w:eastAsiaTheme="minorHAnsi" w:cstheme="minorBidi"/>
          <w:szCs w:val="24"/>
          <w:lang w:eastAsia="en-US"/>
        </w:rPr>
      </w:pPr>
      <w:proofErr w:type="gramStart"/>
      <w:r w:rsidRPr="00FD6159">
        <w:rPr>
          <w:rFonts w:eastAsiaTheme="minorHAnsi" w:cstheme="minorBidi"/>
          <w:szCs w:val="24"/>
          <w:lang w:eastAsia="en-US"/>
        </w:rPr>
        <w:t>and</w:t>
      </w:r>
      <w:proofErr w:type="gramEnd"/>
    </w:p>
    <w:p w:rsidR="00FD6159" w:rsidRPr="00FD6159" w:rsidRDefault="00FD6159" w:rsidP="00FD6159">
      <w:pPr>
        <w:jc w:val="center"/>
        <w:rPr>
          <w:rFonts w:eastAsiaTheme="minorHAnsi" w:cstheme="minorBidi"/>
          <w:b/>
          <w:szCs w:val="24"/>
          <w:lang w:eastAsia="en-US"/>
        </w:rPr>
      </w:pPr>
      <w:r w:rsidRPr="00FD6159">
        <w:rPr>
          <w:rFonts w:eastAsiaTheme="minorHAnsi" w:cstheme="minorBidi"/>
          <w:b/>
          <w:szCs w:val="24"/>
          <w:lang w:eastAsia="en-US"/>
        </w:rPr>
        <w:t>Erin Lee MacDonald</w:t>
      </w:r>
    </w:p>
    <w:p w:rsidR="00FD6159" w:rsidRPr="00FD6159" w:rsidRDefault="00FD6159" w:rsidP="00FD6159">
      <w:pPr>
        <w:jc w:val="center"/>
        <w:rPr>
          <w:rFonts w:eastAsiaTheme="minorHAnsi" w:cstheme="minorBidi"/>
          <w:szCs w:val="24"/>
          <w:lang w:eastAsia="en-US"/>
        </w:rPr>
      </w:pPr>
      <w:r w:rsidRPr="00FD6159">
        <w:rPr>
          <w:rFonts w:eastAsiaTheme="minorHAnsi" w:cstheme="minorBidi"/>
          <w:szCs w:val="24"/>
          <w:lang w:eastAsia="en-US"/>
        </w:rPr>
        <w:t>Respondent</w:t>
      </w:r>
    </w:p>
    <w:p w:rsidR="00FD6159" w:rsidRPr="00FD6159" w:rsidRDefault="00FD6159" w:rsidP="00FD6159">
      <w:pPr>
        <w:jc w:val="center"/>
        <w:rPr>
          <w:rFonts w:eastAsiaTheme="minorHAnsi" w:cstheme="minorBidi"/>
          <w:szCs w:val="24"/>
          <w:lang w:eastAsia="en-US"/>
        </w:rPr>
      </w:pPr>
      <w:r w:rsidRPr="00FD6159">
        <w:rPr>
          <w:rFonts w:eastAsiaTheme="minorHAnsi" w:cstheme="minorBidi"/>
          <w:szCs w:val="24"/>
          <w:lang w:eastAsia="en-US"/>
        </w:rPr>
        <w:t xml:space="preserve">- </w:t>
      </w:r>
      <w:proofErr w:type="gramStart"/>
      <w:r w:rsidRPr="00FD6159">
        <w:rPr>
          <w:rFonts w:eastAsiaTheme="minorHAnsi" w:cstheme="minorBidi"/>
          <w:szCs w:val="24"/>
          <w:lang w:eastAsia="en-US"/>
        </w:rPr>
        <w:t>and</w:t>
      </w:r>
      <w:proofErr w:type="gramEnd"/>
      <w:r w:rsidRPr="00FD6159">
        <w:rPr>
          <w:rFonts w:eastAsiaTheme="minorHAnsi" w:cstheme="minorBidi"/>
          <w:szCs w:val="24"/>
          <w:lang w:eastAsia="en-US"/>
        </w:rPr>
        <w:t xml:space="preserve"> -</w:t>
      </w:r>
    </w:p>
    <w:p w:rsidR="00FD6159" w:rsidRPr="00FD6159" w:rsidRDefault="00FD6159" w:rsidP="00FD6159">
      <w:pPr>
        <w:jc w:val="center"/>
        <w:rPr>
          <w:rFonts w:eastAsiaTheme="minorHAnsi" w:cstheme="minorBidi"/>
          <w:b/>
          <w:szCs w:val="24"/>
          <w:lang w:eastAsia="en-US"/>
        </w:rPr>
      </w:pPr>
      <w:r w:rsidRPr="00FD6159">
        <w:rPr>
          <w:rFonts w:eastAsiaTheme="minorHAnsi" w:cstheme="minorBidi"/>
          <w:b/>
          <w:szCs w:val="24"/>
          <w:lang w:eastAsia="en-US"/>
        </w:rPr>
        <w:t>Director of Public Prosecutions and Attorney General of Ontario</w:t>
      </w:r>
    </w:p>
    <w:p w:rsidR="00FD6159" w:rsidRPr="00FD6159" w:rsidRDefault="00FD6159" w:rsidP="00FD6159">
      <w:pPr>
        <w:jc w:val="center"/>
        <w:rPr>
          <w:rFonts w:eastAsiaTheme="minorHAnsi" w:cstheme="minorBidi"/>
          <w:szCs w:val="24"/>
          <w:lang w:eastAsia="en-US"/>
        </w:rPr>
      </w:pPr>
      <w:r w:rsidRPr="00FD6159">
        <w:rPr>
          <w:rFonts w:eastAsiaTheme="minorHAnsi" w:cstheme="minorBidi"/>
          <w:szCs w:val="24"/>
          <w:lang w:eastAsia="en-US"/>
        </w:rPr>
        <w:t>Interveners</w:t>
      </w:r>
    </w:p>
    <w:p w:rsidR="00FD6159" w:rsidRPr="00FD6159" w:rsidRDefault="00FD6159" w:rsidP="00FD6159">
      <w:pPr>
        <w:rPr>
          <w:rFonts w:eastAsiaTheme="minorHAnsi" w:cstheme="minorBidi"/>
          <w:szCs w:val="24"/>
          <w:lang w:eastAsia="en-US"/>
        </w:rPr>
      </w:pPr>
    </w:p>
    <w:p w:rsidR="00FD6159" w:rsidRPr="00FD6159" w:rsidRDefault="00FD6159" w:rsidP="00FD6159">
      <w:pPr>
        <w:rPr>
          <w:rFonts w:eastAsiaTheme="minorHAnsi" w:cstheme="minorBidi"/>
          <w:szCs w:val="24"/>
          <w:lang w:eastAsia="en-US"/>
        </w:rPr>
      </w:pPr>
      <w:r w:rsidRPr="00FD6159">
        <w:rPr>
          <w:rFonts w:eastAsiaTheme="minorHAnsi" w:cstheme="minorBidi"/>
          <w:b/>
          <w:smallCaps/>
          <w:szCs w:val="24"/>
          <w:lang w:eastAsia="en-US"/>
        </w:rPr>
        <w:t>Coram:</w:t>
      </w:r>
      <w:r w:rsidRPr="00FD6159">
        <w:rPr>
          <w:rFonts w:eastAsiaTheme="minorHAnsi" w:cstheme="minorBidi"/>
          <w:szCs w:val="24"/>
          <w:lang w:eastAsia="en-US"/>
        </w:rPr>
        <w:t xml:space="preserve"> </w:t>
      </w:r>
      <w:proofErr w:type="spellStart"/>
      <w:r w:rsidRPr="00FD6159">
        <w:rPr>
          <w:rFonts w:eastAsiaTheme="minorHAnsi" w:cstheme="minorBidi"/>
          <w:szCs w:val="24"/>
          <w:lang w:eastAsia="en-US"/>
        </w:rPr>
        <w:t>McLachlin</w:t>
      </w:r>
      <w:proofErr w:type="spellEnd"/>
      <w:r w:rsidRPr="00FD6159">
        <w:rPr>
          <w:rFonts w:eastAsiaTheme="minorHAnsi" w:cstheme="minorBidi"/>
          <w:szCs w:val="24"/>
          <w:lang w:eastAsia="en-US"/>
        </w:rPr>
        <w:t xml:space="preserve"> C.J. and LeBel, Fish, Abella, Rothstein, </w:t>
      </w:r>
      <w:proofErr w:type="spellStart"/>
      <w:r w:rsidRPr="00FD6159">
        <w:rPr>
          <w:rFonts w:eastAsiaTheme="minorHAnsi" w:cstheme="minorBidi"/>
          <w:szCs w:val="24"/>
          <w:lang w:eastAsia="en-US"/>
        </w:rPr>
        <w:t>Moldaver</w:t>
      </w:r>
      <w:proofErr w:type="spellEnd"/>
      <w:r w:rsidRPr="00FD6159">
        <w:rPr>
          <w:rFonts w:eastAsiaTheme="minorHAnsi" w:cstheme="minorBidi"/>
          <w:szCs w:val="24"/>
          <w:lang w:eastAsia="en-US"/>
        </w:rPr>
        <w:t xml:space="preserve"> and Wagner JJ.</w:t>
      </w:r>
    </w:p>
    <w:p w:rsidR="00FD6159" w:rsidRPr="00FD6159" w:rsidRDefault="00FD6159" w:rsidP="00FD615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D6159" w:rsidRPr="00FD6159" w:rsidTr="008548F6">
        <w:trPr>
          <w:cantSplit/>
        </w:trPr>
        <w:tc>
          <w:tcPr>
            <w:tcW w:w="3618" w:type="dxa"/>
          </w:tcPr>
          <w:p w:rsidR="00FD6159" w:rsidRPr="00FD6159" w:rsidRDefault="00FD6159" w:rsidP="00FD6159">
            <w:pPr>
              <w:rPr>
                <w:b/>
                <w:smallCaps/>
              </w:rPr>
            </w:pPr>
            <w:r w:rsidRPr="00FD6159">
              <w:rPr>
                <w:b/>
                <w:smallCaps/>
              </w:rPr>
              <w:t>Reasons for Judgment:</w:t>
            </w:r>
          </w:p>
          <w:p w:rsidR="00FD6159" w:rsidRPr="00FD6159" w:rsidRDefault="00FD6159" w:rsidP="00FD6159">
            <w:r w:rsidRPr="00FD6159">
              <w:t>(</w:t>
            </w:r>
            <w:proofErr w:type="spellStart"/>
            <w:r w:rsidRPr="00FD6159">
              <w:t>paras</w:t>
            </w:r>
            <w:proofErr w:type="spellEnd"/>
            <w:r w:rsidRPr="00FD6159">
              <w:t>. 1 to 63)</w:t>
            </w:r>
          </w:p>
          <w:p w:rsidR="00FD6159" w:rsidRPr="00FD6159" w:rsidRDefault="00FD6159" w:rsidP="00FD6159"/>
          <w:p w:rsidR="00FD6159" w:rsidRPr="00FD6159" w:rsidRDefault="00FD6159" w:rsidP="00FD6159">
            <w:pPr>
              <w:rPr>
                <w:b/>
                <w:smallCaps/>
              </w:rPr>
            </w:pPr>
            <w:r w:rsidRPr="00FD6159">
              <w:rPr>
                <w:b/>
                <w:smallCaps/>
              </w:rPr>
              <w:t>Concurring Reasons:</w:t>
            </w:r>
          </w:p>
          <w:p w:rsidR="00FD6159" w:rsidRPr="00FD6159" w:rsidRDefault="00FD6159" w:rsidP="00FD6159">
            <w:r w:rsidRPr="00FD6159">
              <w:t>(</w:t>
            </w:r>
            <w:proofErr w:type="spellStart"/>
            <w:r w:rsidRPr="00FD6159">
              <w:t>paras</w:t>
            </w:r>
            <w:proofErr w:type="spellEnd"/>
            <w:r w:rsidRPr="00FD6159">
              <w:t>. 64 to 92)</w:t>
            </w:r>
          </w:p>
        </w:tc>
        <w:tc>
          <w:tcPr>
            <w:tcW w:w="5958" w:type="dxa"/>
          </w:tcPr>
          <w:p w:rsidR="00FD6159" w:rsidRPr="00FD6159" w:rsidRDefault="00FD6159" w:rsidP="00FD6159">
            <w:r w:rsidRPr="00FD6159">
              <w:t>LeBel J. (</w:t>
            </w:r>
            <w:proofErr w:type="spellStart"/>
            <w:r w:rsidRPr="00FD6159">
              <w:t>McLachlin</w:t>
            </w:r>
            <w:proofErr w:type="spellEnd"/>
            <w:r w:rsidRPr="00FD6159">
              <w:t xml:space="preserve"> C.J. and Fish and Abella JJ. concurring)</w:t>
            </w:r>
          </w:p>
          <w:p w:rsidR="00FD6159" w:rsidRPr="00FD6159" w:rsidRDefault="00FD6159" w:rsidP="00FD6159"/>
          <w:p w:rsidR="00FD6159" w:rsidRPr="00FD6159" w:rsidRDefault="00FD6159" w:rsidP="00FD6159">
            <w:proofErr w:type="spellStart"/>
            <w:r w:rsidRPr="00FD6159">
              <w:t>Moldaver</w:t>
            </w:r>
            <w:proofErr w:type="spellEnd"/>
            <w:r w:rsidRPr="00FD6159">
              <w:t xml:space="preserve"> and Wagner JJ. (Rothstein J. concurring)</w:t>
            </w:r>
          </w:p>
        </w:tc>
      </w:tr>
    </w:tbl>
    <w:p w:rsidR="00FD6159" w:rsidRPr="00FD6159" w:rsidRDefault="00FD6159" w:rsidP="00FD6159">
      <w:pPr>
        <w:rPr>
          <w:rFonts w:eastAsiaTheme="minorHAnsi" w:cstheme="minorBidi"/>
          <w:szCs w:val="24"/>
          <w:lang w:eastAsia="en-US"/>
        </w:rPr>
      </w:pPr>
    </w:p>
    <w:p w:rsidR="00FD6159" w:rsidRPr="00FD6159" w:rsidRDefault="003300DF" w:rsidP="00FD6159">
      <w:pPr>
        <w:rPr>
          <w:rFonts w:eastAsiaTheme="minorHAnsi" w:cstheme="minorBidi"/>
          <w:szCs w:val="24"/>
          <w:lang w:eastAsia="en-US"/>
        </w:rPr>
      </w:pPr>
      <w:r w:rsidRPr="003300D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0" type="#_x0000_t32" style="position:absolute;margin-left:126.75pt;margin-top:14.5pt;width:197.25pt;height:0;z-index:251660288" o:connectortype="straight"/>
        </w:pict>
      </w:r>
    </w:p>
    <w:p w:rsidR="00FD6159" w:rsidRDefault="00FD6159" w:rsidP="002C1B23"/>
    <w:p w:rsidR="002C1B23" w:rsidRPr="002C1B23" w:rsidRDefault="002C1B23" w:rsidP="002C1B23">
      <w:r w:rsidRPr="002C1B23">
        <w:t xml:space="preserve">R. </w:t>
      </w:r>
      <w:r w:rsidRPr="002C1B23">
        <w:rPr>
          <w:i/>
        </w:rPr>
        <w:t>v</w:t>
      </w:r>
      <w:r w:rsidRPr="002C1B23">
        <w:t>. MacDonald</w:t>
      </w:r>
      <w:r>
        <w:t>, 2014 SCC 3, [2014] 1 S.C.R. 37</w:t>
      </w:r>
      <w:r w:rsidRPr="002C1B23">
        <w:t xml:space="preserve"> </w:t>
      </w:r>
    </w:p>
    <w:p w:rsidR="002C1B23" w:rsidRDefault="002C1B23" w:rsidP="0023063B">
      <w:pPr>
        <w:pStyle w:val="SCCLsocLastPartyInRole"/>
      </w:pPr>
    </w:p>
    <w:p w:rsidR="00905C26" w:rsidRPr="00ED21CF" w:rsidRDefault="00166A68" w:rsidP="0023063B">
      <w:pPr>
        <w:pStyle w:val="SCCLsocLastPartyInRole"/>
        <w:rPr>
          <w:rStyle w:val="SCCLsocPartyRole"/>
        </w:rPr>
      </w:pPr>
      <w:r w:rsidRPr="00ED21CF">
        <w:t>Erin Lee MacDonald</w:t>
      </w:r>
      <w:r w:rsidRPr="00ED21CF">
        <w:rPr>
          <w:rStyle w:val="SCCLsocPartyRole"/>
        </w:rPr>
        <w:tab/>
        <w:t>Appellant</w:t>
      </w:r>
    </w:p>
    <w:p w:rsidR="00905C26" w:rsidRPr="00ED21CF" w:rsidRDefault="00166A68" w:rsidP="0023063B">
      <w:pPr>
        <w:pStyle w:val="SCCLsocVersus"/>
      </w:pPr>
      <w:proofErr w:type="gramStart"/>
      <w:r w:rsidRPr="00ED21CF">
        <w:lastRenderedPageBreak/>
        <w:t>v</w:t>
      </w:r>
      <w:proofErr w:type="gramEnd"/>
      <w:r w:rsidRPr="00ED21CF">
        <w:t>.</w:t>
      </w:r>
    </w:p>
    <w:p w:rsidR="00905C26" w:rsidRPr="00ED21CF" w:rsidRDefault="00166A68" w:rsidP="0023063B">
      <w:pPr>
        <w:pStyle w:val="SCCLsocLastPartyInRole"/>
        <w:rPr>
          <w:rStyle w:val="SCCLsocPartyRole"/>
        </w:rPr>
      </w:pPr>
      <w:r w:rsidRPr="00ED21CF">
        <w:t xml:space="preserve">Her Majesty </w:t>
      </w:r>
      <w:proofErr w:type="gramStart"/>
      <w:r w:rsidR="009B7604" w:rsidRPr="00ED21CF">
        <w:t>T</w:t>
      </w:r>
      <w:r w:rsidRPr="00ED21CF">
        <w:t>he</w:t>
      </w:r>
      <w:proofErr w:type="gramEnd"/>
      <w:r w:rsidRPr="00ED21CF">
        <w:t xml:space="preserve"> Queen</w:t>
      </w:r>
      <w:r w:rsidRPr="00ED21CF">
        <w:rPr>
          <w:rStyle w:val="SCCLsocPartyRole"/>
        </w:rPr>
        <w:tab/>
        <w:t>Respondent</w:t>
      </w:r>
    </w:p>
    <w:p w:rsidR="00EA6D0A" w:rsidRPr="00ED21CF" w:rsidRDefault="0023063B" w:rsidP="0023063B">
      <w:pPr>
        <w:spacing w:after="720"/>
      </w:pPr>
      <w:r w:rsidRPr="00ED21CF">
        <w:noBreakHyphen/>
      </w:r>
      <w:r w:rsidR="00EA6D0A" w:rsidRPr="00ED21CF">
        <w:t xml:space="preserve"> </w:t>
      </w:r>
      <w:proofErr w:type="gramStart"/>
      <w:r w:rsidR="00EA6D0A" w:rsidRPr="00ED21CF">
        <w:t>and</w:t>
      </w:r>
      <w:proofErr w:type="gramEnd"/>
      <w:r w:rsidR="00EA6D0A" w:rsidRPr="00ED21CF">
        <w:t xml:space="preserve"> </w:t>
      </w:r>
      <w:r w:rsidRPr="00ED21CF">
        <w:noBreakHyphen/>
      </w:r>
    </w:p>
    <w:p w:rsidR="00EA6D0A" w:rsidRPr="00ED21CF" w:rsidRDefault="00EA6D0A" w:rsidP="0023063B">
      <w:pPr>
        <w:pStyle w:val="SCCLsocLastPartyInRole"/>
      </w:pPr>
      <w:r w:rsidRPr="00ED21CF">
        <w:t xml:space="preserve">Her Majesty </w:t>
      </w:r>
      <w:proofErr w:type="gramStart"/>
      <w:r w:rsidRPr="00ED21CF">
        <w:t>The</w:t>
      </w:r>
      <w:proofErr w:type="gramEnd"/>
      <w:r w:rsidRPr="00ED21CF">
        <w:t xml:space="preserve"> Queen</w:t>
      </w:r>
      <w:r w:rsidRPr="00ED21CF">
        <w:rPr>
          <w:rStyle w:val="SCCLsocPartyRole"/>
        </w:rPr>
        <w:tab/>
        <w:t>Appellant</w:t>
      </w:r>
    </w:p>
    <w:p w:rsidR="00EA6D0A" w:rsidRPr="00ED21CF" w:rsidRDefault="00EA6D0A" w:rsidP="0023063B">
      <w:pPr>
        <w:pStyle w:val="SCCLsocVersus"/>
      </w:pPr>
      <w:proofErr w:type="gramStart"/>
      <w:r w:rsidRPr="00ED21CF">
        <w:t>v</w:t>
      </w:r>
      <w:proofErr w:type="gramEnd"/>
      <w:r w:rsidRPr="00ED21CF">
        <w:t>.</w:t>
      </w:r>
    </w:p>
    <w:p w:rsidR="00EA6D0A" w:rsidRPr="00ED21CF" w:rsidRDefault="00EA6D0A" w:rsidP="0023063B">
      <w:pPr>
        <w:pStyle w:val="SCCLsocLastPartyInRole"/>
      </w:pPr>
      <w:r w:rsidRPr="00ED21CF">
        <w:t>Erin Lee MacDonald</w:t>
      </w:r>
      <w:r w:rsidRPr="00ED21CF">
        <w:rPr>
          <w:rStyle w:val="SCCLsocPartyRole"/>
        </w:rPr>
        <w:tab/>
        <w:t>Respondent</w:t>
      </w:r>
    </w:p>
    <w:p w:rsidR="00905C26" w:rsidRPr="00ED21CF" w:rsidRDefault="00166A68" w:rsidP="0023063B">
      <w:pPr>
        <w:pStyle w:val="SCCLsocOtherPartySeparator"/>
      </w:pPr>
      <w:proofErr w:type="gramStart"/>
      <w:r w:rsidRPr="00ED21CF">
        <w:t>and</w:t>
      </w:r>
      <w:proofErr w:type="gramEnd"/>
    </w:p>
    <w:p w:rsidR="00905C26" w:rsidRPr="00ED21CF" w:rsidRDefault="00166A68" w:rsidP="0023063B">
      <w:pPr>
        <w:pStyle w:val="SCCLsocParty"/>
      </w:pPr>
      <w:r w:rsidRPr="00ED21CF">
        <w:t>Director of Public Prosecutions</w:t>
      </w:r>
      <w:r w:rsidR="009B7604" w:rsidRPr="00ED21CF">
        <w:t xml:space="preserve"> and</w:t>
      </w:r>
    </w:p>
    <w:p w:rsidR="00905C26" w:rsidRPr="00ED21CF" w:rsidRDefault="00166A68" w:rsidP="0023063B">
      <w:pPr>
        <w:pStyle w:val="SCCLsocLastPartyInRole"/>
      </w:pPr>
      <w:r w:rsidRPr="00ED21CF">
        <w:t>Attorney General of Ontario</w:t>
      </w:r>
      <w:r w:rsidRPr="00ED21CF">
        <w:rPr>
          <w:rStyle w:val="SCCLsocPartyRole"/>
        </w:rPr>
        <w:tab/>
        <w:t>Interveners</w:t>
      </w:r>
    </w:p>
    <w:p w:rsidR="00426659" w:rsidRPr="00ED21CF" w:rsidRDefault="00426659" w:rsidP="0023063B">
      <w:pPr>
        <w:spacing w:after="720"/>
        <w:jc w:val="both"/>
        <w:rPr>
          <w:b/>
        </w:rPr>
      </w:pPr>
      <w:r w:rsidRPr="00ED21CF">
        <w:rPr>
          <w:b/>
        </w:rPr>
        <w:t xml:space="preserve">Indexed as:  </w:t>
      </w:r>
      <w:r w:rsidR="009B7604" w:rsidRPr="00ED21CF">
        <w:rPr>
          <w:b/>
        </w:rPr>
        <w:t xml:space="preserve">R. </w:t>
      </w:r>
      <w:r w:rsidR="009B7604" w:rsidRPr="00ED21CF">
        <w:rPr>
          <w:b/>
          <w:i/>
        </w:rPr>
        <w:t xml:space="preserve">v. </w:t>
      </w:r>
      <w:r w:rsidRPr="00ED21CF">
        <w:rPr>
          <w:rStyle w:val="SCCAppellantForIndexChar"/>
        </w:rPr>
        <w:t>MacDonald</w:t>
      </w:r>
    </w:p>
    <w:p w:rsidR="00426659" w:rsidRPr="00ED21CF" w:rsidRDefault="0070418A" w:rsidP="0023063B">
      <w:pPr>
        <w:pStyle w:val="SCCSystemYear"/>
        <w:spacing w:after="720"/>
        <w:jc w:val="both"/>
      </w:pPr>
      <w:r w:rsidRPr="00ED21CF">
        <w:t>2014</w:t>
      </w:r>
      <w:r w:rsidR="003D0399" w:rsidRPr="00ED21CF">
        <w:t xml:space="preserve"> </w:t>
      </w:r>
      <w:r w:rsidR="00426659" w:rsidRPr="00ED21CF">
        <w:t>SCC </w:t>
      </w:r>
      <w:r w:rsidR="004A4BDF">
        <w:t>3</w:t>
      </w:r>
    </w:p>
    <w:p w:rsidR="008322BD" w:rsidRPr="00ED21CF" w:rsidRDefault="009B57B3" w:rsidP="0023063B">
      <w:pPr>
        <w:spacing w:after="720"/>
        <w:jc w:val="both"/>
      </w:pPr>
      <w:r w:rsidRPr="00ED21CF">
        <w:t>File No.:  34914.</w:t>
      </w:r>
    </w:p>
    <w:p w:rsidR="008322BD" w:rsidRPr="00ED21CF" w:rsidRDefault="0023063B" w:rsidP="0023063B">
      <w:pPr>
        <w:spacing w:after="720"/>
        <w:jc w:val="both"/>
      </w:pPr>
      <w:r w:rsidRPr="00ED21CF">
        <w:t>2013:  </w:t>
      </w:r>
      <w:r w:rsidR="004F36FF" w:rsidRPr="00ED21CF">
        <w:t>May</w:t>
      </w:r>
      <w:r w:rsidRPr="00ED21CF">
        <w:t> </w:t>
      </w:r>
      <w:r w:rsidR="004F36FF" w:rsidRPr="00ED21CF">
        <w:t>23</w:t>
      </w:r>
      <w:r w:rsidR="009B57B3" w:rsidRPr="00ED21CF">
        <w:t xml:space="preserve">; </w:t>
      </w:r>
      <w:r w:rsidRPr="00ED21CF">
        <w:t>2014:  January </w:t>
      </w:r>
      <w:r w:rsidR="0070418A" w:rsidRPr="00ED21CF">
        <w:t>17</w:t>
      </w:r>
      <w:r w:rsidR="009B57B3" w:rsidRPr="00ED21CF">
        <w:t>.</w:t>
      </w:r>
    </w:p>
    <w:p w:rsidR="008322BD" w:rsidRPr="00ED21CF" w:rsidRDefault="009B57B3" w:rsidP="0023063B">
      <w:pPr>
        <w:spacing w:after="720"/>
        <w:jc w:val="both"/>
      </w:pPr>
      <w:r w:rsidRPr="00ED21CF">
        <w:t xml:space="preserve">Present:  </w:t>
      </w:r>
      <w:proofErr w:type="spellStart"/>
      <w:r w:rsidRPr="00ED21CF">
        <w:t>McLachlin</w:t>
      </w:r>
      <w:proofErr w:type="spellEnd"/>
      <w:r w:rsidRPr="00ED21CF">
        <w:t xml:space="preserve"> C.J. and LeBel, Fish, Abella, Rothstein, </w:t>
      </w:r>
      <w:proofErr w:type="spellStart"/>
      <w:r w:rsidRPr="00ED21CF">
        <w:t>Moldaver</w:t>
      </w:r>
      <w:proofErr w:type="spellEnd"/>
      <w:r w:rsidRPr="00ED21CF">
        <w:t xml:space="preserve"> and Wagner JJ.</w:t>
      </w:r>
    </w:p>
    <w:p w:rsidR="008322BD" w:rsidRPr="00ED21CF" w:rsidRDefault="00656313" w:rsidP="0023063B">
      <w:pPr>
        <w:pStyle w:val="SCCLowerCourtNameLowercase"/>
        <w:spacing w:after="720" w:line="240" w:lineRule="auto"/>
      </w:pPr>
      <w:r w:rsidRPr="00ED21CF">
        <w:lastRenderedPageBreak/>
        <w:t>o</w:t>
      </w:r>
      <w:r w:rsidR="00170592" w:rsidRPr="00ED21CF">
        <w:t>n</w:t>
      </w:r>
      <w:r w:rsidR="00224FC0" w:rsidRPr="00ED21CF">
        <w:t xml:space="preserve"> </w:t>
      </w:r>
      <w:r w:rsidRPr="00ED21CF">
        <w:t>a</w:t>
      </w:r>
      <w:r w:rsidR="00170592" w:rsidRPr="00ED21CF">
        <w:t>ppeal</w:t>
      </w:r>
      <w:r w:rsidR="00224FC0" w:rsidRPr="00ED21CF">
        <w:t xml:space="preserve"> </w:t>
      </w:r>
      <w:r w:rsidR="00170592" w:rsidRPr="00ED21CF">
        <w:t>from</w:t>
      </w:r>
      <w:r w:rsidR="009567AA" w:rsidRPr="00ED21CF">
        <w:t xml:space="preserve"> the</w:t>
      </w:r>
      <w:r w:rsidR="00224FC0" w:rsidRPr="00ED21CF">
        <w:t xml:space="preserve"> </w:t>
      </w:r>
      <w:r w:rsidR="009B7604" w:rsidRPr="00ED21CF">
        <w:t xml:space="preserve">court of </w:t>
      </w:r>
      <w:r w:rsidR="009B57B3" w:rsidRPr="00ED21CF">
        <w:t>appeal</w:t>
      </w:r>
      <w:r w:rsidR="009B7604" w:rsidRPr="00ED21CF">
        <w:t xml:space="preserve"> for nova </w:t>
      </w:r>
      <w:proofErr w:type="spellStart"/>
      <w:r w:rsidR="009B7604" w:rsidRPr="00ED21CF">
        <w:t>scotia</w:t>
      </w:r>
      <w:proofErr w:type="spellEnd"/>
    </w:p>
    <w:p w:rsidR="00A84860" w:rsidRPr="00ED21CF" w:rsidRDefault="009B57B3" w:rsidP="0023063B">
      <w:pPr>
        <w:pStyle w:val="SCCNormalDoubleSpacing"/>
        <w:spacing w:before="480" w:after="480"/>
        <w:rPr>
          <w:i/>
        </w:rPr>
      </w:pPr>
      <w:r w:rsidRPr="00ED21CF">
        <w:tab/>
      </w:r>
      <w:r w:rsidR="00A84860" w:rsidRPr="00ED21CF">
        <w:rPr>
          <w:i/>
        </w:rPr>
        <w:t xml:space="preserve">Constitutional law — Charter of Rights — Search and seizure — Police responding to noise complaint at </w:t>
      </w:r>
      <w:proofErr w:type="spellStart"/>
      <w:r w:rsidR="00A84860" w:rsidRPr="00ED21CF">
        <w:rPr>
          <w:i/>
        </w:rPr>
        <w:t>accused</w:t>
      </w:r>
      <w:r w:rsidR="00ED21CF" w:rsidRPr="00ED21CF">
        <w:rPr>
          <w:i/>
        </w:rPr>
        <w:t>’</w:t>
      </w:r>
      <w:r w:rsidR="00A84860" w:rsidRPr="00ED21CF">
        <w:rPr>
          <w:i/>
        </w:rPr>
        <w:t>s</w:t>
      </w:r>
      <w:proofErr w:type="spellEnd"/>
      <w:r w:rsidR="00A84860" w:rsidRPr="00ED21CF">
        <w:rPr>
          <w:i/>
        </w:rPr>
        <w:t xml:space="preserve"> residence — Accused answering door while concealing loaded restricted firearm — Police pushing door open further to ascertain concealment — Whether officer</w:t>
      </w:r>
      <w:r w:rsidR="00ED21CF" w:rsidRPr="00ED21CF">
        <w:rPr>
          <w:i/>
        </w:rPr>
        <w:t>’</w:t>
      </w:r>
      <w:r w:rsidR="00A84860" w:rsidRPr="00ED21CF">
        <w:rPr>
          <w:i/>
        </w:rPr>
        <w:t>s conduct constituted search and if so, whether search reasonable — Canadian Cha</w:t>
      </w:r>
      <w:r w:rsidR="0023063B" w:rsidRPr="00ED21CF">
        <w:rPr>
          <w:i/>
        </w:rPr>
        <w:t>rter of Rights and Freedoms, s. </w:t>
      </w:r>
      <w:r w:rsidR="00A84860" w:rsidRPr="00ED21CF">
        <w:rPr>
          <w:i/>
        </w:rPr>
        <w:t>8.</w:t>
      </w:r>
    </w:p>
    <w:p w:rsidR="00A84860" w:rsidRPr="00ED21CF" w:rsidRDefault="00A84860" w:rsidP="0023063B">
      <w:pPr>
        <w:pStyle w:val="SCCNormalDoubleSpacing"/>
        <w:spacing w:before="480" w:after="480"/>
        <w:rPr>
          <w:i/>
        </w:rPr>
      </w:pPr>
      <w:r w:rsidRPr="00ED21CF">
        <w:rPr>
          <w:i/>
        </w:rPr>
        <w:tab/>
        <w:t xml:space="preserve">Criminal law — Offences — Elements of offence — </w:t>
      </w:r>
      <w:proofErr w:type="spellStart"/>
      <w:r w:rsidRPr="00ED21CF">
        <w:rPr>
          <w:i/>
        </w:rPr>
        <w:t>Mens</w:t>
      </w:r>
      <w:proofErr w:type="spellEnd"/>
      <w:r w:rsidRPr="00ED21CF">
        <w:rPr>
          <w:i/>
        </w:rPr>
        <w:t xml:space="preserve"> </w:t>
      </w:r>
      <w:proofErr w:type="spellStart"/>
      <w:r w:rsidRPr="00ED21CF">
        <w:rPr>
          <w:i/>
        </w:rPr>
        <w:t>rea</w:t>
      </w:r>
      <w:proofErr w:type="spellEnd"/>
      <w:r w:rsidRPr="00ED21CF">
        <w:rPr>
          <w:i/>
        </w:rPr>
        <w:t xml:space="preserve"> — Possession of loaded restricted firearm — Police responding to noise complaint at </w:t>
      </w:r>
      <w:proofErr w:type="spellStart"/>
      <w:r w:rsidRPr="00ED21CF">
        <w:rPr>
          <w:i/>
        </w:rPr>
        <w:t>accused</w:t>
      </w:r>
      <w:r w:rsidR="00ED21CF" w:rsidRPr="00ED21CF">
        <w:rPr>
          <w:i/>
        </w:rPr>
        <w:t>’</w:t>
      </w:r>
      <w:r w:rsidRPr="00ED21CF">
        <w:rPr>
          <w:i/>
        </w:rPr>
        <w:t>s</w:t>
      </w:r>
      <w:proofErr w:type="spellEnd"/>
      <w:r w:rsidRPr="00ED21CF">
        <w:rPr>
          <w:i/>
        </w:rPr>
        <w:t xml:space="preserve"> residence — Accused answering door while concealing loaded restricted firearm — </w:t>
      </w:r>
      <w:proofErr w:type="spellStart"/>
      <w:r w:rsidRPr="00ED21CF">
        <w:rPr>
          <w:i/>
        </w:rPr>
        <w:t>Accused</w:t>
      </w:r>
      <w:r w:rsidR="00ED21CF" w:rsidRPr="00ED21CF">
        <w:rPr>
          <w:i/>
        </w:rPr>
        <w:t>’</w:t>
      </w:r>
      <w:r w:rsidRPr="00ED21CF">
        <w:rPr>
          <w:i/>
        </w:rPr>
        <w:t>s</w:t>
      </w:r>
      <w:proofErr w:type="spellEnd"/>
      <w:r w:rsidRPr="00ED21CF">
        <w:rPr>
          <w:i/>
        </w:rPr>
        <w:t xml:space="preserve"> licence to possess firearm in Alberta not extending to Nova Scotia, but accused believing it did — Whether </w:t>
      </w:r>
      <w:r w:rsidRPr="00ED21CF">
        <w:rPr>
          <w:rFonts w:eastAsia="MS Gothic"/>
          <w:i/>
        </w:rPr>
        <w:t>Crown required to prove accused knew or was wilfully blind to fact that possession of firearm was unauthorized</w:t>
      </w:r>
      <w:r w:rsidRPr="00ED21CF">
        <w:rPr>
          <w:i/>
        </w:rPr>
        <w:t xml:space="preserve"> —</w:t>
      </w:r>
      <w:r w:rsidR="0023063B" w:rsidRPr="00ED21CF">
        <w:rPr>
          <w:i/>
        </w:rPr>
        <w:t xml:space="preserve"> Criminal Code, R.S.C. 1985, c. </w:t>
      </w:r>
      <w:r w:rsidRPr="00ED21CF">
        <w:rPr>
          <w:i/>
        </w:rPr>
        <w:t>C</w:t>
      </w:r>
      <w:r w:rsidR="0023063B" w:rsidRPr="00ED21CF">
        <w:rPr>
          <w:i/>
        </w:rPr>
        <w:noBreakHyphen/>
        <w:t>46, s. </w:t>
      </w:r>
      <w:r w:rsidRPr="00ED21CF">
        <w:rPr>
          <w:i/>
        </w:rPr>
        <w:t>95.</w:t>
      </w:r>
    </w:p>
    <w:p w:rsidR="00A84860" w:rsidRPr="00ED21CF" w:rsidRDefault="00A84860" w:rsidP="0023063B">
      <w:pPr>
        <w:pStyle w:val="SCCNormalDoubleSpacing"/>
        <w:spacing w:before="480" w:after="480"/>
      </w:pPr>
      <w:r w:rsidRPr="00ED21CF">
        <w:tab/>
        <w:t>Police responded to a noise complaint at M</w:t>
      </w:r>
      <w:r w:rsidR="00ED21CF" w:rsidRPr="00ED21CF">
        <w:t>’</w:t>
      </w:r>
      <w:r w:rsidRPr="00ED21CF">
        <w:t xml:space="preserve">s home in Halifax. </w:t>
      </w:r>
      <w:r w:rsidR="0023063B" w:rsidRPr="00ED21CF">
        <w:t xml:space="preserve"> </w:t>
      </w:r>
      <w:r w:rsidRPr="00ED21CF">
        <w:t>When M opened the door, an officer observed that M had an object in his hand, hidden behind his leg</w:t>
      </w:r>
      <w:r w:rsidR="002A7304" w:rsidRPr="00ED21CF">
        <w:t xml:space="preserve">.  </w:t>
      </w:r>
      <w:r w:rsidRPr="00ED21CF">
        <w:rPr>
          <w:rFonts w:eastAsia="MS Gothic"/>
        </w:rPr>
        <w:t>The officer twice asked M what was in his hand</w:t>
      </w:r>
      <w:r w:rsidR="002A7304" w:rsidRPr="00ED21CF">
        <w:rPr>
          <w:rFonts w:eastAsia="MS Gothic"/>
        </w:rPr>
        <w:t xml:space="preserve">.  </w:t>
      </w:r>
      <w:r w:rsidRPr="00ED21CF">
        <w:rPr>
          <w:rFonts w:eastAsia="MS Gothic"/>
        </w:rPr>
        <w:t>Because M did not answer, the officer pushed the door open a few inches further to see</w:t>
      </w:r>
      <w:r w:rsidR="002A7304" w:rsidRPr="00ED21CF">
        <w:rPr>
          <w:rFonts w:eastAsia="MS Gothic"/>
        </w:rPr>
        <w:t xml:space="preserve">.  </w:t>
      </w:r>
      <w:r w:rsidRPr="00ED21CF">
        <w:t>A struggle ensued and M was disarmed of a loaded handgun</w:t>
      </w:r>
      <w:r w:rsidR="002A7304" w:rsidRPr="00ED21CF">
        <w:t xml:space="preserve">.  </w:t>
      </w:r>
      <w:r w:rsidRPr="00ED21CF">
        <w:t xml:space="preserve">M was licensed to possess and transport the handgun in Alberta, but not </w:t>
      </w:r>
      <w:r w:rsidR="002042FC">
        <w:t xml:space="preserve">in </w:t>
      </w:r>
      <w:r w:rsidRPr="00ED21CF">
        <w:t>Nova Scotia as he believed he was</w:t>
      </w:r>
      <w:r w:rsidR="002A7304" w:rsidRPr="00ED21CF">
        <w:t xml:space="preserve">.  </w:t>
      </w:r>
      <w:r w:rsidRPr="00ED21CF">
        <w:t>At trial, the judge concluded that M</w:t>
      </w:r>
      <w:r w:rsidR="00ED21CF" w:rsidRPr="00ED21CF">
        <w:t>’</w:t>
      </w:r>
      <w:r w:rsidRPr="00ED21CF">
        <w:t>s possession of the gun was unauthorized</w:t>
      </w:r>
      <w:r w:rsidR="002A7304" w:rsidRPr="00ED21CF">
        <w:t xml:space="preserve">.  </w:t>
      </w:r>
      <w:r w:rsidRPr="00ED21CF">
        <w:t>He also concluded that the officer</w:t>
      </w:r>
      <w:r w:rsidR="00ED21CF" w:rsidRPr="00ED21CF">
        <w:t>’</w:t>
      </w:r>
      <w:r w:rsidRPr="00ED21CF">
        <w:t>s pushing the door open further did not breach M</w:t>
      </w:r>
      <w:r w:rsidR="00ED21CF" w:rsidRPr="00ED21CF">
        <w:t>’</w:t>
      </w:r>
      <w:r w:rsidRPr="00ED21CF">
        <w:t xml:space="preserve">s </w:t>
      </w:r>
      <w:r w:rsidR="0023063B" w:rsidRPr="00ED21CF">
        <w:t>s. </w:t>
      </w:r>
      <w:r w:rsidRPr="00ED21CF">
        <w:t xml:space="preserve">8 </w:t>
      </w:r>
      <w:r w:rsidRPr="00ED21CF">
        <w:rPr>
          <w:i/>
        </w:rPr>
        <w:t>Charter</w:t>
      </w:r>
      <w:r w:rsidRPr="00ED21CF">
        <w:t xml:space="preserve"> right to be </w:t>
      </w:r>
      <w:r w:rsidRPr="00ED21CF">
        <w:lastRenderedPageBreak/>
        <w:t>free from unreasonable sear</w:t>
      </w:r>
      <w:r w:rsidR="002A7304" w:rsidRPr="00ED21CF">
        <w:t xml:space="preserve">ch.  </w:t>
      </w:r>
      <w:r w:rsidRPr="00ED21CF">
        <w:t xml:space="preserve">The trial judge convicted M of careless handling of a firearm (under </w:t>
      </w:r>
      <w:r w:rsidR="0023063B" w:rsidRPr="00ED21CF">
        <w:t>s. </w:t>
      </w:r>
      <w:r w:rsidRPr="00ED21CF">
        <w:t xml:space="preserve">86 of the </w:t>
      </w:r>
      <w:r w:rsidRPr="00ED21CF">
        <w:rPr>
          <w:i/>
        </w:rPr>
        <w:t>Criminal Code</w:t>
      </w:r>
      <w:r w:rsidRPr="00ED21CF">
        <w:t>), possessing a weapon for a dangerous purpose (</w:t>
      </w:r>
      <w:r w:rsidR="0023063B" w:rsidRPr="00ED21CF">
        <w:t>s. </w:t>
      </w:r>
      <w:r w:rsidRPr="00ED21CF">
        <w:t>88), and possessing a loaded restricted firearm (</w:t>
      </w:r>
      <w:r w:rsidR="0023063B" w:rsidRPr="00ED21CF">
        <w:t>s. </w:t>
      </w:r>
      <w:r w:rsidRPr="00ED21CF">
        <w:t>95)</w:t>
      </w:r>
      <w:r w:rsidR="002A7304" w:rsidRPr="00ED21CF">
        <w:t xml:space="preserve">.  </w:t>
      </w:r>
      <w:r w:rsidRPr="00ED21CF">
        <w:t>The trial judge sentenced M to a three</w:t>
      </w:r>
      <w:r w:rsidR="0023063B" w:rsidRPr="00ED21CF">
        <w:noBreakHyphen/>
      </w:r>
      <w:r w:rsidRPr="00ED21CF">
        <w:t xml:space="preserve">year imprisonment and a </w:t>
      </w:r>
      <w:r w:rsidR="002042FC">
        <w:t>ten</w:t>
      </w:r>
      <w:r w:rsidR="0023063B" w:rsidRPr="00ED21CF">
        <w:noBreakHyphen/>
      </w:r>
      <w:r w:rsidRPr="00ED21CF">
        <w:t>year weapons prohibition</w:t>
      </w:r>
      <w:r w:rsidR="002A7304" w:rsidRPr="00ED21CF">
        <w:t xml:space="preserve">.  </w:t>
      </w:r>
      <w:r w:rsidRPr="00ED21CF">
        <w:t>A majority of the Court of Appeal upheld the trial judge</w:t>
      </w:r>
      <w:r w:rsidR="00ED21CF" w:rsidRPr="00ED21CF">
        <w:t>’</w:t>
      </w:r>
      <w:r w:rsidRPr="00ED21CF">
        <w:t>s decision that the officer did not breach M</w:t>
      </w:r>
      <w:r w:rsidR="00ED21CF" w:rsidRPr="00ED21CF">
        <w:t>’</w:t>
      </w:r>
      <w:r w:rsidRPr="00ED21CF">
        <w:t xml:space="preserve">s </w:t>
      </w:r>
      <w:r w:rsidR="0023063B" w:rsidRPr="00ED21CF">
        <w:t>s. </w:t>
      </w:r>
      <w:r w:rsidRPr="00ED21CF">
        <w:t xml:space="preserve">8 </w:t>
      </w:r>
      <w:r w:rsidRPr="00ED21CF">
        <w:rPr>
          <w:i/>
        </w:rPr>
        <w:t>Charter</w:t>
      </w:r>
      <w:r w:rsidRPr="00ED21CF">
        <w:t xml:space="preserve"> right</w:t>
      </w:r>
      <w:r w:rsidR="002A7304" w:rsidRPr="00ED21CF">
        <w:t xml:space="preserve">.  </w:t>
      </w:r>
      <w:r w:rsidRPr="00ED21CF">
        <w:t>It upheld M</w:t>
      </w:r>
      <w:r w:rsidR="00ED21CF" w:rsidRPr="00ED21CF">
        <w:t>’</w:t>
      </w:r>
      <w:r w:rsidRPr="00ED21CF">
        <w:t xml:space="preserve">s </w:t>
      </w:r>
      <w:r w:rsidR="0023063B" w:rsidRPr="00ED21CF">
        <w:t>ss. </w:t>
      </w:r>
      <w:r w:rsidRPr="00ED21CF">
        <w:t xml:space="preserve">86 and 88 </w:t>
      </w:r>
      <w:r w:rsidRPr="00ED21CF">
        <w:rPr>
          <w:i/>
        </w:rPr>
        <w:t>Criminal Code</w:t>
      </w:r>
      <w:r w:rsidRPr="00ED21CF">
        <w:t xml:space="preserve"> convictions, but significantly reduced the sentences</w:t>
      </w:r>
      <w:r w:rsidR="002A7304" w:rsidRPr="00ED21CF">
        <w:t xml:space="preserve">.  </w:t>
      </w:r>
      <w:r w:rsidRPr="00ED21CF">
        <w:t>However, the Court of Appeal allowed M</w:t>
      </w:r>
      <w:r w:rsidR="00ED21CF" w:rsidRPr="00ED21CF">
        <w:t>’</w:t>
      </w:r>
      <w:r w:rsidRPr="00ED21CF">
        <w:t xml:space="preserve">s appeal of his </w:t>
      </w:r>
      <w:r w:rsidR="0023063B" w:rsidRPr="00ED21CF">
        <w:t>s. </w:t>
      </w:r>
      <w:r w:rsidRPr="00ED21CF">
        <w:t>95 conviction and substituted an acquitt</w:t>
      </w:r>
      <w:r w:rsidR="0023063B" w:rsidRPr="00ED21CF">
        <w:t>al. </w:t>
      </w:r>
    </w:p>
    <w:p w:rsidR="00A84860" w:rsidRPr="00ED21CF" w:rsidRDefault="00A84860" w:rsidP="0023063B">
      <w:pPr>
        <w:pStyle w:val="SCCNormalDoubleSpacing"/>
        <w:spacing w:before="480" w:after="480"/>
      </w:pPr>
      <w:r w:rsidRPr="00ED21CF">
        <w:rPr>
          <w:rStyle w:val="QuoteChar"/>
          <w:color w:val="auto"/>
        </w:rPr>
        <w:tab/>
        <w:t>Held</w:t>
      </w:r>
      <w:r w:rsidRPr="002042FC">
        <w:rPr>
          <w:rStyle w:val="QuoteChar"/>
          <w:i w:val="0"/>
          <w:color w:val="auto"/>
        </w:rPr>
        <w:t>:</w:t>
      </w:r>
      <w:r w:rsidRPr="00ED21CF">
        <w:t xml:space="preserve">  The appeal of the </w:t>
      </w:r>
      <w:r w:rsidR="0023063B" w:rsidRPr="00ED21CF">
        <w:t>s. </w:t>
      </w:r>
      <w:r w:rsidRPr="00ED21CF">
        <w:t xml:space="preserve">8 </w:t>
      </w:r>
      <w:r w:rsidRPr="00ED21CF">
        <w:rPr>
          <w:i/>
        </w:rPr>
        <w:t xml:space="preserve">Charter </w:t>
      </w:r>
      <w:r w:rsidRPr="00ED21CF">
        <w:t>issue should be dismissed and the Crown</w:t>
      </w:r>
      <w:r w:rsidR="00ED21CF" w:rsidRPr="00ED21CF">
        <w:t>’</w:t>
      </w:r>
      <w:r w:rsidRPr="00ED21CF">
        <w:t xml:space="preserve">s appeal of the </w:t>
      </w:r>
      <w:r w:rsidR="0023063B" w:rsidRPr="00ED21CF">
        <w:t>s. </w:t>
      </w:r>
      <w:r w:rsidRPr="00ED21CF">
        <w:t xml:space="preserve">95 </w:t>
      </w:r>
      <w:r w:rsidR="009B1F22" w:rsidRPr="00ED21CF">
        <w:rPr>
          <w:i/>
        </w:rPr>
        <w:t>Criminal Code</w:t>
      </w:r>
      <w:r w:rsidR="009B1F22" w:rsidRPr="00ED21CF">
        <w:t xml:space="preserve"> </w:t>
      </w:r>
      <w:r w:rsidRPr="00ED21CF">
        <w:t>acquittal should be allowed</w:t>
      </w:r>
      <w:r w:rsidR="002A7304" w:rsidRPr="00ED21CF">
        <w:t xml:space="preserve">.  </w:t>
      </w:r>
      <w:r w:rsidRPr="00ED21CF">
        <w:t>The matter is remitted to the Court of Appeal for sentencing.</w:t>
      </w:r>
    </w:p>
    <w:p w:rsidR="00A84860" w:rsidRPr="00ED21CF" w:rsidRDefault="00A84860" w:rsidP="0023063B">
      <w:pPr>
        <w:pStyle w:val="SCCNormalDoubleSpacing"/>
        <w:spacing w:before="480" w:after="480"/>
      </w:pPr>
      <w:r w:rsidRPr="00ED21CF">
        <w:tab/>
      </w:r>
      <w:r w:rsidRPr="00ED21CF">
        <w:rPr>
          <w:i/>
          <w:iCs/>
        </w:rPr>
        <w:t>Per</w:t>
      </w:r>
      <w:r w:rsidR="002A7304" w:rsidRPr="00ED21CF">
        <w:t xml:space="preserve"> </w:t>
      </w:r>
      <w:proofErr w:type="spellStart"/>
      <w:r w:rsidR="002A7304" w:rsidRPr="00ED21CF">
        <w:t>McLachlin</w:t>
      </w:r>
      <w:proofErr w:type="spellEnd"/>
      <w:r w:rsidR="002A7304" w:rsidRPr="00ED21CF">
        <w:t> </w:t>
      </w:r>
      <w:r w:rsidRPr="00ED21CF">
        <w:t xml:space="preserve">C.J. and </w:t>
      </w:r>
      <w:r w:rsidRPr="002042FC">
        <w:t>LeBel</w:t>
      </w:r>
      <w:r w:rsidR="002A7304" w:rsidRPr="00ED21CF">
        <w:t>, Fish and Abella </w:t>
      </w:r>
      <w:r w:rsidRPr="00ED21CF">
        <w:t>JJ.:</w:t>
      </w:r>
      <w:r w:rsidR="002A7304" w:rsidRPr="00ED21CF">
        <w:t xml:space="preserve"> </w:t>
      </w:r>
      <w:r w:rsidRPr="00ED21CF">
        <w:t xml:space="preserve"> The officer</w:t>
      </w:r>
      <w:r w:rsidR="00ED21CF" w:rsidRPr="00ED21CF">
        <w:t>’</w:t>
      </w:r>
      <w:r w:rsidRPr="00ED21CF">
        <w:t>s action of pushing the doo</w:t>
      </w:r>
      <w:r w:rsidR="00E730D0" w:rsidRPr="00ED21CF">
        <w:t xml:space="preserve">r open further constituted </w:t>
      </w:r>
      <w:r w:rsidRPr="00ED21CF">
        <w:t xml:space="preserve">a “search” for purposes of </w:t>
      </w:r>
      <w:r w:rsidR="0023063B" w:rsidRPr="00ED21CF">
        <w:t>s. </w:t>
      </w:r>
      <w:r w:rsidRPr="00ED21CF">
        <w:t xml:space="preserve">8 of the </w:t>
      </w:r>
      <w:r w:rsidRPr="00ED21CF">
        <w:rPr>
          <w:i/>
        </w:rPr>
        <w:t>Charter</w:t>
      </w:r>
      <w:r w:rsidR="002A7304" w:rsidRPr="00ED21CF">
        <w:t xml:space="preserve">.  </w:t>
      </w:r>
      <w:r w:rsidRPr="00ED21CF">
        <w:t>The action</w:t>
      </w:r>
      <w:r w:rsidR="00E730D0" w:rsidRPr="00ED21CF">
        <w:t xml:space="preserve"> went beyond the implied licence to knock </w:t>
      </w:r>
      <w:r w:rsidRPr="00ED21CF">
        <w:t xml:space="preserve">on the door </w:t>
      </w:r>
      <w:r w:rsidR="00E730D0" w:rsidRPr="00ED21CF">
        <w:t>and constituted an invasion of M</w:t>
      </w:r>
      <w:r w:rsidR="00ED21CF" w:rsidRPr="00ED21CF">
        <w:t>’</w:t>
      </w:r>
      <w:r w:rsidR="00E730D0" w:rsidRPr="00ED21CF">
        <w:t>s</w:t>
      </w:r>
      <w:r w:rsidRPr="00ED21CF">
        <w:t xml:space="preserve"> rea</w:t>
      </w:r>
      <w:r w:rsidR="00E730D0" w:rsidRPr="00ED21CF">
        <w:t>sonable expectation of privacy in his home</w:t>
      </w:r>
      <w:r w:rsidR="002A7304" w:rsidRPr="00ED21CF">
        <w:t xml:space="preserve">.  </w:t>
      </w:r>
      <w:r w:rsidR="00E730D0" w:rsidRPr="00ED21CF">
        <w:t xml:space="preserve">Although </w:t>
      </w:r>
      <w:r w:rsidRPr="00ED21CF">
        <w:t>the officer</w:t>
      </w:r>
      <w:r w:rsidR="00ED21CF" w:rsidRPr="00ED21CF">
        <w:t>’</w:t>
      </w:r>
      <w:r w:rsidR="00E730D0" w:rsidRPr="00ED21CF">
        <w:t xml:space="preserve">s action constituted a search </w:t>
      </w:r>
      <w:r w:rsidRPr="00ED21CF">
        <w:t xml:space="preserve">for </w:t>
      </w:r>
      <w:r w:rsidR="0023063B" w:rsidRPr="00ED21CF">
        <w:t>s. </w:t>
      </w:r>
      <w:r w:rsidRPr="00ED21CF">
        <w:t>8</w:t>
      </w:r>
      <w:r w:rsidR="00E730D0" w:rsidRPr="00ED21CF">
        <w:t xml:space="preserve"> purposes, that search was reasonable because </w:t>
      </w:r>
      <w:r w:rsidRPr="00ED21CF">
        <w:t xml:space="preserve">both stages of the </w:t>
      </w:r>
      <w:proofErr w:type="spellStart"/>
      <w:r w:rsidRPr="00ED21CF">
        <w:rPr>
          <w:i/>
        </w:rPr>
        <w:t>Waterfield</w:t>
      </w:r>
      <w:proofErr w:type="spellEnd"/>
      <w:r w:rsidRPr="00ED21CF">
        <w:t xml:space="preserve"> test </w:t>
      </w:r>
      <w:r w:rsidR="00E730D0" w:rsidRPr="00ED21CF">
        <w:t>were satisfied</w:t>
      </w:r>
      <w:r w:rsidR="002A7304" w:rsidRPr="00ED21CF">
        <w:t xml:space="preserve">.  </w:t>
      </w:r>
      <w:r w:rsidRPr="00ED21CF">
        <w:t xml:space="preserve">The first stage was satisfied because the warrantless </w:t>
      </w:r>
      <w:r w:rsidR="00E730D0" w:rsidRPr="00ED21CF">
        <w:t>search</w:t>
      </w:r>
      <w:r w:rsidRPr="00ED21CF">
        <w:t xml:space="preserve"> </w:t>
      </w:r>
      <w:r w:rsidR="00E730D0" w:rsidRPr="00ED21CF">
        <w:t xml:space="preserve">falls within the </w:t>
      </w:r>
      <w:r w:rsidRPr="00ED21CF">
        <w:t>scope of the common law police duty to protect life and s</w:t>
      </w:r>
      <w:r w:rsidR="00E730D0" w:rsidRPr="00ED21CF">
        <w:t xml:space="preserve">afety </w:t>
      </w:r>
      <w:r w:rsidRPr="00ED21CF">
        <w:t xml:space="preserve">and the second, </w:t>
      </w:r>
      <w:r w:rsidR="00E730D0" w:rsidRPr="00ED21CF">
        <w:t>because the search</w:t>
      </w:r>
      <w:r w:rsidRPr="00ED21CF">
        <w:t xml:space="preserve"> constitutes a justifiable exercise of powers associated with the duty. </w:t>
      </w:r>
    </w:p>
    <w:p w:rsidR="00A84860" w:rsidRPr="00ED21CF" w:rsidRDefault="00A84860" w:rsidP="0023063B">
      <w:pPr>
        <w:pStyle w:val="SCCNormalDoubleSpacing"/>
        <w:spacing w:before="480" w:after="480"/>
      </w:pPr>
      <w:r w:rsidRPr="00ED21CF">
        <w:lastRenderedPageBreak/>
        <w:tab/>
        <w:t>To determine whether a safety search is reasonably necessary, and therefore justifiable, a number of factors must be weighed to balance the police duty against the liberty interest in question</w:t>
      </w:r>
      <w:r w:rsidR="002A7304" w:rsidRPr="00ED21CF">
        <w:t xml:space="preserve">.  </w:t>
      </w:r>
      <w:r w:rsidRPr="00ED21CF">
        <w:t>These factors inclu</w:t>
      </w:r>
      <w:r w:rsidR="00E730D0" w:rsidRPr="00ED21CF">
        <w:t xml:space="preserve">de: </w:t>
      </w:r>
      <w:r w:rsidRPr="00ED21CF">
        <w:t>the importance of the duty to the public good</w:t>
      </w:r>
      <w:r w:rsidR="00E730D0" w:rsidRPr="00ED21CF">
        <w:t xml:space="preserve">; the </w:t>
      </w:r>
      <w:r w:rsidRPr="00ED21CF">
        <w:t xml:space="preserve">necessity of the infringement for the </w:t>
      </w:r>
      <w:r w:rsidR="00E730D0" w:rsidRPr="00ED21CF">
        <w:t>performance of the duty</w:t>
      </w:r>
      <w:r w:rsidRPr="00ED21CF">
        <w:t>; and the e</w:t>
      </w:r>
      <w:r w:rsidR="00E730D0" w:rsidRPr="00ED21CF">
        <w:t>xtent of the infringement</w:t>
      </w:r>
      <w:r w:rsidR="002A7304" w:rsidRPr="00ED21CF">
        <w:t xml:space="preserve">.  </w:t>
      </w:r>
      <w:r w:rsidR="00E730D0" w:rsidRPr="00ED21CF">
        <w:t>T</w:t>
      </w:r>
      <w:r w:rsidRPr="00ED21CF">
        <w:t xml:space="preserve">he duty to protect life and safety is of the utmost importance to the public good, </w:t>
      </w:r>
      <w:r w:rsidR="00E730D0" w:rsidRPr="00ED21CF">
        <w:t>but</w:t>
      </w:r>
      <w:r w:rsidRPr="00ED21CF">
        <w:t xml:space="preserve"> an infringement on individual</w:t>
      </w:r>
      <w:r w:rsidR="00E730D0" w:rsidRPr="00ED21CF">
        <w:t xml:space="preserve"> liberty may be necessary </w:t>
      </w:r>
      <w:r w:rsidRPr="00ED21CF">
        <w:t xml:space="preserve">when, for example, the officer </w:t>
      </w:r>
      <w:r w:rsidR="00E730D0" w:rsidRPr="00ED21CF">
        <w:t>has</w:t>
      </w:r>
      <w:r w:rsidRPr="00ED21CF">
        <w:t xml:space="preserve"> reasonable grounds to</w:t>
      </w:r>
      <w:r w:rsidR="00E730D0" w:rsidRPr="00ED21CF">
        <w:t xml:space="preserve"> believe </w:t>
      </w:r>
      <w:r w:rsidRPr="00ED21CF">
        <w:t xml:space="preserve">that </w:t>
      </w:r>
      <w:r w:rsidR="00E730D0" w:rsidRPr="00ED21CF">
        <w:t>the individual</w:t>
      </w:r>
      <w:r w:rsidRPr="00ED21CF">
        <w:t xml:space="preserve"> is armed and dangerous</w:t>
      </w:r>
      <w:r w:rsidR="002A7304" w:rsidRPr="00ED21CF">
        <w:t xml:space="preserve">.  </w:t>
      </w:r>
      <w:r w:rsidRPr="00ED21CF">
        <w:t xml:space="preserve">That infringement will be justified only to the extent that it is necessary </w:t>
      </w:r>
      <w:r w:rsidR="00E730D0" w:rsidRPr="00ED21CF">
        <w:t>for the officer</w:t>
      </w:r>
      <w:r w:rsidRPr="00ED21CF">
        <w:t xml:space="preserve"> to search for weapons</w:t>
      </w:r>
      <w:r w:rsidR="002A7304" w:rsidRPr="00ED21CF">
        <w:t xml:space="preserve">.  </w:t>
      </w:r>
      <w:r w:rsidRPr="00ED21CF">
        <w:rPr>
          <w:rFonts w:eastAsia="MS Gothic"/>
        </w:rPr>
        <w:t xml:space="preserve">In other words, and as this Court recognized in </w:t>
      </w:r>
      <w:r w:rsidRPr="00ED21CF">
        <w:rPr>
          <w:i/>
          <w:szCs w:val="24"/>
        </w:rPr>
        <w:t>R. v. Mann</w:t>
      </w:r>
      <w:r w:rsidRPr="00ED21CF">
        <w:rPr>
          <w:szCs w:val="24"/>
        </w:rPr>
        <w:t>, 2004 SCC 52, [2004] 3 S.C.R. 59</w:t>
      </w:r>
      <w:r w:rsidRPr="00ED21CF">
        <w:rPr>
          <w:rFonts w:eastAsia="MS Gothic"/>
        </w:rPr>
        <w:t>, the po</w:t>
      </w:r>
      <w:r w:rsidR="00E730D0" w:rsidRPr="00ED21CF">
        <w:rPr>
          <w:rFonts w:eastAsia="MS Gothic"/>
        </w:rPr>
        <w:t xml:space="preserve">wers of </w:t>
      </w:r>
      <w:r w:rsidRPr="00ED21CF">
        <w:rPr>
          <w:rFonts w:eastAsia="MS Gothic"/>
        </w:rPr>
        <w:t>th</w:t>
      </w:r>
      <w:r w:rsidR="00E730D0" w:rsidRPr="00ED21CF">
        <w:rPr>
          <w:rFonts w:eastAsia="MS Gothic"/>
        </w:rPr>
        <w:t>e police are limited</w:t>
      </w:r>
      <w:r w:rsidR="002A7304" w:rsidRPr="00ED21CF">
        <w:rPr>
          <w:rFonts w:eastAsia="MS Gothic"/>
        </w:rPr>
        <w:t xml:space="preserve">.  </w:t>
      </w:r>
      <w:r w:rsidRPr="00ED21CF">
        <w:rPr>
          <w:rFonts w:eastAsia="MS Gothic"/>
        </w:rPr>
        <w:t xml:space="preserve">Courts must consider not only the extent of the </w:t>
      </w:r>
      <w:r w:rsidR="00E730D0" w:rsidRPr="00ED21CF">
        <w:rPr>
          <w:rFonts w:eastAsia="MS Gothic"/>
        </w:rPr>
        <w:t>infringement, but how</w:t>
      </w:r>
      <w:r w:rsidRPr="00ED21CF">
        <w:rPr>
          <w:rFonts w:eastAsia="MS Gothic"/>
        </w:rPr>
        <w:t xml:space="preserve"> it was carried out</w:t>
      </w:r>
      <w:r w:rsidR="002A7304" w:rsidRPr="00ED21CF">
        <w:rPr>
          <w:rFonts w:eastAsia="MS Gothic"/>
        </w:rPr>
        <w:t xml:space="preserve">.  </w:t>
      </w:r>
      <w:r w:rsidRPr="00ED21CF">
        <w:rPr>
          <w:rFonts w:eastAsia="MS Gothic"/>
        </w:rPr>
        <w:t>Restraints on safety searches a</w:t>
      </w:r>
      <w:r w:rsidR="00E730D0" w:rsidRPr="00ED21CF">
        <w:rPr>
          <w:rFonts w:eastAsia="MS Gothic"/>
        </w:rPr>
        <w:t xml:space="preserve">re particularly important in </w:t>
      </w:r>
      <w:r w:rsidRPr="00ED21CF">
        <w:rPr>
          <w:rFonts w:eastAsia="MS Gothic"/>
        </w:rPr>
        <w:t xml:space="preserve">homes, where such searches can often give the police access to a considerable amount of very sensitive personal information. </w:t>
      </w:r>
    </w:p>
    <w:p w:rsidR="00A84860" w:rsidRPr="00ED21CF" w:rsidRDefault="00A84860" w:rsidP="0023063B">
      <w:pPr>
        <w:pStyle w:val="SCCNormalDoubleSpacing"/>
        <w:spacing w:before="480" w:after="480"/>
        <w:rPr>
          <w:rFonts w:eastAsia="MS Gothic"/>
        </w:rPr>
      </w:pPr>
      <w:r w:rsidRPr="00ED21CF">
        <w:rPr>
          <w:rFonts w:eastAsia="MS Gothic"/>
        </w:rPr>
        <w:tab/>
        <w:t>In this case, the officer had reasonable grounds to believe that there was an imminent threat to public and police safety and that the search was necessary to eliminate that threat</w:t>
      </w:r>
      <w:r w:rsidR="002A7304" w:rsidRPr="00ED21CF">
        <w:rPr>
          <w:rFonts w:eastAsia="MS Gothic"/>
        </w:rPr>
        <w:t xml:space="preserve">.  </w:t>
      </w:r>
      <w:r w:rsidR="00E730D0" w:rsidRPr="00ED21CF">
        <w:rPr>
          <w:rFonts w:eastAsia="MS Gothic"/>
        </w:rPr>
        <w:t>T</w:t>
      </w:r>
      <w:r w:rsidRPr="00ED21CF">
        <w:rPr>
          <w:rFonts w:eastAsia="MS Gothic"/>
        </w:rPr>
        <w:t>he manner in which he carried out the se</w:t>
      </w:r>
      <w:r w:rsidR="00E730D0" w:rsidRPr="00ED21CF">
        <w:rPr>
          <w:rFonts w:eastAsia="MS Gothic"/>
        </w:rPr>
        <w:t>arch was also reasonable</w:t>
      </w:r>
      <w:r w:rsidR="002A7304" w:rsidRPr="00ED21CF">
        <w:rPr>
          <w:rFonts w:eastAsia="MS Gothic"/>
        </w:rPr>
        <w:t xml:space="preserve">.  </w:t>
      </w:r>
      <w:r w:rsidR="00E730D0" w:rsidRPr="00ED21CF">
        <w:rPr>
          <w:rFonts w:eastAsia="MS Gothic"/>
        </w:rPr>
        <w:t xml:space="preserve">The trial judge found that </w:t>
      </w:r>
      <w:r w:rsidRPr="00ED21CF">
        <w:rPr>
          <w:rFonts w:eastAsia="MS Gothic"/>
        </w:rPr>
        <w:t xml:space="preserve">the officer pushed the door </w:t>
      </w:r>
      <w:r w:rsidR="00E730D0" w:rsidRPr="00ED21CF">
        <w:rPr>
          <w:rFonts w:eastAsia="MS Gothic"/>
        </w:rPr>
        <w:t xml:space="preserve">open </w:t>
      </w:r>
      <w:r w:rsidRPr="00ED21CF">
        <w:rPr>
          <w:rFonts w:eastAsia="MS Gothic"/>
        </w:rPr>
        <w:t xml:space="preserve">no more than was necessary to find out what </w:t>
      </w:r>
      <w:r w:rsidR="00E730D0" w:rsidRPr="00ED21CF">
        <w:rPr>
          <w:rFonts w:eastAsia="MS Gothic"/>
        </w:rPr>
        <w:t>M</w:t>
      </w:r>
      <w:r w:rsidRPr="00ED21CF">
        <w:rPr>
          <w:rFonts w:eastAsia="MS Gothic"/>
        </w:rPr>
        <w:t xml:space="preserve"> had behind his</w:t>
      </w:r>
      <w:r w:rsidR="00E730D0" w:rsidRPr="00ED21CF">
        <w:rPr>
          <w:rFonts w:eastAsia="MS Gothic"/>
        </w:rPr>
        <w:t xml:space="preserve"> leg</w:t>
      </w:r>
      <w:r w:rsidR="002A7304" w:rsidRPr="00ED21CF">
        <w:rPr>
          <w:rFonts w:eastAsia="MS Gothic"/>
        </w:rPr>
        <w:t xml:space="preserve">.  </w:t>
      </w:r>
      <w:r w:rsidRPr="00ED21CF">
        <w:rPr>
          <w:rFonts w:eastAsia="MS Gothic"/>
        </w:rPr>
        <w:t>The</w:t>
      </w:r>
      <w:r w:rsidR="00E730D0" w:rsidRPr="00ED21CF">
        <w:rPr>
          <w:rFonts w:eastAsia="MS Gothic"/>
        </w:rPr>
        <w:t xml:space="preserve"> officer</w:t>
      </w:r>
      <w:r w:rsidRPr="00ED21CF">
        <w:rPr>
          <w:rFonts w:eastAsia="MS Gothic"/>
        </w:rPr>
        <w:t xml:space="preserve"> twice aske</w:t>
      </w:r>
      <w:r w:rsidR="00E730D0" w:rsidRPr="00ED21CF">
        <w:rPr>
          <w:rFonts w:eastAsia="MS Gothic"/>
        </w:rPr>
        <w:t>d M</w:t>
      </w:r>
      <w:r w:rsidRPr="00ED21CF">
        <w:rPr>
          <w:rFonts w:eastAsia="MS Gothic"/>
        </w:rPr>
        <w:t xml:space="preserve"> what he had in his hand but received no answer</w:t>
      </w:r>
      <w:r w:rsidR="002A7304" w:rsidRPr="00ED21CF">
        <w:rPr>
          <w:rFonts w:eastAsia="MS Gothic"/>
        </w:rPr>
        <w:t xml:space="preserve">.  </w:t>
      </w:r>
      <w:r w:rsidRPr="00ED21CF">
        <w:rPr>
          <w:rFonts w:eastAsia="MS Gothic"/>
        </w:rPr>
        <w:t>In these circumstances, it is hard to imagine a less invas</w:t>
      </w:r>
      <w:r w:rsidR="00E730D0" w:rsidRPr="00ED21CF">
        <w:rPr>
          <w:rFonts w:eastAsia="MS Gothic"/>
        </w:rPr>
        <w:t>ive way of determining whether M was concealing a weapon</w:t>
      </w:r>
      <w:r w:rsidRPr="00ED21CF">
        <w:rPr>
          <w:rFonts w:eastAsia="MS Gothic"/>
        </w:rPr>
        <w:t xml:space="preserve"> and thereby eliminating any threat</w:t>
      </w:r>
      <w:r w:rsidR="002A7304" w:rsidRPr="00ED21CF">
        <w:rPr>
          <w:rFonts w:eastAsia="MS Gothic"/>
        </w:rPr>
        <w:t xml:space="preserve">.  </w:t>
      </w:r>
      <w:r w:rsidRPr="00ED21CF">
        <w:rPr>
          <w:rFonts w:eastAsia="MS Gothic"/>
        </w:rPr>
        <w:t>It follow</w:t>
      </w:r>
      <w:r w:rsidR="00E730D0" w:rsidRPr="00ED21CF">
        <w:rPr>
          <w:rFonts w:eastAsia="MS Gothic"/>
        </w:rPr>
        <w:t>s that M</w:t>
      </w:r>
      <w:r w:rsidR="00ED21CF" w:rsidRPr="00ED21CF">
        <w:rPr>
          <w:rFonts w:eastAsia="MS Gothic"/>
        </w:rPr>
        <w:t>’</w:t>
      </w:r>
      <w:r w:rsidR="00E730D0" w:rsidRPr="00ED21CF">
        <w:rPr>
          <w:rFonts w:eastAsia="MS Gothic"/>
        </w:rPr>
        <w:t>s</w:t>
      </w:r>
      <w:r w:rsidR="0023063B" w:rsidRPr="00ED21CF">
        <w:rPr>
          <w:rFonts w:eastAsia="MS Gothic"/>
        </w:rPr>
        <w:t xml:space="preserve"> rights under s. </w:t>
      </w:r>
      <w:r w:rsidRPr="00ED21CF">
        <w:rPr>
          <w:rFonts w:eastAsia="MS Gothic"/>
        </w:rPr>
        <w:t xml:space="preserve">8 of the </w:t>
      </w:r>
      <w:r w:rsidRPr="00ED21CF">
        <w:rPr>
          <w:rFonts w:eastAsia="MS Gothic"/>
          <w:i/>
        </w:rPr>
        <w:t>Charter</w:t>
      </w:r>
      <w:r w:rsidRPr="00ED21CF">
        <w:rPr>
          <w:rFonts w:eastAsia="MS Gothic"/>
        </w:rPr>
        <w:t xml:space="preserve"> were not violated.  </w:t>
      </w:r>
    </w:p>
    <w:p w:rsidR="00A84860" w:rsidRPr="00ED21CF" w:rsidRDefault="0023063B" w:rsidP="0023063B">
      <w:pPr>
        <w:pStyle w:val="SCCNormalDoubleSpacing"/>
        <w:spacing w:before="480" w:after="480"/>
        <w:rPr>
          <w:rFonts w:eastAsia="MS Gothic"/>
        </w:rPr>
      </w:pPr>
      <w:r w:rsidRPr="00ED21CF">
        <w:rPr>
          <w:rFonts w:eastAsia="MS Gothic"/>
        </w:rPr>
        <w:lastRenderedPageBreak/>
        <w:tab/>
        <w:t xml:space="preserve">As for </w:t>
      </w:r>
      <w:proofErr w:type="gramStart"/>
      <w:r w:rsidRPr="00ED21CF">
        <w:rPr>
          <w:rFonts w:eastAsia="MS Gothic"/>
        </w:rPr>
        <w:t>a</w:t>
      </w:r>
      <w:proofErr w:type="gramEnd"/>
      <w:r w:rsidRPr="00ED21CF">
        <w:rPr>
          <w:rFonts w:eastAsia="MS Gothic"/>
        </w:rPr>
        <w:t xml:space="preserve"> s. </w:t>
      </w:r>
      <w:r w:rsidR="00A84860" w:rsidRPr="00ED21CF">
        <w:rPr>
          <w:rFonts w:eastAsia="MS Gothic"/>
        </w:rPr>
        <w:t xml:space="preserve">95 </w:t>
      </w:r>
      <w:r w:rsidR="00A84860" w:rsidRPr="00ED21CF">
        <w:rPr>
          <w:rFonts w:eastAsia="MS Gothic"/>
          <w:i/>
        </w:rPr>
        <w:t>Criminal Code</w:t>
      </w:r>
      <w:r w:rsidR="00A84860" w:rsidRPr="00ED21CF">
        <w:rPr>
          <w:rFonts w:eastAsia="MS Gothic"/>
        </w:rPr>
        <w:t xml:space="preserve"> co</w:t>
      </w:r>
      <w:r w:rsidR="00E730D0" w:rsidRPr="00ED21CF">
        <w:rPr>
          <w:rFonts w:eastAsia="MS Gothic"/>
        </w:rPr>
        <w:t>nviction,</w:t>
      </w:r>
      <w:r w:rsidR="00A84860" w:rsidRPr="00ED21CF">
        <w:rPr>
          <w:rFonts w:eastAsia="MS Gothic"/>
        </w:rPr>
        <w:t xml:space="preserve"> t</w:t>
      </w:r>
      <w:r w:rsidR="00E730D0" w:rsidRPr="00ED21CF">
        <w:rPr>
          <w:rFonts w:eastAsia="MS Gothic"/>
        </w:rPr>
        <w:t xml:space="preserve">he Court of Appeal erred in </w:t>
      </w:r>
      <w:r w:rsidR="00A84860" w:rsidRPr="00ED21CF">
        <w:rPr>
          <w:rFonts w:eastAsia="MS Gothic"/>
        </w:rPr>
        <w:t>requiring the Crown to prove</w:t>
      </w:r>
      <w:r w:rsidR="00E730D0" w:rsidRPr="00ED21CF">
        <w:rPr>
          <w:rFonts w:eastAsia="MS Gothic"/>
        </w:rPr>
        <w:t xml:space="preserve"> that M</w:t>
      </w:r>
      <w:r w:rsidR="00A84860" w:rsidRPr="00ED21CF">
        <w:rPr>
          <w:rFonts w:eastAsia="MS Gothic"/>
        </w:rPr>
        <w:t xml:space="preserve"> knew </w:t>
      </w:r>
      <w:r w:rsidR="00E730D0" w:rsidRPr="00ED21CF">
        <w:rPr>
          <w:rFonts w:eastAsia="MS Gothic"/>
        </w:rPr>
        <w:t>that</w:t>
      </w:r>
      <w:r w:rsidR="00A84860" w:rsidRPr="00ED21CF">
        <w:rPr>
          <w:rFonts w:eastAsia="MS Gothic"/>
        </w:rPr>
        <w:t xml:space="preserve"> his possession and acquisition licence and authorization to transport the firearm did not ext</w:t>
      </w:r>
      <w:r w:rsidR="00E730D0" w:rsidRPr="00ED21CF">
        <w:rPr>
          <w:rFonts w:eastAsia="MS Gothic"/>
        </w:rPr>
        <w:t xml:space="preserve">end to </w:t>
      </w:r>
      <w:r w:rsidR="00A84860" w:rsidRPr="00ED21CF">
        <w:rPr>
          <w:rFonts w:eastAsia="MS Gothic"/>
        </w:rPr>
        <w:t>his Halifax</w:t>
      </w:r>
      <w:r w:rsidR="00E730D0" w:rsidRPr="00ED21CF">
        <w:rPr>
          <w:rFonts w:eastAsia="MS Gothic"/>
        </w:rPr>
        <w:t xml:space="preserve"> home</w:t>
      </w:r>
      <w:r w:rsidR="002A7304" w:rsidRPr="00ED21CF">
        <w:rPr>
          <w:rFonts w:eastAsia="MS Gothic"/>
        </w:rPr>
        <w:t xml:space="preserve">.  </w:t>
      </w:r>
      <w:r w:rsidR="00E730D0" w:rsidRPr="00ED21CF">
        <w:rPr>
          <w:rFonts w:eastAsia="MS Gothic"/>
        </w:rPr>
        <w:t xml:space="preserve">That </w:t>
      </w:r>
      <w:r w:rsidR="00A84860" w:rsidRPr="00ED21CF">
        <w:rPr>
          <w:rFonts w:eastAsia="MS Gothic"/>
        </w:rPr>
        <w:t xml:space="preserve">requirement is inconsistent with the rule, codified in </w:t>
      </w:r>
      <w:r w:rsidRPr="00ED21CF">
        <w:rPr>
          <w:rFonts w:eastAsia="MS Gothic"/>
        </w:rPr>
        <w:t>s. </w:t>
      </w:r>
      <w:r w:rsidR="00A84860" w:rsidRPr="00ED21CF">
        <w:rPr>
          <w:rFonts w:eastAsia="MS Gothic"/>
        </w:rPr>
        <w:t xml:space="preserve">19 of the </w:t>
      </w:r>
      <w:r w:rsidR="00A84860" w:rsidRPr="00ED21CF">
        <w:rPr>
          <w:rFonts w:eastAsia="MS Gothic"/>
          <w:i/>
        </w:rPr>
        <w:t>Code</w:t>
      </w:r>
      <w:r w:rsidR="00A84860" w:rsidRPr="00ED21CF">
        <w:rPr>
          <w:rFonts w:eastAsia="MS Gothic"/>
        </w:rPr>
        <w:t>, that ignorance of the law is no excuse</w:t>
      </w:r>
      <w:r w:rsidR="002A7304" w:rsidRPr="00ED21CF">
        <w:rPr>
          <w:rFonts w:eastAsia="MS Gothic"/>
        </w:rPr>
        <w:t xml:space="preserve">.  </w:t>
      </w:r>
      <w:r w:rsidR="00E730D0" w:rsidRPr="00ED21CF">
        <w:rPr>
          <w:rFonts w:eastAsia="MS Gothic"/>
        </w:rPr>
        <w:t>Section</w:t>
      </w:r>
      <w:r w:rsidRPr="00ED21CF">
        <w:rPr>
          <w:rFonts w:eastAsia="MS Gothic"/>
        </w:rPr>
        <w:t> </w:t>
      </w:r>
      <w:r w:rsidR="00A84860" w:rsidRPr="00ED21CF">
        <w:rPr>
          <w:rFonts w:eastAsia="MS Gothic"/>
        </w:rPr>
        <w:t xml:space="preserve">95 is a </w:t>
      </w:r>
      <w:proofErr w:type="spellStart"/>
      <w:r w:rsidR="00A84860" w:rsidRPr="00ED21CF">
        <w:rPr>
          <w:rFonts w:eastAsia="MS Gothic"/>
          <w:i/>
        </w:rPr>
        <w:t>mens</w:t>
      </w:r>
      <w:proofErr w:type="spellEnd"/>
      <w:r w:rsidR="00A84860" w:rsidRPr="00ED21CF">
        <w:rPr>
          <w:rFonts w:eastAsia="MS Gothic"/>
          <w:i/>
        </w:rPr>
        <w:t xml:space="preserve"> </w:t>
      </w:r>
      <w:proofErr w:type="spellStart"/>
      <w:r w:rsidR="00A84860" w:rsidRPr="00ED21CF">
        <w:rPr>
          <w:rFonts w:eastAsia="MS Gothic"/>
          <w:i/>
        </w:rPr>
        <w:t>rea</w:t>
      </w:r>
      <w:proofErr w:type="spellEnd"/>
      <w:r w:rsidR="007B1017" w:rsidRPr="00ED21CF">
        <w:rPr>
          <w:rFonts w:eastAsia="MS Gothic"/>
        </w:rPr>
        <w:t xml:space="preserve"> offence, but does not include knowledge of</w:t>
      </w:r>
      <w:r w:rsidR="00A84860" w:rsidRPr="00ED21CF">
        <w:rPr>
          <w:rFonts w:eastAsia="MS Gothic"/>
        </w:rPr>
        <w:t xml:space="preserve"> </w:t>
      </w:r>
      <w:r w:rsidR="00A84860" w:rsidRPr="00ED21CF">
        <w:rPr>
          <w:rFonts w:eastAsia="MS Gothic"/>
          <w:i/>
        </w:rPr>
        <w:t>unauthorized</w:t>
      </w:r>
      <w:r w:rsidR="007B1017" w:rsidRPr="00ED21CF">
        <w:rPr>
          <w:rFonts w:eastAsia="MS Gothic"/>
        </w:rPr>
        <w:t xml:space="preserve"> possession</w:t>
      </w:r>
      <w:r w:rsidR="002A7304" w:rsidRPr="00ED21CF">
        <w:rPr>
          <w:rFonts w:eastAsia="MS Gothic"/>
        </w:rPr>
        <w:t xml:space="preserve">.  </w:t>
      </w:r>
      <w:r w:rsidR="00A84860" w:rsidRPr="00ED21CF">
        <w:rPr>
          <w:rFonts w:eastAsia="MS Gothic"/>
        </w:rPr>
        <w:t>Rather</w:t>
      </w:r>
      <w:r w:rsidR="007B1017" w:rsidRPr="00ED21CF">
        <w:rPr>
          <w:rFonts w:eastAsia="MS Gothic"/>
        </w:rPr>
        <w:t>, knowledge of possession, together with intention to possess in a particular</w:t>
      </w:r>
      <w:r w:rsidR="00A84860" w:rsidRPr="00ED21CF">
        <w:rPr>
          <w:rFonts w:eastAsia="MS Gothic"/>
        </w:rPr>
        <w:t xml:space="preserve"> place, is enough. </w:t>
      </w:r>
    </w:p>
    <w:p w:rsidR="00A84860" w:rsidRPr="00ED21CF" w:rsidRDefault="007B1017" w:rsidP="0023063B">
      <w:pPr>
        <w:pStyle w:val="SCCNormalDoubleSpacing"/>
        <w:spacing w:before="480" w:after="480"/>
        <w:rPr>
          <w:rFonts w:eastAsia="MS Gothic"/>
        </w:rPr>
      </w:pPr>
      <w:r w:rsidRPr="00ED21CF">
        <w:rPr>
          <w:rFonts w:eastAsia="MS Gothic"/>
        </w:rPr>
        <w:tab/>
        <w:t>In this case, M</w:t>
      </w:r>
      <w:r w:rsidR="00ED21CF" w:rsidRPr="00ED21CF">
        <w:rPr>
          <w:rFonts w:eastAsia="MS Gothic"/>
        </w:rPr>
        <w:t>’</w:t>
      </w:r>
      <w:r w:rsidRPr="00ED21CF">
        <w:rPr>
          <w:rFonts w:eastAsia="MS Gothic"/>
        </w:rPr>
        <w:t>s</w:t>
      </w:r>
      <w:r w:rsidR="00A84860" w:rsidRPr="00ED21CF">
        <w:rPr>
          <w:rFonts w:eastAsia="MS Gothic"/>
        </w:rPr>
        <w:t xml:space="preserve"> subjective belief that h</w:t>
      </w:r>
      <w:r w:rsidRPr="00ED21CF">
        <w:rPr>
          <w:rFonts w:eastAsia="MS Gothic"/>
        </w:rPr>
        <w:t>e could possess the firearm in his Halifax home is a mistake of law and that mistake i</w:t>
      </w:r>
      <w:r w:rsidR="0023063B" w:rsidRPr="00ED21CF">
        <w:rPr>
          <w:rFonts w:eastAsia="MS Gothic"/>
        </w:rPr>
        <w:t>s no defence</w:t>
      </w:r>
      <w:r w:rsidR="002A7304" w:rsidRPr="00ED21CF">
        <w:rPr>
          <w:rFonts w:eastAsia="MS Gothic"/>
        </w:rPr>
        <w:t xml:space="preserve">.  </w:t>
      </w:r>
      <w:r w:rsidR="0023063B" w:rsidRPr="00ED21CF">
        <w:rPr>
          <w:rFonts w:eastAsia="MS Gothic"/>
        </w:rPr>
        <w:t>Therefore, M</w:t>
      </w:r>
      <w:r w:rsidR="00ED21CF" w:rsidRPr="00ED21CF">
        <w:rPr>
          <w:rFonts w:eastAsia="MS Gothic"/>
        </w:rPr>
        <w:t>’</w:t>
      </w:r>
      <w:r w:rsidR="0023063B" w:rsidRPr="00ED21CF">
        <w:rPr>
          <w:rFonts w:eastAsia="MS Gothic"/>
        </w:rPr>
        <w:t>s s. </w:t>
      </w:r>
      <w:r w:rsidRPr="00ED21CF">
        <w:rPr>
          <w:rFonts w:eastAsia="MS Gothic"/>
        </w:rPr>
        <w:t xml:space="preserve">95 </w:t>
      </w:r>
      <w:proofErr w:type="gramStart"/>
      <w:r w:rsidRPr="00ED21CF">
        <w:rPr>
          <w:rFonts w:eastAsia="MS Gothic"/>
        </w:rPr>
        <w:t>conviction</w:t>
      </w:r>
      <w:proofErr w:type="gramEnd"/>
      <w:r w:rsidRPr="00ED21CF">
        <w:rPr>
          <w:rFonts w:eastAsia="MS Gothic"/>
        </w:rPr>
        <w:t xml:space="preserve"> must be restored and the matter remitted to the Court of Appeal both for sentencing </w:t>
      </w:r>
      <w:r w:rsidR="00A84860" w:rsidRPr="00ED21CF">
        <w:rPr>
          <w:rFonts w:eastAsia="MS Gothic"/>
        </w:rPr>
        <w:t>and for assessing</w:t>
      </w:r>
      <w:r w:rsidRPr="00ED21CF">
        <w:rPr>
          <w:rFonts w:eastAsia="MS Gothic"/>
        </w:rPr>
        <w:t xml:space="preserve"> the constitutional validity of</w:t>
      </w:r>
      <w:r w:rsidR="00A84860" w:rsidRPr="00ED21CF">
        <w:rPr>
          <w:rFonts w:eastAsia="MS Gothic"/>
        </w:rPr>
        <w:t xml:space="preserve"> th</w:t>
      </w:r>
      <w:r w:rsidRPr="00ED21CF">
        <w:rPr>
          <w:rFonts w:eastAsia="MS Gothic"/>
        </w:rPr>
        <w:t xml:space="preserve">e mandatory minimum sentence under </w:t>
      </w:r>
      <w:r w:rsidR="0023063B" w:rsidRPr="00ED21CF">
        <w:rPr>
          <w:rFonts w:eastAsia="MS Gothic"/>
        </w:rPr>
        <w:t>s. </w:t>
      </w:r>
      <w:r w:rsidRPr="00ED21CF">
        <w:rPr>
          <w:rFonts w:eastAsia="MS Gothic"/>
        </w:rPr>
        <w:t>95</w:t>
      </w:r>
      <w:r w:rsidR="00A84860" w:rsidRPr="00ED21CF">
        <w:rPr>
          <w:rFonts w:eastAsia="MS Gothic"/>
        </w:rPr>
        <w:t xml:space="preserve">. </w:t>
      </w:r>
    </w:p>
    <w:p w:rsidR="00A84860" w:rsidRPr="00ED21CF" w:rsidRDefault="00A84860" w:rsidP="0023063B">
      <w:pPr>
        <w:pStyle w:val="SCCNormalDoubleSpacing"/>
        <w:spacing w:before="480" w:after="480"/>
      </w:pPr>
      <w:r w:rsidRPr="00ED21CF">
        <w:rPr>
          <w:rFonts w:eastAsia="MS Gothic"/>
        </w:rPr>
        <w:tab/>
      </w:r>
      <w:r w:rsidRPr="00ED21CF">
        <w:rPr>
          <w:i/>
          <w:iCs/>
        </w:rPr>
        <w:t>Per</w:t>
      </w:r>
      <w:r w:rsidRPr="00ED21CF">
        <w:t xml:space="preserve"> Rothstein, </w:t>
      </w:r>
      <w:proofErr w:type="spellStart"/>
      <w:r w:rsidRPr="002042FC">
        <w:rPr>
          <w:bCs/>
        </w:rPr>
        <w:t>Moldaver</w:t>
      </w:r>
      <w:proofErr w:type="spellEnd"/>
      <w:r w:rsidRPr="00ED21CF">
        <w:t xml:space="preserve"> and </w:t>
      </w:r>
      <w:r w:rsidRPr="002042FC">
        <w:t>Wagner</w:t>
      </w:r>
      <w:r w:rsidR="0023063B" w:rsidRPr="002042FC">
        <w:t> </w:t>
      </w:r>
      <w:r w:rsidRPr="00ED21CF">
        <w:t xml:space="preserve">JJ.: </w:t>
      </w:r>
      <w:r w:rsidR="002A7304" w:rsidRPr="00ED21CF">
        <w:t xml:space="preserve"> </w:t>
      </w:r>
      <w:r w:rsidRPr="00ED21CF">
        <w:t>The majority concludes that the officer</w:t>
      </w:r>
      <w:r w:rsidR="00ED21CF" w:rsidRPr="00ED21CF">
        <w:t>’</w:t>
      </w:r>
      <w:r w:rsidRPr="00ED21CF">
        <w:t>s conduct in this case was onl</w:t>
      </w:r>
      <w:r w:rsidR="007B1017" w:rsidRPr="00ED21CF">
        <w:t>y justified because he had reasonable grounds to believe that M was armed and dangerous</w:t>
      </w:r>
      <w:r w:rsidR="002A7304" w:rsidRPr="00ED21CF">
        <w:t xml:space="preserve">.  </w:t>
      </w:r>
      <w:r w:rsidR="007B1017" w:rsidRPr="00ED21CF">
        <w:t>In doing so, they effectively overturn the “safety search”</w:t>
      </w:r>
      <w:r w:rsidRPr="00ED21CF">
        <w:t xml:space="preserve"> power recognized in </w:t>
      </w:r>
      <w:r w:rsidRPr="00ED21CF">
        <w:rPr>
          <w:i/>
        </w:rPr>
        <w:t xml:space="preserve">Mann </w:t>
      </w:r>
      <w:r w:rsidRPr="00ED21CF">
        <w:t>and a dec</w:t>
      </w:r>
      <w:r w:rsidR="007B1017" w:rsidRPr="00ED21CF">
        <w:t>ade of subsequent jurisprudence.</w:t>
      </w:r>
      <w:r w:rsidRPr="00ED21CF">
        <w:t xml:space="preserve">  </w:t>
      </w:r>
    </w:p>
    <w:p w:rsidR="00A84860" w:rsidRPr="00ED21CF" w:rsidRDefault="00A84860" w:rsidP="0023063B">
      <w:pPr>
        <w:pStyle w:val="SCCNormalDoubleSpacing"/>
        <w:spacing w:before="480" w:after="480"/>
        <w:rPr>
          <w:rFonts w:eastAsia="MS Gothic"/>
        </w:rPr>
      </w:pPr>
      <w:r w:rsidRPr="00ED21CF">
        <w:tab/>
      </w:r>
      <w:r w:rsidR="007B1017" w:rsidRPr="00ED21CF">
        <w:rPr>
          <w:rFonts w:eastAsia="MS Gothic"/>
        </w:rPr>
        <w:t>This Court decided in</w:t>
      </w:r>
      <w:r w:rsidRPr="00ED21CF">
        <w:rPr>
          <w:rFonts w:eastAsia="MS Gothic"/>
        </w:rPr>
        <w:t xml:space="preserve"> </w:t>
      </w:r>
      <w:r w:rsidRPr="00ED21CF">
        <w:rPr>
          <w:rFonts w:eastAsia="MS Gothic"/>
          <w:i/>
        </w:rPr>
        <w:t>Mann</w:t>
      </w:r>
      <w:r w:rsidR="007B1017" w:rsidRPr="00ED21CF">
        <w:rPr>
          <w:rFonts w:eastAsia="MS Gothic"/>
        </w:rPr>
        <w:t xml:space="preserve"> that officers may conduct protective </w:t>
      </w:r>
      <w:r w:rsidRPr="00ED21CF">
        <w:rPr>
          <w:rFonts w:eastAsia="MS Gothic"/>
        </w:rPr>
        <w:t xml:space="preserve">searches when they have reasonable grounds to </w:t>
      </w:r>
      <w:r w:rsidRPr="00ED21CF">
        <w:rPr>
          <w:rFonts w:eastAsia="MS Gothic"/>
          <w:i/>
        </w:rPr>
        <w:t>suspect</w:t>
      </w:r>
      <w:r w:rsidR="007B1017" w:rsidRPr="00ED21CF">
        <w:rPr>
          <w:rFonts w:eastAsia="MS Gothic"/>
        </w:rPr>
        <w:t xml:space="preserve"> that</w:t>
      </w:r>
      <w:r w:rsidRPr="00ED21CF">
        <w:rPr>
          <w:rFonts w:eastAsia="MS Gothic"/>
        </w:rPr>
        <w:t xml:space="preserve"> an individual is armed and dan</w:t>
      </w:r>
      <w:r w:rsidR="007B1017" w:rsidRPr="00ED21CF">
        <w:rPr>
          <w:rFonts w:eastAsia="MS Gothic"/>
        </w:rPr>
        <w:t>gerous</w:t>
      </w:r>
      <w:r w:rsidR="002A7304" w:rsidRPr="00ED21CF">
        <w:rPr>
          <w:rFonts w:eastAsia="MS Gothic"/>
        </w:rPr>
        <w:t xml:space="preserve">.  </w:t>
      </w:r>
      <w:r w:rsidRPr="00ED21CF">
        <w:rPr>
          <w:rFonts w:eastAsia="MS Gothic"/>
        </w:rPr>
        <w:t>And that is why the search was justified in this case</w:t>
      </w:r>
      <w:r w:rsidR="002A7304" w:rsidRPr="00ED21CF">
        <w:rPr>
          <w:rFonts w:eastAsia="MS Gothic"/>
        </w:rPr>
        <w:t xml:space="preserve">.  </w:t>
      </w:r>
      <w:r w:rsidRPr="00ED21CF">
        <w:rPr>
          <w:rFonts w:eastAsia="MS Gothic"/>
        </w:rPr>
        <w:t>Five r</w:t>
      </w:r>
      <w:r w:rsidR="007B1017" w:rsidRPr="00ED21CF">
        <w:rPr>
          <w:rFonts w:eastAsia="MS Gothic"/>
        </w:rPr>
        <w:t>easons support this conclusion.</w:t>
      </w:r>
      <w:r w:rsidRPr="00ED21CF">
        <w:rPr>
          <w:rFonts w:eastAsia="MS Gothic"/>
        </w:rPr>
        <w:t xml:space="preserve"> </w:t>
      </w:r>
    </w:p>
    <w:p w:rsidR="00A84860" w:rsidRPr="00ED21CF" w:rsidRDefault="007B1017" w:rsidP="0023063B">
      <w:pPr>
        <w:pStyle w:val="SCCNormalDoubleSpacing"/>
        <w:spacing w:before="480" w:after="480"/>
        <w:rPr>
          <w:rFonts w:eastAsia="MS Gothic"/>
        </w:rPr>
      </w:pPr>
      <w:r w:rsidRPr="00ED21CF">
        <w:rPr>
          <w:rFonts w:eastAsia="MS Gothic"/>
        </w:rPr>
        <w:lastRenderedPageBreak/>
        <w:tab/>
      </w:r>
      <w:r w:rsidR="00A84860" w:rsidRPr="00ED21CF">
        <w:rPr>
          <w:rFonts w:eastAsia="MS Gothic"/>
        </w:rPr>
        <w:t xml:space="preserve">First, the language of </w:t>
      </w:r>
      <w:r w:rsidR="00A84860" w:rsidRPr="00ED21CF">
        <w:rPr>
          <w:rFonts w:eastAsia="MS Gothic"/>
          <w:i/>
        </w:rPr>
        <w:t xml:space="preserve">Mann </w:t>
      </w:r>
      <w:r w:rsidRPr="00ED21CF">
        <w:rPr>
          <w:rFonts w:eastAsia="MS Gothic"/>
        </w:rPr>
        <w:t>makes clear that it</w:t>
      </w:r>
      <w:r w:rsidR="00A84860" w:rsidRPr="00ED21CF">
        <w:rPr>
          <w:rFonts w:eastAsia="MS Gothic"/>
        </w:rPr>
        <w:t xml:space="preserve"> recognized a protective search power predicate</w:t>
      </w:r>
      <w:r w:rsidRPr="00ED21CF">
        <w:rPr>
          <w:rFonts w:eastAsia="MS Gothic"/>
        </w:rPr>
        <w:t>d on reasonable suspicion</w:t>
      </w:r>
      <w:r w:rsidR="002A7304" w:rsidRPr="00ED21CF">
        <w:rPr>
          <w:rFonts w:eastAsia="MS Gothic"/>
        </w:rPr>
        <w:t xml:space="preserve">.  </w:t>
      </w:r>
      <w:r w:rsidRPr="00ED21CF">
        <w:rPr>
          <w:rFonts w:eastAsia="MS Gothic"/>
        </w:rPr>
        <w:t xml:space="preserve">Second, </w:t>
      </w:r>
      <w:r w:rsidR="00A84860" w:rsidRPr="00ED21CF">
        <w:rPr>
          <w:rFonts w:eastAsia="MS Gothic"/>
          <w:i/>
        </w:rPr>
        <w:t xml:space="preserve">Mann </w:t>
      </w:r>
      <w:r w:rsidRPr="00ED21CF">
        <w:rPr>
          <w:rFonts w:eastAsia="MS Gothic"/>
        </w:rPr>
        <w:t>relies</w:t>
      </w:r>
      <w:r w:rsidR="00A84860" w:rsidRPr="00ED21CF">
        <w:rPr>
          <w:rFonts w:eastAsia="MS Gothic"/>
        </w:rPr>
        <w:t xml:space="preserve"> on the U.S. Supreme Court</w:t>
      </w:r>
      <w:r w:rsidR="00ED21CF" w:rsidRPr="00ED21CF">
        <w:rPr>
          <w:rFonts w:eastAsia="MS Gothic"/>
        </w:rPr>
        <w:t>’</w:t>
      </w:r>
      <w:r w:rsidR="00A84860" w:rsidRPr="00ED21CF">
        <w:rPr>
          <w:rFonts w:eastAsia="MS Gothic"/>
        </w:rPr>
        <w:t xml:space="preserve">s seminal decision in </w:t>
      </w:r>
      <w:r w:rsidR="00A84860" w:rsidRPr="00ED21CF">
        <w:rPr>
          <w:rFonts w:eastAsia="MS Gothic"/>
          <w:i/>
        </w:rPr>
        <w:t>Terry v. Ohio</w:t>
      </w:r>
      <w:r w:rsidRPr="00ED21CF">
        <w:rPr>
          <w:rFonts w:eastAsia="MS Gothic"/>
        </w:rPr>
        <w:t>, 392 U.S. 1 (1968)</w:t>
      </w:r>
      <w:r w:rsidR="00A84860" w:rsidRPr="00ED21CF">
        <w:rPr>
          <w:rFonts w:eastAsia="MS Gothic"/>
        </w:rPr>
        <w:t xml:space="preserve">, a decision which recognized a directly analogous protective search power on </w:t>
      </w:r>
      <w:r w:rsidRPr="00ED21CF">
        <w:rPr>
          <w:rFonts w:eastAsia="MS Gothic"/>
        </w:rPr>
        <w:t>a reasonable suspicion standard</w:t>
      </w:r>
      <w:r w:rsidR="002A7304" w:rsidRPr="00ED21CF">
        <w:rPr>
          <w:rFonts w:eastAsia="MS Gothic"/>
        </w:rPr>
        <w:t xml:space="preserve">.  </w:t>
      </w:r>
      <w:r w:rsidRPr="00ED21CF">
        <w:rPr>
          <w:rFonts w:eastAsia="MS Gothic"/>
        </w:rPr>
        <w:t>Third, subsequent judgments from</w:t>
      </w:r>
      <w:r w:rsidR="00A84860" w:rsidRPr="00ED21CF">
        <w:rPr>
          <w:rFonts w:eastAsia="MS Gothic"/>
        </w:rPr>
        <w:t xml:space="preserve"> this Court a</w:t>
      </w:r>
      <w:r w:rsidRPr="00ED21CF">
        <w:rPr>
          <w:rFonts w:eastAsia="MS Gothic"/>
        </w:rPr>
        <w:t xml:space="preserve">nd </w:t>
      </w:r>
      <w:r w:rsidR="00A84860" w:rsidRPr="00ED21CF">
        <w:rPr>
          <w:rFonts w:eastAsia="MS Gothic"/>
        </w:rPr>
        <w:t xml:space="preserve">courts of appeal have affirmed that </w:t>
      </w:r>
      <w:r w:rsidR="00A84860" w:rsidRPr="00ED21CF">
        <w:rPr>
          <w:rFonts w:eastAsia="MS Gothic"/>
          <w:i/>
        </w:rPr>
        <w:t xml:space="preserve">Mann </w:t>
      </w:r>
      <w:r w:rsidRPr="00ED21CF">
        <w:rPr>
          <w:rFonts w:eastAsia="MS Gothic"/>
        </w:rPr>
        <w:t xml:space="preserve">employed the </w:t>
      </w:r>
      <w:r w:rsidR="00A84860" w:rsidRPr="00ED21CF">
        <w:rPr>
          <w:rFonts w:eastAsia="MS Gothic"/>
        </w:rPr>
        <w:t>reaso</w:t>
      </w:r>
      <w:r w:rsidRPr="00ED21CF">
        <w:rPr>
          <w:rFonts w:eastAsia="MS Gothic"/>
        </w:rPr>
        <w:t>nable suspicion standard</w:t>
      </w:r>
      <w:r w:rsidR="002A7304" w:rsidRPr="00ED21CF">
        <w:rPr>
          <w:rFonts w:eastAsia="MS Gothic"/>
        </w:rPr>
        <w:t xml:space="preserve">.  </w:t>
      </w:r>
      <w:r w:rsidR="00A84860" w:rsidRPr="00ED21CF">
        <w:rPr>
          <w:rFonts w:eastAsia="MS Gothic"/>
        </w:rPr>
        <w:t xml:space="preserve">Fourth, the logical </w:t>
      </w:r>
      <w:r w:rsidRPr="00ED21CF">
        <w:rPr>
          <w:rFonts w:eastAsia="MS Gothic"/>
        </w:rPr>
        <w:t xml:space="preserve">consequences </w:t>
      </w:r>
      <w:proofErr w:type="gramStart"/>
      <w:r w:rsidRPr="00ED21CF">
        <w:rPr>
          <w:rFonts w:eastAsia="MS Gothic"/>
        </w:rPr>
        <w:t>of a reasonable grounds</w:t>
      </w:r>
      <w:proofErr w:type="gramEnd"/>
      <w:r w:rsidRPr="00ED21CF">
        <w:rPr>
          <w:rFonts w:eastAsia="MS Gothic"/>
        </w:rPr>
        <w:t xml:space="preserve"> to believe standard make little sense in this context;</w:t>
      </w:r>
      <w:r w:rsidR="00A84860" w:rsidRPr="00ED21CF">
        <w:rPr>
          <w:rFonts w:eastAsia="MS Gothic"/>
        </w:rPr>
        <w:t xml:space="preserve"> if </w:t>
      </w:r>
      <w:r w:rsidR="00A84860" w:rsidRPr="00ED21CF">
        <w:rPr>
          <w:rFonts w:eastAsia="MS Gothic"/>
          <w:i/>
        </w:rPr>
        <w:t xml:space="preserve">Mann </w:t>
      </w:r>
      <w:r w:rsidRPr="00ED21CF">
        <w:rPr>
          <w:rFonts w:eastAsia="MS Gothic"/>
        </w:rPr>
        <w:t xml:space="preserve">required reasonable </w:t>
      </w:r>
      <w:r w:rsidR="00A84860" w:rsidRPr="00ED21CF">
        <w:rPr>
          <w:rFonts w:eastAsia="MS Gothic"/>
        </w:rPr>
        <w:t>gr</w:t>
      </w:r>
      <w:r w:rsidRPr="00ED21CF">
        <w:rPr>
          <w:rFonts w:eastAsia="MS Gothic"/>
        </w:rPr>
        <w:t>ounds to believe for a pat</w:t>
      </w:r>
      <w:r w:rsidR="0023063B" w:rsidRPr="00ED21CF">
        <w:rPr>
          <w:rFonts w:eastAsia="MS Gothic"/>
        </w:rPr>
        <w:noBreakHyphen/>
      </w:r>
      <w:proofErr w:type="spellStart"/>
      <w:r w:rsidRPr="00ED21CF">
        <w:rPr>
          <w:rFonts w:eastAsia="MS Gothic"/>
        </w:rPr>
        <w:t>down</w:t>
      </w:r>
      <w:proofErr w:type="spellEnd"/>
      <w:r w:rsidR="0030693D">
        <w:rPr>
          <w:rFonts w:eastAsia="MS Gothic"/>
        </w:rPr>
        <w:t xml:space="preserve"> search</w:t>
      </w:r>
      <w:r w:rsidRPr="00ED21CF">
        <w:rPr>
          <w:rFonts w:eastAsia="MS Gothic"/>
        </w:rPr>
        <w:t>, it would seem that all that</w:t>
      </w:r>
      <w:r w:rsidR="00A84860" w:rsidRPr="00ED21CF">
        <w:rPr>
          <w:rFonts w:eastAsia="MS Gothic"/>
        </w:rPr>
        <w:t xml:space="preserve"> </w:t>
      </w:r>
      <w:r w:rsidR="00A84860" w:rsidRPr="00ED21CF">
        <w:rPr>
          <w:rFonts w:eastAsia="MS Gothic"/>
          <w:i/>
        </w:rPr>
        <w:t xml:space="preserve">Mann </w:t>
      </w:r>
      <w:r w:rsidR="00A84860" w:rsidRPr="00ED21CF">
        <w:rPr>
          <w:rFonts w:eastAsia="MS Gothic"/>
        </w:rPr>
        <w:t xml:space="preserve">achieves is a power to </w:t>
      </w:r>
      <w:r w:rsidR="00A84860" w:rsidRPr="00ED21CF">
        <w:rPr>
          <w:rFonts w:eastAsia="MS Gothic"/>
          <w:i/>
        </w:rPr>
        <w:t xml:space="preserve">search </w:t>
      </w:r>
      <w:r w:rsidR="00A84860" w:rsidRPr="00ED21CF">
        <w:rPr>
          <w:rFonts w:eastAsia="MS Gothic"/>
        </w:rPr>
        <w:t xml:space="preserve">when there are already grounds to </w:t>
      </w:r>
      <w:r w:rsidR="00A84860" w:rsidRPr="00ED21CF">
        <w:rPr>
          <w:rFonts w:eastAsia="MS Gothic"/>
          <w:i/>
        </w:rPr>
        <w:t>arrest</w:t>
      </w:r>
      <w:r w:rsidR="002A7304" w:rsidRPr="00ED21CF">
        <w:rPr>
          <w:rFonts w:eastAsia="MS Gothic"/>
        </w:rPr>
        <w:t xml:space="preserve">.  </w:t>
      </w:r>
      <w:r w:rsidRPr="00ED21CF">
        <w:rPr>
          <w:rFonts w:eastAsia="MS Gothic"/>
        </w:rPr>
        <w:t xml:space="preserve">Fifth, the facts of this case </w:t>
      </w:r>
      <w:r w:rsidR="00A84860" w:rsidRPr="00ED21CF">
        <w:rPr>
          <w:rFonts w:eastAsia="MS Gothic"/>
        </w:rPr>
        <w:t>do not sup</w:t>
      </w:r>
      <w:r w:rsidRPr="00ED21CF">
        <w:rPr>
          <w:rFonts w:eastAsia="MS Gothic"/>
        </w:rPr>
        <w:t xml:space="preserve">port a finding that the officer had reasonable </w:t>
      </w:r>
      <w:r w:rsidR="00A84860" w:rsidRPr="00ED21CF">
        <w:rPr>
          <w:rFonts w:eastAsia="MS Gothic"/>
        </w:rPr>
        <w:t>grounds to</w:t>
      </w:r>
      <w:r w:rsidRPr="00ED21CF">
        <w:rPr>
          <w:rFonts w:eastAsia="MS Gothic"/>
        </w:rPr>
        <w:t xml:space="preserve"> believe that M was armed and dangerous.</w:t>
      </w:r>
    </w:p>
    <w:p w:rsidR="00A84860" w:rsidRPr="00ED21CF" w:rsidRDefault="007B1017" w:rsidP="0023063B">
      <w:pPr>
        <w:pStyle w:val="SCCNormalDoubleSpacing"/>
        <w:spacing w:before="480" w:after="480"/>
        <w:rPr>
          <w:rFonts w:eastAsia="MS Gothic"/>
        </w:rPr>
      </w:pPr>
      <w:r w:rsidRPr="00ED21CF">
        <w:rPr>
          <w:rFonts w:eastAsia="MS Gothic"/>
        </w:rPr>
        <w:tab/>
      </w:r>
      <w:r w:rsidR="00A84860" w:rsidRPr="00ED21CF">
        <w:rPr>
          <w:rFonts w:eastAsia="MS Gothic"/>
        </w:rPr>
        <w:t xml:space="preserve">These five reasons — the language of </w:t>
      </w:r>
      <w:r w:rsidR="00A84860" w:rsidRPr="00ED21CF">
        <w:rPr>
          <w:rFonts w:eastAsia="MS Gothic"/>
          <w:i/>
        </w:rPr>
        <w:t>Mann</w:t>
      </w:r>
      <w:r w:rsidR="00A84860" w:rsidRPr="00ED21CF">
        <w:rPr>
          <w:rFonts w:eastAsia="MS Gothic"/>
        </w:rPr>
        <w:t xml:space="preserve">, the history from which </w:t>
      </w:r>
      <w:r w:rsidR="00A84860" w:rsidRPr="00ED21CF">
        <w:rPr>
          <w:rFonts w:eastAsia="MS Gothic"/>
          <w:i/>
        </w:rPr>
        <w:t>Mann</w:t>
      </w:r>
      <w:r w:rsidR="00141030" w:rsidRPr="00ED21CF">
        <w:rPr>
          <w:rFonts w:eastAsia="MS Gothic"/>
        </w:rPr>
        <w:t xml:space="preserve"> emerged, the </w:t>
      </w:r>
      <w:r w:rsidR="00A84860" w:rsidRPr="00ED21CF">
        <w:rPr>
          <w:rFonts w:eastAsia="MS Gothic"/>
        </w:rPr>
        <w:t xml:space="preserve">consequences of interpreting </w:t>
      </w:r>
      <w:r w:rsidR="00A84860" w:rsidRPr="00ED21CF">
        <w:rPr>
          <w:rFonts w:eastAsia="MS Gothic"/>
          <w:i/>
        </w:rPr>
        <w:t>Mann</w:t>
      </w:r>
      <w:r w:rsidR="00A84860" w:rsidRPr="00ED21CF">
        <w:rPr>
          <w:rFonts w:eastAsia="MS Gothic"/>
        </w:rPr>
        <w:t xml:space="preserve"> as requiring reasonable grounds to believe, the jurisprudence that has interpreted </w:t>
      </w:r>
      <w:r w:rsidR="00A84860" w:rsidRPr="00ED21CF">
        <w:rPr>
          <w:rFonts w:eastAsia="MS Gothic"/>
          <w:i/>
        </w:rPr>
        <w:t>Mann</w:t>
      </w:r>
      <w:r w:rsidR="00A84860" w:rsidRPr="00ED21CF">
        <w:rPr>
          <w:rFonts w:eastAsia="MS Gothic"/>
        </w:rPr>
        <w:t xml:space="preserve">, and the facts of this case — all lead to the same unavoidable conclusion: </w:t>
      </w:r>
      <w:r w:rsidR="00A84860" w:rsidRPr="00ED21CF">
        <w:rPr>
          <w:rFonts w:eastAsia="MS Gothic"/>
          <w:i/>
        </w:rPr>
        <w:t>Mann</w:t>
      </w:r>
      <w:r w:rsidR="00A84860" w:rsidRPr="00ED21CF">
        <w:rPr>
          <w:rFonts w:eastAsia="MS Gothic"/>
        </w:rPr>
        <w:t xml:space="preserve"> recognized a protective search power predicated on reasonable suspicion. </w:t>
      </w:r>
    </w:p>
    <w:p w:rsidR="00A84860" w:rsidRPr="00ED21CF" w:rsidRDefault="00141030" w:rsidP="0023063B">
      <w:pPr>
        <w:pStyle w:val="SCCNormalDoubleSpacing"/>
        <w:spacing w:before="480" w:after="480"/>
        <w:rPr>
          <w:i/>
          <w:iCs/>
        </w:rPr>
      </w:pPr>
      <w:r w:rsidRPr="00ED21CF">
        <w:rPr>
          <w:rFonts w:eastAsia="MS Gothic"/>
        </w:rPr>
        <w:tab/>
        <w:t xml:space="preserve">This case </w:t>
      </w:r>
      <w:r w:rsidR="00A84860" w:rsidRPr="00ED21CF">
        <w:rPr>
          <w:rFonts w:eastAsia="MS Gothic"/>
        </w:rPr>
        <w:t>ought to</w:t>
      </w:r>
      <w:r w:rsidRPr="00ED21CF">
        <w:rPr>
          <w:rFonts w:eastAsia="MS Gothic"/>
        </w:rPr>
        <w:t xml:space="preserve"> have been </w:t>
      </w:r>
      <w:r w:rsidR="00A84860" w:rsidRPr="00ED21CF">
        <w:rPr>
          <w:rFonts w:eastAsia="MS Gothic"/>
        </w:rPr>
        <w:t xml:space="preserve">resolved by extending the logic of </w:t>
      </w:r>
      <w:r w:rsidR="00A84860" w:rsidRPr="00ED21CF">
        <w:rPr>
          <w:rFonts w:eastAsia="MS Gothic"/>
          <w:i/>
        </w:rPr>
        <w:t>Mann</w:t>
      </w:r>
      <w:r w:rsidR="002A7304" w:rsidRPr="00ED21CF">
        <w:rPr>
          <w:rFonts w:eastAsia="MS Gothic"/>
        </w:rPr>
        <w:t xml:space="preserve">.  </w:t>
      </w:r>
      <w:r w:rsidRPr="00ED21CF">
        <w:rPr>
          <w:rFonts w:eastAsia="MS Gothic"/>
        </w:rPr>
        <w:t>First, the officer</w:t>
      </w:r>
      <w:r w:rsidR="00A84860" w:rsidRPr="00ED21CF">
        <w:rPr>
          <w:rFonts w:eastAsia="MS Gothic"/>
        </w:rPr>
        <w:t>, while lawfully engaged in his duties, h</w:t>
      </w:r>
      <w:r w:rsidRPr="00ED21CF">
        <w:rPr>
          <w:rFonts w:eastAsia="MS Gothic"/>
        </w:rPr>
        <w:t>ad a reasonable suspicion that M</w:t>
      </w:r>
      <w:r w:rsidR="00A84860" w:rsidRPr="00ED21CF">
        <w:rPr>
          <w:rFonts w:eastAsia="MS Gothic"/>
        </w:rPr>
        <w:t xml:space="preserve"> was armed and dangerous</w:t>
      </w:r>
      <w:r w:rsidR="002A7304" w:rsidRPr="00ED21CF">
        <w:rPr>
          <w:rFonts w:eastAsia="MS Gothic"/>
        </w:rPr>
        <w:t xml:space="preserve">.  </w:t>
      </w:r>
      <w:r w:rsidR="00A84860" w:rsidRPr="00ED21CF">
        <w:rPr>
          <w:rFonts w:eastAsia="MS Gothic"/>
        </w:rPr>
        <w:t>Second, in response</w:t>
      </w:r>
      <w:r w:rsidRPr="00ED21CF">
        <w:rPr>
          <w:rFonts w:eastAsia="MS Gothic"/>
        </w:rPr>
        <w:t xml:space="preserve"> to that reasonable suspicion, the officer</w:t>
      </w:r>
      <w:r w:rsidR="00ED21CF" w:rsidRPr="00ED21CF">
        <w:rPr>
          <w:rFonts w:eastAsia="MS Gothic"/>
        </w:rPr>
        <w:t>’</w:t>
      </w:r>
      <w:r w:rsidRPr="00ED21CF">
        <w:rPr>
          <w:rFonts w:eastAsia="MS Gothic"/>
        </w:rPr>
        <w:t>s</w:t>
      </w:r>
      <w:r w:rsidR="00A84860" w:rsidRPr="00ED21CF">
        <w:rPr>
          <w:rFonts w:eastAsia="MS Gothic"/>
        </w:rPr>
        <w:t xml:space="preserve"> conduct — push</w:t>
      </w:r>
      <w:r w:rsidRPr="00ED21CF">
        <w:rPr>
          <w:rFonts w:eastAsia="MS Gothic"/>
        </w:rPr>
        <w:t>ing M</w:t>
      </w:r>
      <w:r w:rsidR="00ED21CF" w:rsidRPr="00ED21CF">
        <w:rPr>
          <w:rFonts w:eastAsia="MS Gothic"/>
        </w:rPr>
        <w:t>’</w:t>
      </w:r>
      <w:r w:rsidRPr="00ED21CF">
        <w:rPr>
          <w:rFonts w:eastAsia="MS Gothic"/>
        </w:rPr>
        <w:t>s</w:t>
      </w:r>
      <w:r w:rsidR="00A84860" w:rsidRPr="00ED21CF">
        <w:rPr>
          <w:rFonts w:eastAsia="MS Gothic"/>
        </w:rPr>
        <w:t xml:space="preserve"> door </w:t>
      </w:r>
      <w:r w:rsidRPr="00ED21CF">
        <w:rPr>
          <w:rFonts w:eastAsia="MS Gothic"/>
        </w:rPr>
        <w:t>open a few more inches — was no more intrusive of M</w:t>
      </w:r>
      <w:r w:rsidR="00ED21CF" w:rsidRPr="00ED21CF">
        <w:rPr>
          <w:rFonts w:eastAsia="MS Gothic"/>
        </w:rPr>
        <w:t>’</w:t>
      </w:r>
      <w:r w:rsidRPr="00ED21CF">
        <w:rPr>
          <w:rFonts w:eastAsia="MS Gothic"/>
        </w:rPr>
        <w:t xml:space="preserve">s privacy interests than was </w:t>
      </w:r>
      <w:r w:rsidR="00A84860" w:rsidRPr="00ED21CF">
        <w:rPr>
          <w:rFonts w:eastAsia="MS Gothic"/>
        </w:rPr>
        <w:t>reaso</w:t>
      </w:r>
      <w:r w:rsidRPr="00ED21CF">
        <w:rPr>
          <w:rFonts w:eastAsia="MS Gothic"/>
        </w:rPr>
        <w:t>nably necessary to address the threat</w:t>
      </w:r>
      <w:r w:rsidR="002A7304" w:rsidRPr="00ED21CF">
        <w:rPr>
          <w:rFonts w:eastAsia="MS Gothic"/>
        </w:rPr>
        <w:t xml:space="preserve">.  </w:t>
      </w:r>
      <w:r w:rsidR="00A84860" w:rsidRPr="00ED21CF">
        <w:rPr>
          <w:rFonts w:eastAsia="MS Gothic"/>
        </w:rPr>
        <w:t>Accordingly,</w:t>
      </w:r>
      <w:r w:rsidRPr="00ED21CF">
        <w:rPr>
          <w:rFonts w:eastAsia="MS Gothic"/>
        </w:rPr>
        <w:t xml:space="preserve"> t</w:t>
      </w:r>
      <w:r w:rsidR="0023063B" w:rsidRPr="00ED21CF">
        <w:rPr>
          <w:rFonts w:eastAsia="MS Gothic"/>
        </w:rPr>
        <w:t>he search was reasonable for s. </w:t>
      </w:r>
      <w:r w:rsidRPr="00ED21CF">
        <w:rPr>
          <w:rFonts w:eastAsia="MS Gothic"/>
        </w:rPr>
        <w:t>8</w:t>
      </w:r>
      <w:r w:rsidR="00A84860" w:rsidRPr="00ED21CF">
        <w:rPr>
          <w:rFonts w:eastAsia="MS Gothic"/>
        </w:rPr>
        <w:t xml:space="preserve"> purposes.</w:t>
      </w:r>
    </w:p>
    <w:p w:rsidR="00A149DF" w:rsidRPr="00ED21CF" w:rsidRDefault="00A84860" w:rsidP="0023063B">
      <w:pPr>
        <w:pStyle w:val="SCCNormalDoubleSpacing"/>
        <w:spacing w:before="480" w:after="480"/>
      </w:pPr>
      <w:r w:rsidRPr="00ED21CF">
        <w:rPr>
          <w:rFonts w:eastAsia="MS Gothic"/>
          <w:szCs w:val="24"/>
        </w:rPr>
        <w:lastRenderedPageBreak/>
        <w:tab/>
      </w:r>
      <w:r w:rsidR="00141030" w:rsidRPr="00ED21CF">
        <w:rPr>
          <w:rFonts w:eastAsia="MS Gothic"/>
          <w:szCs w:val="24"/>
        </w:rPr>
        <w:t>T</w:t>
      </w:r>
      <w:r w:rsidR="002042FC">
        <w:rPr>
          <w:rFonts w:eastAsia="MS Gothic"/>
          <w:szCs w:val="24"/>
        </w:rPr>
        <w:t>he consequence</w:t>
      </w:r>
      <w:r w:rsidRPr="00ED21CF">
        <w:rPr>
          <w:rFonts w:eastAsia="MS Gothic"/>
          <w:szCs w:val="24"/>
        </w:rPr>
        <w:t xml:space="preserve"> of the majority</w:t>
      </w:r>
      <w:r w:rsidR="00ED21CF" w:rsidRPr="00ED21CF">
        <w:rPr>
          <w:rFonts w:eastAsia="MS Gothic"/>
          <w:szCs w:val="24"/>
        </w:rPr>
        <w:t>’</w:t>
      </w:r>
      <w:r w:rsidRPr="00ED21CF">
        <w:rPr>
          <w:rFonts w:eastAsia="MS Gothic"/>
          <w:szCs w:val="24"/>
        </w:rPr>
        <w:t xml:space="preserve">s </w:t>
      </w:r>
      <w:r w:rsidR="00141030" w:rsidRPr="00ED21CF">
        <w:rPr>
          <w:rFonts w:eastAsia="MS Gothic"/>
          <w:szCs w:val="24"/>
        </w:rPr>
        <w:t>decision is to deprive officers</w:t>
      </w:r>
      <w:r w:rsidRPr="00ED21CF">
        <w:rPr>
          <w:rFonts w:eastAsia="MS Gothic"/>
          <w:szCs w:val="24"/>
        </w:rPr>
        <w:t xml:space="preserve"> of </w:t>
      </w:r>
      <w:r w:rsidR="00141030" w:rsidRPr="00ED21CF">
        <w:t xml:space="preserve">the ability to conduct </w:t>
      </w:r>
      <w:r w:rsidR="00141030" w:rsidRPr="00ED21CF">
        <w:rPr>
          <w:rFonts w:eastAsia="MS Gothic"/>
        </w:rPr>
        <w:t>protective</w:t>
      </w:r>
      <w:r w:rsidRPr="00ED21CF">
        <w:t xml:space="preserve"> searches except in circumstances where they already have grounds to arrest</w:t>
      </w:r>
      <w:r w:rsidR="002A7304" w:rsidRPr="00ED21CF">
        <w:t xml:space="preserve">.  </w:t>
      </w:r>
      <w:r w:rsidRPr="00ED21CF">
        <w:t xml:space="preserve">As of today, officers are empowered to detain individuals they </w:t>
      </w:r>
      <w:r w:rsidRPr="00ED21CF">
        <w:rPr>
          <w:i/>
        </w:rPr>
        <w:t xml:space="preserve">suspect </w:t>
      </w:r>
      <w:r w:rsidRPr="00ED21CF">
        <w:t>are armed and dangerous for investigatory purposes, but they have no power to conduct pat</w:t>
      </w:r>
      <w:r w:rsidR="0023063B" w:rsidRPr="00ED21CF">
        <w:noBreakHyphen/>
      </w:r>
      <w:proofErr w:type="spellStart"/>
      <w:r w:rsidRPr="00ED21CF">
        <w:t>down</w:t>
      </w:r>
      <w:proofErr w:type="spellEnd"/>
      <w:r w:rsidRPr="00ED21CF">
        <w:t xml:space="preserve"> searches to ensure their safety or the safety of the public as they</w:t>
      </w:r>
      <w:r w:rsidR="00141030" w:rsidRPr="00ED21CF">
        <w:t xml:space="preserve"> conduct these investigations</w:t>
      </w:r>
      <w:r w:rsidR="002A7304" w:rsidRPr="00ED21CF">
        <w:t xml:space="preserve">.  </w:t>
      </w:r>
      <w:r w:rsidR="00141030" w:rsidRPr="00ED21CF">
        <w:t>However,</w:t>
      </w:r>
      <w:r w:rsidRPr="00ED21CF">
        <w:t xml:space="preserve"> a police officer in the field, faced with a realistic risk of imminent harm, should be able to act immediately and take reasonable steps, in the form of a minimally intrusive safety search, to alleviate the risk.   </w:t>
      </w:r>
    </w:p>
    <w:p w:rsidR="007E1C47" w:rsidRPr="00ED21CF" w:rsidRDefault="002E6705" w:rsidP="0023063B">
      <w:pPr>
        <w:pStyle w:val="SCCNormalDoubleSpacing"/>
        <w:keepNext/>
        <w:spacing w:after="720" w:line="240" w:lineRule="auto"/>
        <w:rPr>
          <w:b/>
        </w:rPr>
      </w:pPr>
      <w:r w:rsidRPr="00ED21CF">
        <w:rPr>
          <w:b/>
        </w:rPr>
        <w:t>Cases Cited</w:t>
      </w:r>
    </w:p>
    <w:p w:rsidR="009B1566" w:rsidRPr="00ED21CF" w:rsidRDefault="009B1566" w:rsidP="0023063B">
      <w:pPr>
        <w:pStyle w:val="SCCNormalDoubleSpacing"/>
        <w:keepNext/>
        <w:spacing w:after="720" w:line="240" w:lineRule="auto"/>
      </w:pPr>
      <w:proofErr w:type="gramStart"/>
      <w:r w:rsidRPr="00ED21CF">
        <w:t>By LeBel</w:t>
      </w:r>
      <w:r w:rsidR="0023063B" w:rsidRPr="00ED21CF">
        <w:t> </w:t>
      </w:r>
      <w:r w:rsidRPr="00ED21CF">
        <w:t>J.</w:t>
      </w:r>
      <w:proofErr w:type="gramEnd"/>
    </w:p>
    <w:p w:rsidR="004E2C26" w:rsidRPr="00ED21CF" w:rsidRDefault="002E6705" w:rsidP="0023063B">
      <w:pPr>
        <w:pStyle w:val="SCCNormalDoubleSpacing"/>
        <w:spacing w:before="480" w:after="480"/>
      </w:pPr>
      <w:r w:rsidRPr="00ED21CF">
        <w:tab/>
      </w:r>
      <w:r w:rsidR="00E143B1" w:rsidRPr="00ED21CF">
        <w:rPr>
          <w:b/>
        </w:rPr>
        <w:t>Applied:</w:t>
      </w:r>
      <w:r w:rsidR="00E143B1" w:rsidRPr="00ED21CF">
        <w:t xml:space="preserve"> </w:t>
      </w:r>
      <w:r w:rsidR="00FE3032">
        <w:t xml:space="preserve"> </w:t>
      </w:r>
      <w:r w:rsidR="00E143B1" w:rsidRPr="00ED21CF">
        <w:rPr>
          <w:i/>
          <w:szCs w:val="24"/>
        </w:rPr>
        <w:t>R. v. Mann</w:t>
      </w:r>
      <w:r w:rsidR="00E143B1" w:rsidRPr="00ED21CF">
        <w:rPr>
          <w:szCs w:val="24"/>
        </w:rPr>
        <w:t xml:space="preserve">, 2004 SCC 52, [2004] 3 S.C.R. 59; </w:t>
      </w:r>
      <w:r w:rsidR="00E143B1" w:rsidRPr="00ED21CF">
        <w:rPr>
          <w:i/>
        </w:rPr>
        <w:t>R. v. Evans</w:t>
      </w:r>
      <w:r w:rsidR="00E143B1" w:rsidRPr="00ED21CF">
        <w:t xml:space="preserve">, [1996] 1 S.C.R. 8; </w:t>
      </w:r>
      <w:r w:rsidR="00E143B1" w:rsidRPr="00ED21CF">
        <w:rPr>
          <w:i/>
          <w:szCs w:val="24"/>
        </w:rPr>
        <w:t>R. v. Collins</w:t>
      </w:r>
      <w:r w:rsidR="00E143B1" w:rsidRPr="00ED21CF">
        <w:rPr>
          <w:szCs w:val="24"/>
        </w:rPr>
        <w:t xml:space="preserve">, [1987] 1 S.C.R. 265; </w:t>
      </w:r>
      <w:r w:rsidR="00E143B1" w:rsidRPr="00ED21CF">
        <w:rPr>
          <w:i/>
        </w:rPr>
        <w:t xml:space="preserve">R. v. </w:t>
      </w:r>
      <w:proofErr w:type="spellStart"/>
      <w:r w:rsidR="00E143B1" w:rsidRPr="00ED21CF">
        <w:rPr>
          <w:i/>
        </w:rPr>
        <w:t>Waterfield</w:t>
      </w:r>
      <w:proofErr w:type="spellEnd"/>
      <w:r w:rsidR="00E143B1" w:rsidRPr="00ED21CF">
        <w:t xml:space="preserve">, [1963] 3 All E.R. 659; </w:t>
      </w:r>
      <w:proofErr w:type="spellStart"/>
      <w:r w:rsidR="00E143B1" w:rsidRPr="00ED21CF">
        <w:rPr>
          <w:i/>
        </w:rPr>
        <w:t>Dedman</w:t>
      </w:r>
      <w:proofErr w:type="spellEnd"/>
      <w:r w:rsidR="00E143B1" w:rsidRPr="00ED21CF">
        <w:rPr>
          <w:i/>
        </w:rPr>
        <w:t xml:space="preserve"> v. The Queen</w:t>
      </w:r>
      <w:r w:rsidR="00E143B1" w:rsidRPr="00ED21CF">
        <w:t xml:space="preserve">, [1985] 2 S.C.R. 2; </w:t>
      </w:r>
      <w:r w:rsidR="00E143B1" w:rsidRPr="00ED21CF">
        <w:rPr>
          <w:i/>
          <w:szCs w:val="24"/>
        </w:rPr>
        <w:t>R. v. Clayton</w:t>
      </w:r>
      <w:r w:rsidR="00E143B1" w:rsidRPr="00ED21CF">
        <w:rPr>
          <w:szCs w:val="24"/>
        </w:rPr>
        <w:t>, 2007 SCC 32, [2007] 2 S.C.R. 725</w:t>
      </w:r>
      <w:r w:rsidR="00E143B1" w:rsidRPr="00ED21CF">
        <w:t xml:space="preserve">; </w:t>
      </w:r>
      <w:r w:rsidR="00E143B1" w:rsidRPr="00ED21CF">
        <w:rPr>
          <w:i/>
        </w:rPr>
        <w:t>R. v. Forster</w:t>
      </w:r>
      <w:r w:rsidR="00E143B1" w:rsidRPr="00ED21CF">
        <w:t xml:space="preserve">, [1992] 1 S.C.R. 339; </w:t>
      </w:r>
      <w:r w:rsidR="00E143B1" w:rsidRPr="00ED21CF">
        <w:rPr>
          <w:b/>
        </w:rPr>
        <w:t>r</w:t>
      </w:r>
      <w:r w:rsidRPr="00ED21CF">
        <w:rPr>
          <w:b/>
        </w:rPr>
        <w:t>eferred to:</w:t>
      </w:r>
      <w:r w:rsidR="00741134" w:rsidRPr="00FE3032">
        <w:t xml:space="preserve"> </w:t>
      </w:r>
      <w:r w:rsidR="00BD0E9E" w:rsidRPr="00ED21CF">
        <w:t xml:space="preserve"> </w:t>
      </w:r>
      <w:r w:rsidR="00C632D5" w:rsidRPr="00ED21CF">
        <w:rPr>
          <w:i/>
        </w:rPr>
        <w:t>R. v. A.M.</w:t>
      </w:r>
      <w:r w:rsidR="00C632D5" w:rsidRPr="00ED21CF">
        <w:t xml:space="preserve">, </w:t>
      </w:r>
      <w:r w:rsidR="0079653E" w:rsidRPr="00ED21CF">
        <w:t xml:space="preserve">2008 SCC 19, </w:t>
      </w:r>
      <w:r w:rsidR="00C632D5" w:rsidRPr="00ED21CF">
        <w:rPr>
          <w:lang w:val="en-GB"/>
        </w:rPr>
        <w:t xml:space="preserve">[2008] 1 S.C.R. 569; </w:t>
      </w:r>
      <w:r w:rsidR="0079653E" w:rsidRPr="00ED21CF">
        <w:rPr>
          <w:i/>
        </w:rPr>
        <w:t>R. v. Godoy</w:t>
      </w:r>
      <w:r w:rsidR="0079653E" w:rsidRPr="00ED21CF">
        <w:t xml:space="preserve">, [1999] 1 S.C.R. 311; </w:t>
      </w:r>
      <w:r w:rsidR="0079653E" w:rsidRPr="00ED21CF">
        <w:rPr>
          <w:i/>
        </w:rPr>
        <w:t>R. v. Feeney</w:t>
      </w:r>
      <w:r w:rsidR="0079653E" w:rsidRPr="00ED21CF">
        <w:t xml:space="preserve">, [1997] 2 S.C.R. 13; </w:t>
      </w:r>
      <w:r w:rsidR="0079653E" w:rsidRPr="00ED21CF">
        <w:rPr>
          <w:i/>
        </w:rPr>
        <w:t xml:space="preserve">R. v. </w:t>
      </w:r>
      <w:proofErr w:type="spellStart"/>
      <w:r w:rsidR="0079653E" w:rsidRPr="00ED21CF">
        <w:rPr>
          <w:i/>
        </w:rPr>
        <w:t>Silveira</w:t>
      </w:r>
      <w:proofErr w:type="spellEnd"/>
      <w:r w:rsidR="0079653E" w:rsidRPr="00ED21CF">
        <w:t xml:space="preserve">, [1995] 2 S.C.R. 297; </w:t>
      </w:r>
      <w:r w:rsidR="002F0169" w:rsidRPr="00ED21CF">
        <w:rPr>
          <w:i/>
        </w:rPr>
        <w:t xml:space="preserve">R. v. </w:t>
      </w:r>
      <w:proofErr w:type="spellStart"/>
      <w:r w:rsidR="002F0169" w:rsidRPr="00ED21CF">
        <w:rPr>
          <w:i/>
        </w:rPr>
        <w:t>Stenning</w:t>
      </w:r>
      <w:proofErr w:type="spellEnd"/>
      <w:r w:rsidR="002F0169" w:rsidRPr="00ED21CF">
        <w:t xml:space="preserve">, [1970] S.C.R. 631; </w:t>
      </w:r>
      <w:r w:rsidR="002F0169" w:rsidRPr="00ED21CF">
        <w:rPr>
          <w:i/>
        </w:rPr>
        <w:t>Knowlton v. The Queen</w:t>
      </w:r>
      <w:r w:rsidR="002F0169" w:rsidRPr="00ED21CF">
        <w:t>, [1974] S.C.R. 443</w:t>
      </w:r>
      <w:r w:rsidR="002F0169" w:rsidRPr="00ED21CF">
        <w:rPr>
          <w:szCs w:val="24"/>
        </w:rPr>
        <w:t xml:space="preserve">; </w:t>
      </w:r>
      <w:r w:rsidR="00BF3E48" w:rsidRPr="00ED21CF">
        <w:rPr>
          <w:i/>
        </w:rPr>
        <w:t>Wiretap Reference</w:t>
      </w:r>
      <w:r w:rsidR="00BF3E48" w:rsidRPr="00ED21CF">
        <w:t>, [1984] 2 S.C.R. 697;</w:t>
      </w:r>
      <w:r w:rsidR="002C012D" w:rsidRPr="00ED21CF">
        <w:rPr>
          <w:i/>
        </w:rPr>
        <w:t xml:space="preserve"> R. v. </w:t>
      </w:r>
      <w:proofErr w:type="spellStart"/>
      <w:r w:rsidR="002C012D" w:rsidRPr="00ED21CF">
        <w:rPr>
          <w:i/>
        </w:rPr>
        <w:t>Tse</w:t>
      </w:r>
      <w:proofErr w:type="spellEnd"/>
      <w:r w:rsidR="002C012D" w:rsidRPr="00ED21CF">
        <w:t>,</w:t>
      </w:r>
      <w:r w:rsidR="002C012D" w:rsidRPr="00ED21CF">
        <w:rPr>
          <w:i/>
        </w:rPr>
        <w:t xml:space="preserve"> </w:t>
      </w:r>
      <w:r w:rsidR="002C012D" w:rsidRPr="00ED21CF">
        <w:t>2012 SCC 16,</w:t>
      </w:r>
      <w:r w:rsidR="002C012D" w:rsidRPr="00ED21CF">
        <w:rPr>
          <w:i/>
        </w:rPr>
        <w:t xml:space="preserve"> </w:t>
      </w:r>
      <w:r w:rsidR="002C012D" w:rsidRPr="00ED21CF">
        <w:t>[2012] 1 S.C.R. 531;</w:t>
      </w:r>
      <w:r w:rsidR="00B70C2D" w:rsidRPr="00ED21CF">
        <w:t xml:space="preserve"> </w:t>
      </w:r>
      <w:proofErr w:type="spellStart"/>
      <w:r w:rsidR="00B70C2D" w:rsidRPr="00ED21CF">
        <w:rPr>
          <w:i/>
        </w:rPr>
        <w:t>Lévis</w:t>
      </w:r>
      <w:proofErr w:type="spellEnd"/>
      <w:r w:rsidR="00B70C2D" w:rsidRPr="00ED21CF">
        <w:rPr>
          <w:i/>
        </w:rPr>
        <w:t xml:space="preserve"> (City) v. </w:t>
      </w:r>
      <w:proofErr w:type="spellStart"/>
      <w:r w:rsidR="00B70C2D" w:rsidRPr="00ED21CF">
        <w:rPr>
          <w:i/>
        </w:rPr>
        <w:t>Tétreault</w:t>
      </w:r>
      <w:proofErr w:type="spellEnd"/>
      <w:r w:rsidR="00B70C2D" w:rsidRPr="00ED21CF">
        <w:t xml:space="preserve">, 2006 SCC 12, [2006] 1 S.C.R. 420; </w:t>
      </w:r>
      <w:proofErr w:type="gramStart"/>
      <w:r w:rsidR="001C39F8" w:rsidRPr="00ED21CF">
        <w:rPr>
          <w:i/>
        </w:rPr>
        <w:t>The</w:t>
      </w:r>
      <w:proofErr w:type="gramEnd"/>
      <w:r w:rsidR="001C39F8" w:rsidRPr="00ED21CF">
        <w:rPr>
          <w:i/>
        </w:rPr>
        <w:t xml:space="preserve"> Queen</w:t>
      </w:r>
      <w:r w:rsidR="00B70C2D" w:rsidRPr="00ED21CF">
        <w:rPr>
          <w:i/>
        </w:rPr>
        <w:t xml:space="preserve"> v. Sault Ste. Marie</w:t>
      </w:r>
      <w:r w:rsidR="001C39F8" w:rsidRPr="00ED21CF">
        <w:t>, [</w:t>
      </w:r>
      <w:r w:rsidR="00B70C2D" w:rsidRPr="00ED21CF">
        <w:t>1978</w:t>
      </w:r>
      <w:r w:rsidR="001C39F8" w:rsidRPr="00ED21CF">
        <w:t>] 2 S.C.R. 1299</w:t>
      </w:r>
      <w:r w:rsidR="00B70C2D" w:rsidRPr="00ED21CF">
        <w:t xml:space="preserve">; </w:t>
      </w:r>
      <w:r w:rsidR="00B70C2D" w:rsidRPr="00ED21CF">
        <w:rPr>
          <w:i/>
        </w:rPr>
        <w:t>Beaver</w:t>
      </w:r>
      <w:r w:rsidR="001C39F8" w:rsidRPr="00ED21CF">
        <w:rPr>
          <w:i/>
        </w:rPr>
        <w:t xml:space="preserve"> v. The Queen</w:t>
      </w:r>
      <w:r w:rsidR="001C39F8" w:rsidRPr="00ED21CF">
        <w:t>, [</w:t>
      </w:r>
      <w:r w:rsidR="00B70C2D" w:rsidRPr="00ED21CF">
        <w:t>1957</w:t>
      </w:r>
      <w:r w:rsidR="001C39F8" w:rsidRPr="00ED21CF">
        <w:t>] S.C.R. 531.</w:t>
      </w:r>
    </w:p>
    <w:p w:rsidR="009B1566" w:rsidRPr="00ED21CF" w:rsidRDefault="009B1566" w:rsidP="0023063B">
      <w:pPr>
        <w:pStyle w:val="SCCNormalDoubleSpacing"/>
        <w:keepNext/>
        <w:spacing w:after="720" w:line="240" w:lineRule="auto"/>
      </w:pPr>
      <w:proofErr w:type="gramStart"/>
      <w:r w:rsidRPr="00ED21CF">
        <w:lastRenderedPageBreak/>
        <w:t xml:space="preserve">By </w:t>
      </w:r>
      <w:proofErr w:type="spellStart"/>
      <w:r w:rsidRPr="00ED21CF">
        <w:t>Moldaver</w:t>
      </w:r>
      <w:proofErr w:type="spellEnd"/>
      <w:r w:rsidRPr="00ED21CF">
        <w:t xml:space="preserve"> and </w:t>
      </w:r>
      <w:r w:rsidR="0023063B" w:rsidRPr="00ED21CF">
        <w:t>Wagner </w:t>
      </w:r>
      <w:r w:rsidRPr="00ED21CF">
        <w:t>JJ.</w:t>
      </w:r>
      <w:proofErr w:type="gramEnd"/>
    </w:p>
    <w:p w:rsidR="00141182" w:rsidRPr="00ED21CF" w:rsidRDefault="009B1566" w:rsidP="0023063B">
      <w:pPr>
        <w:pStyle w:val="SCCNormalDoubleSpacing"/>
        <w:spacing w:before="480" w:after="480"/>
      </w:pPr>
      <w:r w:rsidRPr="00ED21CF">
        <w:tab/>
      </w:r>
      <w:r w:rsidR="00E143B1" w:rsidRPr="00ED21CF">
        <w:rPr>
          <w:b/>
        </w:rPr>
        <w:t>Applied:</w:t>
      </w:r>
      <w:r w:rsidR="00E143B1" w:rsidRPr="00ED21CF">
        <w:t xml:space="preserve"> </w:t>
      </w:r>
      <w:r w:rsidR="0023063B" w:rsidRPr="00ED21CF">
        <w:t xml:space="preserve"> </w:t>
      </w:r>
      <w:r w:rsidR="00E143B1" w:rsidRPr="00ED21CF">
        <w:rPr>
          <w:i/>
          <w:szCs w:val="24"/>
        </w:rPr>
        <w:t>R. v. Mann</w:t>
      </w:r>
      <w:r w:rsidR="00E143B1" w:rsidRPr="00ED21CF">
        <w:rPr>
          <w:szCs w:val="24"/>
        </w:rPr>
        <w:t>, 2004 SCC 52, [2004] 3 S.C.R. 59</w:t>
      </w:r>
      <w:r w:rsidR="00E143B1" w:rsidRPr="00ED21CF">
        <w:t xml:space="preserve">; </w:t>
      </w:r>
      <w:r w:rsidR="00E143B1" w:rsidRPr="00ED21CF">
        <w:rPr>
          <w:b/>
        </w:rPr>
        <w:t>r</w:t>
      </w:r>
      <w:r w:rsidRPr="00ED21CF">
        <w:rPr>
          <w:b/>
        </w:rPr>
        <w:t>eferred to:</w:t>
      </w:r>
      <w:r w:rsidRPr="00FE3032">
        <w:t xml:space="preserve"> </w:t>
      </w:r>
      <w:r w:rsidRPr="00ED21CF">
        <w:t xml:space="preserve"> </w:t>
      </w:r>
      <w:r w:rsidR="005F46F4" w:rsidRPr="00ED21CF">
        <w:rPr>
          <w:i/>
        </w:rPr>
        <w:t>Baron v. Canada</w:t>
      </w:r>
      <w:r w:rsidR="005F46F4" w:rsidRPr="00ED21CF">
        <w:t>, [1993] 1 S.C.R. 4</w:t>
      </w:r>
      <w:r w:rsidR="00FE3032">
        <w:t>1</w:t>
      </w:r>
      <w:r w:rsidR="005F46F4" w:rsidRPr="00ED21CF">
        <w:t>6;</w:t>
      </w:r>
      <w:r w:rsidR="00193434" w:rsidRPr="00ED21CF">
        <w:t xml:space="preserve"> </w:t>
      </w:r>
      <w:r w:rsidR="00193434" w:rsidRPr="00ED21CF">
        <w:rPr>
          <w:i/>
        </w:rPr>
        <w:t>R. v. MacKenzie</w:t>
      </w:r>
      <w:r w:rsidR="00193434" w:rsidRPr="00ED21CF">
        <w:t>, 2013 SCC 50</w:t>
      </w:r>
      <w:r w:rsidR="00FE3032">
        <w:t>, [2013] 3 S.C.R. 250</w:t>
      </w:r>
      <w:r w:rsidR="004D738C" w:rsidRPr="00ED21CF">
        <w:t xml:space="preserve">; </w:t>
      </w:r>
      <w:r w:rsidR="004D738C" w:rsidRPr="00ED21CF">
        <w:rPr>
          <w:i/>
        </w:rPr>
        <w:t xml:space="preserve">R. v. </w:t>
      </w:r>
      <w:proofErr w:type="spellStart"/>
      <w:r w:rsidR="004D738C" w:rsidRPr="00ED21CF">
        <w:rPr>
          <w:i/>
        </w:rPr>
        <w:t>Chehil</w:t>
      </w:r>
      <w:proofErr w:type="spellEnd"/>
      <w:r w:rsidR="004D738C" w:rsidRPr="00ED21CF">
        <w:t>, 2013 SCC 49</w:t>
      </w:r>
      <w:r w:rsidR="00FE3032">
        <w:t>, [2013] 3 S.C.R. 220</w:t>
      </w:r>
      <w:r w:rsidR="00193434" w:rsidRPr="00ED21CF">
        <w:t>;</w:t>
      </w:r>
      <w:r w:rsidR="00F1163B" w:rsidRPr="00ED21CF">
        <w:t xml:space="preserve"> </w:t>
      </w:r>
      <w:r w:rsidR="00F1163B" w:rsidRPr="00ED21CF">
        <w:rPr>
          <w:i/>
        </w:rPr>
        <w:t xml:space="preserve">Hunter v. </w:t>
      </w:r>
      <w:proofErr w:type="spellStart"/>
      <w:r w:rsidR="00F1163B" w:rsidRPr="00ED21CF">
        <w:rPr>
          <w:i/>
        </w:rPr>
        <w:t>Southam</w:t>
      </w:r>
      <w:proofErr w:type="spellEnd"/>
      <w:r w:rsidR="00F1163B" w:rsidRPr="00ED21CF">
        <w:rPr>
          <w:i/>
        </w:rPr>
        <w:t xml:space="preserve"> Inc.</w:t>
      </w:r>
      <w:r w:rsidR="00F1163B" w:rsidRPr="00ED21CF">
        <w:t>, [1984] 2 S.C.R. 145</w:t>
      </w:r>
      <w:r w:rsidR="0000589E" w:rsidRPr="00ED21CF">
        <w:rPr>
          <w:szCs w:val="24"/>
        </w:rPr>
        <w:t xml:space="preserve">; </w:t>
      </w:r>
      <w:r w:rsidR="0000589E" w:rsidRPr="00ED21CF">
        <w:rPr>
          <w:i/>
        </w:rPr>
        <w:t>R. v. Kang</w:t>
      </w:r>
      <w:r w:rsidR="0023063B" w:rsidRPr="00ED21CF">
        <w:rPr>
          <w:i/>
        </w:rPr>
        <w:noBreakHyphen/>
      </w:r>
      <w:proofErr w:type="spellStart"/>
      <w:r w:rsidR="0000589E" w:rsidRPr="00ED21CF">
        <w:rPr>
          <w:i/>
        </w:rPr>
        <w:t>Brown</w:t>
      </w:r>
      <w:proofErr w:type="spellEnd"/>
      <w:r w:rsidR="0000589E" w:rsidRPr="00ED21CF">
        <w:t xml:space="preserve">, 2008 SCC 18, [2008] 1 S.C.R. 456; </w:t>
      </w:r>
      <w:r w:rsidR="0000589E" w:rsidRPr="00ED21CF">
        <w:rPr>
          <w:i/>
        </w:rPr>
        <w:t>R. v. A.M.</w:t>
      </w:r>
      <w:r w:rsidR="0000589E" w:rsidRPr="00ED21CF">
        <w:t xml:space="preserve">, 2008 SCC 19, </w:t>
      </w:r>
      <w:r w:rsidR="0000589E" w:rsidRPr="00ED21CF">
        <w:rPr>
          <w:lang w:val="en-GB"/>
        </w:rPr>
        <w:t>[2008] 1 S.C.R. 569</w:t>
      </w:r>
      <w:r w:rsidR="00F1163B" w:rsidRPr="00ED21CF">
        <w:t>;</w:t>
      </w:r>
      <w:r w:rsidR="0000589E" w:rsidRPr="00ED21CF">
        <w:t xml:space="preserve"> </w:t>
      </w:r>
      <w:r w:rsidR="006339ED" w:rsidRPr="00ED21CF">
        <w:rPr>
          <w:i/>
        </w:rPr>
        <w:t>Terry v. Ohio</w:t>
      </w:r>
      <w:r w:rsidR="006339ED" w:rsidRPr="00ED21CF">
        <w:t>, 392 U.S. 1 (1968)</w:t>
      </w:r>
      <w:r w:rsidR="00F74486" w:rsidRPr="00ED21CF">
        <w:t xml:space="preserve">; </w:t>
      </w:r>
      <w:r w:rsidR="00F74486" w:rsidRPr="00ED21CF">
        <w:rPr>
          <w:i/>
        </w:rPr>
        <w:t>Arizona v. Johnson</w:t>
      </w:r>
      <w:r w:rsidR="00F74486" w:rsidRPr="00ED21CF">
        <w:t xml:space="preserve">, </w:t>
      </w:r>
      <w:r w:rsidR="00C11AB1" w:rsidRPr="00ED21CF">
        <w:t>129 S. Ct. 781</w:t>
      </w:r>
      <w:r w:rsidR="00F74486" w:rsidRPr="00ED21CF">
        <w:t xml:space="preserve"> (2009)</w:t>
      </w:r>
      <w:r w:rsidR="00E162EE" w:rsidRPr="00ED21CF">
        <w:rPr>
          <w:szCs w:val="24"/>
        </w:rPr>
        <w:t xml:space="preserve">; </w:t>
      </w:r>
      <w:r w:rsidR="00E162EE" w:rsidRPr="00ED21CF">
        <w:rPr>
          <w:i/>
          <w:szCs w:val="24"/>
        </w:rPr>
        <w:t>R. v. Clayton</w:t>
      </w:r>
      <w:r w:rsidR="00E162EE" w:rsidRPr="00ED21CF">
        <w:rPr>
          <w:szCs w:val="24"/>
        </w:rPr>
        <w:t>, 2007 SCC 32, [2007] 2 S.C.R. 725</w:t>
      </w:r>
      <w:r w:rsidR="00051CD3" w:rsidRPr="00ED21CF">
        <w:t xml:space="preserve">; </w:t>
      </w:r>
      <w:r w:rsidR="00051CD3" w:rsidRPr="00ED21CF">
        <w:rPr>
          <w:i/>
        </w:rPr>
        <w:t>R. v.</w:t>
      </w:r>
      <w:r w:rsidR="00051CD3" w:rsidRPr="00ED21CF">
        <w:t xml:space="preserve"> </w:t>
      </w:r>
      <w:r w:rsidR="00051CD3" w:rsidRPr="00ED21CF">
        <w:rPr>
          <w:i/>
        </w:rPr>
        <w:t>Aucoin</w:t>
      </w:r>
      <w:r w:rsidR="00051CD3" w:rsidRPr="00ED21CF">
        <w:t xml:space="preserve">, 2012 SCC 66, [2012] 3 S.C.R. 408; </w:t>
      </w:r>
      <w:r w:rsidR="00141182" w:rsidRPr="00ED21CF">
        <w:rPr>
          <w:i/>
        </w:rPr>
        <w:t>R. v. Crocker</w:t>
      </w:r>
      <w:r w:rsidR="00141182" w:rsidRPr="00ED21CF">
        <w:t xml:space="preserve">, 2009 BCCA 388, 275 B.C.A.C. 190, leave to appeal refused, [2010] 1 S.C.R. viii; </w:t>
      </w:r>
      <w:r w:rsidR="00141182" w:rsidRPr="00ED21CF">
        <w:rPr>
          <w:i/>
        </w:rPr>
        <w:t>R. v. Atkins</w:t>
      </w:r>
      <w:r w:rsidR="00141182" w:rsidRPr="00ED21CF">
        <w:t xml:space="preserve">, 2013 ONCA 586, 310 O.A.C. 397; </w:t>
      </w:r>
      <w:r w:rsidR="00C13BCC" w:rsidRPr="00ED21CF">
        <w:rPr>
          <w:i/>
        </w:rPr>
        <w:t xml:space="preserve">R. v. </w:t>
      </w:r>
      <w:proofErr w:type="spellStart"/>
      <w:r w:rsidR="00C13BCC" w:rsidRPr="00ED21CF">
        <w:rPr>
          <w:i/>
        </w:rPr>
        <w:t>Caslake</w:t>
      </w:r>
      <w:proofErr w:type="spellEnd"/>
      <w:r w:rsidR="00C13BCC" w:rsidRPr="00ED21CF">
        <w:t xml:space="preserve">, [1998] 1 S.C.R. 51; </w:t>
      </w:r>
      <w:r w:rsidR="006E1AAD" w:rsidRPr="00ED21CF">
        <w:rPr>
          <w:i/>
        </w:rPr>
        <w:t xml:space="preserve">R. v. </w:t>
      </w:r>
      <w:proofErr w:type="spellStart"/>
      <w:r w:rsidR="006E1AAD" w:rsidRPr="00ED21CF">
        <w:rPr>
          <w:i/>
        </w:rPr>
        <w:t>Storrey</w:t>
      </w:r>
      <w:proofErr w:type="spellEnd"/>
      <w:r w:rsidR="006E1AAD" w:rsidRPr="00ED21CF">
        <w:t>, [1990] 1 S.C.R. 241</w:t>
      </w:r>
      <w:r w:rsidR="00665403" w:rsidRPr="00ED21CF">
        <w:t xml:space="preserve">; </w:t>
      </w:r>
      <w:r w:rsidR="00665403" w:rsidRPr="00ED21CF">
        <w:rPr>
          <w:i/>
        </w:rPr>
        <w:t>R. v. Feeney</w:t>
      </w:r>
      <w:r w:rsidR="00665403" w:rsidRPr="00ED21CF">
        <w:t>, [1997] 2 S.C.R. 13</w:t>
      </w:r>
      <w:r w:rsidR="00F21AAA" w:rsidRPr="00ED21CF">
        <w:rPr>
          <w:lang w:val="en-GB"/>
        </w:rPr>
        <w:t xml:space="preserve">; </w:t>
      </w:r>
      <w:r w:rsidR="00F21AAA" w:rsidRPr="00ED21CF">
        <w:rPr>
          <w:i/>
        </w:rPr>
        <w:t>R. v. Godoy</w:t>
      </w:r>
      <w:r w:rsidR="00F21AAA" w:rsidRPr="00ED21CF">
        <w:t>, [1999] 1 S.C.R. 311</w:t>
      </w:r>
      <w:r w:rsidR="009A515F" w:rsidRPr="00ED21CF">
        <w:t xml:space="preserve">; </w:t>
      </w:r>
      <w:r w:rsidR="009A515F" w:rsidRPr="00ED21CF">
        <w:rPr>
          <w:i/>
        </w:rPr>
        <w:t xml:space="preserve">R. v. </w:t>
      </w:r>
      <w:proofErr w:type="spellStart"/>
      <w:r w:rsidR="009A515F" w:rsidRPr="00ED21CF">
        <w:rPr>
          <w:i/>
        </w:rPr>
        <w:t>Golub</w:t>
      </w:r>
      <w:proofErr w:type="spellEnd"/>
      <w:r w:rsidR="009A515F" w:rsidRPr="00ED21CF">
        <w:rPr>
          <w:i/>
        </w:rPr>
        <w:t xml:space="preserve"> </w:t>
      </w:r>
      <w:r w:rsidR="009A515F" w:rsidRPr="00ED21CF">
        <w:t xml:space="preserve">(1997), </w:t>
      </w:r>
      <w:r w:rsidR="00FE3032">
        <w:t>34 O.R. (3d) 743</w:t>
      </w:r>
      <w:r w:rsidR="009A515F" w:rsidRPr="00ED21CF">
        <w:t>, leave to appeal refused, [1998] 1 S.C.R. ix</w:t>
      </w:r>
      <w:r w:rsidR="006E1AAD" w:rsidRPr="00ED21CF">
        <w:t>.</w:t>
      </w:r>
    </w:p>
    <w:p w:rsidR="003B215F" w:rsidRPr="00ED21CF" w:rsidRDefault="002E6705" w:rsidP="0023063B">
      <w:pPr>
        <w:pStyle w:val="SCCNormalDoubleSpacing"/>
        <w:keepNext/>
        <w:spacing w:after="720" w:line="240" w:lineRule="auto"/>
      </w:pPr>
      <w:r w:rsidRPr="00ED21CF">
        <w:rPr>
          <w:b/>
        </w:rPr>
        <w:t>Statutes and Regulations Cite</w:t>
      </w:r>
      <w:r w:rsidR="00A41805" w:rsidRPr="00ED21CF">
        <w:rPr>
          <w:b/>
        </w:rPr>
        <w:t>d</w:t>
      </w:r>
    </w:p>
    <w:p w:rsidR="00D05C65" w:rsidRPr="00ED21CF" w:rsidRDefault="00D05C65" w:rsidP="0023063B">
      <w:pPr>
        <w:pStyle w:val="SCCNormalDoubleSpacing"/>
        <w:spacing w:after="240" w:line="240" w:lineRule="auto"/>
        <w:ind w:left="547" w:hanging="547"/>
      </w:pPr>
      <w:proofErr w:type="gramStart"/>
      <w:r w:rsidRPr="00ED21CF">
        <w:rPr>
          <w:i/>
        </w:rPr>
        <w:t>Canadian Charter of Rights and Freedoms</w:t>
      </w:r>
      <w:r w:rsidRPr="00ED21CF">
        <w:t xml:space="preserve">, </w:t>
      </w:r>
      <w:r w:rsidR="0023063B" w:rsidRPr="00ED21CF">
        <w:t>ss. </w:t>
      </w:r>
      <w:r w:rsidRPr="00ED21CF">
        <w:t>8</w:t>
      </w:r>
      <w:r w:rsidR="00EA48F3" w:rsidRPr="00ED21CF">
        <w:t>, 12, 24(2)</w:t>
      </w:r>
      <w:r w:rsidRPr="00ED21CF">
        <w:t>.</w:t>
      </w:r>
      <w:proofErr w:type="gramEnd"/>
    </w:p>
    <w:p w:rsidR="00D05C65" w:rsidRPr="00ED21CF" w:rsidRDefault="00D05C65" w:rsidP="0023063B">
      <w:pPr>
        <w:pStyle w:val="SCCNormalDoubleSpacing"/>
        <w:spacing w:after="240" w:line="240" w:lineRule="auto"/>
        <w:ind w:left="547" w:hanging="547"/>
        <w:rPr>
          <w:lang w:val="fr-CA"/>
        </w:rPr>
      </w:pPr>
      <w:proofErr w:type="spellStart"/>
      <w:r w:rsidRPr="00ED21CF">
        <w:rPr>
          <w:i/>
          <w:lang w:val="fr-CA"/>
        </w:rPr>
        <w:t>Criminal</w:t>
      </w:r>
      <w:proofErr w:type="spellEnd"/>
      <w:r w:rsidRPr="00ED21CF">
        <w:rPr>
          <w:i/>
          <w:lang w:val="fr-CA"/>
        </w:rPr>
        <w:t xml:space="preserve"> Code</w:t>
      </w:r>
      <w:r w:rsidRPr="00ED21CF">
        <w:rPr>
          <w:lang w:val="fr-CA"/>
        </w:rPr>
        <w:t>, R.S.C. 1985, c.</w:t>
      </w:r>
      <w:r w:rsidR="0023063B" w:rsidRPr="00ED21CF">
        <w:rPr>
          <w:lang w:val="fr-CA"/>
        </w:rPr>
        <w:t> </w:t>
      </w:r>
      <w:r w:rsidRPr="00ED21CF">
        <w:rPr>
          <w:lang w:val="fr-CA"/>
        </w:rPr>
        <w:t>C</w:t>
      </w:r>
      <w:r w:rsidR="0023063B" w:rsidRPr="00ED21CF">
        <w:rPr>
          <w:lang w:val="fr-CA"/>
        </w:rPr>
        <w:noBreakHyphen/>
      </w:r>
      <w:r w:rsidRPr="00ED21CF">
        <w:rPr>
          <w:lang w:val="fr-CA"/>
        </w:rPr>
        <w:t xml:space="preserve">46, </w:t>
      </w:r>
      <w:proofErr w:type="spellStart"/>
      <w:r w:rsidR="0023063B" w:rsidRPr="00ED21CF">
        <w:rPr>
          <w:lang w:val="fr-CA"/>
        </w:rPr>
        <w:t>ss</w:t>
      </w:r>
      <w:proofErr w:type="spellEnd"/>
      <w:r w:rsidR="0023063B" w:rsidRPr="00ED21CF">
        <w:rPr>
          <w:lang w:val="fr-CA"/>
        </w:rPr>
        <w:t>. </w:t>
      </w:r>
      <w:r w:rsidR="007F6BDE" w:rsidRPr="00ED21CF">
        <w:rPr>
          <w:lang w:val="fr-CA"/>
        </w:rPr>
        <w:t xml:space="preserve">19, </w:t>
      </w:r>
      <w:r w:rsidR="00CB0C75" w:rsidRPr="00ED21CF">
        <w:rPr>
          <w:lang w:val="fr-CA"/>
        </w:rPr>
        <w:t>86, 88</w:t>
      </w:r>
      <w:r w:rsidR="007D57CE" w:rsidRPr="00ED21CF">
        <w:rPr>
          <w:lang w:val="fr-CA"/>
        </w:rPr>
        <w:t xml:space="preserve">, </w:t>
      </w:r>
      <w:r w:rsidR="00CB0C75" w:rsidRPr="00ED21CF">
        <w:rPr>
          <w:lang w:val="fr-CA"/>
        </w:rPr>
        <w:t>95</w:t>
      </w:r>
      <w:r w:rsidR="00FE3032">
        <w:rPr>
          <w:lang w:val="fr-CA"/>
        </w:rPr>
        <w:t xml:space="preserve">, </w:t>
      </w:r>
      <w:r w:rsidR="009D2A27" w:rsidRPr="00ED21CF">
        <w:rPr>
          <w:lang w:val="fr-CA"/>
        </w:rPr>
        <w:t xml:space="preserve">487.11, </w:t>
      </w:r>
      <w:r w:rsidR="005179D8" w:rsidRPr="00ED21CF">
        <w:rPr>
          <w:lang w:val="fr-CA"/>
        </w:rPr>
        <w:t>529.3</w:t>
      </w:r>
      <w:r w:rsidR="00FE3032">
        <w:rPr>
          <w:lang w:val="fr-CA"/>
        </w:rPr>
        <w:t>(2)</w:t>
      </w:r>
      <w:r w:rsidRPr="00ED21CF">
        <w:rPr>
          <w:lang w:val="fr-CA"/>
        </w:rPr>
        <w:t>.</w:t>
      </w:r>
    </w:p>
    <w:p w:rsidR="00CB0C75" w:rsidRPr="00ED21CF" w:rsidRDefault="00CB0C75" w:rsidP="0023063B">
      <w:pPr>
        <w:pStyle w:val="SCCNormalDoubleSpacing"/>
        <w:spacing w:after="720" w:line="240" w:lineRule="auto"/>
        <w:ind w:left="547" w:hanging="547"/>
        <w:rPr>
          <w:lang w:val="en-US"/>
        </w:rPr>
      </w:pPr>
      <w:r w:rsidRPr="00ED21CF">
        <w:rPr>
          <w:i/>
          <w:lang w:val="en-US"/>
        </w:rPr>
        <w:t>Firearms Act</w:t>
      </w:r>
      <w:r w:rsidRPr="00ED21CF">
        <w:rPr>
          <w:lang w:val="en-US"/>
        </w:rPr>
        <w:t>, S.C. 1995, c.</w:t>
      </w:r>
      <w:r w:rsidR="0023063B" w:rsidRPr="00ED21CF">
        <w:rPr>
          <w:lang w:val="en-US"/>
        </w:rPr>
        <w:t> </w:t>
      </w:r>
      <w:r w:rsidRPr="00ED21CF">
        <w:rPr>
          <w:lang w:val="en-US"/>
        </w:rPr>
        <w:t xml:space="preserve">39, </w:t>
      </w:r>
      <w:r w:rsidR="0023063B" w:rsidRPr="00ED21CF">
        <w:rPr>
          <w:lang w:val="en-US"/>
        </w:rPr>
        <w:t>s. </w:t>
      </w:r>
      <w:r w:rsidRPr="00ED21CF">
        <w:rPr>
          <w:lang w:val="en-US"/>
        </w:rPr>
        <w:t>17.</w:t>
      </w:r>
    </w:p>
    <w:p w:rsidR="002E6705" w:rsidRPr="00ED21CF" w:rsidRDefault="002E6705" w:rsidP="0023063B">
      <w:pPr>
        <w:pStyle w:val="SCCNormalDoubleSpacing"/>
        <w:keepNext/>
        <w:spacing w:after="720" w:line="240" w:lineRule="auto"/>
        <w:rPr>
          <w:b/>
        </w:rPr>
      </w:pPr>
      <w:r w:rsidRPr="00ED21CF">
        <w:rPr>
          <w:b/>
        </w:rPr>
        <w:t>Authors Cited</w:t>
      </w:r>
    </w:p>
    <w:p w:rsidR="00F04112" w:rsidRPr="00ED21CF" w:rsidRDefault="00F04112" w:rsidP="0023063B">
      <w:pPr>
        <w:pStyle w:val="SCCNormalDoubleSpacing"/>
        <w:spacing w:after="240" w:line="240" w:lineRule="auto"/>
        <w:ind w:left="547" w:hanging="547"/>
      </w:pPr>
      <w:r w:rsidRPr="00ED21CF">
        <w:t xml:space="preserve">Healy, Patrick.  “Investigative Detention in Canada”, [2005] </w:t>
      </w:r>
      <w:r w:rsidRPr="00ED21CF">
        <w:rPr>
          <w:i/>
        </w:rPr>
        <w:t>Crim. L.R.</w:t>
      </w:r>
      <w:r w:rsidRPr="00ED21CF">
        <w:t xml:space="preserve"> 98.</w:t>
      </w:r>
    </w:p>
    <w:p w:rsidR="00F74486" w:rsidRPr="00ED21CF" w:rsidRDefault="00907A68" w:rsidP="0023063B">
      <w:pPr>
        <w:pStyle w:val="SCCNormalDoubleSpacing"/>
        <w:spacing w:after="240" w:line="240" w:lineRule="auto"/>
        <w:ind w:left="547" w:hanging="547"/>
      </w:pPr>
      <w:proofErr w:type="spellStart"/>
      <w:r w:rsidRPr="00ED21CF">
        <w:t>LaFave</w:t>
      </w:r>
      <w:proofErr w:type="spellEnd"/>
      <w:r w:rsidRPr="00ED21CF">
        <w:t xml:space="preserve">, Wayne R.  </w:t>
      </w:r>
      <w:r w:rsidRPr="00ED21CF">
        <w:rPr>
          <w:i/>
        </w:rPr>
        <w:t>Search and Seizure:  A Treatise on the Fourth Amendment</w:t>
      </w:r>
      <w:r w:rsidRPr="00ED21CF">
        <w:t>, 5</w:t>
      </w:r>
      <w:r w:rsidR="00F76902" w:rsidRPr="00ED21CF">
        <w:t>th</w:t>
      </w:r>
      <w:r w:rsidR="0023063B" w:rsidRPr="00ED21CF">
        <w:t> </w:t>
      </w:r>
      <w:r w:rsidR="00F74486" w:rsidRPr="00ED21CF">
        <w:t xml:space="preserve">ed., </w:t>
      </w:r>
      <w:r w:rsidR="0023063B" w:rsidRPr="00ED21CF">
        <w:t>vol. </w:t>
      </w:r>
      <w:r w:rsidR="00D53EC0" w:rsidRPr="00ED21CF">
        <w:t>4</w:t>
      </w:r>
      <w:r w:rsidR="00F74486" w:rsidRPr="00ED21CF">
        <w:t>.  St. Paul, Minn.:  West, 2012.</w:t>
      </w:r>
    </w:p>
    <w:p w:rsidR="00366F93" w:rsidRPr="00ED21CF" w:rsidRDefault="00924D06" w:rsidP="0023063B">
      <w:pPr>
        <w:pStyle w:val="SCCNormalDoubleSpacing"/>
        <w:spacing w:after="240" w:line="240" w:lineRule="auto"/>
        <w:ind w:left="547" w:hanging="547"/>
      </w:pPr>
      <w:r w:rsidRPr="00ED21CF">
        <w:rPr>
          <w:i/>
        </w:rPr>
        <w:lastRenderedPageBreak/>
        <w:t>Oxford English Dictionary</w:t>
      </w:r>
      <w:r w:rsidRPr="00ED21CF">
        <w:t xml:space="preserve"> (online:  www.oed.com), “risk”.</w:t>
      </w:r>
    </w:p>
    <w:p w:rsidR="003E5928" w:rsidRPr="00ED21CF" w:rsidRDefault="0023063B" w:rsidP="0023063B">
      <w:pPr>
        <w:pStyle w:val="SCCNormalDoubleSpacing"/>
        <w:spacing w:after="240" w:line="240" w:lineRule="auto"/>
        <w:ind w:left="547" w:hanging="547"/>
      </w:pPr>
      <w:proofErr w:type="gramStart"/>
      <w:r w:rsidRPr="00ED21CF">
        <w:t>Ruby, Clayton C., Gerald </w:t>
      </w:r>
      <w:r w:rsidR="003E5928" w:rsidRPr="00ED21CF">
        <w:t>J. Chan and Nader</w:t>
      </w:r>
      <w:r w:rsidRPr="00ED21CF">
        <w:t> </w:t>
      </w:r>
      <w:r w:rsidR="003E5928" w:rsidRPr="00ED21CF">
        <w:t xml:space="preserve">R. </w:t>
      </w:r>
      <w:proofErr w:type="spellStart"/>
      <w:r w:rsidR="003E5928" w:rsidRPr="00ED21CF">
        <w:t>Hasan</w:t>
      </w:r>
      <w:proofErr w:type="spellEnd"/>
      <w:r w:rsidR="003E5928" w:rsidRPr="00ED21CF">
        <w:t>.</w:t>
      </w:r>
      <w:proofErr w:type="gramEnd"/>
      <w:r w:rsidR="003E5928" w:rsidRPr="00ED21CF">
        <w:t xml:space="preserve">  </w:t>
      </w:r>
      <w:r w:rsidR="003E5928" w:rsidRPr="00ED21CF">
        <w:rPr>
          <w:i/>
        </w:rPr>
        <w:t>Sentencing</w:t>
      </w:r>
      <w:r w:rsidRPr="00ED21CF">
        <w:t>, 8</w:t>
      </w:r>
      <w:r w:rsidR="00F76902" w:rsidRPr="00ED21CF">
        <w:t>th</w:t>
      </w:r>
      <w:r w:rsidRPr="00ED21CF">
        <w:t> </w:t>
      </w:r>
      <w:proofErr w:type="gramStart"/>
      <w:r w:rsidR="003E5928" w:rsidRPr="00ED21CF">
        <w:t>ed</w:t>
      </w:r>
      <w:proofErr w:type="gramEnd"/>
      <w:r w:rsidR="003E5928" w:rsidRPr="00ED21CF">
        <w:t>.  Markham, Ont.:  LexisNexis, 2012.</w:t>
      </w:r>
    </w:p>
    <w:p w:rsidR="00A149DF" w:rsidRPr="00ED21CF" w:rsidRDefault="00E66F61" w:rsidP="0023063B">
      <w:pPr>
        <w:pStyle w:val="SCCNormalDoubleSpacing"/>
        <w:spacing w:after="720" w:line="240" w:lineRule="auto"/>
        <w:ind w:left="547" w:hanging="547"/>
      </w:pPr>
      <w:proofErr w:type="spellStart"/>
      <w:r w:rsidRPr="00ED21CF">
        <w:t>Stribopoulos</w:t>
      </w:r>
      <w:proofErr w:type="spellEnd"/>
      <w:r w:rsidRPr="00ED21CF">
        <w:t xml:space="preserve">, James.  </w:t>
      </w:r>
      <w:proofErr w:type="gramStart"/>
      <w:r w:rsidRPr="00ED21CF">
        <w:t xml:space="preserve">“The Limits of Judicially Created Police Powers:  Investigative Detention after </w:t>
      </w:r>
      <w:r w:rsidRPr="00ED21CF">
        <w:rPr>
          <w:i/>
        </w:rPr>
        <w:t>Mann</w:t>
      </w:r>
      <w:r w:rsidRPr="00ED21CF">
        <w:t>” (2007)</w:t>
      </w:r>
      <w:r w:rsidR="00014829">
        <w:t>,</w:t>
      </w:r>
      <w:r w:rsidRPr="00ED21CF">
        <w:t xml:space="preserve"> 52 </w:t>
      </w:r>
      <w:r w:rsidRPr="00ED21CF">
        <w:rPr>
          <w:i/>
        </w:rPr>
        <w:t>Crim. L.Q.</w:t>
      </w:r>
      <w:r w:rsidRPr="00ED21CF">
        <w:t xml:space="preserve"> 299.</w:t>
      </w:r>
      <w:proofErr w:type="gramEnd"/>
      <w:r w:rsidRPr="00ED21CF">
        <w:t xml:space="preserve">  </w:t>
      </w:r>
    </w:p>
    <w:p w:rsidR="003C3E09" w:rsidRPr="00ED21CF" w:rsidRDefault="009B57B3" w:rsidP="00F76902">
      <w:pPr>
        <w:pStyle w:val="SCCNormalDoubleSpacing"/>
        <w:spacing w:before="480" w:after="480"/>
      </w:pPr>
      <w:r w:rsidRPr="00ED21CF">
        <w:tab/>
        <w:t>APPEAL</w:t>
      </w:r>
      <w:r w:rsidR="00EA6D0A" w:rsidRPr="00ED21CF">
        <w:t xml:space="preserve">S </w:t>
      </w:r>
      <w:r w:rsidRPr="00ED21CF">
        <w:t>from a judgment of the Nova Scotia Court of Appeal</w:t>
      </w:r>
      <w:r w:rsidR="009B7604" w:rsidRPr="00ED21CF">
        <w:t xml:space="preserve"> (</w:t>
      </w:r>
      <w:r w:rsidR="009D0850" w:rsidRPr="00ED21CF">
        <w:t>MacDonald C.J.</w:t>
      </w:r>
      <w:r w:rsidR="003C3E09" w:rsidRPr="00ED21CF">
        <w:t xml:space="preserve"> and Saunders and </w:t>
      </w:r>
      <w:proofErr w:type="spellStart"/>
      <w:r w:rsidR="003C3E09" w:rsidRPr="00ED21CF">
        <w:t>Beveridge</w:t>
      </w:r>
      <w:proofErr w:type="spellEnd"/>
      <w:r w:rsidR="003C3E09" w:rsidRPr="00ED21CF">
        <w:t xml:space="preserve"> JJ.A.), </w:t>
      </w:r>
      <w:r w:rsidR="00507241" w:rsidRPr="00ED21CF">
        <w:t xml:space="preserve">2012 NSCA 50, 317 N.S.R. (2d) 90, 1003 A.P.R. 90, 283 C.C.C. (3d) 308, 261 C.R.R. (2d) 303, [2012] N.S.J. </w:t>
      </w:r>
      <w:r w:rsidR="0023063B" w:rsidRPr="00ED21CF">
        <w:t>No. </w:t>
      </w:r>
      <w:r w:rsidR="00507241" w:rsidRPr="00ED21CF">
        <w:t xml:space="preserve">252 (QL), 2012 </w:t>
      </w:r>
      <w:proofErr w:type="spellStart"/>
      <w:r w:rsidR="00507241" w:rsidRPr="00ED21CF">
        <w:t>CarswellNS</w:t>
      </w:r>
      <w:proofErr w:type="spellEnd"/>
      <w:r w:rsidR="00507241" w:rsidRPr="00ED21CF">
        <w:t xml:space="preserve"> 328, </w:t>
      </w:r>
      <w:r w:rsidR="00E143B1" w:rsidRPr="00ED21CF">
        <w:t xml:space="preserve">setting aside the </w:t>
      </w:r>
      <w:proofErr w:type="spellStart"/>
      <w:r w:rsidR="00E143B1" w:rsidRPr="00ED21CF">
        <w:t>accused</w:t>
      </w:r>
      <w:r w:rsidR="00ED21CF" w:rsidRPr="00ED21CF">
        <w:t>’</w:t>
      </w:r>
      <w:r w:rsidR="00E143B1" w:rsidRPr="00ED21CF">
        <w:t>s</w:t>
      </w:r>
      <w:proofErr w:type="spellEnd"/>
      <w:r w:rsidR="00E143B1" w:rsidRPr="00ED21CF">
        <w:t xml:space="preserve"> conviction for possession of a loaded restricted firearm</w:t>
      </w:r>
      <w:r w:rsidR="00F565C4" w:rsidRPr="00ED21CF">
        <w:t>.</w:t>
      </w:r>
      <w:r w:rsidR="0046331D" w:rsidRPr="00ED21CF">
        <w:t xml:space="preserve">  Appeal </w:t>
      </w:r>
      <w:r w:rsidR="00EA6D0A" w:rsidRPr="00ED21CF">
        <w:t xml:space="preserve">of Erin Lee MacDonald </w:t>
      </w:r>
      <w:r w:rsidR="00F52807" w:rsidRPr="00ED21CF">
        <w:t xml:space="preserve">dismissed and </w:t>
      </w:r>
      <w:r w:rsidR="00EA6D0A" w:rsidRPr="00ED21CF">
        <w:t xml:space="preserve">appeal of Her Majesty </w:t>
      </w:r>
      <w:proofErr w:type="gramStart"/>
      <w:r w:rsidR="00110AB0" w:rsidRPr="00ED21CF">
        <w:t>T</w:t>
      </w:r>
      <w:r w:rsidR="00EA6D0A" w:rsidRPr="00ED21CF">
        <w:t>he</w:t>
      </w:r>
      <w:proofErr w:type="gramEnd"/>
      <w:r w:rsidR="00EA6D0A" w:rsidRPr="00ED21CF">
        <w:t xml:space="preserve"> Queen</w:t>
      </w:r>
      <w:r w:rsidR="00F52807" w:rsidRPr="00ED21CF">
        <w:t xml:space="preserve"> allowed</w:t>
      </w:r>
      <w:r w:rsidR="0046331D" w:rsidRPr="00ED21CF">
        <w:t xml:space="preserve">. </w:t>
      </w:r>
    </w:p>
    <w:p w:rsidR="00905C26" w:rsidRPr="00ED21CF" w:rsidRDefault="00AA182F" w:rsidP="00F76902">
      <w:pPr>
        <w:pStyle w:val="SCCNormalDoubleSpacing"/>
        <w:spacing w:before="480" w:after="480"/>
      </w:pPr>
      <w:r w:rsidRPr="00ED21CF">
        <w:rPr>
          <w:rStyle w:val="SCCCounselNameChar"/>
        </w:rPr>
        <w:tab/>
      </w:r>
      <w:proofErr w:type="spellStart"/>
      <w:proofErr w:type="gramStart"/>
      <w:r w:rsidR="00166A68" w:rsidRPr="00ED21CF">
        <w:rPr>
          <w:rStyle w:val="SCCCounselNameChar"/>
        </w:rPr>
        <w:t>Hersh</w:t>
      </w:r>
      <w:proofErr w:type="spellEnd"/>
      <w:r w:rsidR="00166A68" w:rsidRPr="00ED21CF">
        <w:rPr>
          <w:rStyle w:val="SCCCounselNameChar"/>
        </w:rPr>
        <w:t xml:space="preserve"> </w:t>
      </w:r>
      <w:proofErr w:type="spellStart"/>
      <w:r w:rsidR="00166A68" w:rsidRPr="00ED21CF">
        <w:rPr>
          <w:rStyle w:val="SCCCounselNameChar"/>
        </w:rPr>
        <w:t>Wolch</w:t>
      </w:r>
      <w:proofErr w:type="spellEnd"/>
      <w:r w:rsidR="00166A68" w:rsidRPr="00ED21CF">
        <w:rPr>
          <w:rStyle w:val="SCCCounselNameChar"/>
          <w:i w:val="0"/>
        </w:rPr>
        <w:t xml:space="preserve">, </w:t>
      </w:r>
      <w:r w:rsidR="00166A68" w:rsidRPr="00ED21CF">
        <w:rPr>
          <w:rStyle w:val="SCCCounselNameChar"/>
        </w:rPr>
        <w:t>Q.C.</w:t>
      </w:r>
      <w:r w:rsidR="006E1728" w:rsidRPr="00ED21CF">
        <w:rPr>
          <w:rStyle w:val="SCCCounselNameChar"/>
          <w:i w:val="0"/>
        </w:rPr>
        <w:t>,</w:t>
      </w:r>
      <w:r w:rsidR="00166A68" w:rsidRPr="00ED21CF">
        <w:rPr>
          <w:rStyle w:val="SCCCounselSeparatorChar"/>
        </w:rPr>
        <w:t xml:space="preserve"> and </w:t>
      </w:r>
      <w:r w:rsidR="00166A68" w:rsidRPr="00ED21CF">
        <w:rPr>
          <w:rStyle w:val="SCCCounselNameChar"/>
        </w:rPr>
        <w:t>Janna Watts</w:t>
      </w:r>
      <w:r w:rsidR="00166A68" w:rsidRPr="00ED21CF">
        <w:rPr>
          <w:rStyle w:val="SCCCounselPartyRoleChar"/>
        </w:rPr>
        <w:t>, for the appellant</w:t>
      </w:r>
      <w:r w:rsidR="00110AB0" w:rsidRPr="00ED21CF">
        <w:rPr>
          <w:rStyle w:val="SCCCounselPartyRoleChar"/>
        </w:rPr>
        <w:t>/respondent</w:t>
      </w:r>
      <w:r w:rsidR="00166A68" w:rsidRPr="00ED21CF">
        <w:rPr>
          <w:rStyle w:val="SCCCounselPartyRoleChar"/>
        </w:rPr>
        <w:t>.</w:t>
      </w:r>
      <w:proofErr w:type="gramEnd"/>
    </w:p>
    <w:p w:rsidR="00905C26" w:rsidRPr="00ED21CF" w:rsidRDefault="0023063B" w:rsidP="00F76902">
      <w:pPr>
        <w:pStyle w:val="SCCNormalDoubleSpacing"/>
        <w:spacing w:before="480" w:after="480"/>
      </w:pPr>
      <w:r w:rsidRPr="00ED21CF">
        <w:rPr>
          <w:rStyle w:val="SCCCounselNameChar"/>
        </w:rPr>
        <w:tab/>
      </w:r>
      <w:proofErr w:type="gramStart"/>
      <w:r w:rsidRPr="00ED21CF">
        <w:rPr>
          <w:rStyle w:val="SCCCounselNameChar"/>
        </w:rPr>
        <w:t>William </w:t>
      </w:r>
      <w:r w:rsidR="00166A68" w:rsidRPr="00ED21CF">
        <w:rPr>
          <w:rStyle w:val="SCCCounselNameChar"/>
        </w:rPr>
        <w:t>D. Delaney</w:t>
      </w:r>
      <w:r w:rsidR="00166A68" w:rsidRPr="00ED21CF">
        <w:rPr>
          <w:rStyle w:val="SCCCounselNameChar"/>
          <w:i w:val="0"/>
        </w:rPr>
        <w:t xml:space="preserve">, </w:t>
      </w:r>
      <w:r w:rsidR="00166A68" w:rsidRPr="00ED21CF">
        <w:rPr>
          <w:rStyle w:val="SCCCounselNameChar"/>
        </w:rPr>
        <w:t>Q.C.</w:t>
      </w:r>
      <w:r w:rsidR="006E1728" w:rsidRPr="00ED21CF">
        <w:rPr>
          <w:rStyle w:val="SCCCounselNameChar"/>
          <w:i w:val="0"/>
        </w:rPr>
        <w:t>,</w:t>
      </w:r>
      <w:r w:rsidR="00166A68" w:rsidRPr="00ED21CF">
        <w:rPr>
          <w:rStyle w:val="SCCCounselSeparatorChar"/>
        </w:rPr>
        <w:t xml:space="preserve"> and </w:t>
      </w:r>
      <w:r w:rsidR="00E143B1" w:rsidRPr="00ED21CF">
        <w:rPr>
          <w:rStyle w:val="SCCCounselNameChar"/>
        </w:rPr>
        <w:t>Timothy</w:t>
      </w:r>
      <w:r w:rsidRPr="00ED21CF">
        <w:rPr>
          <w:rStyle w:val="SCCCounselNameChar"/>
        </w:rPr>
        <w:t> </w:t>
      </w:r>
      <w:r w:rsidR="00E143B1" w:rsidRPr="00ED21CF">
        <w:rPr>
          <w:rStyle w:val="SCCCounselNameChar"/>
        </w:rPr>
        <w:t>S. O</w:t>
      </w:r>
      <w:r w:rsidR="00ED21CF" w:rsidRPr="00ED21CF">
        <w:rPr>
          <w:rStyle w:val="SCCCounselNameChar"/>
        </w:rPr>
        <w:t>’</w:t>
      </w:r>
      <w:r w:rsidR="00E143B1" w:rsidRPr="00ED21CF">
        <w:rPr>
          <w:rStyle w:val="SCCCounselNameChar"/>
        </w:rPr>
        <w:t>Leary</w:t>
      </w:r>
      <w:r w:rsidR="00166A68" w:rsidRPr="00ED21CF">
        <w:rPr>
          <w:rStyle w:val="SCCCounselPartyRoleChar"/>
        </w:rPr>
        <w:t xml:space="preserve">, for the </w:t>
      </w:r>
      <w:r w:rsidR="006E1728" w:rsidRPr="00ED21CF">
        <w:rPr>
          <w:rStyle w:val="SCCCounselPartyRoleChar"/>
        </w:rPr>
        <w:t>respondent/</w:t>
      </w:r>
      <w:r w:rsidR="00166A68" w:rsidRPr="00ED21CF">
        <w:rPr>
          <w:rStyle w:val="SCCCounselPartyRoleChar"/>
        </w:rPr>
        <w:t>appellant.</w:t>
      </w:r>
      <w:proofErr w:type="gramEnd"/>
    </w:p>
    <w:p w:rsidR="00905C26" w:rsidRPr="00ED21CF" w:rsidRDefault="00166A68" w:rsidP="00F76902">
      <w:pPr>
        <w:pStyle w:val="SCCNormalDoubleSpacing"/>
        <w:spacing w:before="480" w:after="480"/>
        <w:rPr>
          <w:rStyle w:val="SCCCounselPartyRoleChar"/>
        </w:rPr>
      </w:pPr>
      <w:r w:rsidRPr="00ED21CF">
        <w:rPr>
          <w:rStyle w:val="SCCCounselNameChar"/>
        </w:rPr>
        <w:tab/>
      </w:r>
      <w:proofErr w:type="gramStart"/>
      <w:r w:rsidRPr="00ED21CF">
        <w:rPr>
          <w:rStyle w:val="SCCCounselNameChar"/>
        </w:rPr>
        <w:t>James</w:t>
      </w:r>
      <w:r w:rsidR="005B462D" w:rsidRPr="00ED21CF">
        <w:rPr>
          <w:rStyle w:val="SCCCounselNameChar"/>
        </w:rPr>
        <w:t> </w:t>
      </w:r>
      <w:r w:rsidRPr="00ED21CF">
        <w:rPr>
          <w:rStyle w:val="SCCCounselNameChar"/>
        </w:rPr>
        <w:t>C. Martin</w:t>
      </w:r>
      <w:r w:rsidR="006E1728" w:rsidRPr="00ED21CF">
        <w:rPr>
          <w:rStyle w:val="SCCCounselNameChar"/>
          <w:i w:val="0"/>
        </w:rPr>
        <w:t xml:space="preserve"> and </w:t>
      </w:r>
      <w:r w:rsidR="006E1728" w:rsidRPr="00ED21CF">
        <w:rPr>
          <w:rStyle w:val="SCCCounselNameChar"/>
        </w:rPr>
        <w:t>Ann Marie Simmons</w:t>
      </w:r>
      <w:r w:rsidRPr="00ED21CF">
        <w:rPr>
          <w:rStyle w:val="SCCCounselPartyRoleChar"/>
        </w:rPr>
        <w:t xml:space="preserve">, for the intervener </w:t>
      </w:r>
      <w:r w:rsidR="006E1728" w:rsidRPr="00ED21CF">
        <w:rPr>
          <w:rStyle w:val="SCCCounselPartyRoleChar"/>
        </w:rPr>
        <w:t xml:space="preserve">the </w:t>
      </w:r>
      <w:r w:rsidRPr="00ED21CF">
        <w:rPr>
          <w:rStyle w:val="SCCCounselPartyRoleChar"/>
        </w:rPr>
        <w:t>Director of Public Prosecutions.</w:t>
      </w:r>
      <w:proofErr w:type="gramEnd"/>
    </w:p>
    <w:p w:rsidR="006E1728" w:rsidRPr="00ED21CF" w:rsidRDefault="006E1728" w:rsidP="00F76902">
      <w:pPr>
        <w:pStyle w:val="SCCNormalDoubleSpacing"/>
        <w:spacing w:before="480" w:after="480"/>
      </w:pPr>
      <w:r w:rsidRPr="00ED21CF">
        <w:rPr>
          <w:rStyle w:val="SCCCounselNameChar"/>
        </w:rPr>
        <w:tab/>
      </w:r>
      <w:proofErr w:type="gramStart"/>
      <w:r w:rsidRPr="00ED21CF">
        <w:rPr>
          <w:rStyle w:val="SCCCounselNameChar"/>
        </w:rPr>
        <w:t>John</w:t>
      </w:r>
      <w:r w:rsidR="005B462D" w:rsidRPr="00ED21CF">
        <w:rPr>
          <w:rStyle w:val="SCCCounselNameChar"/>
        </w:rPr>
        <w:t> </w:t>
      </w:r>
      <w:r w:rsidRPr="00ED21CF">
        <w:rPr>
          <w:rStyle w:val="SCCCounselNameChar"/>
        </w:rPr>
        <w:t>C. Pearson</w:t>
      </w:r>
      <w:r w:rsidRPr="00ED21CF">
        <w:rPr>
          <w:rStyle w:val="SCCCounselSeparatorChar"/>
        </w:rPr>
        <w:t xml:space="preserve"> and </w:t>
      </w:r>
      <w:r w:rsidRPr="00ED21CF">
        <w:rPr>
          <w:rStyle w:val="SCCCounselNameChar"/>
        </w:rPr>
        <w:t>Michelle Campbell</w:t>
      </w:r>
      <w:r w:rsidRPr="00ED21CF">
        <w:rPr>
          <w:rStyle w:val="SCCCounselPartyRoleChar"/>
        </w:rPr>
        <w:t>, for the intervener the Attorney General of Ontario.</w:t>
      </w:r>
      <w:proofErr w:type="gramEnd"/>
    </w:p>
    <w:p w:rsidR="000C40D6" w:rsidRPr="00014829" w:rsidRDefault="00014829" w:rsidP="000C40D6">
      <w:pPr>
        <w:pStyle w:val="JudgeJuge"/>
        <w:rPr>
          <w:smallCaps w:val="0"/>
        </w:rPr>
      </w:pPr>
      <w:r w:rsidRPr="00014829">
        <w:rPr>
          <w:smallCaps w:val="0"/>
        </w:rPr>
        <w:tab/>
      </w:r>
      <w:proofErr w:type="gramStart"/>
      <w:r w:rsidRPr="00014829">
        <w:rPr>
          <w:smallCaps w:val="0"/>
        </w:rPr>
        <w:t xml:space="preserve">The judgment of </w:t>
      </w:r>
      <w:proofErr w:type="spellStart"/>
      <w:r>
        <w:rPr>
          <w:smallCaps w:val="0"/>
        </w:rPr>
        <w:t>McLachlin</w:t>
      </w:r>
      <w:proofErr w:type="spellEnd"/>
      <w:r>
        <w:rPr>
          <w:smallCaps w:val="0"/>
        </w:rPr>
        <w:t> C.J. and LeBel, Fish and</w:t>
      </w:r>
      <w:r w:rsidRPr="00014829">
        <w:rPr>
          <w:smallCaps w:val="0"/>
        </w:rPr>
        <w:t xml:space="preserve"> Abella JJ.</w:t>
      </w:r>
      <w:proofErr w:type="gramEnd"/>
      <w:r w:rsidRPr="00014829">
        <w:rPr>
          <w:smallCaps w:val="0"/>
        </w:rPr>
        <w:t xml:space="preserve"> </w:t>
      </w:r>
      <w:proofErr w:type="gramStart"/>
      <w:r w:rsidRPr="00014829">
        <w:rPr>
          <w:smallCaps w:val="0"/>
        </w:rPr>
        <w:t>was</w:t>
      </w:r>
      <w:proofErr w:type="gramEnd"/>
      <w:r w:rsidRPr="00014829">
        <w:rPr>
          <w:smallCaps w:val="0"/>
        </w:rPr>
        <w:t xml:space="preserve"> delivered by</w:t>
      </w:r>
    </w:p>
    <w:p w:rsidR="000C40D6" w:rsidRPr="00ED4E5E" w:rsidRDefault="000C40D6" w:rsidP="000C40D6">
      <w:pPr>
        <w:pStyle w:val="JudgeJuge"/>
      </w:pPr>
      <w:r w:rsidRPr="00014829">
        <w:rPr>
          <w:smallCaps w:val="0"/>
        </w:rPr>
        <w:lastRenderedPageBreak/>
        <w:tab/>
      </w:r>
      <w:r w:rsidRPr="00ED4E5E">
        <w:rPr>
          <w:rStyle w:val="SCCCoramChar"/>
        </w:rPr>
        <w:t>LeBel</w:t>
      </w:r>
      <w:r w:rsidRPr="00ED4E5E">
        <w:t xml:space="preserve"> J. — </w:t>
      </w:r>
    </w:p>
    <w:p w:rsidR="000C40D6" w:rsidRPr="00ED4E5E" w:rsidRDefault="000C40D6" w:rsidP="000C40D6">
      <w:pPr>
        <w:pStyle w:val="TitleTitre-AltT"/>
        <w:rPr>
          <w:rFonts w:cs="Times New Roman"/>
        </w:rPr>
      </w:pPr>
      <w:r w:rsidRPr="00ED4E5E">
        <w:rPr>
          <w:rFonts w:cs="Times New Roman"/>
        </w:rPr>
        <w:t>I.</w:t>
      </w:r>
      <w:r w:rsidRPr="00ED4E5E">
        <w:rPr>
          <w:rFonts w:cs="Times New Roman"/>
        </w:rPr>
        <w:tab/>
      </w:r>
      <w:r w:rsidRPr="00ED4E5E">
        <w:rPr>
          <w:rFonts w:cs="Times New Roman"/>
          <w:u w:val="single"/>
        </w:rPr>
        <w:t>Introduction</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This </w:t>
      </w:r>
      <w:r>
        <w:rPr>
          <w:rFonts w:cs="Times New Roman"/>
        </w:rPr>
        <w:t>case</w:t>
      </w:r>
      <w:r w:rsidRPr="00ED4E5E">
        <w:rPr>
          <w:rFonts w:cs="Times New Roman"/>
        </w:rPr>
        <w:t xml:space="preserve"> requires us to consider the scope of police search powers in the context of everyday interactions with private citizens at the doorsteps of their homes.  The police in this case responded to a noise complaint and, without warning, became engaged in a dangerous situation </w:t>
      </w:r>
      <w:r>
        <w:rPr>
          <w:rFonts w:cs="Times New Roman"/>
        </w:rPr>
        <w:t>that</w:t>
      </w:r>
      <w:r w:rsidRPr="00ED4E5E">
        <w:rPr>
          <w:rFonts w:cs="Times New Roman"/>
        </w:rPr>
        <w:t xml:space="preserve">, in their opinion, put their safety, and the safety of others, in jeopardy.  The charges laid as a result of this incident afford us an opportunity to consider the operation of s. 8 of the </w:t>
      </w:r>
      <w:r w:rsidRPr="00ED4E5E">
        <w:rPr>
          <w:rFonts w:cs="Times New Roman"/>
          <w:i/>
        </w:rPr>
        <w:t xml:space="preserve">Canadian Charter of Rights and Freedoms </w:t>
      </w:r>
      <w:r w:rsidRPr="00ED4E5E">
        <w:rPr>
          <w:rFonts w:cs="Times New Roman"/>
        </w:rPr>
        <w:t xml:space="preserve">in this context, the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required for conviction under s. 95(1) of the </w:t>
      </w:r>
      <w:r w:rsidRPr="00ED4E5E">
        <w:rPr>
          <w:rFonts w:cs="Times New Roman"/>
          <w:i/>
        </w:rPr>
        <w:t>Criminal Code</w:t>
      </w:r>
      <w:r w:rsidRPr="00ED4E5E">
        <w:rPr>
          <w:rFonts w:cs="Times New Roman"/>
        </w:rPr>
        <w:t>, R.S.C. 1985, c. C-46, and some corollary issues related to sentencing.</w:t>
      </w:r>
    </w:p>
    <w:p w:rsidR="000C40D6" w:rsidRPr="00ED4E5E" w:rsidRDefault="000C40D6" w:rsidP="000C40D6">
      <w:pPr>
        <w:pStyle w:val="TitleTitre-AltT"/>
        <w:rPr>
          <w:rFonts w:cs="Times New Roman"/>
        </w:rPr>
      </w:pPr>
      <w:r w:rsidRPr="00ED4E5E">
        <w:rPr>
          <w:rFonts w:cs="Times New Roman"/>
        </w:rPr>
        <w:t>II.</w:t>
      </w:r>
      <w:r w:rsidRPr="00ED4E5E">
        <w:rPr>
          <w:rFonts w:cs="Times New Roman"/>
        </w:rPr>
        <w:tab/>
      </w:r>
      <w:r w:rsidRPr="00ED4E5E">
        <w:rPr>
          <w:rFonts w:cs="Times New Roman"/>
          <w:u w:val="single"/>
        </w:rPr>
        <w:t>Background Facts</w:t>
      </w:r>
    </w:p>
    <w:p w:rsidR="000C40D6" w:rsidRPr="00ED4E5E" w:rsidRDefault="000C40D6" w:rsidP="000C40D6">
      <w:pPr>
        <w:pStyle w:val="ParaNoNdepar-AltN"/>
        <w:tabs>
          <w:tab w:val="clear" w:pos="1166"/>
          <w:tab w:val="num" w:pos="1152"/>
        </w:tabs>
        <w:rPr>
          <w:rFonts w:cs="Times New Roman"/>
        </w:rPr>
      </w:pPr>
      <w:r w:rsidRPr="00ED4E5E">
        <w:rPr>
          <w:rFonts w:cs="Times New Roman"/>
        </w:rPr>
        <w:t>In 2009, Mr. MacDonald</w:t>
      </w:r>
      <w:r>
        <w:rPr>
          <w:rFonts w:cs="Times New Roman"/>
        </w:rPr>
        <w:t xml:space="preserve"> </w:t>
      </w:r>
      <w:r w:rsidRPr="00ED4E5E">
        <w:rPr>
          <w:rFonts w:cs="Times New Roman"/>
        </w:rPr>
        <w:t xml:space="preserve">was employed in the oil and gas industry.  His employment required him to spend time in both Calgary and Halifax.  On the evening of December 28, 2009, </w:t>
      </w:r>
      <w:r>
        <w:rPr>
          <w:rFonts w:cs="Times New Roman"/>
        </w:rPr>
        <w:t>Mr. MacDonald</w:t>
      </w:r>
      <w:r w:rsidRPr="00ED4E5E">
        <w:rPr>
          <w:rFonts w:cs="Times New Roman"/>
        </w:rPr>
        <w:t xml:space="preserve"> entertained a co-worker and his co-worker’s friend at his Halifax condominium (the “unit”).  Some alcohol was consumed during the evening as </w:t>
      </w:r>
      <w:r>
        <w:rPr>
          <w:rFonts w:cs="Times New Roman"/>
        </w:rPr>
        <w:t>Mr. MacDonald</w:t>
      </w:r>
      <w:r w:rsidRPr="00ED4E5E">
        <w:rPr>
          <w:rFonts w:cs="Times New Roman"/>
        </w:rPr>
        <w:t xml:space="preserve"> and his colleague — who was about to replace </w:t>
      </w:r>
      <w:r>
        <w:rPr>
          <w:rFonts w:cs="Times New Roman"/>
        </w:rPr>
        <w:t>him</w:t>
      </w:r>
      <w:r w:rsidRPr="00ED4E5E">
        <w:rPr>
          <w:rFonts w:cs="Times New Roman"/>
        </w:rPr>
        <w:t xml:space="preserve"> in Halifax — discussed work.</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Later in the evening, the concierge of </w:t>
      </w:r>
      <w:r>
        <w:rPr>
          <w:rFonts w:cs="Times New Roman"/>
        </w:rPr>
        <w:t>Mr. MacDonald</w:t>
      </w:r>
      <w:r w:rsidRPr="00ED4E5E">
        <w:rPr>
          <w:rFonts w:cs="Times New Roman"/>
        </w:rPr>
        <w:t>’s building</w:t>
      </w:r>
      <w:r>
        <w:rPr>
          <w:rFonts w:cs="Times New Roman"/>
        </w:rPr>
        <w:t>, Mr. </w:t>
      </w:r>
      <w:r w:rsidRPr="00ED4E5E">
        <w:rPr>
          <w:rFonts w:cs="Times New Roman"/>
        </w:rPr>
        <w:t xml:space="preserve">Sears, received a noise complaint regarding loud music reverberating from the </w:t>
      </w:r>
      <w:r w:rsidRPr="00ED4E5E">
        <w:rPr>
          <w:rFonts w:cs="Times New Roman"/>
        </w:rPr>
        <w:lastRenderedPageBreak/>
        <w:t xml:space="preserve">unit.  Mr. Sears went to the unit, heard the loud music and knocked on the door.  He received no response.  Just as he was about to leave, he saw </w:t>
      </w:r>
      <w:r>
        <w:rPr>
          <w:rFonts w:cs="Times New Roman"/>
        </w:rPr>
        <w:t>Mr. MacDonald</w:t>
      </w:r>
      <w:r w:rsidRPr="00ED4E5E">
        <w:rPr>
          <w:rFonts w:cs="Times New Roman"/>
        </w:rPr>
        <w:t xml:space="preserve">’s guests leaving the unit and saying good night.  At this point, Mr. Sears asked </w:t>
      </w:r>
      <w:r>
        <w:rPr>
          <w:rFonts w:cs="Times New Roman"/>
        </w:rPr>
        <w:t xml:space="preserve">Mr. MacDonald </w:t>
      </w:r>
      <w:r w:rsidRPr="00ED4E5E">
        <w:rPr>
          <w:rFonts w:cs="Times New Roman"/>
        </w:rPr>
        <w:t xml:space="preserve">to turn down his music.  </w:t>
      </w:r>
      <w:r>
        <w:rPr>
          <w:rFonts w:cs="Times New Roman"/>
        </w:rPr>
        <w:t>Mr. MacDonald</w:t>
      </w:r>
      <w:r w:rsidRPr="00ED4E5E">
        <w:rPr>
          <w:rFonts w:cs="Times New Roman"/>
        </w:rPr>
        <w:t>, swearing at him, refused to do so.</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Mr. Sears contacted the Halifax Regional Police and asked them to deal with the complaint about the noise issue.  </w:t>
      </w:r>
      <w:proofErr w:type="spellStart"/>
      <w:r w:rsidRPr="00ED4E5E">
        <w:rPr>
          <w:rFonts w:cs="Times New Roman"/>
        </w:rPr>
        <w:t>Cst</w:t>
      </w:r>
      <w:proofErr w:type="spellEnd"/>
      <w:r w:rsidRPr="00ED4E5E">
        <w:rPr>
          <w:rFonts w:cs="Times New Roman"/>
        </w:rPr>
        <w:t xml:space="preserve">. Pierce went to the building and, together with Mr. Sears, approached </w:t>
      </w:r>
      <w:r>
        <w:rPr>
          <w:rFonts w:cs="Times New Roman"/>
        </w:rPr>
        <w:t>Mr. MacDonald</w:t>
      </w:r>
      <w:r w:rsidRPr="00ED4E5E">
        <w:rPr>
          <w:rFonts w:cs="Times New Roman"/>
        </w:rPr>
        <w:t xml:space="preserve">’s unit.  </w:t>
      </w:r>
      <w:proofErr w:type="spellStart"/>
      <w:r w:rsidRPr="00ED4E5E">
        <w:rPr>
          <w:rFonts w:cs="Times New Roman"/>
        </w:rPr>
        <w:t>Cst</w:t>
      </w:r>
      <w:proofErr w:type="spellEnd"/>
      <w:r w:rsidRPr="00ED4E5E">
        <w:rPr>
          <w:rFonts w:cs="Times New Roman"/>
        </w:rPr>
        <w:t xml:space="preserve">. Pierce knocked on </w:t>
      </w:r>
      <w:r>
        <w:rPr>
          <w:rFonts w:cs="Times New Roman"/>
        </w:rPr>
        <w:t>his</w:t>
      </w:r>
      <w:r w:rsidRPr="00ED4E5E">
        <w:rPr>
          <w:rFonts w:cs="Times New Roman"/>
        </w:rPr>
        <w:t xml:space="preserve"> door and asked him to turn his music down or off.  </w:t>
      </w:r>
      <w:r>
        <w:rPr>
          <w:rFonts w:cs="Times New Roman"/>
        </w:rPr>
        <w:t>Mr. MacDonald</w:t>
      </w:r>
      <w:r w:rsidRPr="00ED4E5E">
        <w:rPr>
          <w:rFonts w:cs="Times New Roman"/>
        </w:rPr>
        <w:t xml:space="preserve"> swore at her and slammed the door shut.</w:t>
      </w:r>
    </w:p>
    <w:p w:rsidR="000C40D6" w:rsidRPr="00ED4E5E" w:rsidRDefault="000C40D6" w:rsidP="000C40D6">
      <w:pPr>
        <w:pStyle w:val="ParaNoNdepar-AltN"/>
        <w:tabs>
          <w:tab w:val="clear" w:pos="1166"/>
          <w:tab w:val="num" w:pos="1152"/>
        </w:tabs>
        <w:rPr>
          <w:rFonts w:cs="Times New Roman"/>
        </w:rPr>
      </w:pPr>
      <w:proofErr w:type="spellStart"/>
      <w:r w:rsidRPr="00ED4E5E">
        <w:rPr>
          <w:rFonts w:cs="Times New Roman"/>
        </w:rPr>
        <w:t>Cst</w:t>
      </w:r>
      <w:proofErr w:type="spellEnd"/>
      <w:r w:rsidRPr="00ED4E5E">
        <w:rPr>
          <w:rFonts w:cs="Times New Roman"/>
        </w:rPr>
        <w:t xml:space="preserve">. Pierce contacted her supervisor, Sgt. Boyd, who arrived at the building approximately a half hour later.  Sgt. Boyd, </w:t>
      </w:r>
      <w:proofErr w:type="spellStart"/>
      <w:r w:rsidRPr="00ED4E5E">
        <w:rPr>
          <w:rFonts w:cs="Times New Roman"/>
        </w:rPr>
        <w:t>Cst</w:t>
      </w:r>
      <w:proofErr w:type="spellEnd"/>
      <w:r w:rsidRPr="00ED4E5E">
        <w:rPr>
          <w:rFonts w:cs="Times New Roman"/>
        </w:rPr>
        <w:t xml:space="preserve">. Pierce and Mr. Sears went to the unit.  Sgt. Boyd tried to get </w:t>
      </w:r>
      <w:r>
        <w:rPr>
          <w:rFonts w:cs="Times New Roman"/>
        </w:rPr>
        <w:t>Mr. MacDonald</w:t>
      </w:r>
      <w:r w:rsidRPr="00ED4E5E">
        <w:rPr>
          <w:rFonts w:cs="Times New Roman"/>
        </w:rPr>
        <w:t xml:space="preserve"> to answer the door by knocking on it and kicking it, and also shouted that he was from the Halifax Regional Police.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About five minutes later, </w:t>
      </w:r>
      <w:r>
        <w:rPr>
          <w:rFonts w:cs="Times New Roman"/>
        </w:rPr>
        <w:t>Mr. MacDonald</w:t>
      </w:r>
      <w:r w:rsidRPr="00ED4E5E">
        <w:rPr>
          <w:rFonts w:cs="Times New Roman"/>
        </w:rPr>
        <w:t xml:space="preserve"> opened the door, but only about 16 inches — enough for the officers to see the right side of his body and face.  Sgt. Boyd noticed something “black and shiny” in </w:t>
      </w:r>
      <w:r>
        <w:rPr>
          <w:rFonts w:cs="Times New Roman"/>
        </w:rPr>
        <w:t>Mr. MacDonald</w:t>
      </w:r>
      <w:r w:rsidRPr="00ED4E5E">
        <w:rPr>
          <w:rFonts w:cs="Times New Roman"/>
        </w:rPr>
        <w:t xml:space="preserve">’s right hand that was in a shadow and was partially hidden by </w:t>
      </w:r>
      <w:r>
        <w:rPr>
          <w:rFonts w:cs="Times New Roman"/>
        </w:rPr>
        <w:t>hi</w:t>
      </w:r>
      <w:r w:rsidRPr="00ED4E5E">
        <w:rPr>
          <w:rFonts w:cs="Times New Roman"/>
        </w:rPr>
        <w:t xml:space="preserve">s right leg (A.R., at p. 167).  He believed it might be a knife.  He twice asked </w:t>
      </w:r>
      <w:r>
        <w:rPr>
          <w:rFonts w:cs="Times New Roman"/>
        </w:rPr>
        <w:t>Mr. MacDonald</w:t>
      </w:r>
      <w:r w:rsidRPr="00ED4E5E">
        <w:rPr>
          <w:rFonts w:cs="Times New Roman"/>
        </w:rPr>
        <w:t xml:space="preserve"> what was behind his leg, gesturing toward his right hand.  </w:t>
      </w:r>
      <w:r>
        <w:rPr>
          <w:rFonts w:cs="Times New Roman"/>
        </w:rPr>
        <w:t>Mr. MacDonald</w:t>
      </w:r>
      <w:r w:rsidRPr="00ED4E5E">
        <w:rPr>
          <w:rFonts w:cs="Times New Roman"/>
        </w:rPr>
        <w:t xml:space="preserve"> did not respond.</w:t>
      </w:r>
    </w:p>
    <w:p w:rsidR="000C40D6" w:rsidRPr="00ED4E5E" w:rsidRDefault="000C40D6" w:rsidP="000C40D6">
      <w:pPr>
        <w:pStyle w:val="ParaNoNdepar-AltN"/>
        <w:tabs>
          <w:tab w:val="clear" w:pos="1166"/>
          <w:tab w:val="num" w:pos="1152"/>
        </w:tabs>
        <w:rPr>
          <w:rFonts w:cs="Times New Roman"/>
        </w:rPr>
      </w:pPr>
      <w:r w:rsidRPr="00ED4E5E">
        <w:rPr>
          <w:rFonts w:cs="Times New Roman"/>
        </w:rPr>
        <w:lastRenderedPageBreak/>
        <w:t xml:space="preserve">Wanting to get a better look at what </w:t>
      </w:r>
      <w:r>
        <w:rPr>
          <w:rFonts w:cs="Times New Roman"/>
        </w:rPr>
        <w:t>Mr. MacDonald</w:t>
      </w:r>
      <w:r w:rsidRPr="00ED4E5E">
        <w:rPr>
          <w:rFonts w:cs="Times New Roman"/>
        </w:rPr>
        <w:t xml:space="preserve"> had in his hand, Sgt. Boyd pushed the door open a few inches further.  The resulting light enabled him to identify it as a handgun.  He yelled “gun!” and quickly forced his way into the unit.  After a brief struggle, he was able to disarm </w:t>
      </w:r>
      <w:r>
        <w:rPr>
          <w:rFonts w:cs="Times New Roman"/>
        </w:rPr>
        <w:t>Mr. MacDonald</w:t>
      </w:r>
      <w:r w:rsidRPr="00ED4E5E">
        <w:rPr>
          <w:rFonts w:cs="Times New Roman"/>
        </w:rPr>
        <w:t>.</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The gun </w:t>
      </w:r>
      <w:r>
        <w:rPr>
          <w:rFonts w:cs="Times New Roman"/>
        </w:rPr>
        <w:t>that Mr. MacDonald</w:t>
      </w:r>
      <w:r w:rsidRPr="00ED4E5E">
        <w:rPr>
          <w:rFonts w:cs="Times New Roman"/>
        </w:rPr>
        <w:t xml:space="preserve"> was holding when he opened the door was found to be a 9</w:t>
      </w:r>
      <w:r w:rsidR="00014829">
        <w:rPr>
          <w:rFonts w:cs="Times New Roman"/>
        </w:rPr>
        <w:t>-</w:t>
      </w:r>
      <w:r w:rsidRPr="00ED4E5E">
        <w:rPr>
          <w:rFonts w:cs="Times New Roman"/>
        </w:rPr>
        <w:t xml:space="preserve">mm Beretta — a restricted firearm.  It was registered to </w:t>
      </w:r>
      <w:r>
        <w:rPr>
          <w:rFonts w:cs="Times New Roman"/>
        </w:rPr>
        <w:t>him</w:t>
      </w:r>
      <w:r w:rsidRPr="00ED4E5E">
        <w:rPr>
          <w:rFonts w:cs="Times New Roman"/>
        </w:rPr>
        <w:t>.  The gun was loaded.</w:t>
      </w:r>
    </w:p>
    <w:p w:rsidR="000C40D6" w:rsidRDefault="000C40D6" w:rsidP="000C40D6">
      <w:pPr>
        <w:pStyle w:val="ParaNoNdepar-AltN"/>
        <w:tabs>
          <w:tab w:val="clear" w:pos="1166"/>
          <w:tab w:val="num" w:pos="1152"/>
        </w:tabs>
        <w:rPr>
          <w:rFonts w:cs="Times New Roman"/>
        </w:rPr>
      </w:pPr>
      <w:r>
        <w:rPr>
          <w:rFonts w:cs="Times New Roman"/>
        </w:rPr>
        <w:t>Mr. MacDonald</w:t>
      </w:r>
      <w:r w:rsidRPr="00ED4E5E">
        <w:rPr>
          <w:rFonts w:cs="Times New Roman"/>
        </w:rPr>
        <w:t xml:space="preserve"> was charged with numerous offences, three of which are relevant </w:t>
      </w:r>
      <w:r>
        <w:rPr>
          <w:rFonts w:cs="Times New Roman"/>
        </w:rPr>
        <w:t>here</w:t>
      </w:r>
      <w:r w:rsidRPr="00ED4E5E">
        <w:rPr>
          <w:rFonts w:cs="Times New Roman"/>
        </w:rPr>
        <w:t xml:space="preserve">: </w:t>
      </w:r>
      <w:r w:rsidR="00014829">
        <w:rPr>
          <w:rFonts w:cs="Times New Roman"/>
        </w:rPr>
        <w:t xml:space="preserve"> </w:t>
      </w:r>
      <w:r w:rsidRPr="00ED4E5E">
        <w:rPr>
          <w:rFonts w:cs="Times New Roman"/>
        </w:rPr>
        <w:t xml:space="preserve">handling a firearm in a careless manner or without reasonable precautions for the safety of other persons, contrary to s. 86(1) of the </w:t>
      </w:r>
      <w:r w:rsidRPr="00ED4E5E">
        <w:rPr>
          <w:rFonts w:cs="Times New Roman"/>
          <w:i/>
        </w:rPr>
        <w:t>Code</w:t>
      </w:r>
      <w:r w:rsidRPr="00ED4E5E">
        <w:rPr>
          <w:rFonts w:cs="Times New Roman"/>
        </w:rPr>
        <w:t>; unlawfully having in his possession a weapon for a purpose dangerous to the public peace, contrary to s. 88(1); and possessing, in a place, a loaded restricted firearm without being the holder of an authorization or a licence under which he may possess the said firearm in that place, contrary to s. 95(1).</w:t>
      </w:r>
    </w:p>
    <w:p w:rsidR="000C40D6" w:rsidRPr="00ED4E5E" w:rsidRDefault="000C40D6" w:rsidP="000C40D6">
      <w:pPr>
        <w:pStyle w:val="TitleTitre-AltT"/>
        <w:rPr>
          <w:rFonts w:cs="Times New Roman"/>
        </w:rPr>
      </w:pPr>
      <w:r w:rsidRPr="00ED4E5E">
        <w:rPr>
          <w:rFonts w:cs="Times New Roman"/>
        </w:rPr>
        <w:t>III.</w:t>
      </w:r>
      <w:r w:rsidRPr="00ED4E5E">
        <w:rPr>
          <w:rFonts w:cs="Times New Roman"/>
        </w:rPr>
        <w:tab/>
      </w:r>
      <w:r w:rsidRPr="00ED4E5E">
        <w:rPr>
          <w:rFonts w:cs="Times New Roman"/>
          <w:u w:val="single"/>
        </w:rPr>
        <w:t>Judicial History</w:t>
      </w:r>
    </w:p>
    <w:p w:rsidR="000C40D6" w:rsidRPr="00ED4E5E" w:rsidRDefault="000C40D6" w:rsidP="000C40D6">
      <w:pPr>
        <w:pStyle w:val="TitleTitre-AltT"/>
        <w:numPr>
          <w:ilvl w:val="0"/>
          <w:numId w:val="8"/>
        </w:numPr>
        <w:tabs>
          <w:tab w:val="clear" w:pos="360"/>
          <w:tab w:val="left" w:pos="0"/>
        </w:tabs>
        <w:ind w:left="360"/>
        <w:rPr>
          <w:rFonts w:cs="Times New Roman"/>
        </w:rPr>
      </w:pPr>
      <w:r w:rsidRPr="00ED4E5E">
        <w:rPr>
          <w:rFonts w:cs="Times New Roman"/>
          <w:i/>
        </w:rPr>
        <w:t>Nova Scotia Provincial Court</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At trial, a </w:t>
      </w:r>
      <w:proofErr w:type="spellStart"/>
      <w:r w:rsidRPr="00ED4E5E">
        <w:rPr>
          <w:rFonts w:cs="Times New Roman"/>
          <w:i/>
        </w:rPr>
        <w:t>voir</w:t>
      </w:r>
      <w:proofErr w:type="spellEnd"/>
      <w:r w:rsidRPr="00ED4E5E">
        <w:rPr>
          <w:rFonts w:cs="Times New Roman"/>
          <w:i/>
        </w:rPr>
        <w:t xml:space="preserve"> dire</w:t>
      </w:r>
      <w:r w:rsidRPr="00ED4E5E">
        <w:rPr>
          <w:rFonts w:cs="Times New Roman"/>
        </w:rPr>
        <w:t xml:space="preserve"> was held to determine whether </w:t>
      </w:r>
      <w:r>
        <w:rPr>
          <w:rFonts w:cs="Times New Roman"/>
        </w:rPr>
        <w:t>Mr. MacDonald</w:t>
      </w:r>
      <w:r w:rsidRPr="00ED4E5E">
        <w:rPr>
          <w:rFonts w:cs="Times New Roman"/>
        </w:rPr>
        <w:t xml:space="preserve">’s right to be secure against an unreasonable search guaranteed by s. 8 of the </w:t>
      </w:r>
      <w:r w:rsidRPr="00ED4E5E">
        <w:rPr>
          <w:rFonts w:cs="Times New Roman"/>
          <w:i/>
        </w:rPr>
        <w:t>Charter</w:t>
      </w:r>
      <w:r w:rsidRPr="00ED4E5E">
        <w:rPr>
          <w:rFonts w:cs="Times New Roman"/>
        </w:rPr>
        <w:t xml:space="preserve"> had been violated when Sgt. Boyd pushed the door to the unit open a few inches further to </w:t>
      </w:r>
      <w:r w:rsidRPr="00ED4E5E">
        <w:rPr>
          <w:rFonts w:cs="Times New Roman"/>
        </w:rPr>
        <w:lastRenderedPageBreak/>
        <w:t xml:space="preserve">ascertain what he was holding.  Judge </w:t>
      </w:r>
      <w:proofErr w:type="spellStart"/>
      <w:r w:rsidRPr="00ED4E5E">
        <w:rPr>
          <w:rFonts w:cs="Times New Roman"/>
        </w:rPr>
        <w:t>Digby</w:t>
      </w:r>
      <w:proofErr w:type="spellEnd"/>
      <w:r w:rsidRPr="00ED4E5E">
        <w:rPr>
          <w:rFonts w:cs="Times New Roman"/>
        </w:rPr>
        <w:t xml:space="preserve"> found that there is an exception that permits an officer to enter a home to ensure his or her safety, particularly where, as here, the intrusion is minor.  He concluded that “there is no </w:t>
      </w:r>
      <w:r w:rsidRPr="00ED4E5E">
        <w:rPr>
          <w:rFonts w:cs="Times New Roman"/>
          <w:i/>
        </w:rPr>
        <w:t>Charter</w:t>
      </w:r>
      <w:r w:rsidRPr="00ED4E5E">
        <w:rPr>
          <w:rFonts w:cs="Times New Roman"/>
        </w:rPr>
        <w:t xml:space="preserve"> breach and the burden is on the accused to prove on a balance of probabilities that there is a </w:t>
      </w:r>
      <w:r w:rsidRPr="00ED4E5E">
        <w:rPr>
          <w:rFonts w:cs="Times New Roman"/>
          <w:i/>
        </w:rPr>
        <w:t xml:space="preserve">Charter </w:t>
      </w:r>
      <w:r w:rsidRPr="00ED4E5E">
        <w:rPr>
          <w:rFonts w:cs="Times New Roman"/>
        </w:rPr>
        <w:t>breach” (A.R., at p. 250).</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After weighing all the circumstances, Judge </w:t>
      </w:r>
      <w:proofErr w:type="spellStart"/>
      <w:r w:rsidRPr="00ED4E5E">
        <w:rPr>
          <w:rFonts w:cs="Times New Roman"/>
        </w:rPr>
        <w:t>Digby</w:t>
      </w:r>
      <w:proofErr w:type="spellEnd"/>
      <w:r w:rsidRPr="00ED4E5E">
        <w:rPr>
          <w:rFonts w:cs="Times New Roman"/>
        </w:rPr>
        <w:t xml:space="preserve"> found </w:t>
      </w:r>
      <w:r>
        <w:rPr>
          <w:rFonts w:cs="Times New Roman"/>
        </w:rPr>
        <w:t>Mr. MacDonald</w:t>
      </w:r>
      <w:r w:rsidRPr="00ED4E5E">
        <w:rPr>
          <w:rFonts w:cs="Times New Roman"/>
        </w:rPr>
        <w:t xml:space="preserve"> guilty of the charges under ss. 86(1) and 88(1).  Others could have been injured as a result of </w:t>
      </w:r>
      <w:r>
        <w:rPr>
          <w:rFonts w:cs="Times New Roman"/>
        </w:rPr>
        <w:t>his</w:t>
      </w:r>
      <w:r w:rsidRPr="00ED4E5E">
        <w:rPr>
          <w:rFonts w:cs="Times New Roman"/>
        </w:rPr>
        <w:t xml:space="preserve"> conduct, which was out of proportion to any threat, actual or reasonably perceived.  Before opening the door, </w:t>
      </w:r>
      <w:r>
        <w:rPr>
          <w:rFonts w:cs="Times New Roman"/>
        </w:rPr>
        <w:t>Mr. MacDonald</w:t>
      </w:r>
      <w:r w:rsidRPr="00ED4E5E">
        <w:rPr>
          <w:rFonts w:cs="Times New Roman"/>
        </w:rPr>
        <w:t xml:space="preserve"> knew the people there were police officers or people claiming to be police officers.  He also knew that if they were in fact police officers, they would react to his holding a handgun, and this would put his own safety at risk as well as that of the officers themselves and of the public.</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Judge </w:t>
      </w:r>
      <w:proofErr w:type="spellStart"/>
      <w:r w:rsidRPr="00ED4E5E">
        <w:rPr>
          <w:rFonts w:cs="Times New Roman"/>
        </w:rPr>
        <w:t>Digby</w:t>
      </w:r>
      <w:proofErr w:type="spellEnd"/>
      <w:r w:rsidRPr="00ED4E5E">
        <w:rPr>
          <w:rFonts w:cs="Times New Roman"/>
        </w:rPr>
        <w:t xml:space="preserve"> also found </w:t>
      </w:r>
      <w:r>
        <w:rPr>
          <w:rFonts w:cs="Times New Roman"/>
        </w:rPr>
        <w:t>Mr. MacDonald</w:t>
      </w:r>
      <w:r w:rsidRPr="00ED4E5E">
        <w:rPr>
          <w:rFonts w:cs="Times New Roman"/>
        </w:rPr>
        <w:t xml:space="preserve"> guilty of the charge under</w:t>
      </w:r>
      <w:r>
        <w:rPr>
          <w:rFonts w:cs="Times New Roman"/>
        </w:rPr>
        <w:t xml:space="preserve"> s. </w:t>
      </w:r>
      <w:r w:rsidRPr="00ED4E5E">
        <w:rPr>
          <w:rFonts w:cs="Times New Roman"/>
        </w:rPr>
        <w:t xml:space="preserve">95(1).  In so finding, he noted that </w:t>
      </w:r>
      <w:r>
        <w:rPr>
          <w:rFonts w:cs="Times New Roman"/>
        </w:rPr>
        <w:t>Mr. MacDonald</w:t>
      </w:r>
      <w:r w:rsidRPr="00ED4E5E">
        <w:rPr>
          <w:rFonts w:cs="Times New Roman"/>
        </w:rPr>
        <w:t xml:space="preserve"> and the Crown agreed on the following facts:</w:t>
      </w:r>
    </w:p>
    <w:p w:rsidR="000C40D6" w:rsidRPr="00ED4E5E" w:rsidRDefault="000C40D6" w:rsidP="000C40D6">
      <w:pPr>
        <w:pStyle w:val="Citation-AltC"/>
      </w:pPr>
      <w:r w:rsidRPr="00ED4E5E">
        <w:t xml:space="preserve">. . . </w:t>
      </w:r>
      <w:proofErr w:type="gramStart"/>
      <w:r w:rsidRPr="00ED4E5E">
        <w:t>it</w:t>
      </w:r>
      <w:proofErr w:type="gramEnd"/>
      <w:r w:rsidRPr="00ED4E5E">
        <w:t xml:space="preserve"> is common ground that Mr. MacDonald had a possession and acquisition license, that the Beretta firearm was properly registered in Mr. MacDonald’s name and that he had a right to possess it in his dwelling.  It was registered with the Canadian Firearms Centre or another place approved for storage by the chief firearms officer.</w:t>
      </w:r>
    </w:p>
    <w:p w:rsidR="000C40D6" w:rsidRPr="00ED4E5E" w:rsidRDefault="000C40D6" w:rsidP="000C40D6">
      <w:pPr>
        <w:pStyle w:val="Citation-AltC"/>
      </w:pPr>
    </w:p>
    <w:p w:rsidR="000C40D6" w:rsidRPr="00ED4E5E" w:rsidRDefault="000C40D6" w:rsidP="000C40D6">
      <w:pPr>
        <w:pStyle w:val="Citation-AltC"/>
        <w:jc w:val="center"/>
      </w:pPr>
      <w:r w:rsidRPr="00ED4E5E">
        <w:t>. . .</w:t>
      </w:r>
    </w:p>
    <w:p w:rsidR="000C40D6" w:rsidRPr="00ED4E5E" w:rsidRDefault="000C40D6" w:rsidP="000C40D6">
      <w:pPr>
        <w:pStyle w:val="Citation-AltC"/>
        <w:jc w:val="center"/>
      </w:pPr>
    </w:p>
    <w:p w:rsidR="000C40D6" w:rsidRPr="00ED4E5E" w:rsidRDefault="000C40D6" w:rsidP="000C40D6">
      <w:pPr>
        <w:pStyle w:val="Citation-AltC"/>
        <w:ind w:firstLine="274"/>
      </w:pPr>
      <w:r w:rsidRPr="00ED4E5E">
        <w:t>It is common ground that [</w:t>
      </w:r>
      <w:r>
        <w:t>Mr. MacDonald</w:t>
      </w:r>
      <w:r w:rsidRPr="00ED4E5E">
        <w:t xml:space="preserve">] had a loaded, restricted firearm in his residence at Bishop’s </w:t>
      </w:r>
      <w:proofErr w:type="gramStart"/>
      <w:r w:rsidRPr="00ED4E5E">
        <w:t>Landing</w:t>
      </w:r>
      <w:proofErr w:type="gramEnd"/>
      <w:r w:rsidRPr="00ED4E5E">
        <w:t xml:space="preserve">. . . . He had documentation which he submitted in evidence from the Nova Scotia Rifle Association indicating that he was a member and invited to use their facility.  I take it </w:t>
      </w:r>
      <w:proofErr w:type="spellStart"/>
      <w:r w:rsidRPr="00ED4E5E">
        <w:lastRenderedPageBreak/>
        <w:t>it</w:t>
      </w:r>
      <w:proofErr w:type="spellEnd"/>
      <w:r w:rsidRPr="00ED4E5E">
        <w:t xml:space="preserve"> is common ground, and certainly the case has proceeded on the basis of common ground, that Nova Scotia Rifle Association is an organization which falls under section 19(1)(</w:t>
      </w:r>
      <w:r w:rsidRPr="00014829">
        <w:rPr>
          <w:i/>
        </w:rPr>
        <w:t>a</w:t>
      </w:r>
      <w:r w:rsidRPr="00ED4E5E">
        <w:t xml:space="preserve">) of the </w:t>
      </w:r>
      <w:r w:rsidRPr="00014829">
        <w:rPr>
          <w:i/>
        </w:rPr>
        <w:t>Firearms Act</w:t>
      </w:r>
      <w:r w:rsidRPr="00ED4E5E">
        <w:t>. [A.R., at pp. 19 and 21]</w:t>
      </w:r>
    </w:p>
    <w:p w:rsidR="000C40D6" w:rsidRPr="00ED4E5E" w:rsidRDefault="000C40D6" w:rsidP="000C40D6">
      <w:pPr>
        <w:pStyle w:val="ParaNoNdepar-AltN"/>
        <w:tabs>
          <w:tab w:val="clear" w:pos="1166"/>
          <w:tab w:val="num" w:pos="1152"/>
        </w:tabs>
        <w:rPr>
          <w:rFonts w:cs="Times New Roman"/>
        </w:rPr>
      </w:pPr>
      <w:r>
        <w:rPr>
          <w:rFonts w:cs="Times New Roman"/>
        </w:rPr>
        <w:t>Mr. MacDonald had an authorization to transport the firearm, but, t</w:t>
      </w:r>
      <w:r w:rsidRPr="00ED4E5E">
        <w:rPr>
          <w:rFonts w:cs="Times New Roman"/>
        </w:rPr>
        <w:t>he learned trial judge held</w:t>
      </w:r>
      <w:r>
        <w:rPr>
          <w:rFonts w:cs="Times New Roman"/>
        </w:rPr>
        <w:t>,</w:t>
      </w:r>
      <w:r w:rsidRPr="00ED4E5E">
        <w:rPr>
          <w:rFonts w:cs="Times New Roman"/>
        </w:rPr>
        <w:t xml:space="preserve"> </w:t>
      </w:r>
      <w:r>
        <w:rPr>
          <w:rFonts w:cs="Times New Roman"/>
        </w:rPr>
        <w:t xml:space="preserve">it entitled </w:t>
      </w:r>
      <w:r w:rsidRPr="00ED4E5E">
        <w:rPr>
          <w:rFonts w:cs="Times New Roman"/>
        </w:rPr>
        <w:t xml:space="preserve">him to transport the </w:t>
      </w:r>
      <w:r>
        <w:rPr>
          <w:rFonts w:cs="Times New Roman"/>
        </w:rPr>
        <w:t xml:space="preserve">firearm only between </w:t>
      </w:r>
      <w:r w:rsidRPr="00ED4E5E">
        <w:rPr>
          <w:rFonts w:cs="Times New Roman"/>
        </w:rPr>
        <w:t xml:space="preserve">his residence in Calgary and shooting ranges and border crossings in Alberta.  He therefore had no right to take it to Halifax.  </w:t>
      </w:r>
      <w:r>
        <w:rPr>
          <w:rFonts w:cs="Times New Roman"/>
        </w:rPr>
        <w:t>Mr. MacDonald</w:t>
      </w:r>
      <w:r w:rsidRPr="00ED4E5E">
        <w:rPr>
          <w:rFonts w:cs="Times New Roman"/>
        </w:rPr>
        <w:t xml:space="preserve"> was guilty under s. 95(1) because he had the firearm in the unit without holding a licence which permitted him to possess it in that place.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Judge </w:t>
      </w:r>
      <w:proofErr w:type="spellStart"/>
      <w:r w:rsidRPr="00ED4E5E">
        <w:rPr>
          <w:rFonts w:cs="Times New Roman"/>
        </w:rPr>
        <w:t>Digby</w:t>
      </w:r>
      <w:proofErr w:type="spellEnd"/>
      <w:r w:rsidRPr="00ED4E5E">
        <w:rPr>
          <w:rFonts w:cs="Times New Roman"/>
        </w:rPr>
        <w:t xml:space="preserve"> sentenced </w:t>
      </w:r>
      <w:r>
        <w:rPr>
          <w:rFonts w:cs="Times New Roman"/>
        </w:rPr>
        <w:t>Mr. MacDonald</w:t>
      </w:r>
      <w:r w:rsidRPr="00ED4E5E">
        <w:rPr>
          <w:rFonts w:cs="Times New Roman"/>
        </w:rPr>
        <w:t xml:space="preserve"> to three years’ imprisonment.  He found that two years in a federal penitentiary was an appropriate sentence for the offence under s. 86(1).  For the offence under s. 88(1), the proper sentence was three years in a federal penitentiary concurrent with the first sentence.  As for the </w:t>
      </w:r>
      <w:r>
        <w:rPr>
          <w:rFonts w:cs="Times New Roman"/>
        </w:rPr>
        <w:t xml:space="preserve">s. 95(1) </w:t>
      </w:r>
      <w:r w:rsidRPr="00ED4E5E">
        <w:rPr>
          <w:rFonts w:cs="Times New Roman"/>
        </w:rPr>
        <w:t xml:space="preserve">offence, he found that the minimum sentence of three years in a federal penitentiary was appropriate and ordered that it be served concurrently with the other two sentences.  Judge </w:t>
      </w:r>
      <w:proofErr w:type="spellStart"/>
      <w:r w:rsidRPr="00ED4E5E">
        <w:rPr>
          <w:rFonts w:cs="Times New Roman"/>
        </w:rPr>
        <w:t>Digby</w:t>
      </w:r>
      <w:proofErr w:type="spellEnd"/>
      <w:r w:rsidRPr="00ED4E5E">
        <w:rPr>
          <w:rFonts w:cs="Times New Roman"/>
        </w:rPr>
        <w:t xml:space="preserve"> rejected </w:t>
      </w:r>
      <w:r>
        <w:rPr>
          <w:rFonts w:cs="Times New Roman"/>
        </w:rPr>
        <w:t>Mr. MacDonald</w:t>
      </w:r>
      <w:r w:rsidRPr="00ED4E5E">
        <w:rPr>
          <w:rFonts w:cs="Times New Roman"/>
        </w:rPr>
        <w:t xml:space="preserve">’s contention that the minimum three-year sentence violated </w:t>
      </w:r>
      <w:r>
        <w:rPr>
          <w:rFonts w:cs="Times New Roman"/>
        </w:rPr>
        <w:t xml:space="preserve">the right not to be subjected to cruel and unusual punishment guaranteed by </w:t>
      </w:r>
      <w:r w:rsidRPr="00ED4E5E">
        <w:rPr>
          <w:rFonts w:cs="Times New Roman"/>
        </w:rPr>
        <w:t xml:space="preserve">s. 12 of the </w:t>
      </w:r>
      <w:r w:rsidRPr="00ED4E5E">
        <w:rPr>
          <w:rFonts w:cs="Times New Roman"/>
          <w:i/>
        </w:rPr>
        <w:t>Charter</w:t>
      </w:r>
      <w:r w:rsidRPr="00ED4E5E">
        <w:rPr>
          <w:rFonts w:cs="Times New Roman"/>
        </w:rPr>
        <w:t xml:space="preserve">, finding, despite the consequences for </w:t>
      </w:r>
      <w:r>
        <w:rPr>
          <w:rFonts w:cs="Times New Roman"/>
        </w:rPr>
        <w:t>him</w:t>
      </w:r>
      <w:r w:rsidRPr="00ED4E5E">
        <w:rPr>
          <w:rFonts w:cs="Times New Roman"/>
        </w:rPr>
        <w:t xml:space="preserve"> and despite certain hypothetical scenarios, that it was not grossly disproportionate.  He ordered that the firearm be forfeited and prohibited </w:t>
      </w:r>
      <w:r>
        <w:rPr>
          <w:rFonts w:cs="Times New Roman"/>
        </w:rPr>
        <w:t>Mr. MacDonald</w:t>
      </w:r>
      <w:r w:rsidRPr="00ED4E5E">
        <w:rPr>
          <w:rFonts w:cs="Times New Roman"/>
        </w:rPr>
        <w:t xml:space="preserve"> from possessing any weapons for </w:t>
      </w:r>
      <w:r w:rsidR="00911E95">
        <w:rPr>
          <w:rFonts w:cs="Times New Roman"/>
        </w:rPr>
        <w:t>10</w:t>
      </w:r>
      <w:r w:rsidRPr="00ED4E5E">
        <w:rPr>
          <w:rFonts w:cs="Times New Roman"/>
        </w:rPr>
        <w:t xml:space="preserve"> years and any restricted weapons for life.</w:t>
      </w:r>
    </w:p>
    <w:p w:rsidR="000C40D6" w:rsidRPr="00ED4E5E" w:rsidRDefault="000C40D6" w:rsidP="000C40D6">
      <w:pPr>
        <w:pStyle w:val="TitleTitre-AltT"/>
        <w:numPr>
          <w:ilvl w:val="0"/>
          <w:numId w:val="8"/>
        </w:numPr>
        <w:tabs>
          <w:tab w:val="clear" w:pos="360"/>
          <w:tab w:val="left" w:pos="0"/>
        </w:tabs>
        <w:ind w:left="360"/>
        <w:rPr>
          <w:rFonts w:cs="Times New Roman"/>
          <w:i/>
        </w:rPr>
      </w:pPr>
      <w:r w:rsidRPr="00ED4E5E">
        <w:rPr>
          <w:rFonts w:cs="Times New Roman"/>
          <w:i/>
        </w:rPr>
        <w:lastRenderedPageBreak/>
        <w:t>Nova Scotia Court of Appeal, 2012 NSCA 50, 317 N.S.R. (2d) 90</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MacDonald C.J.N.S. (Saunders J.A. concurring) found that no </w:t>
      </w:r>
      <w:r w:rsidRPr="00ED4E5E">
        <w:rPr>
          <w:rFonts w:cs="Times New Roman"/>
          <w:i/>
        </w:rPr>
        <w:t>Charter</w:t>
      </w:r>
      <w:r w:rsidRPr="00ED4E5E">
        <w:rPr>
          <w:rFonts w:cs="Times New Roman"/>
        </w:rPr>
        <w:t xml:space="preserve"> violation had occurred on the evening in question.  He noted that warrantless entry into a home is </w:t>
      </w:r>
      <w:r w:rsidRPr="00ED4E5E">
        <w:rPr>
          <w:rFonts w:cs="Times New Roman"/>
          <w:i/>
        </w:rPr>
        <w:t>prima facie</w:t>
      </w:r>
      <w:r w:rsidRPr="00ED4E5E">
        <w:rPr>
          <w:rFonts w:cs="Times New Roman"/>
        </w:rPr>
        <w:t xml:space="preserve"> illegal and that the onus was therefore on the Crown to justify the entry.  Relying on this Court’s decision in </w:t>
      </w:r>
      <w:r w:rsidRPr="00ED4E5E">
        <w:rPr>
          <w:rFonts w:cs="Times New Roman"/>
          <w:i/>
          <w:szCs w:val="24"/>
        </w:rPr>
        <w:t>R. v. Mann</w:t>
      </w:r>
      <w:r w:rsidRPr="00ED4E5E">
        <w:rPr>
          <w:rFonts w:cs="Times New Roman"/>
          <w:szCs w:val="24"/>
        </w:rPr>
        <w:t>, 2004 SCC 52, [2004] 3 S.C.R. 59</w:t>
      </w:r>
      <w:r w:rsidRPr="00ED4E5E">
        <w:rPr>
          <w:rFonts w:cs="Times New Roman"/>
        </w:rPr>
        <w:t>, he concluded that there is a common law police power to search without a warrant where the safety of the public or the police is at stake.  He acknowledged, however, that this power is limited to situations in which, “in addition to acting within the general scope of their authority, [the police] have no other feasible less intrusive alternative”, and he added that “the manner of carrying out the impugned activity must also be reasonable” (</w:t>
      </w:r>
      <w:proofErr w:type="spellStart"/>
      <w:r w:rsidRPr="00ED4E5E">
        <w:rPr>
          <w:rFonts w:cs="Times New Roman"/>
        </w:rPr>
        <w:t>para</w:t>
      </w:r>
      <w:proofErr w:type="spellEnd"/>
      <w:r w:rsidRPr="00ED4E5E">
        <w:rPr>
          <w:rFonts w:cs="Times New Roman"/>
        </w:rPr>
        <w:t xml:space="preserve">. 31).  He found that Sgt. Boyd had exercised the power validly in the case at bar.  The police were acting within the general scope of their authority by going to </w:t>
      </w:r>
      <w:r>
        <w:rPr>
          <w:rFonts w:cs="Times New Roman"/>
        </w:rPr>
        <w:t>Mr. MacDonald</w:t>
      </w:r>
      <w:r w:rsidRPr="00ED4E5E">
        <w:rPr>
          <w:rFonts w:cs="Times New Roman"/>
        </w:rPr>
        <w:t xml:space="preserve">’s place of residence to deal with a noise complaint.  Sgt. Boyd acted reasonably in the circumstances in pushing the door open further to see what </w:t>
      </w:r>
      <w:r>
        <w:rPr>
          <w:rFonts w:cs="Times New Roman"/>
        </w:rPr>
        <w:t>he</w:t>
      </w:r>
      <w:r w:rsidRPr="00ED4E5E">
        <w:rPr>
          <w:rFonts w:cs="Times New Roman"/>
        </w:rPr>
        <w:t xml:space="preserve"> was hiding.  Furthermore, no other action would have been appropriate, as it was too late to simply retreat or issue a noise violation ticket.</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MacDonald C.J.N.S. upheld the convictions under ss. 86 and 88, but overturned the one under s. 95.  On the latter conviction, he acknowledged that pursuant to s. 17 of the </w:t>
      </w:r>
      <w:r w:rsidRPr="00ED4E5E">
        <w:rPr>
          <w:rFonts w:cs="Times New Roman"/>
          <w:i/>
        </w:rPr>
        <w:t>Firearms Act</w:t>
      </w:r>
      <w:r w:rsidRPr="00ED4E5E">
        <w:rPr>
          <w:rFonts w:cs="Times New Roman"/>
        </w:rPr>
        <w:t xml:space="preserve">, S.C. 1995, c. 39, </w:t>
      </w:r>
      <w:r>
        <w:rPr>
          <w:rFonts w:cs="Times New Roman"/>
        </w:rPr>
        <w:t>Mr. MacDonald</w:t>
      </w:r>
      <w:r w:rsidRPr="00ED4E5E">
        <w:rPr>
          <w:rFonts w:cs="Times New Roman"/>
        </w:rPr>
        <w:t xml:space="preserve">’s licence did not extend to his Halifax residence.  However, he found that </w:t>
      </w:r>
      <w:r>
        <w:rPr>
          <w:rFonts w:cs="Times New Roman"/>
        </w:rPr>
        <w:t>Mr. MacDonald</w:t>
      </w:r>
      <w:r w:rsidRPr="00ED4E5E">
        <w:rPr>
          <w:rFonts w:cs="Times New Roman"/>
        </w:rPr>
        <w:t xml:space="preserve"> should be acquitted on the basis of an honest but mistaken belief that it did extend to the unit.  </w:t>
      </w:r>
      <w:r w:rsidRPr="00ED4E5E">
        <w:rPr>
          <w:rFonts w:cs="Times New Roman"/>
        </w:rPr>
        <w:lastRenderedPageBreak/>
        <w:t xml:space="preserve">For the majority, this belief was a mistake of </w:t>
      </w:r>
      <w:r w:rsidRPr="00ED4E5E">
        <w:rPr>
          <w:rFonts w:cs="Times New Roman"/>
          <w:i/>
        </w:rPr>
        <w:t>fact</w:t>
      </w:r>
      <w:r w:rsidRPr="00ED4E5E">
        <w:rPr>
          <w:rFonts w:cs="Times New Roman"/>
        </w:rPr>
        <w:t xml:space="preserve"> which negated the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of the s. 95 offence.  The Crown had to prove that </w:t>
      </w:r>
      <w:r>
        <w:rPr>
          <w:rFonts w:cs="Times New Roman"/>
        </w:rPr>
        <w:t>Mr. MacDonald</w:t>
      </w:r>
      <w:r w:rsidRPr="00ED4E5E">
        <w:rPr>
          <w:rFonts w:cs="Times New Roman"/>
        </w:rPr>
        <w:t xml:space="preserve"> knew or was wilfully blind to the fact that his possession was unauthorized.  It had failed to do so, as </w:t>
      </w:r>
      <w:r w:rsidR="00014829">
        <w:rPr>
          <w:rFonts w:cs="Times New Roman"/>
        </w:rPr>
        <w:t xml:space="preserve">Mr. </w:t>
      </w:r>
      <w:r>
        <w:rPr>
          <w:rFonts w:cs="Times New Roman"/>
        </w:rPr>
        <w:t>MacDonald</w:t>
      </w:r>
      <w:r w:rsidRPr="00ED4E5E">
        <w:rPr>
          <w:rFonts w:cs="Times New Roman"/>
        </w:rPr>
        <w:t xml:space="preserve"> genuinely believed that he was authorized to possess the firearm in the unit.  MacDonald C.J.N.S. accordingly set aside the verdict and substituted an acquittal on the s. 95</w:t>
      </w:r>
      <w:r>
        <w:rPr>
          <w:rFonts w:cs="Times New Roman"/>
        </w:rPr>
        <w:t xml:space="preserve"> </w:t>
      </w:r>
      <w:r w:rsidRPr="00ED4E5E">
        <w:rPr>
          <w:rFonts w:cs="Times New Roman"/>
        </w:rPr>
        <w:t>charge.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Finally, the majority reassessed the fitness of </w:t>
      </w:r>
      <w:r>
        <w:rPr>
          <w:rFonts w:cs="Times New Roman"/>
        </w:rPr>
        <w:t>Mr. MacDonald</w:t>
      </w:r>
      <w:r w:rsidRPr="00ED4E5E">
        <w:rPr>
          <w:rFonts w:cs="Times New Roman"/>
        </w:rPr>
        <w:t>’s sentences for the convictions under ss. 86 and 88.  The majority found that a review of these sentences was warranted because, rather than conducting an independent analysis for each offence, the trial judge had considered the incident globally.  Because they had set aside the conviction under s. 95, they found it necessary to scrutinize the dispositions for the other convictions.</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MacDonald C.J.N.S. found the three-year sentence for the conviction under s. 88 to be too harsh, since </w:t>
      </w:r>
      <w:r>
        <w:rPr>
          <w:rFonts w:cs="Times New Roman"/>
        </w:rPr>
        <w:t>Mr. MacDonald</w:t>
      </w:r>
      <w:r w:rsidRPr="00ED4E5E">
        <w:rPr>
          <w:rFonts w:cs="Times New Roman"/>
        </w:rPr>
        <w:t>’s actions “did not involve the more typical scenario such as a highly volatile public confrontation or a dangerous domestic dispute” and since “the gun was neither fired, nor . . . intentionally pointed” (</w:t>
      </w:r>
      <w:proofErr w:type="spellStart"/>
      <w:r w:rsidRPr="00ED4E5E">
        <w:rPr>
          <w:rFonts w:cs="Times New Roman"/>
        </w:rPr>
        <w:t>para</w:t>
      </w:r>
      <w:proofErr w:type="spellEnd"/>
      <w:r w:rsidRPr="00ED4E5E">
        <w:rPr>
          <w:rFonts w:cs="Times New Roman"/>
        </w:rPr>
        <w:t>. 117).  He reviewed a number of cases which suggested that three years was outside the sentencing range for this offence.  He found the sentence to be demonstrably unfit and concluded:</w:t>
      </w:r>
    </w:p>
    <w:p w:rsidR="000C40D6" w:rsidRPr="00ED4E5E" w:rsidRDefault="000C40D6" w:rsidP="000C40D6">
      <w:pPr>
        <w:pStyle w:val="Citation-AltC"/>
        <w:ind w:firstLine="274"/>
      </w:pPr>
      <w:r w:rsidRPr="00ED4E5E">
        <w:t xml:space="preserve">Considering the principles of sentencing, the circumstances of this offence and Mr. MacDonald’s individual circumstances, particularly his positive pre-sentence report and his previous unblemished record, in my view a sentence of time served would be appropriate.  This would </w:t>
      </w:r>
      <w:r w:rsidRPr="00ED4E5E">
        <w:lastRenderedPageBreak/>
        <w:t>represent 18 days in custody (considering the 2 days following his arrest, his release on his own recognizance and then the 16 days between his sentencing and his release on bail pending appeal). [</w:t>
      </w:r>
      <w:proofErr w:type="spellStart"/>
      <w:r w:rsidRPr="00ED4E5E">
        <w:t>para</w:t>
      </w:r>
      <w:proofErr w:type="spellEnd"/>
      <w:r w:rsidRPr="00ED4E5E">
        <w:t>. 123]</w:t>
      </w:r>
    </w:p>
    <w:p w:rsidR="000C40D6" w:rsidRPr="00ED4E5E" w:rsidRDefault="000C40D6" w:rsidP="000C40D6">
      <w:pPr>
        <w:pStyle w:val="ParaNoNdepar-AltN"/>
        <w:tabs>
          <w:tab w:val="clear" w:pos="1166"/>
          <w:tab w:val="num" w:pos="1152"/>
        </w:tabs>
        <w:rPr>
          <w:rFonts w:cs="Times New Roman"/>
        </w:rPr>
      </w:pPr>
      <w:r w:rsidRPr="00ED4E5E">
        <w:rPr>
          <w:rFonts w:cs="Times New Roman"/>
        </w:rPr>
        <w:t>As for the sentence for the conviction under s. 86, the majority found the imposition of the maximum two-year sentence to be unduly harsh in comparison with other cases. They held this sentence to be demonstrably unfit and imposed a sentence of 14 days concurrent with the sentence imposed for the s. 88 offence.</w:t>
      </w:r>
    </w:p>
    <w:p w:rsidR="000C40D6" w:rsidRPr="00ED4E5E" w:rsidRDefault="000C40D6" w:rsidP="000C40D6">
      <w:pPr>
        <w:pStyle w:val="ParaNoNdepar-AltN"/>
        <w:tabs>
          <w:tab w:val="clear" w:pos="1166"/>
          <w:tab w:val="num" w:pos="1152"/>
        </w:tabs>
        <w:rPr>
          <w:rFonts w:cs="Times New Roman"/>
        </w:rPr>
      </w:pPr>
      <w:r w:rsidRPr="00ED4E5E">
        <w:rPr>
          <w:rFonts w:cs="Times New Roman"/>
        </w:rPr>
        <w:t>Finally, MacDonald C.J.N.S. ordered a two-year term of probation, a prohibition on possession of weapons for five years, and forfeiture of the firearm.</w:t>
      </w:r>
    </w:p>
    <w:p w:rsidR="000C40D6" w:rsidRPr="00ED4E5E" w:rsidRDefault="000C40D6" w:rsidP="000C40D6">
      <w:pPr>
        <w:pStyle w:val="ParaNoNdepar-AltN"/>
        <w:tabs>
          <w:tab w:val="clear" w:pos="1166"/>
          <w:tab w:val="num" w:pos="1152"/>
        </w:tabs>
        <w:rPr>
          <w:rFonts w:cs="Times New Roman"/>
        </w:rPr>
      </w:pPr>
      <w:proofErr w:type="spellStart"/>
      <w:r w:rsidRPr="00ED4E5E">
        <w:rPr>
          <w:rFonts w:cs="Times New Roman"/>
        </w:rPr>
        <w:t>Beveridge</w:t>
      </w:r>
      <w:proofErr w:type="spellEnd"/>
      <w:r w:rsidRPr="00ED4E5E">
        <w:rPr>
          <w:rFonts w:cs="Times New Roman"/>
        </w:rPr>
        <w:t xml:space="preserve"> J.A., in dissent, held that Sgt. Boyd had infringed </w:t>
      </w:r>
      <w:r w:rsidR="00014829">
        <w:rPr>
          <w:rFonts w:cs="Times New Roman"/>
        </w:rPr>
        <w:t xml:space="preserve">Mr. </w:t>
      </w:r>
      <w:r>
        <w:rPr>
          <w:rFonts w:cs="Times New Roman"/>
        </w:rPr>
        <w:t>MacDonald</w:t>
      </w:r>
      <w:r w:rsidRPr="00ED4E5E">
        <w:rPr>
          <w:rFonts w:cs="Times New Roman"/>
        </w:rPr>
        <w:t xml:space="preserve">’s right under s. 8 of the </w:t>
      </w:r>
      <w:r w:rsidRPr="00ED4E5E">
        <w:rPr>
          <w:rFonts w:cs="Times New Roman"/>
          <w:i/>
        </w:rPr>
        <w:t>Charter</w:t>
      </w:r>
      <w:r w:rsidRPr="00ED4E5E">
        <w:rPr>
          <w:rFonts w:cs="Times New Roman"/>
        </w:rPr>
        <w:t xml:space="preserve"> by pushing the door to the unit open further and extending his hand into </w:t>
      </w:r>
      <w:r>
        <w:rPr>
          <w:rFonts w:cs="Times New Roman"/>
        </w:rPr>
        <w:t>Mr. MacDonald</w:t>
      </w:r>
      <w:r w:rsidRPr="00ED4E5E">
        <w:rPr>
          <w:rFonts w:cs="Times New Roman"/>
        </w:rPr>
        <w:t xml:space="preserve">’s home.  In </w:t>
      </w:r>
      <w:proofErr w:type="spellStart"/>
      <w:r w:rsidRPr="00ED4E5E">
        <w:rPr>
          <w:rFonts w:cs="Times New Roman"/>
        </w:rPr>
        <w:t>Beveridge</w:t>
      </w:r>
      <w:proofErr w:type="spellEnd"/>
      <w:r w:rsidRPr="00ED4E5E">
        <w:rPr>
          <w:rFonts w:cs="Times New Roman"/>
        </w:rPr>
        <w:t xml:space="preserve"> J.A.’s view, the authority of the police to enter an individual’s home for the purpose of ensuring officer safety did not apply in the circumstances of this case:</w:t>
      </w:r>
    </w:p>
    <w:p w:rsidR="000C40D6" w:rsidRPr="00ED4E5E" w:rsidRDefault="000C40D6" w:rsidP="000C40D6">
      <w:pPr>
        <w:pStyle w:val="Citation-AltC"/>
      </w:pPr>
      <w:r w:rsidRPr="00ED4E5E">
        <w:t xml:space="preserve">While I have no difficulty with the premise that the officers were lawfully present and carrying out their duties, they did not acquire any power to intrude into </w:t>
      </w:r>
      <w:r>
        <w:t>[Mr. MacDonald</w:t>
      </w:r>
      <w:r w:rsidRPr="00ED4E5E">
        <w:t>’s</w:t>
      </w:r>
      <w:r>
        <w:t>]</w:t>
      </w:r>
      <w:r w:rsidRPr="00ED4E5E">
        <w:t xml:space="preserve"> home as a result of Sgt. Boyd’s concern that </w:t>
      </w:r>
      <w:r>
        <w:t>[he]</w:t>
      </w:r>
      <w:r w:rsidRPr="00ED4E5E">
        <w:t xml:space="preserve"> was concealing something. Sergeant Boyd never suggested that he suspected, let alone had reasonable grounds to believe, that it was a firearm. He said it was something black and shiny. At best he said he “thought he might have a weapon in his hand”. In my view, this is more akin to hunch or suspicion than reasonable grounds to believe. In fact, the trial judge made no finding that reasonable grounds existed. Despite ample opportunity to give evidence that he did, Sgt. Boyd said no such thing.</w:t>
      </w:r>
    </w:p>
    <w:p w:rsidR="000C40D6" w:rsidRPr="00ED4E5E" w:rsidRDefault="000C40D6" w:rsidP="000C40D6">
      <w:pPr>
        <w:pStyle w:val="Citation-AltC"/>
      </w:pPr>
    </w:p>
    <w:p w:rsidR="000C40D6" w:rsidRPr="00ED4E5E" w:rsidRDefault="000C40D6" w:rsidP="000C40D6">
      <w:pPr>
        <w:pStyle w:val="Citation-AltC"/>
        <w:jc w:val="center"/>
      </w:pPr>
      <w:r w:rsidRPr="00ED4E5E">
        <w:t>. . .</w:t>
      </w:r>
    </w:p>
    <w:p w:rsidR="000C40D6" w:rsidRPr="00ED4E5E" w:rsidRDefault="000C40D6" w:rsidP="000C40D6">
      <w:pPr>
        <w:pStyle w:val="Citation-AltC"/>
        <w:jc w:val="center"/>
      </w:pPr>
    </w:p>
    <w:p w:rsidR="000C40D6" w:rsidRPr="00ED4E5E" w:rsidRDefault="000C40D6" w:rsidP="000C40D6">
      <w:pPr>
        <w:pStyle w:val="Citation-AltC"/>
        <w:ind w:firstLine="274"/>
      </w:pPr>
      <w:r w:rsidRPr="00ED4E5E">
        <w:lastRenderedPageBreak/>
        <w:t>The issue is not whether Sgt. Boyd acted reasonably in pushing open the door. The issue is did he have lawful authority to do so. That would only materialize if he had reasonable grounds to believe that his safety, or the safety of others, was at risk and his search in pushing open the door was reasonably necessary in the circumstances.</w:t>
      </w:r>
    </w:p>
    <w:p w:rsidR="000C40D6" w:rsidRPr="00ED4E5E" w:rsidRDefault="000C40D6" w:rsidP="000C40D6">
      <w:pPr>
        <w:pStyle w:val="Citation-AltC"/>
      </w:pPr>
    </w:p>
    <w:p w:rsidR="000C40D6" w:rsidRPr="00ED4E5E" w:rsidRDefault="000C40D6" w:rsidP="000C40D6">
      <w:pPr>
        <w:pStyle w:val="Citation-AltC"/>
        <w:ind w:firstLine="274"/>
      </w:pPr>
      <w:r w:rsidRPr="00ED4E5E">
        <w:t xml:space="preserve">Absent a new-found power to enter a private dwelling based on a suspicion that officer safety concerns are triggered, the conclusion is inescapable that </w:t>
      </w:r>
      <w:r>
        <w:t>[Mr. MacDonald</w:t>
      </w:r>
      <w:r w:rsidRPr="00ED4E5E">
        <w:t>’s</w:t>
      </w:r>
      <w:r>
        <w:t>]</w:t>
      </w:r>
      <w:r w:rsidRPr="00ED4E5E">
        <w:t xml:space="preserve"> reasonable expectation of privacy protected by s. 8 of the </w:t>
      </w:r>
      <w:r w:rsidRPr="00ED4E5E">
        <w:rPr>
          <w:i/>
          <w:iCs/>
        </w:rPr>
        <w:t>Charter</w:t>
      </w:r>
      <w:r w:rsidRPr="00ED4E5E">
        <w:t xml:space="preserve"> was infringed or denied. [</w:t>
      </w:r>
      <w:proofErr w:type="spellStart"/>
      <w:r w:rsidRPr="00ED4E5E">
        <w:t>paras</w:t>
      </w:r>
      <w:proofErr w:type="spellEnd"/>
      <w:r w:rsidRPr="00ED4E5E">
        <w:t>. 156 and 173-74]</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 light of all the circumstances, </w:t>
      </w:r>
      <w:proofErr w:type="spellStart"/>
      <w:r w:rsidRPr="00ED4E5E">
        <w:rPr>
          <w:rFonts w:cs="Times New Roman"/>
        </w:rPr>
        <w:t>Beveridge</w:t>
      </w:r>
      <w:proofErr w:type="spellEnd"/>
      <w:r w:rsidRPr="00ED4E5E">
        <w:rPr>
          <w:rFonts w:cs="Times New Roman"/>
        </w:rPr>
        <w:t xml:space="preserve"> J.A. would have excluded the firearm as evidence at trial, because its admission would bring the administration of justice into disrepute.  He would accordingly have set aside the convictions and directed acquittals on all three of the charges.</w:t>
      </w:r>
    </w:p>
    <w:p w:rsidR="000C40D6" w:rsidRPr="00ED4E5E" w:rsidRDefault="000C40D6" w:rsidP="000C40D6">
      <w:pPr>
        <w:pStyle w:val="TitleTitre-AltT"/>
        <w:rPr>
          <w:rFonts w:cs="Times New Roman"/>
        </w:rPr>
      </w:pPr>
      <w:r w:rsidRPr="00ED4E5E">
        <w:rPr>
          <w:rFonts w:cs="Times New Roman"/>
        </w:rPr>
        <w:t>IV.</w:t>
      </w:r>
      <w:r w:rsidRPr="00ED4E5E">
        <w:rPr>
          <w:rFonts w:cs="Times New Roman"/>
        </w:rPr>
        <w:tab/>
      </w:r>
      <w:r w:rsidRPr="00ED4E5E">
        <w:rPr>
          <w:rFonts w:cs="Times New Roman"/>
          <w:u w:val="single"/>
        </w:rPr>
        <w:t>Analysis</w:t>
      </w:r>
    </w:p>
    <w:p w:rsidR="000C40D6" w:rsidRPr="00ED4E5E" w:rsidRDefault="000C40D6" w:rsidP="000C40D6">
      <w:pPr>
        <w:pStyle w:val="TitleTitre-AltT"/>
        <w:rPr>
          <w:rFonts w:cs="Times New Roman"/>
        </w:rPr>
      </w:pPr>
      <w:r w:rsidRPr="00ED4E5E">
        <w:rPr>
          <w:rFonts w:cs="Times New Roman"/>
        </w:rPr>
        <w:t>A.</w:t>
      </w:r>
      <w:r w:rsidRPr="00ED4E5E">
        <w:rPr>
          <w:rFonts w:cs="Times New Roman"/>
        </w:rPr>
        <w:tab/>
      </w:r>
      <w:r w:rsidRPr="00ED4E5E">
        <w:rPr>
          <w:rFonts w:cs="Times New Roman"/>
          <w:i/>
        </w:rPr>
        <w:t>Issues</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This </w:t>
      </w:r>
      <w:r>
        <w:rPr>
          <w:rFonts w:cs="Times New Roman"/>
        </w:rPr>
        <w:t>case</w:t>
      </w:r>
      <w:r w:rsidRPr="00ED4E5E">
        <w:rPr>
          <w:rFonts w:cs="Times New Roman"/>
        </w:rPr>
        <w:t xml:space="preserve"> raises three issues, which I will discuss in turn:</w:t>
      </w:r>
    </w:p>
    <w:p w:rsidR="000C40D6" w:rsidRPr="00ED4E5E" w:rsidRDefault="00014829" w:rsidP="00014829">
      <w:pPr>
        <w:pStyle w:val="ContinueParaSuitedupar-AltP"/>
        <w:ind w:left="720" w:hanging="720"/>
        <w:rPr>
          <w:rFonts w:cs="Times New Roman"/>
        </w:rPr>
      </w:pPr>
      <w:r>
        <w:rPr>
          <w:rFonts w:cs="Times New Roman"/>
        </w:rPr>
        <w:t>1.</w:t>
      </w:r>
      <w:r>
        <w:rPr>
          <w:rFonts w:cs="Times New Roman"/>
        </w:rPr>
        <w:tab/>
      </w:r>
      <w:r w:rsidR="000C40D6" w:rsidRPr="00ED4E5E">
        <w:rPr>
          <w:rFonts w:cs="Times New Roman"/>
        </w:rPr>
        <w:t xml:space="preserve">Was </w:t>
      </w:r>
      <w:r w:rsidR="000C40D6">
        <w:rPr>
          <w:rFonts w:cs="Times New Roman"/>
        </w:rPr>
        <w:t>Mr. MacDonald</w:t>
      </w:r>
      <w:r w:rsidR="000C40D6" w:rsidRPr="00ED4E5E">
        <w:rPr>
          <w:rFonts w:cs="Times New Roman"/>
        </w:rPr>
        <w:t xml:space="preserve">’s right under s. 8 of the </w:t>
      </w:r>
      <w:r w:rsidR="000C40D6" w:rsidRPr="00ED4E5E">
        <w:rPr>
          <w:rFonts w:cs="Times New Roman"/>
          <w:i/>
        </w:rPr>
        <w:t>Charter</w:t>
      </w:r>
      <w:r w:rsidR="000C40D6" w:rsidRPr="00ED4E5E">
        <w:rPr>
          <w:rFonts w:cs="Times New Roman"/>
        </w:rPr>
        <w:t xml:space="preserve"> to be free from unreasonable search and seizure violated and, if so, what is the appropriate remedy?</w:t>
      </w:r>
    </w:p>
    <w:p w:rsidR="000C40D6" w:rsidRPr="00ED4E5E" w:rsidRDefault="00014829" w:rsidP="00014829">
      <w:pPr>
        <w:pStyle w:val="ContinueParaSuitedupar-AltP"/>
        <w:ind w:left="720" w:hanging="720"/>
        <w:rPr>
          <w:rFonts w:cs="Times New Roman"/>
        </w:rPr>
      </w:pPr>
      <w:r>
        <w:rPr>
          <w:rFonts w:cs="Times New Roman"/>
        </w:rPr>
        <w:t>2.</w:t>
      </w:r>
      <w:r>
        <w:rPr>
          <w:rFonts w:cs="Times New Roman"/>
        </w:rPr>
        <w:tab/>
      </w:r>
      <w:r w:rsidR="000C40D6" w:rsidRPr="00ED4E5E">
        <w:rPr>
          <w:rFonts w:cs="Times New Roman"/>
        </w:rPr>
        <w:t xml:space="preserve">Does the </w:t>
      </w:r>
      <w:proofErr w:type="spellStart"/>
      <w:r w:rsidR="000C40D6" w:rsidRPr="00ED4E5E">
        <w:rPr>
          <w:rFonts w:cs="Times New Roman"/>
          <w:i/>
        </w:rPr>
        <w:t>mens</w:t>
      </w:r>
      <w:proofErr w:type="spellEnd"/>
      <w:r w:rsidR="000C40D6" w:rsidRPr="00ED4E5E">
        <w:rPr>
          <w:rFonts w:cs="Times New Roman"/>
          <w:i/>
        </w:rPr>
        <w:t xml:space="preserve"> </w:t>
      </w:r>
      <w:proofErr w:type="spellStart"/>
      <w:r w:rsidR="000C40D6" w:rsidRPr="00ED4E5E">
        <w:rPr>
          <w:rFonts w:cs="Times New Roman"/>
          <w:i/>
        </w:rPr>
        <w:t>rea</w:t>
      </w:r>
      <w:proofErr w:type="spellEnd"/>
      <w:r w:rsidR="000C40D6" w:rsidRPr="00ED4E5E">
        <w:rPr>
          <w:rFonts w:cs="Times New Roman"/>
        </w:rPr>
        <w:t xml:space="preserve"> of the offence provided for in s. 95(1) of the </w:t>
      </w:r>
      <w:r w:rsidR="000C40D6" w:rsidRPr="00ED4E5E">
        <w:rPr>
          <w:rFonts w:cs="Times New Roman"/>
          <w:i/>
        </w:rPr>
        <w:t>Code</w:t>
      </w:r>
      <w:r w:rsidR="000C40D6" w:rsidRPr="00ED4E5E">
        <w:rPr>
          <w:rFonts w:cs="Times New Roman"/>
        </w:rPr>
        <w:t xml:space="preserve"> include knowledge that one’s licence does not extend to the place where the firearm is possessed?</w:t>
      </w:r>
    </w:p>
    <w:p w:rsidR="000C40D6" w:rsidRPr="00ED4E5E" w:rsidRDefault="00046199" w:rsidP="00046199">
      <w:pPr>
        <w:pStyle w:val="ContinueParaSuitedupar-AltP"/>
        <w:ind w:left="720" w:hanging="720"/>
        <w:rPr>
          <w:rFonts w:cs="Times New Roman"/>
        </w:rPr>
      </w:pPr>
      <w:r>
        <w:rPr>
          <w:rFonts w:cs="Times New Roman"/>
        </w:rPr>
        <w:lastRenderedPageBreak/>
        <w:t>3.</w:t>
      </w:r>
      <w:r>
        <w:rPr>
          <w:rFonts w:cs="Times New Roman"/>
        </w:rPr>
        <w:tab/>
      </w:r>
      <w:r w:rsidR="000C40D6" w:rsidRPr="00ED4E5E">
        <w:rPr>
          <w:rFonts w:cs="Times New Roman"/>
        </w:rPr>
        <w:t>Should the sentences imposed by the Court of Appeal for the convictions under ss. 86(1) and 88(1) be varied?</w:t>
      </w:r>
    </w:p>
    <w:p w:rsidR="000C40D6" w:rsidRPr="00ED4E5E" w:rsidRDefault="000C40D6" w:rsidP="000C40D6">
      <w:pPr>
        <w:pStyle w:val="TitleTitre-AltT"/>
        <w:rPr>
          <w:rFonts w:cs="Times New Roman"/>
        </w:rPr>
      </w:pPr>
      <w:r w:rsidRPr="00ED4E5E">
        <w:rPr>
          <w:rFonts w:cs="Times New Roman"/>
        </w:rPr>
        <w:t>B.</w:t>
      </w:r>
      <w:r w:rsidRPr="00ED4E5E">
        <w:rPr>
          <w:rFonts w:cs="Times New Roman"/>
        </w:rPr>
        <w:tab/>
      </w:r>
      <w:r w:rsidRPr="00B9068B">
        <w:rPr>
          <w:rFonts w:cs="Times New Roman"/>
          <w:i/>
        </w:rPr>
        <w:t>Mr. MacDonald</w:t>
      </w:r>
      <w:r w:rsidRPr="00ED4E5E">
        <w:rPr>
          <w:rFonts w:cs="Times New Roman"/>
          <w:i/>
        </w:rPr>
        <w:t>’s Charter Challenge</w:t>
      </w:r>
    </w:p>
    <w:p w:rsidR="000C40D6" w:rsidRPr="00ED4E5E" w:rsidRDefault="000C40D6" w:rsidP="000C40D6">
      <w:pPr>
        <w:pStyle w:val="ParaNoNdepar-AltN"/>
        <w:tabs>
          <w:tab w:val="clear" w:pos="1166"/>
          <w:tab w:val="num" w:pos="1152"/>
        </w:tabs>
        <w:rPr>
          <w:rFonts w:cs="Times New Roman"/>
        </w:rPr>
      </w:pPr>
      <w:r>
        <w:rPr>
          <w:rFonts w:cs="Times New Roman"/>
        </w:rPr>
        <w:t>Mr. MacDonald</w:t>
      </w:r>
      <w:r w:rsidRPr="00ED4E5E">
        <w:rPr>
          <w:rFonts w:cs="Times New Roman"/>
        </w:rPr>
        <w:t xml:space="preserve">’s central argument is that Sgt. Boyd’s action of pushing the door open further constituted an unreasonable search, contrary to s. 8 of the </w:t>
      </w:r>
      <w:r w:rsidRPr="00ED4E5E">
        <w:rPr>
          <w:rFonts w:cs="Times New Roman"/>
          <w:i/>
        </w:rPr>
        <w:t>Charter</w:t>
      </w:r>
      <w:r w:rsidRPr="00ED4E5E">
        <w:rPr>
          <w:rFonts w:cs="Times New Roman"/>
        </w:rPr>
        <w:t xml:space="preserve">.  He submits that the evidence obtained by the police as a result of the search — namely the firearm — ought to be excluded under s. 24(2) of the </w:t>
      </w:r>
      <w:r w:rsidRPr="00ED4E5E">
        <w:rPr>
          <w:rFonts w:cs="Times New Roman"/>
          <w:i/>
        </w:rPr>
        <w:t>Charter</w:t>
      </w:r>
      <w:r w:rsidRPr="00ED4E5E">
        <w:rPr>
          <w:rFonts w:cs="Times New Roman"/>
        </w:rPr>
        <w:t xml:space="preserve">, as its admission would bring the administration of justice into disrepute.  I cannot accept this argument.  As I will explain, although Sgt. Boyd’s action constituted a “search” for the purposes of s. 8 of the </w:t>
      </w:r>
      <w:r w:rsidRPr="00ED4E5E">
        <w:rPr>
          <w:rFonts w:cs="Times New Roman"/>
          <w:i/>
        </w:rPr>
        <w:t>Charter</w:t>
      </w:r>
      <w:r w:rsidRPr="00ED4E5E">
        <w:rPr>
          <w:rFonts w:cs="Times New Roman"/>
        </w:rPr>
        <w:t>, that search was not unreasonable.</w:t>
      </w:r>
    </w:p>
    <w:p w:rsidR="000C40D6" w:rsidRPr="00ED4E5E" w:rsidRDefault="000C40D6" w:rsidP="000C40D6">
      <w:pPr>
        <w:pStyle w:val="TitleTitre-AltT"/>
        <w:tabs>
          <w:tab w:val="clear" w:pos="360"/>
          <w:tab w:val="left" w:pos="900"/>
        </w:tabs>
        <w:rPr>
          <w:rFonts w:cs="Times New Roman"/>
        </w:rPr>
      </w:pPr>
      <w:r w:rsidRPr="00ED4E5E">
        <w:rPr>
          <w:rFonts w:cs="Times New Roman"/>
        </w:rPr>
        <w:tab/>
        <w:t>(1)</w:t>
      </w:r>
      <w:r w:rsidRPr="00ED4E5E">
        <w:rPr>
          <w:rFonts w:cs="Times New Roman"/>
        </w:rPr>
        <w:tab/>
      </w:r>
      <w:r w:rsidRPr="00ED4E5E">
        <w:rPr>
          <w:rFonts w:cs="Times New Roman"/>
          <w:u w:val="single"/>
        </w:rPr>
        <w:t>Did Sgt. Boyd’s Action Constitute a Search?</w:t>
      </w:r>
    </w:p>
    <w:p w:rsidR="000C40D6" w:rsidRPr="00ED4E5E" w:rsidRDefault="000C40D6" w:rsidP="000C40D6">
      <w:pPr>
        <w:pStyle w:val="ParaNoNdepar-AltN"/>
        <w:tabs>
          <w:tab w:val="clear" w:pos="1166"/>
          <w:tab w:val="num" w:pos="1152"/>
        </w:tabs>
        <w:rPr>
          <w:rFonts w:cs="Times New Roman"/>
        </w:rPr>
      </w:pPr>
      <w:r w:rsidRPr="00ED4E5E">
        <w:rPr>
          <w:rFonts w:cs="Times New Roman"/>
          <w:i/>
        </w:rPr>
        <w:t>R. v. Evans</w:t>
      </w:r>
      <w:r w:rsidRPr="00ED4E5E">
        <w:rPr>
          <w:rFonts w:cs="Times New Roman"/>
        </w:rPr>
        <w:t xml:space="preserve">, [1996] 1 S.C.R. 8, is a leading case on what constitutes a “search” for the purposes of s. 8.  The facts of that case were not dissimilar to those of the instant case in that the search was carried out by police at the doorstep of the accused person’s home.  </w:t>
      </w:r>
      <w:proofErr w:type="spellStart"/>
      <w:r w:rsidRPr="00ED4E5E">
        <w:rPr>
          <w:rFonts w:cs="Times New Roman"/>
        </w:rPr>
        <w:t>Sopinka</w:t>
      </w:r>
      <w:proofErr w:type="spellEnd"/>
      <w:r w:rsidRPr="00ED4E5E">
        <w:rPr>
          <w:rFonts w:cs="Times New Roman"/>
        </w:rPr>
        <w:t xml:space="preserve"> J. laid down the following test for determining whether a police action constitutes a “search”:</w:t>
      </w:r>
    </w:p>
    <w:p w:rsidR="000C40D6" w:rsidRPr="00ED4E5E" w:rsidRDefault="000C40D6" w:rsidP="000C40D6">
      <w:pPr>
        <w:pStyle w:val="Citation-AltC"/>
      </w:pPr>
      <w:r w:rsidRPr="00ED4E5E">
        <w:t xml:space="preserve">. . . </w:t>
      </w:r>
      <w:proofErr w:type="gramStart"/>
      <w:r w:rsidRPr="00ED4E5E">
        <w:t>it</w:t>
      </w:r>
      <w:proofErr w:type="gramEnd"/>
      <w:r w:rsidRPr="00ED4E5E">
        <w:t xml:space="preserve"> is only where a person’s reasonable expectations of privacy are somehow diminished by an investigatory technique that s. 8 of the </w:t>
      </w:r>
      <w:r w:rsidRPr="00ED4E5E">
        <w:rPr>
          <w:i/>
          <w:iCs/>
        </w:rPr>
        <w:t xml:space="preserve">Charter </w:t>
      </w:r>
      <w:r w:rsidRPr="00ED4E5E">
        <w:t xml:space="preserve">comes into play. As a result, not every form of examination conducted by the government will constitute a “search” for constitutional purposes. On the contrary, </w:t>
      </w:r>
      <w:r w:rsidRPr="00ED4E5E">
        <w:rPr>
          <w:u w:val="single"/>
        </w:rPr>
        <w:t xml:space="preserve">only where those state examinations constitute an intrusion upon some reasonable privacy interest of individuals does </w:t>
      </w:r>
      <w:r w:rsidRPr="00ED4E5E">
        <w:rPr>
          <w:u w:val="single"/>
        </w:rPr>
        <w:lastRenderedPageBreak/>
        <w:t>the government action in question constitute a “search” within the meaning of s. 8</w:t>
      </w:r>
      <w:r w:rsidRPr="00ED4E5E">
        <w:t xml:space="preserve">. [Emphasis added; </w:t>
      </w:r>
      <w:proofErr w:type="spellStart"/>
      <w:r w:rsidRPr="00ED4E5E">
        <w:t>para</w:t>
      </w:r>
      <w:proofErr w:type="spellEnd"/>
      <w:r w:rsidRPr="00ED4E5E">
        <w:t>. 11.]</w:t>
      </w:r>
    </w:p>
    <w:p w:rsidR="000C40D6" w:rsidRPr="00ED4E5E" w:rsidRDefault="000C40D6" w:rsidP="000C40D6">
      <w:pPr>
        <w:pStyle w:val="ParaNoNdepar-AltN"/>
        <w:numPr>
          <w:ilvl w:val="0"/>
          <w:numId w:val="0"/>
        </w:numPr>
        <w:rPr>
          <w:rFonts w:cs="Times New Roman"/>
        </w:rPr>
      </w:pPr>
      <w:r w:rsidRPr="00ED4E5E">
        <w:rPr>
          <w:rFonts w:cs="Times New Roman"/>
        </w:rPr>
        <w:t xml:space="preserve">In other words, </w:t>
      </w:r>
      <w:proofErr w:type="gramStart"/>
      <w:r w:rsidRPr="00ED4E5E">
        <w:rPr>
          <w:rFonts w:cs="Times New Roman"/>
        </w:rPr>
        <w:t>a</w:t>
      </w:r>
      <w:proofErr w:type="gramEnd"/>
      <w:r w:rsidRPr="00ED4E5E">
        <w:rPr>
          <w:rFonts w:cs="Times New Roman"/>
        </w:rPr>
        <w:t xml:space="preserve"> s. 8 search “may be defined as the state invasion of a reasonable expectation of privacy” (</w:t>
      </w:r>
      <w:r w:rsidRPr="00ED4E5E">
        <w:rPr>
          <w:rFonts w:cs="Times New Roman"/>
          <w:i/>
        </w:rPr>
        <w:t>R. v. A.M.</w:t>
      </w:r>
      <w:r w:rsidRPr="00ED4E5E">
        <w:rPr>
          <w:rFonts w:cs="Times New Roman"/>
        </w:rPr>
        <w:t xml:space="preserve">, 2008 SCC 19, </w:t>
      </w:r>
      <w:r w:rsidRPr="00ED4E5E">
        <w:rPr>
          <w:rFonts w:cs="Times New Roman"/>
          <w:lang w:val="en-GB"/>
        </w:rPr>
        <w:t xml:space="preserve">[2008] 1 S.C.R. 569, </w:t>
      </w:r>
      <w:r w:rsidRPr="00ED4E5E">
        <w:rPr>
          <w:rFonts w:cs="Times New Roman"/>
        </w:rPr>
        <w:t xml:space="preserve">at </w:t>
      </w:r>
      <w:proofErr w:type="spellStart"/>
      <w:r w:rsidRPr="00ED4E5E">
        <w:rPr>
          <w:rFonts w:cs="Times New Roman"/>
        </w:rPr>
        <w:t>para</w:t>
      </w:r>
      <w:proofErr w:type="spellEnd"/>
      <w:r w:rsidRPr="00ED4E5E">
        <w:rPr>
          <w:rFonts w:cs="Times New Roman"/>
        </w:rPr>
        <w:t>. 8).</w:t>
      </w:r>
    </w:p>
    <w:p w:rsidR="000C40D6" w:rsidRPr="00ED4E5E" w:rsidRDefault="000C40D6" w:rsidP="000C40D6">
      <w:pPr>
        <w:pStyle w:val="ParaNoNdepar-AltN"/>
        <w:tabs>
          <w:tab w:val="clear" w:pos="1166"/>
          <w:tab w:val="num" w:pos="1152"/>
        </w:tabs>
        <w:rPr>
          <w:rFonts w:cs="Times New Roman"/>
        </w:rPr>
      </w:pPr>
      <w:r w:rsidRPr="00ED4E5E">
        <w:rPr>
          <w:rFonts w:cs="Times New Roman"/>
        </w:rPr>
        <w:t>There is no question that individuals have a reasonable, indeed a strong, expectation of privacy in their homes (</w:t>
      </w:r>
      <w:r w:rsidRPr="00ED4E5E">
        <w:rPr>
          <w:rFonts w:cs="Times New Roman"/>
          <w:i/>
        </w:rPr>
        <w:t>R. v. Godoy</w:t>
      </w:r>
      <w:r w:rsidRPr="00ED4E5E">
        <w:rPr>
          <w:rFonts w:cs="Times New Roman"/>
        </w:rPr>
        <w:t xml:space="preserve">, [1999] 1 S.C.R. 311, at </w:t>
      </w:r>
      <w:proofErr w:type="spellStart"/>
      <w:r w:rsidRPr="00ED4E5E">
        <w:rPr>
          <w:rFonts w:cs="Times New Roman"/>
        </w:rPr>
        <w:t>para</w:t>
      </w:r>
      <w:proofErr w:type="spellEnd"/>
      <w:r w:rsidRPr="00ED4E5E">
        <w:rPr>
          <w:rFonts w:cs="Times New Roman"/>
        </w:rPr>
        <w:t xml:space="preserve">. 19; </w:t>
      </w:r>
      <w:r w:rsidRPr="00ED4E5E">
        <w:rPr>
          <w:rFonts w:cs="Times New Roman"/>
          <w:i/>
        </w:rPr>
        <w:t>R. v. Feeney</w:t>
      </w:r>
      <w:r w:rsidRPr="00ED4E5E">
        <w:rPr>
          <w:rFonts w:cs="Times New Roman"/>
        </w:rPr>
        <w:t xml:space="preserve">, [1997] 2 S.C.R. 13; </w:t>
      </w:r>
      <w:r w:rsidRPr="00ED4E5E">
        <w:rPr>
          <w:rFonts w:cs="Times New Roman"/>
          <w:i/>
        </w:rPr>
        <w:t xml:space="preserve">R. v. </w:t>
      </w:r>
      <w:proofErr w:type="spellStart"/>
      <w:r w:rsidRPr="00ED4E5E">
        <w:rPr>
          <w:rFonts w:cs="Times New Roman"/>
          <w:i/>
        </w:rPr>
        <w:t>Silveira</w:t>
      </w:r>
      <w:proofErr w:type="spellEnd"/>
      <w:r w:rsidRPr="00ED4E5E">
        <w:rPr>
          <w:rFonts w:cs="Times New Roman"/>
        </w:rPr>
        <w:t>, [1995] 2 S.C.R. 297), as well as in the approaches to their homes (</w:t>
      </w:r>
      <w:r w:rsidRPr="00ED4E5E">
        <w:rPr>
          <w:rFonts w:cs="Times New Roman"/>
          <w:i/>
        </w:rPr>
        <w:t>Evans</w:t>
      </w:r>
      <w:r w:rsidRPr="00ED4E5E">
        <w:rPr>
          <w:rFonts w:cs="Times New Roman"/>
        </w:rPr>
        <w:t xml:space="preserve">, at </w:t>
      </w:r>
      <w:proofErr w:type="spellStart"/>
      <w:r w:rsidRPr="00ED4E5E">
        <w:rPr>
          <w:rFonts w:cs="Times New Roman"/>
        </w:rPr>
        <w:t>para</w:t>
      </w:r>
      <w:proofErr w:type="spellEnd"/>
      <w:r w:rsidRPr="00ED4E5E">
        <w:rPr>
          <w:rFonts w:cs="Times New Roman"/>
        </w:rPr>
        <w:t xml:space="preserve">. 21).  However, </w:t>
      </w:r>
      <w:r w:rsidRPr="00ED4E5E">
        <w:rPr>
          <w:rFonts w:cs="Times New Roman"/>
          <w:i/>
        </w:rPr>
        <w:t>Evans</w:t>
      </w:r>
      <w:r w:rsidRPr="00ED4E5E">
        <w:rPr>
          <w:rFonts w:cs="Times New Roman"/>
        </w:rPr>
        <w:t xml:space="preserve"> also established that the police have an implied licence to approach the door of a residence and knock.  Doing so will not be considered an invasion of privacy constituting a search if the purpose of the police is to communicate with the occupant.  But “[w]here the conduct of the police . . . goes beyond that which is permitted by the implied licence to knock, the implied ‘conditions’ of that licence have effectively been breached, and the person carrying out the unauthorized activity approaches the dwelling as an intruder” (</w:t>
      </w:r>
      <w:r w:rsidRPr="00ED4E5E">
        <w:rPr>
          <w:rFonts w:cs="Times New Roman"/>
          <w:i/>
        </w:rPr>
        <w:t>Evans</w:t>
      </w:r>
      <w:r w:rsidRPr="00ED4E5E">
        <w:rPr>
          <w:rFonts w:cs="Times New Roman"/>
        </w:rPr>
        <w:t xml:space="preserve">, at </w:t>
      </w:r>
      <w:proofErr w:type="spellStart"/>
      <w:r w:rsidRPr="00ED4E5E">
        <w:rPr>
          <w:rFonts w:cs="Times New Roman"/>
        </w:rPr>
        <w:t>para</w:t>
      </w:r>
      <w:proofErr w:type="spellEnd"/>
      <w:r w:rsidRPr="00ED4E5E">
        <w:rPr>
          <w:rFonts w:cs="Times New Roman"/>
        </w:rPr>
        <w:t>. 15).  In such circumstances, the police action constitutes a “search”.</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Initially, Sgt. Boyd’s actions were compatible with the implied licence to knock.  He approached </w:t>
      </w:r>
      <w:r>
        <w:rPr>
          <w:rFonts w:cs="Times New Roman"/>
        </w:rPr>
        <w:t>Mr. MacDonald</w:t>
      </w:r>
      <w:r w:rsidRPr="00ED4E5E">
        <w:rPr>
          <w:rFonts w:cs="Times New Roman"/>
        </w:rPr>
        <w:t xml:space="preserve">’s door, knocked on it and kicked it for the purpose of communicating to the occupant that he needed to turn his music down.  After </w:t>
      </w:r>
      <w:r>
        <w:rPr>
          <w:rFonts w:cs="Times New Roman"/>
        </w:rPr>
        <w:t>Mr. MacDonald</w:t>
      </w:r>
      <w:r w:rsidRPr="00ED4E5E">
        <w:rPr>
          <w:rFonts w:cs="Times New Roman"/>
        </w:rPr>
        <w:t xml:space="preserve"> had opened the door, however, Sgt. Boyd’s purpose in pushing it open further was to get a better view of what was in his hand (A.R., at pp. 168-69).  Simply put, </w:t>
      </w:r>
      <w:r>
        <w:rPr>
          <w:rFonts w:cs="Times New Roman"/>
        </w:rPr>
        <w:t>Mr. MacDonald</w:t>
      </w:r>
      <w:r w:rsidRPr="00ED4E5E">
        <w:rPr>
          <w:rFonts w:cs="Times New Roman"/>
        </w:rPr>
        <w:t xml:space="preserve">’s implied waiver of his privacy rights did not extend that far.  Speaking or shouting through the door or knocking on it falls within the waiver; </w:t>
      </w:r>
      <w:r w:rsidRPr="00ED4E5E">
        <w:rPr>
          <w:rFonts w:cs="Times New Roman"/>
        </w:rPr>
        <w:lastRenderedPageBreak/>
        <w:t xml:space="preserve">pushing it open </w:t>
      </w:r>
      <w:r>
        <w:rPr>
          <w:rFonts w:cs="Times New Roman"/>
        </w:rPr>
        <w:t xml:space="preserve">further </w:t>
      </w:r>
      <w:r w:rsidRPr="00ED4E5E">
        <w:rPr>
          <w:rFonts w:cs="Times New Roman"/>
        </w:rPr>
        <w:t xml:space="preserve">does not. Sgt. Boyd’s action of pushing the door open further constituted an intrusion upon </w:t>
      </w:r>
      <w:r>
        <w:rPr>
          <w:rFonts w:cs="Times New Roman"/>
        </w:rPr>
        <w:t>Mr. MacDonald</w:t>
      </w:r>
      <w:r w:rsidRPr="00ED4E5E">
        <w:rPr>
          <w:rFonts w:cs="Times New Roman"/>
        </w:rPr>
        <w:t>’s reasonable privacy interest in his dwelling.</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Having found that the police action constituted a search of </w:t>
      </w:r>
      <w:r w:rsidR="00046199">
        <w:rPr>
          <w:rFonts w:cs="Times New Roman"/>
        </w:rPr>
        <w:t xml:space="preserve">Mr. </w:t>
      </w:r>
      <w:r>
        <w:rPr>
          <w:rFonts w:cs="Times New Roman"/>
        </w:rPr>
        <w:t>MacDonald</w:t>
      </w:r>
      <w:r w:rsidRPr="00ED4E5E">
        <w:rPr>
          <w:rFonts w:cs="Times New Roman"/>
        </w:rPr>
        <w:t xml:space="preserve">’s home, I must now consider whether that search was unreasonable, and therefore in violation of s. 8 of the </w:t>
      </w:r>
      <w:r w:rsidRPr="00ED4E5E">
        <w:rPr>
          <w:rFonts w:cs="Times New Roman"/>
          <w:i/>
        </w:rPr>
        <w:t>Charter</w:t>
      </w:r>
      <w:r w:rsidRPr="00ED4E5E">
        <w:rPr>
          <w:rFonts w:cs="Times New Roman"/>
        </w:rPr>
        <w:t>.  At this stage, because the search was warrantless, the Crown has the burden of showing that it was reasonable (</w:t>
      </w:r>
      <w:r w:rsidRPr="00ED4E5E">
        <w:rPr>
          <w:rFonts w:cs="Times New Roman"/>
          <w:i/>
          <w:szCs w:val="24"/>
        </w:rPr>
        <w:t>R. v. Collins</w:t>
      </w:r>
      <w:r w:rsidRPr="00ED4E5E">
        <w:rPr>
          <w:rFonts w:cs="Times New Roman"/>
          <w:szCs w:val="24"/>
        </w:rPr>
        <w:t>, [1987] 1 S.C.R. 265, at p. 278)</w:t>
      </w:r>
      <w:r w:rsidRPr="00ED4E5E">
        <w:rPr>
          <w:rFonts w:cs="Times New Roman"/>
        </w:rPr>
        <w:t>.</w:t>
      </w:r>
    </w:p>
    <w:p w:rsidR="000C40D6" w:rsidRPr="00ED4E5E" w:rsidRDefault="000C40D6" w:rsidP="000C40D6">
      <w:pPr>
        <w:pStyle w:val="TitleTitre-AltT"/>
        <w:tabs>
          <w:tab w:val="clear" w:pos="360"/>
          <w:tab w:val="left" w:pos="900"/>
        </w:tabs>
        <w:rPr>
          <w:rFonts w:cs="Times New Roman"/>
        </w:rPr>
      </w:pPr>
      <w:r w:rsidRPr="00ED4E5E">
        <w:rPr>
          <w:rFonts w:cs="Times New Roman"/>
        </w:rPr>
        <w:tab/>
        <w:t>(2)</w:t>
      </w:r>
      <w:r w:rsidRPr="00ED4E5E">
        <w:rPr>
          <w:rFonts w:cs="Times New Roman"/>
        </w:rPr>
        <w:tab/>
      </w:r>
      <w:r w:rsidRPr="00ED4E5E">
        <w:rPr>
          <w:rFonts w:cs="Times New Roman"/>
          <w:u w:val="single"/>
        </w:rPr>
        <w:t>Was the Search Unreasonable?</w:t>
      </w:r>
    </w:p>
    <w:p w:rsidR="000C40D6" w:rsidRPr="00ED4E5E" w:rsidRDefault="000C40D6" w:rsidP="000C40D6">
      <w:pPr>
        <w:pStyle w:val="ParaNoNdepar-AltN"/>
        <w:tabs>
          <w:tab w:val="clear" w:pos="1166"/>
          <w:tab w:val="num" w:pos="1152"/>
        </w:tabs>
        <w:rPr>
          <w:rFonts w:cs="Times New Roman"/>
          <w:szCs w:val="24"/>
        </w:rPr>
      </w:pPr>
      <w:r w:rsidRPr="00ED4E5E">
        <w:rPr>
          <w:rFonts w:cs="Times New Roman"/>
        </w:rPr>
        <w:t xml:space="preserve">The framework for scrutinizing warrantless </w:t>
      </w:r>
      <w:r w:rsidRPr="00ED4E5E">
        <w:rPr>
          <w:rFonts w:cs="Times New Roman"/>
          <w:szCs w:val="24"/>
        </w:rPr>
        <w:t xml:space="preserve">searches for </w:t>
      </w:r>
      <w:r w:rsidRPr="00ED4E5E">
        <w:rPr>
          <w:rFonts w:cs="Times New Roman"/>
          <w:i/>
          <w:szCs w:val="24"/>
        </w:rPr>
        <w:t>Charter</w:t>
      </w:r>
      <w:r w:rsidRPr="00ED4E5E">
        <w:rPr>
          <w:rFonts w:cs="Times New Roman"/>
          <w:szCs w:val="24"/>
        </w:rPr>
        <w:t xml:space="preserve"> compliance was summarized by this Court in </w:t>
      </w:r>
      <w:r w:rsidRPr="00ED4E5E">
        <w:rPr>
          <w:rFonts w:cs="Times New Roman"/>
          <w:i/>
          <w:szCs w:val="24"/>
        </w:rPr>
        <w:t>Mann</w:t>
      </w:r>
      <w:r w:rsidRPr="00ED4E5E">
        <w:rPr>
          <w:rFonts w:cs="Times New Roman"/>
          <w:szCs w:val="24"/>
        </w:rPr>
        <w:t>:</w:t>
      </w:r>
    </w:p>
    <w:p w:rsidR="000C40D6" w:rsidRPr="00ED4E5E" w:rsidRDefault="000C40D6" w:rsidP="000C40D6">
      <w:pPr>
        <w:pStyle w:val="Citation-AltC"/>
        <w:rPr>
          <w:szCs w:val="24"/>
        </w:rPr>
      </w:pPr>
      <w:r w:rsidRPr="00ED4E5E">
        <w:rPr>
          <w:szCs w:val="24"/>
        </w:rPr>
        <w:t xml:space="preserve">[Warrantless] searches are presumed to be unreasonable unless they can be justified, and hence found reasonable, pursuant to the test established in </w:t>
      </w:r>
      <w:r w:rsidRPr="00ED4E5E">
        <w:rPr>
          <w:i/>
          <w:szCs w:val="24"/>
        </w:rPr>
        <w:t>R. v. Collins</w:t>
      </w:r>
      <w:r w:rsidRPr="00ED4E5E">
        <w:rPr>
          <w:szCs w:val="24"/>
        </w:rPr>
        <w:t xml:space="preserve">, [1987] 1 S.C.R. 265.  Under </w:t>
      </w:r>
      <w:r w:rsidRPr="00ED4E5E">
        <w:rPr>
          <w:i/>
          <w:iCs/>
          <w:szCs w:val="24"/>
        </w:rPr>
        <w:t>Collins</w:t>
      </w:r>
      <w:r w:rsidRPr="00ED4E5E">
        <w:rPr>
          <w:szCs w:val="24"/>
        </w:rPr>
        <w:t xml:space="preserve">, warrantless searches are deemed reasonable if (a) they are authorized by law, (b) the law itself is reasonable, and (c) the manner in which the search was carried out was also reasonable (p. 278). The Crown bears the burden of demonstrating, on the balance of probabilities, that the warrantless search was authorized by a reasonable law and carried out in a reasonable manner: </w:t>
      </w:r>
      <w:r w:rsidRPr="00ED4E5E">
        <w:rPr>
          <w:i/>
          <w:iCs/>
          <w:szCs w:val="24"/>
        </w:rPr>
        <w:t xml:space="preserve">R. v. </w:t>
      </w:r>
      <w:proofErr w:type="spellStart"/>
      <w:r w:rsidRPr="00ED4E5E">
        <w:rPr>
          <w:i/>
          <w:iCs/>
          <w:szCs w:val="24"/>
        </w:rPr>
        <w:t>Buhay</w:t>
      </w:r>
      <w:proofErr w:type="spellEnd"/>
      <w:r w:rsidRPr="00ED4E5E">
        <w:rPr>
          <w:szCs w:val="24"/>
        </w:rPr>
        <w:t xml:space="preserve">, [2003] 1 S.C.R. 631, 2003 SCC 30, at </w:t>
      </w:r>
      <w:proofErr w:type="spellStart"/>
      <w:r w:rsidRPr="00ED4E5E">
        <w:rPr>
          <w:szCs w:val="24"/>
        </w:rPr>
        <w:t>para</w:t>
      </w:r>
      <w:proofErr w:type="spellEnd"/>
      <w:r w:rsidRPr="00ED4E5E">
        <w:rPr>
          <w:szCs w:val="24"/>
        </w:rPr>
        <w:t>. 32. [</w:t>
      </w:r>
      <w:proofErr w:type="spellStart"/>
      <w:r w:rsidRPr="00ED4E5E">
        <w:rPr>
          <w:szCs w:val="24"/>
        </w:rPr>
        <w:t>para</w:t>
      </w:r>
      <w:proofErr w:type="spellEnd"/>
      <w:r w:rsidRPr="00ED4E5E">
        <w:rPr>
          <w:szCs w:val="24"/>
        </w:rPr>
        <w:t>. 36]</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Applying the </w:t>
      </w:r>
      <w:r w:rsidRPr="00ED4E5E">
        <w:rPr>
          <w:rFonts w:cs="Times New Roman"/>
          <w:i/>
        </w:rPr>
        <w:t>Collins</w:t>
      </w:r>
      <w:r w:rsidRPr="00ED4E5E">
        <w:rPr>
          <w:rFonts w:cs="Times New Roman"/>
        </w:rPr>
        <w:t xml:space="preserve"> test to the facts of the instant case, I find that the search carried out by Sgt. Boyd was reasonable.</w:t>
      </w:r>
    </w:p>
    <w:p w:rsidR="000C40D6" w:rsidRPr="00ED4E5E" w:rsidRDefault="000C40D6" w:rsidP="000C40D6">
      <w:pPr>
        <w:pStyle w:val="TitleTitre-AltT"/>
        <w:numPr>
          <w:ilvl w:val="4"/>
          <w:numId w:val="2"/>
        </w:numPr>
        <w:tabs>
          <w:tab w:val="clear" w:pos="360"/>
          <w:tab w:val="left" w:pos="900"/>
        </w:tabs>
        <w:ind w:hanging="630"/>
        <w:rPr>
          <w:rFonts w:cs="Times New Roman"/>
        </w:rPr>
      </w:pPr>
      <w:r w:rsidRPr="00ED4E5E">
        <w:rPr>
          <w:rFonts w:cs="Times New Roman"/>
          <w:i/>
        </w:rPr>
        <w:lastRenderedPageBreak/>
        <w:t xml:space="preserve">The Search Was Authorized by Law and </w:t>
      </w:r>
      <w:r w:rsidRPr="00ED4E5E">
        <w:rPr>
          <w:rFonts w:cs="Times New Roman"/>
          <w:i/>
          <w:szCs w:val="24"/>
        </w:rPr>
        <w:t>the Law Itself Is Reasonable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Where the first prong of the </w:t>
      </w:r>
      <w:r w:rsidRPr="00ED4E5E">
        <w:rPr>
          <w:rFonts w:cs="Times New Roman"/>
          <w:i/>
        </w:rPr>
        <w:t>Collins</w:t>
      </w:r>
      <w:r w:rsidRPr="00ED4E5E">
        <w:rPr>
          <w:rFonts w:cs="Times New Roman"/>
        </w:rPr>
        <w:t xml:space="preserve"> test is concerned, a search will be authorized by law if it is authorized by a valid police power.  In </w:t>
      </w:r>
      <w:r w:rsidRPr="00ED4E5E">
        <w:rPr>
          <w:rFonts w:cs="Times New Roman"/>
          <w:i/>
        </w:rPr>
        <w:t>Godoy</w:t>
      </w:r>
      <w:r w:rsidRPr="00ED4E5E">
        <w:rPr>
          <w:rFonts w:cs="Times New Roman"/>
        </w:rPr>
        <w:t>, Lamer C.J. affirmed that the police have a common law duty to protect life and safety.  Nevertheless, “[p]</w:t>
      </w:r>
      <w:proofErr w:type="spellStart"/>
      <w:r w:rsidRPr="00ED4E5E">
        <w:rPr>
          <w:rFonts w:cs="Times New Roman"/>
        </w:rPr>
        <w:t>olice</w:t>
      </w:r>
      <w:proofErr w:type="spellEnd"/>
      <w:r w:rsidRPr="00ED4E5E">
        <w:rPr>
          <w:rFonts w:cs="Times New Roman"/>
        </w:rPr>
        <w:t xml:space="preserve"> powers and police duties are not necessarily correlative” (</w:t>
      </w:r>
      <w:r w:rsidRPr="00ED4E5E">
        <w:rPr>
          <w:rFonts w:cs="Times New Roman"/>
          <w:i/>
        </w:rPr>
        <w:t>Mann</w:t>
      </w:r>
      <w:r w:rsidRPr="00ED4E5E">
        <w:rPr>
          <w:rFonts w:cs="Times New Roman"/>
        </w:rPr>
        <w:t xml:space="preserve">, at </w:t>
      </w:r>
      <w:proofErr w:type="spellStart"/>
      <w:r w:rsidRPr="00ED4E5E">
        <w:rPr>
          <w:rFonts w:cs="Times New Roman"/>
        </w:rPr>
        <w:t>para</w:t>
      </w:r>
      <w:proofErr w:type="spellEnd"/>
      <w:r w:rsidRPr="00ED4E5E">
        <w:rPr>
          <w:rFonts w:cs="Times New Roman"/>
        </w:rPr>
        <w:t>. 35). Indeed, the police power to search is not unlimited.  This power is constrained by a requirement of objectively verifiable necessity (</w:t>
      </w:r>
      <w:proofErr w:type="spellStart"/>
      <w:r w:rsidRPr="00ED4E5E">
        <w:rPr>
          <w:rFonts w:cs="Times New Roman"/>
        </w:rPr>
        <w:t>para</w:t>
      </w:r>
      <w:proofErr w:type="spellEnd"/>
      <w:r w:rsidRPr="00ED4E5E">
        <w:rPr>
          <w:rFonts w:cs="Times New Roman"/>
        </w:rPr>
        <w:t xml:space="preserve">. 26). In </w:t>
      </w:r>
      <w:r w:rsidRPr="00ED4E5E">
        <w:rPr>
          <w:rFonts w:cs="Times New Roman"/>
          <w:i/>
        </w:rPr>
        <w:t>Mann</w:t>
      </w:r>
      <w:r w:rsidRPr="00ED4E5E">
        <w:rPr>
          <w:rFonts w:cs="Times New Roman"/>
        </w:rPr>
        <w:t xml:space="preserve">, </w:t>
      </w:r>
      <w:proofErr w:type="spellStart"/>
      <w:r w:rsidRPr="00ED4E5E">
        <w:rPr>
          <w:rFonts w:cs="Times New Roman"/>
        </w:rPr>
        <w:t>Iacobucci</w:t>
      </w:r>
      <w:proofErr w:type="spellEnd"/>
      <w:r w:rsidRPr="00ED4E5E">
        <w:rPr>
          <w:rFonts w:cs="Times New Roman"/>
        </w:rPr>
        <w:t xml:space="preserve"> J. accepted the need for a general police power to conduct pat-down searches, but solely in appropriate circumstances. He was mindful of the risks of abuse of such a power, as he observed that “[s]</w:t>
      </w:r>
      <w:proofErr w:type="spellStart"/>
      <w:r w:rsidRPr="00ED4E5E">
        <w:rPr>
          <w:rFonts w:cs="Times New Roman"/>
        </w:rPr>
        <w:t>uch</w:t>
      </w:r>
      <w:proofErr w:type="spellEnd"/>
      <w:r w:rsidRPr="00ED4E5E">
        <w:rPr>
          <w:rFonts w:cs="Times New Roman"/>
        </w:rPr>
        <w:t xml:space="preserve"> a search power does not exist as a matter of course: the officer must believe on reasonable grounds that his or her own safety</w:t>
      </w:r>
      <w:r>
        <w:rPr>
          <w:rFonts w:cs="Times New Roman"/>
        </w:rPr>
        <w:t>,</w:t>
      </w:r>
      <w:r w:rsidRPr="00ED4E5E">
        <w:rPr>
          <w:rFonts w:cs="Times New Roman"/>
        </w:rPr>
        <w:t xml:space="preserve"> or the safety of others, is at risk” (</w:t>
      </w:r>
      <w:proofErr w:type="spellStart"/>
      <w:r w:rsidRPr="00ED4E5E">
        <w:rPr>
          <w:rFonts w:cs="Times New Roman"/>
        </w:rPr>
        <w:t>para</w:t>
      </w:r>
      <w:proofErr w:type="spellEnd"/>
      <w:r w:rsidRPr="00ED4E5E">
        <w:rPr>
          <w:rFonts w:cs="Times New Roman"/>
        </w:rPr>
        <w:t>. 40).</w:t>
      </w:r>
    </w:p>
    <w:p w:rsidR="000C40D6" w:rsidRPr="00ED4E5E" w:rsidRDefault="000C40D6" w:rsidP="000C40D6">
      <w:pPr>
        <w:pStyle w:val="ParaNoNdepar-AltN"/>
        <w:tabs>
          <w:tab w:val="clear" w:pos="1166"/>
          <w:tab w:val="num" w:pos="1152"/>
        </w:tabs>
        <w:rPr>
          <w:rFonts w:cs="Times New Roman"/>
        </w:rPr>
      </w:pPr>
      <w:r w:rsidRPr="00ED4E5E">
        <w:rPr>
          <w:rFonts w:cs="Times New Roman"/>
        </w:rPr>
        <w:t>A search that is reasonably necessary to e</w:t>
      </w:r>
      <w:r>
        <w:rPr>
          <w:rFonts w:cs="Times New Roman"/>
        </w:rPr>
        <w:t>liminate</w:t>
      </w:r>
      <w:r w:rsidRPr="00ED4E5E">
        <w:rPr>
          <w:rFonts w:cs="Times New Roman"/>
        </w:rPr>
        <w:t xml:space="preserve"> threats to the safety of the public or the police — which I will term a “safety search” — will generally </w:t>
      </w:r>
      <w:proofErr w:type="gramStart"/>
      <w:r w:rsidRPr="00ED4E5E">
        <w:rPr>
          <w:rFonts w:cs="Times New Roman"/>
        </w:rPr>
        <w:t>be</w:t>
      </w:r>
      <w:proofErr w:type="gramEnd"/>
      <w:r w:rsidRPr="00ED4E5E">
        <w:rPr>
          <w:rFonts w:cs="Times New Roman"/>
        </w:rPr>
        <w:t xml:space="preserve"> conducted by the police as a reactionary measure.  In other words, although such searches may arise in a wide variety of contexts, they will generally be unplanned, as they will be carried out in response to dangerous situations created by individuals, to which the police must react “on the sudden”.  Binnie J.’s observation in </w:t>
      </w:r>
      <w:r w:rsidRPr="00ED4E5E">
        <w:rPr>
          <w:rFonts w:cs="Times New Roman"/>
          <w:i/>
        </w:rPr>
        <w:t>A.M.</w:t>
      </w:r>
      <w:r w:rsidRPr="00ED4E5E">
        <w:rPr>
          <w:rFonts w:cs="Times New Roman"/>
        </w:rPr>
        <w:t xml:space="preserve"> in relation to sniffer-dog searches that “the police are generally required to take quick action guided by on-the-spot observations” (at </w:t>
      </w:r>
      <w:proofErr w:type="spellStart"/>
      <w:r w:rsidRPr="00ED4E5E">
        <w:rPr>
          <w:rFonts w:cs="Times New Roman"/>
        </w:rPr>
        <w:t>para</w:t>
      </w:r>
      <w:proofErr w:type="spellEnd"/>
      <w:r w:rsidRPr="00ED4E5E">
        <w:rPr>
          <w:rFonts w:cs="Times New Roman"/>
        </w:rPr>
        <w:t xml:space="preserve">. 90) is equally applicable to safety searches.  Thus, safety searches will typically be warrantless, as the police will </w:t>
      </w:r>
      <w:r w:rsidRPr="00ED4E5E">
        <w:rPr>
          <w:rFonts w:cs="Times New Roman"/>
        </w:rPr>
        <w:lastRenderedPageBreak/>
        <w:t xml:space="preserve">generally not have sufficient time to obtain prior judicial authorization for them. In a sense, such searches are driven by exigent circumstances.  Even if exigent circumstances exist, however, “safety searches” must be authorized by law. </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 arguing that Sgt. Boyd’s search was authorized by law, the Crown relies on the test from </w:t>
      </w:r>
      <w:r w:rsidRPr="00ED4E5E">
        <w:rPr>
          <w:rFonts w:cs="Times New Roman"/>
          <w:i/>
        </w:rPr>
        <w:t xml:space="preserve">R. v. </w:t>
      </w:r>
      <w:proofErr w:type="spellStart"/>
      <w:r w:rsidRPr="00ED4E5E">
        <w:rPr>
          <w:rFonts w:cs="Times New Roman"/>
          <w:i/>
        </w:rPr>
        <w:t>Waterfield</w:t>
      </w:r>
      <w:proofErr w:type="spellEnd"/>
      <w:r w:rsidRPr="00ED4E5E">
        <w:rPr>
          <w:rFonts w:cs="Times New Roman"/>
        </w:rPr>
        <w:t xml:space="preserve">, [1963] 3 All E.R. 659 (C.C.A.), as set out by this Court in </w:t>
      </w:r>
      <w:proofErr w:type="spellStart"/>
      <w:r w:rsidRPr="00ED4E5E">
        <w:rPr>
          <w:rFonts w:cs="Times New Roman"/>
          <w:i/>
        </w:rPr>
        <w:t>Dedman</w:t>
      </w:r>
      <w:proofErr w:type="spellEnd"/>
      <w:r w:rsidRPr="00ED4E5E">
        <w:rPr>
          <w:rFonts w:cs="Times New Roman"/>
          <w:i/>
        </w:rPr>
        <w:t xml:space="preserve"> v. The Queen</w:t>
      </w:r>
      <w:r w:rsidRPr="00ED4E5E">
        <w:rPr>
          <w:rFonts w:cs="Times New Roman"/>
        </w:rPr>
        <w:t xml:space="preserve">, [1985] 2 S.C.R. 2.  It will be recalled that in </w:t>
      </w:r>
      <w:proofErr w:type="spellStart"/>
      <w:r w:rsidRPr="00ED4E5E">
        <w:rPr>
          <w:rFonts w:cs="Times New Roman"/>
          <w:i/>
        </w:rPr>
        <w:t>Waterfield</w:t>
      </w:r>
      <w:proofErr w:type="spellEnd"/>
      <w:r w:rsidRPr="00ED4E5E">
        <w:rPr>
          <w:rFonts w:cs="Times New Roman"/>
        </w:rPr>
        <w:t xml:space="preserve">, two police officers had attempted to detain </w:t>
      </w:r>
      <w:r w:rsidRPr="00ED4E5E">
        <w:rPr>
          <w:rFonts w:cs="Times New Roman"/>
          <w:i/>
        </w:rPr>
        <w:t>personal property</w:t>
      </w:r>
      <w:r w:rsidRPr="00ED4E5E">
        <w:rPr>
          <w:rFonts w:cs="Times New Roman"/>
        </w:rPr>
        <w:t xml:space="preserve"> (a car) belonging to the accused.  The court set down a two-part test to determine whether the officers were </w:t>
      </w:r>
      <w:r w:rsidRPr="00ED4E5E">
        <w:rPr>
          <w:rFonts w:cs="Times New Roman"/>
          <w:i/>
        </w:rPr>
        <w:t>acting in the execution of their duties</w:t>
      </w:r>
      <w:r w:rsidRPr="00ED4E5E">
        <w:rPr>
          <w:rFonts w:cs="Times New Roman"/>
        </w:rPr>
        <w:t xml:space="preserve"> when they sought to stop the accused from removing his property.  As Professor P. Healy notes, the </w:t>
      </w:r>
      <w:proofErr w:type="spellStart"/>
      <w:r w:rsidRPr="00ED4E5E">
        <w:rPr>
          <w:rFonts w:cs="Times New Roman"/>
          <w:i/>
        </w:rPr>
        <w:t>Waterfield</w:t>
      </w:r>
      <w:proofErr w:type="spellEnd"/>
      <w:r w:rsidRPr="00ED4E5E">
        <w:rPr>
          <w:rFonts w:cs="Times New Roman"/>
        </w:rPr>
        <w:t xml:space="preserve"> test served in </w:t>
      </w:r>
      <w:proofErr w:type="spellStart"/>
      <w:r w:rsidRPr="00ED4E5E">
        <w:rPr>
          <w:rFonts w:cs="Times New Roman"/>
          <w:i/>
        </w:rPr>
        <w:t>Dedman</w:t>
      </w:r>
      <w:proofErr w:type="spellEnd"/>
      <w:r w:rsidRPr="00ED4E5E">
        <w:rPr>
          <w:rFonts w:cs="Times New Roman"/>
        </w:rPr>
        <w:t>, as in earlier Canadian cases in which it had been applied (</w:t>
      </w:r>
      <w:r w:rsidRPr="00ED4E5E">
        <w:rPr>
          <w:rFonts w:cs="Times New Roman"/>
          <w:i/>
        </w:rPr>
        <w:t xml:space="preserve">R. v. </w:t>
      </w:r>
      <w:proofErr w:type="spellStart"/>
      <w:r w:rsidRPr="00ED4E5E">
        <w:rPr>
          <w:rFonts w:cs="Times New Roman"/>
          <w:i/>
        </w:rPr>
        <w:t>Stenning</w:t>
      </w:r>
      <w:proofErr w:type="spellEnd"/>
      <w:r w:rsidRPr="00ED4E5E">
        <w:rPr>
          <w:rFonts w:cs="Times New Roman"/>
        </w:rPr>
        <w:t>,</w:t>
      </w:r>
      <w:r w:rsidRPr="00ED4E5E">
        <w:rPr>
          <w:rFonts w:cs="Times New Roman"/>
          <w:i/>
        </w:rPr>
        <w:t xml:space="preserve"> </w:t>
      </w:r>
      <w:r w:rsidRPr="00ED4E5E">
        <w:rPr>
          <w:rFonts w:cs="Times New Roman"/>
        </w:rPr>
        <w:t>[1970] S.C.R. 631</w:t>
      </w:r>
      <w:r w:rsidR="00E04DBC">
        <w:rPr>
          <w:rFonts w:cs="Times New Roman"/>
        </w:rPr>
        <w:t>,</w:t>
      </w:r>
      <w:r w:rsidRPr="00ED4E5E">
        <w:rPr>
          <w:rFonts w:cs="Times New Roman"/>
        </w:rPr>
        <w:t xml:space="preserve"> and </w:t>
      </w:r>
      <w:r w:rsidRPr="00ED4E5E">
        <w:rPr>
          <w:rFonts w:cs="Times New Roman"/>
          <w:i/>
        </w:rPr>
        <w:t>Knowlton v. The Queen</w:t>
      </w:r>
      <w:r w:rsidRPr="00ED4E5E">
        <w:rPr>
          <w:rFonts w:cs="Times New Roman"/>
        </w:rPr>
        <w:t xml:space="preserve">, [1974] S.C.R. 443), to mark “the </w:t>
      </w:r>
      <w:proofErr w:type="gramStart"/>
      <w:r w:rsidRPr="00ED4E5E">
        <w:rPr>
          <w:rFonts w:cs="Times New Roman"/>
        </w:rPr>
        <w:t>limits of liability when there [was</w:t>
      </w:r>
      <w:proofErr w:type="gramEnd"/>
      <w:r w:rsidRPr="00ED4E5E">
        <w:rPr>
          <w:rFonts w:cs="Times New Roman"/>
        </w:rPr>
        <w:t xml:space="preserve">] some question whether a police officer [had] acted in the execution of his or her duty”: </w:t>
      </w:r>
      <w:r w:rsidR="00E04DBC">
        <w:rPr>
          <w:rFonts w:cs="Times New Roman"/>
        </w:rPr>
        <w:t xml:space="preserve"> </w:t>
      </w:r>
      <w:r w:rsidRPr="00ED4E5E">
        <w:rPr>
          <w:rFonts w:cs="Times New Roman"/>
        </w:rPr>
        <w:t xml:space="preserve">“Investigative Detention in Canada”, [2005] </w:t>
      </w:r>
      <w:r w:rsidRPr="00ED4E5E">
        <w:rPr>
          <w:rFonts w:cs="Times New Roman"/>
          <w:i/>
        </w:rPr>
        <w:t xml:space="preserve">Crim. L.R. </w:t>
      </w:r>
      <w:r w:rsidRPr="00ED4E5E">
        <w:rPr>
          <w:rFonts w:cs="Times New Roman"/>
        </w:rPr>
        <w:t xml:space="preserve">98, at p. 102.  It was of assistance in the determination of whether a police officer who had been assaulted was acting as an officer at the time of the assault, in which case the accused would be guilty of assaulting a police officer and not a regular citizen. </w:t>
      </w:r>
      <w:proofErr w:type="spellStart"/>
      <w:r w:rsidRPr="00ED4E5E">
        <w:rPr>
          <w:rFonts w:cs="Times New Roman"/>
          <w:i/>
        </w:rPr>
        <w:t>Waterfield</w:t>
      </w:r>
      <w:proofErr w:type="spellEnd"/>
      <w:r w:rsidRPr="00ED4E5E">
        <w:rPr>
          <w:rFonts w:cs="Times New Roman"/>
        </w:rPr>
        <w:t xml:space="preserve"> is therefore an imperfect authority on the question whether police have a </w:t>
      </w:r>
      <w:r w:rsidRPr="00ED4E5E">
        <w:rPr>
          <w:rFonts w:cs="Times New Roman"/>
          <w:i/>
        </w:rPr>
        <w:t xml:space="preserve">common law power </w:t>
      </w:r>
      <w:r w:rsidRPr="00ED4E5E">
        <w:rPr>
          <w:rFonts w:cs="Times New Roman"/>
        </w:rPr>
        <w:t xml:space="preserve">to search an </w:t>
      </w:r>
      <w:r w:rsidRPr="00ED4E5E">
        <w:rPr>
          <w:rFonts w:cs="Times New Roman"/>
          <w:i/>
        </w:rPr>
        <w:t xml:space="preserve">individual </w:t>
      </w:r>
      <w:r w:rsidRPr="00ED4E5E">
        <w:rPr>
          <w:rFonts w:cs="Times New Roman"/>
        </w:rPr>
        <w:t>in a safety search.</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Instead, we must consider this Court’s jurisprudence.  This Court has elaborated </w:t>
      </w:r>
      <w:r>
        <w:rPr>
          <w:rFonts w:cs="Times New Roman"/>
        </w:rPr>
        <w:t xml:space="preserve">on </w:t>
      </w:r>
      <w:r w:rsidRPr="00ED4E5E">
        <w:rPr>
          <w:rFonts w:cs="Times New Roman"/>
        </w:rPr>
        <w:t xml:space="preserve">and applied the two-step </w:t>
      </w:r>
      <w:proofErr w:type="spellStart"/>
      <w:r w:rsidRPr="00ED4E5E">
        <w:rPr>
          <w:rFonts w:cs="Times New Roman"/>
          <w:i/>
        </w:rPr>
        <w:t>Waterfield</w:t>
      </w:r>
      <w:proofErr w:type="spellEnd"/>
      <w:r w:rsidRPr="00ED4E5E">
        <w:rPr>
          <w:rFonts w:cs="Times New Roman"/>
          <w:i/>
        </w:rPr>
        <w:t xml:space="preserve"> </w:t>
      </w:r>
      <w:r w:rsidRPr="00ED4E5E">
        <w:rPr>
          <w:rFonts w:cs="Times New Roman"/>
        </w:rPr>
        <w:t xml:space="preserve">test in a variety of contexts comparable to safety searches in assessing whether an action constituting </w:t>
      </w:r>
      <w:r w:rsidRPr="00ED4E5E">
        <w:rPr>
          <w:rFonts w:cs="Times New Roman"/>
          <w:i/>
        </w:rPr>
        <w:t xml:space="preserve">prima facie </w:t>
      </w:r>
      <w:r w:rsidRPr="00ED4E5E">
        <w:rPr>
          <w:rFonts w:cs="Times New Roman"/>
        </w:rPr>
        <w:lastRenderedPageBreak/>
        <w:t>infringement of an individual’s liberty falls within an officer’s power (</w:t>
      </w:r>
      <w:proofErr w:type="spellStart"/>
      <w:r w:rsidRPr="00ED4E5E">
        <w:rPr>
          <w:rFonts w:cs="Times New Roman"/>
          <w:i/>
        </w:rPr>
        <w:t>Dedman</w:t>
      </w:r>
      <w:proofErr w:type="spellEnd"/>
      <w:r w:rsidRPr="00ED4E5E">
        <w:rPr>
          <w:rFonts w:cs="Times New Roman"/>
          <w:i/>
        </w:rPr>
        <w:t xml:space="preserve"> </w:t>
      </w:r>
      <w:r w:rsidRPr="00ED4E5E">
        <w:rPr>
          <w:rFonts w:cs="Times New Roman"/>
        </w:rPr>
        <w:t xml:space="preserve">and </w:t>
      </w:r>
      <w:r w:rsidRPr="00ED4E5E">
        <w:rPr>
          <w:rFonts w:cs="Times New Roman"/>
          <w:i/>
        </w:rPr>
        <w:t>Mann</w:t>
      </w:r>
      <w:r w:rsidRPr="00ED4E5E">
        <w:rPr>
          <w:rFonts w:cs="Times New Roman"/>
        </w:rPr>
        <w:t>)</w:t>
      </w:r>
      <w:r w:rsidRPr="00ED4E5E">
        <w:rPr>
          <w:rFonts w:cs="Times New Roman"/>
          <w:i/>
        </w:rPr>
        <w:t>.</w:t>
      </w:r>
      <w:r w:rsidRPr="00ED4E5E">
        <w:rPr>
          <w:rFonts w:cs="Times New Roman"/>
        </w:rPr>
        <w:t xml:space="preserve"> </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At the first stage of the </w:t>
      </w:r>
      <w:proofErr w:type="spellStart"/>
      <w:r w:rsidRPr="00ED4E5E">
        <w:rPr>
          <w:rFonts w:cs="Times New Roman"/>
          <w:i/>
        </w:rPr>
        <w:t>Waterfield</w:t>
      </w:r>
      <w:proofErr w:type="spellEnd"/>
      <w:r w:rsidRPr="00ED4E5E">
        <w:rPr>
          <w:rFonts w:cs="Times New Roman"/>
          <w:i/>
        </w:rPr>
        <w:t xml:space="preserve"> </w:t>
      </w:r>
      <w:r w:rsidRPr="00ED4E5E">
        <w:rPr>
          <w:rFonts w:cs="Times New Roman"/>
        </w:rPr>
        <w:t>test, the court must ask whether the action falls within the general scope of a police duty imposed by statute or recognized at common law.  For safety searches, the requirement at this first stage of the analysis is easily satisfied.  In the case at bar, the police action falls within the general scope of the common law police duty to protect life and safety that I mentioned above.  This duty is well established (</w:t>
      </w:r>
      <w:r w:rsidRPr="00ED4E5E">
        <w:rPr>
          <w:rFonts w:cs="Times New Roman"/>
          <w:i/>
        </w:rPr>
        <w:t>Mann</w:t>
      </w:r>
      <w:r w:rsidRPr="00ED4E5E">
        <w:rPr>
          <w:rFonts w:cs="Times New Roman"/>
        </w:rPr>
        <w:t xml:space="preserve">, at </w:t>
      </w:r>
      <w:proofErr w:type="spellStart"/>
      <w:r w:rsidRPr="00ED4E5E">
        <w:rPr>
          <w:rFonts w:cs="Times New Roman"/>
        </w:rPr>
        <w:t>para</w:t>
      </w:r>
      <w:proofErr w:type="spellEnd"/>
      <w:r w:rsidRPr="00ED4E5E">
        <w:rPr>
          <w:rFonts w:cs="Times New Roman"/>
        </w:rPr>
        <w:t xml:space="preserve">. 38; </w:t>
      </w:r>
      <w:r w:rsidRPr="00ED4E5E">
        <w:rPr>
          <w:rFonts w:cs="Times New Roman"/>
          <w:i/>
        </w:rPr>
        <w:t>R. v. Clayton</w:t>
      </w:r>
      <w:r w:rsidRPr="00ED4E5E">
        <w:rPr>
          <w:rFonts w:cs="Times New Roman"/>
        </w:rPr>
        <w:t xml:space="preserve">, 2007 SCC 32, [2007] 2 S.C.R. 725, at </w:t>
      </w:r>
      <w:proofErr w:type="spellStart"/>
      <w:r w:rsidRPr="00ED4E5E">
        <w:rPr>
          <w:rFonts w:cs="Times New Roman"/>
        </w:rPr>
        <w:t>paras</w:t>
      </w:r>
      <w:proofErr w:type="spellEnd"/>
      <w:r w:rsidRPr="00ED4E5E">
        <w:rPr>
          <w:rFonts w:cs="Times New Roman"/>
        </w:rPr>
        <w:t xml:space="preserve">. 20-21; </w:t>
      </w:r>
      <w:proofErr w:type="spellStart"/>
      <w:r w:rsidRPr="00ED4E5E">
        <w:rPr>
          <w:rFonts w:cs="Times New Roman"/>
          <w:i/>
        </w:rPr>
        <w:t>Dedman</w:t>
      </w:r>
      <w:proofErr w:type="spellEnd"/>
      <w:r w:rsidRPr="00ED4E5E">
        <w:rPr>
          <w:rFonts w:cs="Times New Roman"/>
        </w:rPr>
        <w:t>).</w:t>
      </w:r>
    </w:p>
    <w:p w:rsidR="000C40D6" w:rsidRPr="00ED4E5E" w:rsidRDefault="000C40D6" w:rsidP="000C40D6">
      <w:pPr>
        <w:pStyle w:val="ParaNoNdepar-AltN"/>
        <w:tabs>
          <w:tab w:val="clear" w:pos="1166"/>
          <w:tab w:val="num" w:pos="1152"/>
        </w:tabs>
        <w:spacing w:before="240"/>
        <w:rPr>
          <w:rFonts w:cs="Times New Roman"/>
        </w:rPr>
      </w:pPr>
      <w:r w:rsidRPr="00ED4E5E">
        <w:rPr>
          <w:rFonts w:cs="Times New Roman"/>
        </w:rPr>
        <w:t xml:space="preserve">At the second stage, if the answer at the first is affirmative, as it is in this case, the court must inquire into whether the action constitutes a justifiable exercise of powers associated with the duty.  As this Court held in </w:t>
      </w:r>
      <w:proofErr w:type="spellStart"/>
      <w:r w:rsidRPr="00ED4E5E">
        <w:rPr>
          <w:rFonts w:cs="Times New Roman"/>
          <w:i/>
        </w:rPr>
        <w:t>Dedman</w:t>
      </w:r>
      <w:proofErr w:type="spellEnd"/>
      <w:r w:rsidRPr="00ED4E5E">
        <w:rPr>
          <w:rFonts w:cs="Times New Roman"/>
        </w:rPr>
        <w:t>,</w:t>
      </w:r>
    </w:p>
    <w:p w:rsidR="000C40D6" w:rsidRPr="00ED4E5E" w:rsidRDefault="000C40D6" w:rsidP="000C40D6">
      <w:pPr>
        <w:pStyle w:val="Citation-AltC"/>
      </w:pPr>
      <w:r w:rsidRPr="00ED4E5E">
        <w:t xml:space="preserve">[t]he interference with liberty must be </w:t>
      </w:r>
      <w:r w:rsidRPr="00ED4E5E">
        <w:rPr>
          <w:u w:val="single"/>
        </w:rPr>
        <w:t>necessary</w:t>
      </w:r>
      <w:r w:rsidRPr="00ED4E5E">
        <w:rPr>
          <w:i/>
        </w:rPr>
        <w:t xml:space="preserve"> </w:t>
      </w:r>
      <w:r w:rsidRPr="00ED4E5E">
        <w:t xml:space="preserve">for the carrying out of the particular police duty and it must be </w:t>
      </w:r>
      <w:r w:rsidRPr="00ED4E5E">
        <w:rPr>
          <w:u w:val="single"/>
        </w:rPr>
        <w:t>reasonable</w:t>
      </w:r>
      <w:r w:rsidRPr="00ED4E5E">
        <w:t>, having regard to the nature of the liberty interfered with and the importance of the public purpose served by the interference. [Emphasis added; p. 35.]</w:t>
      </w:r>
    </w:p>
    <w:p w:rsidR="000C40D6" w:rsidRPr="00ED4E5E" w:rsidRDefault="000C40D6" w:rsidP="000C40D6">
      <w:pPr>
        <w:pStyle w:val="ContinueParaSuitedupar-AltP"/>
        <w:rPr>
          <w:rFonts w:cs="Times New Roman"/>
        </w:rPr>
      </w:pPr>
      <w:r w:rsidRPr="00ED4E5E">
        <w:rPr>
          <w:rFonts w:cs="Times New Roman"/>
        </w:rPr>
        <w:t xml:space="preserve">Thus, for the infringement to be justified, the police action must be </w:t>
      </w:r>
      <w:r w:rsidRPr="00ED4E5E">
        <w:rPr>
          <w:rFonts w:cs="Times New Roman"/>
          <w:i/>
        </w:rPr>
        <w:t xml:space="preserve">reasonably necessary </w:t>
      </w:r>
      <w:r w:rsidRPr="00ED4E5E">
        <w:rPr>
          <w:rFonts w:cs="Times New Roman"/>
        </w:rPr>
        <w:t>for the carrying out of the particular duty in light of all the circumstances (</w:t>
      </w:r>
      <w:r w:rsidRPr="00ED4E5E">
        <w:rPr>
          <w:rFonts w:cs="Times New Roman"/>
          <w:i/>
        </w:rPr>
        <w:t>Mann</w:t>
      </w:r>
      <w:r w:rsidRPr="00ED4E5E">
        <w:rPr>
          <w:rFonts w:cs="Times New Roman"/>
        </w:rPr>
        <w:t xml:space="preserve">, at </w:t>
      </w:r>
      <w:proofErr w:type="spellStart"/>
      <w:r w:rsidRPr="00ED4E5E">
        <w:rPr>
          <w:rFonts w:cs="Times New Roman"/>
        </w:rPr>
        <w:t>para</w:t>
      </w:r>
      <w:proofErr w:type="spellEnd"/>
      <w:r w:rsidRPr="00ED4E5E">
        <w:rPr>
          <w:rFonts w:cs="Times New Roman"/>
        </w:rPr>
        <w:t xml:space="preserve">. 39; </w:t>
      </w:r>
      <w:r w:rsidRPr="00ED4E5E">
        <w:rPr>
          <w:rFonts w:cs="Times New Roman"/>
          <w:i/>
        </w:rPr>
        <w:t>Clayton</w:t>
      </w:r>
      <w:r w:rsidRPr="00ED4E5E">
        <w:rPr>
          <w:rFonts w:cs="Times New Roman"/>
        </w:rPr>
        <w:t xml:space="preserve">, at </w:t>
      </w:r>
      <w:proofErr w:type="spellStart"/>
      <w:r w:rsidRPr="00ED4E5E">
        <w:rPr>
          <w:rFonts w:cs="Times New Roman"/>
        </w:rPr>
        <w:t>paras</w:t>
      </w:r>
      <w:proofErr w:type="spellEnd"/>
      <w:r w:rsidRPr="00ED4E5E">
        <w:rPr>
          <w:rFonts w:cs="Times New Roman"/>
        </w:rPr>
        <w:t xml:space="preserve">. 21 and 29). </w:t>
      </w:r>
    </w:p>
    <w:p w:rsidR="000C40D6" w:rsidRPr="00ED4E5E" w:rsidRDefault="000C40D6" w:rsidP="000C40D6">
      <w:pPr>
        <w:pStyle w:val="ParaNoNdepar-AltN"/>
        <w:tabs>
          <w:tab w:val="clear" w:pos="1166"/>
          <w:tab w:val="num" w:pos="1152"/>
        </w:tabs>
        <w:rPr>
          <w:rFonts w:cs="Times New Roman"/>
        </w:rPr>
      </w:pPr>
      <w:r w:rsidRPr="00ED4E5E">
        <w:rPr>
          <w:rFonts w:cs="Times New Roman"/>
        </w:rPr>
        <w:lastRenderedPageBreak/>
        <w:t>To determine whether a safety search is reasonably necessary, and therefore justifiable, a number of factors must be weighed to balance the police duty against the liberty interest in question.</w:t>
      </w:r>
      <w:r w:rsidRPr="00ED4E5E">
        <w:rPr>
          <w:rFonts w:cs="Times New Roman"/>
          <w:b/>
        </w:rPr>
        <w:t xml:space="preserve">  </w:t>
      </w:r>
      <w:r w:rsidRPr="00ED4E5E">
        <w:rPr>
          <w:rFonts w:cs="Times New Roman"/>
        </w:rPr>
        <w:t xml:space="preserve">These factors include: </w:t>
      </w:r>
    </w:p>
    <w:p w:rsidR="000C40D6" w:rsidRPr="00ED4E5E" w:rsidRDefault="000C40D6" w:rsidP="000C40D6">
      <w:pPr>
        <w:pStyle w:val="ParaNoNdepar-AltN"/>
        <w:numPr>
          <w:ilvl w:val="0"/>
          <w:numId w:val="0"/>
        </w:numPr>
        <w:ind w:left="720" w:hanging="720"/>
        <w:rPr>
          <w:rFonts w:cs="Times New Roman"/>
        </w:rPr>
      </w:pPr>
      <w:r w:rsidRPr="00ED4E5E">
        <w:rPr>
          <w:rFonts w:cs="Times New Roman"/>
        </w:rPr>
        <w:t>1.</w:t>
      </w:r>
      <w:r w:rsidRPr="00ED4E5E">
        <w:rPr>
          <w:rFonts w:cs="Times New Roman"/>
        </w:rPr>
        <w:tab/>
      </w:r>
      <w:proofErr w:type="gramStart"/>
      <w:r w:rsidRPr="00ED4E5E">
        <w:rPr>
          <w:rFonts w:cs="Times New Roman"/>
        </w:rPr>
        <w:t>the</w:t>
      </w:r>
      <w:proofErr w:type="gramEnd"/>
      <w:r w:rsidRPr="00ED4E5E">
        <w:rPr>
          <w:rFonts w:cs="Times New Roman"/>
        </w:rPr>
        <w:t xml:space="preserve"> importance of the performance of the duty to the public good (</w:t>
      </w:r>
      <w:r w:rsidRPr="00ED4E5E">
        <w:rPr>
          <w:rFonts w:cs="Times New Roman"/>
          <w:i/>
        </w:rPr>
        <w:t>Mann</w:t>
      </w:r>
      <w:r w:rsidRPr="00ED4E5E">
        <w:rPr>
          <w:rFonts w:cs="Times New Roman"/>
        </w:rPr>
        <w:t xml:space="preserve">, at </w:t>
      </w:r>
      <w:proofErr w:type="spellStart"/>
      <w:r w:rsidRPr="00ED4E5E">
        <w:rPr>
          <w:rFonts w:cs="Times New Roman"/>
        </w:rPr>
        <w:t>para</w:t>
      </w:r>
      <w:proofErr w:type="spellEnd"/>
      <w:r w:rsidRPr="00ED4E5E">
        <w:rPr>
          <w:rFonts w:cs="Times New Roman"/>
        </w:rPr>
        <w:t xml:space="preserve">. 39); </w:t>
      </w:r>
    </w:p>
    <w:p w:rsidR="000C40D6" w:rsidRPr="00ED4E5E" w:rsidRDefault="000C40D6" w:rsidP="000C40D6">
      <w:pPr>
        <w:pStyle w:val="ParaNoNdepar-AltN"/>
        <w:numPr>
          <w:ilvl w:val="0"/>
          <w:numId w:val="0"/>
        </w:numPr>
        <w:ind w:left="720" w:hanging="720"/>
        <w:rPr>
          <w:rFonts w:cs="Times New Roman"/>
        </w:rPr>
      </w:pPr>
      <w:r w:rsidRPr="00ED4E5E">
        <w:rPr>
          <w:rFonts w:cs="Times New Roman"/>
        </w:rPr>
        <w:t>2.</w:t>
      </w:r>
      <w:r w:rsidRPr="00ED4E5E">
        <w:rPr>
          <w:rFonts w:cs="Times New Roman"/>
        </w:rPr>
        <w:tab/>
      </w:r>
      <w:proofErr w:type="gramStart"/>
      <w:r w:rsidRPr="00ED4E5E">
        <w:rPr>
          <w:rFonts w:cs="Times New Roman"/>
        </w:rPr>
        <w:t>the</w:t>
      </w:r>
      <w:proofErr w:type="gramEnd"/>
      <w:r w:rsidRPr="00ED4E5E">
        <w:rPr>
          <w:rFonts w:cs="Times New Roman"/>
        </w:rPr>
        <w:t xml:space="preserve"> necessity of the interference with individual liberty for the performance of the duty (</w:t>
      </w:r>
      <w:proofErr w:type="spellStart"/>
      <w:r w:rsidRPr="00ED4E5E">
        <w:rPr>
          <w:rFonts w:cs="Times New Roman"/>
          <w:i/>
        </w:rPr>
        <w:t>Dedman</w:t>
      </w:r>
      <w:proofErr w:type="spellEnd"/>
      <w:r w:rsidRPr="00ED4E5E">
        <w:rPr>
          <w:rFonts w:cs="Times New Roman"/>
        </w:rPr>
        <w:t xml:space="preserve">, at p. 35; </w:t>
      </w:r>
      <w:r w:rsidRPr="00ED4E5E">
        <w:rPr>
          <w:rFonts w:cs="Times New Roman"/>
          <w:i/>
        </w:rPr>
        <w:t>Clayton</w:t>
      </w:r>
      <w:r w:rsidRPr="00ED4E5E">
        <w:rPr>
          <w:rFonts w:cs="Times New Roman"/>
        </w:rPr>
        <w:t xml:space="preserve">, at </w:t>
      </w:r>
      <w:proofErr w:type="spellStart"/>
      <w:r w:rsidRPr="00ED4E5E">
        <w:rPr>
          <w:rFonts w:cs="Times New Roman"/>
        </w:rPr>
        <w:t>paras</w:t>
      </w:r>
      <w:proofErr w:type="spellEnd"/>
      <w:r w:rsidRPr="00ED4E5E">
        <w:rPr>
          <w:rFonts w:cs="Times New Roman"/>
        </w:rPr>
        <w:t>. 21, 26 and 31); and</w:t>
      </w:r>
    </w:p>
    <w:p w:rsidR="000C40D6" w:rsidRPr="00ED4E5E" w:rsidRDefault="000C40D6" w:rsidP="000C40D6">
      <w:pPr>
        <w:pStyle w:val="ParaNoNdepar-AltN"/>
        <w:numPr>
          <w:ilvl w:val="0"/>
          <w:numId w:val="0"/>
        </w:numPr>
        <w:rPr>
          <w:rFonts w:cs="Times New Roman"/>
        </w:rPr>
      </w:pPr>
      <w:r w:rsidRPr="00ED4E5E">
        <w:rPr>
          <w:rFonts w:cs="Times New Roman"/>
        </w:rPr>
        <w:t>3.</w:t>
      </w:r>
      <w:r w:rsidRPr="00ED4E5E">
        <w:rPr>
          <w:rFonts w:cs="Times New Roman"/>
        </w:rPr>
        <w:tab/>
      </w:r>
      <w:proofErr w:type="gramStart"/>
      <w:r w:rsidRPr="00ED4E5E">
        <w:rPr>
          <w:rFonts w:cs="Times New Roman"/>
        </w:rPr>
        <w:t>the</w:t>
      </w:r>
      <w:proofErr w:type="gramEnd"/>
      <w:r w:rsidRPr="00ED4E5E">
        <w:rPr>
          <w:rFonts w:cs="Times New Roman"/>
        </w:rPr>
        <w:t xml:space="preserve"> extent of the interference with individual liberty (</w:t>
      </w:r>
      <w:proofErr w:type="spellStart"/>
      <w:r w:rsidRPr="00ED4E5E">
        <w:rPr>
          <w:rFonts w:cs="Times New Roman"/>
          <w:i/>
        </w:rPr>
        <w:t>Dedman</w:t>
      </w:r>
      <w:proofErr w:type="spellEnd"/>
      <w:r w:rsidRPr="00ED4E5E">
        <w:rPr>
          <w:rFonts w:cs="Times New Roman"/>
        </w:rPr>
        <w:t xml:space="preserve">, at p. 35). </w:t>
      </w:r>
    </w:p>
    <w:p w:rsidR="000C40D6" w:rsidRPr="00ED4E5E" w:rsidRDefault="000C40D6" w:rsidP="000C40D6">
      <w:pPr>
        <w:pStyle w:val="ContinueParaSuitedupar-AltP"/>
        <w:rPr>
          <w:rFonts w:cs="Times New Roman"/>
        </w:rPr>
      </w:pPr>
      <w:r w:rsidRPr="00ED4E5E">
        <w:rPr>
          <w:rFonts w:cs="Times New Roman"/>
        </w:rPr>
        <w:t>If these three factors, weighed together, lead to the conclusion that the police action was reasonably necessary, then the action in question will not constitute an “unjustifiable use</w:t>
      </w:r>
      <w:r w:rsidR="00E04DBC">
        <w:rPr>
          <w:rFonts w:cs="Times New Roman"/>
        </w:rPr>
        <w:t>”</w:t>
      </w:r>
      <w:r w:rsidRPr="00ED4E5E">
        <w:rPr>
          <w:rFonts w:cs="Times New Roman"/>
        </w:rPr>
        <w:t xml:space="preserve"> of police powers (</w:t>
      </w:r>
      <w:proofErr w:type="spellStart"/>
      <w:r w:rsidRPr="00ED4E5E">
        <w:rPr>
          <w:rFonts w:cs="Times New Roman"/>
          <w:i/>
        </w:rPr>
        <w:t>Dedman</w:t>
      </w:r>
      <w:proofErr w:type="spellEnd"/>
      <w:r w:rsidRPr="00ED4E5E">
        <w:rPr>
          <w:rFonts w:cs="Times New Roman"/>
        </w:rPr>
        <w:t>,</w:t>
      </w:r>
      <w:r w:rsidRPr="00ED4E5E">
        <w:rPr>
          <w:rFonts w:cs="Times New Roman"/>
          <w:i/>
        </w:rPr>
        <w:t xml:space="preserve"> </w:t>
      </w:r>
      <w:r w:rsidRPr="00ED4E5E">
        <w:rPr>
          <w:rFonts w:cs="Times New Roman"/>
        </w:rPr>
        <w:t xml:space="preserve">at p. 36).  If the requirements of both stages of the </w:t>
      </w:r>
      <w:proofErr w:type="spellStart"/>
      <w:r w:rsidRPr="00ED4E5E">
        <w:rPr>
          <w:rFonts w:cs="Times New Roman"/>
          <w:i/>
        </w:rPr>
        <w:t>Waterfield</w:t>
      </w:r>
      <w:proofErr w:type="spellEnd"/>
      <w:r w:rsidRPr="00ED4E5E">
        <w:rPr>
          <w:rFonts w:cs="Times New Roman"/>
        </w:rPr>
        <w:t xml:space="preserve"> test are satisfied, the court will then be able to conclude that the search in question was authorized by law.</w:t>
      </w:r>
    </w:p>
    <w:p w:rsidR="000C40D6" w:rsidRPr="00ED4E5E" w:rsidRDefault="000C40D6" w:rsidP="000C40D6">
      <w:pPr>
        <w:pStyle w:val="ParaNoNdepar-AltN"/>
        <w:tabs>
          <w:tab w:val="clear" w:pos="1166"/>
          <w:tab w:val="num" w:pos="1152"/>
        </w:tabs>
        <w:rPr>
          <w:rFonts w:cs="Times New Roman"/>
        </w:rPr>
      </w:pPr>
      <w:r w:rsidRPr="00ED4E5E">
        <w:rPr>
          <w:rFonts w:cs="Times New Roman"/>
        </w:rPr>
        <w:t>As can be seen, the</w:t>
      </w:r>
      <w:r w:rsidRPr="00ED4E5E">
        <w:rPr>
          <w:rFonts w:cs="Times New Roman"/>
          <w:i/>
        </w:rPr>
        <w:t xml:space="preserve"> </w:t>
      </w:r>
      <w:proofErr w:type="spellStart"/>
      <w:r w:rsidRPr="00ED4E5E">
        <w:rPr>
          <w:rFonts w:cs="Times New Roman"/>
          <w:i/>
        </w:rPr>
        <w:t>Dedman</w:t>
      </w:r>
      <w:proofErr w:type="spellEnd"/>
      <w:r w:rsidRPr="00ED4E5E">
        <w:rPr>
          <w:rFonts w:cs="Times New Roman"/>
          <w:i/>
        </w:rPr>
        <w:t xml:space="preserve">-Mann </w:t>
      </w:r>
      <w:r w:rsidRPr="00ED4E5E">
        <w:rPr>
          <w:rFonts w:cs="Times New Roman"/>
        </w:rPr>
        <w:t xml:space="preserve">line of cases does not stand for the proposition that all acts related to an officer’s duties are authorized by law. Quite the opposite, only such acts as are reasonably necessary for the performance of an officer’s duties can be considered, in the appropriate circumstances, to be so authorized. The English Court of Appeal was clear on this point in </w:t>
      </w:r>
      <w:proofErr w:type="spellStart"/>
      <w:r w:rsidRPr="00ED4E5E">
        <w:rPr>
          <w:rFonts w:cs="Times New Roman"/>
          <w:i/>
        </w:rPr>
        <w:t>Waterfield</w:t>
      </w:r>
      <w:proofErr w:type="spellEnd"/>
      <w:r w:rsidRPr="00ED4E5E">
        <w:rPr>
          <w:rFonts w:cs="Times New Roman"/>
        </w:rPr>
        <w:t>,</w:t>
      </w:r>
      <w:r w:rsidRPr="00ED4E5E">
        <w:rPr>
          <w:rFonts w:cs="Times New Roman"/>
          <w:i/>
        </w:rPr>
        <w:t xml:space="preserve"> </w:t>
      </w:r>
      <w:r w:rsidRPr="00ED4E5E">
        <w:rPr>
          <w:rFonts w:cs="Times New Roman"/>
        </w:rPr>
        <w:t xml:space="preserve">in a passage quoted by this Court in </w:t>
      </w:r>
      <w:proofErr w:type="spellStart"/>
      <w:r w:rsidRPr="00ED4E5E">
        <w:rPr>
          <w:rFonts w:cs="Times New Roman"/>
          <w:i/>
        </w:rPr>
        <w:t>Dedman</w:t>
      </w:r>
      <w:proofErr w:type="spellEnd"/>
      <w:r w:rsidRPr="00ED4E5E">
        <w:rPr>
          <w:rFonts w:cs="Times New Roman"/>
        </w:rPr>
        <w:t xml:space="preserve">: </w:t>
      </w:r>
    </w:p>
    <w:p w:rsidR="000C40D6" w:rsidRPr="00ED4E5E" w:rsidRDefault="000C40D6" w:rsidP="000C40D6">
      <w:pPr>
        <w:pStyle w:val="Citation-AltC"/>
      </w:pPr>
      <w:r w:rsidRPr="00ED4E5E">
        <w:lastRenderedPageBreak/>
        <w:t xml:space="preserve">Thus, while it is no doubt right to say in general terms that police constables have a duty to prevent crime and a duty, when crime is committed, to bring the offender to justice, </w:t>
      </w:r>
      <w:r w:rsidRPr="00ED4E5E">
        <w:rPr>
          <w:u w:val="single"/>
        </w:rPr>
        <w:t>it is also clear from the decided cases that when the execution of these general duties involves interference with the person or property of a private person, the powers of constables are not unlimited</w:t>
      </w:r>
      <w:r w:rsidRPr="00ED4E5E">
        <w:t>. [Emphasis added; p. 33.]</w:t>
      </w:r>
    </w:p>
    <w:p w:rsidR="000C40D6" w:rsidRPr="00ED4E5E" w:rsidRDefault="000C40D6" w:rsidP="000C40D6">
      <w:pPr>
        <w:pStyle w:val="ContinueParaSuitedupar-AltP"/>
        <w:rPr>
          <w:rFonts w:cs="Times New Roman"/>
        </w:rPr>
      </w:pPr>
      <w:r w:rsidRPr="00ED4E5E">
        <w:rPr>
          <w:rFonts w:cs="Times New Roman"/>
        </w:rPr>
        <w:t xml:space="preserve">Likewise, Dickson J., in a powerful dissent in the </w:t>
      </w:r>
      <w:r w:rsidRPr="00ED4E5E">
        <w:rPr>
          <w:rFonts w:cs="Times New Roman"/>
          <w:i/>
        </w:rPr>
        <w:t>Wiretap Reference</w:t>
      </w:r>
      <w:r w:rsidRPr="00ED4E5E">
        <w:rPr>
          <w:rFonts w:cs="Times New Roman"/>
        </w:rPr>
        <w:t xml:space="preserve">, [1984] 2 S.C.R. 697, stressed the critical importance of a narrow reading of the </w:t>
      </w:r>
      <w:proofErr w:type="spellStart"/>
      <w:r w:rsidRPr="00ED4E5E">
        <w:rPr>
          <w:rFonts w:cs="Times New Roman"/>
          <w:i/>
        </w:rPr>
        <w:t>Waterfield</w:t>
      </w:r>
      <w:proofErr w:type="spellEnd"/>
      <w:r w:rsidRPr="00ED4E5E">
        <w:rPr>
          <w:rFonts w:cs="Times New Roman"/>
        </w:rPr>
        <w:t xml:space="preserve"> test:</w:t>
      </w:r>
    </w:p>
    <w:p w:rsidR="000C40D6" w:rsidRPr="00ED4E5E" w:rsidRDefault="000C40D6" w:rsidP="000C40D6">
      <w:pPr>
        <w:pStyle w:val="Citation-AltC"/>
        <w:ind w:firstLine="274"/>
      </w:pPr>
      <w:r w:rsidRPr="00ED4E5E">
        <w:t xml:space="preserve">The fact that police officers could be described as acting within the general scope of their duties to investigate crime cannot empower them to violate the law whenever such conduct could be justified by the public interest in law enforcement. Any such principle would be nothing short of a fiat for illegality on the part of the police whenever the benefit of police action appeared to outweigh the infringement of an individual’s rights. [pp. 718-19] </w:t>
      </w:r>
    </w:p>
    <w:p w:rsidR="000C40D6" w:rsidRPr="00ED4E5E" w:rsidRDefault="000C40D6" w:rsidP="000C40D6">
      <w:pPr>
        <w:pStyle w:val="ContinueParaSuitedupar-AltP"/>
        <w:rPr>
          <w:rFonts w:cs="Times New Roman"/>
        </w:rPr>
      </w:pPr>
      <w:r w:rsidRPr="00ED4E5E">
        <w:rPr>
          <w:rFonts w:cs="Times New Roman"/>
        </w:rPr>
        <w:t xml:space="preserve">Such restraints on safety searches are particularly important in the context of a search in a private home, as in the case at bar, which concerns a serious invasion of </w:t>
      </w:r>
      <w:r>
        <w:rPr>
          <w:rFonts w:cs="Times New Roman"/>
        </w:rPr>
        <w:t>Mr. MacDonald</w:t>
      </w:r>
      <w:r w:rsidRPr="00ED4E5E">
        <w:rPr>
          <w:rFonts w:cs="Times New Roman"/>
        </w:rPr>
        <w:t xml:space="preserve">’s privacy in his home. Moreover, safety searches can often give the police access to a considerable amount of very sensitive personal information. </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With this clarification in mind, we must sensitively weigh the factors of the second stage of the </w:t>
      </w:r>
      <w:proofErr w:type="spellStart"/>
      <w:r w:rsidRPr="00ED4E5E">
        <w:rPr>
          <w:rFonts w:cs="Times New Roman"/>
          <w:i/>
        </w:rPr>
        <w:t>Dedman</w:t>
      </w:r>
      <w:proofErr w:type="spellEnd"/>
      <w:r w:rsidRPr="00ED4E5E">
        <w:rPr>
          <w:rFonts w:cs="Times New Roman"/>
          <w:i/>
        </w:rPr>
        <w:t>-Mann</w:t>
      </w:r>
      <w:r w:rsidRPr="00ED4E5E">
        <w:rPr>
          <w:rFonts w:cs="Times New Roman"/>
        </w:rPr>
        <w:t xml:space="preserve"> test. The factors assist both in determining whether a police power exists and in defining the limits of that power: </w:t>
      </w:r>
    </w:p>
    <w:p w:rsidR="000C40D6" w:rsidRPr="00ED4E5E" w:rsidRDefault="000C40D6" w:rsidP="000C40D6">
      <w:pPr>
        <w:pStyle w:val="ContinueParaSuitedupar-AltP"/>
        <w:ind w:left="720" w:hanging="720"/>
        <w:rPr>
          <w:rFonts w:cs="Times New Roman"/>
        </w:rPr>
      </w:pPr>
      <w:r w:rsidRPr="00ED4E5E">
        <w:rPr>
          <w:rFonts w:cs="Times New Roman"/>
        </w:rPr>
        <w:t>1.</w:t>
      </w:r>
      <w:r w:rsidRPr="00ED4E5E">
        <w:rPr>
          <w:rFonts w:cs="Times New Roman"/>
        </w:rPr>
        <w:tab/>
        <w:t>Importance of the duty:</w:t>
      </w:r>
      <w:r w:rsidR="00046199">
        <w:rPr>
          <w:rFonts w:cs="Times New Roman"/>
        </w:rPr>
        <w:t xml:space="preserve"> </w:t>
      </w:r>
      <w:r w:rsidRPr="00ED4E5E">
        <w:rPr>
          <w:rFonts w:cs="Times New Roman"/>
        </w:rPr>
        <w:t xml:space="preserve"> No one can reasonably dispute that the duty to protect life and safety is of the utmost importance to the public good and that, in some </w:t>
      </w:r>
      <w:r w:rsidRPr="00ED4E5E">
        <w:rPr>
          <w:rFonts w:cs="Times New Roman"/>
        </w:rPr>
        <w:lastRenderedPageBreak/>
        <w:t xml:space="preserve">circumstances, some interference with individual liberty is necessary to carry out that duty.  </w:t>
      </w:r>
    </w:p>
    <w:p w:rsidR="000C40D6" w:rsidRPr="00ED4E5E" w:rsidRDefault="000C40D6" w:rsidP="000C40D6">
      <w:pPr>
        <w:pStyle w:val="ContinueParaSuitedupar-AltP"/>
        <w:ind w:left="720" w:hanging="720"/>
        <w:rPr>
          <w:rFonts w:cs="Times New Roman"/>
        </w:rPr>
      </w:pPr>
      <w:r w:rsidRPr="00ED4E5E">
        <w:rPr>
          <w:rFonts w:cs="Times New Roman"/>
        </w:rPr>
        <w:t>2.</w:t>
      </w:r>
      <w:r w:rsidRPr="00ED4E5E">
        <w:rPr>
          <w:rFonts w:cs="Times New Roman"/>
        </w:rPr>
        <w:tab/>
        <w:t xml:space="preserve">Necessity of the infringement </w:t>
      </w:r>
      <w:r>
        <w:rPr>
          <w:rFonts w:cs="Times New Roman"/>
        </w:rPr>
        <w:t>for</w:t>
      </w:r>
      <w:r w:rsidRPr="00ED4E5E">
        <w:rPr>
          <w:rFonts w:cs="Times New Roman"/>
        </w:rPr>
        <w:t xml:space="preserve"> the performance of the duty: </w:t>
      </w:r>
      <w:r w:rsidR="00046199">
        <w:rPr>
          <w:rFonts w:cs="Times New Roman"/>
        </w:rPr>
        <w:t xml:space="preserve"> </w:t>
      </w:r>
      <w:r w:rsidRPr="00ED4E5E">
        <w:rPr>
          <w:rFonts w:cs="Times New Roman"/>
        </w:rPr>
        <w:t xml:space="preserve">When the performance of a police duty requires an officer to interact with an individual who they have reasonable grounds to believe is armed and dangerous, an infringement on individual liberty may be necessary.  </w:t>
      </w:r>
    </w:p>
    <w:p w:rsidR="000C40D6" w:rsidRPr="00ED4E5E" w:rsidRDefault="000C40D6" w:rsidP="000C40D6">
      <w:pPr>
        <w:pStyle w:val="ContinueParaSuitedupar-AltP"/>
        <w:ind w:left="720" w:hanging="720"/>
        <w:rPr>
          <w:rFonts w:cs="Times New Roman"/>
        </w:rPr>
      </w:pPr>
      <w:r w:rsidRPr="00ED4E5E">
        <w:rPr>
          <w:rFonts w:cs="Times New Roman"/>
        </w:rPr>
        <w:t>3.</w:t>
      </w:r>
      <w:r w:rsidRPr="00ED4E5E">
        <w:rPr>
          <w:rFonts w:cs="Times New Roman"/>
        </w:rPr>
        <w:tab/>
        <w:t xml:space="preserve">Extent of the infringement: </w:t>
      </w:r>
      <w:r w:rsidR="00046199">
        <w:rPr>
          <w:rFonts w:cs="Times New Roman"/>
        </w:rPr>
        <w:t xml:space="preserve"> </w:t>
      </w:r>
      <w:r w:rsidRPr="00ED4E5E">
        <w:rPr>
          <w:rFonts w:cs="Times New Roman"/>
        </w:rPr>
        <w:t xml:space="preserve">The infringement on individual liberty will be justified only to the extent that it is necessary to search for weapons.  Although the specific manner (be it a pat-down, the shining of a flashlight or, as in this case, the </w:t>
      </w:r>
      <w:r>
        <w:rPr>
          <w:rFonts w:cs="Times New Roman"/>
        </w:rPr>
        <w:t xml:space="preserve">further </w:t>
      </w:r>
      <w:r w:rsidRPr="00ED4E5E">
        <w:rPr>
          <w:rFonts w:cs="Times New Roman"/>
        </w:rPr>
        <w:t xml:space="preserve">opening of a door) in which a safety search is conducted will vary from case to case, such a search will be lawful only if all aspects of the search serve a protective function. In other words, the authority for the search runs out at the point at which the search for weapons is finished.  The premise of the </w:t>
      </w:r>
      <w:r w:rsidRPr="00ED4E5E">
        <w:rPr>
          <w:rFonts w:cs="Times New Roman"/>
          <w:i/>
        </w:rPr>
        <w:t>Collins</w:t>
      </w:r>
      <w:r w:rsidRPr="00ED4E5E">
        <w:rPr>
          <w:rFonts w:cs="Times New Roman"/>
        </w:rPr>
        <w:t xml:space="preserve"> test — a warrantless search is presumed to be unreasonable unless it can be justified — must be borne in mind in determining whether the interference with individual liberty involved in a safety search is reasonable. </w:t>
      </w:r>
    </w:p>
    <w:p w:rsidR="000C40D6" w:rsidRPr="00ED4E5E" w:rsidRDefault="000C40D6" w:rsidP="000C40D6">
      <w:pPr>
        <w:pStyle w:val="ParaNoNdepar-AltN"/>
        <w:tabs>
          <w:tab w:val="clear" w:pos="1166"/>
          <w:tab w:val="num" w:pos="1152"/>
        </w:tabs>
        <w:rPr>
          <w:rFonts w:cs="Times New Roman"/>
        </w:rPr>
      </w:pPr>
      <w:r w:rsidRPr="00ED4E5E">
        <w:rPr>
          <w:rFonts w:cs="Times New Roman"/>
        </w:rPr>
        <w:t>On balancing these factors, I am convinced that the duty of police officers to protect life and safety may justify the power to conduct a safety search in certain circumstances.  At the very least, where a search is reasonably necessary to e</w:t>
      </w:r>
      <w:r>
        <w:rPr>
          <w:rFonts w:cs="Times New Roman"/>
        </w:rPr>
        <w:t>liminate</w:t>
      </w:r>
      <w:r w:rsidRPr="00ED4E5E">
        <w:rPr>
          <w:rFonts w:cs="Times New Roman"/>
        </w:rPr>
        <w:t xml:space="preserve"> </w:t>
      </w:r>
      <w:r w:rsidRPr="00ED4E5E">
        <w:rPr>
          <w:rFonts w:cs="Times New Roman"/>
        </w:rPr>
        <w:lastRenderedPageBreak/>
        <w:t xml:space="preserve">an imminent threat to the safety of the public or the police, the police should have the power to conduct the search. </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But although I acknowledge the importance of safety searches, I must repeat that the power to carry one out is not unbridled. In my view, the principles laid down in </w:t>
      </w:r>
      <w:r w:rsidRPr="00ED4E5E">
        <w:rPr>
          <w:rFonts w:cs="Times New Roman"/>
          <w:i/>
        </w:rPr>
        <w:t xml:space="preserve">Mann </w:t>
      </w:r>
      <w:r w:rsidRPr="00ED4E5E">
        <w:rPr>
          <w:rFonts w:cs="Times New Roman"/>
        </w:rPr>
        <w:t xml:space="preserve">and reaffirmed in </w:t>
      </w:r>
      <w:r w:rsidRPr="00ED4E5E">
        <w:rPr>
          <w:rFonts w:cs="Times New Roman"/>
          <w:i/>
        </w:rPr>
        <w:t xml:space="preserve">Clayton </w:t>
      </w:r>
      <w:r w:rsidRPr="00ED4E5E">
        <w:rPr>
          <w:rFonts w:cs="Times New Roman"/>
        </w:rPr>
        <w:t xml:space="preserve">require the existence of circumstances establishing the necessity of safety searches, reasonably and objectively considered, to address an imminent threat to the safety of the public or the police. Given the high privacy interests at stake in </w:t>
      </w:r>
      <w:r>
        <w:rPr>
          <w:rFonts w:cs="Times New Roman"/>
        </w:rPr>
        <w:t>such</w:t>
      </w:r>
      <w:r w:rsidRPr="00ED4E5E">
        <w:rPr>
          <w:rFonts w:cs="Times New Roman"/>
        </w:rPr>
        <w:t xml:space="preserve"> searches, the search </w:t>
      </w:r>
      <w:r>
        <w:rPr>
          <w:rFonts w:cs="Times New Roman"/>
        </w:rPr>
        <w:t>will</w:t>
      </w:r>
      <w:r w:rsidRPr="00ED4E5E">
        <w:rPr>
          <w:rFonts w:cs="Times New Roman"/>
        </w:rPr>
        <w:t xml:space="preserve"> be authorized by law</w:t>
      </w:r>
      <w:r>
        <w:rPr>
          <w:rFonts w:cs="Times New Roman"/>
        </w:rPr>
        <w:t xml:space="preserve"> only if</w:t>
      </w:r>
      <w:r w:rsidRPr="00ED4E5E">
        <w:rPr>
          <w:rFonts w:cs="Times New Roman"/>
        </w:rPr>
        <w:t xml:space="preserve"> the police officer believe</w:t>
      </w:r>
      <w:r>
        <w:rPr>
          <w:rFonts w:cs="Times New Roman"/>
        </w:rPr>
        <w:t>s</w:t>
      </w:r>
      <w:r w:rsidRPr="00ED4E5E">
        <w:rPr>
          <w:rFonts w:cs="Times New Roman"/>
        </w:rPr>
        <w:t xml:space="preserve"> on reasonable grounds that his or her safety is at stake and that</w:t>
      </w:r>
      <w:r>
        <w:rPr>
          <w:rFonts w:cs="Times New Roman"/>
        </w:rPr>
        <w:t>,</w:t>
      </w:r>
      <w:r w:rsidRPr="00ED4E5E">
        <w:rPr>
          <w:rFonts w:cs="Times New Roman"/>
        </w:rPr>
        <w:t xml:space="preserve"> as </w:t>
      </w:r>
      <w:r>
        <w:rPr>
          <w:rFonts w:cs="Times New Roman"/>
        </w:rPr>
        <w:t>a result,</w:t>
      </w:r>
      <w:r w:rsidRPr="00ED4E5E">
        <w:rPr>
          <w:rFonts w:cs="Times New Roman"/>
        </w:rPr>
        <w:t xml:space="preserve"> it is necessary to conduct a search (</w:t>
      </w:r>
      <w:r w:rsidRPr="00ED4E5E">
        <w:rPr>
          <w:rFonts w:cs="Times New Roman"/>
          <w:i/>
        </w:rPr>
        <w:t>Mann</w:t>
      </w:r>
      <w:r w:rsidRPr="00ED4E5E">
        <w:rPr>
          <w:rFonts w:cs="Times New Roman"/>
        </w:rPr>
        <w:t>,</w:t>
      </w:r>
      <w:r w:rsidRPr="00ED4E5E">
        <w:rPr>
          <w:rFonts w:cs="Times New Roman"/>
          <w:i/>
        </w:rPr>
        <w:t xml:space="preserve"> </w:t>
      </w:r>
      <w:r w:rsidRPr="00ED4E5E">
        <w:rPr>
          <w:rFonts w:cs="Times New Roman"/>
        </w:rPr>
        <w:t xml:space="preserve">at </w:t>
      </w:r>
      <w:proofErr w:type="spellStart"/>
      <w:r w:rsidR="00E04DBC">
        <w:rPr>
          <w:rFonts w:cs="Times New Roman"/>
        </w:rPr>
        <w:t>para</w:t>
      </w:r>
      <w:proofErr w:type="spellEnd"/>
      <w:r w:rsidR="00E04DBC">
        <w:rPr>
          <w:rFonts w:cs="Times New Roman"/>
        </w:rPr>
        <w:t xml:space="preserve">. 40; see also </w:t>
      </w:r>
      <w:proofErr w:type="spellStart"/>
      <w:r w:rsidR="00E04DBC">
        <w:rPr>
          <w:rFonts w:cs="Times New Roman"/>
        </w:rPr>
        <w:t>para</w:t>
      </w:r>
      <w:proofErr w:type="spellEnd"/>
      <w:r w:rsidR="00E04DBC">
        <w:rPr>
          <w:rFonts w:cs="Times New Roman"/>
        </w:rPr>
        <w:t xml:space="preserve">. </w:t>
      </w:r>
      <w:r w:rsidRPr="00ED4E5E">
        <w:rPr>
          <w:rFonts w:cs="Times New Roman"/>
        </w:rPr>
        <w:t>45).</w:t>
      </w:r>
      <w:r w:rsidR="00E04DBC">
        <w:rPr>
          <w:rFonts w:cs="Times New Roman"/>
        </w:rPr>
        <w:t xml:space="preserve"> </w:t>
      </w:r>
      <w:r w:rsidRPr="00ED4E5E">
        <w:rPr>
          <w:rFonts w:cs="Times New Roman"/>
        </w:rPr>
        <w:t xml:space="preserve">The legality of the search therefore turns on its reasonable, objectively verifiable necessity in the circumstances of the matter (see </w:t>
      </w:r>
      <w:r w:rsidRPr="00ED4E5E">
        <w:rPr>
          <w:rFonts w:cs="Times New Roman"/>
          <w:i/>
        </w:rPr>
        <w:t xml:space="preserve">R. v. </w:t>
      </w:r>
      <w:proofErr w:type="spellStart"/>
      <w:r w:rsidRPr="00ED4E5E">
        <w:rPr>
          <w:rFonts w:cs="Times New Roman"/>
          <w:i/>
        </w:rPr>
        <w:t>Tse</w:t>
      </w:r>
      <w:proofErr w:type="spellEnd"/>
      <w:r w:rsidRPr="00ED4E5E">
        <w:rPr>
          <w:rFonts w:cs="Times New Roman"/>
        </w:rPr>
        <w:t>,</w:t>
      </w:r>
      <w:r w:rsidRPr="00ED4E5E">
        <w:rPr>
          <w:rFonts w:cs="Times New Roman"/>
          <w:i/>
        </w:rPr>
        <w:t xml:space="preserve"> </w:t>
      </w:r>
      <w:r w:rsidRPr="00ED4E5E">
        <w:rPr>
          <w:rFonts w:cs="Times New Roman"/>
        </w:rPr>
        <w:t>2012 SCC 16,</w:t>
      </w:r>
      <w:r w:rsidRPr="00ED4E5E">
        <w:rPr>
          <w:rFonts w:cs="Times New Roman"/>
          <w:i/>
        </w:rPr>
        <w:t xml:space="preserve"> </w:t>
      </w:r>
      <w:r w:rsidR="00E04DBC">
        <w:rPr>
          <w:rFonts w:cs="Times New Roman"/>
        </w:rPr>
        <w:t xml:space="preserve">[2012] 1 S.C.R. 531, at </w:t>
      </w:r>
      <w:proofErr w:type="spellStart"/>
      <w:r w:rsidR="00E04DBC">
        <w:rPr>
          <w:rFonts w:cs="Times New Roman"/>
        </w:rPr>
        <w:t>para</w:t>
      </w:r>
      <w:proofErr w:type="spellEnd"/>
      <w:r w:rsidR="00E04DBC">
        <w:rPr>
          <w:rFonts w:cs="Times New Roman"/>
        </w:rPr>
        <w:t xml:space="preserve">. </w:t>
      </w:r>
      <w:r w:rsidRPr="00ED4E5E">
        <w:rPr>
          <w:rFonts w:cs="Times New Roman"/>
        </w:rPr>
        <w:t xml:space="preserve">33). As the Court stated in </w:t>
      </w:r>
      <w:r w:rsidRPr="00ED4E5E">
        <w:rPr>
          <w:rFonts w:cs="Times New Roman"/>
          <w:i/>
        </w:rPr>
        <w:t>Mann</w:t>
      </w:r>
      <w:r w:rsidRPr="00E04DBC">
        <w:rPr>
          <w:rFonts w:cs="Times New Roman"/>
        </w:rPr>
        <w:t>,</w:t>
      </w:r>
      <w:r w:rsidRPr="00ED4E5E">
        <w:rPr>
          <w:rFonts w:cs="Times New Roman"/>
        </w:rPr>
        <w:t xml:space="preserve"> a search cannot be justified on the basis of a vague concern for safety. Rather, for a safety search to be lawful, the officer must act on “reasonable and specific inferences drawn from the known facts of the situation” (</w:t>
      </w:r>
      <w:r w:rsidRPr="00ED4E5E">
        <w:rPr>
          <w:rFonts w:cs="Times New Roman"/>
          <w:i/>
        </w:rPr>
        <w:t>Mann</w:t>
      </w:r>
      <w:r w:rsidRPr="00ED4E5E">
        <w:rPr>
          <w:rFonts w:cs="Times New Roman"/>
        </w:rPr>
        <w:t xml:space="preserve">, at </w:t>
      </w:r>
      <w:proofErr w:type="spellStart"/>
      <w:r w:rsidRPr="00ED4E5E">
        <w:rPr>
          <w:rFonts w:cs="Times New Roman"/>
        </w:rPr>
        <w:t>para</w:t>
      </w:r>
      <w:proofErr w:type="spellEnd"/>
      <w:r w:rsidRPr="00ED4E5E">
        <w:rPr>
          <w:rFonts w:cs="Times New Roman"/>
        </w:rPr>
        <w:t>. 41).</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 safety search is a physical search that could uncover a broad array of information about an individual.  In the instant case, even though all Sgt. Boyd did was push the door open slightly further, this had the potential to reveal to the officers any number of things about </w:t>
      </w:r>
      <w:r>
        <w:rPr>
          <w:rFonts w:cs="Times New Roman"/>
        </w:rPr>
        <w:t>Mr. MacDonald</w:t>
      </w:r>
      <w:r w:rsidRPr="00ED4E5E">
        <w:rPr>
          <w:rFonts w:cs="Times New Roman"/>
        </w:rPr>
        <w:t xml:space="preserve">, as they could now see more of the interior of the unit. However, because Sgt. Boyd had reasonable grounds to believe </w:t>
      </w:r>
      <w:r w:rsidRPr="00ED4E5E">
        <w:rPr>
          <w:rFonts w:cs="Times New Roman"/>
        </w:rPr>
        <w:lastRenderedPageBreak/>
        <w:t xml:space="preserve">that </w:t>
      </w:r>
      <w:r>
        <w:rPr>
          <w:rFonts w:cs="Times New Roman"/>
        </w:rPr>
        <w:t>Mr. MacDonald</w:t>
      </w:r>
      <w:r w:rsidRPr="00ED4E5E">
        <w:rPr>
          <w:rFonts w:cs="Times New Roman"/>
        </w:rPr>
        <w:t xml:space="preserve"> was armed and dangerous, the </w:t>
      </w:r>
      <w:r>
        <w:rPr>
          <w:rFonts w:cs="Times New Roman"/>
        </w:rPr>
        <w:t xml:space="preserve">further </w:t>
      </w:r>
      <w:r w:rsidRPr="00ED4E5E">
        <w:rPr>
          <w:rFonts w:cs="Times New Roman"/>
        </w:rPr>
        <w:t>opening of the door was authorized by law.</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As for the second prong of the </w:t>
      </w:r>
      <w:r w:rsidRPr="00ED4E5E">
        <w:rPr>
          <w:rFonts w:cs="Times New Roman"/>
          <w:i/>
        </w:rPr>
        <w:t>Collins</w:t>
      </w:r>
      <w:r w:rsidRPr="00ED4E5E">
        <w:rPr>
          <w:rFonts w:cs="Times New Roman"/>
        </w:rPr>
        <w:t xml:space="preserve"> test, it cannot be disputed that the lawful authority underlying safety searches outlined above is reasonable.  Indeed, the execution of the police duty to protect life and safety lies at the very core of the existence of the police as a social entity. Further, the law will justify the exercise of this police power only if exercising it is </w:t>
      </w:r>
      <w:r w:rsidRPr="00ED4E5E">
        <w:rPr>
          <w:rFonts w:cs="Times New Roman"/>
          <w:i/>
        </w:rPr>
        <w:t>reasonably necessary</w:t>
      </w:r>
      <w:r w:rsidRPr="00ED4E5E">
        <w:rPr>
          <w:rFonts w:cs="Times New Roman"/>
        </w:rPr>
        <w:t xml:space="preserve"> in order for the police to conduct the </w:t>
      </w:r>
      <w:proofErr w:type="gramStart"/>
      <w:r w:rsidRPr="00ED4E5E">
        <w:rPr>
          <w:rFonts w:cs="Times New Roman"/>
        </w:rPr>
        <w:t>safety search</w:t>
      </w:r>
      <w:proofErr w:type="gramEnd"/>
      <w:r w:rsidRPr="00ED4E5E">
        <w:rPr>
          <w:rFonts w:cs="Times New Roman"/>
        </w:rPr>
        <w:t xml:space="preserve"> in question (</w:t>
      </w:r>
      <w:r w:rsidRPr="00ED4E5E">
        <w:rPr>
          <w:rFonts w:cs="Times New Roman"/>
          <w:i/>
        </w:rPr>
        <w:t>Clayton</w:t>
      </w:r>
      <w:r w:rsidRPr="00ED4E5E">
        <w:rPr>
          <w:rFonts w:cs="Times New Roman"/>
        </w:rPr>
        <w:t xml:space="preserve">, at </w:t>
      </w:r>
      <w:proofErr w:type="spellStart"/>
      <w:r w:rsidRPr="00ED4E5E">
        <w:rPr>
          <w:rFonts w:cs="Times New Roman"/>
        </w:rPr>
        <w:t>paras</w:t>
      </w:r>
      <w:proofErr w:type="spellEnd"/>
      <w:r w:rsidRPr="00ED4E5E">
        <w:rPr>
          <w:rFonts w:cs="Times New Roman"/>
        </w:rPr>
        <w:t xml:space="preserve">. 21, 26 and 31). As I explained above, it is only when police officers have reasonable grounds to believe that there is an imminent threat to their safety that it will be reasonably necessary to conduct such a search.  This limit guarantees that the lawful police power is not excessively broad.  In so doing, it ensures that the law itself is reasonable and can be reasonably delineated. </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This common law power to conduct searches for safety purposes is the reasonable lawful authority for the search carried out by Sgt. Boyd.  The power was engaged because Sgt. Boyd had reasonable grounds to believe that there was an imminent threat to the safety of the public or the police and that the search was necessary in order to eliminate that threat.  More specifically, the trial judge found that Sgt. Boyd had observed the following when </w:t>
      </w:r>
      <w:r>
        <w:rPr>
          <w:rFonts w:cs="Times New Roman"/>
        </w:rPr>
        <w:t>Mr. MacDonald</w:t>
      </w:r>
      <w:r w:rsidRPr="00ED4E5E">
        <w:rPr>
          <w:rFonts w:cs="Times New Roman"/>
        </w:rPr>
        <w:t xml:space="preserve"> answered the door:</w:t>
      </w:r>
    </w:p>
    <w:p w:rsidR="000C40D6" w:rsidRPr="00ED4E5E" w:rsidRDefault="00886431" w:rsidP="00886431">
      <w:pPr>
        <w:pStyle w:val="ContinueParaSuitedupar-AltP"/>
        <w:ind w:left="720" w:hanging="720"/>
      </w:pPr>
      <w:r>
        <w:t>1.</w:t>
      </w:r>
      <w:r>
        <w:tab/>
      </w:r>
      <w:r w:rsidR="000C40D6">
        <w:t>Mr. MacDonald</w:t>
      </w:r>
      <w:r w:rsidR="000C40D6" w:rsidRPr="00ED4E5E">
        <w:t xml:space="preserve"> had his hand behind his leg and was clearly holding an object;</w:t>
      </w:r>
    </w:p>
    <w:p w:rsidR="000C40D6" w:rsidRPr="00ED4E5E" w:rsidRDefault="00886431" w:rsidP="00886431">
      <w:pPr>
        <w:pStyle w:val="ContinueParaSuitedupar-AltP"/>
        <w:ind w:left="720" w:hanging="720"/>
      </w:pPr>
      <w:r>
        <w:lastRenderedPageBreak/>
        <w:t>2.</w:t>
      </w:r>
      <w:r>
        <w:tab/>
      </w:r>
      <w:proofErr w:type="gramStart"/>
      <w:r w:rsidR="000C40D6" w:rsidRPr="00ED4E5E">
        <w:t>what</w:t>
      </w:r>
      <w:proofErr w:type="gramEnd"/>
      <w:r w:rsidR="000C40D6" w:rsidRPr="00ED4E5E">
        <w:t xml:space="preserve"> </w:t>
      </w:r>
      <w:r w:rsidR="000C40D6">
        <w:t xml:space="preserve">he </w:t>
      </w:r>
      <w:r w:rsidR="000C40D6" w:rsidRPr="00ED4E5E">
        <w:t>was holding was “black and shiny” and therefore could have been a weapon; and</w:t>
      </w:r>
    </w:p>
    <w:p w:rsidR="000C40D6" w:rsidRPr="00ED4E5E" w:rsidRDefault="00886431" w:rsidP="00886431">
      <w:pPr>
        <w:pStyle w:val="ContinueParaSuitedupar-AltP"/>
        <w:ind w:left="720" w:hanging="720"/>
      </w:pPr>
      <w:r>
        <w:t>3.</w:t>
      </w:r>
      <w:r>
        <w:tab/>
      </w:r>
      <w:proofErr w:type="gramStart"/>
      <w:r w:rsidR="000C40D6" w:rsidRPr="00ED4E5E">
        <w:t>when</w:t>
      </w:r>
      <w:proofErr w:type="gramEnd"/>
      <w:r w:rsidR="000C40D6" w:rsidRPr="00ED4E5E">
        <w:t xml:space="preserve"> twice asked what he had behind his back, </w:t>
      </w:r>
      <w:r w:rsidR="000C40D6">
        <w:t>he</w:t>
      </w:r>
      <w:r w:rsidR="000C40D6" w:rsidRPr="00ED4E5E">
        <w:t xml:space="preserve"> refused to answer or to provide any explanation.</w:t>
      </w:r>
    </w:p>
    <w:p w:rsidR="000C40D6" w:rsidRPr="00D752FE" w:rsidRDefault="000C40D6" w:rsidP="000C40D6">
      <w:pPr>
        <w:pStyle w:val="ParaNoNdepar-AltN"/>
        <w:tabs>
          <w:tab w:val="clear" w:pos="1166"/>
          <w:tab w:val="num" w:pos="1152"/>
        </w:tabs>
        <w:rPr>
          <w:rFonts w:cs="Times New Roman"/>
        </w:rPr>
      </w:pPr>
      <w:r w:rsidRPr="00ED4E5E">
        <w:rPr>
          <w:rFonts w:cs="Times New Roman"/>
        </w:rPr>
        <w:t xml:space="preserve">In my opinion, the search conducted by Sgt. Boyd was authorized by law and the law itself, in the form of a well-established common law principle, is reasonable.  As I will explain below, the </w:t>
      </w:r>
      <w:r w:rsidRPr="00ED4E5E">
        <w:rPr>
          <w:rFonts w:cs="Times New Roman"/>
          <w:szCs w:val="24"/>
        </w:rPr>
        <w:t>manner in which he carried out the search was also reasonable.</w:t>
      </w:r>
    </w:p>
    <w:p w:rsidR="000C40D6" w:rsidRPr="00ED4E5E" w:rsidRDefault="000C40D6" w:rsidP="000C40D6">
      <w:pPr>
        <w:pStyle w:val="TitleTitre-AltT"/>
        <w:tabs>
          <w:tab w:val="clear" w:pos="360"/>
          <w:tab w:val="left" w:pos="900"/>
        </w:tabs>
        <w:ind w:left="1800" w:hanging="630"/>
        <w:rPr>
          <w:rFonts w:cs="Times New Roman"/>
        </w:rPr>
      </w:pPr>
      <w:r w:rsidRPr="00ED4E5E">
        <w:rPr>
          <w:rFonts w:cs="Times New Roman"/>
        </w:rPr>
        <w:t>(b)</w:t>
      </w:r>
      <w:r w:rsidRPr="00ED4E5E">
        <w:rPr>
          <w:rFonts w:cs="Times New Roman"/>
        </w:rPr>
        <w:tab/>
      </w:r>
      <w:r w:rsidRPr="00ED4E5E">
        <w:rPr>
          <w:rFonts w:cs="Times New Roman"/>
          <w:i/>
        </w:rPr>
        <w:t>The M</w:t>
      </w:r>
      <w:r w:rsidRPr="00ED4E5E">
        <w:rPr>
          <w:rFonts w:cs="Times New Roman"/>
          <w:i/>
          <w:szCs w:val="24"/>
        </w:rPr>
        <w:t>anner in Which the Search Was Carried Out Was Reasonable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Two aspects of this prong of the </w:t>
      </w:r>
      <w:r w:rsidRPr="00ED4E5E">
        <w:rPr>
          <w:rFonts w:cs="Times New Roman"/>
          <w:i/>
        </w:rPr>
        <w:t>Collins</w:t>
      </w:r>
      <w:r w:rsidRPr="00ED4E5E">
        <w:rPr>
          <w:rFonts w:cs="Times New Roman"/>
        </w:rPr>
        <w:t xml:space="preserve"> test must be addressed.  First, as we have seen, an officer must have reasonable grounds to believe that there is an imminent threat to the safety of the public or the police before a safety search will be deemed reasonable.  I agree that Sgt. Boyd had such grounds in the circumstances of this case.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Second, the actions of the police in conducting the search must be scrutinized to determine whether </w:t>
      </w:r>
      <w:r w:rsidRPr="00ED4E5E">
        <w:rPr>
          <w:rFonts w:cs="Times New Roman"/>
          <w:szCs w:val="24"/>
        </w:rPr>
        <w:t xml:space="preserve">the search was carried out reasonably.  To a certain extent, this analysis relates to the second stage of the </w:t>
      </w:r>
      <w:proofErr w:type="spellStart"/>
      <w:r w:rsidRPr="00ED4E5E">
        <w:rPr>
          <w:rFonts w:cs="Times New Roman"/>
          <w:i/>
          <w:szCs w:val="24"/>
        </w:rPr>
        <w:t>Waterfield</w:t>
      </w:r>
      <w:proofErr w:type="spellEnd"/>
      <w:r w:rsidRPr="00ED4E5E">
        <w:rPr>
          <w:rFonts w:cs="Times New Roman"/>
          <w:i/>
          <w:szCs w:val="24"/>
        </w:rPr>
        <w:t xml:space="preserve"> </w:t>
      </w:r>
      <w:r w:rsidRPr="00ED4E5E">
        <w:rPr>
          <w:rFonts w:cs="Times New Roman"/>
          <w:szCs w:val="24"/>
        </w:rPr>
        <w:t xml:space="preserve">test. If the extent of the infringement is greater than what is required to search for weapons, the search will not be authorized by law. At this point, however, the overall reasonableness of </w:t>
      </w:r>
      <w:r w:rsidRPr="00ED4E5E">
        <w:rPr>
          <w:rFonts w:cs="Times New Roman"/>
          <w:szCs w:val="24"/>
        </w:rPr>
        <w:lastRenderedPageBreak/>
        <w:t>the search must be assessed in light of the totality of the circumstances (</w:t>
      </w:r>
      <w:r w:rsidRPr="00ED4E5E">
        <w:rPr>
          <w:rFonts w:cs="Times New Roman"/>
          <w:i/>
          <w:szCs w:val="24"/>
        </w:rPr>
        <w:t>Mann</w:t>
      </w:r>
      <w:r w:rsidRPr="00ED4E5E">
        <w:rPr>
          <w:rFonts w:cs="Times New Roman"/>
          <w:szCs w:val="24"/>
        </w:rPr>
        <w:t xml:space="preserve">, at </w:t>
      </w:r>
      <w:proofErr w:type="spellStart"/>
      <w:r w:rsidRPr="00ED4E5E">
        <w:rPr>
          <w:rFonts w:cs="Times New Roman"/>
          <w:szCs w:val="24"/>
        </w:rPr>
        <w:t>para</w:t>
      </w:r>
      <w:proofErr w:type="spellEnd"/>
      <w:r w:rsidRPr="00ED4E5E">
        <w:rPr>
          <w:rFonts w:cs="Times New Roman"/>
          <w:szCs w:val="24"/>
        </w:rPr>
        <w:t xml:space="preserve">. 44).  It is necessary to consider not only the </w:t>
      </w:r>
      <w:r w:rsidRPr="00ED4E5E">
        <w:rPr>
          <w:rFonts w:cs="Times New Roman"/>
          <w:i/>
          <w:szCs w:val="24"/>
        </w:rPr>
        <w:t>extent</w:t>
      </w:r>
      <w:r w:rsidRPr="00ED4E5E">
        <w:rPr>
          <w:rFonts w:cs="Times New Roman"/>
          <w:szCs w:val="24"/>
        </w:rPr>
        <w:t xml:space="preserve"> of the interference, but </w:t>
      </w:r>
      <w:r w:rsidRPr="00ED4E5E">
        <w:rPr>
          <w:rFonts w:cs="Times New Roman"/>
          <w:i/>
          <w:szCs w:val="24"/>
        </w:rPr>
        <w:t>how</w:t>
      </w:r>
      <w:r w:rsidRPr="00ED4E5E">
        <w:rPr>
          <w:rFonts w:cs="Times New Roman"/>
          <w:szCs w:val="24"/>
        </w:rPr>
        <w:t xml:space="preserve"> it was carried out. This inquiry turns on whether the search was minimally intrusive on the privacy interest at stake.  In other words, the manner in which the search was carried out must have been </w:t>
      </w:r>
      <w:r w:rsidRPr="00ED4E5E">
        <w:rPr>
          <w:rFonts w:cs="Times New Roman"/>
        </w:rPr>
        <w:t xml:space="preserve">reasonably </w:t>
      </w:r>
      <w:r w:rsidRPr="00ED4E5E">
        <w:rPr>
          <w:rFonts w:cs="Times New Roman"/>
          <w:i/>
        </w:rPr>
        <w:t>necessary</w:t>
      </w:r>
      <w:r w:rsidRPr="00ED4E5E">
        <w:rPr>
          <w:rFonts w:cs="Times New Roman"/>
        </w:rPr>
        <w:t xml:space="preserve"> to eliminate any threat</w:t>
      </w:r>
      <w:r w:rsidRPr="00ED4E5E">
        <w:rPr>
          <w:rFonts w:cs="Times New Roman"/>
          <w:szCs w:val="24"/>
        </w:rPr>
        <w:t xml:space="preserve">. </w:t>
      </w:r>
    </w:p>
    <w:p w:rsidR="000C40D6" w:rsidRPr="00ED4E5E" w:rsidRDefault="000C40D6" w:rsidP="000C40D6">
      <w:pPr>
        <w:pStyle w:val="ParaNoNdepar-AltN"/>
        <w:tabs>
          <w:tab w:val="clear" w:pos="1166"/>
          <w:tab w:val="num" w:pos="1152"/>
        </w:tabs>
        <w:rPr>
          <w:rFonts w:cs="Times New Roman"/>
        </w:rPr>
      </w:pPr>
      <w:r w:rsidRPr="00ED4E5E">
        <w:rPr>
          <w:rFonts w:cs="Times New Roman"/>
          <w:szCs w:val="24"/>
        </w:rPr>
        <w:t xml:space="preserve">In the instant case, the trial judge found that Sgt. Boyd had, in pushing the door open further, done no more than was necessary to find out what </w:t>
      </w:r>
      <w:r>
        <w:rPr>
          <w:rFonts w:cs="Times New Roman"/>
          <w:szCs w:val="24"/>
        </w:rPr>
        <w:t>Mr. MacDonald</w:t>
      </w:r>
      <w:r w:rsidRPr="00ED4E5E">
        <w:rPr>
          <w:rFonts w:cs="Times New Roman"/>
          <w:szCs w:val="24"/>
        </w:rPr>
        <w:t xml:space="preserve"> had behind his leg.  His action was therefore reasonably</w:t>
      </w:r>
      <w:r w:rsidRPr="00ED4E5E">
        <w:rPr>
          <w:rFonts w:cs="Times New Roman"/>
          <w:i/>
          <w:szCs w:val="24"/>
        </w:rPr>
        <w:t xml:space="preserve"> </w:t>
      </w:r>
      <w:r w:rsidRPr="00ED4E5E">
        <w:rPr>
          <w:rFonts w:cs="Times New Roman"/>
          <w:szCs w:val="24"/>
        </w:rPr>
        <w:t xml:space="preserve">necessary in order to </w:t>
      </w:r>
      <w:r>
        <w:rPr>
          <w:rFonts w:cs="Times New Roman"/>
          <w:szCs w:val="24"/>
        </w:rPr>
        <w:t xml:space="preserve">determine what was behind Mr. MacDonald’s leg and in so doing </w:t>
      </w:r>
      <w:r w:rsidRPr="00ED4E5E">
        <w:rPr>
          <w:rFonts w:cs="Times New Roman"/>
          <w:szCs w:val="24"/>
        </w:rPr>
        <w:t xml:space="preserve">eliminate any </w:t>
      </w:r>
      <w:r w:rsidRPr="00ED4E5E">
        <w:rPr>
          <w:rFonts w:cs="Times New Roman"/>
        </w:rPr>
        <w:t xml:space="preserve">threat to the safety of the public or the police.  In fact, one could go further and state that there was no less intrusive way to do so.  Sgt. Boyd twice asked </w:t>
      </w:r>
      <w:r>
        <w:rPr>
          <w:rFonts w:cs="Times New Roman"/>
        </w:rPr>
        <w:t>Mr. MacDonald</w:t>
      </w:r>
      <w:r w:rsidRPr="00ED4E5E">
        <w:rPr>
          <w:rFonts w:cs="Times New Roman"/>
        </w:rPr>
        <w:t xml:space="preserve"> what he had in his hand but received no answer.  In these circumstances, it is hard to imagine a less invasive way of determining whether </w:t>
      </w:r>
      <w:r>
        <w:rPr>
          <w:rFonts w:cs="Times New Roman"/>
        </w:rPr>
        <w:t>Mr. MacDonald</w:t>
      </w:r>
      <w:r w:rsidRPr="00ED4E5E">
        <w:rPr>
          <w:rFonts w:cs="Times New Roman"/>
        </w:rPr>
        <w:t xml:space="preserve"> was concealing a weapon (and thereby eliminating any threat in that regard).</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Indeed, when </w:t>
      </w:r>
      <w:r>
        <w:rPr>
          <w:rFonts w:cs="Times New Roman"/>
        </w:rPr>
        <w:t>the officer’s</w:t>
      </w:r>
      <w:r w:rsidRPr="00ED4E5E">
        <w:rPr>
          <w:rFonts w:cs="Times New Roman"/>
        </w:rPr>
        <w:t xml:space="preserve"> evidence is read as a whole, it appears </w:t>
      </w:r>
      <w:r>
        <w:rPr>
          <w:rFonts w:cs="Times New Roman"/>
        </w:rPr>
        <w:t>that he</w:t>
      </w:r>
      <w:r w:rsidRPr="00ED4E5E">
        <w:rPr>
          <w:rFonts w:cs="Times New Roman"/>
        </w:rPr>
        <w:t xml:space="preserve"> had reasonable grounds to believe that </w:t>
      </w:r>
      <w:r w:rsidR="00886431">
        <w:rPr>
          <w:rFonts w:cs="Times New Roman"/>
        </w:rPr>
        <w:t xml:space="preserve">Mr. </w:t>
      </w:r>
      <w:r w:rsidRPr="00ED4E5E">
        <w:rPr>
          <w:rFonts w:cs="Times New Roman"/>
        </w:rPr>
        <w:t xml:space="preserve">MacDonald had a weapon in his hands. He simply was not sure what kind of weapon </w:t>
      </w:r>
      <w:r>
        <w:rPr>
          <w:rFonts w:cs="Times New Roman"/>
        </w:rPr>
        <w:t>it was</w:t>
      </w:r>
      <w:r w:rsidRPr="00ED4E5E">
        <w:rPr>
          <w:rFonts w:cs="Times New Roman"/>
        </w:rPr>
        <w:t xml:space="preserve"> (see</w:t>
      </w:r>
      <w:r w:rsidR="00C667D5">
        <w:rPr>
          <w:rFonts w:cs="Times New Roman"/>
        </w:rPr>
        <w:t>,</w:t>
      </w:r>
      <w:r w:rsidRPr="00ED4E5E">
        <w:rPr>
          <w:rFonts w:cs="Times New Roman"/>
        </w:rPr>
        <w:t xml:space="preserve"> for example</w:t>
      </w:r>
      <w:r w:rsidR="00C667D5">
        <w:rPr>
          <w:rFonts w:cs="Times New Roman"/>
        </w:rPr>
        <w:t>,</w:t>
      </w:r>
      <w:r w:rsidRPr="00ED4E5E">
        <w:rPr>
          <w:rFonts w:cs="Times New Roman"/>
        </w:rPr>
        <w:t xml:space="preserve"> A.R., </w:t>
      </w:r>
      <w:r>
        <w:rPr>
          <w:rFonts w:cs="Times New Roman"/>
        </w:rPr>
        <w:t xml:space="preserve">at </w:t>
      </w:r>
      <w:r w:rsidRPr="00ED4E5E">
        <w:rPr>
          <w:rFonts w:cs="Times New Roman"/>
        </w:rPr>
        <w:t>p. 180).</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On this basis, Sgt. Boyd’s pushing the door to the unit open further constituted a reasonable search.  It was authorized by a reasonable law and was </w:t>
      </w:r>
      <w:r w:rsidRPr="00ED4E5E">
        <w:rPr>
          <w:rFonts w:cs="Times New Roman"/>
          <w:szCs w:val="24"/>
        </w:rPr>
        <w:t>carried out in a reasonable manner.</w:t>
      </w:r>
      <w:r w:rsidRPr="00ED4E5E">
        <w:rPr>
          <w:rFonts w:cs="Times New Roman"/>
        </w:rPr>
        <w:t xml:space="preserve">  It follows that </w:t>
      </w:r>
      <w:r>
        <w:rPr>
          <w:rFonts w:cs="Times New Roman"/>
        </w:rPr>
        <w:t>Mr. MacDonald</w:t>
      </w:r>
      <w:r w:rsidRPr="00ED4E5E">
        <w:rPr>
          <w:rFonts w:cs="Times New Roman"/>
        </w:rPr>
        <w:t xml:space="preserve">’s rights under s. 8 </w:t>
      </w:r>
      <w:r w:rsidRPr="00ED4E5E">
        <w:rPr>
          <w:rFonts w:cs="Times New Roman"/>
        </w:rPr>
        <w:lastRenderedPageBreak/>
        <w:t xml:space="preserve">of the </w:t>
      </w:r>
      <w:r w:rsidRPr="00ED4E5E">
        <w:rPr>
          <w:rFonts w:cs="Times New Roman"/>
          <w:i/>
        </w:rPr>
        <w:t>Charter</w:t>
      </w:r>
      <w:r w:rsidRPr="00ED4E5E">
        <w:rPr>
          <w:rFonts w:cs="Times New Roman"/>
        </w:rPr>
        <w:t xml:space="preserve"> were not violated.  As a result, I need not consider the issue of a remedy under s. 24(2) of the </w:t>
      </w:r>
      <w:r w:rsidRPr="00ED4E5E">
        <w:rPr>
          <w:rFonts w:cs="Times New Roman"/>
          <w:i/>
        </w:rPr>
        <w:t>Charter</w:t>
      </w:r>
      <w:r w:rsidRPr="00ED4E5E">
        <w:rPr>
          <w:rFonts w:cs="Times New Roman"/>
        </w:rPr>
        <w:t>.</w:t>
      </w:r>
    </w:p>
    <w:p w:rsidR="000C40D6" w:rsidRPr="00ED4E5E" w:rsidRDefault="000C40D6" w:rsidP="000C40D6">
      <w:pPr>
        <w:pStyle w:val="TitleTitre-AltT"/>
        <w:rPr>
          <w:rFonts w:cs="Times New Roman"/>
          <w:i/>
        </w:rPr>
      </w:pPr>
      <w:r w:rsidRPr="00ED4E5E">
        <w:rPr>
          <w:rFonts w:cs="Times New Roman"/>
        </w:rPr>
        <w:t>C.</w:t>
      </w:r>
      <w:r w:rsidRPr="00ED4E5E">
        <w:rPr>
          <w:rFonts w:cs="Times New Roman"/>
        </w:rPr>
        <w:tab/>
      </w:r>
      <w:r w:rsidRPr="00ED4E5E">
        <w:rPr>
          <w:rFonts w:cs="Times New Roman"/>
          <w:i/>
        </w:rPr>
        <w:t xml:space="preserve">Appeal of the Acquittal on the Charge </w:t>
      </w:r>
      <w:proofErr w:type="gramStart"/>
      <w:r w:rsidRPr="00ED4E5E">
        <w:rPr>
          <w:rFonts w:cs="Times New Roman"/>
          <w:i/>
        </w:rPr>
        <w:t>Under</w:t>
      </w:r>
      <w:proofErr w:type="gramEnd"/>
      <w:r w:rsidRPr="00ED4E5E">
        <w:rPr>
          <w:rFonts w:cs="Times New Roman"/>
          <w:i/>
        </w:rPr>
        <w:t xml:space="preserve"> Section 95 of the Code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The Crown is appealing </w:t>
      </w:r>
      <w:r>
        <w:rPr>
          <w:rFonts w:cs="Times New Roman"/>
        </w:rPr>
        <w:t>Mr. MacDonald</w:t>
      </w:r>
      <w:r w:rsidRPr="00ED4E5E">
        <w:rPr>
          <w:rFonts w:cs="Times New Roman"/>
        </w:rPr>
        <w:t xml:space="preserve">’s acquittal on the charge under s. 95 of the </w:t>
      </w:r>
      <w:r w:rsidRPr="00ED4E5E">
        <w:rPr>
          <w:rFonts w:cs="Times New Roman"/>
          <w:i/>
        </w:rPr>
        <w:t>Code</w:t>
      </w:r>
      <w:r w:rsidRPr="00ED4E5E">
        <w:rPr>
          <w:rFonts w:cs="Times New Roman"/>
        </w:rPr>
        <w:t xml:space="preserve">.  It submits that the Court of Appeal erred in interpreting the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requirement of the offence of possession of a loaded restricted firearm provided for in s. 95 and imposed a nearly insurmountable burden on the Crown which is inconsistent with the principle that ignorance of the law is no excuse.  </w:t>
      </w:r>
      <w:r w:rsidR="00886431">
        <w:rPr>
          <w:rFonts w:cs="Times New Roman"/>
        </w:rPr>
        <w:t xml:space="preserve">Mr. </w:t>
      </w:r>
      <w:r>
        <w:rPr>
          <w:rFonts w:cs="Times New Roman"/>
        </w:rPr>
        <w:t>MacDonald</w:t>
      </w:r>
      <w:r w:rsidRPr="00ED4E5E">
        <w:rPr>
          <w:rFonts w:cs="Times New Roman"/>
        </w:rPr>
        <w:t xml:space="preserve"> takes the position that the Court of Appeal correctly interpreted the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requirement of that offence and correctly held that the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i/>
        </w:rPr>
        <w:t xml:space="preserve"> </w:t>
      </w:r>
      <w:r w:rsidRPr="00ED4E5E">
        <w:rPr>
          <w:rFonts w:cs="Times New Roman"/>
        </w:rPr>
        <w:t xml:space="preserve">had not been made out.  I agree with the Crown that the Court of Appeal made an error in requiring the Crown to prove, in order to secure a conviction under s. 95, that the accused knew his possession and acquisition licence and authorization to transport the firearm did not extend to the place where he unlawfully had it in his possession.  As I will explain, such a requirement is inconsistent with the rule, codified in s. 19 of the </w:t>
      </w:r>
      <w:r w:rsidRPr="00ED4E5E">
        <w:rPr>
          <w:rFonts w:cs="Times New Roman"/>
          <w:i/>
        </w:rPr>
        <w:t>Code</w:t>
      </w:r>
      <w:r w:rsidRPr="00ED4E5E">
        <w:rPr>
          <w:rFonts w:cs="Times New Roman"/>
        </w:rPr>
        <w:t>, that ignorance of the law is no excuse.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Section 95(1) of the </w:t>
      </w:r>
      <w:r w:rsidRPr="00ED4E5E">
        <w:rPr>
          <w:rFonts w:cs="Times New Roman"/>
          <w:i/>
        </w:rPr>
        <w:t>Code</w:t>
      </w:r>
      <w:r w:rsidRPr="00ED4E5E">
        <w:rPr>
          <w:rFonts w:cs="Times New Roman"/>
        </w:rPr>
        <w:t xml:space="preserve"> reads as follows:</w:t>
      </w:r>
    </w:p>
    <w:p w:rsidR="000C40D6" w:rsidRDefault="000C40D6" w:rsidP="000C40D6">
      <w:pPr>
        <w:pStyle w:val="Citation-AltC"/>
        <w:ind w:firstLine="274"/>
        <w:rPr>
          <w:u w:val="single"/>
        </w:rPr>
      </w:pPr>
      <w:r w:rsidRPr="00ED4E5E">
        <w:rPr>
          <w:b/>
        </w:rPr>
        <w:t>95.</w:t>
      </w:r>
      <w:r w:rsidRPr="00ED4E5E">
        <w:t xml:space="preserve"> (1) Subject to subsection (3), every person commits an offence who, </w:t>
      </w:r>
      <w:r w:rsidRPr="00ED4E5E">
        <w:rPr>
          <w:u w:val="single"/>
        </w:rPr>
        <w:t>in any place, possesses a loaded</w:t>
      </w:r>
      <w:r w:rsidRPr="00ED4E5E">
        <w:t xml:space="preserve"> prohibited firearm or </w:t>
      </w:r>
      <w:r w:rsidRPr="00ED4E5E">
        <w:rPr>
          <w:u w:val="single"/>
        </w:rPr>
        <w:t>restricted firearm</w:t>
      </w:r>
      <w:r w:rsidRPr="00ED4E5E">
        <w:t xml:space="preserve">, or an unloaded prohibited firearm or restricted firearm together with readily accessible ammunition that is capable of being discharged in the firearm, </w:t>
      </w:r>
      <w:r w:rsidRPr="00ED4E5E">
        <w:rPr>
          <w:u w:val="single"/>
        </w:rPr>
        <w:t>unless the person is the holder of</w:t>
      </w:r>
    </w:p>
    <w:p w:rsidR="00886431" w:rsidRPr="00ED4E5E" w:rsidRDefault="00886431" w:rsidP="000C40D6">
      <w:pPr>
        <w:pStyle w:val="Citation-AltC"/>
        <w:ind w:firstLine="274"/>
      </w:pPr>
    </w:p>
    <w:p w:rsidR="000C40D6" w:rsidRDefault="000C40D6" w:rsidP="000C40D6">
      <w:pPr>
        <w:pStyle w:val="Citation-AltC"/>
        <w:tabs>
          <w:tab w:val="left" w:pos="1890"/>
          <w:tab w:val="left" w:pos="2160"/>
        </w:tabs>
        <w:ind w:left="1440"/>
      </w:pPr>
      <w:r w:rsidRPr="00ED4E5E">
        <w:lastRenderedPageBreak/>
        <w:t>(</w:t>
      </w:r>
      <w:r w:rsidRPr="00ED4E5E">
        <w:rPr>
          <w:i/>
        </w:rPr>
        <w:t>a</w:t>
      </w:r>
      <w:r w:rsidRPr="00ED4E5E">
        <w:t>)</w:t>
      </w:r>
      <w:r w:rsidRPr="00ED4E5E">
        <w:tab/>
      </w:r>
      <w:proofErr w:type="gramStart"/>
      <w:r w:rsidRPr="00ED4E5E">
        <w:rPr>
          <w:u w:val="single"/>
        </w:rPr>
        <w:t>an</w:t>
      </w:r>
      <w:proofErr w:type="gramEnd"/>
      <w:r w:rsidRPr="00ED4E5E">
        <w:rPr>
          <w:u w:val="single"/>
        </w:rPr>
        <w:t xml:space="preserve"> authorization or a licence under which the person may possess the firearm in that place</w:t>
      </w:r>
      <w:r w:rsidRPr="00886431">
        <w:t>;</w:t>
      </w:r>
      <w:r w:rsidRPr="00ED4E5E">
        <w:t xml:space="preserve"> and</w:t>
      </w:r>
    </w:p>
    <w:p w:rsidR="00886431" w:rsidRPr="00ED4E5E" w:rsidRDefault="00886431" w:rsidP="000C40D6">
      <w:pPr>
        <w:pStyle w:val="Citation-AltC"/>
        <w:tabs>
          <w:tab w:val="left" w:pos="1890"/>
          <w:tab w:val="left" w:pos="2160"/>
        </w:tabs>
        <w:ind w:left="1440"/>
      </w:pPr>
    </w:p>
    <w:p w:rsidR="000C40D6" w:rsidRPr="00ED4E5E" w:rsidRDefault="000C40D6" w:rsidP="000C40D6">
      <w:pPr>
        <w:pStyle w:val="Citation-AltC"/>
        <w:tabs>
          <w:tab w:val="left" w:pos="1890"/>
        </w:tabs>
        <w:ind w:firstLine="274"/>
      </w:pPr>
      <w:r w:rsidRPr="00ED4E5E">
        <w:t>(</w:t>
      </w:r>
      <w:r w:rsidRPr="00ED4E5E">
        <w:rPr>
          <w:i/>
        </w:rPr>
        <w:t>b</w:t>
      </w:r>
      <w:r w:rsidRPr="00ED4E5E">
        <w:t>)</w:t>
      </w:r>
      <w:r w:rsidRPr="00ED4E5E">
        <w:tab/>
      </w:r>
      <w:proofErr w:type="gramStart"/>
      <w:r w:rsidRPr="00ED4E5E">
        <w:t>the</w:t>
      </w:r>
      <w:proofErr w:type="gramEnd"/>
      <w:r w:rsidRPr="00ED4E5E">
        <w:t xml:space="preserve"> registration certificate for the firearm. </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 this Court, </w:t>
      </w:r>
      <w:r>
        <w:rPr>
          <w:rFonts w:cs="Times New Roman"/>
        </w:rPr>
        <w:t>Mr. MacDonald</w:t>
      </w:r>
      <w:r w:rsidRPr="00ED4E5E">
        <w:rPr>
          <w:rFonts w:cs="Times New Roman"/>
        </w:rPr>
        <w:t xml:space="preserve">’s argument on his conviction under s. 95 relates to the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of the offence.  </w:t>
      </w:r>
      <w:r>
        <w:rPr>
          <w:rFonts w:cs="Times New Roman"/>
        </w:rPr>
        <w:t>He</w:t>
      </w:r>
      <w:r w:rsidRPr="00ED4E5E">
        <w:rPr>
          <w:rFonts w:cs="Times New Roman"/>
        </w:rPr>
        <w:t xml:space="preserve"> does not dispute that he possessed a loaded restricted firearm in the unit.  Nor does </w:t>
      </w:r>
      <w:r>
        <w:rPr>
          <w:rFonts w:cs="Times New Roman"/>
        </w:rPr>
        <w:t>Mr. MacDonald</w:t>
      </w:r>
      <w:r w:rsidRPr="00ED4E5E">
        <w:rPr>
          <w:rFonts w:cs="Times New Roman"/>
        </w:rPr>
        <w:t xml:space="preserve"> deny that he possessed the firearm there without being the holder of an authorization or a licence </w:t>
      </w:r>
      <w:r>
        <w:rPr>
          <w:rFonts w:cs="Times New Roman"/>
        </w:rPr>
        <w:t>that</w:t>
      </w:r>
      <w:r w:rsidRPr="00ED4E5E">
        <w:rPr>
          <w:rFonts w:cs="Times New Roman"/>
        </w:rPr>
        <w:t xml:space="preserve"> entitled him to possess it in that place.  Rather, he argues that s. 95 is a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i/>
        </w:rPr>
        <w:t xml:space="preserve"> </w:t>
      </w:r>
      <w:r w:rsidRPr="00ED4E5E">
        <w:rPr>
          <w:rFonts w:cs="Times New Roman"/>
        </w:rPr>
        <w:t xml:space="preserve">offence and that, to secure a conviction, the Crown must show that he knew his possession of the firearm in the unit was unauthorized.  This, </w:t>
      </w:r>
      <w:r>
        <w:rPr>
          <w:rFonts w:cs="Times New Roman"/>
        </w:rPr>
        <w:t>Mr. MacDonald</w:t>
      </w:r>
      <w:r w:rsidRPr="00ED4E5E">
        <w:rPr>
          <w:rFonts w:cs="Times New Roman"/>
        </w:rPr>
        <w:t xml:space="preserve"> says, the Crown failed to do, whereas he testified at trial that he had </w:t>
      </w:r>
      <w:r>
        <w:rPr>
          <w:rFonts w:cs="Times New Roman"/>
        </w:rPr>
        <w:t xml:space="preserve">a </w:t>
      </w:r>
      <w:r w:rsidRPr="00ED4E5E">
        <w:rPr>
          <w:rFonts w:cs="Times New Roman"/>
        </w:rPr>
        <w:t>subjective belief that the authorization he had obtained in Alberta extended to his condominium in Halifax.</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 my view, the offence provided for in s. 95 is a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offence.  As this Court recognized in </w:t>
      </w:r>
      <w:proofErr w:type="spellStart"/>
      <w:r w:rsidRPr="00ED4E5E">
        <w:rPr>
          <w:rFonts w:cs="Times New Roman"/>
          <w:i/>
        </w:rPr>
        <w:t>Lévis</w:t>
      </w:r>
      <w:proofErr w:type="spellEnd"/>
      <w:r w:rsidRPr="00ED4E5E">
        <w:rPr>
          <w:rFonts w:cs="Times New Roman"/>
          <w:i/>
        </w:rPr>
        <w:t xml:space="preserve"> (City) v. </w:t>
      </w:r>
      <w:proofErr w:type="spellStart"/>
      <w:r w:rsidRPr="00ED4E5E">
        <w:rPr>
          <w:rFonts w:cs="Times New Roman"/>
          <w:i/>
        </w:rPr>
        <w:t>Tétreault</w:t>
      </w:r>
      <w:proofErr w:type="spellEnd"/>
      <w:r w:rsidRPr="00ED4E5E">
        <w:rPr>
          <w:rFonts w:cs="Times New Roman"/>
        </w:rPr>
        <w:t xml:space="preserve">, 2006 SCC 12, [2006] 1 S.C.R. 420, at </w:t>
      </w:r>
      <w:proofErr w:type="spellStart"/>
      <w:r w:rsidRPr="00ED4E5E">
        <w:rPr>
          <w:rFonts w:cs="Times New Roman"/>
        </w:rPr>
        <w:t>para</w:t>
      </w:r>
      <w:proofErr w:type="spellEnd"/>
      <w:r w:rsidRPr="00ED4E5E">
        <w:rPr>
          <w:rFonts w:cs="Times New Roman"/>
        </w:rPr>
        <w:t xml:space="preserve">. 16, classifying an offence as either a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offence</w:t>
      </w:r>
      <w:r>
        <w:rPr>
          <w:rFonts w:cs="Times New Roman"/>
        </w:rPr>
        <w:t>,</w:t>
      </w:r>
      <w:r w:rsidRPr="00ED4E5E">
        <w:rPr>
          <w:rFonts w:cs="Times New Roman"/>
        </w:rPr>
        <w:t xml:space="preserve"> a strict liability offence or an absolute liability offence is a question of statutory interpretation.  The Crown agreed at the hearing of this case that the offence at issue is a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offence, and in any event, we may validly rely on the presumption that an offence should be classified as a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offence where, as here, nothing in the statute indicates a contrary intention (</w:t>
      </w:r>
      <w:r w:rsidRPr="00ED4E5E">
        <w:rPr>
          <w:rFonts w:cs="Times New Roman"/>
          <w:i/>
        </w:rPr>
        <w:t>The Queen v. Sault Ste. Marie</w:t>
      </w:r>
      <w:r w:rsidRPr="00ED4E5E">
        <w:rPr>
          <w:rFonts w:cs="Times New Roman"/>
        </w:rPr>
        <w:t>, [1978] 2 S.C.R. 1299, at pp. 1309-10;</w:t>
      </w:r>
      <w:r w:rsidRPr="00ED4E5E">
        <w:rPr>
          <w:rFonts w:cs="Times New Roman"/>
          <w:i/>
        </w:rPr>
        <w:t xml:space="preserve"> Beaver v. The Queen</w:t>
      </w:r>
      <w:r w:rsidRPr="00ED4E5E">
        <w:rPr>
          <w:rFonts w:cs="Times New Roman"/>
        </w:rPr>
        <w:t>, [1957] S.C.R. 531).</w:t>
      </w:r>
    </w:p>
    <w:p w:rsidR="000C40D6" w:rsidRPr="00ED4E5E" w:rsidRDefault="000C40D6" w:rsidP="000C40D6">
      <w:pPr>
        <w:pStyle w:val="ParaNoNdepar-AltN"/>
        <w:tabs>
          <w:tab w:val="clear" w:pos="1166"/>
          <w:tab w:val="num" w:pos="1152"/>
        </w:tabs>
        <w:rPr>
          <w:rFonts w:cs="Times New Roman"/>
        </w:rPr>
      </w:pPr>
      <w:r w:rsidRPr="00ED4E5E">
        <w:rPr>
          <w:rFonts w:cs="Times New Roman"/>
        </w:rPr>
        <w:lastRenderedPageBreak/>
        <w:t xml:space="preserve">The </w:t>
      </w:r>
      <w:proofErr w:type="spellStart"/>
      <w:r w:rsidRPr="00ED4E5E">
        <w:rPr>
          <w:rFonts w:cs="Times New Roman"/>
          <w:i/>
        </w:rPr>
        <w:t>mens</w:t>
      </w:r>
      <w:proofErr w:type="spellEnd"/>
      <w:r w:rsidRPr="00ED4E5E">
        <w:rPr>
          <w:rFonts w:cs="Times New Roman"/>
          <w:i/>
        </w:rPr>
        <w:t xml:space="preserve"> </w:t>
      </w:r>
      <w:proofErr w:type="spellStart"/>
      <w:r w:rsidRPr="00ED4E5E">
        <w:rPr>
          <w:rFonts w:cs="Times New Roman"/>
          <w:i/>
        </w:rPr>
        <w:t>rea</w:t>
      </w:r>
      <w:proofErr w:type="spellEnd"/>
      <w:r w:rsidRPr="00ED4E5E">
        <w:rPr>
          <w:rFonts w:cs="Times New Roman"/>
        </w:rPr>
        <w:t xml:space="preserve"> the Crown is required to prove under s. 95(1) does not, however, include knowledge that possession in the place in question is </w:t>
      </w:r>
      <w:r w:rsidRPr="00ED4E5E">
        <w:rPr>
          <w:rFonts w:cs="Times New Roman"/>
          <w:i/>
        </w:rPr>
        <w:t>unauthorized</w:t>
      </w:r>
      <w:r w:rsidRPr="00ED4E5E">
        <w:rPr>
          <w:rFonts w:cs="Times New Roman"/>
        </w:rPr>
        <w:t xml:space="preserve">.  Rather, knowledge that one possesses a loaded restricted firearm, together with an intention to possess the loaded firearm in that place, is enough.  An individual who knowingly possesses a loaded restricted firearm in a particular place with an intention to do so will be liable to punishment for the offence provided for in s. 95(1) unless he or she holds an authorization or a licence under which the firearm may be possessed in that place.  Thus, a proper authorization or licence serves to negate the </w:t>
      </w:r>
      <w:proofErr w:type="spellStart"/>
      <w:r w:rsidRPr="00ED4E5E">
        <w:rPr>
          <w:rFonts w:cs="Times New Roman"/>
          <w:i/>
        </w:rPr>
        <w:t>actus</w:t>
      </w:r>
      <w:proofErr w:type="spellEnd"/>
      <w:r w:rsidRPr="00ED4E5E">
        <w:rPr>
          <w:rFonts w:cs="Times New Roman"/>
          <w:i/>
        </w:rPr>
        <w:t xml:space="preserve"> </w:t>
      </w:r>
      <w:proofErr w:type="spellStart"/>
      <w:proofErr w:type="gramStart"/>
      <w:r w:rsidRPr="00ED4E5E">
        <w:rPr>
          <w:rFonts w:cs="Times New Roman"/>
          <w:i/>
        </w:rPr>
        <w:t>reus</w:t>
      </w:r>
      <w:proofErr w:type="spellEnd"/>
      <w:proofErr w:type="gramEnd"/>
      <w:r w:rsidRPr="00ED4E5E">
        <w:rPr>
          <w:rFonts w:cs="Times New Roman"/>
        </w:rPr>
        <w:t xml:space="preserve"> of the offence, thereby allowing someone who legitimately possesses a restricted firearm in a given place to avoid liability.</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With respect, the Court of Appeal erred in law by improperly reading a defence of ignorance of the law into s. 95(1).  In the majority’s view, the Crown had to prove that </w:t>
      </w:r>
      <w:r>
        <w:rPr>
          <w:rFonts w:cs="Times New Roman"/>
        </w:rPr>
        <w:t>Mr. MacDonald</w:t>
      </w:r>
      <w:r w:rsidRPr="00ED4E5E">
        <w:rPr>
          <w:rFonts w:cs="Times New Roman"/>
        </w:rPr>
        <w:t xml:space="preserve"> knew or was wilfully blind to the fact that his possession was unauthorized.  Such a burden would compel the Crown to prove that an accused knew the conditions of his or her authorization or licence.  This amounts to requiring the Crown to prove that the accused knew the law.</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The following example illustrates the point that an error made by an accused in interpreting his or her authorization or licence is a mistake of law and not one of fact.  Suppose the </w:t>
      </w:r>
      <w:r w:rsidRPr="00ED4E5E">
        <w:rPr>
          <w:rFonts w:cs="Times New Roman"/>
          <w:i/>
        </w:rPr>
        <w:t>Code</w:t>
      </w:r>
      <w:r w:rsidRPr="00ED4E5E">
        <w:rPr>
          <w:rFonts w:cs="Times New Roman"/>
        </w:rPr>
        <w:t xml:space="preserve"> provided that restricted firearms could be possessed only in the province of Alberta, and nowhere else in Canada.  Surely, if that were the case, there could be no dispute that </w:t>
      </w:r>
      <w:r>
        <w:rPr>
          <w:rFonts w:cs="Times New Roman"/>
        </w:rPr>
        <w:t>Mr. MacDonald</w:t>
      </w:r>
      <w:r w:rsidRPr="00ED4E5E">
        <w:rPr>
          <w:rFonts w:cs="Times New Roman"/>
        </w:rPr>
        <w:t xml:space="preserve">’s possession of such a firearm in Halifax contravened this rule, and any suggestion that he thought he could lawfully </w:t>
      </w:r>
      <w:r w:rsidRPr="00ED4E5E">
        <w:rPr>
          <w:rFonts w:cs="Times New Roman"/>
        </w:rPr>
        <w:lastRenderedPageBreak/>
        <w:t xml:space="preserve">possess it there would have to be considered a mistake of law and would therefore afford no defence to a charge of unlawful possession.  For my part, I find no distinction when such a rule is expanded to an individual’s authorization and the applicable section of the </w:t>
      </w:r>
      <w:r w:rsidRPr="00ED4E5E">
        <w:rPr>
          <w:rFonts w:cs="Times New Roman"/>
          <w:i/>
        </w:rPr>
        <w:t>Code</w:t>
      </w:r>
      <w:r w:rsidRPr="00ED4E5E">
        <w:rPr>
          <w:rFonts w:cs="Times New Roman"/>
        </w:rPr>
        <w:t xml:space="preserve"> merely refers to such a document.  </w:t>
      </w:r>
      <w:r>
        <w:rPr>
          <w:rFonts w:cs="Times New Roman"/>
        </w:rPr>
        <w:t>Mr. MacDonald</w:t>
      </w:r>
      <w:r w:rsidRPr="00ED4E5E">
        <w:rPr>
          <w:rFonts w:cs="Times New Roman"/>
        </w:rPr>
        <w:t>’s subjective belief that he could possess the firearm in Halifax is therefore nothing other than a mistake of law.</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 therefore find that a requirement that an accused knew or was wilfully blind to the fact that his possession was unauthorized would be grounded on the acceptance of mistake of law as a defence to a charge under s. 95(1).  It is trite law that, except in the case of an officially induced error, a mistake of law is no defence in our criminal justice system.  Section 19 of the </w:t>
      </w:r>
      <w:r w:rsidRPr="00ED4E5E">
        <w:rPr>
          <w:rFonts w:cs="Times New Roman"/>
          <w:i/>
        </w:rPr>
        <w:t xml:space="preserve">Code </w:t>
      </w:r>
      <w:r w:rsidRPr="00ED4E5E">
        <w:rPr>
          <w:rFonts w:cs="Times New Roman"/>
        </w:rPr>
        <w:t>states:</w:t>
      </w:r>
    </w:p>
    <w:p w:rsidR="000C40D6" w:rsidRPr="00ED4E5E" w:rsidRDefault="000C40D6" w:rsidP="000C40D6">
      <w:pPr>
        <w:pStyle w:val="Citation-AltC"/>
        <w:ind w:firstLine="274"/>
      </w:pPr>
      <w:r w:rsidRPr="00ED4E5E">
        <w:rPr>
          <w:b/>
        </w:rPr>
        <w:t>19.</w:t>
      </w:r>
      <w:r w:rsidRPr="00ED4E5E">
        <w:t xml:space="preserve"> Ignorance of the law by a person who commits an offence is not an excuse for committing that offence.</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In </w:t>
      </w:r>
      <w:r w:rsidRPr="00ED4E5E">
        <w:rPr>
          <w:rFonts w:cs="Times New Roman"/>
          <w:i/>
        </w:rPr>
        <w:t>R. v. Forster</w:t>
      </w:r>
      <w:r w:rsidRPr="00ED4E5E">
        <w:rPr>
          <w:rFonts w:cs="Times New Roman"/>
        </w:rPr>
        <w:t>, [1992] 1 S.C.R. 339, Lamer C.J. accurately and succinctly explained this as follows:</w:t>
      </w:r>
    </w:p>
    <w:p w:rsidR="000C40D6" w:rsidRPr="00ED4E5E" w:rsidRDefault="000C40D6" w:rsidP="000C40D6">
      <w:pPr>
        <w:pStyle w:val="Citation-AltC"/>
        <w:ind w:firstLine="274"/>
      </w:pPr>
      <w:r w:rsidRPr="00ED4E5E">
        <w:t xml:space="preserve">It is a principle of our criminal law that an honest but mistaken belief in respect of the legal consequences of one’s deliberate actions does not furnish a defence to a criminal charge, even when the mistake cannot be attributed to the negligence of the accused: </w:t>
      </w:r>
      <w:proofErr w:type="spellStart"/>
      <w:r w:rsidRPr="00ED4E5E">
        <w:rPr>
          <w:i/>
        </w:rPr>
        <w:t>Molis</w:t>
      </w:r>
      <w:proofErr w:type="spellEnd"/>
      <w:r w:rsidRPr="00ED4E5E">
        <w:rPr>
          <w:i/>
        </w:rPr>
        <w:t xml:space="preserve"> v. </w:t>
      </w:r>
      <w:proofErr w:type="gramStart"/>
      <w:r w:rsidRPr="00ED4E5E">
        <w:rPr>
          <w:i/>
        </w:rPr>
        <w:t>The Queen</w:t>
      </w:r>
      <w:r w:rsidRPr="00ED4E5E">
        <w:t>, [1980] 2 S.C.R. 356.</w:t>
      </w:r>
      <w:proofErr w:type="gramEnd"/>
      <w:r w:rsidRPr="00ED4E5E">
        <w:t xml:space="preserve">  This Court recently reaffirmed in </w:t>
      </w:r>
      <w:r w:rsidRPr="00ED4E5E">
        <w:rPr>
          <w:i/>
        </w:rPr>
        <w:t>R. v. Docherty</w:t>
      </w:r>
      <w:r w:rsidRPr="00ED4E5E">
        <w:t xml:space="preserve">, [1989] 2 S.C.R. 941, at p. 960, the principle that knowledge that one’s actions are contrary to the law is not a component of the </w:t>
      </w:r>
      <w:proofErr w:type="spellStart"/>
      <w:r w:rsidRPr="00ED4E5E">
        <w:rPr>
          <w:i/>
        </w:rPr>
        <w:t>mens</w:t>
      </w:r>
      <w:proofErr w:type="spellEnd"/>
      <w:r w:rsidRPr="00ED4E5E">
        <w:rPr>
          <w:i/>
        </w:rPr>
        <w:t xml:space="preserve"> </w:t>
      </w:r>
      <w:proofErr w:type="spellStart"/>
      <w:r w:rsidRPr="00ED4E5E">
        <w:rPr>
          <w:i/>
        </w:rPr>
        <w:t>rea</w:t>
      </w:r>
      <w:proofErr w:type="spellEnd"/>
      <w:r w:rsidRPr="00ED4E5E">
        <w:t xml:space="preserve"> for an offence, and consequently does not operate as a defence. [p. 346]</w:t>
      </w:r>
    </w:p>
    <w:p w:rsidR="000C40D6" w:rsidRPr="00ED4E5E" w:rsidRDefault="000C40D6" w:rsidP="000C40D6">
      <w:pPr>
        <w:pStyle w:val="ParaNoNdepar-AltN"/>
        <w:tabs>
          <w:tab w:val="clear" w:pos="1166"/>
          <w:tab w:val="num" w:pos="1152"/>
        </w:tabs>
        <w:rPr>
          <w:rFonts w:cs="Times New Roman"/>
        </w:rPr>
      </w:pPr>
      <w:r w:rsidRPr="00ED4E5E">
        <w:rPr>
          <w:rFonts w:cs="Times New Roman"/>
        </w:rPr>
        <w:lastRenderedPageBreak/>
        <w:t xml:space="preserve">In sum, the Court of Appeal erred by treating </w:t>
      </w:r>
      <w:r>
        <w:rPr>
          <w:rFonts w:cs="Times New Roman"/>
        </w:rPr>
        <w:t>Mr. MacDonald</w:t>
      </w:r>
      <w:r w:rsidRPr="00ED4E5E">
        <w:rPr>
          <w:rFonts w:cs="Times New Roman"/>
        </w:rPr>
        <w:t>’s mistake of law as a mistake of fact which exonerated him of the charge resulting from his actions.  I would allow the Crown’s appeal on this issue and restore the conviction under s. 95(1).</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Although I am of the view that the conviction must be restored, I nevertheless appreciate the Court of Appeal’s concern that </w:t>
      </w:r>
      <w:r>
        <w:rPr>
          <w:rFonts w:cs="Times New Roman"/>
        </w:rPr>
        <w:t>Mr. MacDonald</w:t>
      </w:r>
      <w:r w:rsidRPr="00ED4E5E">
        <w:rPr>
          <w:rFonts w:cs="Times New Roman"/>
        </w:rPr>
        <w:t xml:space="preserve"> may</w:t>
      </w:r>
      <w:r w:rsidR="007F65D0">
        <w:rPr>
          <w:rFonts w:cs="Times New Roman"/>
        </w:rPr>
        <w:t xml:space="preserve"> as</w:t>
      </w:r>
      <w:r w:rsidRPr="00ED4E5E">
        <w:rPr>
          <w:rFonts w:cs="Times New Roman"/>
        </w:rPr>
        <w:t xml:space="preserve"> a result of this conviction be sentenced to a mandatory three-year term of imprisonment despite the fact that, in ordinary circumstances, his mistake of law would be a mitigating factor to be considered in fashioning a sentence that is proportionate to his crime (C. C. Ruby, G. J. Chan and N. R. </w:t>
      </w:r>
      <w:proofErr w:type="spellStart"/>
      <w:r w:rsidRPr="00ED4E5E">
        <w:rPr>
          <w:rFonts w:cs="Times New Roman"/>
        </w:rPr>
        <w:t>Hasan</w:t>
      </w:r>
      <w:proofErr w:type="spellEnd"/>
      <w:r w:rsidRPr="00ED4E5E">
        <w:rPr>
          <w:rFonts w:cs="Times New Roman"/>
        </w:rPr>
        <w:t xml:space="preserve">, </w:t>
      </w:r>
      <w:r w:rsidRPr="00ED4E5E">
        <w:rPr>
          <w:rFonts w:cs="Times New Roman"/>
          <w:i/>
        </w:rPr>
        <w:t>Sentencing</w:t>
      </w:r>
      <w:r w:rsidRPr="00ED4E5E">
        <w:rPr>
          <w:rFonts w:cs="Times New Roman"/>
        </w:rPr>
        <w:t xml:space="preserve"> (8th ed. 2012), at pp. 319-21).  Whether the mandatory minimum three-year term of imprisonment provided for in s. 95(2</w:t>
      </w:r>
      <w:proofErr w:type="gramStart"/>
      <w:r w:rsidRPr="00ED4E5E">
        <w:rPr>
          <w:rFonts w:cs="Times New Roman"/>
        </w:rPr>
        <w:t>)(</w:t>
      </w:r>
      <w:proofErr w:type="gramEnd"/>
      <w:r w:rsidRPr="00ED4E5E">
        <w:rPr>
          <w:rFonts w:cs="Times New Roman"/>
          <w:i/>
        </w:rPr>
        <w:t>a</w:t>
      </w:r>
      <w:r w:rsidRPr="00ED4E5E">
        <w:rPr>
          <w:rFonts w:cs="Times New Roman"/>
        </w:rPr>
        <w:t>)(</w:t>
      </w:r>
      <w:proofErr w:type="spellStart"/>
      <w:r w:rsidRPr="00ED4E5E">
        <w:rPr>
          <w:rFonts w:cs="Times New Roman"/>
        </w:rPr>
        <w:t>i</w:t>
      </w:r>
      <w:proofErr w:type="spellEnd"/>
      <w:r w:rsidRPr="00ED4E5E">
        <w:rPr>
          <w:rFonts w:cs="Times New Roman"/>
        </w:rPr>
        <w:t>) is constitutional will now be a matter for the Court of Appeal to decide.</w:t>
      </w:r>
    </w:p>
    <w:p w:rsidR="000C40D6" w:rsidRPr="00ED4E5E" w:rsidRDefault="000C40D6" w:rsidP="000C40D6">
      <w:pPr>
        <w:pStyle w:val="TitleTitre-AltT"/>
        <w:rPr>
          <w:rFonts w:cs="Times New Roman"/>
        </w:rPr>
      </w:pPr>
      <w:r w:rsidRPr="00ED4E5E">
        <w:rPr>
          <w:rFonts w:cs="Times New Roman"/>
        </w:rPr>
        <w:t>D.</w:t>
      </w:r>
      <w:r w:rsidRPr="00ED4E5E">
        <w:rPr>
          <w:rFonts w:cs="Times New Roman"/>
        </w:rPr>
        <w:tab/>
      </w:r>
      <w:r w:rsidRPr="00ED4E5E">
        <w:rPr>
          <w:rFonts w:cs="Times New Roman"/>
          <w:i/>
        </w:rPr>
        <w:t xml:space="preserve">Appeal </w:t>
      </w:r>
      <w:proofErr w:type="gramStart"/>
      <w:r w:rsidRPr="00ED4E5E">
        <w:rPr>
          <w:rFonts w:cs="Times New Roman"/>
          <w:i/>
        </w:rPr>
        <w:t>Against</w:t>
      </w:r>
      <w:proofErr w:type="gramEnd"/>
      <w:r w:rsidRPr="00ED4E5E">
        <w:rPr>
          <w:rFonts w:cs="Times New Roman"/>
          <w:i/>
        </w:rPr>
        <w:t xml:space="preserve"> the Sentence Imposed by the Court of Appeal</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Having restored </w:t>
      </w:r>
      <w:r>
        <w:rPr>
          <w:rFonts w:cs="Times New Roman"/>
        </w:rPr>
        <w:t>Mr. MacDonald</w:t>
      </w:r>
      <w:r w:rsidRPr="00ED4E5E">
        <w:rPr>
          <w:rFonts w:cs="Times New Roman"/>
        </w:rPr>
        <w:t xml:space="preserve">’s conviction under s. 95(1), this Court is not in a position to consider the Crown’s appeal against the sentences imposed by the Court of Appeal on the charges under ss. 86(1) and 88(1).  Because the Court of Appeal acquitted </w:t>
      </w:r>
      <w:r>
        <w:rPr>
          <w:rFonts w:cs="Times New Roman"/>
        </w:rPr>
        <w:t>Mr. MacDonald</w:t>
      </w:r>
      <w:r w:rsidRPr="00ED4E5E">
        <w:rPr>
          <w:rFonts w:cs="Times New Roman"/>
        </w:rPr>
        <w:t xml:space="preserve"> on the charge under s. 95(1), it did not consider </w:t>
      </w:r>
      <w:r>
        <w:rPr>
          <w:rFonts w:cs="Times New Roman"/>
        </w:rPr>
        <w:t>hi</w:t>
      </w:r>
      <w:r w:rsidRPr="00ED4E5E">
        <w:rPr>
          <w:rFonts w:cs="Times New Roman"/>
        </w:rPr>
        <w:t>s argument that the mandatory minimum three-year sentence provided for in s. 95(2</w:t>
      </w:r>
      <w:proofErr w:type="gramStart"/>
      <w:r w:rsidRPr="00ED4E5E">
        <w:rPr>
          <w:rFonts w:cs="Times New Roman"/>
        </w:rPr>
        <w:t>)(</w:t>
      </w:r>
      <w:proofErr w:type="gramEnd"/>
      <w:r w:rsidRPr="00ED4E5E">
        <w:rPr>
          <w:rFonts w:cs="Times New Roman"/>
          <w:i/>
        </w:rPr>
        <w:t>a</w:t>
      </w:r>
      <w:r w:rsidRPr="00ED4E5E">
        <w:rPr>
          <w:rFonts w:cs="Times New Roman"/>
        </w:rPr>
        <w:t>)(</w:t>
      </w:r>
      <w:proofErr w:type="spellStart"/>
      <w:r w:rsidRPr="00ED4E5E">
        <w:rPr>
          <w:rFonts w:cs="Times New Roman"/>
        </w:rPr>
        <w:t>i</w:t>
      </w:r>
      <w:proofErr w:type="spellEnd"/>
      <w:r w:rsidRPr="00ED4E5E">
        <w:rPr>
          <w:rFonts w:cs="Times New Roman"/>
        </w:rPr>
        <w:t xml:space="preserve">) is unconstitutional.  Given the decision to restore </w:t>
      </w:r>
      <w:r>
        <w:rPr>
          <w:rFonts w:cs="Times New Roman"/>
        </w:rPr>
        <w:t>Mr. MacDonald</w:t>
      </w:r>
      <w:r w:rsidRPr="00ED4E5E">
        <w:rPr>
          <w:rFonts w:cs="Times New Roman"/>
        </w:rPr>
        <w:t xml:space="preserve">’s conviction on this count, the matter should be remitted to the Court of Appeal for </w:t>
      </w:r>
      <w:r w:rsidRPr="00ED4E5E">
        <w:rPr>
          <w:rFonts w:cs="Times New Roman"/>
        </w:rPr>
        <w:lastRenderedPageBreak/>
        <w:t>consideration of this argument.  Because of the close factual tie between the sentences imposed for the convictions under ss. 86 and 88 and the one imposed for the conviction under s. 95, the Court of Appeal should reconsider all the sentences together after deciding whether s. 95(2</w:t>
      </w:r>
      <w:proofErr w:type="gramStart"/>
      <w:r w:rsidRPr="00ED4E5E">
        <w:rPr>
          <w:rFonts w:cs="Times New Roman"/>
        </w:rPr>
        <w:t>)(</w:t>
      </w:r>
      <w:proofErr w:type="gramEnd"/>
      <w:r w:rsidRPr="00ED4E5E">
        <w:rPr>
          <w:rFonts w:cs="Times New Roman"/>
          <w:i/>
        </w:rPr>
        <w:t>a</w:t>
      </w:r>
      <w:r w:rsidRPr="00ED4E5E">
        <w:rPr>
          <w:rFonts w:cs="Times New Roman"/>
        </w:rPr>
        <w:t>)(</w:t>
      </w:r>
      <w:proofErr w:type="spellStart"/>
      <w:r w:rsidRPr="00ED4E5E">
        <w:rPr>
          <w:rFonts w:cs="Times New Roman"/>
        </w:rPr>
        <w:t>i</w:t>
      </w:r>
      <w:proofErr w:type="spellEnd"/>
      <w:r w:rsidRPr="00ED4E5E">
        <w:rPr>
          <w:rFonts w:cs="Times New Roman"/>
        </w:rPr>
        <w:t>) is constitutionally valid.</w:t>
      </w:r>
    </w:p>
    <w:p w:rsidR="000C40D6" w:rsidRPr="00ED4E5E" w:rsidRDefault="000C40D6" w:rsidP="000C40D6">
      <w:pPr>
        <w:pStyle w:val="TitleTitre-AltT"/>
        <w:rPr>
          <w:rFonts w:cs="Times New Roman"/>
        </w:rPr>
      </w:pPr>
      <w:r w:rsidRPr="00ED4E5E">
        <w:rPr>
          <w:rFonts w:cs="Times New Roman"/>
        </w:rPr>
        <w:t>V.</w:t>
      </w:r>
      <w:r w:rsidRPr="00ED4E5E">
        <w:rPr>
          <w:rFonts w:cs="Times New Roman"/>
        </w:rPr>
        <w:tab/>
      </w:r>
      <w:r w:rsidRPr="00ED4E5E">
        <w:rPr>
          <w:rFonts w:cs="Times New Roman"/>
          <w:u w:val="single"/>
        </w:rPr>
        <w:t>Disposition</w:t>
      </w:r>
    </w:p>
    <w:p w:rsidR="000C40D6" w:rsidRPr="00ED4E5E" w:rsidRDefault="000C40D6" w:rsidP="000C40D6">
      <w:pPr>
        <w:pStyle w:val="ParaNoNdepar-AltN"/>
        <w:tabs>
          <w:tab w:val="clear" w:pos="1166"/>
          <w:tab w:val="num" w:pos="1152"/>
        </w:tabs>
        <w:rPr>
          <w:rFonts w:cs="Times New Roman"/>
        </w:rPr>
      </w:pPr>
      <w:r w:rsidRPr="00ED4E5E">
        <w:rPr>
          <w:rFonts w:cs="Times New Roman"/>
        </w:rPr>
        <w:t xml:space="preserve">For the reasons set out above, I would dismiss </w:t>
      </w:r>
      <w:r>
        <w:rPr>
          <w:rFonts w:cs="Times New Roman"/>
        </w:rPr>
        <w:t>Mr. MacDonald</w:t>
      </w:r>
      <w:r w:rsidRPr="00ED4E5E">
        <w:rPr>
          <w:rFonts w:cs="Times New Roman"/>
        </w:rPr>
        <w:t xml:space="preserve">’s appeal on the s. 8 issue and allow the Crown’s appeal on the charge under s. 95(1).  </w:t>
      </w:r>
      <w:r w:rsidR="00886431">
        <w:rPr>
          <w:rFonts w:cs="Times New Roman"/>
        </w:rPr>
        <w:t xml:space="preserve">Mr. </w:t>
      </w:r>
      <w:r>
        <w:rPr>
          <w:rFonts w:cs="Times New Roman"/>
        </w:rPr>
        <w:t>MacDonald</w:t>
      </w:r>
      <w:r w:rsidRPr="00ED4E5E">
        <w:rPr>
          <w:rFonts w:cs="Times New Roman"/>
        </w:rPr>
        <w:t>’s acquittal on that charge is set aside, and his conviction is restored.  This matter will be remitted to the Court of Appeal for sentencing, and it will be necessary for that court to determine whether the mandatory minimum sentence applicable under s. 95(2</w:t>
      </w:r>
      <w:proofErr w:type="gramStart"/>
      <w:r w:rsidRPr="00ED4E5E">
        <w:rPr>
          <w:rFonts w:cs="Times New Roman"/>
        </w:rPr>
        <w:t>)(</w:t>
      </w:r>
      <w:proofErr w:type="gramEnd"/>
      <w:r w:rsidRPr="00ED4E5E">
        <w:rPr>
          <w:rFonts w:cs="Times New Roman"/>
          <w:i/>
        </w:rPr>
        <w:t>a</w:t>
      </w:r>
      <w:r w:rsidRPr="00ED4E5E">
        <w:rPr>
          <w:rFonts w:cs="Times New Roman"/>
        </w:rPr>
        <w:t>)(</w:t>
      </w:r>
      <w:proofErr w:type="spellStart"/>
      <w:r w:rsidRPr="00ED4E5E">
        <w:rPr>
          <w:rFonts w:cs="Times New Roman"/>
        </w:rPr>
        <w:t>i</w:t>
      </w:r>
      <w:proofErr w:type="spellEnd"/>
      <w:r w:rsidRPr="00ED4E5E">
        <w:rPr>
          <w:rFonts w:cs="Times New Roman"/>
        </w:rPr>
        <w:t xml:space="preserve">) of the </w:t>
      </w:r>
      <w:r w:rsidRPr="00ED4E5E">
        <w:rPr>
          <w:rFonts w:cs="Times New Roman"/>
          <w:i/>
        </w:rPr>
        <w:t xml:space="preserve">Code </w:t>
      </w:r>
      <w:r w:rsidRPr="00ED4E5E">
        <w:rPr>
          <w:rFonts w:cs="Times New Roman"/>
        </w:rPr>
        <w:t xml:space="preserve">is constitutionally valid.  </w:t>
      </w:r>
    </w:p>
    <w:p w:rsidR="000C40D6" w:rsidRPr="00886431" w:rsidRDefault="00886431" w:rsidP="000C40D6">
      <w:pPr>
        <w:pStyle w:val="JudgeJuge"/>
        <w:rPr>
          <w:smallCaps w:val="0"/>
        </w:rPr>
      </w:pPr>
      <w:r w:rsidRPr="00886431">
        <w:rPr>
          <w:smallCaps w:val="0"/>
        </w:rPr>
        <w:tab/>
      </w:r>
      <w:proofErr w:type="gramStart"/>
      <w:r w:rsidRPr="00911E95">
        <w:rPr>
          <w:smallCaps w:val="0"/>
          <w:lang w:val="en-US"/>
        </w:rPr>
        <w:t xml:space="preserve">The reasons of Rothstein, </w:t>
      </w:r>
      <w:proofErr w:type="spellStart"/>
      <w:r w:rsidRPr="00911E95">
        <w:rPr>
          <w:smallCaps w:val="0"/>
          <w:lang w:val="en-US"/>
        </w:rPr>
        <w:t>Moldaver</w:t>
      </w:r>
      <w:proofErr w:type="spellEnd"/>
      <w:r w:rsidRPr="00911E95">
        <w:rPr>
          <w:smallCaps w:val="0"/>
          <w:lang w:val="en-US"/>
        </w:rPr>
        <w:t xml:space="preserve"> and Wagner JJ.</w:t>
      </w:r>
      <w:proofErr w:type="gramEnd"/>
      <w:r w:rsidRPr="00911E95">
        <w:rPr>
          <w:smallCaps w:val="0"/>
          <w:lang w:val="en-US"/>
        </w:rPr>
        <w:t xml:space="preserve"> </w:t>
      </w:r>
      <w:proofErr w:type="gramStart"/>
      <w:r w:rsidRPr="00911E95">
        <w:rPr>
          <w:smallCaps w:val="0"/>
          <w:lang w:val="en-US"/>
        </w:rPr>
        <w:t>were</w:t>
      </w:r>
      <w:proofErr w:type="gramEnd"/>
      <w:r w:rsidRPr="00911E95">
        <w:rPr>
          <w:smallCaps w:val="0"/>
          <w:lang w:val="en-US"/>
        </w:rPr>
        <w:t xml:space="preserve"> delivered by</w:t>
      </w:r>
    </w:p>
    <w:p w:rsidR="000C40D6" w:rsidRPr="006F4918" w:rsidRDefault="00886431" w:rsidP="000C40D6">
      <w:pPr>
        <w:pStyle w:val="ParaNoNdepar-AltN"/>
        <w:tabs>
          <w:tab w:val="clear" w:pos="1166"/>
          <w:tab w:val="num" w:pos="1152"/>
        </w:tabs>
      </w:pPr>
      <w:proofErr w:type="spellStart"/>
      <w:r w:rsidRPr="00886431">
        <w:rPr>
          <w:smallCaps/>
        </w:rPr>
        <w:t>Moldaver</w:t>
      </w:r>
      <w:proofErr w:type="spellEnd"/>
      <w:r w:rsidRPr="00886431">
        <w:rPr>
          <w:smallCaps/>
        </w:rPr>
        <w:t xml:space="preserve"> and Wagner JJ.</w:t>
      </w:r>
      <w:r w:rsidRPr="006F4918">
        <w:t xml:space="preserve"> — </w:t>
      </w:r>
      <w:r w:rsidR="000C40D6" w:rsidRPr="006F4918">
        <w:t xml:space="preserve">Every day, throughout this country, police officers put their lives and safety at risk in order to preserve and protect the lives and safety of others.  In return, they are entitled to know that when potentially dangerous situations arise, the law permits them to conduct minimally intrusive safety searches to alleviate the risks they face.  That is the fundamental bargain we, as a society, have struck with the police — and it is a fundamental commitment upon which the police are entitled to rely.  </w:t>
      </w:r>
    </w:p>
    <w:p w:rsidR="000C40D6" w:rsidRPr="006F4918" w:rsidRDefault="000C40D6" w:rsidP="000C40D6">
      <w:pPr>
        <w:pStyle w:val="ParaNoNdepar-AltN"/>
        <w:tabs>
          <w:tab w:val="clear" w:pos="1166"/>
          <w:tab w:val="num" w:pos="1152"/>
        </w:tabs>
        <w:rPr>
          <w:rFonts w:cs="Times New Roman"/>
        </w:rPr>
      </w:pPr>
      <w:r w:rsidRPr="006F4918">
        <w:rPr>
          <w:rFonts w:cs="Times New Roman"/>
        </w:rPr>
        <w:lastRenderedPageBreak/>
        <w:t xml:space="preserve">The commitment of which we speak was acknowledged by this Court in </w:t>
      </w:r>
      <w:r w:rsidRPr="006F4918">
        <w:rPr>
          <w:rFonts w:cs="Times New Roman"/>
          <w:i/>
        </w:rPr>
        <w:t>R. v. Mann</w:t>
      </w:r>
      <w:r w:rsidRPr="006F4918">
        <w:rPr>
          <w:rFonts w:cs="Times New Roman"/>
        </w:rPr>
        <w:t xml:space="preserve">, 2004 SCC 52, [2004] 3 S.C.R. 59.  </w:t>
      </w:r>
      <w:r w:rsidRPr="006F4918">
        <w:rPr>
          <w:rFonts w:cs="Times New Roman"/>
          <w:i/>
        </w:rPr>
        <w:t xml:space="preserve">Mann </w:t>
      </w:r>
      <w:r w:rsidRPr="006F4918">
        <w:rPr>
          <w:rFonts w:cs="Times New Roman"/>
        </w:rPr>
        <w:t xml:space="preserve">recognized a limited police power to search without a warrant solely for protective purposes where a police officer has reasonable grounds to suspect a threat to his or her safety or the safety of others.  The majority in this case purports to apply </w:t>
      </w:r>
      <w:r w:rsidRPr="006F4918">
        <w:rPr>
          <w:rFonts w:cs="Times New Roman"/>
          <w:i/>
        </w:rPr>
        <w:t>Mann</w:t>
      </w:r>
      <w:r w:rsidRPr="006F4918">
        <w:rPr>
          <w:rFonts w:cs="Times New Roman"/>
        </w:rPr>
        <w:t xml:space="preserve">.  Respectfully, however, it does not.  Instead, it renders </w:t>
      </w:r>
      <w:r w:rsidRPr="006F4918">
        <w:rPr>
          <w:rFonts w:cs="Times New Roman"/>
          <w:i/>
        </w:rPr>
        <w:t xml:space="preserve">Mann </w:t>
      </w:r>
      <w:r w:rsidRPr="006F4918">
        <w:rPr>
          <w:rFonts w:cs="Times New Roman"/>
        </w:rPr>
        <w:t xml:space="preserve">redundant, depriving police officers of the limited search powers they need to protect themselves and the public in fluid and often unpredictable situations of potential danger. </w:t>
      </w:r>
    </w:p>
    <w:p w:rsidR="000C40D6" w:rsidRPr="006F4918" w:rsidRDefault="000C40D6" w:rsidP="000C40D6">
      <w:pPr>
        <w:pStyle w:val="ParaNoNdepar-AltN"/>
        <w:tabs>
          <w:tab w:val="clear" w:pos="1166"/>
          <w:tab w:val="num" w:pos="1152"/>
        </w:tabs>
        <w:rPr>
          <w:rFonts w:cs="Times New Roman"/>
        </w:rPr>
      </w:pPr>
      <w:r w:rsidRPr="006F4918">
        <w:rPr>
          <w:rFonts w:cs="Times New Roman"/>
        </w:rPr>
        <w:t xml:space="preserve">In the instant case, while we agree with the majority on all three issues in this </w:t>
      </w:r>
      <w:r>
        <w:rPr>
          <w:rFonts w:cs="Times New Roman"/>
        </w:rPr>
        <w:t>case</w:t>
      </w:r>
      <w:r w:rsidRPr="006F4918">
        <w:rPr>
          <w:rFonts w:cs="Times New Roman"/>
        </w:rPr>
        <w:t xml:space="preserve">, including </w:t>
      </w:r>
      <w:r>
        <w:rPr>
          <w:rFonts w:cs="Times New Roman"/>
        </w:rPr>
        <w:t>Mr. MacDonald’s</w:t>
      </w:r>
      <w:r w:rsidRPr="006F4918">
        <w:rPr>
          <w:rFonts w:cs="Times New Roman"/>
        </w:rPr>
        <w:t xml:space="preserve"> claim under s. 8 of the </w:t>
      </w:r>
      <w:r w:rsidRPr="006F4918">
        <w:rPr>
          <w:rFonts w:cs="Times New Roman"/>
          <w:i/>
        </w:rPr>
        <w:t>Canadian Charter of Rights and Freedoms</w:t>
      </w:r>
      <w:r w:rsidRPr="006F4918">
        <w:rPr>
          <w:rFonts w:cs="Times New Roman"/>
        </w:rPr>
        <w:t xml:space="preserve">, we part company with our colleagues on the proper interpretation of </w:t>
      </w:r>
      <w:r w:rsidRPr="006F4918">
        <w:rPr>
          <w:rFonts w:cs="Times New Roman"/>
          <w:i/>
        </w:rPr>
        <w:t>Mann</w:t>
      </w:r>
      <w:r w:rsidRPr="006F4918">
        <w:rPr>
          <w:rFonts w:cs="Times New Roman"/>
        </w:rPr>
        <w:t xml:space="preserve">.  Our colleagues assert, relying on </w:t>
      </w:r>
      <w:r w:rsidRPr="006F4918">
        <w:rPr>
          <w:rFonts w:cs="Times New Roman"/>
          <w:i/>
        </w:rPr>
        <w:t>Mann</w:t>
      </w:r>
      <w:r w:rsidRPr="006F4918">
        <w:rPr>
          <w:rFonts w:cs="Times New Roman"/>
        </w:rPr>
        <w:t xml:space="preserve">, that officers are only empowered to conduct “safety searches” where they have reasonable grounds to </w:t>
      </w:r>
      <w:r w:rsidRPr="006F4918">
        <w:rPr>
          <w:rFonts w:cs="Times New Roman"/>
          <w:i/>
        </w:rPr>
        <w:t xml:space="preserve">believe </w:t>
      </w:r>
      <w:r w:rsidRPr="006F4918">
        <w:rPr>
          <w:rFonts w:cs="Times New Roman"/>
        </w:rPr>
        <w:t>an individual is armed and dangerous (</w:t>
      </w:r>
      <w:proofErr w:type="spellStart"/>
      <w:r w:rsidRPr="006F4918">
        <w:rPr>
          <w:rFonts w:cs="Times New Roman"/>
        </w:rPr>
        <w:t>paras</w:t>
      </w:r>
      <w:proofErr w:type="spellEnd"/>
      <w:r w:rsidRPr="006F4918">
        <w:rPr>
          <w:rFonts w:cs="Times New Roman"/>
        </w:rPr>
        <w:t xml:space="preserve">. 39 and 44).  With respect, we do not agree with that conclusion.  In our view, </w:t>
      </w:r>
      <w:r w:rsidRPr="006F4918">
        <w:rPr>
          <w:rFonts w:cs="Times New Roman"/>
          <w:i/>
        </w:rPr>
        <w:t xml:space="preserve">Mann </w:t>
      </w:r>
      <w:r w:rsidRPr="006F4918">
        <w:rPr>
          <w:rFonts w:cs="Times New Roman"/>
        </w:rPr>
        <w:t xml:space="preserve">decided that officers may conduct safety searches when they have reasonable grounds to </w:t>
      </w:r>
      <w:r w:rsidRPr="006F4918">
        <w:rPr>
          <w:rFonts w:cs="Times New Roman"/>
          <w:i/>
        </w:rPr>
        <w:t>suspect</w:t>
      </w:r>
      <w:r w:rsidRPr="006F4918">
        <w:rPr>
          <w:rFonts w:cs="Times New Roman"/>
        </w:rPr>
        <w:t xml:space="preserve"> an individual is armed and dangerous.  The balance of these reasons will focus on explaining why.  </w:t>
      </w:r>
    </w:p>
    <w:p w:rsidR="000C40D6" w:rsidRPr="006F4918" w:rsidRDefault="000C40D6" w:rsidP="000C40D6">
      <w:pPr>
        <w:pStyle w:val="ParaNoNdepar-AltN"/>
        <w:tabs>
          <w:tab w:val="clear" w:pos="1166"/>
          <w:tab w:val="num" w:pos="1152"/>
        </w:tabs>
        <w:rPr>
          <w:rFonts w:cs="Times New Roman"/>
        </w:rPr>
      </w:pPr>
      <w:r w:rsidRPr="006F4918">
        <w:rPr>
          <w:rFonts w:cs="Times New Roman"/>
        </w:rPr>
        <w:t xml:space="preserve">The case law reveals that the </w:t>
      </w:r>
      <w:r w:rsidRPr="006F4918">
        <w:rPr>
          <w:rFonts w:cs="Times New Roman"/>
          <w:i/>
        </w:rPr>
        <w:t>rationale</w:t>
      </w:r>
      <w:r w:rsidRPr="006F4918">
        <w:rPr>
          <w:rFonts w:cs="Times New Roman"/>
        </w:rPr>
        <w:t xml:space="preserve"> justifying the police power to perform protective searches is the protection of public or officer safety. It seems to us that such a power is a necessary corollary of the duties imposed on th</w:t>
      </w:r>
      <w:r w:rsidR="0063317D">
        <w:rPr>
          <w:rFonts w:cs="Times New Roman"/>
        </w:rPr>
        <w:t>e police, two of which include</w:t>
      </w:r>
      <w:r w:rsidR="009C1E8C">
        <w:rPr>
          <w:rFonts w:cs="Times New Roman"/>
        </w:rPr>
        <w:t xml:space="preserve"> </w:t>
      </w:r>
      <w:r w:rsidRPr="006F4918">
        <w:rPr>
          <w:rFonts w:cs="Times New Roman"/>
        </w:rPr>
        <w:t xml:space="preserve">the duty to preserve the peace and to protect life and property.  Police officers cannot be asked to intervene in dangerous or fluid situations and, at the same </w:t>
      </w:r>
      <w:r w:rsidRPr="006F4918">
        <w:rPr>
          <w:rFonts w:cs="Times New Roman"/>
        </w:rPr>
        <w:lastRenderedPageBreak/>
        <w:t>time, be denied the authority to take protective measures when they reasonably suspect their own safety is at risk, especially when there is a suspicion weapons are present.</w:t>
      </w:r>
    </w:p>
    <w:p w:rsidR="000C40D6" w:rsidRPr="006F4918" w:rsidRDefault="000C40D6" w:rsidP="000C40D6">
      <w:pPr>
        <w:pStyle w:val="ParaNoNdepar-AltN"/>
        <w:tabs>
          <w:tab w:val="clear" w:pos="1166"/>
          <w:tab w:val="num" w:pos="1152"/>
        </w:tabs>
        <w:rPr>
          <w:rFonts w:cs="Times New Roman"/>
        </w:rPr>
      </w:pPr>
      <w:r w:rsidRPr="006F4918">
        <w:rPr>
          <w:rFonts w:cs="Times New Roman"/>
          <w:i/>
        </w:rPr>
        <w:t xml:space="preserve">Mann </w:t>
      </w:r>
      <w:r w:rsidRPr="006F4918">
        <w:rPr>
          <w:rFonts w:cs="Times New Roman"/>
        </w:rPr>
        <w:t>affirmed as much.  Our starting point then is the language of the case</w:t>
      </w:r>
      <w:r w:rsidRPr="006F4918">
        <w:rPr>
          <w:rFonts w:cs="Times New Roman"/>
          <w:i/>
        </w:rPr>
        <w:t xml:space="preserve"> </w:t>
      </w:r>
      <w:r w:rsidRPr="006F4918">
        <w:rPr>
          <w:rFonts w:cs="Times New Roman"/>
        </w:rPr>
        <w:t xml:space="preserve">itself: </w:t>
      </w:r>
    </w:p>
    <w:p w:rsidR="000C40D6" w:rsidRPr="006F4918" w:rsidRDefault="000C40D6" w:rsidP="000C40D6">
      <w:pPr>
        <w:pStyle w:val="Citation-AltC"/>
      </w:pPr>
      <w:r w:rsidRPr="006F4918">
        <w:t xml:space="preserve">. . . </w:t>
      </w:r>
      <w:proofErr w:type="gramStart"/>
      <w:r w:rsidRPr="006F4918">
        <w:t>where</w:t>
      </w:r>
      <w:proofErr w:type="gramEnd"/>
      <w:r w:rsidRPr="006F4918">
        <w:t xml:space="preserve"> a police officer has reasonable grounds </w:t>
      </w:r>
      <w:r w:rsidRPr="006F4918">
        <w:rPr>
          <w:u w:val="single"/>
        </w:rPr>
        <w:t>to believe</w:t>
      </w:r>
      <w:r w:rsidRPr="006F4918">
        <w:t xml:space="preserve"> that his or her safety or that of others is </w:t>
      </w:r>
      <w:r w:rsidRPr="006F4918">
        <w:rPr>
          <w:u w:val="single"/>
        </w:rPr>
        <w:t>at risk</w:t>
      </w:r>
      <w:r w:rsidRPr="006F4918">
        <w:t xml:space="preserve">, the officer may engage in a protective pat-down search of the detained individual.  [Emphasis added; </w:t>
      </w:r>
      <w:proofErr w:type="spellStart"/>
      <w:r w:rsidRPr="006F4918">
        <w:t>para</w:t>
      </w:r>
      <w:proofErr w:type="spellEnd"/>
      <w:r w:rsidRPr="006F4918">
        <w:t>. 45.]</w:t>
      </w:r>
    </w:p>
    <w:p w:rsidR="000C40D6" w:rsidRPr="006F4918" w:rsidRDefault="000C40D6" w:rsidP="000C40D6">
      <w:pPr>
        <w:pStyle w:val="ParaNoNdepar-AltN"/>
        <w:rPr>
          <w:rFonts w:cs="Times New Roman"/>
        </w:rPr>
      </w:pPr>
      <w:r w:rsidRPr="006F4918">
        <w:rPr>
          <w:rFonts w:cs="Times New Roman"/>
        </w:rPr>
        <w:t xml:space="preserve">Read in isolation, the “reasonable grounds to believe” language connotes the “reasonable and probable grounds” standard. See </w:t>
      </w:r>
      <w:r w:rsidRPr="006F4918">
        <w:rPr>
          <w:rFonts w:cs="Times New Roman"/>
          <w:i/>
        </w:rPr>
        <w:t>Baron v. Canada</w:t>
      </w:r>
      <w:r w:rsidRPr="006F4918">
        <w:rPr>
          <w:rFonts w:cs="Times New Roman"/>
        </w:rPr>
        <w:t>, [1993] 1 S.C.R. 416, at p. 447.  But one cannot stop reading there, because the concept of being “at risk” inherently builds in the conce</w:t>
      </w:r>
      <w:r>
        <w:rPr>
          <w:rFonts w:cs="Times New Roman"/>
        </w:rPr>
        <w:t>pt of possibility.  See, e.g., th</w:t>
      </w:r>
      <w:r w:rsidRPr="006F4918">
        <w:rPr>
          <w:rFonts w:cs="Times New Roman"/>
        </w:rPr>
        <w:t>e</w:t>
      </w:r>
      <w:r w:rsidRPr="006F4918">
        <w:rPr>
          <w:rFonts w:cs="Times New Roman"/>
          <w:i/>
        </w:rPr>
        <w:t xml:space="preserve"> Oxford English Dictionary</w:t>
      </w:r>
      <w:r w:rsidRPr="006F4918">
        <w:rPr>
          <w:rFonts w:cs="Times New Roman"/>
        </w:rPr>
        <w:t xml:space="preserve"> (online), </w:t>
      </w:r>
      <w:r w:rsidRPr="006F4918">
        <w:rPr>
          <w:rFonts w:cs="Times New Roman"/>
          <w:i/>
        </w:rPr>
        <w:t xml:space="preserve">sub </w:t>
      </w:r>
      <w:proofErr w:type="spellStart"/>
      <w:r w:rsidRPr="006F4918">
        <w:rPr>
          <w:rFonts w:cs="Times New Roman"/>
          <w:i/>
        </w:rPr>
        <w:t>verbo</w:t>
      </w:r>
      <w:proofErr w:type="spellEnd"/>
      <w:r w:rsidRPr="006F4918">
        <w:rPr>
          <w:rFonts w:cs="Times New Roman"/>
          <w:i/>
        </w:rPr>
        <w:t xml:space="preserve"> </w:t>
      </w:r>
      <w:r w:rsidRPr="006F4918">
        <w:rPr>
          <w:rFonts w:cs="Times New Roman"/>
        </w:rPr>
        <w:t xml:space="preserve">“risk” (“the </w:t>
      </w:r>
      <w:r w:rsidRPr="006F4918">
        <w:rPr>
          <w:rFonts w:cs="Times New Roman"/>
          <w:u w:val="single"/>
        </w:rPr>
        <w:t>possibility</w:t>
      </w:r>
      <w:r w:rsidRPr="006F4918">
        <w:rPr>
          <w:rFonts w:cs="Times New Roman"/>
        </w:rPr>
        <w:t xml:space="preserve"> of loss, injury, or other adverse or unwelcome circumstance; a chance or situation involving such a possibility” (emphasis added)). </w:t>
      </w:r>
    </w:p>
    <w:p w:rsidR="000C40D6" w:rsidRPr="006F4918" w:rsidRDefault="000C40D6" w:rsidP="000C40D6">
      <w:pPr>
        <w:pStyle w:val="ParaNoNdepar-AltN"/>
        <w:rPr>
          <w:rFonts w:cs="Times New Roman"/>
        </w:rPr>
      </w:pPr>
      <w:r w:rsidRPr="006F4918">
        <w:rPr>
          <w:rFonts w:cs="Times New Roman"/>
        </w:rPr>
        <w:t xml:space="preserve">The language of </w:t>
      </w:r>
      <w:r w:rsidRPr="006F4918">
        <w:rPr>
          <w:rFonts w:cs="Times New Roman"/>
          <w:i/>
        </w:rPr>
        <w:t xml:space="preserve">Mann </w:t>
      </w:r>
      <w:r w:rsidRPr="006F4918">
        <w:rPr>
          <w:rFonts w:cs="Times New Roman"/>
        </w:rPr>
        <w:t xml:space="preserve">thus appears to stack a </w:t>
      </w:r>
      <w:r w:rsidRPr="006F4918">
        <w:rPr>
          <w:rFonts w:cs="Times New Roman"/>
          <w:i/>
        </w:rPr>
        <w:t>probability</w:t>
      </w:r>
      <w:r w:rsidRPr="006F4918">
        <w:rPr>
          <w:rFonts w:cs="Times New Roman"/>
        </w:rPr>
        <w:t xml:space="preserve"> on top of a </w:t>
      </w:r>
      <w:r w:rsidRPr="006F4918">
        <w:rPr>
          <w:rFonts w:cs="Times New Roman"/>
          <w:i/>
        </w:rPr>
        <w:t>possibility</w:t>
      </w:r>
      <w:r w:rsidRPr="006F4918">
        <w:rPr>
          <w:rFonts w:cs="Times New Roman"/>
        </w:rPr>
        <w:t xml:space="preserve"> — a chance upon a chance.  In other words, </w:t>
      </w:r>
      <w:r w:rsidRPr="006F4918">
        <w:rPr>
          <w:rFonts w:cs="Times New Roman"/>
          <w:i/>
        </w:rPr>
        <w:t xml:space="preserve">Mann </w:t>
      </w:r>
      <w:r w:rsidRPr="006F4918">
        <w:rPr>
          <w:rFonts w:cs="Times New Roman"/>
        </w:rPr>
        <w:t xml:space="preserve">says a safety search is justified if it is </w:t>
      </w:r>
      <w:r w:rsidRPr="006F4918">
        <w:rPr>
          <w:rFonts w:cs="Times New Roman"/>
          <w:i/>
        </w:rPr>
        <w:t>probable</w:t>
      </w:r>
      <w:r w:rsidRPr="006F4918">
        <w:rPr>
          <w:rFonts w:cs="Times New Roman"/>
        </w:rPr>
        <w:t xml:space="preserve"> that something </w:t>
      </w:r>
      <w:r w:rsidRPr="006F4918">
        <w:rPr>
          <w:rFonts w:cs="Times New Roman"/>
          <w:i/>
        </w:rPr>
        <w:t xml:space="preserve">might </w:t>
      </w:r>
      <w:r w:rsidRPr="006F4918">
        <w:rPr>
          <w:rFonts w:cs="Times New Roman"/>
        </w:rPr>
        <w:t xml:space="preserve">happen, not that it is </w:t>
      </w:r>
      <w:r w:rsidRPr="006F4918">
        <w:rPr>
          <w:rFonts w:cs="Times New Roman"/>
          <w:i/>
        </w:rPr>
        <w:t xml:space="preserve">probable </w:t>
      </w:r>
      <w:r w:rsidRPr="006F4918">
        <w:rPr>
          <w:rFonts w:cs="Times New Roman"/>
        </w:rPr>
        <w:t xml:space="preserve">that something </w:t>
      </w:r>
      <w:r w:rsidRPr="006F4918">
        <w:rPr>
          <w:rFonts w:cs="Times New Roman"/>
          <w:i/>
        </w:rPr>
        <w:t xml:space="preserve">will </w:t>
      </w:r>
      <w:r w:rsidRPr="006F4918">
        <w:rPr>
          <w:rFonts w:cs="Times New Roman"/>
        </w:rPr>
        <w:t>happen.  As this Court only recently explained, the former</w:t>
      </w:r>
      <w:r w:rsidRPr="006F4918">
        <w:rPr>
          <w:rFonts w:cs="Times New Roman"/>
          <w:i/>
        </w:rPr>
        <w:t xml:space="preserve"> </w:t>
      </w:r>
      <w:r w:rsidRPr="006F4918">
        <w:rPr>
          <w:rFonts w:cs="Times New Roman"/>
        </w:rPr>
        <w:t>is the language of “reasonable suspicion” (</w:t>
      </w:r>
      <w:r w:rsidRPr="006F4918">
        <w:rPr>
          <w:rFonts w:cs="Times New Roman"/>
          <w:i/>
        </w:rPr>
        <w:t>R. v. MacKenzie</w:t>
      </w:r>
      <w:r w:rsidRPr="006F4918">
        <w:rPr>
          <w:rFonts w:cs="Times New Roman"/>
        </w:rPr>
        <w:t xml:space="preserve">, 2013 SCC 50, </w:t>
      </w:r>
      <w:r w:rsidR="009C1E8C">
        <w:rPr>
          <w:rFonts w:cs="Times New Roman"/>
        </w:rPr>
        <w:t xml:space="preserve">[2013] 3 S.C.R. 250, </w:t>
      </w:r>
      <w:r w:rsidRPr="006F4918">
        <w:rPr>
          <w:rFonts w:cs="Times New Roman"/>
        </w:rPr>
        <w:t xml:space="preserve">at </w:t>
      </w:r>
      <w:proofErr w:type="spellStart"/>
      <w:r w:rsidRPr="006F4918">
        <w:rPr>
          <w:rFonts w:cs="Times New Roman"/>
        </w:rPr>
        <w:t>para</w:t>
      </w:r>
      <w:proofErr w:type="spellEnd"/>
      <w:r w:rsidRPr="006F4918">
        <w:rPr>
          <w:rFonts w:cs="Times New Roman"/>
        </w:rPr>
        <w:t xml:space="preserve">. 74).  The latter is the language of “reasonable and probable grounds”. </w:t>
      </w:r>
    </w:p>
    <w:p w:rsidR="000C40D6" w:rsidRPr="006F4918" w:rsidRDefault="000C40D6" w:rsidP="000C40D6">
      <w:pPr>
        <w:pStyle w:val="ParaNoNdepar-AltN"/>
        <w:rPr>
          <w:rFonts w:cs="Times New Roman"/>
        </w:rPr>
      </w:pPr>
      <w:r w:rsidRPr="006F4918">
        <w:rPr>
          <w:rFonts w:cs="Times New Roman"/>
        </w:rPr>
        <w:lastRenderedPageBreak/>
        <w:t xml:space="preserve">Admittedly, the language of </w:t>
      </w:r>
      <w:r w:rsidRPr="006F4918">
        <w:rPr>
          <w:rFonts w:cs="Times New Roman"/>
          <w:i/>
        </w:rPr>
        <w:t xml:space="preserve">Mann </w:t>
      </w:r>
      <w:r w:rsidRPr="006F4918">
        <w:rPr>
          <w:rFonts w:cs="Times New Roman"/>
        </w:rPr>
        <w:t xml:space="preserve">could have been clearer.  Indeed, the ambiguity in the key paragraph of </w:t>
      </w:r>
      <w:r w:rsidRPr="006F4918">
        <w:rPr>
          <w:rFonts w:cs="Times New Roman"/>
          <w:i/>
        </w:rPr>
        <w:t xml:space="preserve">Mann </w:t>
      </w:r>
      <w:r w:rsidRPr="006F4918">
        <w:rPr>
          <w:rFonts w:cs="Times New Roman"/>
        </w:rPr>
        <w:t xml:space="preserve">has led at least one authority in this field to suggest that the Court simply “misspoke”: </w:t>
      </w:r>
      <w:r w:rsidR="009C1E8C">
        <w:rPr>
          <w:rFonts w:cs="Times New Roman"/>
        </w:rPr>
        <w:t xml:space="preserve"> </w:t>
      </w:r>
      <w:r w:rsidRPr="006F4918">
        <w:rPr>
          <w:rFonts w:cs="Times New Roman"/>
        </w:rPr>
        <w:t xml:space="preserve">J. </w:t>
      </w:r>
      <w:proofErr w:type="spellStart"/>
      <w:r w:rsidRPr="006F4918">
        <w:rPr>
          <w:rFonts w:cs="Times New Roman"/>
        </w:rPr>
        <w:t>Stribopo</w:t>
      </w:r>
      <w:r w:rsidR="009C1E8C">
        <w:rPr>
          <w:rFonts w:cs="Times New Roman"/>
        </w:rPr>
        <w:t>u</w:t>
      </w:r>
      <w:r w:rsidRPr="006F4918">
        <w:rPr>
          <w:rFonts w:cs="Times New Roman"/>
        </w:rPr>
        <w:t>los</w:t>
      </w:r>
      <w:proofErr w:type="spellEnd"/>
      <w:r w:rsidRPr="006F4918">
        <w:rPr>
          <w:rFonts w:cs="Times New Roman"/>
        </w:rPr>
        <w:t xml:space="preserve">, “The Limits of Judicially Created Police Powers: Investigative Detention after </w:t>
      </w:r>
      <w:r w:rsidRPr="006F4918">
        <w:rPr>
          <w:rFonts w:cs="Times New Roman"/>
          <w:i/>
        </w:rPr>
        <w:t>Mann</w:t>
      </w:r>
      <w:r w:rsidRPr="006F4918">
        <w:rPr>
          <w:rFonts w:cs="Times New Roman"/>
        </w:rPr>
        <w:t xml:space="preserve">” (2007), 52 </w:t>
      </w:r>
      <w:r w:rsidRPr="006F4918">
        <w:rPr>
          <w:rFonts w:cs="Times New Roman"/>
          <w:i/>
        </w:rPr>
        <w:t>Crim. L.Q.</w:t>
      </w:r>
      <w:r w:rsidRPr="006F4918">
        <w:rPr>
          <w:rFonts w:cs="Times New Roman"/>
        </w:rPr>
        <w:t xml:space="preserve"> 299, at p. 311.  While it would have been helpful if the Court in </w:t>
      </w:r>
      <w:r w:rsidRPr="006F4918">
        <w:rPr>
          <w:rFonts w:cs="Times New Roman"/>
          <w:i/>
        </w:rPr>
        <w:t xml:space="preserve">Mann </w:t>
      </w:r>
      <w:r w:rsidRPr="006F4918">
        <w:rPr>
          <w:rFonts w:cs="Times New Roman"/>
        </w:rPr>
        <w:t xml:space="preserve">had simply said either “reasonable grounds </w:t>
      </w:r>
      <w:r w:rsidRPr="006F4918">
        <w:rPr>
          <w:rFonts w:cs="Times New Roman"/>
          <w:i/>
        </w:rPr>
        <w:t>to</w:t>
      </w:r>
      <w:r w:rsidRPr="006F4918">
        <w:rPr>
          <w:rFonts w:cs="Times New Roman"/>
        </w:rPr>
        <w:t xml:space="preserve"> </w:t>
      </w:r>
      <w:r w:rsidRPr="006F4918">
        <w:rPr>
          <w:rFonts w:cs="Times New Roman"/>
          <w:i/>
        </w:rPr>
        <w:t>believe</w:t>
      </w:r>
      <w:r w:rsidRPr="006F4918">
        <w:rPr>
          <w:rFonts w:cs="Times New Roman"/>
        </w:rPr>
        <w:t xml:space="preserve"> an individual is armed and dangerous” or “reasonable grounds </w:t>
      </w:r>
      <w:r w:rsidRPr="006F4918">
        <w:rPr>
          <w:rFonts w:cs="Times New Roman"/>
          <w:i/>
        </w:rPr>
        <w:t>to</w:t>
      </w:r>
      <w:r w:rsidRPr="006F4918">
        <w:rPr>
          <w:rFonts w:cs="Times New Roman"/>
        </w:rPr>
        <w:t xml:space="preserve"> </w:t>
      </w:r>
      <w:r w:rsidRPr="006F4918">
        <w:rPr>
          <w:rFonts w:cs="Times New Roman"/>
          <w:i/>
        </w:rPr>
        <w:t>suspect</w:t>
      </w:r>
      <w:r w:rsidRPr="006F4918">
        <w:rPr>
          <w:rFonts w:cs="Times New Roman"/>
        </w:rPr>
        <w:t xml:space="preserve"> an individual is armed and dangerous”, the fact is that it did not.  Fortunately, however, we are able to resolve any lingering doubt about the meaning of </w:t>
      </w:r>
      <w:r w:rsidRPr="006F4918">
        <w:rPr>
          <w:rFonts w:cs="Times New Roman"/>
          <w:i/>
        </w:rPr>
        <w:t>Mann</w:t>
      </w:r>
      <w:r w:rsidRPr="006F4918">
        <w:rPr>
          <w:rFonts w:cs="Times New Roman"/>
        </w:rPr>
        <w:t xml:space="preserve"> with the tools available to us.  As we will explain, each of these tools points away from the majority’s interpretation.  </w:t>
      </w:r>
    </w:p>
    <w:p w:rsidR="000C40D6" w:rsidRPr="006F4918" w:rsidRDefault="000C40D6" w:rsidP="000C40D6">
      <w:pPr>
        <w:pStyle w:val="ParaNoNdepar-AltN"/>
        <w:rPr>
          <w:rFonts w:cs="Times New Roman"/>
        </w:rPr>
      </w:pPr>
      <w:r w:rsidRPr="006F4918">
        <w:rPr>
          <w:rFonts w:cs="Times New Roman"/>
        </w:rPr>
        <w:t xml:space="preserve">Since legal terms of art are not always self-defining, we begin with how the </w:t>
      </w:r>
      <w:r w:rsidRPr="006F4918">
        <w:rPr>
          <w:rFonts w:cs="Times New Roman"/>
          <w:i/>
        </w:rPr>
        <w:t xml:space="preserve">Mann </w:t>
      </w:r>
      <w:r w:rsidRPr="006F4918">
        <w:rPr>
          <w:rFonts w:cs="Times New Roman"/>
        </w:rPr>
        <w:t xml:space="preserve">Court actually described the standard it was adopting.  A close reading leaves no doubt it was describing reasonable suspicion.  For example, </w:t>
      </w:r>
      <w:r w:rsidRPr="006F4918">
        <w:rPr>
          <w:rFonts w:cs="Times New Roman"/>
          <w:i/>
        </w:rPr>
        <w:t xml:space="preserve">Mann </w:t>
      </w:r>
      <w:r w:rsidRPr="006F4918">
        <w:rPr>
          <w:rFonts w:cs="Times New Roman"/>
        </w:rPr>
        <w:t xml:space="preserve">held that “[t]he search must be grounded in </w:t>
      </w:r>
      <w:r w:rsidRPr="006F4918">
        <w:rPr>
          <w:rFonts w:cs="Times New Roman"/>
          <w:u w:val="single"/>
        </w:rPr>
        <w:t>objectively discernible facts</w:t>
      </w:r>
      <w:r w:rsidRPr="006F4918">
        <w:rPr>
          <w:rFonts w:cs="Times New Roman"/>
        </w:rPr>
        <w:t xml:space="preserve"> to prevent ‘fishing expeditions’ on the basis of </w:t>
      </w:r>
      <w:r w:rsidRPr="006F4918">
        <w:rPr>
          <w:rFonts w:cs="Times New Roman"/>
          <w:u w:val="single"/>
        </w:rPr>
        <w:t>irrelevant or discriminatory factors</w:t>
      </w:r>
      <w:r w:rsidRPr="006F4918">
        <w:rPr>
          <w:rFonts w:cs="Times New Roman"/>
        </w:rPr>
        <w:t>” (</w:t>
      </w:r>
      <w:proofErr w:type="spellStart"/>
      <w:r w:rsidRPr="006F4918">
        <w:rPr>
          <w:rFonts w:cs="Times New Roman"/>
        </w:rPr>
        <w:t>para</w:t>
      </w:r>
      <w:proofErr w:type="spellEnd"/>
      <w:r w:rsidRPr="006F4918">
        <w:rPr>
          <w:rFonts w:cs="Times New Roman"/>
        </w:rPr>
        <w:t xml:space="preserve">. 43 (emphasis added)).  As we recently held in </w:t>
      </w:r>
      <w:r w:rsidRPr="006F4918">
        <w:rPr>
          <w:rFonts w:cs="Times New Roman"/>
          <w:i/>
        </w:rPr>
        <w:t xml:space="preserve">R. v. </w:t>
      </w:r>
      <w:proofErr w:type="spellStart"/>
      <w:r w:rsidRPr="006F4918">
        <w:rPr>
          <w:rFonts w:cs="Times New Roman"/>
          <w:i/>
        </w:rPr>
        <w:t>Chehil</w:t>
      </w:r>
      <w:proofErr w:type="spellEnd"/>
      <w:r w:rsidRPr="006F4918">
        <w:rPr>
          <w:rFonts w:cs="Times New Roman"/>
        </w:rPr>
        <w:t xml:space="preserve">, 2013 SCC 49, </w:t>
      </w:r>
      <w:r w:rsidR="009C1E8C">
        <w:rPr>
          <w:rFonts w:cs="Times New Roman"/>
        </w:rPr>
        <w:t xml:space="preserve">[2013] 3 S.C.R. 220, </w:t>
      </w:r>
      <w:r w:rsidRPr="006F4918">
        <w:rPr>
          <w:rFonts w:cs="Times New Roman"/>
        </w:rPr>
        <w:t>reasonable suspicion must be grounded in “</w:t>
      </w:r>
      <w:r w:rsidRPr="006F4918">
        <w:rPr>
          <w:rFonts w:cs="Times New Roman"/>
          <w:u w:val="single"/>
        </w:rPr>
        <w:t>objectively discernible facts</w:t>
      </w:r>
      <w:r w:rsidRPr="006F4918">
        <w:rPr>
          <w:rFonts w:cs="Times New Roman"/>
        </w:rPr>
        <w:t xml:space="preserve">, and . . . prevents the </w:t>
      </w:r>
      <w:r w:rsidRPr="006F4918">
        <w:rPr>
          <w:rFonts w:cs="Times New Roman"/>
          <w:u w:val="single"/>
        </w:rPr>
        <w:t>indiscriminate and discriminatory exercise</w:t>
      </w:r>
      <w:r w:rsidRPr="006F4918">
        <w:rPr>
          <w:rFonts w:cs="Times New Roman"/>
        </w:rPr>
        <w:t xml:space="preserve"> of police power” (</w:t>
      </w:r>
      <w:proofErr w:type="spellStart"/>
      <w:r w:rsidRPr="006F4918">
        <w:rPr>
          <w:rFonts w:cs="Times New Roman"/>
        </w:rPr>
        <w:t>para</w:t>
      </w:r>
      <w:proofErr w:type="spellEnd"/>
      <w:r w:rsidRPr="006F4918">
        <w:rPr>
          <w:rFonts w:cs="Times New Roman"/>
        </w:rPr>
        <w:t xml:space="preserve">. 3 (emphasis added)).  Similarly, </w:t>
      </w:r>
      <w:r w:rsidRPr="006F4918">
        <w:rPr>
          <w:rFonts w:cs="Times New Roman"/>
          <w:i/>
        </w:rPr>
        <w:t xml:space="preserve">Mann </w:t>
      </w:r>
      <w:r w:rsidRPr="006F4918">
        <w:rPr>
          <w:rFonts w:cs="Times New Roman"/>
        </w:rPr>
        <w:t>spoke of a “</w:t>
      </w:r>
      <w:r w:rsidRPr="006F4918">
        <w:rPr>
          <w:rFonts w:cs="Times New Roman"/>
          <w:u w:val="single"/>
        </w:rPr>
        <w:t>logical possibility</w:t>
      </w:r>
      <w:r w:rsidR="009C1E8C">
        <w:rPr>
          <w:rFonts w:cs="Times New Roman"/>
        </w:rPr>
        <w:t xml:space="preserve"> that the [suspect</w:t>
      </w:r>
      <w:proofErr w:type="gramStart"/>
      <w:r w:rsidR="009C1E8C">
        <w:rPr>
          <w:rFonts w:cs="Times New Roman"/>
        </w:rPr>
        <w:t>] .</w:t>
      </w:r>
      <w:proofErr w:type="gramEnd"/>
      <w:r w:rsidR="009C1E8C">
        <w:rPr>
          <w:rFonts w:cs="Times New Roman"/>
        </w:rPr>
        <w:t> </w:t>
      </w:r>
      <w:r w:rsidRPr="006F4918">
        <w:rPr>
          <w:rFonts w:cs="Times New Roman"/>
        </w:rPr>
        <w:t>.</w:t>
      </w:r>
      <w:r w:rsidR="009C1E8C">
        <w:rPr>
          <w:rFonts w:cs="Times New Roman"/>
        </w:rPr>
        <w:t> </w:t>
      </w:r>
      <w:r w:rsidRPr="006F4918">
        <w:rPr>
          <w:rFonts w:cs="Times New Roman"/>
        </w:rPr>
        <w:t>. was in possession of break-and-enter tools, which could be used as weapons” (</w:t>
      </w:r>
      <w:proofErr w:type="spellStart"/>
      <w:r w:rsidRPr="006F4918">
        <w:rPr>
          <w:rFonts w:cs="Times New Roman"/>
        </w:rPr>
        <w:t>para</w:t>
      </w:r>
      <w:proofErr w:type="spellEnd"/>
      <w:r w:rsidRPr="006F4918">
        <w:rPr>
          <w:rFonts w:cs="Times New Roman"/>
        </w:rPr>
        <w:t xml:space="preserve">. 48 (emphasis added)).  Again, </w:t>
      </w:r>
      <w:proofErr w:type="spellStart"/>
      <w:r w:rsidRPr="006F4918">
        <w:rPr>
          <w:rFonts w:cs="Times New Roman"/>
          <w:i/>
        </w:rPr>
        <w:t>Chehil</w:t>
      </w:r>
      <w:proofErr w:type="spellEnd"/>
      <w:r w:rsidRPr="006F4918">
        <w:rPr>
          <w:rFonts w:cs="Times New Roman"/>
        </w:rPr>
        <w:t xml:space="preserve"> makes cle</w:t>
      </w:r>
      <w:r w:rsidR="009C1E8C">
        <w:rPr>
          <w:rFonts w:cs="Times New Roman"/>
        </w:rPr>
        <w:t xml:space="preserve">ar that “reasonable </w:t>
      </w:r>
      <w:proofErr w:type="gramStart"/>
      <w:r w:rsidR="009C1E8C">
        <w:rPr>
          <w:rFonts w:cs="Times New Roman"/>
        </w:rPr>
        <w:t>suspicion .</w:t>
      </w:r>
      <w:proofErr w:type="gramEnd"/>
      <w:r w:rsidR="009C1E8C">
        <w:rPr>
          <w:rFonts w:cs="Times New Roman"/>
        </w:rPr>
        <w:t> </w:t>
      </w:r>
      <w:r w:rsidRPr="006F4918">
        <w:rPr>
          <w:rFonts w:cs="Times New Roman"/>
        </w:rPr>
        <w:t>.</w:t>
      </w:r>
      <w:r w:rsidR="009C1E8C">
        <w:rPr>
          <w:rFonts w:cs="Times New Roman"/>
        </w:rPr>
        <w:t> </w:t>
      </w:r>
      <w:r w:rsidRPr="006F4918">
        <w:rPr>
          <w:rFonts w:cs="Times New Roman"/>
        </w:rPr>
        <w:t xml:space="preserve">. engages [a] </w:t>
      </w:r>
      <w:r w:rsidRPr="006F4918">
        <w:rPr>
          <w:rFonts w:cs="Times New Roman"/>
          <w:u w:val="single"/>
        </w:rPr>
        <w:t>reasonable possibility</w:t>
      </w:r>
      <w:r w:rsidRPr="006F4918">
        <w:rPr>
          <w:rFonts w:cs="Times New Roman"/>
        </w:rPr>
        <w:t>, rather than probability” (</w:t>
      </w:r>
      <w:proofErr w:type="spellStart"/>
      <w:r w:rsidRPr="006F4918">
        <w:rPr>
          <w:rFonts w:cs="Times New Roman"/>
        </w:rPr>
        <w:t>para</w:t>
      </w:r>
      <w:proofErr w:type="spellEnd"/>
      <w:r w:rsidRPr="006F4918">
        <w:rPr>
          <w:rFonts w:cs="Times New Roman"/>
        </w:rPr>
        <w:t xml:space="preserve">. 27 (emphasis added)). Finally, </w:t>
      </w:r>
      <w:r w:rsidRPr="006F4918">
        <w:rPr>
          <w:rFonts w:cs="Times New Roman"/>
          <w:i/>
        </w:rPr>
        <w:t xml:space="preserve">Mann </w:t>
      </w:r>
      <w:r w:rsidRPr="006F4918">
        <w:rPr>
          <w:rFonts w:cs="Times New Roman"/>
        </w:rPr>
        <w:t xml:space="preserve">required that an officer “not be acting solely on a </w:t>
      </w:r>
      <w:r w:rsidRPr="006F4918">
        <w:rPr>
          <w:rFonts w:cs="Times New Roman"/>
          <w:u w:val="single"/>
        </w:rPr>
        <w:t>hunch</w:t>
      </w:r>
      <w:r w:rsidRPr="006F4918">
        <w:rPr>
          <w:rFonts w:cs="Times New Roman"/>
        </w:rPr>
        <w:t xml:space="preserve">” </w:t>
      </w:r>
      <w:r w:rsidRPr="006F4918">
        <w:rPr>
          <w:rFonts w:cs="Times New Roman"/>
        </w:rPr>
        <w:lastRenderedPageBreak/>
        <w:t>(</w:t>
      </w:r>
      <w:proofErr w:type="spellStart"/>
      <w:r w:rsidRPr="006F4918">
        <w:rPr>
          <w:rFonts w:cs="Times New Roman"/>
        </w:rPr>
        <w:t>para</w:t>
      </w:r>
      <w:proofErr w:type="spellEnd"/>
      <w:r w:rsidRPr="006F4918">
        <w:rPr>
          <w:rFonts w:cs="Times New Roman"/>
        </w:rPr>
        <w:t xml:space="preserve">. 41 (emphasis added)).  And again, </w:t>
      </w:r>
      <w:proofErr w:type="spellStart"/>
      <w:r w:rsidRPr="006F4918">
        <w:rPr>
          <w:rFonts w:cs="Times New Roman"/>
          <w:i/>
        </w:rPr>
        <w:t>Chehil</w:t>
      </w:r>
      <w:proofErr w:type="spellEnd"/>
      <w:r w:rsidRPr="006F4918">
        <w:rPr>
          <w:rFonts w:cs="Times New Roman"/>
        </w:rPr>
        <w:t xml:space="preserve"> cautioned “</w:t>
      </w:r>
      <w:r w:rsidRPr="006F4918">
        <w:rPr>
          <w:rFonts w:cs="Times New Roman"/>
          <w:u w:val="single"/>
        </w:rPr>
        <w:t>hunches</w:t>
      </w:r>
      <w:r w:rsidRPr="006F4918">
        <w:rPr>
          <w:rFonts w:cs="Times New Roman"/>
        </w:rPr>
        <w:t xml:space="preserve"> . . . will [not] suffice” (</w:t>
      </w:r>
      <w:proofErr w:type="spellStart"/>
      <w:r w:rsidRPr="006F4918">
        <w:rPr>
          <w:rFonts w:cs="Times New Roman"/>
        </w:rPr>
        <w:t>para</w:t>
      </w:r>
      <w:proofErr w:type="spellEnd"/>
      <w:r w:rsidRPr="006F4918">
        <w:rPr>
          <w:rFonts w:cs="Times New Roman"/>
        </w:rPr>
        <w:t>. 47 (emphasis added)).  We know of no case that has described the reasonable and probable grounds standard using this language.</w:t>
      </w:r>
    </w:p>
    <w:p w:rsidR="000C40D6" w:rsidRPr="006F4918" w:rsidRDefault="000C40D6" w:rsidP="000C40D6">
      <w:pPr>
        <w:pStyle w:val="ParaNoNdepar-AltN"/>
        <w:rPr>
          <w:rFonts w:cs="Times New Roman"/>
        </w:rPr>
      </w:pPr>
      <w:r w:rsidRPr="006F4918">
        <w:rPr>
          <w:rFonts w:cs="Times New Roman"/>
        </w:rPr>
        <w:t xml:space="preserve">To look at the matter another way, had </w:t>
      </w:r>
      <w:r w:rsidRPr="006F4918">
        <w:rPr>
          <w:rFonts w:cs="Times New Roman"/>
          <w:i/>
        </w:rPr>
        <w:t xml:space="preserve">Mann </w:t>
      </w:r>
      <w:r w:rsidRPr="006F4918">
        <w:rPr>
          <w:rFonts w:cs="Times New Roman"/>
        </w:rPr>
        <w:t xml:space="preserve">intended to adopt a reasonable and probable grounds standard, these detailed elaborations would have been unnecessary since </w:t>
      </w:r>
      <w:proofErr w:type="gramStart"/>
      <w:r w:rsidRPr="006F4918">
        <w:rPr>
          <w:rFonts w:cs="Times New Roman"/>
        </w:rPr>
        <w:t>reasonable and probable grounds was</w:t>
      </w:r>
      <w:proofErr w:type="gramEnd"/>
      <w:r w:rsidRPr="006F4918">
        <w:rPr>
          <w:rFonts w:cs="Times New Roman"/>
        </w:rPr>
        <w:t xml:space="preserve"> at the time a well-known standard.  Indeed, it was and remains the </w:t>
      </w:r>
      <w:r w:rsidRPr="006F4918">
        <w:rPr>
          <w:rFonts w:cs="Times New Roman"/>
          <w:i/>
        </w:rPr>
        <w:t xml:space="preserve">presumptive </w:t>
      </w:r>
      <w:r w:rsidRPr="006F4918">
        <w:rPr>
          <w:rFonts w:cs="Times New Roman"/>
        </w:rPr>
        <w:t xml:space="preserve">standard under the </w:t>
      </w:r>
      <w:r w:rsidRPr="006F4918">
        <w:rPr>
          <w:rFonts w:cs="Times New Roman"/>
          <w:i/>
        </w:rPr>
        <w:t>Charter</w:t>
      </w:r>
      <w:r w:rsidRPr="006F4918">
        <w:rPr>
          <w:rFonts w:cs="Times New Roman"/>
        </w:rPr>
        <w:t xml:space="preserve"> (see </w:t>
      </w:r>
      <w:r w:rsidRPr="006F4918">
        <w:rPr>
          <w:rFonts w:cs="Times New Roman"/>
          <w:i/>
        </w:rPr>
        <w:t xml:space="preserve">Hunter v. </w:t>
      </w:r>
      <w:proofErr w:type="spellStart"/>
      <w:r w:rsidRPr="006F4918">
        <w:rPr>
          <w:rFonts w:cs="Times New Roman"/>
          <w:i/>
        </w:rPr>
        <w:t>Southam</w:t>
      </w:r>
      <w:proofErr w:type="spellEnd"/>
      <w:r w:rsidRPr="006F4918">
        <w:rPr>
          <w:rFonts w:cs="Times New Roman"/>
          <w:i/>
        </w:rPr>
        <w:t xml:space="preserve"> Inc.</w:t>
      </w:r>
      <w:r w:rsidRPr="006F4918">
        <w:rPr>
          <w:rFonts w:cs="Times New Roman"/>
        </w:rPr>
        <w:t xml:space="preserve">, [1984] 2 S.C.R. 145).  In contrast, </w:t>
      </w:r>
      <w:r w:rsidRPr="006F4918">
        <w:rPr>
          <w:rFonts w:cs="Times New Roman"/>
          <w:i/>
        </w:rPr>
        <w:t xml:space="preserve">Mann </w:t>
      </w:r>
      <w:r w:rsidRPr="006F4918">
        <w:rPr>
          <w:rFonts w:cs="Times New Roman"/>
        </w:rPr>
        <w:t xml:space="preserve">represented one of the first attempts by this Court to define the standard of reasonable suspicion (see also </w:t>
      </w:r>
      <w:r w:rsidRPr="006F4918">
        <w:rPr>
          <w:rFonts w:cs="Times New Roman"/>
          <w:i/>
        </w:rPr>
        <w:t>R. v. Kang-Brown</w:t>
      </w:r>
      <w:r w:rsidRPr="006F4918">
        <w:rPr>
          <w:rFonts w:cs="Times New Roman"/>
        </w:rPr>
        <w:t xml:space="preserve">, 2008 SCC 18, [2008] 1 S.C.R. 456; </w:t>
      </w:r>
      <w:r w:rsidRPr="006F4918">
        <w:rPr>
          <w:rFonts w:cs="Times New Roman"/>
          <w:i/>
        </w:rPr>
        <w:t>R. v. A.M.</w:t>
      </w:r>
      <w:r w:rsidRPr="006F4918">
        <w:rPr>
          <w:rFonts w:cs="Times New Roman"/>
        </w:rPr>
        <w:t xml:space="preserve">, 2008 SCC 19, [2008] 1 S.C.R. 569; </w:t>
      </w:r>
      <w:proofErr w:type="spellStart"/>
      <w:r w:rsidRPr="006F4918">
        <w:rPr>
          <w:rFonts w:cs="Times New Roman"/>
          <w:i/>
        </w:rPr>
        <w:t>Chehil</w:t>
      </w:r>
      <w:proofErr w:type="spellEnd"/>
      <w:r w:rsidRPr="006F4918">
        <w:rPr>
          <w:rFonts w:cs="Times New Roman"/>
        </w:rPr>
        <w:t xml:space="preserve">; </w:t>
      </w:r>
      <w:proofErr w:type="spellStart"/>
      <w:r w:rsidRPr="006F4918">
        <w:rPr>
          <w:rFonts w:cs="Times New Roman"/>
          <w:i/>
        </w:rPr>
        <w:t>MacKenzie</w:t>
      </w:r>
      <w:proofErr w:type="spellEnd"/>
      <w:r w:rsidRPr="006F4918">
        <w:rPr>
          <w:rFonts w:cs="Times New Roman"/>
        </w:rPr>
        <w:t>).</w:t>
      </w:r>
    </w:p>
    <w:p w:rsidR="000C40D6" w:rsidRPr="006F4918" w:rsidRDefault="000C40D6" w:rsidP="000C40D6">
      <w:pPr>
        <w:pStyle w:val="ParaNoNdepar-AltN"/>
        <w:rPr>
          <w:rFonts w:cs="Times New Roman"/>
        </w:rPr>
      </w:pPr>
      <w:r w:rsidRPr="006F4918">
        <w:rPr>
          <w:rFonts w:cs="Times New Roman"/>
        </w:rPr>
        <w:t xml:space="preserve">Second, we look at the history from which </w:t>
      </w:r>
      <w:r w:rsidRPr="006F4918">
        <w:rPr>
          <w:rFonts w:cs="Times New Roman"/>
          <w:i/>
        </w:rPr>
        <w:t xml:space="preserve">Mann </w:t>
      </w:r>
      <w:r w:rsidRPr="006F4918">
        <w:rPr>
          <w:rFonts w:cs="Times New Roman"/>
        </w:rPr>
        <w:t xml:space="preserve">emerged.  In recognizing a power of investigative detention and a related power to search for protective purposes incidental to that detention, </w:t>
      </w:r>
      <w:r w:rsidRPr="006F4918">
        <w:rPr>
          <w:rFonts w:cs="Times New Roman"/>
          <w:i/>
        </w:rPr>
        <w:t xml:space="preserve">Mann </w:t>
      </w:r>
      <w:r w:rsidRPr="006F4918">
        <w:rPr>
          <w:rFonts w:cs="Times New Roman"/>
        </w:rPr>
        <w:t xml:space="preserve">explicitly relied on the U.S. Supreme Court’s seminal decision in </w:t>
      </w:r>
      <w:r w:rsidRPr="006F4918">
        <w:rPr>
          <w:rFonts w:cs="Times New Roman"/>
          <w:i/>
        </w:rPr>
        <w:t>Terry v. Ohio</w:t>
      </w:r>
      <w:r w:rsidRPr="006F4918">
        <w:rPr>
          <w:rFonts w:cs="Times New Roman"/>
        </w:rPr>
        <w:t xml:space="preserve">, 392 U.S. 1 (1968).  Significant for present purposes, </w:t>
      </w:r>
      <w:r w:rsidRPr="006F4918">
        <w:rPr>
          <w:rFonts w:cs="Times New Roman"/>
          <w:i/>
        </w:rPr>
        <w:t xml:space="preserve">Mann </w:t>
      </w:r>
      <w:r w:rsidRPr="006F4918">
        <w:rPr>
          <w:rFonts w:cs="Times New Roman"/>
        </w:rPr>
        <w:t xml:space="preserve">quoted the following passage from </w:t>
      </w:r>
      <w:r w:rsidRPr="006F4918">
        <w:rPr>
          <w:rFonts w:cs="Times New Roman"/>
          <w:i/>
        </w:rPr>
        <w:t>Terry</w:t>
      </w:r>
      <w:r w:rsidRPr="006F4918">
        <w:rPr>
          <w:rFonts w:cs="Times New Roman"/>
        </w:rPr>
        <w:t xml:space="preserve"> (at p. 27)</w:t>
      </w:r>
      <w:r w:rsidRPr="006F4918">
        <w:rPr>
          <w:rFonts w:cs="Times New Roman"/>
          <w:i/>
        </w:rPr>
        <w:t xml:space="preserve"> </w:t>
      </w:r>
      <w:r w:rsidRPr="006F4918">
        <w:rPr>
          <w:rFonts w:cs="Times New Roman"/>
        </w:rPr>
        <w:t>when articulating the standard upon which an officer safety search must be measured:</w:t>
      </w:r>
    </w:p>
    <w:p w:rsidR="000C40D6" w:rsidRPr="006F4918" w:rsidRDefault="009C1E8C" w:rsidP="000C40D6">
      <w:pPr>
        <w:pStyle w:val="Citation-AltC"/>
      </w:pPr>
      <w:r>
        <w:tab/>
        <w:t xml:space="preserve">. . . </w:t>
      </w:r>
      <w:proofErr w:type="gramStart"/>
      <w:r>
        <w:t>t</w:t>
      </w:r>
      <w:r w:rsidR="000C40D6" w:rsidRPr="006F4918">
        <w:t>here</w:t>
      </w:r>
      <w:proofErr w:type="gramEnd"/>
      <w:r w:rsidR="000C40D6" w:rsidRPr="006F4918">
        <w:t xml:space="preserve"> must be a narrowly drawn authority to permit a reasonable search for weapons for the protection of the police officer, where he has </w:t>
      </w:r>
      <w:r w:rsidR="000C40D6" w:rsidRPr="006F4918">
        <w:rPr>
          <w:u w:val="single"/>
        </w:rPr>
        <w:t>reason to believe</w:t>
      </w:r>
      <w:r w:rsidR="000C40D6" w:rsidRPr="006F4918">
        <w:t xml:space="preserve"> that he is dealing with an armed and dangerous individual, </w:t>
      </w:r>
      <w:r w:rsidR="000C40D6" w:rsidRPr="006F4918">
        <w:rPr>
          <w:u w:val="single"/>
        </w:rPr>
        <w:t>regardless of whether he has probable cause to arrest the individual for a crime</w:t>
      </w:r>
      <w:r w:rsidR="000C40D6" w:rsidRPr="006F4918">
        <w:t xml:space="preserve">.  [Emphasis added; </w:t>
      </w:r>
      <w:proofErr w:type="spellStart"/>
      <w:r w:rsidR="000C40D6" w:rsidRPr="006F4918">
        <w:t>para</w:t>
      </w:r>
      <w:proofErr w:type="spellEnd"/>
      <w:r w:rsidR="000C40D6" w:rsidRPr="006F4918">
        <w:t>. 41.]</w:t>
      </w:r>
    </w:p>
    <w:p w:rsidR="000C40D6" w:rsidRPr="006F4918" w:rsidRDefault="000C40D6" w:rsidP="000C40D6">
      <w:pPr>
        <w:pStyle w:val="ParaNoNdepar-AltN"/>
        <w:tabs>
          <w:tab w:val="clear" w:pos="1166"/>
          <w:tab w:val="num" w:pos="1152"/>
        </w:tabs>
        <w:rPr>
          <w:rFonts w:cs="Times New Roman"/>
        </w:rPr>
      </w:pPr>
      <w:r w:rsidRPr="006F4918">
        <w:rPr>
          <w:rFonts w:cs="Times New Roman"/>
        </w:rPr>
        <w:lastRenderedPageBreak/>
        <w:t xml:space="preserve">As the excerpt makes clear, Chief Justice Warren clearly distinguished the </w:t>
      </w:r>
      <w:r w:rsidRPr="006F4918">
        <w:rPr>
          <w:rFonts w:cs="Times New Roman"/>
          <w:i/>
        </w:rPr>
        <w:t xml:space="preserve">Terry </w:t>
      </w:r>
      <w:r w:rsidRPr="006F4918">
        <w:rPr>
          <w:rFonts w:cs="Times New Roman"/>
        </w:rPr>
        <w:t xml:space="preserve">standard from the “probable cause” standard — the equivalent of our reasonable and probable grounds — traditionally used for arrests.  And though there has never been any serious debate about what </w:t>
      </w:r>
      <w:r w:rsidRPr="006F4918">
        <w:rPr>
          <w:rFonts w:cs="Times New Roman"/>
          <w:i/>
        </w:rPr>
        <w:t xml:space="preserve">Terry </w:t>
      </w:r>
      <w:r w:rsidRPr="006F4918">
        <w:rPr>
          <w:rFonts w:cs="Times New Roman"/>
        </w:rPr>
        <w:t xml:space="preserve">meant, in speaking of a “reason to believe”, the language of </w:t>
      </w:r>
      <w:r w:rsidRPr="006F4918">
        <w:rPr>
          <w:rFonts w:cs="Times New Roman"/>
          <w:i/>
        </w:rPr>
        <w:t xml:space="preserve">Terry </w:t>
      </w:r>
      <w:r w:rsidRPr="006F4918">
        <w:rPr>
          <w:rFonts w:cs="Times New Roman"/>
        </w:rPr>
        <w:t xml:space="preserve">risked being “confusing and contradictory” because “it is precisely the language the </w:t>
      </w:r>
      <w:r w:rsidR="008B054F">
        <w:rPr>
          <w:rFonts w:cs="Times New Roman"/>
        </w:rPr>
        <w:t xml:space="preserve">[U.S. Supreme] </w:t>
      </w:r>
      <w:r w:rsidRPr="006F4918">
        <w:rPr>
          <w:rFonts w:cs="Times New Roman"/>
        </w:rPr>
        <w:t xml:space="preserve">Court has used time and again to define the probable cause requisite for arrest” (W. R. </w:t>
      </w:r>
      <w:proofErr w:type="spellStart"/>
      <w:r w:rsidRPr="006F4918">
        <w:rPr>
          <w:rFonts w:cs="Times New Roman"/>
        </w:rPr>
        <w:t>LaFave</w:t>
      </w:r>
      <w:proofErr w:type="spellEnd"/>
      <w:r w:rsidRPr="006F4918">
        <w:rPr>
          <w:rFonts w:cs="Times New Roman"/>
        </w:rPr>
        <w:t xml:space="preserve">, </w:t>
      </w:r>
      <w:r w:rsidRPr="006F4918">
        <w:rPr>
          <w:rFonts w:cs="Times New Roman"/>
          <w:i/>
        </w:rPr>
        <w:t xml:space="preserve">Search and Seizure: </w:t>
      </w:r>
      <w:r w:rsidR="00A57E70">
        <w:rPr>
          <w:rFonts w:cs="Times New Roman"/>
          <w:i/>
        </w:rPr>
        <w:t xml:space="preserve"> </w:t>
      </w:r>
      <w:r w:rsidRPr="006F4918">
        <w:rPr>
          <w:rFonts w:cs="Times New Roman"/>
          <w:i/>
        </w:rPr>
        <w:t xml:space="preserve">A Treatise on the Fourth Amendment </w:t>
      </w:r>
      <w:r w:rsidRPr="006F4918">
        <w:rPr>
          <w:rFonts w:cs="Times New Roman"/>
        </w:rPr>
        <w:t xml:space="preserve">(5th ed. 2012), vol. 4, at §9.6(a)).  As our American colleagues only recently affirmed, however, under </w:t>
      </w:r>
      <w:r w:rsidRPr="006F4918">
        <w:rPr>
          <w:rFonts w:cs="Times New Roman"/>
          <w:i/>
        </w:rPr>
        <w:t>Terry</w:t>
      </w:r>
      <w:r w:rsidRPr="006F4918">
        <w:rPr>
          <w:rFonts w:cs="Times New Roman"/>
        </w:rPr>
        <w:t xml:space="preserve">, “the police must harbor </w:t>
      </w:r>
      <w:r w:rsidRPr="006F4918">
        <w:rPr>
          <w:rFonts w:cs="Times New Roman"/>
          <w:u w:val="single"/>
        </w:rPr>
        <w:t>reasonable suspicion</w:t>
      </w:r>
      <w:r w:rsidRPr="006F4918">
        <w:rPr>
          <w:rFonts w:cs="Times New Roman"/>
        </w:rPr>
        <w:t xml:space="preserve"> that the person . . . is armed and dangerous” (</w:t>
      </w:r>
      <w:r w:rsidRPr="006F4918">
        <w:rPr>
          <w:rFonts w:cs="Times New Roman"/>
          <w:i/>
        </w:rPr>
        <w:t>Arizona v. Johnson</w:t>
      </w:r>
      <w:r w:rsidRPr="006F4918">
        <w:rPr>
          <w:rFonts w:cs="Times New Roman"/>
        </w:rPr>
        <w:t xml:space="preserve">, 129 S. Ct. 781 (2009), at p. 784 (emphasis added)).  It is surely ironic, then, that in borrowing from </w:t>
      </w:r>
      <w:r w:rsidRPr="006F4918">
        <w:rPr>
          <w:rFonts w:cs="Times New Roman"/>
          <w:i/>
        </w:rPr>
        <w:t>Terry</w:t>
      </w:r>
      <w:r w:rsidRPr="006F4918">
        <w:rPr>
          <w:rFonts w:cs="Times New Roman"/>
        </w:rPr>
        <w:t xml:space="preserve">’s diction, </w:t>
      </w:r>
      <w:r w:rsidRPr="006F4918">
        <w:rPr>
          <w:rFonts w:cs="Times New Roman"/>
          <w:i/>
        </w:rPr>
        <w:t xml:space="preserve">Mann </w:t>
      </w:r>
      <w:r w:rsidRPr="006F4918">
        <w:rPr>
          <w:rFonts w:cs="Times New Roman"/>
        </w:rPr>
        <w:t xml:space="preserve">inadvertently imported the same confusion and contradiction into Canada.  </w:t>
      </w:r>
    </w:p>
    <w:p w:rsidR="000C40D6" w:rsidRPr="006F4918" w:rsidRDefault="000C40D6" w:rsidP="000C40D6">
      <w:pPr>
        <w:pStyle w:val="ParaNoNdepar-AltN"/>
        <w:rPr>
          <w:rFonts w:cs="Times New Roman"/>
        </w:rPr>
      </w:pPr>
      <w:r w:rsidRPr="006F4918">
        <w:rPr>
          <w:rFonts w:cs="Times New Roman"/>
        </w:rPr>
        <w:t xml:space="preserve">That brings us to our third point.  Until today, it was thought that the subsequent interpretation and application of </w:t>
      </w:r>
      <w:r w:rsidRPr="006F4918">
        <w:rPr>
          <w:rFonts w:cs="Times New Roman"/>
          <w:i/>
        </w:rPr>
        <w:t xml:space="preserve">Mann </w:t>
      </w:r>
      <w:r w:rsidRPr="006F4918">
        <w:rPr>
          <w:rFonts w:cs="Times New Roman"/>
        </w:rPr>
        <w:t xml:space="preserve">by this Court and others had put that confusion to rest.  Most significantly, in </w:t>
      </w:r>
      <w:r w:rsidRPr="006F4918">
        <w:rPr>
          <w:rFonts w:cs="Times New Roman"/>
          <w:i/>
        </w:rPr>
        <w:t>R. v. Clayton</w:t>
      </w:r>
      <w:r w:rsidR="00A57E70">
        <w:rPr>
          <w:rFonts w:cs="Times New Roman"/>
        </w:rPr>
        <w:t xml:space="preserve">, 2007 SCC 32, [2007] </w:t>
      </w:r>
      <w:r w:rsidRPr="006F4918">
        <w:rPr>
          <w:rFonts w:cs="Times New Roman"/>
        </w:rPr>
        <w:t>2</w:t>
      </w:r>
      <w:r w:rsidR="00A57E70">
        <w:rPr>
          <w:rFonts w:cs="Times New Roman"/>
        </w:rPr>
        <w:t xml:space="preserve"> </w:t>
      </w:r>
      <w:r w:rsidRPr="006F4918">
        <w:rPr>
          <w:rFonts w:cs="Times New Roman"/>
        </w:rPr>
        <w:t>S.C.R. 725, as Abella J. explained, the two accused were detained because the police had a “reasonable suspicion” they were in possession of firearms and “as a result, the lives of the police officers and of the public were at risk” (</w:t>
      </w:r>
      <w:proofErr w:type="spellStart"/>
      <w:r w:rsidRPr="006F4918">
        <w:rPr>
          <w:rFonts w:cs="Times New Roman"/>
        </w:rPr>
        <w:t>para</w:t>
      </w:r>
      <w:proofErr w:type="spellEnd"/>
      <w:r w:rsidRPr="006F4918">
        <w:rPr>
          <w:rFonts w:cs="Times New Roman"/>
        </w:rPr>
        <w:t>. 46).  Those very s</w:t>
      </w:r>
      <w:r w:rsidR="00A57E70">
        <w:rPr>
          <w:rFonts w:cs="Times New Roman"/>
        </w:rPr>
        <w:t xml:space="preserve">afety concerns — without more — </w:t>
      </w:r>
      <w:r w:rsidRPr="006F4918">
        <w:rPr>
          <w:rFonts w:cs="Times New Roman"/>
        </w:rPr>
        <w:t>justified searches of the accused incidental to their detention (</w:t>
      </w:r>
      <w:proofErr w:type="spellStart"/>
      <w:r w:rsidRPr="006F4918">
        <w:rPr>
          <w:rFonts w:cs="Times New Roman"/>
        </w:rPr>
        <w:t>para</w:t>
      </w:r>
      <w:proofErr w:type="spellEnd"/>
      <w:r w:rsidRPr="006F4918">
        <w:rPr>
          <w:rFonts w:cs="Times New Roman"/>
        </w:rPr>
        <w:t>. 48).  In other words, the officers were entitled to conduct a minimally intrusive search for safety purposes because they had reason to suspect that the accused were armed and dangerous.</w:t>
      </w:r>
    </w:p>
    <w:p w:rsidR="000C40D6" w:rsidRPr="006F4918" w:rsidRDefault="000C40D6" w:rsidP="000C40D6">
      <w:pPr>
        <w:pStyle w:val="ParaNoNdepar-AltN"/>
        <w:rPr>
          <w:rFonts w:cs="Times New Roman"/>
        </w:rPr>
      </w:pPr>
      <w:r w:rsidRPr="006F4918">
        <w:rPr>
          <w:rFonts w:cs="Times New Roman"/>
        </w:rPr>
        <w:lastRenderedPageBreak/>
        <w:t xml:space="preserve">Beyond </w:t>
      </w:r>
      <w:r w:rsidRPr="006F4918">
        <w:rPr>
          <w:rFonts w:cs="Times New Roman"/>
          <w:i/>
        </w:rPr>
        <w:t>Clayton</w:t>
      </w:r>
      <w:r w:rsidRPr="006F4918">
        <w:rPr>
          <w:rFonts w:cs="Times New Roman"/>
        </w:rPr>
        <w:t xml:space="preserve">, this Court has on at least three distinct occasions expressed, albeit in </w:t>
      </w:r>
      <w:r w:rsidRPr="006F4918">
        <w:rPr>
          <w:rFonts w:cs="Times New Roman"/>
          <w:i/>
        </w:rPr>
        <w:t>obiter</w:t>
      </w:r>
      <w:r w:rsidRPr="006F4918">
        <w:rPr>
          <w:rFonts w:cs="Times New Roman"/>
        </w:rPr>
        <w:t xml:space="preserve">, that </w:t>
      </w:r>
      <w:r w:rsidRPr="006F4918">
        <w:rPr>
          <w:rFonts w:cs="Times New Roman"/>
          <w:i/>
        </w:rPr>
        <w:t xml:space="preserve">Mann </w:t>
      </w:r>
      <w:r w:rsidRPr="006F4918">
        <w:rPr>
          <w:rFonts w:cs="Times New Roman"/>
        </w:rPr>
        <w:t xml:space="preserve">authorized a protective search incidental to investigative detention on the basis of reasonable suspicion.  First, Binnie J., writing for himself and the Chief Justice in </w:t>
      </w:r>
      <w:r w:rsidRPr="006F4918">
        <w:rPr>
          <w:rFonts w:cs="Times New Roman"/>
          <w:i/>
        </w:rPr>
        <w:t>Kang-Brown</w:t>
      </w:r>
      <w:r w:rsidRPr="006F4918">
        <w:rPr>
          <w:rFonts w:cs="Times New Roman"/>
        </w:rPr>
        <w:t xml:space="preserve">, referred to “the Court’s decision in </w:t>
      </w:r>
      <w:r w:rsidRPr="006F4918">
        <w:rPr>
          <w:rFonts w:cs="Times New Roman"/>
          <w:i/>
          <w:iCs/>
        </w:rPr>
        <w:t>Mann</w:t>
      </w:r>
      <w:r w:rsidRPr="006F4918">
        <w:rPr>
          <w:rFonts w:cs="Times New Roman"/>
        </w:rPr>
        <w:t xml:space="preserve"> to lower the bar from reasonable and probable cause </w:t>
      </w:r>
      <w:r w:rsidRPr="00A57E70">
        <w:rPr>
          <w:rFonts w:cs="Times New Roman"/>
        </w:rPr>
        <w:t xml:space="preserve">to </w:t>
      </w:r>
      <w:r w:rsidRPr="006F4918">
        <w:rPr>
          <w:rFonts w:cs="Times New Roman"/>
          <w:u w:val="single"/>
        </w:rPr>
        <w:t>reasonable suspicion</w:t>
      </w:r>
      <w:r w:rsidRPr="006F4918">
        <w:rPr>
          <w:rFonts w:cs="Times New Roman"/>
        </w:rPr>
        <w:t xml:space="preserve"> in the context of a </w:t>
      </w:r>
      <w:r w:rsidRPr="006F4918">
        <w:rPr>
          <w:rFonts w:cs="Times New Roman"/>
          <w:u w:val="single"/>
        </w:rPr>
        <w:t>warrantless search</w:t>
      </w:r>
      <w:r w:rsidRPr="006F4918">
        <w:rPr>
          <w:rFonts w:cs="Times New Roman"/>
        </w:rPr>
        <w:t>” (</w:t>
      </w:r>
      <w:proofErr w:type="spellStart"/>
      <w:r w:rsidRPr="006F4918">
        <w:rPr>
          <w:rFonts w:cs="Times New Roman"/>
        </w:rPr>
        <w:t>para</w:t>
      </w:r>
      <w:proofErr w:type="spellEnd"/>
      <w:r w:rsidRPr="006F4918">
        <w:rPr>
          <w:rFonts w:cs="Times New Roman"/>
        </w:rPr>
        <w:t xml:space="preserve">. 62 (emphasis added)).  In </w:t>
      </w:r>
      <w:r w:rsidRPr="006F4918">
        <w:rPr>
          <w:rFonts w:cs="Times New Roman"/>
          <w:i/>
        </w:rPr>
        <w:t>R. v.</w:t>
      </w:r>
      <w:r w:rsidRPr="006F4918">
        <w:rPr>
          <w:rFonts w:cs="Times New Roman"/>
        </w:rPr>
        <w:t xml:space="preserve"> </w:t>
      </w:r>
      <w:r w:rsidRPr="006F4918">
        <w:rPr>
          <w:rFonts w:cs="Times New Roman"/>
          <w:i/>
        </w:rPr>
        <w:t>Aucoin</w:t>
      </w:r>
      <w:r w:rsidRPr="006F4918">
        <w:rPr>
          <w:rFonts w:cs="Times New Roman"/>
        </w:rPr>
        <w:t xml:space="preserve">, 2012 SCC 66, [2012] 3 S.C.R. 408, at </w:t>
      </w:r>
      <w:proofErr w:type="spellStart"/>
      <w:r w:rsidRPr="006F4918">
        <w:rPr>
          <w:rFonts w:cs="Times New Roman"/>
        </w:rPr>
        <w:t>para</w:t>
      </w:r>
      <w:proofErr w:type="spellEnd"/>
      <w:r w:rsidRPr="006F4918">
        <w:rPr>
          <w:rFonts w:cs="Times New Roman"/>
        </w:rPr>
        <w:t xml:space="preserve">. 44, n. 3, the majority expressly declined to endorse the minority’s assertion that </w:t>
      </w:r>
      <w:r w:rsidRPr="006F4918">
        <w:rPr>
          <w:rFonts w:cs="Times New Roman"/>
          <w:i/>
        </w:rPr>
        <w:t xml:space="preserve">Mann </w:t>
      </w:r>
      <w:r w:rsidRPr="006F4918">
        <w:rPr>
          <w:rFonts w:cs="Times New Roman"/>
        </w:rPr>
        <w:t xml:space="preserve">required a reasonable and probable grounds standard for pat-down searches.  And, lastly, only a few months ago — in an opinion joined by every member of today’s majority — we noted that </w:t>
      </w:r>
      <w:r w:rsidRPr="006F4918">
        <w:rPr>
          <w:rFonts w:cs="Times New Roman"/>
          <w:i/>
        </w:rPr>
        <w:t xml:space="preserve">Mann </w:t>
      </w:r>
      <w:r w:rsidRPr="006F4918">
        <w:rPr>
          <w:rFonts w:cs="Times New Roman"/>
        </w:rPr>
        <w:t>authorized “limited searches accompanying investigative detentions” on the basis of “reasonable suspicion” (</w:t>
      </w:r>
      <w:proofErr w:type="spellStart"/>
      <w:r w:rsidRPr="006F4918">
        <w:rPr>
          <w:rFonts w:cs="Times New Roman"/>
          <w:i/>
        </w:rPr>
        <w:t>Chehil</w:t>
      </w:r>
      <w:proofErr w:type="spellEnd"/>
      <w:r w:rsidRPr="006F4918">
        <w:rPr>
          <w:rFonts w:cs="Times New Roman"/>
        </w:rPr>
        <w:t xml:space="preserve">, at </w:t>
      </w:r>
      <w:proofErr w:type="spellStart"/>
      <w:r w:rsidRPr="006F4918">
        <w:rPr>
          <w:rFonts w:cs="Times New Roman"/>
        </w:rPr>
        <w:t>para</w:t>
      </w:r>
      <w:proofErr w:type="spellEnd"/>
      <w:r w:rsidRPr="006F4918">
        <w:rPr>
          <w:rFonts w:cs="Times New Roman"/>
        </w:rPr>
        <w:t xml:space="preserve">. 22, n. 1).  With respect, the majority does not explain why these comments were mistaken. </w:t>
      </w:r>
    </w:p>
    <w:p w:rsidR="000C40D6" w:rsidRPr="006F4918" w:rsidRDefault="000C40D6" w:rsidP="000C40D6">
      <w:pPr>
        <w:pStyle w:val="ParaNoNdepar-AltN"/>
        <w:rPr>
          <w:rFonts w:cs="Times New Roman"/>
        </w:rPr>
      </w:pPr>
      <w:r w:rsidRPr="006F4918">
        <w:rPr>
          <w:rFonts w:cs="Times New Roman"/>
        </w:rPr>
        <w:t xml:space="preserve">Beyond our own cases, lower courts have relied on this Court’s jurisprudence and have, unsurprisingly, concluded that </w:t>
      </w:r>
      <w:r w:rsidRPr="006F4918">
        <w:rPr>
          <w:rFonts w:cs="Times New Roman"/>
          <w:i/>
        </w:rPr>
        <w:t>Mann</w:t>
      </w:r>
      <w:r w:rsidRPr="006F4918">
        <w:rPr>
          <w:rFonts w:cs="Times New Roman"/>
        </w:rPr>
        <w:t xml:space="preserve"> adopted a reasonable suspicion standard.  For example, in </w:t>
      </w:r>
      <w:r w:rsidRPr="006F4918">
        <w:rPr>
          <w:rFonts w:cs="Times New Roman"/>
          <w:i/>
        </w:rPr>
        <w:t>R. v. Crocker</w:t>
      </w:r>
      <w:r w:rsidRPr="006F4918">
        <w:rPr>
          <w:rFonts w:cs="Times New Roman"/>
        </w:rPr>
        <w:t xml:space="preserve">, 2009 BCCA 388, 275 B.C.A.C. 190, leave to appeal refused, [2010] 1 S.C.R. viii, the court held that “[a] lawful protective safety search . . . need only meet the legal standard of </w:t>
      </w:r>
      <w:r w:rsidRPr="006F4918">
        <w:rPr>
          <w:rFonts w:cs="Times New Roman"/>
          <w:u w:val="single"/>
        </w:rPr>
        <w:t>reasonable suspicions</w:t>
      </w:r>
      <w:r w:rsidRPr="006F4918">
        <w:rPr>
          <w:rFonts w:cs="Times New Roman"/>
        </w:rPr>
        <w:t xml:space="preserve"> . . . required by </w:t>
      </w:r>
      <w:r w:rsidRPr="006F4918">
        <w:rPr>
          <w:rFonts w:cs="Times New Roman"/>
          <w:i/>
        </w:rPr>
        <w:t>Mann</w:t>
      </w:r>
      <w:r w:rsidRPr="006F4918">
        <w:rPr>
          <w:rFonts w:cs="Times New Roman"/>
        </w:rPr>
        <w:t>” (</w:t>
      </w:r>
      <w:proofErr w:type="spellStart"/>
      <w:r w:rsidRPr="006F4918">
        <w:rPr>
          <w:rFonts w:cs="Times New Roman"/>
        </w:rPr>
        <w:t>para</w:t>
      </w:r>
      <w:proofErr w:type="spellEnd"/>
      <w:r w:rsidRPr="006F4918">
        <w:rPr>
          <w:rFonts w:cs="Times New Roman"/>
        </w:rPr>
        <w:t xml:space="preserve">. 72 (emphasis added)).  Just a few months ago, the same conclusion was reached in </w:t>
      </w:r>
      <w:r w:rsidRPr="006F4918">
        <w:rPr>
          <w:rFonts w:cs="Times New Roman"/>
          <w:i/>
        </w:rPr>
        <w:t>R. v. Atkins</w:t>
      </w:r>
      <w:r w:rsidRPr="006F4918">
        <w:rPr>
          <w:rFonts w:cs="Times New Roman"/>
        </w:rPr>
        <w:t>, 2013 ONCA 586, 310 O.A.C. 397:</w:t>
      </w:r>
      <w:r w:rsidR="00A57E70">
        <w:rPr>
          <w:rFonts w:cs="Times New Roman"/>
        </w:rPr>
        <w:t xml:space="preserve"> </w:t>
      </w:r>
      <w:r w:rsidRPr="006F4918">
        <w:rPr>
          <w:rFonts w:cs="Times New Roman"/>
        </w:rPr>
        <w:t xml:space="preserve"> “The pat-down search that followed the detention was justified on officer safety grounds” because “[t]he officers </w:t>
      </w:r>
      <w:r w:rsidRPr="006F4918">
        <w:rPr>
          <w:rFonts w:cs="Times New Roman"/>
          <w:u w:val="single"/>
        </w:rPr>
        <w:t>reasonably suspected</w:t>
      </w:r>
      <w:r w:rsidRPr="006F4918">
        <w:rPr>
          <w:rFonts w:cs="Times New Roman"/>
        </w:rPr>
        <w:t xml:space="preserve"> that the appellant was in possession of a weapon” (</w:t>
      </w:r>
      <w:proofErr w:type="spellStart"/>
      <w:r w:rsidRPr="006F4918">
        <w:rPr>
          <w:rFonts w:cs="Times New Roman"/>
        </w:rPr>
        <w:t>para</w:t>
      </w:r>
      <w:proofErr w:type="spellEnd"/>
      <w:r w:rsidRPr="006F4918">
        <w:rPr>
          <w:rFonts w:cs="Times New Roman"/>
        </w:rPr>
        <w:t xml:space="preserve">. 15 (emphasis added)).  </w:t>
      </w:r>
    </w:p>
    <w:p w:rsidR="000C40D6" w:rsidRPr="006F4918" w:rsidRDefault="000C40D6" w:rsidP="000C40D6">
      <w:pPr>
        <w:pStyle w:val="ParaNoNdepar-AltN"/>
        <w:rPr>
          <w:rFonts w:cs="Times New Roman"/>
        </w:rPr>
      </w:pPr>
      <w:r w:rsidRPr="006F4918">
        <w:rPr>
          <w:rFonts w:cs="Times New Roman"/>
        </w:rPr>
        <w:lastRenderedPageBreak/>
        <w:t xml:space="preserve">Fourth, the logical consequences of a reasonable and probable grounds standard in the context of </w:t>
      </w:r>
      <w:r w:rsidRPr="006F4918">
        <w:rPr>
          <w:rFonts w:cs="Times New Roman"/>
          <w:i/>
        </w:rPr>
        <w:t xml:space="preserve">Mann </w:t>
      </w:r>
      <w:r w:rsidRPr="006F4918">
        <w:rPr>
          <w:rFonts w:cs="Times New Roman"/>
        </w:rPr>
        <w:t xml:space="preserve">make little sense.  Had the officer possessed reasonable grounds to believe that the accused in </w:t>
      </w:r>
      <w:r w:rsidRPr="006F4918">
        <w:rPr>
          <w:rFonts w:cs="Times New Roman"/>
          <w:i/>
        </w:rPr>
        <w:t>Mann</w:t>
      </w:r>
      <w:r w:rsidRPr="006F4918">
        <w:rPr>
          <w:rFonts w:cs="Times New Roman"/>
        </w:rPr>
        <w:t xml:space="preserve"> was armed and dangerous, he could have arrested him.  See, e.g., </w:t>
      </w:r>
      <w:r w:rsidRPr="006F4918">
        <w:rPr>
          <w:rFonts w:cs="Times New Roman"/>
          <w:i/>
        </w:rPr>
        <w:t>Criminal Code</w:t>
      </w:r>
      <w:r w:rsidRPr="006F4918">
        <w:rPr>
          <w:rFonts w:cs="Times New Roman"/>
        </w:rPr>
        <w:t xml:space="preserve">, R.S.C. 1985, c. C-46, s. 88 (possession of a weapon for a purpose dangerous to the public peace).  In other words, if </w:t>
      </w:r>
      <w:r w:rsidRPr="006F4918">
        <w:rPr>
          <w:rFonts w:cs="Times New Roman"/>
          <w:i/>
        </w:rPr>
        <w:t xml:space="preserve">Mann </w:t>
      </w:r>
      <w:r w:rsidRPr="006F4918">
        <w:rPr>
          <w:rFonts w:cs="Times New Roman"/>
        </w:rPr>
        <w:t xml:space="preserve">required reasonable and probable grounds for a pat-down search, it would seem all that </w:t>
      </w:r>
      <w:r w:rsidRPr="006F4918">
        <w:rPr>
          <w:rFonts w:cs="Times New Roman"/>
          <w:i/>
        </w:rPr>
        <w:t xml:space="preserve">Mann </w:t>
      </w:r>
      <w:r w:rsidRPr="006F4918">
        <w:rPr>
          <w:rFonts w:cs="Times New Roman"/>
        </w:rPr>
        <w:t xml:space="preserve">achieves is a power to </w:t>
      </w:r>
      <w:r w:rsidRPr="006F4918">
        <w:rPr>
          <w:rFonts w:cs="Times New Roman"/>
          <w:i/>
        </w:rPr>
        <w:t>search</w:t>
      </w:r>
      <w:r w:rsidRPr="006F4918">
        <w:rPr>
          <w:rFonts w:cs="Times New Roman"/>
        </w:rPr>
        <w:t xml:space="preserve"> when there are already grounds to </w:t>
      </w:r>
      <w:r w:rsidRPr="006F4918">
        <w:rPr>
          <w:rFonts w:cs="Times New Roman"/>
          <w:i/>
        </w:rPr>
        <w:t>arrest</w:t>
      </w:r>
      <w:r w:rsidRPr="006F4918">
        <w:rPr>
          <w:rFonts w:cs="Times New Roman"/>
        </w:rPr>
        <w:t xml:space="preserve">.  See also </w:t>
      </w:r>
      <w:proofErr w:type="spellStart"/>
      <w:r w:rsidRPr="006F4918">
        <w:rPr>
          <w:rFonts w:cs="Times New Roman"/>
        </w:rPr>
        <w:t>Stribopo</w:t>
      </w:r>
      <w:r w:rsidR="00A57E70">
        <w:rPr>
          <w:rFonts w:cs="Times New Roman"/>
        </w:rPr>
        <w:t>ulo</w:t>
      </w:r>
      <w:r w:rsidRPr="006F4918">
        <w:rPr>
          <w:rFonts w:cs="Times New Roman"/>
        </w:rPr>
        <w:t>s</w:t>
      </w:r>
      <w:proofErr w:type="spellEnd"/>
      <w:r w:rsidRPr="006F4918">
        <w:rPr>
          <w:rFonts w:cs="Times New Roman"/>
        </w:rPr>
        <w:t xml:space="preserve">, at p. 311.  Manifestly, this is an anomalous result.  </w:t>
      </w:r>
    </w:p>
    <w:p w:rsidR="000C40D6" w:rsidRPr="006F4918" w:rsidRDefault="000C40D6" w:rsidP="000C40D6">
      <w:pPr>
        <w:pStyle w:val="ParaNoNdepar-AltN"/>
        <w:rPr>
          <w:rFonts w:cs="Times New Roman"/>
        </w:rPr>
      </w:pPr>
      <w:r w:rsidRPr="006F4918">
        <w:rPr>
          <w:rFonts w:cs="Times New Roman"/>
        </w:rPr>
        <w:t xml:space="preserve">An officer who has reasonable grounds to believe an individual is armed and dangerous will always have an immediate need to assert control over that person.  That need will inevitably entail </w:t>
      </w:r>
      <w:r w:rsidRPr="006F4918">
        <w:rPr>
          <w:rFonts w:cs="Times New Roman"/>
          <w:i/>
        </w:rPr>
        <w:t>arresting</w:t>
      </w:r>
      <w:r w:rsidRPr="006F4918">
        <w:rPr>
          <w:rFonts w:cs="Times New Roman"/>
        </w:rPr>
        <w:t xml:space="preserve"> the individual, and, as soon as it is safe to do so, subjecting that person to a search incident to arrest, predicated on a lower standard (see </w:t>
      </w:r>
      <w:r w:rsidRPr="006F4918">
        <w:rPr>
          <w:rFonts w:cs="Times New Roman"/>
          <w:i/>
        </w:rPr>
        <w:t xml:space="preserve">R. v. </w:t>
      </w:r>
      <w:proofErr w:type="spellStart"/>
      <w:r w:rsidRPr="006F4918">
        <w:rPr>
          <w:rFonts w:cs="Times New Roman"/>
          <w:i/>
        </w:rPr>
        <w:t>Caslake</w:t>
      </w:r>
      <w:proofErr w:type="spellEnd"/>
      <w:r w:rsidRPr="006F4918">
        <w:rPr>
          <w:rFonts w:cs="Times New Roman"/>
        </w:rPr>
        <w:t xml:space="preserve">, [1998] 1 S.C.R. 51, at </w:t>
      </w:r>
      <w:proofErr w:type="spellStart"/>
      <w:r w:rsidRPr="006F4918">
        <w:rPr>
          <w:rFonts w:cs="Times New Roman"/>
        </w:rPr>
        <w:t>para</w:t>
      </w:r>
      <w:proofErr w:type="spellEnd"/>
      <w:r w:rsidRPr="006F4918">
        <w:rPr>
          <w:rFonts w:cs="Times New Roman"/>
        </w:rPr>
        <w:t>. 25).  Indeed, it defies common sense to suggest that an officer confronted with an individual who is reasonably believed to be armed and dangerous would forgo the lawful option of arresting the individual in favour of a mere pat-down search.  Notably, a search in</w:t>
      </w:r>
      <w:r w:rsidR="00A57E70">
        <w:rPr>
          <w:rFonts w:cs="Times New Roman"/>
        </w:rPr>
        <w:t>ci</w:t>
      </w:r>
      <w:r w:rsidRPr="006F4918">
        <w:rPr>
          <w:rFonts w:cs="Times New Roman"/>
        </w:rPr>
        <w:t xml:space="preserve">dent to arrest is far more intrusive than the minimally intrusive search recognized under </w:t>
      </w:r>
      <w:r w:rsidRPr="006F4918">
        <w:rPr>
          <w:rFonts w:cs="Times New Roman"/>
          <w:i/>
        </w:rPr>
        <w:t>Mann</w:t>
      </w:r>
      <w:r w:rsidRPr="006F4918">
        <w:rPr>
          <w:rFonts w:cs="Times New Roman"/>
        </w:rPr>
        <w:t>.</w:t>
      </w:r>
      <w:r w:rsidRPr="006F4918">
        <w:rPr>
          <w:rFonts w:cs="Times New Roman"/>
          <w:i/>
        </w:rPr>
        <w:t xml:space="preserve"> </w:t>
      </w:r>
      <w:r w:rsidRPr="006F4918">
        <w:rPr>
          <w:rFonts w:cs="Times New Roman"/>
        </w:rPr>
        <w:t xml:space="preserve"> A search incident to arrest would include a search of the person, but could also include a search of his or her belongings or automobile (see </w:t>
      </w:r>
      <w:proofErr w:type="spellStart"/>
      <w:r w:rsidRPr="006F4918">
        <w:rPr>
          <w:rFonts w:cs="Times New Roman"/>
          <w:i/>
        </w:rPr>
        <w:t>Caslake</w:t>
      </w:r>
      <w:proofErr w:type="spellEnd"/>
      <w:r w:rsidRPr="006F4918">
        <w:rPr>
          <w:rFonts w:cs="Times New Roman"/>
        </w:rPr>
        <w:t xml:space="preserve">, at </w:t>
      </w:r>
      <w:proofErr w:type="spellStart"/>
      <w:r w:rsidRPr="006F4918">
        <w:rPr>
          <w:rFonts w:cs="Times New Roman"/>
        </w:rPr>
        <w:t>para</w:t>
      </w:r>
      <w:proofErr w:type="spellEnd"/>
      <w:r w:rsidRPr="006F4918">
        <w:rPr>
          <w:rFonts w:cs="Times New Roman"/>
        </w:rPr>
        <w:t xml:space="preserve">. 15). </w:t>
      </w:r>
    </w:p>
    <w:p w:rsidR="000C40D6" w:rsidRPr="006F4918" w:rsidRDefault="000C40D6" w:rsidP="000C40D6">
      <w:pPr>
        <w:pStyle w:val="ParaNoNdepar-AltN"/>
        <w:rPr>
          <w:rFonts w:cs="Times New Roman"/>
        </w:rPr>
      </w:pPr>
      <w:r w:rsidRPr="006F4918">
        <w:rPr>
          <w:rFonts w:cs="Times New Roman"/>
        </w:rPr>
        <w:lastRenderedPageBreak/>
        <w:t xml:space="preserve">Against that background, it is worth recalling that each time this Court has asked itself whether it should recognize a new common law police power, it has been “because of </w:t>
      </w:r>
      <w:r w:rsidRPr="006F4918">
        <w:rPr>
          <w:rFonts w:cs="Times New Roman"/>
          <w:u w:val="single"/>
        </w:rPr>
        <w:t>perceived gaps</w:t>
      </w:r>
      <w:r w:rsidRPr="006F4918">
        <w:rPr>
          <w:rFonts w:cs="Times New Roman"/>
        </w:rPr>
        <w:t xml:space="preserve"> in the law” (</w:t>
      </w:r>
      <w:r w:rsidRPr="006F4918">
        <w:rPr>
          <w:rFonts w:cs="Times New Roman"/>
          <w:i/>
        </w:rPr>
        <w:t>Kang-Brown</w:t>
      </w:r>
      <w:r w:rsidRPr="006F4918">
        <w:rPr>
          <w:rFonts w:cs="Times New Roman"/>
        </w:rPr>
        <w:t xml:space="preserve">, at </w:t>
      </w:r>
      <w:proofErr w:type="spellStart"/>
      <w:r w:rsidRPr="006F4918">
        <w:rPr>
          <w:rFonts w:cs="Times New Roman"/>
        </w:rPr>
        <w:t>para</w:t>
      </w:r>
      <w:proofErr w:type="spellEnd"/>
      <w:r w:rsidRPr="006F4918">
        <w:rPr>
          <w:rFonts w:cs="Times New Roman"/>
        </w:rPr>
        <w:t>. 6,</w:t>
      </w:r>
      <w:r w:rsidRPr="006F4918">
        <w:rPr>
          <w:rFonts w:cs="Times New Roman"/>
          <w:i/>
        </w:rPr>
        <w:t xml:space="preserve"> per</w:t>
      </w:r>
      <w:r w:rsidRPr="006F4918">
        <w:rPr>
          <w:rFonts w:cs="Times New Roman"/>
        </w:rPr>
        <w:t xml:space="preserve"> LeBel J.</w:t>
      </w:r>
      <w:r w:rsidRPr="006F4918">
        <w:rPr>
          <w:rFonts w:cs="Times New Roman"/>
          <w:i/>
        </w:rPr>
        <w:t xml:space="preserve"> </w:t>
      </w:r>
      <w:r w:rsidRPr="006F4918">
        <w:rPr>
          <w:rFonts w:cs="Times New Roman"/>
        </w:rPr>
        <w:t xml:space="preserve">(emphasis added)).  The identification of such gaps has quite rightly been a prerequisite to doing so given this Court’s reluctance to take upon itself the task of creating new police powers under the common law.  We fail to understand then why the Court in </w:t>
      </w:r>
      <w:r w:rsidRPr="006F4918">
        <w:rPr>
          <w:rFonts w:cs="Times New Roman"/>
          <w:i/>
        </w:rPr>
        <w:t>Mann</w:t>
      </w:r>
      <w:r w:rsidRPr="006F4918">
        <w:rPr>
          <w:rFonts w:cs="Times New Roman"/>
        </w:rPr>
        <w:t xml:space="preserve"> would recognize a protective search power on a standard that renders the power unnecessary.  Put simply, on the majority’s interpretation, </w:t>
      </w:r>
      <w:r w:rsidRPr="006F4918">
        <w:rPr>
          <w:rFonts w:cs="Times New Roman"/>
          <w:i/>
        </w:rPr>
        <w:t xml:space="preserve">Mann </w:t>
      </w:r>
      <w:r w:rsidRPr="006F4918">
        <w:rPr>
          <w:rFonts w:cs="Times New Roman"/>
        </w:rPr>
        <w:t>fills no gap.</w:t>
      </w:r>
      <w:r w:rsidRPr="006F4918">
        <w:rPr>
          <w:rFonts w:cs="Times New Roman"/>
          <w:i/>
        </w:rPr>
        <w:t xml:space="preserve">  </w:t>
      </w:r>
      <w:r w:rsidRPr="006F4918">
        <w:rPr>
          <w:rFonts w:cs="Times New Roman"/>
        </w:rPr>
        <w:t xml:space="preserve">With respect, that result cannot be what </w:t>
      </w:r>
      <w:r w:rsidRPr="006F4918">
        <w:rPr>
          <w:rFonts w:cs="Times New Roman"/>
          <w:i/>
        </w:rPr>
        <w:t xml:space="preserve">Mann </w:t>
      </w:r>
      <w:r w:rsidRPr="006F4918">
        <w:rPr>
          <w:rFonts w:cs="Times New Roman"/>
        </w:rPr>
        <w:t xml:space="preserve">intended.  </w:t>
      </w:r>
    </w:p>
    <w:p w:rsidR="000C40D6" w:rsidRPr="006F4918" w:rsidRDefault="000C40D6" w:rsidP="000C40D6">
      <w:pPr>
        <w:pStyle w:val="ParaNoNdepar-AltN"/>
        <w:rPr>
          <w:rFonts w:cs="Times New Roman"/>
        </w:rPr>
      </w:pPr>
      <w:r w:rsidRPr="006F4918">
        <w:rPr>
          <w:rFonts w:cs="Times New Roman"/>
        </w:rPr>
        <w:t xml:space="preserve">Fifth, and turning to the facts of this case, </w:t>
      </w:r>
      <w:r w:rsidRPr="006F4918">
        <w:rPr>
          <w:rFonts w:cs="Times New Roman"/>
          <w:szCs w:val="24"/>
        </w:rPr>
        <w:t xml:space="preserve">the majority’s conclusion that Sgt. Boyd had reasonable and probable grounds to believe </w:t>
      </w:r>
      <w:r>
        <w:rPr>
          <w:rFonts w:cs="Times New Roman"/>
          <w:szCs w:val="24"/>
        </w:rPr>
        <w:t>that Mr. MacDonald</w:t>
      </w:r>
      <w:r w:rsidRPr="006F4918">
        <w:rPr>
          <w:rFonts w:cs="Times New Roman"/>
          <w:szCs w:val="24"/>
        </w:rPr>
        <w:t xml:space="preserve"> was armed and dangerous does not conform with the evidence.  Of greater concern, the majority’s approach appears to appreciably lower the standard for what constitutes reasonable and probable grounds. </w:t>
      </w:r>
    </w:p>
    <w:p w:rsidR="000C40D6" w:rsidRPr="006F4918" w:rsidRDefault="000C40D6" w:rsidP="000C40D6">
      <w:pPr>
        <w:pStyle w:val="ParaNoNdepar-AltN"/>
        <w:rPr>
          <w:rFonts w:cs="Times New Roman"/>
        </w:rPr>
      </w:pPr>
      <w:r w:rsidRPr="006F4918">
        <w:rPr>
          <w:rFonts w:cs="Times New Roman"/>
          <w:szCs w:val="24"/>
        </w:rPr>
        <w:t xml:space="preserve">To be sure, on the facts as found by the trial judge, Sgt. Boyd’s </w:t>
      </w:r>
      <w:r w:rsidRPr="006F4918">
        <w:rPr>
          <w:rFonts w:cs="Times New Roman"/>
          <w:i/>
          <w:szCs w:val="24"/>
        </w:rPr>
        <w:t>suspicion</w:t>
      </w:r>
      <w:r w:rsidRPr="006F4918">
        <w:rPr>
          <w:rFonts w:cs="Times New Roman"/>
          <w:szCs w:val="24"/>
        </w:rPr>
        <w:t xml:space="preserve"> that </w:t>
      </w:r>
      <w:r>
        <w:rPr>
          <w:rFonts w:cs="Times New Roman"/>
          <w:szCs w:val="24"/>
        </w:rPr>
        <w:t>Mr. MacDonald</w:t>
      </w:r>
      <w:r w:rsidRPr="006F4918">
        <w:rPr>
          <w:rFonts w:cs="Times New Roman"/>
          <w:szCs w:val="24"/>
        </w:rPr>
        <w:t xml:space="preserve"> was armed and dangerous was reasonable.  </w:t>
      </w:r>
      <w:r w:rsidRPr="006F4918">
        <w:rPr>
          <w:rFonts w:cs="Times New Roman"/>
        </w:rPr>
        <w:t xml:space="preserve">The context of the encounter with </w:t>
      </w:r>
      <w:r>
        <w:rPr>
          <w:rFonts w:cs="Times New Roman"/>
        </w:rPr>
        <w:t>him</w:t>
      </w:r>
      <w:r w:rsidRPr="006F4918">
        <w:rPr>
          <w:rFonts w:cs="Times New Roman"/>
        </w:rPr>
        <w:t xml:space="preserve"> indicates a degree of hostility toward the building staff and police.  To begin, </w:t>
      </w:r>
      <w:r>
        <w:rPr>
          <w:rFonts w:cs="Times New Roman"/>
        </w:rPr>
        <w:t>Mr. MacDonald</w:t>
      </w:r>
      <w:r w:rsidRPr="006F4918">
        <w:rPr>
          <w:rFonts w:cs="Times New Roman"/>
        </w:rPr>
        <w:t xml:space="preserve"> dismissed the building concierge’s attempts to turn down the music in what the trial judge diplomatically characterized as an “undiplomatic manner” (trial reasons, MacDonald</w:t>
      </w:r>
      <w:r w:rsidR="007A0B03">
        <w:rPr>
          <w:rFonts w:cs="Times New Roman"/>
        </w:rPr>
        <w:t>’s</w:t>
      </w:r>
      <w:r w:rsidRPr="006F4918">
        <w:rPr>
          <w:rFonts w:cs="Times New Roman"/>
        </w:rPr>
        <w:t xml:space="preserve"> A.R., at p. 5).  He showed “some evidence of intoxication” (</w:t>
      </w:r>
      <w:r w:rsidRPr="006F4918">
        <w:rPr>
          <w:rFonts w:cs="Times New Roman"/>
          <w:i/>
        </w:rPr>
        <w:t>ibid.</w:t>
      </w:r>
      <w:r w:rsidRPr="006F4918">
        <w:rPr>
          <w:rFonts w:cs="Times New Roman"/>
        </w:rPr>
        <w:t xml:space="preserve">).  When </w:t>
      </w:r>
      <w:proofErr w:type="spellStart"/>
      <w:r w:rsidRPr="006F4918">
        <w:rPr>
          <w:rFonts w:cs="Times New Roman"/>
        </w:rPr>
        <w:t>Cst</w:t>
      </w:r>
      <w:proofErr w:type="spellEnd"/>
      <w:r w:rsidRPr="006F4918">
        <w:rPr>
          <w:rFonts w:cs="Times New Roman"/>
        </w:rPr>
        <w:t xml:space="preserve">. Pierce attended on the scene, </w:t>
      </w:r>
      <w:r>
        <w:rPr>
          <w:rFonts w:cs="Times New Roman"/>
        </w:rPr>
        <w:t>Mr. MacDonald</w:t>
      </w:r>
      <w:r w:rsidRPr="006F4918">
        <w:rPr>
          <w:rFonts w:cs="Times New Roman"/>
        </w:rPr>
        <w:t xml:space="preserve"> “proceeded to shut the door requiring the constable to remove her foot </w:t>
      </w:r>
      <w:r w:rsidRPr="006F4918">
        <w:rPr>
          <w:rFonts w:cs="Times New Roman"/>
        </w:rPr>
        <w:lastRenderedPageBreak/>
        <w:t xml:space="preserve">from the threshold, telling the constable to fuck off or words to that effect” (p. 6).  The trial judge accepted that Sgt. Boyd saw a “black and shiny” object in </w:t>
      </w:r>
      <w:r>
        <w:rPr>
          <w:rFonts w:cs="Times New Roman"/>
        </w:rPr>
        <w:t>Mr. MacDonald’s</w:t>
      </w:r>
      <w:r w:rsidRPr="006F4918">
        <w:rPr>
          <w:rFonts w:cs="Times New Roman"/>
        </w:rPr>
        <w:t xml:space="preserve"> hand (</w:t>
      </w:r>
      <w:proofErr w:type="spellStart"/>
      <w:r w:rsidRPr="00A57E70">
        <w:rPr>
          <w:rFonts w:cs="Times New Roman"/>
          <w:i/>
        </w:rPr>
        <w:t>voir</w:t>
      </w:r>
      <w:proofErr w:type="spellEnd"/>
      <w:r w:rsidRPr="00A57E70">
        <w:rPr>
          <w:rFonts w:cs="Times New Roman"/>
          <w:i/>
        </w:rPr>
        <w:t xml:space="preserve"> dire</w:t>
      </w:r>
      <w:r w:rsidRPr="006F4918">
        <w:rPr>
          <w:rFonts w:cs="Times New Roman"/>
        </w:rPr>
        <w:t xml:space="preserve"> reasons, MacDonald</w:t>
      </w:r>
      <w:r w:rsidR="001E12DA">
        <w:rPr>
          <w:rFonts w:cs="Times New Roman"/>
        </w:rPr>
        <w:t>’s</w:t>
      </w:r>
      <w:r w:rsidRPr="006F4918">
        <w:rPr>
          <w:rFonts w:cs="Times New Roman"/>
        </w:rPr>
        <w:t xml:space="preserve"> A.R., at p. 248).  Significantly, “[</w:t>
      </w:r>
      <w:proofErr w:type="spellStart"/>
      <w:r w:rsidRPr="006F4918">
        <w:rPr>
          <w:rFonts w:cs="Times New Roman"/>
        </w:rPr>
        <w:t>i</w:t>
      </w:r>
      <w:proofErr w:type="spellEnd"/>
      <w:r w:rsidRPr="006F4918">
        <w:rPr>
          <w:rFonts w:cs="Times New Roman"/>
        </w:rPr>
        <w:t>]t was concealed behind [</w:t>
      </w:r>
      <w:r>
        <w:rPr>
          <w:rFonts w:cs="Times New Roman"/>
        </w:rPr>
        <w:t>his</w:t>
      </w:r>
      <w:r w:rsidRPr="006F4918">
        <w:rPr>
          <w:rFonts w:cs="Times New Roman"/>
        </w:rPr>
        <w:t>] right leg” (</w:t>
      </w:r>
      <w:r w:rsidRPr="006F4918">
        <w:rPr>
          <w:rFonts w:cs="Times New Roman"/>
          <w:i/>
        </w:rPr>
        <w:t>ibid.</w:t>
      </w:r>
      <w:r w:rsidRPr="006F4918">
        <w:rPr>
          <w:rFonts w:cs="Times New Roman"/>
        </w:rPr>
        <w:t>).</w:t>
      </w:r>
      <w:r w:rsidRPr="006F4918">
        <w:rPr>
          <w:rFonts w:cs="Times New Roman"/>
          <w:i/>
        </w:rPr>
        <w:t xml:space="preserve"> </w:t>
      </w:r>
      <w:r w:rsidRPr="006F4918">
        <w:rPr>
          <w:rFonts w:cs="Times New Roman"/>
        </w:rPr>
        <w:t xml:space="preserve"> Moreover, Sgt. Boyd thought “it might be a knife” (p. 249).  In these circumstances, Sgt. Boyd had reason to suspect that</w:t>
      </w:r>
      <w:r>
        <w:rPr>
          <w:rFonts w:cs="Times New Roman"/>
        </w:rPr>
        <w:t xml:space="preserve"> Mr. MacDonald</w:t>
      </w:r>
      <w:r w:rsidRPr="006F4918">
        <w:rPr>
          <w:rFonts w:cs="Times New Roman"/>
        </w:rPr>
        <w:t>, who had been acting in a hostile and aggressive fashion, was armed and dangerous — but he surely did not have reasonable grounds to believe that he was</w:t>
      </w:r>
      <w:r w:rsidRPr="006F4918">
        <w:rPr>
          <w:rFonts w:cs="Times New Roman"/>
          <w:i/>
        </w:rPr>
        <w:t xml:space="preserve"> </w:t>
      </w:r>
      <w:r w:rsidRPr="006F4918">
        <w:rPr>
          <w:rFonts w:cs="Times New Roman"/>
        </w:rPr>
        <w:t xml:space="preserve">armed and dangerous.  </w:t>
      </w:r>
    </w:p>
    <w:p w:rsidR="000C40D6" w:rsidRPr="006F4918" w:rsidRDefault="000C40D6" w:rsidP="000C40D6">
      <w:pPr>
        <w:pStyle w:val="ParaNoNdepar-AltN"/>
        <w:rPr>
          <w:rFonts w:cs="Times New Roman"/>
        </w:rPr>
      </w:pPr>
      <w:r w:rsidRPr="006F4918">
        <w:rPr>
          <w:rFonts w:cs="Times New Roman"/>
        </w:rPr>
        <w:t xml:space="preserve">Our colleagues do not give effect to the officer’s clear evidence and find instead that Sgt. Boyd had reasonable grounds to believe </w:t>
      </w:r>
      <w:r>
        <w:rPr>
          <w:rFonts w:cs="Times New Roman"/>
        </w:rPr>
        <w:t>that Mr. MacDonald</w:t>
      </w:r>
      <w:r w:rsidRPr="006F4918">
        <w:rPr>
          <w:rFonts w:cs="Times New Roman"/>
        </w:rPr>
        <w:t xml:space="preserve"> was</w:t>
      </w:r>
      <w:r w:rsidRPr="006F4918">
        <w:rPr>
          <w:rFonts w:cs="Times New Roman"/>
          <w:i/>
        </w:rPr>
        <w:t xml:space="preserve"> </w:t>
      </w:r>
      <w:r w:rsidRPr="006F4918">
        <w:rPr>
          <w:rFonts w:cs="Times New Roman"/>
        </w:rPr>
        <w:t xml:space="preserve">armed and dangerous.  With respect, we cannot accept this conclusion.  This is the first time such a finding has been made.  The trial judge made no such finding, nor did any justice of the Court of Appeal reach this conclusion.  Second, no party before this Court advances such a claim.  </w:t>
      </w:r>
      <w:r w:rsidRPr="006F4918">
        <w:rPr>
          <w:rFonts w:cs="Times New Roman"/>
          <w:lang w:val="en-US"/>
        </w:rPr>
        <w:t xml:space="preserve">Indeed, the Crown submits that a reasonable and probable grounds standard is “completely unrealistic” in this context (R.F., at </w:t>
      </w:r>
      <w:proofErr w:type="spellStart"/>
      <w:r w:rsidRPr="006F4918">
        <w:rPr>
          <w:rFonts w:cs="Times New Roman"/>
          <w:lang w:val="en-US"/>
        </w:rPr>
        <w:t>para</w:t>
      </w:r>
      <w:proofErr w:type="spellEnd"/>
      <w:r w:rsidRPr="006F4918">
        <w:rPr>
          <w:rFonts w:cs="Times New Roman"/>
          <w:lang w:val="en-US"/>
        </w:rPr>
        <w:t>. 46).</w:t>
      </w:r>
    </w:p>
    <w:p w:rsidR="000C40D6" w:rsidRPr="006F4918" w:rsidRDefault="000C40D6" w:rsidP="000C40D6">
      <w:pPr>
        <w:pStyle w:val="ParaNoNdepar-AltN"/>
        <w:rPr>
          <w:rFonts w:cs="Times New Roman"/>
        </w:rPr>
      </w:pPr>
      <w:r w:rsidRPr="006F4918">
        <w:rPr>
          <w:rFonts w:cs="Times New Roman"/>
        </w:rPr>
        <w:t>Overstating Sgt. Boyd’s evidence is not just inconsistent with the evidence in this case</w:t>
      </w:r>
      <w:r>
        <w:rPr>
          <w:rFonts w:cs="Times New Roman"/>
        </w:rPr>
        <w:t>;</w:t>
      </w:r>
      <w:r w:rsidRPr="006F4918">
        <w:rPr>
          <w:rFonts w:cs="Times New Roman"/>
        </w:rPr>
        <w:t xml:space="preserve"> it also significantly lowers the reasonable grounds to believe threshold by eliminating the subjective requirement that the standard demands (</w:t>
      </w:r>
      <w:r w:rsidRPr="006F4918">
        <w:rPr>
          <w:rFonts w:cs="Times New Roman"/>
          <w:i/>
        </w:rPr>
        <w:t xml:space="preserve">R. v. </w:t>
      </w:r>
      <w:proofErr w:type="spellStart"/>
      <w:r w:rsidRPr="006F4918">
        <w:rPr>
          <w:rFonts w:cs="Times New Roman"/>
          <w:i/>
        </w:rPr>
        <w:t>Storrey</w:t>
      </w:r>
      <w:proofErr w:type="spellEnd"/>
      <w:r w:rsidRPr="006F4918">
        <w:rPr>
          <w:rFonts w:cs="Times New Roman"/>
        </w:rPr>
        <w:t xml:space="preserve">, [1990] 1 S.C.R. 241, at pp. 250-51).  The law is clear that an officer must </w:t>
      </w:r>
      <w:r w:rsidRPr="006F4918">
        <w:rPr>
          <w:rFonts w:cs="Times New Roman"/>
          <w:i/>
        </w:rPr>
        <w:t xml:space="preserve">subjectively </w:t>
      </w:r>
      <w:r w:rsidRPr="006F4918">
        <w:rPr>
          <w:rFonts w:cs="Times New Roman"/>
        </w:rPr>
        <w:t xml:space="preserve">believe he has reasonable and probable grounds; it is not enough that he objectively did.  In this case, however, Sgt. Boyd’s testimony of his “concern” that </w:t>
      </w:r>
      <w:r>
        <w:rPr>
          <w:rFonts w:cs="Times New Roman"/>
        </w:rPr>
        <w:lastRenderedPageBreak/>
        <w:t>Mr. MacDonald</w:t>
      </w:r>
      <w:r w:rsidRPr="006F4918">
        <w:rPr>
          <w:rFonts w:cs="Times New Roman"/>
        </w:rPr>
        <w:t xml:space="preserve"> “might” have had a weapon does not fit with the majority’s conclusion that Sgt. Boyd himself believed he had reasonable and probable grounds.  Sgt. Boyd believed in a possibility, not a probability.</w:t>
      </w:r>
      <w:r w:rsidRPr="006F4918">
        <w:rPr>
          <w:rStyle w:val="FootnoteReference"/>
          <w:rFonts w:cs="Times New Roman"/>
        </w:rPr>
        <w:footnoteReference w:id="1"/>
      </w:r>
      <w:r w:rsidRPr="006F4918">
        <w:rPr>
          <w:rFonts w:cs="Times New Roman"/>
        </w:rPr>
        <w:t xml:space="preserve">  In other words, he subjectively </w:t>
      </w:r>
      <w:r w:rsidRPr="006F4918">
        <w:rPr>
          <w:rFonts w:cs="Times New Roman"/>
          <w:i/>
        </w:rPr>
        <w:t xml:space="preserve">suspected </w:t>
      </w:r>
      <w:r>
        <w:rPr>
          <w:rFonts w:cs="Times New Roman"/>
        </w:rPr>
        <w:t>that Mr. MacDonald</w:t>
      </w:r>
      <w:r w:rsidRPr="006F4918">
        <w:rPr>
          <w:rFonts w:cs="Times New Roman"/>
        </w:rPr>
        <w:t xml:space="preserve"> had a weapon, and this suspicion was objectively reasonable.  </w:t>
      </w:r>
    </w:p>
    <w:p w:rsidR="000C40D6" w:rsidRPr="006F4918" w:rsidRDefault="000C40D6" w:rsidP="000C40D6">
      <w:pPr>
        <w:pStyle w:val="ParaNoNdepar-AltN"/>
        <w:rPr>
          <w:rFonts w:cs="Times New Roman"/>
          <w:b/>
        </w:rPr>
      </w:pPr>
      <w:r w:rsidRPr="006F4918">
        <w:rPr>
          <w:rFonts w:cs="Times New Roman"/>
        </w:rPr>
        <w:t xml:space="preserve">These five reasons — the language of </w:t>
      </w:r>
      <w:r w:rsidRPr="006F4918">
        <w:rPr>
          <w:rFonts w:cs="Times New Roman"/>
          <w:i/>
        </w:rPr>
        <w:t>Mann</w:t>
      </w:r>
      <w:r w:rsidRPr="006F4918">
        <w:rPr>
          <w:rFonts w:cs="Times New Roman"/>
        </w:rPr>
        <w:t xml:space="preserve">, the history from which </w:t>
      </w:r>
      <w:r w:rsidRPr="006F4918">
        <w:rPr>
          <w:rFonts w:cs="Times New Roman"/>
          <w:i/>
        </w:rPr>
        <w:t xml:space="preserve">Mann </w:t>
      </w:r>
      <w:r w:rsidRPr="006F4918">
        <w:rPr>
          <w:rFonts w:cs="Times New Roman"/>
        </w:rPr>
        <w:t xml:space="preserve">emerged, the logical consequences of interpreting </w:t>
      </w:r>
      <w:r w:rsidRPr="006F4918">
        <w:rPr>
          <w:rFonts w:cs="Times New Roman"/>
          <w:i/>
        </w:rPr>
        <w:t xml:space="preserve">Mann </w:t>
      </w:r>
      <w:r w:rsidRPr="006F4918">
        <w:rPr>
          <w:rFonts w:cs="Times New Roman"/>
        </w:rPr>
        <w:t xml:space="preserve">as requiring reasonable grounds to believe, the jurisprudence that has interpreted </w:t>
      </w:r>
      <w:r w:rsidRPr="006F4918">
        <w:rPr>
          <w:rFonts w:cs="Times New Roman"/>
          <w:i/>
        </w:rPr>
        <w:t>Mann</w:t>
      </w:r>
      <w:r w:rsidRPr="006F4918">
        <w:rPr>
          <w:rFonts w:cs="Times New Roman"/>
        </w:rPr>
        <w:t>, and the facts of this case — all lead to the same unavoidable conclusion:</w:t>
      </w:r>
      <w:r w:rsidR="00A57E70">
        <w:rPr>
          <w:rFonts w:cs="Times New Roman"/>
        </w:rPr>
        <w:t xml:space="preserve"> </w:t>
      </w:r>
      <w:r w:rsidRPr="006F4918">
        <w:rPr>
          <w:rFonts w:cs="Times New Roman"/>
        </w:rPr>
        <w:t xml:space="preserve"> </w:t>
      </w:r>
      <w:r w:rsidRPr="006F4918">
        <w:rPr>
          <w:rFonts w:cs="Times New Roman"/>
          <w:i/>
        </w:rPr>
        <w:t xml:space="preserve">Mann </w:t>
      </w:r>
      <w:r w:rsidRPr="006F4918">
        <w:rPr>
          <w:rFonts w:cs="Times New Roman"/>
        </w:rPr>
        <w:t xml:space="preserve">recognized a protective search power predicated on reasonable suspicion.  </w:t>
      </w:r>
    </w:p>
    <w:p w:rsidR="000C40D6" w:rsidRPr="006F4918" w:rsidRDefault="00A57E70" w:rsidP="000C40D6">
      <w:pPr>
        <w:pStyle w:val="ParaNoNdepar-AltN"/>
        <w:rPr>
          <w:rFonts w:cs="Times New Roman"/>
          <w:b/>
        </w:rPr>
      </w:pPr>
      <w:r>
        <w:rPr>
          <w:rFonts w:cs="Times New Roman"/>
        </w:rPr>
        <w:t xml:space="preserve">This case could have been — and ought to have been — </w:t>
      </w:r>
      <w:r w:rsidR="000C40D6" w:rsidRPr="006F4918">
        <w:rPr>
          <w:rFonts w:cs="Times New Roman"/>
        </w:rPr>
        <w:t xml:space="preserve">resolved by extending the logic of </w:t>
      </w:r>
      <w:r w:rsidR="000C40D6" w:rsidRPr="006F4918">
        <w:rPr>
          <w:rFonts w:cs="Times New Roman"/>
          <w:i/>
        </w:rPr>
        <w:t>Mann</w:t>
      </w:r>
      <w:r w:rsidR="000C40D6" w:rsidRPr="006F4918">
        <w:rPr>
          <w:rFonts w:cs="Times New Roman"/>
        </w:rPr>
        <w:t xml:space="preserve">.  First, Sgt. Boyd, while lawfully engaged in his duties, had a reasonable suspicion that </w:t>
      </w:r>
      <w:r w:rsidR="000C40D6">
        <w:rPr>
          <w:rFonts w:cs="Times New Roman"/>
        </w:rPr>
        <w:t>Mr. MacDonald</w:t>
      </w:r>
      <w:r w:rsidR="000C40D6" w:rsidRPr="006F4918">
        <w:rPr>
          <w:rFonts w:cs="Times New Roman"/>
        </w:rPr>
        <w:t xml:space="preserve"> was armed and dangerous.  Second, in response to that reasonable suspicion, Sgt. Boyd’s conduct — pushing </w:t>
      </w:r>
      <w:r w:rsidR="000C40D6">
        <w:rPr>
          <w:rFonts w:cs="Times New Roman"/>
        </w:rPr>
        <w:t>Mr. MacDonald’</w:t>
      </w:r>
      <w:r w:rsidR="000C40D6" w:rsidRPr="006F4918">
        <w:rPr>
          <w:rFonts w:cs="Times New Roman"/>
        </w:rPr>
        <w:t>s door open a few more inches — was “no more intrusive of liberty interests than [was] reasonably necessary to address the risk” (</w:t>
      </w:r>
      <w:proofErr w:type="spellStart"/>
      <w:r w:rsidR="000C40D6" w:rsidRPr="006F4918">
        <w:rPr>
          <w:rFonts w:cs="Times New Roman"/>
          <w:i/>
        </w:rPr>
        <w:t>Aucoin</w:t>
      </w:r>
      <w:proofErr w:type="spellEnd"/>
      <w:r w:rsidR="000C40D6" w:rsidRPr="006F4918">
        <w:rPr>
          <w:rFonts w:cs="Times New Roman"/>
        </w:rPr>
        <w:t xml:space="preserve">, at </w:t>
      </w:r>
      <w:proofErr w:type="spellStart"/>
      <w:r w:rsidR="000C40D6" w:rsidRPr="006F4918">
        <w:rPr>
          <w:rFonts w:cs="Times New Roman"/>
        </w:rPr>
        <w:t>para</w:t>
      </w:r>
      <w:proofErr w:type="spellEnd"/>
      <w:r w:rsidR="000C40D6" w:rsidRPr="006F4918">
        <w:rPr>
          <w:rFonts w:cs="Times New Roman"/>
        </w:rPr>
        <w:t xml:space="preserve">. 36, quoting </w:t>
      </w:r>
      <w:r w:rsidR="000C40D6" w:rsidRPr="006F4918">
        <w:rPr>
          <w:rFonts w:cs="Times New Roman"/>
          <w:i/>
        </w:rPr>
        <w:t>Clayton</w:t>
      </w:r>
      <w:r w:rsidR="000C40D6" w:rsidRPr="006F4918">
        <w:rPr>
          <w:rFonts w:cs="Times New Roman"/>
        </w:rPr>
        <w:t xml:space="preserve">, at </w:t>
      </w:r>
      <w:proofErr w:type="spellStart"/>
      <w:r w:rsidR="000C40D6" w:rsidRPr="006F4918">
        <w:rPr>
          <w:rFonts w:cs="Times New Roman"/>
        </w:rPr>
        <w:t>para</w:t>
      </w:r>
      <w:proofErr w:type="spellEnd"/>
      <w:r w:rsidR="000C40D6" w:rsidRPr="006F4918">
        <w:rPr>
          <w:rFonts w:cs="Times New Roman"/>
        </w:rPr>
        <w:t>. 31).  Accordingly, the search was reasonable for purposes of s. 8.</w:t>
      </w:r>
    </w:p>
    <w:p w:rsidR="000C40D6" w:rsidRPr="006F4918" w:rsidRDefault="000C40D6" w:rsidP="000C40D6">
      <w:pPr>
        <w:pStyle w:val="ParaNoNdepar-AltN"/>
        <w:rPr>
          <w:rFonts w:cs="Times New Roman"/>
        </w:rPr>
      </w:pPr>
      <w:r w:rsidRPr="006F4918">
        <w:rPr>
          <w:rFonts w:cs="Times New Roman"/>
        </w:rPr>
        <w:t>It must be stressed that in cases such as the one at hand, the “</w:t>
      </w:r>
      <w:r w:rsidRPr="006F4918">
        <w:rPr>
          <w:rFonts w:cs="Times New Roman"/>
          <w:i/>
        </w:rPr>
        <w:t xml:space="preserve">Mann </w:t>
      </w:r>
      <w:r w:rsidRPr="006F4918">
        <w:rPr>
          <w:rFonts w:cs="Times New Roman"/>
        </w:rPr>
        <w:t xml:space="preserve">standard” for protective searches, as properly understood, does not empower an </w:t>
      </w:r>
      <w:r w:rsidRPr="006F4918">
        <w:rPr>
          <w:rFonts w:cs="Times New Roman"/>
        </w:rPr>
        <w:lastRenderedPageBreak/>
        <w:t xml:space="preserve">officer to engage in random searches based on a whim or a hunch.  Rather, the officer’s suspicion that the individual is armed and dangerous must be reasonable having regard to the totality of the circumstances.  As this Court said </w:t>
      </w:r>
      <w:bookmarkStart w:id="0" w:name="_GoBack"/>
      <w:bookmarkEnd w:id="0"/>
      <w:r w:rsidRPr="006F4918">
        <w:rPr>
          <w:rFonts w:cs="Times New Roman"/>
        </w:rPr>
        <w:t>recently in</w:t>
      </w:r>
      <w:r w:rsidRPr="006F4918">
        <w:rPr>
          <w:rFonts w:cs="Times New Roman"/>
          <w:i/>
        </w:rPr>
        <w:t xml:space="preserve"> </w:t>
      </w:r>
      <w:proofErr w:type="spellStart"/>
      <w:r w:rsidRPr="006F4918">
        <w:rPr>
          <w:rFonts w:cs="Times New Roman"/>
          <w:i/>
        </w:rPr>
        <w:t>Chehil</w:t>
      </w:r>
      <w:proofErr w:type="spellEnd"/>
      <w:r w:rsidRPr="006F4918">
        <w:rPr>
          <w:rFonts w:cs="Times New Roman"/>
        </w:rPr>
        <w:t>, the belief must be derived from “objectively discern</w:t>
      </w:r>
      <w:r w:rsidR="004A68D4">
        <w:rPr>
          <w:rFonts w:cs="Times New Roman"/>
        </w:rPr>
        <w:t>i</w:t>
      </w:r>
      <w:r w:rsidRPr="006F4918">
        <w:rPr>
          <w:rFonts w:cs="Times New Roman"/>
        </w:rPr>
        <w:t>ble facts, which can then be subjected to independent judicial scrutiny” (</w:t>
      </w:r>
      <w:proofErr w:type="spellStart"/>
      <w:r w:rsidRPr="006F4918">
        <w:rPr>
          <w:rFonts w:cs="Times New Roman"/>
        </w:rPr>
        <w:t>para</w:t>
      </w:r>
      <w:proofErr w:type="spellEnd"/>
      <w:r w:rsidRPr="006F4918">
        <w:rPr>
          <w:rFonts w:cs="Times New Roman"/>
        </w:rPr>
        <w:t xml:space="preserve">. 26). </w:t>
      </w:r>
    </w:p>
    <w:p w:rsidR="000C40D6" w:rsidRPr="006F4918" w:rsidRDefault="000C40D6" w:rsidP="000C40D6">
      <w:pPr>
        <w:pStyle w:val="ParaNoNdepar-AltN"/>
        <w:tabs>
          <w:tab w:val="clear" w:pos="1166"/>
          <w:tab w:val="num" w:pos="1152"/>
        </w:tabs>
        <w:rPr>
          <w:rFonts w:cs="Times New Roman"/>
        </w:rPr>
      </w:pPr>
      <w:r w:rsidRPr="006F4918">
        <w:rPr>
          <w:rFonts w:cs="Times New Roman"/>
        </w:rPr>
        <w:t xml:space="preserve">Nor is the proposition of a reasonable suspicion standard — even where it authorizes entry into a home — unfaithful to the </w:t>
      </w:r>
      <w:r w:rsidRPr="006F4918">
        <w:rPr>
          <w:rFonts w:cs="Times New Roman"/>
          <w:i/>
          <w:iCs/>
        </w:rPr>
        <w:t>Charter</w:t>
      </w:r>
      <w:r w:rsidRPr="00A57E70">
        <w:rPr>
          <w:rFonts w:cs="Times New Roman"/>
          <w:iCs/>
        </w:rPr>
        <w:t>.</w:t>
      </w:r>
      <w:r w:rsidRPr="006F4918">
        <w:rPr>
          <w:rFonts w:cs="Times New Roman"/>
        </w:rPr>
        <w:t xml:space="preserve">  Though </w:t>
      </w:r>
      <w:r w:rsidRPr="006F4918">
        <w:rPr>
          <w:rFonts w:cs="Times New Roman"/>
          <w:i/>
          <w:iCs/>
        </w:rPr>
        <w:t xml:space="preserve">Hunter </w:t>
      </w:r>
      <w:r w:rsidRPr="006F4918">
        <w:rPr>
          <w:rFonts w:cs="Times New Roman"/>
        </w:rPr>
        <w:t xml:space="preserve">established a presumption of reasonable and probable grounds, Dickson J. (as he then was) was careful to observe that in some circumstances “the relevant standard might well be a different one” (p. 168).  That is to say, the purpose of a search matters.  While the general rule is that a warrant secured on reasonable and probable grounds is required for entry into a home </w:t>
      </w:r>
      <w:r>
        <w:rPr>
          <w:rFonts w:cs="Times New Roman"/>
        </w:rPr>
        <w:t xml:space="preserve">to effect an arrest </w:t>
      </w:r>
      <w:r w:rsidRPr="006F4918">
        <w:rPr>
          <w:rFonts w:cs="Times New Roman"/>
        </w:rPr>
        <w:t>(</w:t>
      </w:r>
      <w:r w:rsidRPr="006F4918">
        <w:rPr>
          <w:rFonts w:cs="Times New Roman"/>
          <w:i/>
          <w:iCs/>
        </w:rPr>
        <w:t>R. v. Feeney</w:t>
      </w:r>
      <w:r w:rsidRPr="006F4918">
        <w:rPr>
          <w:rFonts w:cs="Times New Roman"/>
        </w:rPr>
        <w:t xml:space="preserve">, [1997] 2 S.C.R. 13), the </w:t>
      </w:r>
      <w:r w:rsidRPr="006F4918">
        <w:rPr>
          <w:rFonts w:cs="Times New Roman"/>
          <w:i/>
        </w:rPr>
        <w:t xml:space="preserve">Criminal Code </w:t>
      </w:r>
      <w:r w:rsidRPr="006F4918">
        <w:rPr>
          <w:rFonts w:cs="Times New Roman"/>
        </w:rPr>
        <w:t xml:space="preserve">provides for warrantless entry in “exigent circumstances” where there are “reasonable grounds to </w:t>
      </w:r>
      <w:r w:rsidRPr="006F4918">
        <w:rPr>
          <w:rFonts w:cs="Times New Roman"/>
          <w:u w:val="single"/>
        </w:rPr>
        <w:t>suspect</w:t>
      </w:r>
      <w:r w:rsidRPr="006F4918">
        <w:rPr>
          <w:rFonts w:cs="Times New Roman"/>
        </w:rPr>
        <w:t xml:space="preserve"> that entry into the dwelling-house is necessary to prevent imminent bodily harm or death to any person” (see, e.g., ss. 487.11 and 529.3(2)</w:t>
      </w:r>
      <w:r>
        <w:rPr>
          <w:rFonts w:cs="Times New Roman"/>
        </w:rPr>
        <w:t>)</w:t>
      </w:r>
      <w:r w:rsidRPr="006F4918">
        <w:rPr>
          <w:rFonts w:cs="Times New Roman"/>
        </w:rPr>
        <w:t xml:space="preserve">.  Moreover, this Court has recognized that warrantless entry into a home is authorized by a 911 distress call, as it reveals a potential threat to life (see </w:t>
      </w:r>
      <w:r w:rsidRPr="006F4918">
        <w:rPr>
          <w:rFonts w:cs="Times New Roman"/>
          <w:i/>
          <w:iCs/>
        </w:rPr>
        <w:t>R. v. Godoy</w:t>
      </w:r>
      <w:r w:rsidRPr="006F4918">
        <w:rPr>
          <w:rFonts w:cs="Times New Roman"/>
        </w:rPr>
        <w:t xml:space="preserve">, [1999] 1 S.C.R. 311).  Similarly, in </w:t>
      </w:r>
      <w:r w:rsidRPr="006F4918">
        <w:rPr>
          <w:rFonts w:cs="Times New Roman"/>
          <w:i/>
        </w:rPr>
        <w:t xml:space="preserve">R. v. </w:t>
      </w:r>
      <w:proofErr w:type="spellStart"/>
      <w:r w:rsidRPr="006F4918">
        <w:rPr>
          <w:rFonts w:cs="Times New Roman"/>
          <w:i/>
        </w:rPr>
        <w:t>Golub</w:t>
      </w:r>
      <w:proofErr w:type="spellEnd"/>
      <w:r w:rsidRPr="006F4918">
        <w:rPr>
          <w:rFonts w:cs="Times New Roman"/>
          <w:i/>
        </w:rPr>
        <w:t xml:space="preserve"> </w:t>
      </w:r>
      <w:r w:rsidRPr="006F4918">
        <w:rPr>
          <w:rFonts w:cs="Times New Roman"/>
        </w:rPr>
        <w:t>(1997), 34 O.R. (3d) 743, leave to appeal refused, [1998] 1 S.C.R. ix, the Ontario Court of Appeal recognized a power to search a home without a warrant incidental to arrest on the basis of “a reasonable suspicion” that a threat to safety existed (p</w:t>
      </w:r>
      <w:r w:rsidR="00634928">
        <w:rPr>
          <w:rFonts w:cs="Times New Roman"/>
        </w:rPr>
        <w:t>p. 758-59</w:t>
      </w:r>
      <w:r w:rsidRPr="006F4918">
        <w:rPr>
          <w:rFonts w:cs="Times New Roman"/>
        </w:rPr>
        <w:t>).</w:t>
      </w:r>
    </w:p>
    <w:p w:rsidR="000C40D6" w:rsidRPr="006F4918" w:rsidRDefault="000C40D6" w:rsidP="000C40D6">
      <w:pPr>
        <w:pStyle w:val="ParaNoNdepar-AltN"/>
        <w:rPr>
          <w:rFonts w:cs="Times New Roman"/>
        </w:rPr>
      </w:pPr>
      <w:r w:rsidRPr="006F4918">
        <w:rPr>
          <w:rFonts w:cs="Times New Roman"/>
        </w:rPr>
        <w:lastRenderedPageBreak/>
        <w:t xml:space="preserve">In the end, this case illustrates the danger of leaving police powers to be developed in a piecemeal fashion by the courts.  Today, our colleagues impose a standard requiring that an officer have reasonable grounds to believe an individual is armed and dangerous before a “safety search” is authorized, effectively overturning the search power recognized in </w:t>
      </w:r>
      <w:r w:rsidRPr="006F4918">
        <w:rPr>
          <w:rFonts w:cs="Times New Roman"/>
          <w:i/>
        </w:rPr>
        <w:t xml:space="preserve">Mann </w:t>
      </w:r>
      <w:r w:rsidRPr="006F4918">
        <w:rPr>
          <w:rFonts w:cs="Times New Roman"/>
        </w:rPr>
        <w:t xml:space="preserve">and a decade of subsequent jurisprudence in the process.  </w:t>
      </w:r>
    </w:p>
    <w:p w:rsidR="000C40D6" w:rsidRPr="006F4918" w:rsidRDefault="000C40D6" w:rsidP="000C40D6">
      <w:pPr>
        <w:pStyle w:val="ParaNoNdepar-AltN"/>
        <w:rPr>
          <w:rFonts w:cs="Times New Roman"/>
        </w:rPr>
      </w:pPr>
      <w:r w:rsidRPr="006F4918">
        <w:rPr>
          <w:rFonts w:cs="Times New Roman"/>
        </w:rPr>
        <w:t xml:space="preserve">We should be clear about the consequences of the majority’s decision:  officers are deprived of the ability to conduct </w:t>
      </w:r>
      <w:r>
        <w:rPr>
          <w:rFonts w:cs="Times New Roman"/>
        </w:rPr>
        <w:t>protective</w:t>
      </w:r>
      <w:r w:rsidRPr="006F4918">
        <w:rPr>
          <w:rFonts w:cs="Times New Roman"/>
        </w:rPr>
        <w:t xml:space="preserve"> searches except in circumstances where they already have grounds to arrest.  As of today, officers are empowered to detain individuals they </w:t>
      </w:r>
      <w:r w:rsidRPr="006F4918">
        <w:rPr>
          <w:rFonts w:cs="Times New Roman"/>
          <w:i/>
        </w:rPr>
        <w:t xml:space="preserve">suspect </w:t>
      </w:r>
      <w:r w:rsidRPr="006F4918">
        <w:rPr>
          <w:rFonts w:cs="Times New Roman"/>
        </w:rPr>
        <w:t>are armed and dangerous for investigatory purposes, but they have no power to conduct pat-down searches to ensure their safety or the safety of the public as they conduct these investigations.  In our view, a police officer in the field, faced with a realistic risk of imminent harm, should be able to act immediately and take reasonable steps, in the form of a minimally intrusive safety s</w:t>
      </w:r>
      <w:r w:rsidR="00634928">
        <w:rPr>
          <w:rFonts w:cs="Times New Roman"/>
        </w:rPr>
        <w:t xml:space="preserve">earch, to alleviate the risk. </w:t>
      </w:r>
    </w:p>
    <w:p w:rsidR="000C40D6" w:rsidRPr="006F4918" w:rsidRDefault="000C40D6" w:rsidP="000C40D6">
      <w:pPr>
        <w:pStyle w:val="ParaNoNdepar-AltN"/>
        <w:rPr>
          <w:rFonts w:cs="Times New Roman"/>
        </w:rPr>
      </w:pPr>
      <w:r w:rsidRPr="006F4918">
        <w:rPr>
          <w:rFonts w:cs="Times New Roman"/>
        </w:rPr>
        <w:t xml:space="preserve">Subject to this disagreement with the majority, we join the balance of Justice </w:t>
      </w:r>
      <w:proofErr w:type="spellStart"/>
      <w:r w:rsidRPr="006F4918">
        <w:rPr>
          <w:rFonts w:cs="Times New Roman"/>
        </w:rPr>
        <w:t>LeBel’s</w:t>
      </w:r>
      <w:proofErr w:type="spellEnd"/>
      <w:r w:rsidRPr="006F4918">
        <w:rPr>
          <w:rFonts w:cs="Times New Roman"/>
        </w:rPr>
        <w:t xml:space="preserve"> reasons and would dispose of the </w:t>
      </w:r>
      <w:r>
        <w:rPr>
          <w:rFonts w:cs="Times New Roman"/>
        </w:rPr>
        <w:t>case</w:t>
      </w:r>
      <w:r w:rsidRPr="006F4918">
        <w:rPr>
          <w:rFonts w:cs="Times New Roman"/>
        </w:rPr>
        <w:t xml:space="preserve"> as he proposes. </w:t>
      </w:r>
    </w:p>
    <w:p w:rsidR="009B57B3" w:rsidRPr="00ED21CF" w:rsidRDefault="009B57B3" w:rsidP="00F76902">
      <w:pPr>
        <w:pStyle w:val="SCCNormalDoubleSpacing"/>
        <w:spacing w:before="480" w:after="480"/>
      </w:pPr>
      <w:r w:rsidRPr="00ED21CF">
        <w:tab/>
      </w:r>
      <w:r w:rsidR="00656313" w:rsidRPr="00ED21CF">
        <w:rPr>
          <w:i/>
        </w:rPr>
        <w:t>Appeal</w:t>
      </w:r>
      <w:r w:rsidR="000D6117" w:rsidRPr="00ED21CF">
        <w:rPr>
          <w:i/>
        </w:rPr>
        <w:t xml:space="preserve"> </w:t>
      </w:r>
      <w:r w:rsidR="00110AB0" w:rsidRPr="00ED21CF">
        <w:rPr>
          <w:i/>
        </w:rPr>
        <w:t xml:space="preserve">of Erin Lee MacDonald </w:t>
      </w:r>
      <w:r w:rsidR="000D6117" w:rsidRPr="00ED21CF">
        <w:rPr>
          <w:i/>
        </w:rPr>
        <w:t xml:space="preserve">dismissed and </w:t>
      </w:r>
      <w:r w:rsidR="00110AB0" w:rsidRPr="00ED21CF">
        <w:rPr>
          <w:i/>
        </w:rPr>
        <w:t xml:space="preserve">appeal of Her Majesty </w:t>
      </w:r>
      <w:proofErr w:type="gramStart"/>
      <w:r w:rsidR="00110AB0" w:rsidRPr="00ED21CF">
        <w:rPr>
          <w:i/>
        </w:rPr>
        <w:t>The</w:t>
      </w:r>
      <w:proofErr w:type="gramEnd"/>
      <w:r w:rsidR="00110AB0" w:rsidRPr="00ED21CF">
        <w:rPr>
          <w:i/>
        </w:rPr>
        <w:t xml:space="preserve"> Queen</w:t>
      </w:r>
      <w:r w:rsidR="000D6117" w:rsidRPr="00ED21CF">
        <w:rPr>
          <w:i/>
        </w:rPr>
        <w:t xml:space="preserve"> allowed.</w:t>
      </w:r>
    </w:p>
    <w:p w:rsidR="00110AB0" w:rsidRPr="00ED21CF" w:rsidRDefault="00110AB0" w:rsidP="00F76902">
      <w:pPr>
        <w:pStyle w:val="SCCLawFirm"/>
        <w:spacing w:before="480" w:after="480"/>
      </w:pPr>
      <w:r w:rsidRPr="00ED21CF">
        <w:lastRenderedPageBreak/>
        <w:tab/>
        <w:t>Solicitors for the appellant/respondent</w:t>
      </w:r>
      <w:r w:rsidR="005B462D" w:rsidRPr="00ED21CF">
        <w:t>:  </w:t>
      </w:r>
      <w:proofErr w:type="spellStart"/>
      <w:r w:rsidRPr="00ED21CF">
        <w:t>Wolch</w:t>
      </w:r>
      <w:proofErr w:type="spellEnd"/>
      <w:r w:rsidRPr="00ED21CF">
        <w:t xml:space="preserve">, </w:t>
      </w:r>
      <w:proofErr w:type="spellStart"/>
      <w:r w:rsidRPr="00ED21CF">
        <w:t>Hursh</w:t>
      </w:r>
      <w:proofErr w:type="spellEnd"/>
      <w:r w:rsidRPr="00ED21CF">
        <w:t xml:space="preserve">, </w:t>
      </w:r>
      <w:proofErr w:type="spellStart"/>
      <w:r w:rsidRPr="00ED21CF">
        <w:t>deWit</w:t>
      </w:r>
      <w:proofErr w:type="spellEnd"/>
      <w:r w:rsidRPr="00ED21CF">
        <w:t>, Silverberg &amp; Watts, Calgary.</w:t>
      </w:r>
    </w:p>
    <w:p w:rsidR="00110AB0" w:rsidRPr="00ED21CF" w:rsidRDefault="00110AB0" w:rsidP="00F76902">
      <w:pPr>
        <w:pStyle w:val="SCCLawFirm"/>
        <w:spacing w:before="480" w:after="480"/>
      </w:pPr>
      <w:r w:rsidRPr="00ED21CF">
        <w:tab/>
        <w:t>Solicitor for the respondent/appellant</w:t>
      </w:r>
      <w:r w:rsidR="005B462D" w:rsidRPr="00ED21CF">
        <w:t>:  </w:t>
      </w:r>
      <w:r w:rsidRPr="00ED21CF">
        <w:t>Public Prosecution Service of Nova Scotia, Halifax.</w:t>
      </w:r>
    </w:p>
    <w:p w:rsidR="00110AB0" w:rsidRPr="00ED21CF" w:rsidRDefault="00110AB0" w:rsidP="00F76902">
      <w:pPr>
        <w:pStyle w:val="SCCLawFirm"/>
        <w:spacing w:before="480" w:after="480"/>
      </w:pPr>
      <w:r w:rsidRPr="00ED21CF">
        <w:tab/>
        <w:t>Solicitor for the intervener the Director of Public Prosecutions</w:t>
      </w:r>
      <w:r w:rsidR="005B462D" w:rsidRPr="00ED21CF">
        <w:t>:  </w:t>
      </w:r>
      <w:r w:rsidRPr="00ED21CF">
        <w:t>Public Prosecution Service of Canada, Halifax.</w:t>
      </w:r>
    </w:p>
    <w:p w:rsidR="00ED0DDE" w:rsidRDefault="00110AB0" w:rsidP="000C40D6">
      <w:pPr>
        <w:pStyle w:val="SCCLawFirm"/>
        <w:rPr>
          <w:b/>
          <w:i w:val="0"/>
        </w:rPr>
      </w:pPr>
      <w:r w:rsidRPr="00ED21CF">
        <w:tab/>
        <w:t>Solicitor for the intervener the Attorney General of Ontario</w:t>
      </w:r>
      <w:r w:rsidR="005B462D" w:rsidRPr="00ED21CF">
        <w:t>:  </w:t>
      </w:r>
      <w:r w:rsidRPr="00ED21CF">
        <w:t>Attorney General of Ontario, Toronto.</w:t>
      </w:r>
    </w:p>
    <w:sectPr w:rsidR="00ED0DD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70" w:rsidRDefault="00A57E70">
      <w:r>
        <w:separator/>
      </w:r>
    </w:p>
  </w:endnote>
  <w:endnote w:type="continuationSeparator" w:id="0">
    <w:p w:rsidR="00A57E70" w:rsidRDefault="00A57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70" w:rsidRDefault="00A57E70">
      <w:r>
        <w:separator/>
      </w:r>
    </w:p>
  </w:footnote>
  <w:footnote w:type="continuationSeparator" w:id="0">
    <w:p w:rsidR="00A57E70" w:rsidRDefault="00A57E70">
      <w:r>
        <w:continuationSeparator/>
      </w:r>
    </w:p>
  </w:footnote>
  <w:footnote w:id="1">
    <w:p w:rsidR="00A57E70" w:rsidRPr="00D822F4" w:rsidRDefault="00A57E70" w:rsidP="00A57E70">
      <w:pPr>
        <w:pStyle w:val="FootnoteText"/>
        <w:jc w:val="both"/>
        <w:rPr>
          <w:lang w:val="en-US"/>
        </w:rPr>
      </w:pPr>
      <w:r w:rsidRPr="00823342">
        <w:rPr>
          <w:rStyle w:val="FootnoteReference"/>
        </w:rPr>
        <w:footnoteRef/>
      </w:r>
      <w:r>
        <w:t xml:space="preserve"> </w:t>
      </w:r>
      <w:r w:rsidRPr="00823342">
        <w:t xml:space="preserve">In </w:t>
      </w:r>
      <w:r w:rsidRPr="00823342">
        <w:rPr>
          <w:i/>
        </w:rPr>
        <w:t>Hunter</w:t>
      </w:r>
      <w:r w:rsidRPr="005D27E0">
        <w:t xml:space="preserve">, </w:t>
      </w:r>
      <w:r w:rsidRPr="00823342">
        <w:t xml:space="preserve">this Court held that </w:t>
      </w:r>
      <w:r w:rsidRPr="00823342">
        <w:rPr>
          <w:i/>
        </w:rPr>
        <w:t xml:space="preserve">probabilities </w:t>
      </w:r>
      <w:r w:rsidRPr="00823342">
        <w:t xml:space="preserve">and not </w:t>
      </w:r>
      <w:r w:rsidRPr="00823342">
        <w:rPr>
          <w:i/>
        </w:rPr>
        <w:t xml:space="preserve">possibilities </w:t>
      </w:r>
      <w:r w:rsidRPr="00823342">
        <w:t xml:space="preserve">satisfy the reasonable grounds </w:t>
      </w:r>
      <w:r w:rsidRPr="002851F8">
        <w:t xml:space="preserve">to believe </w:t>
      </w:r>
      <w:r w:rsidRPr="00823342">
        <w:t>standard (p. 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0" w:rsidRPr="00450352" w:rsidRDefault="00A57E7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156EDB"/>
    <w:multiLevelType w:val="hybridMultilevel"/>
    <w:tmpl w:val="0DBE7556"/>
    <w:lvl w:ilvl="0" w:tplc="B57A92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3E967FD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0E33C7C"/>
    <w:multiLevelType w:val="hybridMultilevel"/>
    <w:tmpl w:val="443C3AFE"/>
    <w:lvl w:ilvl="0" w:tplc="891686D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0589E"/>
    <w:rsid w:val="00014829"/>
    <w:rsid w:val="00025198"/>
    <w:rsid w:val="00043923"/>
    <w:rsid w:val="00046199"/>
    <w:rsid w:val="00051CD3"/>
    <w:rsid w:val="000578A3"/>
    <w:rsid w:val="000648CC"/>
    <w:rsid w:val="000C40D6"/>
    <w:rsid w:val="000C59B8"/>
    <w:rsid w:val="000C6AF0"/>
    <w:rsid w:val="000D6117"/>
    <w:rsid w:val="000F7666"/>
    <w:rsid w:val="00104F33"/>
    <w:rsid w:val="00110AB0"/>
    <w:rsid w:val="00111DE2"/>
    <w:rsid w:val="00116B38"/>
    <w:rsid w:val="00135406"/>
    <w:rsid w:val="001355B1"/>
    <w:rsid w:val="00135972"/>
    <w:rsid w:val="00141030"/>
    <w:rsid w:val="00141182"/>
    <w:rsid w:val="001426A9"/>
    <w:rsid w:val="00154D7C"/>
    <w:rsid w:val="001570B0"/>
    <w:rsid w:val="0015752C"/>
    <w:rsid w:val="00157737"/>
    <w:rsid w:val="00165277"/>
    <w:rsid w:val="00166A68"/>
    <w:rsid w:val="00170592"/>
    <w:rsid w:val="00186351"/>
    <w:rsid w:val="001917CE"/>
    <w:rsid w:val="00193434"/>
    <w:rsid w:val="00195D83"/>
    <w:rsid w:val="001A00C1"/>
    <w:rsid w:val="001B33E0"/>
    <w:rsid w:val="001B4573"/>
    <w:rsid w:val="001C39F8"/>
    <w:rsid w:val="001C779F"/>
    <w:rsid w:val="001D26E9"/>
    <w:rsid w:val="001D2AC1"/>
    <w:rsid w:val="001D4E88"/>
    <w:rsid w:val="001E12DA"/>
    <w:rsid w:val="002042FC"/>
    <w:rsid w:val="00220FC2"/>
    <w:rsid w:val="002222F4"/>
    <w:rsid w:val="00224FC0"/>
    <w:rsid w:val="00225EA4"/>
    <w:rsid w:val="00226EAF"/>
    <w:rsid w:val="0023063B"/>
    <w:rsid w:val="00231F3A"/>
    <w:rsid w:val="00234199"/>
    <w:rsid w:val="002406EE"/>
    <w:rsid w:val="00243EC8"/>
    <w:rsid w:val="0024721E"/>
    <w:rsid w:val="00270D93"/>
    <w:rsid w:val="002745CC"/>
    <w:rsid w:val="002A7304"/>
    <w:rsid w:val="002B6551"/>
    <w:rsid w:val="002B7924"/>
    <w:rsid w:val="002C012D"/>
    <w:rsid w:val="002C1B23"/>
    <w:rsid w:val="002D28C3"/>
    <w:rsid w:val="002D39A4"/>
    <w:rsid w:val="002E6705"/>
    <w:rsid w:val="002F0169"/>
    <w:rsid w:val="00301D08"/>
    <w:rsid w:val="0030329A"/>
    <w:rsid w:val="0030693D"/>
    <w:rsid w:val="0031086F"/>
    <w:rsid w:val="0031414C"/>
    <w:rsid w:val="00314E01"/>
    <w:rsid w:val="0032089D"/>
    <w:rsid w:val="003300DF"/>
    <w:rsid w:val="003310DE"/>
    <w:rsid w:val="003323B0"/>
    <w:rsid w:val="00342B57"/>
    <w:rsid w:val="0035169A"/>
    <w:rsid w:val="0035259D"/>
    <w:rsid w:val="00361C43"/>
    <w:rsid w:val="00361D27"/>
    <w:rsid w:val="00364B18"/>
    <w:rsid w:val="00366F93"/>
    <w:rsid w:val="003761A6"/>
    <w:rsid w:val="003A125D"/>
    <w:rsid w:val="003A3C78"/>
    <w:rsid w:val="003A4C70"/>
    <w:rsid w:val="003B215F"/>
    <w:rsid w:val="003C3E09"/>
    <w:rsid w:val="003C799C"/>
    <w:rsid w:val="003D0399"/>
    <w:rsid w:val="003E1C71"/>
    <w:rsid w:val="003E5928"/>
    <w:rsid w:val="003F327B"/>
    <w:rsid w:val="00400559"/>
    <w:rsid w:val="00406166"/>
    <w:rsid w:val="00406BE2"/>
    <w:rsid w:val="0040704B"/>
    <w:rsid w:val="00407660"/>
    <w:rsid w:val="00410A55"/>
    <w:rsid w:val="00411300"/>
    <w:rsid w:val="00415417"/>
    <w:rsid w:val="00426659"/>
    <w:rsid w:val="00450352"/>
    <w:rsid w:val="00454BDB"/>
    <w:rsid w:val="0046331D"/>
    <w:rsid w:val="00464800"/>
    <w:rsid w:val="00465132"/>
    <w:rsid w:val="00474014"/>
    <w:rsid w:val="00480C90"/>
    <w:rsid w:val="0048396F"/>
    <w:rsid w:val="00493C18"/>
    <w:rsid w:val="004A09AF"/>
    <w:rsid w:val="004A4BDF"/>
    <w:rsid w:val="004A600C"/>
    <w:rsid w:val="004A6118"/>
    <w:rsid w:val="004A68D4"/>
    <w:rsid w:val="004C2D94"/>
    <w:rsid w:val="004C478D"/>
    <w:rsid w:val="004D1AE8"/>
    <w:rsid w:val="004D738C"/>
    <w:rsid w:val="004E2C26"/>
    <w:rsid w:val="004F36FF"/>
    <w:rsid w:val="0050145D"/>
    <w:rsid w:val="00507241"/>
    <w:rsid w:val="005125A8"/>
    <w:rsid w:val="005179D8"/>
    <w:rsid w:val="00521AE8"/>
    <w:rsid w:val="00527180"/>
    <w:rsid w:val="00541A88"/>
    <w:rsid w:val="0054201E"/>
    <w:rsid w:val="00555291"/>
    <w:rsid w:val="00560E32"/>
    <w:rsid w:val="00566AD1"/>
    <w:rsid w:val="00583EDE"/>
    <w:rsid w:val="0059545E"/>
    <w:rsid w:val="005A6079"/>
    <w:rsid w:val="005B462D"/>
    <w:rsid w:val="005C27B6"/>
    <w:rsid w:val="005C7FB1"/>
    <w:rsid w:val="005D4B21"/>
    <w:rsid w:val="005E4698"/>
    <w:rsid w:val="005F46F4"/>
    <w:rsid w:val="00610539"/>
    <w:rsid w:val="00613969"/>
    <w:rsid w:val="00625C35"/>
    <w:rsid w:val="0063317D"/>
    <w:rsid w:val="006339ED"/>
    <w:rsid w:val="00634928"/>
    <w:rsid w:val="00635C9F"/>
    <w:rsid w:val="00645C95"/>
    <w:rsid w:val="00656313"/>
    <w:rsid w:val="006565F4"/>
    <w:rsid w:val="00665403"/>
    <w:rsid w:val="00665972"/>
    <w:rsid w:val="00676964"/>
    <w:rsid w:val="00684EEA"/>
    <w:rsid w:val="0069689B"/>
    <w:rsid w:val="006A1551"/>
    <w:rsid w:val="006B5FF5"/>
    <w:rsid w:val="006E0BD3"/>
    <w:rsid w:val="006E1728"/>
    <w:rsid w:val="006E1AAD"/>
    <w:rsid w:val="006F30AF"/>
    <w:rsid w:val="00701759"/>
    <w:rsid w:val="0070418A"/>
    <w:rsid w:val="00705C15"/>
    <w:rsid w:val="0071600E"/>
    <w:rsid w:val="007208D1"/>
    <w:rsid w:val="00741134"/>
    <w:rsid w:val="00747288"/>
    <w:rsid w:val="00747DD3"/>
    <w:rsid w:val="007549C8"/>
    <w:rsid w:val="00754A0B"/>
    <w:rsid w:val="00766D14"/>
    <w:rsid w:val="00767A0F"/>
    <w:rsid w:val="0079653E"/>
    <w:rsid w:val="007A05F6"/>
    <w:rsid w:val="007A0B03"/>
    <w:rsid w:val="007A0CF4"/>
    <w:rsid w:val="007B1017"/>
    <w:rsid w:val="007B6F4A"/>
    <w:rsid w:val="007D57CE"/>
    <w:rsid w:val="007E1C47"/>
    <w:rsid w:val="007E337A"/>
    <w:rsid w:val="007E5C70"/>
    <w:rsid w:val="007F2FF5"/>
    <w:rsid w:val="007F3F08"/>
    <w:rsid w:val="007F65D0"/>
    <w:rsid w:val="007F6BDE"/>
    <w:rsid w:val="00804CC6"/>
    <w:rsid w:val="00814723"/>
    <w:rsid w:val="00817190"/>
    <w:rsid w:val="00820EE5"/>
    <w:rsid w:val="008260E2"/>
    <w:rsid w:val="008322BD"/>
    <w:rsid w:val="00833E0A"/>
    <w:rsid w:val="00834F73"/>
    <w:rsid w:val="008460C8"/>
    <w:rsid w:val="0084766F"/>
    <w:rsid w:val="00864CF8"/>
    <w:rsid w:val="00865FD7"/>
    <w:rsid w:val="00872819"/>
    <w:rsid w:val="00872FBB"/>
    <w:rsid w:val="00874914"/>
    <w:rsid w:val="008809B6"/>
    <w:rsid w:val="00886431"/>
    <w:rsid w:val="00891422"/>
    <w:rsid w:val="00892E1A"/>
    <w:rsid w:val="008A3F29"/>
    <w:rsid w:val="008A7A24"/>
    <w:rsid w:val="008B054F"/>
    <w:rsid w:val="008B660A"/>
    <w:rsid w:val="008B7C38"/>
    <w:rsid w:val="008C01DA"/>
    <w:rsid w:val="008D6D65"/>
    <w:rsid w:val="008E1677"/>
    <w:rsid w:val="008F78E9"/>
    <w:rsid w:val="00903213"/>
    <w:rsid w:val="00905C26"/>
    <w:rsid w:val="00907A68"/>
    <w:rsid w:val="00911989"/>
    <w:rsid w:val="00911E95"/>
    <w:rsid w:val="009179F9"/>
    <w:rsid w:val="009214CE"/>
    <w:rsid w:val="00924D06"/>
    <w:rsid w:val="00933E5E"/>
    <w:rsid w:val="00935218"/>
    <w:rsid w:val="009403F3"/>
    <w:rsid w:val="009555B7"/>
    <w:rsid w:val="009567AA"/>
    <w:rsid w:val="009610AF"/>
    <w:rsid w:val="00967374"/>
    <w:rsid w:val="00977AAD"/>
    <w:rsid w:val="009838B0"/>
    <w:rsid w:val="009A343A"/>
    <w:rsid w:val="009A515F"/>
    <w:rsid w:val="009B1566"/>
    <w:rsid w:val="009B1F22"/>
    <w:rsid w:val="009B2D36"/>
    <w:rsid w:val="009B2F23"/>
    <w:rsid w:val="009B57B3"/>
    <w:rsid w:val="009B7604"/>
    <w:rsid w:val="009C1E8C"/>
    <w:rsid w:val="009C5B92"/>
    <w:rsid w:val="009D0850"/>
    <w:rsid w:val="009D2920"/>
    <w:rsid w:val="009D2A27"/>
    <w:rsid w:val="009D5AEB"/>
    <w:rsid w:val="009E16CE"/>
    <w:rsid w:val="009F0E33"/>
    <w:rsid w:val="00A030CE"/>
    <w:rsid w:val="00A149DF"/>
    <w:rsid w:val="00A1755C"/>
    <w:rsid w:val="00A21B90"/>
    <w:rsid w:val="00A2238B"/>
    <w:rsid w:val="00A363BB"/>
    <w:rsid w:val="00A41805"/>
    <w:rsid w:val="00A42DCD"/>
    <w:rsid w:val="00A52AFB"/>
    <w:rsid w:val="00A548CB"/>
    <w:rsid w:val="00A5521C"/>
    <w:rsid w:val="00A57E70"/>
    <w:rsid w:val="00A643E7"/>
    <w:rsid w:val="00A720DE"/>
    <w:rsid w:val="00A73C38"/>
    <w:rsid w:val="00A84860"/>
    <w:rsid w:val="00AA182F"/>
    <w:rsid w:val="00AB670D"/>
    <w:rsid w:val="00AF03C5"/>
    <w:rsid w:val="00B000D8"/>
    <w:rsid w:val="00B00F75"/>
    <w:rsid w:val="00B145B6"/>
    <w:rsid w:val="00B279EB"/>
    <w:rsid w:val="00B37231"/>
    <w:rsid w:val="00B50C81"/>
    <w:rsid w:val="00B546CB"/>
    <w:rsid w:val="00B557F8"/>
    <w:rsid w:val="00B64A3F"/>
    <w:rsid w:val="00B70C2D"/>
    <w:rsid w:val="00B815FC"/>
    <w:rsid w:val="00B93FBC"/>
    <w:rsid w:val="00BA7DA0"/>
    <w:rsid w:val="00BB2EE4"/>
    <w:rsid w:val="00BC2108"/>
    <w:rsid w:val="00BC7570"/>
    <w:rsid w:val="00BD0E9E"/>
    <w:rsid w:val="00BD1BEC"/>
    <w:rsid w:val="00BD32FF"/>
    <w:rsid w:val="00BE24DA"/>
    <w:rsid w:val="00BF3E48"/>
    <w:rsid w:val="00C02092"/>
    <w:rsid w:val="00C11AB1"/>
    <w:rsid w:val="00C13BCC"/>
    <w:rsid w:val="00C24D91"/>
    <w:rsid w:val="00C53F14"/>
    <w:rsid w:val="00C600CF"/>
    <w:rsid w:val="00C6084F"/>
    <w:rsid w:val="00C62A66"/>
    <w:rsid w:val="00C632D5"/>
    <w:rsid w:val="00C667D5"/>
    <w:rsid w:val="00C71458"/>
    <w:rsid w:val="00C77613"/>
    <w:rsid w:val="00C828E7"/>
    <w:rsid w:val="00C86719"/>
    <w:rsid w:val="00C921DD"/>
    <w:rsid w:val="00C94E62"/>
    <w:rsid w:val="00CA6391"/>
    <w:rsid w:val="00CA6EAD"/>
    <w:rsid w:val="00CB0C75"/>
    <w:rsid w:val="00CC34BD"/>
    <w:rsid w:val="00CE161A"/>
    <w:rsid w:val="00CE2582"/>
    <w:rsid w:val="00CE3171"/>
    <w:rsid w:val="00CF1601"/>
    <w:rsid w:val="00CF734A"/>
    <w:rsid w:val="00D0172F"/>
    <w:rsid w:val="00D05C65"/>
    <w:rsid w:val="00D068A7"/>
    <w:rsid w:val="00D17476"/>
    <w:rsid w:val="00D208CE"/>
    <w:rsid w:val="00D2291E"/>
    <w:rsid w:val="00D32086"/>
    <w:rsid w:val="00D34EED"/>
    <w:rsid w:val="00D37A3F"/>
    <w:rsid w:val="00D4431D"/>
    <w:rsid w:val="00D4667A"/>
    <w:rsid w:val="00D53EC0"/>
    <w:rsid w:val="00D63A1C"/>
    <w:rsid w:val="00D7516F"/>
    <w:rsid w:val="00D8579F"/>
    <w:rsid w:val="00D95F8E"/>
    <w:rsid w:val="00DA048B"/>
    <w:rsid w:val="00DA0590"/>
    <w:rsid w:val="00DB7BEA"/>
    <w:rsid w:val="00DC1739"/>
    <w:rsid w:val="00DC1788"/>
    <w:rsid w:val="00DE319C"/>
    <w:rsid w:val="00DF0CA8"/>
    <w:rsid w:val="00DF2B48"/>
    <w:rsid w:val="00DF49A7"/>
    <w:rsid w:val="00E04DBC"/>
    <w:rsid w:val="00E07EE2"/>
    <w:rsid w:val="00E07FD1"/>
    <w:rsid w:val="00E143B1"/>
    <w:rsid w:val="00E162EE"/>
    <w:rsid w:val="00E24573"/>
    <w:rsid w:val="00E25E1E"/>
    <w:rsid w:val="00E26D3D"/>
    <w:rsid w:val="00E27EE7"/>
    <w:rsid w:val="00E35404"/>
    <w:rsid w:val="00E45109"/>
    <w:rsid w:val="00E47B7A"/>
    <w:rsid w:val="00E56A44"/>
    <w:rsid w:val="00E60269"/>
    <w:rsid w:val="00E66F61"/>
    <w:rsid w:val="00E730D0"/>
    <w:rsid w:val="00E75A89"/>
    <w:rsid w:val="00E77932"/>
    <w:rsid w:val="00E97830"/>
    <w:rsid w:val="00EA48F3"/>
    <w:rsid w:val="00EA6D0A"/>
    <w:rsid w:val="00ED0DDE"/>
    <w:rsid w:val="00ED21CF"/>
    <w:rsid w:val="00EE643C"/>
    <w:rsid w:val="00EF0683"/>
    <w:rsid w:val="00EF69D2"/>
    <w:rsid w:val="00EF766E"/>
    <w:rsid w:val="00F0070C"/>
    <w:rsid w:val="00F00A3A"/>
    <w:rsid w:val="00F00EB7"/>
    <w:rsid w:val="00F04112"/>
    <w:rsid w:val="00F1163B"/>
    <w:rsid w:val="00F21AAA"/>
    <w:rsid w:val="00F36AB6"/>
    <w:rsid w:val="00F37A09"/>
    <w:rsid w:val="00F409CE"/>
    <w:rsid w:val="00F4379D"/>
    <w:rsid w:val="00F50D2D"/>
    <w:rsid w:val="00F52807"/>
    <w:rsid w:val="00F565C4"/>
    <w:rsid w:val="00F56C8B"/>
    <w:rsid w:val="00F66810"/>
    <w:rsid w:val="00F74486"/>
    <w:rsid w:val="00F76902"/>
    <w:rsid w:val="00F846D9"/>
    <w:rsid w:val="00F84DF4"/>
    <w:rsid w:val="00F85C97"/>
    <w:rsid w:val="00FB37D2"/>
    <w:rsid w:val="00FC4EFB"/>
    <w:rsid w:val="00FD068D"/>
    <w:rsid w:val="00FD4F28"/>
    <w:rsid w:val="00FD6159"/>
    <w:rsid w:val="00FE3032"/>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0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40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40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40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40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40D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C40D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ListParagraph">
    <w:name w:val="List Paragraph"/>
    <w:basedOn w:val="Normal"/>
    <w:uiPriority w:val="34"/>
    <w:qFormat/>
    <w:rsid w:val="00EA6D0A"/>
    <w:pPr>
      <w:ind w:left="720"/>
      <w:contextualSpacing/>
    </w:pPr>
  </w:style>
  <w:style w:type="paragraph" w:customStyle="1" w:styleId="ParaNoNdepar-AltN">
    <w:name w:val="Para. No. / Nº de par. - Alt N"/>
    <w:qFormat/>
    <w:rsid w:val="00A84860"/>
    <w:pPr>
      <w:numPr>
        <w:numId w:val="2"/>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0C40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0C40D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C40D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C40D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C40D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C40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C40D6"/>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0C40D6"/>
    <w:pPr>
      <w:spacing w:after="480"/>
    </w:pPr>
    <w:rPr>
      <w:rFonts w:eastAsiaTheme="minorHAnsi" w:cstheme="minorBidi"/>
      <w:szCs w:val="22"/>
      <w:lang w:eastAsia="en-US"/>
    </w:rPr>
  </w:style>
  <w:style w:type="paragraph" w:customStyle="1" w:styleId="SCCCoram">
    <w:name w:val="SCC.Coram"/>
    <w:basedOn w:val="Normal"/>
    <w:next w:val="Normal"/>
    <w:link w:val="SCCCoramChar"/>
    <w:rsid w:val="000C40D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C40D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C40D6"/>
    <w:rPr>
      <w:rFonts w:eastAsiaTheme="minorHAnsi" w:cstheme="minorBidi"/>
      <w:sz w:val="24"/>
      <w:szCs w:val="22"/>
      <w:lang w:eastAsia="en-US"/>
    </w:rPr>
  </w:style>
  <w:style w:type="character" w:customStyle="1" w:styleId="SCCBanSummaryChar">
    <w:name w:val="SCC.BanSummary Char"/>
    <w:basedOn w:val="DefaultParagraphFont"/>
    <w:link w:val="SCCBanSummary"/>
    <w:rsid w:val="000C40D6"/>
    <w:rPr>
      <w:b/>
      <w:sz w:val="24"/>
    </w:rPr>
  </w:style>
  <w:style w:type="table" w:styleId="TableGrid">
    <w:name w:val="Table Grid"/>
    <w:basedOn w:val="TableNormal"/>
    <w:uiPriority w:val="59"/>
    <w:rsid w:val="000C40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C40D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C40D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C40D6"/>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C40D6"/>
    <w:pPr>
      <w:tabs>
        <w:tab w:val="left" w:pos="360"/>
      </w:tabs>
      <w:spacing w:before="480" w:after="720"/>
      <w:ind w:left="360" w:hanging="360"/>
      <w:jc w:val="both"/>
    </w:pPr>
    <w:rPr>
      <w:rFonts w:eastAsiaTheme="minorHAnsi" w:cstheme="minorBidi"/>
      <w:sz w:val="24"/>
      <w:szCs w:val="22"/>
      <w:lang w:eastAsia="en-US"/>
    </w:rPr>
  </w:style>
  <w:style w:type="paragraph" w:customStyle="1" w:styleId="first1">
    <w:name w:val="first1"/>
    <w:basedOn w:val="Normal"/>
    <w:rsid w:val="000C40D6"/>
    <w:pPr>
      <w:autoSpaceDE w:val="0"/>
      <w:autoSpaceDN w:val="0"/>
    </w:pPr>
    <w:rPr>
      <w:sz w:val="28"/>
      <w:szCs w:val="28"/>
    </w:rPr>
  </w:style>
  <w:style w:type="paragraph" w:customStyle="1" w:styleId="11">
    <w:name w:val="11"/>
    <w:basedOn w:val="Normal"/>
    <w:rsid w:val="000C40D6"/>
    <w:pPr>
      <w:autoSpaceDE w:val="0"/>
      <w:autoSpaceDN w:val="0"/>
    </w:pPr>
    <w:rPr>
      <w:szCs w:val="24"/>
    </w:rPr>
  </w:style>
  <w:style w:type="paragraph" w:styleId="Caption">
    <w:name w:val="caption"/>
    <w:basedOn w:val="Normal"/>
    <w:next w:val="Normal"/>
    <w:uiPriority w:val="35"/>
    <w:semiHidden/>
    <w:unhideWhenUsed/>
    <w:qFormat/>
    <w:rsid w:val="000C40D6"/>
    <w:pPr>
      <w:spacing w:after="200"/>
    </w:pPr>
    <w:rPr>
      <w:b/>
      <w:bCs/>
      <w:color w:val="4F81BD" w:themeColor="accent1"/>
      <w:sz w:val="18"/>
      <w:szCs w:val="18"/>
    </w:rPr>
  </w:style>
  <w:style w:type="paragraph" w:styleId="Title">
    <w:name w:val="Title"/>
    <w:basedOn w:val="Normal"/>
    <w:next w:val="Normal"/>
    <w:link w:val="TitleChar"/>
    <w:uiPriority w:val="10"/>
    <w:rsid w:val="000C40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0D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C40D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C40D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0C40D6"/>
    <w:rPr>
      <w:i/>
      <w:iCs/>
    </w:rPr>
  </w:style>
  <w:style w:type="paragraph" w:styleId="NoSpacing">
    <w:name w:val="No Spacing"/>
    <w:uiPriority w:val="1"/>
    <w:rsid w:val="000C40D6"/>
  </w:style>
  <w:style w:type="paragraph" w:styleId="IntenseQuote">
    <w:name w:val="Intense Quote"/>
    <w:basedOn w:val="Normal"/>
    <w:next w:val="Normal"/>
    <w:link w:val="IntenseQuoteChar"/>
    <w:uiPriority w:val="30"/>
    <w:rsid w:val="000C40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40D6"/>
    <w:rPr>
      <w:b/>
      <w:bCs/>
      <w:i/>
      <w:iCs/>
      <w:color w:val="4F81BD" w:themeColor="accent1"/>
      <w:sz w:val="24"/>
    </w:rPr>
  </w:style>
  <w:style w:type="character" w:styleId="SubtleEmphasis">
    <w:name w:val="Subtle Emphasis"/>
    <w:basedOn w:val="DefaultParagraphFont"/>
    <w:uiPriority w:val="19"/>
    <w:rsid w:val="000C40D6"/>
    <w:rPr>
      <w:i/>
      <w:iCs/>
      <w:color w:val="808080" w:themeColor="text1" w:themeTint="7F"/>
    </w:rPr>
  </w:style>
  <w:style w:type="character" w:styleId="IntenseEmphasis">
    <w:name w:val="Intense Emphasis"/>
    <w:basedOn w:val="DefaultParagraphFont"/>
    <w:uiPriority w:val="21"/>
    <w:rsid w:val="000C40D6"/>
    <w:rPr>
      <w:b/>
      <w:bCs/>
      <w:i/>
      <w:iCs/>
      <w:color w:val="4F81BD" w:themeColor="accent1"/>
    </w:rPr>
  </w:style>
  <w:style w:type="character" w:styleId="SubtleReference">
    <w:name w:val="Subtle Reference"/>
    <w:basedOn w:val="DefaultParagraphFont"/>
    <w:uiPriority w:val="31"/>
    <w:rsid w:val="000C40D6"/>
    <w:rPr>
      <w:smallCaps/>
      <w:color w:val="C0504D" w:themeColor="accent2"/>
      <w:u w:val="single"/>
    </w:rPr>
  </w:style>
  <w:style w:type="character" w:styleId="IntenseReference">
    <w:name w:val="Intense Reference"/>
    <w:basedOn w:val="DefaultParagraphFont"/>
    <w:uiPriority w:val="32"/>
    <w:rsid w:val="000C40D6"/>
    <w:rPr>
      <w:b/>
      <w:bCs/>
      <w:smallCaps/>
      <w:color w:val="C0504D" w:themeColor="accent2"/>
      <w:spacing w:val="5"/>
      <w:u w:val="single"/>
    </w:rPr>
  </w:style>
  <w:style w:type="character" w:styleId="BookTitle">
    <w:name w:val="Book Title"/>
    <w:basedOn w:val="DefaultParagraphFont"/>
    <w:uiPriority w:val="33"/>
    <w:rsid w:val="000C40D6"/>
    <w:rPr>
      <w:b/>
      <w:bCs/>
      <w:smallCaps/>
      <w:spacing w:val="5"/>
    </w:rPr>
  </w:style>
  <w:style w:type="paragraph" w:styleId="TOCHeading">
    <w:name w:val="TOC Heading"/>
    <w:basedOn w:val="Heading1"/>
    <w:next w:val="Normal"/>
    <w:uiPriority w:val="39"/>
    <w:semiHidden/>
    <w:unhideWhenUsed/>
    <w:qFormat/>
    <w:rsid w:val="000C40D6"/>
    <w:pPr>
      <w:spacing w:before="480" w:after="0"/>
      <w:ind w:left="0" w:firstLine="0"/>
      <w:outlineLvl w:val="9"/>
    </w:pPr>
  </w:style>
  <w:style w:type="paragraph" w:styleId="FootnoteText">
    <w:name w:val="footnote text"/>
    <w:basedOn w:val="Normal"/>
    <w:link w:val="FootnoteTextChar"/>
    <w:uiPriority w:val="99"/>
    <w:unhideWhenUsed/>
    <w:rsid w:val="000C40D6"/>
    <w:rPr>
      <w:sz w:val="20"/>
    </w:rPr>
  </w:style>
  <w:style w:type="character" w:customStyle="1" w:styleId="FootnoteTextChar">
    <w:name w:val="Footnote Text Char"/>
    <w:basedOn w:val="DefaultParagraphFont"/>
    <w:link w:val="FootnoteText"/>
    <w:uiPriority w:val="99"/>
    <w:rsid w:val="000C40D6"/>
  </w:style>
  <w:style w:type="character" w:styleId="FootnoteReference">
    <w:name w:val="footnote reference"/>
    <w:basedOn w:val="DefaultParagraphFont"/>
    <w:uiPriority w:val="99"/>
    <w:semiHidden/>
    <w:unhideWhenUsed/>
    <w:rsid w:val="000C40D6"/>
    <w:rPr>
      <w:vertAlign w:val="superscript"/>
    </w:rPr>
  </w:style>
  <w:style w:type="table" w:customStyle="1" w:styleId="TableGrid1">
    <w:name w:val="Table Grid1"/>
    <w:basedOn w:val="TableNormal"/>
    <w:next w:val="TableGrid"/>
    <w:uiPriority w:val="59"/>
    <w:rsid w:val="00FD615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13082</Words>
  <Characters>64262</Characters>
  <Application>Microsoft Office Word</Application>
  <DocSecurity>0</DocSecurity>
  <Lines>535</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2014-06-19T18:54:00Z</dcterms:created>
  <dcterms:modified xsi:type="dcterms:W3CDTF">2014-06-24T18:20:00Z</dcterms:modified>
</cp:coreProperties>
</file>