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B" w:rsidRPr="004B4236" w:rsidRDefault="007B450B" w:rsidP="007B450B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4B4236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4B4236">
        <w:rPr>
          <w:rFonts w:eastAsiaTheme="minorHAnsi" w:cstheme="minorBidi"/>
          <w:szCs w:val="24"/>
          <w:lang w:eastAsia="en-US"/>
        </w:rPr>
        <w:t xml:space="preserve"> </w:t>
      </w:r>
      <w:r w:rsidRPr="004B4236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64.5pt" o:ole="">
            <v:imagedata r:id="rId7" o:title=""/>
          </v:shape>
          <o:OLEObject Type="Embed" ProgID="Presentations.Drawing.13" ShapeID="_x0000_i1025" DrawAspect="Content" ObjectID="_1472556444" r:id="rId8"/>
        </w:object>
      </w:r>
      <w:r w:rsidRPr="004B4236">
        <w:rPr>
          <w:rFonts w:eastAsiaTheme="minorHAnsi" w:cstheme="minorBidi"/>
          <w:szCs w:val="24"/>
          <w:lang w:eastAsia="en-US"/>
        </w:rPr>
        <w:t xml:space="preserve"> </w:t>
      </w:r>
      <w:r w:rsidRPr="004B4236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7B450B" w:rsidRPr="004B4236" w:rsidRDefault="007B450B" w:rsidP="007B450B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7B450B" w:rsidRPr="004B4236" w:rsidRDefault="007B450B" w:rsidP="007B450B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4B4236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7B450B" w:rsidRPr="004B4236" w:rsidTr="0051112B">
        <w:trPr>
          <w:cantSplit/>
        </w:trPr>
        <w:tc>
          <w:tcPr>
            <w:tcW w:w="6768" w:type="dxa"/>
          </w:tcPr>
          <w:p w:rsidR="007B450B" w:rsidRPr="00D8658C" w:rsidRDefault="007B450B" w:rsidP="0051112B">
            <w:pPr>
              <w:rPr>
                <w:lang w:val="fr-CA"/>
              </w:rPr>
            </w:pPr>
            <w:r w:rsidRPr="00D8658C">
              <w:rPr>
                <w:b/>
                <w:smallCaps/>
                <w:lang w:val="fr-CA"/>
              </w:rPr>
              <w:t>Citation:</w:t>
            </w:r>
            <w:r w:rsidRPr="00D8658C">
              <w:rPr>
                <w:lang w:val="fr-CA"/>
              </w:rPr>
              <w:t xml:space="preserve"> R. </w:t>
            </w:r>
            <w:r w:rsidRPr="00D8658C">
              <w:rPr>
                <w:i/>
                <w:lang w:val="fr-CA"/>
              </w:rPr>
              <w:t>v.</w:t>
            </w:r>
            <w:r w:rsidRPr="00D8658C">
              <w:rPr>
                <w:lang w:val="fr-CA"/>
              </w:rPr>
              <w:t xml:space="preserve"> </w:t>
            </w:r>
            <w:r>
              <w:rPr>
                <w:lang w:val="fr-CA"/>
              </w:rPr>
              <w:t>Jackson</w:t>
            </w:r>
            <w:r w:rsidRPr="00D8658C">
              <w:rPr>
                <w:lang w:val="fr-CA"/>
              </w:rPr>
              <w:t xml:space="preserve">, 2014 SCC </w:t>
            </w:r>
            <w:r>
              <w:rPr>
                <w:lang w:val="fr-CA"/>
              </w:rPr>
              <w:t>30</w:t>
            </w:r>
            <w:r w:rsidRPr="00D8658C">
              <w:rPr>
                <w:lang w:val="fr-CA"/>
              </w:rPr>
              <w:t xml:space="preserve">, [2014] 1 S.C.R. </w:t>
            </w:r>
            <w:r>
              <w:rPr>
                <w:lang w:val="fr-CA"/>
              </w:rPr>
              <w:t>672</w:t>
            </w:r>
          </w:p>
        </w:tc>
        <w:tc>
          <w:tcPr>
            <w:tcW w:w="2808" w:type="dxa"/>
          </w:tcPr>
          <w:p w:rsidR="007B450B" w:rsidRPr="004B4236" w:rsidRDefault="007B450B" w:rsidP="0051112B">
            <w:r w:rsidRPr="004B4236">
              <w:rPr>
                <w:b/>
                <w:smallCaps/>
              </w:rPr>
              <w:t>Date:</w:t>
            </w:r>
            <w:r>
              <w:t xml:space="preserve"> 20140423</w:t>
            </w:r>
          </w:p>
          <w:p w:rsidR="007B450B" w:rsidRPr="004B4236" w:rsidRDefault="007B450B" w:rsidP="0051112B">
            <w:r w:rsidRPr="004B4236">
              <w:rPr>
                <w:b/>
                <w:smallCaps/>
              </w:rPr>
              <w:t>Docket:</w:t>
            </w:r>
            <w:r w:rsidRPr="004B4236">
              <w:t xml:space="preserve"> 35</w:t>
            </w:r>
            <w:r>
              <w:t>622</w:t>
            </w:r>
          </w:p>
        </w:tc>
      </w:tr>
    </w:tbl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</w:p>
    <w:p w:rsidR="007B450B" w:rsidRPr="004B4236" w:rsidRDefault="007B450B" w:rsidP="007B450B">
      <w:pPr>
        <w:rPr>
          <w:rFonts w:eastAsiaTheme="minorHAnsi" w:cstheme="minorBidi"/>
          <w:b/>
          <w:smallCaps/>
          <w:szCs w:val="24"/>
          <w:lang w:eastAsia="en-US"/>
        </w:rPr>
      </w:pPr>
      <w:r w:rsidRPr="004B4236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7B450B" w:rsidRPr="004B4236" w:rsidRDefault="007B450B" w:rsidP="007B450B">
      <w:pPr>
        <w:jc w:val="center"/>
        <w:rPr>
          <w:rFonts w:eastAsiaTheme="minorHAnsi" w:cstheme="minorBidi"/>
          <w:b/>
          <w:szCs w:val="24"/>
          <w:lang w:eastAsia="en-US"/>
        </w:rPr>
      </w:pPr>
      <w:r>
        <w:rPr>
          <w:rFonts w:eastAsiaTheme="minorHAnsi" w:cstheme="minorBidi"/>
          <w:b/>
          <w:szCs w:val="24"/>
          <w:lang w:eastAsia="en-US"/>
        </w:rPr>
        <w:t>Douglas Jackson</w:t>
      </w:r>
    </w:p>
    <w:p w:rsidR="007B450B" w:rsidRPr="004B4236" w:rsidRDefault="007B450B" w:rsidP="007B450B">
      <w:pPr>
        <w:jc w:val="center"/>
        <w:rPr>
          <w:rFonts w:eastAsiaTheme="minorHAnsi" w:cstheme="minorBidi"/>
          <w:szCs w:val="24"/>
          <w:lang w:eastAsia="en-US"/>
        </w:rPr>
      </w:pPr>
      <w:r w:rsidRPr="004B4236">
        <w:rPr>
          <w:rFonts w:eastAsiaTheme="minorHAnsi" w:cstheme="minorBidi"/>
          <w:szCs w:val="24"/>
          <w:lang w:eastAsia="en-US"/>
        </w:rPr>
        <w:t>Appellant</w:t>
      </w:r>
    </w:p>
    <w:p w:rsidR="007B450B" w:rsidRPr="004B4236" w:rsidRDefault="007B450B" w:rsidP="007B450B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4B4236">
        <w:rPr>
          <w:rFonts w:eastAsiaTheme="minorHAnsi" w:cstheme="minorBidi"/>
          <w:szCs w:val="24"/>
          <w:lang w:eastAsia="en-US"/>
        </w:rPr>
        <w:t>and</w:t>
      </w:r>
      <w:proofErr w:type="gramEnd"/>
    </w:p>
    <w:p w:rsidR="007B450B" w:rsidRPr="004B4236" w:rsidRDefault="007B450B" w:rsidP="007B450B">
      <w:pPr>
        <w:jc w:val="center"/>
        <w:rPr>
          <w:rFonts w:eastAsiaTheme="minorHAnsi" w:cstheme="minorBidi"/>
          <w:b/>
          <w:szCs w:val="24"/>
          <w:lang w:eastAsia="en-US"/>
        </w:rPr>
      </w:pPr>
      <w:r>
        <w:rPr>
          <w:rFonts w:eastAsiaTheme="minorHAnsi" w:cstheme="minorBidi"/>
          <w:b/>
          <w:szCs w:val="24"/>
          <w:lang w:eastAsia="en-US"/>
        </w:rPr>
        <w:t xml:space="preserve">Her Majesty </w:t>
      </w:r>
      <w:proofErr w:type="gramStart"/>
      <w:r>
        <w:rPr>
          <w:rFonts w:eastAsiaTheme="minorHAnsi" w:cstheme="minorBidi"/>
          <w:b/>
          <w:szCs w:val="24"/>
          <w:lang w:eastAsia="en-US"/>
        </w:rPr>
        <w:t>The</w:t>
      </w:r>
      <w:proofErr w:type="gramEnd"/>
      <w:r>
        <w:rPr>
          <w:rFonts w:eastAsiaTheme="minorHAnsi" w:cstheme="minorBidi"/>
          <w:b/>
          <w:szCs w:val="24"/>
          <w:lang w:eastAsia="en-US"/>
        </w:rPr>
        <w:t xml:space="preserve"> Queen</w:t>
      </w:r>
    </w:p>
    <w:p w:rsidR="007B450B" w:rsidRPr="004B4236" w:rsidRDefault="007B450B" w:rsidP="007B450B">
      <w:pPr>
        <w:jc w:val="center"/>
        <w:rPr>
          <w:rFonts w:eastAsiaTheme="minorHAnsi" w:cstheme="minorBidi"/>
          <w:szCs w:val="24"/>
          <w:lang w:eastAsia="en-US"/>
        </w:rPr>
      </w:pPr>
      <w:r w:rsidRPr="004B4236">
        <w:rPr>
          <w:rFonts w:eastAsiaTheme="minorHAnsi" w:cstheme="minorBidi"/>
          <w:szCs w:val="24"/>
          <w:lang w:eastAsia="en-US"/>
        </w:rPr>
        <w:t>Respondent</w:t>
      </w:r>
    </w:p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</w:p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</w:p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  <w:r w:rsidRPr="004B4236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4B4236"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>
        <w:rPr>
          <w:rFonts w:eastAsiaTheme="minorHAnsi" w:cstheme="minorBidi"/>
          <w:szCs w:val="24"/>
          <w:lang w:eastAsia="en-US"/>
        </w:rPr>
        <w:t>Abella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, Rothstein, </w:t>
      </w:r>
      <w:proofErr w:type="spellStart"/>
      <w:r>
        <w:rPr>
          <w:rFonts w:eastAsiaTheme="minorHAnsi" w:cstheme="minorBidi"/>
          <w:szCs w:val="24"/>
          <w:lang w:eastAsia="en-US"/>
        </w:rPr>
        <w:t>Moldaver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, </w:t>
      </w:r>
      <w:proofErr w:type="spellStart"/>
      <w:r>
        <w:rPr>
          <w:rFonts w:eastAsiaTheme="minorHAnsi" w:cstheme="minorBidi"/>
          <w:szCs w:val="24"/>
          <w:lang w:eastAsia="en-US"/>
        </w:rPr>
        <w:t>Karaksatsanis</w:t>
      </w:r>
      <w:proofErr w:type="spellEnd"/>
      <w:r w:rsidRPr="004B4236">
        <w:rPr>
          <w:rFonts w:eastAsiaTheme="minorHAnsi" w:cstheme="minorBidi"/>
          <w:szCs w:val="24"/>
          <w:lang w:eastAsia="en-US"/>
        </w:rPr>
        <w:t xml:space="preserve"> and Wagner JJ.</w:t>
      </w:r>
    </w:p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7B450B" w:rsidRPr="004B4236" w:rsidTr="0051112B">
        <w:trPr>
          <w:cantSplit/>
        </w:trPr>
        <w:tc>
          <w:tcPr>
            <w:tcW w:w="3618" w:type="dxa"/>
          </w:tcPr>
          <w:p w:rsidR="007B450B" w:rsidRPr="004B4236" w:rsidRDefault="007B450B" w:rsidP="0051112B">
            <w:pPr>
              <w:rPr>
                <w:b/>
                <w:smallCaps/>
              </w:rPr>
            </w:pPr>
            <w:r w:rsidRPr="004B4236">
              <w:rPr>
                <w:b/>
                <w:smallCaps/>
              </w:rPr>
              <w:t>Reasons for Judgment:</w:t>
            </w:r>
          </w:p>
          <w:p w:rsidR="007B450B" w:rsidRPr="004B4236" w:rsidRDefault="007B450B" w:rsidP="0051112B">
            <w:r>
              <w:t>(</w:t>
            </w:r>
            <w:proofErr w:type="spellStart"/>
            <w:r>
              <w:t>paras</w:t>
            </w:r>
            <w:proofErr w:type="spellEnd"/>
            <w:r>
              <w:t>. 1 to 2</w:t>
            </w:r>
            <w:r w:rsidRPr="004B4236">
              <w:t>)</w:t>
            </w:r>
          </w:p>
        </w:tc>
        <w:tc>
          <w:tcPr>
            <w:tcW w:w="5958" w:type="dxa"/>
          </w:tcPr>
          <w:p w:rsidR="007B450B" w:rsidRPr="004B4236" w:rsidRDefault="007B450B" w:rsidP="0051112B">
            <w:proofErr w:type="spellStart"/>
            <w:r>
              <w:t>Abella</w:t>
            </w:r>
            <w:r w:rsidRPr="004B4236">
              <w:t>.J</w:t>
            </w:r>
            <w:proofErr w:type="spellEnd"/>
            <w:r w:rsidRPr="004B4236">
              <w:t>. (</w:t>
            </w:r>
            <w:r>
              <w:t xml:space="preserve">Rothstein,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Karaksatsanis</w:t>
            </w:r>
            <w:proofErr w:type="spellEnd"/>
            <w:r w:rsidRPr="004B4236">
              <w:t xml:space="preserve"> and Wagner JJ.</w:t>
            </w:r>
            <w:r>
              <w:t xml:space="preserve"> </w:t>
            </w:r>
            <w:r w:rsidRPr="004B4236">
              <w:t>concurring)</w:t>
            </w:r>
          </w:p>
        </w:tc>
      </w:tr>
    </w:tbl>
    <w:p w:rsidR="007B450B" w:rsidRPr="004B4236" w:rsidRDefault="007B450B" w:rsidP="007B450B">
      <w:pPr>
        <w:rPr>
          <w:rFonts w:eastAsiaTheme="minorHAnsi" w:cstheme="minorBidi"/>
          <w:szCs w:val="24"/>
          <w:lang w:eastAsia="en-US"/>
        </w:rPr>
      </w:pPr>
      <w:r w:rsidRPr="007B3B57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7B450B" w:rsidRDefault="007B450B" w:rsidP="007B450B">
      <w:pPr>
        <w:rPr>
          <w:rStyle w:val="SCCAppellantForRunningHeadChar"/>
          <w:smallCaps w:val="0"/>
        </w:rPr>
      </w:pPr>
    </w:p>
    <w:p w:rsidR="007B450B" w:rsidRDefault="007B450B" w:rsidP="0035169A">
      <w:pPr>
        <w:spacing w:line="480" w:lineRule="auto"/>
        <w:jc w:val="both"/>
      </w:pPr>
    </w:p>
    <w:p w:rsidR="008322BD" w:rsidRPr="002C1421" w:rsidRDefault="002C1421" w:rsidP="0035169A">
      <w:pPr>
        <w:spacing w:line="480" w:lineRule="auto"/>
        <w:jc w:val="both"/>
      </w:pPr>
      <w:r>
        <w:t>R</w:t>
      </w:r>
      <w:r w:rsidR="00FD38CA" w:rsidRPr="002C1421">
        <w:t xml:space="preserve">. </w:t>
      </w:r>
      <w:r w:rsidR="00FD38CA" w:rsidRPr="002C1421">
        <w:rPr>
          <w:i/>
        </w:rPr>
        <w:t>v.</w:t>
      </w:r>
      <w:r w:rsidR="00FD38CA" w:rsidRPr="002C1421">
        <w:t xml:space="preserve"> </w:t>
      </w:r>
      <w:r>
        <w:t>J</w:t>
      </w:r>
      <w:r w:rsidR="00FD38CA" w:rsidRPr="002C1421">
        <w:t>ackson</w:t>
      </w:r>
      <w:r>
        <w:t>, 2014 SCC 30, [2014] 1 S.C.R. 672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E86B8F" w:rsidRDefault="00A13887">
      <w:pPr>
        <w:pStyle w:val="SCCLsocLastPartyInRole"/>
      </w:pPr>
      <w:r>
        <w:t>Douglas Jackson</w:t>
      </w:r>
      <w:r>
        <w:rPr>
          <w:rStyle w:val="SCCLsocPartyRole"/>
        </w:rPr>
        <w:tab/>
        <w:t>Appellant</w:t>
      </w:r>
    </w:p>
    <w:p w:rsidR="00E86B8F" w:rsidRDefault="00A13887">
      <w:pPr>
        <w:pStyle w:val="SCCLsocVersus"/>
      </w:pPr>
      <w:r>
        <w:t>v.</w:t>
      </w:r>
    </w:p>
    <w:p w:rsidR="00E86B8F" w:rsidRDefault="000B6014">
      <w:pPr>
        <w:pStyle w:val="SCCLsocLastPartyInRole"/>
      </w:pPr>
      <w:r>
        <w:t xml:space="preserve">Her Majesty </w:t>
      </w:r>
      <w:proofErr w:type="gramStart"/>
      <w:r>
        <w:t>T</w:t>
      </w:r>
      <w:r w:rsidR="00A13887">
        <w:t>he</w:t>
      </w:r>
      <w:proofErr w:type="gramEnd"/>
      <w:r w:rsidR="00A13887">
        <w:t xml:space="preserve"> Queen</w:t>
      </w:r>
      <w:r w:rsidR="00A13887"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lastRenderedPageBreak/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FD38CA">
        <w:rPr>
          <w:b/>
        </w:rPr>
        <w:t xml:space="preserve">R. </w:t>
      </w:r>
      <w:r w:rsidR="000B6014" w:rsidRPr="000B6014">
        <w:rPr>
          <w:b/>
          <w:i/>
        </w:rPr>
        <w:t>v</w:t>
      </w:r>
      <w:r w:rsidR="00FD38CA" w:rsidRPr="000B6014">
        <w:rPr>
          <w:b/>
          <w:i/>
        </w:rPr>
        <w:t>.</w:t>
      </w:r>
      <w:r w:rsidR="00FD38CA">
        <w:rPr>
          <w:b/>
        </w:rPr>
        <w:t xml:space="preserve"> Jackson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2014</w:t>
      </w:r>
      <w:r w:rsidR="003D0399">
        <w:t xml:space="preserve"> </w:t>
      </w:r>
      <w:r w:rsidR="00426659" w:rsidRPr="00C02092">
        <w:t>SCC </w:t>
      </w:r>
      <w:r w:rsidR="00A11645">
        <w:t>30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35622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4F36FF" w:rsidP="00FC4EFB">
      <w:pPr>
        <w:jc w:val="both"/>
      </w:pPr>
      <w:r>
        <w:t>2014:  April 23</w:t>
      </w:r>
      <w:r w:rsidR="00FD38CA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>Abella, Rothstein, Moldaver, Karakatsanis and Wagner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E86B8F" w:rsidRDefault="00E86B8F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</w:t>
      </w:r>
      <w:proofErr w:type="spellStart"/>
      <w:r w:rsidR="009B57B3">
        <w:t>ontario</w:t>
      </w:r>
      <w:proofErr w:type="spellEnd"/>
    </w:p>
    <w:p w:rsidR="003A4C70" w:rsidRPr="001426A9" w:rsidRDefault="003A4C70" w:rsidP="00FC4EFB">
      <w:pPr>
        <w:pStyle w:val="SCCNormalDoubleSpacing"/>
      </w:pPr>
    </w:p>
    <w:p w:rsidR="008322BD" w:rsidRPr="00883831" w:rsidRDefault="009B57B3" w:rsidP="00FC4EFB">
      <w:pPr>
        <w:pStyle w:val="SCCNormalDoubleSpacing"/>
        <w:rPr>
          <w:i/>
        </w:rPr>
      </w:pPr>
      <w:r w:rsidRPr="00583EDE">
        <w:tab/>
      </w:r>
      <w:r w:rsidR="00883831">
        <w:rPr>
          <w:i/>
        </w:rPr>
        <w:t xml:space="preserve">Criminal law </w:t>
      </w:r>
      <w:r w:rsidR="00F962A5">
        <w:rPr>
          <w:i/>
        </w:rPr>
        <w:t>—</w:t>
      </w:r>
      <w:r w:rsidR="00883831">
        <w:rPr>
          <w:i/>
        </w:rPr>
        <w:t xml:space="preserve"> Evidence </w:t>
      </w:r>
      <w:r w:rsidR="00F962A5">
        <w:rPr>
          <w:i/>
        </w:rPr>
        <w:t>—</w:t>
      </w:r>
      <w:r w:rsidR="00883831">
        <w:rPr>
          <w:i/>
        </w:rPr>
        <w:t xml:space="preserve"> Admissibility </w:t>
      </w:r>
      <w:r w:rsidR="00F962A5">
        <w:rPr>
          <w:i/>
        </w:rPr>
        <w:t>—</w:t>
      </w:r>
      <w:r w:rsidR="00883831">
        <w:rPr>
          <w:i/>
        </w:rPr>
        <w:t xml:space="preserve"> Defence evidence </w:t>
      </w:r>
      <w:r w:rsidR="00F962A5">
        <w:rPr>
          <w:i/>
        </w:rPr>
        <w:t>—</w:t>
      </w:r>
      <w:r w:rsidR="00883831">
        <w:rPr>
          <w:i/>
        </w:rPr>
        <w:t xml:space="preserve"> Accused charged with first degree murder </w:t>
      </w:r>
      <w:r w:rsidR="00F962A5">
        <w:rPr>
          <w:i/>
        </w:rPr>
        <w:t>—</w:t>
      </w:r>
      <w:r w:rsidR="00883831">
        <w:rPr>
          <w:i/>
        </w:rPr>
        <w:t xml:space="preserve"> Accused bringing pre-trial application to introduce deceased’s criminal record consisting of three firearms offences </w:t>
      </w:r>
      <w:r w:rsidR="00F962A5">
        <w:rPr>
          <w:i/>
        </w:rPr>
        <w:t>—</w:t>
      </w:r>
      <w:r w:rsidR="00883831">
        <w:rPr>
          <w:i/>
        </w:rPr>
        <w:t xml:space="preserve"> Trial judge dismissing application on grounds that probative value of evidence was significantly outweighed by prejudicial effect of its admission </w:t>
      </w:r>
      <w:r w:rsidR="00F962A5">
        <w:rPr>
          <w:i/>
        </w:rPr>
        <w:t>—</w:t>
      </w:r>
      <w:r w:rsidR="00883831">
        <w:rPr>
          <w:i/>
        </w:rPr>
        <w:t xml:space="preserve"> Accused convicted of second degree murder </w:t>
      </w:r>
      <w:r w:rsidR="00F962A5">
        <w:rPr>
          <w:i/>
        </w:rPr>
        <w:t>—</w:t>
      </w:r>
      <w:r w:rsidR="00883831">
        <w:rPr>
          <w:i/>
        </w:rPr>
        <w:t xml:space="preserve"> Trial judge making no error in excluding evidence.</w:t>
      </w:r>
    </w:p>
    <w:p w:rsidR="00A149DF" w:rsidRDefault="00A149DF" w:rsidP="00FC4EFB">
      <w:pPr>
        <w:pStyle w:val="SCCNormalDoubleSpacing"/>
      </w:pPr>
    </w:p>
    <w:p w:rsidR="00883831" w:rsidRDefault="009B57B3" w:rsidP="00FC4EFB">
      <w:pPr>
        <w:pStyle w:val="SCCNormalDoubleSpacing"/>
      </w:pPr>
      <w:r w:rsidRPr="001426A9">
        <w:tab/>
      </w:r>
      <w:r w:rsidR="00A23382">
        <w:tab/>
      </w:r>
    </w:p>
    <w:p w:rsidR="00656313" w:rsidRDefault="00883831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A23382">
        <w:t xml:space="preserve">Ontario </w:t>
      </w:r>
      <w:r w:rsidR="009B57B3">
        <w:t xml:space="preserve">Court of Appeal </w:t>
      </w:r>
      <w:r w:rsidR="00321F82">
        <w:t>(</w:t>
      </w:r>
      <w:r w:rsidR="00A05050">
        <w:t xml:space="preserve">Rosenberg, Sharpe and </w:t>
      </w:r>
      <w:proofErr w:type="spellStart"/>
      <w:r w:rsidR="00A05050">
        <w:t>Gillese</w:t>
      </w:r>
      <w:proofErr w:type="spellEnd"/>
      <w:r w:rsidR="000B6014">
        <w:t xml:space="preserve"> JJ.A.</w:t>
      </w:r>
      <w:r w:rsidR="00A05050">
        <w:t>), 2013 ONCA 632</w:t>
      </w:r>
      <w:r w:rsidR="00A05050" w:rsidRPr="00166C72">
        <w:t>,</w:t>
      </w:r>
      <w:r w:rsidR="00166C72" w:rsidRPr="00166C72">
        <w:rPr>
          <w:lang w:val="en-US"/>
        </w:rPr>
        <w:t xml:space="preserve"> 301 C.C.C. (3d) 358, 311 O.A.C. 121, [2013] O.J. No. 4677 (QL), 2013 </w:t>
      </w:r>
      <w:proofErr w:type="spellStart"/>
      <w:r w:rsidR="00166C72" w:rsidRPr="00166C72">
        <w:rPr>
          <w:lang w:val="en-US"/>
        </w:rPr>
        <w:t>CarswellOnt</w:t>
      </w:r>
      <w:proofErr w:type="spellEnd"/>
      <w:r w:rsidR="00166C72" w:rsidRPr="00166C72">
        <w:rPr>
          <w:lang w:val="en-US"/>
        </w:rPr>
        <w:t xml:space="preserve"> 14119,</w:t>
      </w:r>
      <w:r w:rsidR="00A05050" w:rsidRPr="00166C72">
        <w:t xml:space="preserve"> </w:t>
      </w:r>
      <w:r w:rsidR="00A05050" w:rsidRPr="00883831">
        <w:t xml:space="preserve">upholding the </w:t>
      </w:r>
      <w:proofErr w:type="spellStart"/>
      <w:r w:rsidR="00A05050" w:rsidRPr="00883831">
        <w:t>accused’s</w:t>
      </w:r>
      <w:proofErr w:type="spellEnd"/>
      <w:r w:rsidR="00A05050" w:rsidRPr="00883831">
        <w:t xml:space="preserve"> conviction for second degree murder</w:t>
      </w:r>
      <w:r w:rsidR="00A05050">
        <w:t>.  Appeal</w:t>
      </w:r>
      <w:r w:rsidR="002E29B1">
        <w:t xml:space="preserve"> dismissed</w:t>
      </w:r>
      <w:r w:rsidR="00166C72">
        <w:t>.</w:t>
      </w:r>
    </w:p>
    <w:p w:rsidR="00656313" w:rsidRDefault="00656313" w:rsidP="00FC4EFB">
      <w:pPr>
        <w:pStyle w:val="SCCNormalDoubleSpacing"/>
      </w:pPr>
    </w:p>
    <w:p w:rsidR="00E86B8F" w:rsidRDefault="00A13887">
      <w:pPr>
        <w:pStyle w:val="SCCNormalDoubleSpacing"/>
      </w:pPr>
      <w:r>
        <w:rPr>
          <w:rStyle w:val="SCCCounselNameChar"/>
        </w:rPr>
        <w:tab/>
      </w:r>
      <w:proofErr w:type="spellStart"/>
      <w:proofErr w:type="gramStart"/>
      <w:r>
        <w:rPr>
          <w:rStyle w:val="SCCCounselNameChar"/>
        </w:rPr>
        <w:t>Catriona</w:t>
      </w:r>
      <w:proofErr w:type="spellEnd"/>
      <w:r>
        <w:rPr>
          <w:rStyle w:val="SCCCounselNameChar"/>
        </w:rPr>
        <w:t xml:space="preserve"> </w:t>
      </w:r>
      <w:proofErr w:type="spellStart"/>
      <w:r>
        <w:rPr>
          <w:rStyle w:val="SCCCounselNameChar"/>
        </w:rPr>
        <w:t>Verner</w:t>
      </w:r>
      <w:proofErr w:type="spellEnd"/>
      <w:r w:rsidR="002E51CF">
        <w:rPr>
          <w:rStyle w:val="SCCCounselSeparatorChar"/>
        </w:rPr>
        <w:t xml:space="preserve"> and </w:t>
      </w:r>
      <w:r>
        <w:rPr>
          <w:rStyle w:val="SCCCounselNameChar"/>
        </w:rPr>
        <w:t xml:space="preserve">Corbin </w:t>
      </w:r>
      <w:proofErr w:type="spellStart"/>
      <w:r>
        <w:rPr>
          <w:rStyle w:val="SCCCounselNameChar"/>
        </w:rPr>
        <w:t>Cawkell</w:t>
      </w:r>
      <w:proofErr w:type="spellEnd"/>
      <w:r>
        <w:rPr>
          <w:rStyle w:val="SCCCounselPartyRoleChar"/>
        </w:rPr>
        <w:t>, for the appellant.</w:t>
      </w:r>
      <w:proofErr w:type="gramEnd"/>
    </w:p>
    <w:p w:rsidR="00E86B8F" w:rsidRDefault="00E86B8F">
      <w:pPr>
        <w:pStyle w:val="SCCNormalDoubleSpacing"/>
      </w:pPr>
    </w:p>
    <w:p w:rsidR="00E86B8F" w:rsidRDefault="00A13887">
      <w:pPr>
        <w:pStyle w:val="SCCNormalDoubleSpacing"/>
      </w:pPr>
      <w:r>
        <w:rPr>
          <w:rStyle w:val="SCCCounselNameChar"/>
        </w:rPr>
        <w:tab/>
        <w:t>M. David Lepofsky</w:t>
      </w:r>
      <w:r>
        <w:rPr>
          <w:rStyle w:val="SCCCounselPartyRoleChar"/>
        </w:rPr>
        <w:t>, for the respondent.</w:t>
      </w:r>
    </w:p>
    <w:p w:rsidR="002E29B1" w:rsidRDefault="002E29B1" w:rsidP="002E29B1">
      <w:pPr>
        <w:pStyle w:val="SCCNormalDoubleSpacing"/>
      </w:pPr>
    </w:p>
    <w:p w:rsidR="002E29B1" w:rsidRDefault="002E29B1" w:rsidP="002E29B1">
      <w:pPr>
        <w:pStyle w:val="SCCNormalDoubleSpacing"/>
      </w:pPr>
      <w:r>
        <w:tab/>
        <w:t>The judgment of the Court was delivered orally by</w:t>
      </w:r>
    </w:p>
    <w:p w:rsidR="005745C2" w:rsidRDefault="005745C2" w:rsidP="005745C2">
      <w:pPr>
        <w:pStyle w:val="ParaNoNdepar-AltN"/>
        <w:tabs>
          <w:tab w:val="clear" w:pos="1152"/>
          <w:tab w:val="left" w:pos="1166"/>
        </w:tabs>
      </w:pPr>
      <w:r w:rsidRPr="00196A5E">
        <w:rPr>
          <w:smallCaps/>
        </w:rPr>
        <w:t>Abella</w:t>
      </w:r>
      <w:r>
        <w:t xml:space="preserve"> J. </w:t>
      </w:r>
      <w:r>
        <w:rPr>
          <w:rFonts w:cs="Times New Roman"/>
        </w:rPr>
        <w:t xml:space="preserve">— </w:t>
      </w:r>
      <w:proofErr w:type="gramStart"/>
      <w:r>
        <w:t>We</w:t>
      </w:r>
      <w:proofErr w:type="gramEnd"/>
      <w:r>
        <w:t xml:space="preserve"> do not, </w:t>
      </w:r>
      <w:r w:rsidRPr="005745C2">
        <w:rPr>
          <w:rFonts w:cs="Times New Roman"/>
        </w:rPr>
        <w:t>with</w:t>
      </w:r>
      <w:r>
        <w:t xml:space="preserve"> respect, see any basis for interfering with the reasons of </w:t>
      </w:r>
      <w:proofErr w:type="spellStart"/>
      <w:r>
        <w:t>Gillese</w:t>
      </w:r>
      <w:proofErr w:type="spellEnd"/>
      <w:r>
        <w:t xml:space="preserve"> J.A. and, in particular, with her conclusion that the trial judge made no error in determining that the minimal probative value of the proposed evidence was substantially outweighed by its prejudicial effect.  </w:t>
      </w:r>
    </w:p>
    <w:p w:rsidR="002E29B1" w:rsidRDefault="002E29B1" w:rsidP="005745C2">
      <w:pPr>
        <w:pStyle w:val="ParaNoNdepar-AltN"/>
        <w:tabs>
          <w:tab w:val="clear" w:pos="1152"/>
          <w:tab w:val="left" w:pos="1166"/>
        </w:tabs>
      </w:pPr>
      <w:r>
        <w:t>The appeal is accordingly dismissed.</w:t>
      </w:r>
    </w:p>
    <w:p w:rsidR="009B57B3" w:rsidRDefault="003D7D46" w:rsidP="00FC4EFB">
      <w:pPr>
        <w:pStyle w:val="SCCNormalDoubleSpacing"/>
      </w:pPr>
      <w:r>
        <w:tab/>
      </w:r>
      <w:proofErr w:type="gramStart"/>
      <w:r w:rsidR="002E29B1">
        <w:rPr>
          <w:i/>
        </w:rPr>
        <w:t>Judgment accordingly.</w:t>
      </w:r>
      <w:proofErr w:type="gramEnd"/>
    </w:p>
    <w:p w:rsidR="00A149DF" w:rsidRPr="001426A9" w:rsidRDefault="00A149DF" w:rsidP="00FC4EFB">
      <w:pPr>
        <w:pStyle w:val="SCCNormalDoubleSpacing"/>
      </w:pPr>
    </w:p>
    <w:p w:rsidR="00E86B8F" w:rsidRDefault="00A13887">
      <w:pPr>
        <w:pStyle w:val="SCCLawFirm"/>
      </w:pPr>
      <w:r>
        <w:tab/>
        <w:t>Solicitor</w:t>
      </w:r>
      <w:r w:rsidR="003D7D46">
        <w:t>s</w:t>
      </w:r>
      <w:r>
        <w:t xml:space="preserve"> </w:t>
      </w:r>
      <w:r w:rsidR="003D7D46">
        <w:t>for the appellant:  Hicks Adams</w:t>
      </w:r>
      <w:r>
        <w:t>, Toronto.</w:t>
      </w:r>
    </w:p>
    <w:p w:rsidR="00E86B8F" w:rsidRDefault="00E86B8F">
      <w:pPr>
        <w:pStyle w:val="SCCLawFirm"/>
      </w:pPr>
    </w:p>
    <w:p w:rsidR="00E86B8F" w:rsidRDefault="00A13887">
      <w:pPr>
        <w:pStyle w:val="SCCLawFirm"/>
      </w:pPr>
      <w:r>
        <w:tab/>
        <w:t>Solicitor</w:t>
      </w:r>
      <w:r w:rsidR="003D7D46">
        <w:t xml:space="preserve"> </w:t>
      </w:r>
      <w:r>
        <w:t>for the respondent:  Attorney General of Ontario, Toronto.</w:t>
      </w:r>
    </w:p>
    <w:p w:rsidR="009B57B3" w:rsidRPr="005745C2" w:rsidRDefault="009B57B3" w:rsidP="002E29B1">
      <w:pPr>
        <w:pStyle w:val="SCCLawFirm"/>
        <w:rPr>
          <w:lang w:val="en-US"/>
        </w:rPr>
      </w:pPr>
    </w:p>
    <w:sectPr w:rsidR="009B57B3" w:rsidRPr="005745C2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EA" w:rsidRDefault="00293FEA">
      <w:r>
        <w:separator/>
      </w:r>
    </w:p>
  </w:endnote>
  <w:endnote w:type="continuationSeparator" w:id="0">
    <w:p w:rsidR="00293FEA" w:rsidRDefault="0029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EA" w:rsidRDefault="00293FEA">
      <w:r>
        <w:separator/>
      </w:r>
    </w:p>
  </w:footnote>
  <w:footnote w:type="continuationSeparator" w:id="0">
    <w:p w:rsidR="00293FEA" w:rsidRDefault="0029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EA" w:rsidRPr="00450352" w:rsidRDefault="00293FEA" w:rsidP="00450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578A3"/>
    <w:rsid w:val="000648CC"/>
    <w:rsid w:val="000B6014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66C72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93FEA"/>
    <w:rsid w:val="002B7924"/>
    <w:rsid w:val="002C1421"/>
    <w:rsid w:val="002D28C3"/>
    <w:rsid w:val="002D39A4"/>
    <w:rsid w:val="002E29B1"/>
    <w:rsid w:val="002E51CF"/>
    <w:rsid w:val="002E6705"/>
    <w:rsid w:val="00301D08"/>
    <w:rsid w:val="0030329A"/>
    <w:rsid w:val="0031086F"/>
    <w:rsid w:val="0031414C"/>
    <w:rsid w:val="00314E01"/>
    <w:rsid w:val="0032089D"/>
    <w:rsid w:val="00321F82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D7D46"/>
    <w:rsid w:val="003E1C71"/>
    <w:rsid w:val="003F327B"/>
    <w:rsid w:val="00406166"/>
    <w:rsid w:val="0040704B"/>
    <w:rsid w:val="00410A55"/>
    <w:rsid w:val="00411300"/>
    <w:rsid w:val="00415417"/>
    <w:rsid w:val="00426659"/>
    <w:rsid w:val="00445E67"/>
    <w:rsid w:val="00450352"/>
    <w:rsid w:val="00454BDB"/>
    <w:rsid w:val="00464800"/>
    <w:rsid w:val="00465132"/>
    <w:rsid w:val="00480C90"/>
    <w:rsid w:val="0048396F"/>
    <w:rsid w:val="004915B7"/>
    <w:rsid w:val="00493C18"/>
    <w:rsid w:val="004A600C"/>
    <w:rsid w:val="004A6118"/>
    <w:rsid w:val="004C478D"/>
    <w:rsid w:val="004C6443"/>
    <w:rsid w:val="004E2C26"/>
    <w:rsid w:val="004F36FF"/>
    <w:rsid w:val="005125A8"/>
    <w:rsid w:val="00521AE8"/>
    <w:rsid w:val="00527180"/>
    <w:rsid w:val="0054201E"/>
    <w:rsid w:val="00555291"/>
    <w:rsid w:val="00566AD1"/>
    <w:rsid w:val="005745C2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86C52"/>
    <w:rsid w:val="007A05F6"/>
    <w:rsid w:val="007B450B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83831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05050"/>
    <w:rsid w:val="00A11645"/>
    <w:rsid w:val="00A13887"/>
    <w:rsid w:val="00A149DF"/>
    <w:rsid w:val="00A1755C"/>
    <w:rsid w:val="00A21B90"/>
    <w:rsid w:val="00A23382"/>
    <w:rsid w:val="00A41805"/>
    <w:rsid w:val="00A42DCD"/>
    <w:rsid w:val="00A52AFB"/>
    <w:rsid w:val="00A548CB"/>
    <w:rsid w:val="00A5521C"/>
    <w:rsid w:val="00A643E7"/>
    <w:rsid w:val="00A73C38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27FB"/>
    <w:rsid w:val="00BD32FF"/>
    <w:rsid w:val="00C02092"/>
    <w:rsid w:val="00C052B5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86B8F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46825"/>
    <w:rsid w:val="00F50D2D"/>
    <w:rsid w:val="00F56C8B"/>
    <w:rsid w:val="00F66810"/>
    <w:rsid w:val="00F846D9"/>
    <w:rsid w:val="00F84DF4"/>
    <w:rsid w:val="00F85C97"/>
    <w:rsid w:val="00F962A5"/>
    <w:rsid w:val="00FB37D2"/>
    <w:rsid w:val="00FC07F3"/>
    <w:rsid w:val="00FC4EFB"/>
    <w:rsid w:val="00FD068D"/>
    <w:rsid w:val="00FD38CA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customStyle="1" w:styleId="ParaNoNdepar-AltN">
    <w:name w:val="Para. No. / Nº de par. - Alt N"/>
    <w:qFormat/>
    <w:rsid w:val="005745C2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B450B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2014-04-24T15:08:00Z</dcterms:created>
  <dcterms:modified xsi:type="dcterms:W3CDTF">2014-09-18T18:38:00Z</dcterms:modified>
</cp:coreProperties>
</file>