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C9" w:rsidRDefault="00D175C9" w:rsidP="00D175C9">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6" o:title=""/>
          </v:shape>
          <o:OLEObject Type="Embed" ProgID="Presentations.Drawing.13" ShapeID="_x0000_i1025" DrawAspect="Content" ObjectID="_1487155659" r:id="rId7"/>
        </w:object>
      </w:r>
    </w:p>
    <w:p w:rsidR="00D175C9" w:rsidRDefault="00D175C9" w:rsidP="00D175C9">
      <w:pPr>
        <w:pStyle w:val="Header"/>
      </w:pPr>
    </w:p>
    <w:p w:rsidR="00D175C9" w:rsidRPr="006B210C" w:rsidRDefault="00D175C9" w:rsidP="00D175C9">
      <w:pPr>
        <w:jc w:val="center"/>
        <w:rPr>
          <w:b/>
        </w:rPr>
      </w:pPr>
      <w:r w:rsidRPr="006B210C">
        <w:rPr>
          <w:b/>
        </w:rPr>
        <w:t>SUPREME COURT OF CANADA</w:t>
      </w:r>
    </w:p>
    <w:p w:rsidR="00D175C9" w:rsidRDefault="00D175C9" w:rsidP="00D175C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175C9" w:rsidRPr="006B210C" w:rsidTr="00407445">
        <w:trPr>
          <w:cantSplit/>
        </w:trPr>
        <w:tc>
          <w:tcPr>
            <w:tcW w:w="6768" w:type="dxa"/>
          </w:tcPr>
          <w:p w:rsidR="00D175C9" w:rsidRPr="00D84C9C" w:rsidRDefault="00D175C9" w:rsidP="00407445">
            <w:pPr>
              <w:spacing w:line="480" w:lineRule="auto"/>
              <w:jc w:val="both"/>
            </w:pPr>
            <w:r w:rsidRPr="00D84C9C">
              <w:rPr>
                <w:b/>
                <w:smallCaps/>
              </w:rPr>
              <w:t>Citation:</w:t>
            </w:r>
            <w:r w:rsidRPr="00D84C9C">
              <w:t xml:space="preserve"> R.</w:t>
            </w:r>
            <w:r w:rsidRPr="00D84C9C">
              <w:rPr>
                <w:i/>
              </w:rPr>
              <w:t xml:space="preserve"> v. </w:t>
            </w:r>
            <w:r w:rsidRPr="00D84C9C">
              <w:t>W</w:t>
            </w:r>
            <w:r>
              <w:t>ills</w:t>
            </w:r>
            <w:r w:rsidRPr="00D84C9C">
              <w:t xml:space="preserve">, </w:t>
            </w:r>
            <w:r>
              <w:t>2014 SCC 73</w:t>
            </w:r>
            <w:r w:rsidRPr="00D84C9C">
              <w:t xml:space="preserve">, [2014] 3 S.C.R. </w:t>
            </w:r>
            <w:r>
              <w:t>612</w:t>
            </w:r>
          </w:p>
          <w:p w:rsidR="00D175C9" w:rsidRPr="00D84C9C" w:rsidRDefault="00D175C9" w:rsidP="00407445"/>
        </w:tc>
        <w:tc>
          <w:tcPr>
            <w:tcW w:w="2808" w:type="dxa"/>
          </w:tcPr>
          <w:p w:rsidR="00D175C9" w:rsidRPr="006B210C" w:rsidRDefault="00D175C9" w:rsidP="00407445">
            <w:r w:rsidRPr="006B210C">
              <w:rPr>
                <w:b/>
                <w:smallCaps/>
              </w:rPr>
              <w:t>Date</w:t>
            </w:r>
            <w:r>
              <w:rPr>
                <w:b/>
                <w:smallCaps/>
              </w:rPr>
              <w:t>:</w:t>
            </w:r>
            <w:r w:rsidRPr="006B210C">
              <w:t xml:space="preserve"> </w:t>
            </w:r>
            <w:r>
              <w:t>20141120</w:t>
            </w:r>
          </w:p>
          <w:p w:rsidR="00D175C9" w:rsidRPr="006B210C" w:rsidRDefault="00D175C9" w:rsidP="00407445">
            <w:r w:rsidRPr="006B210C">
              <w:rPr>
                <w:b/>
                <w:smallCaps/>
              </w:rPr>
              <w:t>Docket</w:t>
            </w:r>
            <w:r>
              <w:rPr>
                <w:b/>
                <w:smallCaps/>
              </w:rPr>
              <w:t>:</w:t>
            </w:r>
            <w:r w:rsidRPr="006B210C">
              <w:t xml:space="preserve"> </w:t>
            </w:r>
            <w:r>
              <w:t>35804</w:t>
            </w:r>
          </w:p>
        </w:tc>
      </w:tr>
    </w:tbl>
    <w:p w:rsidR="00D175C9" w:rsidRPr="006B210C" w:rsidRDefault="00D175C9" w:rsidP="00D175C9"/>
    <w:p w:rsidR="00D175C9" w:rsidRDefault="00D175C9" w:rsidP="00D175C9">
      <w:pPr>
        <w:pStyle w:val="SCCLsocPrefix"/>
      </w:pPr>
      <w:r>
        <w:t>Between:</w:t>
      </w:r>
    </w:p>
    <w:p w:rsidR="00D175C9" w:rsidRDefault="00D175C9" w:rsidP="00D175C9">
      <w:pPr>
        <w:pStyle w:val="SCCLsocParty"/>
        <w:jc w:val="center"/>
      </w:pPr>
      <w:r>
        <w:t>Brandon Wills</w:t>
      </w:r>
    </w:p>
    <w:p w:rsidR="00D175C9" w:rsidRPr="00D84C9C" w:rsidRDefault="00D175C9" w:rsidP="00D175C9">
      <w:pPr>
        <w:jc w:val="center"/>
        <w:rPr>
          <w:lang w:val="en-US"/>
        </w:rPr>
      </w:pPr>
      <w:r w:rsidRPr="00D84C9C">
        <w:rPr>
          <w:lang w:val="en-US"/>
        </w:rPr>
        <w:t>Appellant</w:t>
      </w:r>
    </w:p>
    <w:p w:rsidR="00D175C9" w:rsidRPr="00D175C9" w:rsidRDefault="00D175C9" w:rsidP="00D175C9">
      <w:pPr>
        <w:pStyle w:val="SCCLsocVersus"/>
        <w:spacing w:after="0"/>
        <w:jc w:val="center"/>
        <w:rPr>
          <w:i w:val="0"/>
          <w:lang w:val="en-US"/>
        </w:rPr>
      </w:pPr>
      <w:proofErr w:type="gramStart"/>
      <w:r w:rsidRPr="00D175C9">
        <w:rPr>
          <w:i w:val="0"/>
          <w:lang w:val="en-US"/>
        </w:rPr>
        <w:t>and</w:t>
      </w:r>
      <w:proofErr w:type="gramEnd"/>
    </w:p>
    <w:p w:rsidR="00D175C9" w:rsidRPr="00945515" w:rsidRDefault="00D175C9" w:rsidP="00D175C9">
      <w:pPr>
        <w:pStyle w:val="SCCLsocParty"/>
        <w:jc w:val="center"/>
        <w:rPr>
          <w:lang w:val="en-US"/>
        </w:rPr>
      </w:pPr>
      <w:r>
        <w:t xml:space="preserve">Her Majesty </w:t>
      </w:r>
      <w:proofErr w:type="gramStart"/>
      <w:r>
        <w:t>The</w:t>
      </w:r>
      <w:proofErr w:type="gramEnd"/>
      <w:r>
        <w:t xml:space="preserve"> Queen</w:t>
      </w:r>
    </w:p>
    <w:p w:rsidR="00D175C9" w:rsidRPr="00945515" w:rsidRDefault="00D175C9" w:rsidP="00D175C9">
      <w:pPr>
        <w:jc w:val="center"/>
        <w:rPr>
          <w:lang w:val="en-US"/>
        </w:rPr>
      </w:pPr>
      <w:r w:rsidRPr="00945515">
        <w:rPr>
          <w:lang w:val="en-US"/>
        </w:rPr>
        <w:t>Respondent</w:t>
      </w:r>
    </w:p>
    <w:p w:rsidR="00D175C9" w:rsidRPr="00945515" w:rsidRDefault="00D175C9" w:rsidP="00D175C9">
      <w:pPr>
        <w:rPr>
          <w:lang w:val="en-US"/>
        </w:rPr>
      </w:pPr>
    </w:p>
    <w:p w:rsidR="00D175C9" w:rsidRDefault="00D175C9" w:rsidP="00D175C9">
      <w:pPr>
        <w:jc w:val="both"/>
      </w:pPr>
      <w:r w:rsidRPr="006B210C">
        <w:rPr>
          <w:b/>
          <w:smallCaps/>
        </w:rPr>
        <w:t>Coram</w:t>
      </w:r>
      <w:r>
        <w:rPr>
          <w:b/>
          <w:smallCaps/>
        </w:rPr>
        <w:t>:</w:t>
      </w:r>
      <w:r w:rsidRPr="006B210C">
        <w:t xml:space="preserve"> </w:t>
      </w:r>
      <w:r>
        <w:t xml:space="preserve">Rothstein, Cromwell, </w:t>
      </w:r>
      <w:proofErr w:type="spellStart"/>
      <w:r>
        <w:t>Moldaver</w:t>
      </w:r>
      <w:proofErr w:type="spellEnd"/>
      <w:r>
        <w:t xml:space="preserve">, </w:t>
      </w:r>
      <w:proofErr w:type="spellStart"/>
      <w:r>
        <w:t>Karakatsanis</w:t>
      </w:r>
      <w:proofErr w:type="spellEnd"/>
      <w:r>
        <w:t xml:space="preserve"> and Wagner JJ.</w:t>
      </w:r>
    </w:p>
    <w:p w:rsidR="00D175C9" w:rsidRPr="006B210C" w:rsidRDefault="00D175C9" w:rsidP="00D175C9"/>
    <w:p w:rsidR="00D175C9" w:rsidRPr="006B210C" w:rsidRDefault="00D175C9" w:rsidP="00D175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175C9" w:rsidRPr="006B210C" w:rsidTr="00407445">
        <w:trPr>
          <w:cantSplit/>
        </w:trPr>
        <w:tc>
          <w:tcPr>
            <w:tcW w:w="3618" w:type="dxa"/>
          </w:tcPr>
          <w:p w:rsidR="00D175C9" w:rsidRDefault="00D175C9" w:rsidP="00407445">
            <w:pPr>
              <w:rPr>
                <w:b/>
                <w:smallCaps/>
              </w:rPr>
            </w:pPr>
            <w:r w:rsidRPr="006B210C">
              <w:rPr>
                <w:b/>
                <w:smallCaps/>
              </w:rPr>
              <w:t>Reasons for Judgment</w:t>
            </w:r>
            <w:r>
              <w:rPr>
                <w:b/>
                <w:smallCaps/>
              </w:rPr>
              <w:t>:</w:t>
            </w:r>
          </w:p>
          <w:p w:rsidR="00D175C9" w:rsidRPr="006B210C" w:rsidRDefault="00D175C9" w:rsidP="00407445">
            <w:r>
              <w:t>(</w:t>
            </w:r>
            <w:proofErr w:type="spellStart"/>
            <w:r>
              <w:t>para</w:t>
            </w:r>
            <w:proofErr w:type="spellEnd"/>
            <w:r>
              <w:t>. 1)</w:t>
            </w:r>
          </w:p>
        </w:tc>
        <w:tc>
          <w:tcPr>
            <w:tcW w:w="5958" w:type="dxa"/>
          </w:tcPr>
          <w:p w:rsidR="00D175C9" w:rsidRPr="006B210C" w:rsidRDefault="00D175C9" w:rsidP="00407445">
            <w:pPr>
              <w:jc w:val="both"/>
            </w:pPr>
            <w:r>
              <w:t xml:space="preserve">Rothstein J. (Cromwell, </w:t>
            </w:r>
            <w:proofErr w:type="spellStart"/>
            <w:r>
              <w:t>Moldaver</w:t>
            </w:r>
            <w:proofErr w:type="spellEnd"/>
            <w:r>
              <w:t xml:space="preserve">, </w:t>
            </w:r>
            <w:proofErr w:type="spellStart"/>
            <w:r>
              <w:t>Karakatsanis</w:t>
            </w:r>
            <w:proofErr w:type="spellEnd"/>
            <w:r>
              <w:t xml:space="preserve"> and Wagner JJ. concurring) </w:t>
            </w:r>
          </w:p>
        </w:tc>
      </w:tr>
    </w:tbl>
    <w:p w:rsidR="00D175C9" w:rsidRDefault="00D175C9" w:rsidP="00D175C9"/>
    <w:p w:rsidR="00D175C9" w:rsidRPr="006B210C" w:rsidRDefault="00AE7E76" w:rsidP="00D175C9">
      <w:r w:rsidRPr="00AE7E76">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D175C9" w:rsidRDefault="00D175C9" w:rsidP="00D175C9"/>
    <w:p w:rsidR="00D175C9" w:rsidRDefault="00D175C9" w:rsidP="0035169A">
      <w:pPr>
        <w:spacing w:line="480" w:lineRule="auto"/>
        <w:jc w:val="both"/>
        <w:rPr>
          <w:rStyle w:val="SCCAppellantForRunningHeadChar"/>
        </w:rPr>
      </w:pPr>
    </w:p>
    <w:p w:rsidR="008322BD" w:rsidRPr="001426A9" w:rsidRDefault="0003129A" w:rsidP="0035169A">
      <w:pPr>
        <w:spacing w:line="480" w:lineRule="auto"/>
        <w:jc w:val="both"/>
      </w:pPr>
      <w:r>
        <w:rPr>
          <w:rStyle w:val="SCCAppellantForRunningHeadChar"/>
        </w:rPr>
        <w:t xml:space="preserve">r. </w:t>
      </w:r>
      <w:r w:rsidR="009B57B3" w:rsidRPr="00C62A66">
        <w:rPr>
          <w:i/>
        </w:rPr>
        <w:t>v.</w:t>
      </w:r>
      <w:r w:rsidR="00B000D8" w:rsidRPr="001426A9">
        <w:t xml:space="preserve"> </w:t>
      </w:r>
      <w:r>
        <w:rPr>
          <w:rStyle w:val="SCCRespondentForRunningHeadChar"/>
        </w:rPr>
        <w:t>wills</w:t>
      </w:r>
      <w:r w:rsidR="00446897">
        <w:rPr>
          <w:rStyle w:val="SCCRespondentForRunningHeadChar"/>
        </w:rPr>
        <w:t xml:space="preserve">, </w:t>
      </w:r>
      <w:r w:rsidR="00446897">
        <w:t>2014 SCC 73, [2014] 3 S.C.R. 612</w:t>
      </w:r>
    </w:p>
    <w:p w:rsidR="00766D14" w:rsidRDefault="00766D14" w:rsidP="00FC4EFB">
      <w:pPr>
        <w:jc w:val="both"/>
      </w:pPr>
    </w:p>
    <w:p w:rsidR="003C7836" w:rsidRDefault="002A76E8">
      <w:pPr>
        <w:pStyle w:val="SCCLsocLastPartyInRole"/>
      </w:pPr>
      <w:r>
        <w:t>Brandon Wills</w:t>
      </w:r>
      <w:r>
        <w:rPr>
          <w:rStyle w:val="SCCLsocPartyRole"/>
        </w:rPr>
        <w:tab/>
        <w:t>Appellant</w:t>
      </w:r>
    </w:p>
    <w:p w:rsidR="003C7836" w:rsidRDefault="002A76E8">
      <w:pPr>
        <w:pStyle w:val="SCCLsocVersus"/>
      </w:pPr>
      <w:r>
        <w:t>v.</w:t>
      </w:r>
    </w:p>
    <w:p w:rsidR="003C7836" w:rsidRDefault="0003129A">
      <w:pPr>
        <w:pStyle w:val="SCCLsocLastPartyInRole"/>
      </w:pPr>
      <w:r>
        <w:t>Her Majesty T</w:t>
      </w:r>
      <w:r w:rsidR="002A76E8">
        <w:t>he Queen</w:t>
      </w:r>
      <w:r w:rsidR="002A76E8">
        <w:rPr>
          <w:rStyle w:val="SCCLsocPartyRole"/>
        </w:rPr>
        <w:tab/>
        <w:t>Respondent</w:t>
      </w:r>
    </w:p>
    <w:p w:rsidR="00864D30" w:rsidRDefault="00864D30" w:rsidP="00FC4EFB">
      <w:pPr>
        <w:jc w:val="both"/>
      </w:pPr>
    </w:p>
    <w:p w:rsidR="00426659" w:rsidRDefault="00426659" w:rsidP="00FC4EFB">
      <w:pPr>
        <w:jc w:val="both"/>
        <w:rPr>
          <w:b/>
        </w:rPr>
      </w:pPr>
      <w:r w:rsidRPr="00426659">
        <w:rPr>
          <w:b/>
        </w:rPr>
        <w:t>Indexed as:</w:t>
      </w:r>
      <w:r>
        <w:rPr>
          <w:b/>
        </w:rPr>
        <w:t xml:space="preserve"> </w:t>
      </w:r>
      <w:r w:rsidRPr="00426659">
        <w:rPr>
          <w:b/>
        </w:rPr>
        <w:t xml:space="preserve"> </w:t>
      </w:r>
      <w:r w:rsidR="00FC51B8">
        <w:rPr>
          <w:b/>
        </w:rPr>
        <w:t xml:space="preserve">R. </w:t>
      </w:r>
      <w:r w:rsidR="00FC51B8" w:rsidRPr="00FC51B8">
        <w:rPr>
          <w:b/>
          <w:i/>
        </w:rPr>
        <w:t>v.</w:t>
      </w:r>
      <w:r w:rsidR="00FC51B8">
        <w:rPr>
          <w:b/>
        </w:rPr>
        <w:t xml:space="preserve"> Wills</w:t>
      </w:r>
    </w:p>
    <w:p w:rsidR="004004BD" w:rsidRPr="00426659" w:rsidRDefault="004004BD" w:rsidP="00FC4EFB">
      <w:pPr>
        <w:jc w:val="both"/>
        <w:rPr>
          <w:b/>
        </w:rPr>
      </w:pPr>
    </w:p>
    <w:p w:rsidR="00426659" w:rsidRDefault="004F36FF" w:rsidP="00102979">
      <w:pPr>
        <w:pStyle w:val="SCCSystemYear"/>
        <w:spacing w:after="240"/>
        <w:jc w:val="both"/>
      </w:pPr>
      <w:r>
        <w:lastRenderedPageBreak/>
        <w:t>2014</w:t>
      </w:r>
      <w:r w:rsidR="003D0399">
        <w:t xml:space="preserve"> </w:t>
      </w:r>
      <w:r w:rsidR="006C34F8">
        <w:t xml:space="preserve">SCC </w:t>
      </w:r>
      <w:r w:rsidR="00BE3F4D">
        <w:t>73</w:t>
      </w:r>
    </w:p>
    <w:p w:rsidR="00426659" w:rsidRDefault="00426659" w:rsidP="00102979">
      <w:pPr>
        <w:spacing w:after="240"/>
        <w:jc w:val="both"/>
      </w:pPr>
    </w:p>
    <w:p w:rsidR="00E97830" w:rsidRDefault="009B57B3" w:rsidP="00102979">
      <w:pPr>
        <w:spacing w:after="240"/>
        <w:jc w:val="both"/>
      </w:pPr>
      <w:r w:rsidRPr="001426A9">
        <w:t xml:space="preserve">File No.: </w:t>
      </w:r>
      <w:r>
        <w:t>35804</w:t>
      </w:r>
      <w:r w:rsidRPr="001426A9">
        <w:t>.</w:t>
      </w:r>
    </w:p>
    <w:p w:rsidR="004004BD" w:rsidRDefault="004004BD" w:rsidP="00102979">
      <w:pPr>
        <w:spacing w:after="240"/>
        <w:jc w:val="both"/>
      </w:pPr>
    </w:p>
    <w:p w:rsidR="008322BD" w:rsidRDefault="004F36FF" w:rsidP="00102979">
      <w:pPr>
        <w:spacing w:after="240"/>
        <w:jc w:val="both"/>
      </w:pPr>
      <w:r>
        <w:t>2014: November 14</w:t>
      </w:r>
      <w:r w:rsidR="007F1052">
        <w:t>; 2014: November 20</w:t>
      </w:r>
      <w:r w:rsidR="009B57B3" w:rsidRPr="001426A9">
        <w:t>.</w:t>
      </w:r>
    </w:p>
    <w:p w:rsidR="00E97830" w:rsidRDefault="00E97830" w:rsidP="00102979">
      <w:pPr>
        <w:spacing w:after="240"/>
        <w:jc w:val="both"/>
      </w:pPr>
    </w:p>
    <w:p w:rsidR="008322BD" w:rsidRDefault="009B57B3" w:rsidP="00102979">
      <w:pPr>
        <w:spacing w:after="240"/>
        <w:jc w:val="both"/>
      </w:pPr>
      <w:r w:rsidRPr="001426A9">
        <w:t xml:space="preserve">Present: </w:t>
      </w:r>
      <w:r>
        <w:t xml:space="preserve">Rothstein, Cromwell, </w:t>
      </w:r>
      <w:proofErr w:type="spellStart"/>
      <w:r>
        <w:t>Moldaver</w:t>
      </w:r>
      <w:proofErr w:type="spellEnd"/>
      <w:r>
        <w:t xml:space="preserve">, </w:t>
      </w:r>
      <w:proofErr w:type="spellStart"/>
      <w:r>
        <w:t>Karakatsanis</w:t>
      </w:r>
      <w:proofErr w:type="spellEnd"/>
      <w:r>
        <w:t xml:space="preserve"> and Wagner</w:t>
      </w:r>
      <w:r w:rsidR="002C50A6">
        <w:t xml:space="preserve"> </w:t>
      </w:r>
      <w:r>
        <w:t>JJ.</w:t>
      </w:r>
    </w:p>
    <w:p w:rsidR="00BE3F4D" w:rsidRDefault="00BE3F4D" w:rsidP="00102979">
      <w:pPr>
        <w:pStyle w:val="SCCLowerCourtNameLowercase"/>
        <w:spacing w:after="240"/>
      </w:pPr>
    </w:p>
    <w:p w:rsidR="00DE319C" w:rsidRDefault="00656313" w:rsidP="0048150E">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rsidR="007D2626" w:rsidRDefault="007D2626" w:rsidP="007D2626">
      <w:pPr>
        <w:pStyle w:val="SCCNormalDoubleSpacing"/>
      </w:pPr>
    </w:p>
    <w:p w:rsidR="00287ABC" w:rsidRPr="00287ABC" w:rsidRDefault="007D2626" w:rsidP="00287ABC">
      <w:pPr>
        <w:pStyle w:val="SCCNormalDoubleSpacing"/>
        <w:rPr>
          <w:rStyle w:val="Emphasis"/>
        </w:rPr>
      </w:pPr>
      <w:r>
        <w:tab/>
      </w:r>
      <w:r w:rsidR="00D07FA9">
        <w:rPr>
          <w:rStyle w:val="Emphasis"/>
        </w:rPr>
        <w:t xml:space="preserve">Criminal law — </w:t>
      </w:r>
      <w:r w:rsidR="00287ABC">
        <w:rPr>
          <w:rStyle w:val="Emphasis"/>
        </w:rPr>
        <w:t xml:space="preserve">Reasonable verdict — Evidence — Accused </w:t>
      </w:r>
      <w:r w:rsidR="00287ABC" w:rsidRPr="00287ABC">
        <w:rPr>
          <w:rStyle w:val="Emphasis"/>
        </w:rPr>
        <w:t>convicted of robbery with firearm, unlawful confinement, disguise with intent to commit indicta</w:t>
      </w:r>
      <w:r w:rsidR="00287ABC">
        <w:rPr>
          <w:rStyle w:val="Emphasis"/>
        </w:rPr>
        <w:t>ble offence, and possession of</w:t>
      </w:r>
      <w:r w:rsidR="00287ABC" w:rsidRPr="00287ABC">
        <w:rPr>
          <w:rStyle w:val="Emphasis"/>
        </w:rPr>
        <w:t xml:space="preserve"> weapon for purpose of committing </w:t>
      </w:r>
      <w:r w:rsidR="00287ABC">
        <w:rPr>
          <w:rStyle w:val="Emphasis"/>
        </w:rPr>
        <w:t xml:space="preserve">indictable offence — </w:t>
      </w:r>
      <w:r w:rsidR="00287ABC" w:rsidRPr="00287ABC">
        <w:rPr>
          <w:rStyle w:val="Emphasis"/>
        </w:rPr>
        <w:t xml:space="preserve">Whether, given frailties of circumstantial evidence, guilty verdict was one that properly instructed jury, acting judicially, could </w:t>
      </w:r>
      <w:r w:rsidR="00701409">
        <w:rPr>
          <w:rStyle w:val="Emphasis"/>
        </w:rPr>
        <w:t>reasonably</w:t>
      </w:r>
      <w:r w:rsidR="00287ABC" w:rsidRPr="00287ABC">
        <w:rPr>
          <w:rStyle w:val="Emphasis"/>
        </w:rPr>
        <w:t xml:space="preserve"> have rendere</w:t>
      </w:r>
      <w:r w:rsidR="00287ABC">
        <w:rPr>
          <w:rStyle w:val="Emphasis"/>
        </w:rPr>
        <w:t>d.</w:t>
      </w:r>
    </w:p>
    <w:p w:rsidR="00287ABC" w:rsidRPr="00287ABC" w:rsidRDefault="00287ABC" w:rsidP="00287ABC">
      <w:pPr>
        <w:pStyle w:val="SCCNormalDoubleSpacing"/>
        <w:rPr>
          <w:rStyle w:val="Emphasis"/>
        </w:rPr>
      </w:pPr>
    </w:p>
    <w:p w:rsidR="00656313" w:rsidRDefault="00FC77DB" w:rsidP="00FC4EFB">
      <w:pPr>
        <w:pStyle w:val="SCCNormalDoubleSpacing"/>
      </w:pPr>
      <w:r>
        <w:tab/>
      </w:r>
      <w:r w:rsidR="009B57B3" w:rsidRPr="001426A9">
        <w:t xml:space="preserve">APPEAL from a judgment of the </w:t>
      </w:r>
      <w:r>
        <w:t xml:space="preserve">Ontario </w:t>
      </w:r>
      <w:r w:rsidR="009B57B3">
        <w:t xml:space="preserve">Court of Appeal </w:t>
      </w:r>
      <w:r>
        <w:t>(</w:t>
      </w:r>
      <w:r w:rsidR="00D144A0">
        <w:t>Doherty, Pepall and B</w:t>
      </w:r>
      <w:r w:rsidR="00285941">
        <w:t xml:space="preserve">enotto JJ.A.), </w:t>
      </w:r>
      <w:r w:rsidR="00DE5171">
        <w:t>2014 ONCA 178, 318 O.A.C. 99, 308 C.C.C. (3d) 109</w:t>
      </w:r>
      <w:r w:rsidR="00C7395E">
        <w:t xml:space="preserve">, [2014] O.J. No. 1069 (QL), 2014 CarswellOnt 2652, </w:t>
      </w:r>
      <w:r w:rsidR="00436E9A">
        <w:t xml:space="preserve">affirming the </w:t>
      </w:r>
      <w:r w:rsidR="00D144A0">
        <w:t>accused</w:t>
      </w:r>
      <w:r w:rsidR="004F7E05">
        <w:t>’</w:t>
      </w:r>
      <w:r w:rsidR="00D144A0">
        <w:t xml:space="preserve">s </w:t>
      </w:r>
      <w:r w:rsidR="00A362D7">
        <w:t xml:space="preserve">conviction </w:t>
      </w:r>
      <w:r w:rsidR="00D144A0">
        <w:t xml:space="preserve">and </w:t>
      </w:r>
      <w:r w:rsidR="00CE25F5">
        <w:t xml:space="preserve">varying </w:t>
      </w:r>
      <w:r w:rsidR="00D144A0">
        <w:t>the</w:t>
      </w:r>
      <w:r w:rsidR="00CE25F5">
        <w:t xml:space="preserve"> sentence</w:t>
      </w:r>
      <w:r w:rsidR="00CB2887">
        <w:t>. Appeal dismissed, Cromwell and Karakatsanis JJ. dissenting</w:t>
      </w:r>
      <w:r w:rsidR="00C93E57">
        <w:t>.</w:t>
      </w:r>
      <w:r w:rsidR="0036206B">
        <w:t xml:space="preserve"> </w:t>
      </w:r>
    </w:p>
    <w:p w:rsidR="00656313" w:rsidRDefault="00656313" w:rsidP="00FC4EFB">
      <w:pPr>
        <w:pStyle w:val="SCCNormalDoubleSpacing"/>
      </w:pPr>
    </w:p>
    <w:p w:rsidR="003C7836" w:rsidRDefault="002A76E8">
      <w:pPr>
        <w:pStyle w:val="SCCNormalDoubleSpacing"/>
        <w:rPr>
          <w:rStyle w:val="SCCCounselPartyRoleChar"/>
        </w:rPr>
      </w:pPr>
      <w:r>
        <w:rPr>
          <w:rStyle w:val="SCCCounselNameChar"/>
        </w:rPr>
        <w:tab/>
        <w:t xml:space="preserve">Carlos </w:t>
      </w:r>
      <w:r w:rsidR="00634B50">
        <w:rPr>
          <w:rStyle w:val="SCCCounselNameChar"/>
        </w:rPr>
        <w:t xml:space="preserve">F. </w:t>
      </w:r>
      <w:r>
        <w:rPr>
          <w:rStyle w:val="SCCCounselNameChar"/>
        </w:rPr>
        <w:t>Rippell</w:t>
      </w:r>
      <w:r>
        <w:rPr>
          <w:rStyle w:val="SCCCounselSeparatorChar"/>
        </w:rPr>
        <w:t xml:space="preserve"> and </w:t>
      </w:r>
      <w:r>
        <w:rPr>
          <w:rStyle w:val="SCCCounselNameChar"/>
        </w:rPr>
        <w:t xml:space="preserve">Diana </w:t>
      </w:r>
      <w:r w:rsidR="00634B50">
        <w:rPr>
          <w:rStyle w:val="SCCCounselNameChar"/>
        </w:rPr>
        <w:t xml:space="preserve">M. </w:t>
      </w:r>
      <w:r>
        <w:rPr>
          <w:rStyle w:val="SCCCounselNameChar"/>
        </w:rPr>
        <w:t>Lumba</w:t>
      </w:r>
      <w:r>
        <w:rPr>
          <w:rStyle w:val="SCCCounselPartyRoleChar"/>
        </w:rPr>
        <w:t>, for the appellant.</w:t>
      </w:r>
    </w:p>
    <w:p w:rsidR="003B78CA" w:rsidRDefault="003B78CA">
      <w:pPr>
        <w:pStyle w:val="SCCNormalDoubleSpacing"/>
      </w:pPr>
    </w:p>
    <w:p w:rsidR="003C7836" w:rsidRDefault="002A76E8">
      <w:pPr>
        <w:pStyle w:val="SCCNormalDoubleSpacing"/>
        <w:rPr>
          <w:rStyle w:val="SCCCounselPartyRoleChar"/>
        </w:rPr>
      </w:pPr>
      <w:r>
        <w:rPr>
          <w:rStyle w:val="SCCCounselNameChar"/>
        </w:rPr>
        <w:lastRenderedPageBreak/>
        <w:tab/>
      </w:r>
      <w:proofErr w:type="gramStart"/>
      <w:r w:rsidR="004004BD">
        <w:rPr>
          <w:rStyle w:val="SCCCounselNameChar"/>
        </w:rPr>
        <w:t xml:space="preserve">M. </w:t>
      </w:r>
      <w:r>
        <w:rPr>
          <w:rStyle w:val="SCCCounselNameChar"/>
        </w:rPr>
        <w:t xml:space="preserve">David </w:t>
      </w:r>
      <w:proofErr w:type="spellStart"/>
      <w:r>
        <w:rPr>
          <w:rStyle w:val="SCCCounselNameChar"/>
        </w:rPr>
        <w:t>Lepofsky</w:t>
      </w:r>
      <w:proofErr w:type="spellEnd"/>
      <w:r>
        <w:rPr>
          <w:rStyle w:val="SCCCounselPartyRoleChar"/>
        </w:rPr>
        <w:t>, for the respondent.</w:t>
      </w:r>
      <w:proofErr w:type="gramEnd"/>
    </w:p>
    <w:p w:rsidR="003B78CA" w:rsidRDefault="003B78CA">
      <w:pPr>
        <w:pStyle w:val="SCCNormalDoubleSpacing"/>
      </w:pPr>
    </w:p>
    <w:p w:rsidR="007C4DF8" w:rsidRPr="00CB2887" w:rsidRDefault="00864D30" w:rsidP="00CB2887">
      <w:pPr>
        <w:pStyle w:val="SCCLawFirm"/>
        <w:rPr>
          <w:i w:val="0"/>
        </w:rPr>
      </w:pPr>
      <w:r>
        <w:tab/>
      </w:r>
      <w:r w:rsidR="007C4DF8" w:rsidRPr="00CB2887">
        <w:rPr>
          <w:i w:val="0"/>
        </w:rPr>
        <w:t xml:space="preserve">The </w:t>
      </w:r>
      <w:r w:rsidR="006C34F8">
        <w:rPr>
          <w:i w:val="0"/>
        </w:rPr>
        <w:t xml:space="preserve">judgment </w:t>
      </w:r>
      <w:r w:rsidR="004004BD">
        <w:rPr>
          <w:i w:val="0"/>
        </w:rPr>
        <w:t xml:space="preserve">of the Court was </w:t>
      </w:r>
      <w:r w:rsidR="007C4DF8" w:rsidRPr="00CB2887">
        <w:rPr>
          <w:i w:val="0"/>
        </w:rPr>
        <w:t>delivered by</w:t>
      </w:r>
    </w:p>
    <w:p w:rsidR="007C4DF8" w:rsidRDefault="007C4DF8" w:rsidP="007C4DF8">
      <w:pPr>
        <w:pStyle w:val="SCCNormalDoubleSpacing"/>
      </w:pPr>
    </w:p>
    <w:p w:rsidR="006C34F8" w:rsidRDefault="007C4DF8" w:rsidP="007C4DF8">
      <w:pPr>
        <w:pStyle w:val="ListParagraph"/>
        <w:tabs>
          <w:tab w:val="left" w:pos="1134"/>
        </w:tabs>
        <w:spacing w:line="480" w:lineRule="auto"/>
        <w:ind w:left="0"/>
        <w:jc w:val="both"/>
      </w:pPr>
      <w:r>
        <w:rPr>
          <w:rStyle w:val="SCCCounselPartyRoleChar"/>
        </w:rPr>
        <w:t>[1]</w:t>
      </w:r>
      <w:r>
        <w:rPr>
          <w:rStyle w:val="SCCCounselPartyRoleChar"/>
        </w:rPr>
        <w:tab/>
      </w:r>
      <w:r>
        <w:rPr>
          <w:smallCaps/>
        </w:rPr>
        <w:t>Rothstein J.</w:t>
      </w:r>
      <w:r w:rsidRPr="00FB55A9">
        <w:t xml:space="preserve"> — </w:t>
      </w:r>
      <w:r w:rsidRPr="001F04BD">
        <w:t>The majority of the Court is of the view that the appeal should be dismissed for the reasons of Doherty J.A. in the Court of Appeal. Justices Cromwell and Karakatsanis, dissenting, would have allowed the appeal for the reasons of Pepall J.A.</w:t>
      </w:r>
    </w:p>
    <w:p w:rsidR="006C34F8" w:rsidRDefault="006C34F8" w:rsidP="007C4DF8">
      <w:pPr>
        <w:pStyle w:val="ListParagraph"/>
        <w:tabs>
          <w:tab w:val="left" w:pos="1134"/>
        </w:tabs>
        <w:spacing w:line="480" w:lineRule="auto"/>
        <w:ind w:left="0"/>
        <w:jc w:val="both"/>
      </w:pPr>
    </w:p>
    <w:p w:rsidR="009B57B3" w:rsidRDefault="007865D3" w:rsidP="00FC4EFB">
      <w:pPr>
        <w:pStyle w:val="SCCNormalDoubleSpacing"/>
      </w:pPr>
      <w:r>
        <w:tab/>
      </w:r>
      <w:r w:rsidR="00656313" w:rsidRPr="00583EDE">
        <w:rPr>
          <w:i/>
        </w:rPr>
        <w:t>Appeal</w:t>
      </w:r>
      <w:r w:rsidR="00CB0808">
        <w:rPr>
          <w:i/>
        </w:rPr>
        <w:t xml:space="preserve"> dismissed</w:t>
      </w:r>
      <w:r w:rsidR="00783252">
        <w:rPr>
          <w:i/>
        </w:rPr>
        <w:t xml:space="preserve">, </w:t>
      </w:r>
      <w:r w:rsidR="00783252" w:rsidRPr="00783252">
        <w:rPr>
          <w:smallCaps/>
        </w:rPr>
        <w:t>Cromwell</w:t>
      </w:r>
      <w:r w:rsidR="00783252">
        <w:rPr>
          <w:i/>
        </w:rPr>
        <w:t xml:space="preserve"> and </w:t>
      </w:r>
      <w:r w:rsidR="00783252" w:rsidRPr="00783252">
        <w:rPr>
          <w:smallCaps/>
        </w:rPr>
        <w:t>Karakatsanis JJ.</w:t>
      </w:r>
      <w:r w:rsidR="00783252">
        <w:rPr>
          <w:i/>
        </w:rPr>
        <w:t xml:space="preserve"> dissenting</w:t>
      </w:r>
      <w:r w:rsidR="003A6D51">
        <w:rPr>
          <w:i/>
        </w:rPr>
        <w:t>.</w:t>
      </w:r>
    </w:p>
    <w:p w:rsidR="00A149DF" w:rsidRPr="001426A9" w:rsidRDefault="00A149DF" w:rsidP="00FC4EFB">
      <w:pPr>
        <w:pStyle w:val="SCCNormalDoubleSpacing"/>
      </w:pPr>
    </w:p>
    <w:p w:rsidR="003A6D51" w:rsidRDefault="002A76E8" w:rsidP="003A6D51">
      <w:pPr>
        <w:pStyle w:val="SCCLawFirm"/>
      </w:pPr>
      <w:r>
        <w:tab/>
      </w:r>
      <w:r w:rsidR="003A6D51">
        <w:t xml:space="preserve">Solicitors for the appellant:  Edward H. </w:t>
      </w:r>
      <w:proofErr w:type="spellStart"/>
      <w:r w:rsidR="003A6D51">
        <w:t>Royle</w:t>
      </w:r>
      <w:proofErr w:type="spellEnd"/>
      <w:r w:rsidR="003A6D51">
        <w:t xml:space="preserve"> &amp; Associates, Toronto.</w:t>
      </w:r>
    </w:p>
    <w:p w:rsidR="003A6D51" w:rsidRPr="003B78CA" w:rsidRDefault="003A6D51" w:rsidP="003A6D51">
      <w:pPr>
        <w:pStyle w:val="SCCNormalDoubleSpacing"/>
      </w:pPr>
    </w:p>
    <w:p w:rsidR="003A6D51" w:rsidRDefault="003A6D51" w:rsidP="003A6D51">
      <w:pPr>
        <w:pStyle w:val="SCCLawFirm"/>
      </w:pPr>
      <w:r>
        <w:tab/>
        <w:t>Solicitor for the respondent:  Attorney General of Ontario, Toronto.</w:t>
      </w:r>
    </w:p>
    <w:sectPr w:rsidR="003A6D51" w:rsidSect="000648CC">
      <w:headerReference w:type="default" r:id="rId8"/>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3C" w:rsidRDefault="00C1243C">
      <w:r>
        <w:separator/>
      </w:r>
    </w:p>
  </w:endnote>
  <w:endnote w:type="continuationSeparator" w:id="0">
    <w:p w:rsidR="00C1243C" w:rsidRDefault="00C12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3C" w:rsidRDefault="00C1243C">
      <w:r>
        <w:separator/>
      </w:r>
    </w:p>
  </w:footnote>
  <w:footnote w:type="continuationSeparator" w:id="0">
    <w:p w:rsidR="00C1243C" w:rsidRDefault="00C12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3C" w:rsidRPr="00450352" w:rsidRDefault="00C1243C" w:rsidP="004503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rsids>
    <w:rsidRoot w:val="0031414C"/>
    <w:rsid w:val="00000ED4"/>
    <w:rsid w:val="00025198"/>
    <w:rsid w:val="0003129A"/>
    <w:rsid w:val="000578A3"/>
    <w:rsid w:val="000648CC"/>
    <w:rsid w:val="000C59B8"/>
    <w:rsid w:val="000C6AF0"/>
    <w:rsid w:val="00102979"/>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74EFE"/>
    <w:rsid w:val="0028058C"/>
    <w:rsid w:val="00285941"/>
    <w:rsid w:val="00287ABC"/>
    <w:rsid w:val="002A76E8"/>
    <w:rsid w:val="002B7924"/>
    <w:rsid w:val="002C50A6"/>
    <w:rsid w:val="002D28C3"/>
    <w:rsid w:val="002D39A4"/>
    <w:rsid w:val="002E6705"/>
    <w:rsid w:val="00301D08"/>
    <w:rsid w:val="0030329A"/>
    <w:rsid w:val="0031086F"/>
    <w:rsid w:val="0031414C"/>
    <w:rsid w:val="00314E01"/>
    <w:rsid w:val="0032089D"/>
    <w:rsid w:val="003310DE"/>
    <w:rsid w:val="003323B0"/>
    <w:rsid w:val="0035169A"/>
    <w:rsid w:val="0035259D"/>
    <w:rsid w:val="0036206B"/>
    <w:rsid w:val="00364B18"/>
    <w:rsid w:val="003A125D"/>
    <w:rsid w:val="003A4C70"/>
    <w:rsid w:val="003A6D51"/>
    <w:rsid w:val="003B215F"/>
    <w:rsid w:val="003B78CA"/>
    <w:rsid w:val="003C7836"/>
    <w:rsid w:val="003C799C"/>
    <w:rsid w:val="003D0399"/>
    <w:rsid w:val="003E1C71"/>
    <w:rsid w:val="003F327B"/>
    <w:rsid w:val="004004BD"/>
    <w:rsid w:val="00406166"/>
    <w:rsid w:val="0040704B"/>
    <w:rsid w:val="00410A55"/>
    <w:rsid w:val="00411300"/>
    <w:rsid w:val="00415417"/>
    <w:rsid w:val="00426659"/>
    <w:rsid w:val="00436E9A"/>
    <w:rsid w:val="00446897"/>
    <w:rsid w:val="00450352"/>
    <w:rsid w:val="00454BDB"/>
    <w:rsid w:val="00464800"/>
    <w:rsid w:val="00465132"/>
    <w:rsid w:val="004760AC"/>
    <w:rsid w:val="00480C90"/>
    <w:rsid w:val="0048150E"/>
    <w:rsid w:val="0048396F"/>
    <w:rsid w:val="00487457"/>
    <w:rsid w:val="00493C18"/>
    <w:rsid w:val="004A600C"/>
    <w:rsid w:val="004A6118"/>
    <w:rsid w:val="004C478D"/>
    <w:rsid w:val="004E2C26"/>
    <w:rsid w:val="004F36FF"/>
    <w:rsid w:val="004F7E05"/>
    <w:rsid w:val="00500C90"/>
    <w:rsid w:val="005125A8"/>
    <w:rsid w:val="00521AE8"/>
    <w:rsid w:val="00527180"/>
    <w:rsid w:val="0054201E"/>
    <w:rsid w:val="00555291"/>
    <w:rsid w:val="00566AD1"/>
    <w:rsid w:val="00583EDE"/>
    <w:rsid w:val="005A6079"/>
    <w:rsid w:val="005E4698"/>
    <w:rsid w:val="006064B3"/>
    <w:rsid w:val="00610539"/>
    <w:rsid w:val="00613969"/>
    <w:rsid w:val="00623D90"/>
    <w:rsid w:val="00625C35"/>
    <w:rsid w:val="00634B50"/>
    <w:rsid w:val="00643898"/>
    <w:rsid w:val="00644518"/>
    <w:rsid w:val="00656313"/>
    <w:rsid w:val="006565F4"/>
    <w:rsid w:val="00684EEA"/>
    <w:rsid w:val="0069689B"/>
    <w:rsid w:val="006A1551"/>
    <w:rsid w:val="006A7696"/>
    <w:rsid w:val="006B5FF5"/>
    <w:rsid w:val="006C34F8"/>
    <w:rsid w:val="006D20CD"/>
    <w:rsid w:val="006F30AF"/>
    <w:rsid w:val="00701409"/>
    <w:rsid w:val="00701759"/>
    <w:rsid w:val="00705C15"/>
    <w:rsid w:val="0071600E"/>
    <w:rsid w:val="007208D1"/>
    <w:rsid w:val="00723165"/>
    <w:rsid w:val="00747288"/>
    <w:rsid w:val="00747DD3"/>
    <w:rsid w:val="007549C8"/>
    <w:rsid w:val="00754A0B"/>
    <w:rsid w:val="00766D14"/>
    <w:rsid w:val="00767A0F"/>
    <w:rsid w:val="00783252"/>
    <w:rsid w:val="007865D3"/>
    <w:rsid w:val="007A05F6"/>
    <w:rsid w:val="007B6F4A"/>
    <w:rsid w:val="007C1A19"/>
    <w:rsid w:val="007C47B8"/>
    <w:rsid w:val="007C4DF8"/>
    <w:rsid w:val="007D2626"/>
    <w:rsid w:val="007E1C47"/>
    <w:rsid w:val="007E337A"/>
    <w:rsid w:val="007E5C70"/>
    <w:rsid w:val="007F1052"/>
    <w:rsid w:val="007F2FF5"/>
    <w:rsid w:val="007F3F08"/>
    <w:rsid w:val="00804CC6"/>
    <w:rsid w:val="00805D1E"/>
    <w:rsid w:val="00817190"/>
    <w:rsid w:val="00820EE5"/>
    <w:rsid w:val="008260E2"/>
    <w:rsid w:val="008322BD"/>
    <w:rsid w:val="00833E0A"/>
    <w:rsid w:val="00834F73"/>
    <w:rsid w:val="00864CF8"/>
    <w:rsid w:val="00864D30"/>
    <w:rsid w:val="00872819"/>
    <w:rsid w:val="00874914"/>
    <w:rsid w:val="00891422"/>
    <w:rsid w:val="00892E1A"/>
    <w:rsid w:val="00897863"/>
    <w:rsid w:val="008A3F29"/>
    <w:rsid w:val="008B1C13"/>
    <w:rsid w:val="008B660A"/>
    <w:rsid w:val="008C01DA"/>
    <w:rsid w:val="008F78E9"/>
    <w:rsid w:val="00911989"/>
    <w:rsid w:val="009179F9"/>
    <w:rsid w:val="00933B28"/>
    <w:rsid w:val="00933E5E"/>
    <w:rsid w:val="00935218"/>
    <w:rsid w:val="009403F3"/>
    <w:rsid w:val="009555B7"/>
    <w:rsid w:val="009567AA"/>
    <w:rsid w:val="00967374"/>
    <w:rsid w:val="009940B8"/>
    <w:rsid w:val="009A343A"/>
    <w:rsid w:val="009B2F23"/>
    <w:rsid w:val="009B57B3"/>
    <w:rsid w:val="009C5B92"/>
    <w:rsid w:val="009D2920"/>
    <w:rsid w:val="009D5AEB"/>
    <w:rsid w:val="009F0E33"/>
    <w:rsid w:val="00A030CE"/>
    <w:rsid w:val="00A140A5"/>
    <w:rsid w:val="00A149DF"/>
    <w:rsid w:val="00A1755C"/>
    <w:rsid w:val="00A21B90"/>
    <w:rsid w:val="00A3254C"/>
    <w:rsid w:val="00A362D7"/>
    <w:rsid w:val="00A41805"/>
    <w:rsid w:val="00A42DCD"/>
    <w:rsid w:val="00A52AFB"/>
    <w:rsid w:val="00A548CB"/>
    <w:rsid w:val="00A5521C"/>
    <w:rsid w:val="00A643E7"/>
    <w:rsid w:val="00A73C38"/>
    <w:rsid w:val="00AB670D"/>
    <w:rsid w:val="00AD5BAF"/>
    <w:rsid w:val="00AE7E76"/>
    <w:rsid w:val="00AF03C5"/>
    <w:rsid w:val="00B000D8"/>
    <w:rsid w:val="00B00F75"/>
    <w:rsid w:val="00B145B6"/>
    <w:rsid w:val="00B279EB"/>
    <w:rsid w:val="00B50C81"/>
    <w:rsid w:val="00B557F8"/>
    <w:rsid w:val="00B815FC"/>
    <w:rsid w:val="00B93FBC"/>
    <w:rsid w:val="00BA6732"/>
    <w:rsid w:val="00BA7DA0"/>
    <w:rsid w:val="00BB2EE4"/>
    <w:rsid w:val="00BC2108"/>
    <w:rsid w:val="00BD0E9E"/>
    <w:rsid w:val="00BD1BEC"/>
    <w:rsid w:val="00BD32FF"/>
    <w:rsid w:val="00BE3F4D"/>
    <w:rsid w:val="00C02092"/>
    <w:rsid w:val="00C1243C"/>
    <w:rsid w:val="00C24D91"/>
    <w:rsid w:val="00C43035"/>
    <w:rsid w:val="00C50046"/>
    <w:rsid w:val="00C53F14"/>
    <w:rsid w:val="00C600CF"/>
    <w:rsid w:val="00C6084F"/>
    <w:rsid w:val="00C62A66"/>
    <w:rsid w:val="00C71458"/>
    <w:rsid w:val="00C7395E"/>
    <w:rsid w:val="00C77613"/>
    <w:rsid w:val="00C828E7"/>
    <w:rsid w:val="00C86719"/>
    <w:rsid w:val="00C921DD"/>
    <w:rsid w:val="00C93E57"/>
    <w:rsid w:val="00CA6391"/>
    <w:rsid w:val="00CB0808"/>
    <w:rsid w:val="00CB2887"/>
    <w:rsid w:val="00CC34BD"/>
    <w:rsid w:val="00CE161A"/>
    <w:rsid w:val="00CE25F5"/>
    <w:rsid w:val="00CE3171"/>
    <w:rsid w:val="00CF1601"/>
    <w:rsid w:val="00D0172F"/>
    <w:rsid w:val="00D068A7"/>
    <w:rsid w:val="00D07FA9"/>
    <w:rsid w:val="00D144A0"/>
    <w:rsid w:val="00D17476"/>
    <w:rsid w:val="00D175C9"/>
    <w:rsid w:val="00D32086"/>
    <w:rsid w:val="00D37A3F"/>
    <w:rsid w:val="00D4431D"/>
    <w:rsid w:val="00D4667A"/>
    <w:rsid w:val="00D63A1C"/>
    <w:rsid w:val="00D7516F"/>
    <w:rsid w:val="00D8579F"/>
    <w:rsid w:val="00D95F8E"/>
    <w:rsid w:val="00DA0590"/>
    <w:rsid w:val="00DB7BEA"/>
    <w:rsid w:val="00DC1739"/>
    <w:rsid w:val="00DC1788"/>
    <w:rsid w:val="00DE319C"/>
    <w:rsid w:val="00DE5171"/>
    <w:rsid w:val="00DF0CA8"/>
    <w:rsid w:val="00DF2B48"/>
    <w:rsid w:val="00DF49A7"/>
    <w:rsid w:val="00E07EE2"/>
    <w:rsid w:val="00E07FD1"/>
    <w:rsid w:val="00E24573"/>
    <w:rsid w:val="00E25E1E"/>
    <w:rsid w:val="00E27EE7"/>
    <w:rsid w:val="00E35404"/>
    <w:rsid w:val="00E45109"/>
    <w:rsid w:val="00E47B7A"/>
    <w:rsid w:val="00E56A44"/>
    <w:rsid w:val="00E60269"/>
    <w:rsid w:val="00E77932"/>
    <w:rsid w:val="00E97830"/>
    <w:rsid w:val="00EE643C"/>
    <w:rsid w:val="00EF0683"/>
    <w:rsid w:val="00EF4D9C"/>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B4223"/>
    <w:rsid w:val="00FC4EFB"/>
    <w:rsid w:val="00FC51B8"/>
    <w:rsid w:val="00FC77D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ListParagraph">
    <w:name w:val="List Paragraph"/>
    <w:basedOn w:val="Normal"/>
    <w:uiPriority w:val="34"/>
    <w:qFormat/>
    <w:rsid w:val="007C4DF8"/>
    <w:pPr>
      <w:ind w:left="720"/>
      <w:contextualSpacing/>
    </w:pPr>
  </w:style>
  <w:style w:type="character" w:styleId="Emphasis">
    <w:name w:val="Emphasis"/>
    <w:basedOn w:val="DefaultParagraphFont"/>
    <w:uiPriority w:val="20"/>
    <w:qFormat/>
    <w:rsid w:val="007D2626"/>
    <w:rPr>
      <w:i/>
      <w:iCs/>
    </w:rPr>
  </w:style>
  <w:style w:type="table" w:styleId="TableGrid">
    <w:name w:val="Table Grid"/>
    <w:basedOn w:val="TableNormal"/>
    <w:uiPriority w:val="59"/>
    <w:rsid w:val="00D175C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D175C9"/>
    <w:rPr>
      <w:rFonts w:eastAsiaTheme="minorHAnsi" w:cstheme="minorBidi"/>
      <w:sz w:val="24"/>
      <w:szCs w:val="24"/>
      <w:lang w:eastAsia="en-US"/>
    </w:rPr>
  </w:style>
  <w:style w:type="paragraph" w:customStyle="1" w:styleId="SCCLsocPrefix">
    <w:name w:val="SCC.Lsoc.Prefix"/>
    <w:basedOn w:val="Normal"/>
    <w:next w:val="Normal"/>
    <w:link w:val="SCCLsocPrefixChar"/>
    <w:rsid w:val="00D175C9"/>
    <w:rPr>
      <w:rFonts w:eastAsiaTheme="minorHAnsi" w:cstheme="minorBidi"/>
      <w:b/>
      <w:smallCaps/>
      <w:szCs w:val="24"/>
      <w:lang w:eastAsia="en-US"/>
    </w:rPr>
  </w:style>
  <w:style w:type="character" w:customStyle="1" w:styleId="SCCLsocPrefixChar">
    <w:name w:val="SCC.Lsoc.Prefix Char"/>
    <w:basedOn w:val="DefaultParagraphFont"/>
    <w:link w:val="SCCLsocPrefix"/>
    <w:rsid w:val="00D175C9"/>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2014-11-18T13:52:00Z</dcterms:created>
  <dcterms:modified xsi:type="dcterms:W3CDTF">2015-03-06T19:00:00Z</dcterms:modified>
</cp:coreProperties>
</file>