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C54" w:rsidRDefault="005C3C54" w:rsidP="005C3C54">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pt;height:65pt" o:ole="">
            <v:imagedata r:id="rId8" o:title=""/>
          </v:shape>
          <o:OLEObject Type="Embed" ProgID="Presentations.Drawing.13" ShapeID="_x0000_i1025" DrawAspect="Content" ObjectID="_1493704413" r:id="rId9"/>
        </w:object>
      </w:r>
      <w:r>
        <w:t xml:space="preserve"> </w:t>
      </w:r>
      <w:r>
        <w:ptab w:relativeTo="margin" w:alignment="right" w:leader="none"/>
      </w:r>
    </w:p>
    <w:p w:rsidR="005C3C54" w:rsidRDefault="005C3C54" w:rsidP="005C3C54">
      <w:pPr>
        <w:pStyle w:val="Header"/>
      </w:pPr>
    </w:p>
    <w:p w:rsidR="005C3C54" w:rsidRPr="006B210C" w:rsidRDefault="005C3C54" w:rsidP="005C3C54">
      <w:pPr>
        <w:jc w:val="center"/>
        <w:rPr>
          <w:b/>
        </w:rPr>
      </w:pPr>
      <w:r w:rsidRPr="006B210C">
        <w:rPr>
          <w:b/>
        </w:rPr>
        <w:t>SUPREME COURT OF CANADA</w:t>
      </w:r>
    </w:p>
    <w:p w:rsidR="005C3C54" w:rsidRDefault="005C3C54" w:rsidP="005C3C54"/>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5C3C54" w:rsidRPr="006B210C" w:rsidTr="0031118D">
        <w:trPr>
          <w:cantSplit/>
        </w:trPr>
        <w:tc>
          <w:tcPr>
            <w:tcW w:w="6768" w:type="dxa"/>
          </w:tcPr>
          <w:p w:rsidR="005C3C54" w:rsidRPr="006B210C" w:rsidRDefault="005C3C54" w:rsidP="0031118D">
            <w:r w:rsidRPr="006B210C">
              <w:rPr>
                <w:b/>
                <w:smallCaps/>
              </w:rPr>
              <w:t>Citation</w:t>
            </w:r>
            <w:r>
              <w:rPr>
                <w:b/>
                <w:smallCaps/>
              </w:rPr>
              <w:t>:</w:t>
            </w:r>
            <w:r w:rsidRPr="006B210C">
              <w:t xml:space="preserve"> </w:t>
            </w:r>
            <w:r>
              <w:t xml:space="preserve"> </w:t>
            </w:r>
            <w:proofErr w:type="spellStart"/>
            <w:r w:rsidRPr="00982673">
              <w:t>Tervita</w:t>
            </w:r>
            <w:proofErr w:type="spellEnd"/>
            <w:r w:rsidRPr="00982673">
              <w:t xml:space="preserve"> Corp. </w:t>
            </w:r>
            <w:r w:rsidRPr="00982673">
              <w:rPr>
                <w:i/>
              </w:rPr>
              <w:t>v.</w:t>
            </w:r>
            <w:r w:rsidRPr="00982673">
              <w:t xml:space="preserve"> Canada (Commissioner of Competition)</w:t>
            </w:r>
            <w:r>
              <w:t xml:space="preserve">, 2015 SCC 3, </w:t>
            </w:r>
            <w:r w:rsidR="00897B4C">
              <w:t>[2015] 1 S.C.R. 161</w:t>
            </w:r>
            <w:r>
              <w:t xml:space="preserve"> </w:t>
            </w:r>
          </w:p>
        </w:tc>
        <w:tc>
          <w:tcPr>
            <w:tcW w:w="2808" w:type="dxa"/>
          </w:tcPr>
          <w:p w:rsidR="005C3C54" w:rsidRPr="006B210C" w:rsidRDefault="005C3C54" w:rsidP="0031118D">
            <w:r w:rsidRPr="006B210C">
              <w:rPr>
                <w:b/>
                <w:smallCaps/>
              </w:rPr>
              <w:t>Date</w:t>
            </w:r>
            <w:r>
              <w:rPr>
                <w:b/>
                <w:smallCaps/>
              </w:rPr>
              <w:t>:</w:t>
            </w:r>
            <w:r w:rsidRPr="006B210C">
              <w:t xml:space="preserve"> </w:t>
            </w:r>
            <w:r>
              <w:t>20150122</w:t>
            </w:r>
          </w:p>
          <w:p w:rsidR="005C3C54" w:rsidRPr="006B210C" w:rsidRDefault="005C3C54" w:rsidP="0031118D">
            <w:r w:rsidRPr="006B210C">
              <w:rPr>
                <w:b/>
                <w:smallCaps/>
              </w:rPr>
              <w:t>Docket</w:t>
            </w:r>
            <w:r>
              <w:rPr>
                <w:b/>
                <w:smallCaps/>
              </w:rPr>
              <w:t>:</w:t>
            </w:r>
            <w:r w:rsidRPr="006B210C">
              <w:t xml:space="preserve"> </w:t>
            </w:r>
            <w:r>
              <w:t>35314</w:t>
            </w:r>
          </w:p>
        </w:tc>
      </w:tr>
    </w:tbl>
    <w:p w:rsidR="005C3C54" w:rsidRPr="006B210C" w:rsidRDefault="005C3C54" w:rsidP="005C3C54"/>
    <w:p w:rsidR="005C3C54" w:rsidRDefault="005C3C54" w:rsidP="005C3C54">
      <w:pPr>
        <w:pStyle w:val="SCCLsocPrefix"/>
      </w:pPr>
      <w:r>
        <w:t>Between:</w:t>
      </w:r>
    </w:p>
    <w:p w:rsidR="005C3C54" w:rsidRDefault="005C3C54" w:rsidP="00897B4C">
      <w:pPr>
        <w:pStyle w:val="SCCLsocParty"/>
        <w:jc w:val="center"/>
      </w:pPr>
      <w:proofErr w:type="spellStart"/>
      <w:r>
        <w:t>Tervita</w:t>
      </w:r>
      <w:proofErr w:type="spellEnd"/>
      <w:r>
        <w:t xml:space="preserve"> Corporation,</w:t>
      </w:r>
    </w:p>
    <w:p w:rsidR="005C3C54" w:rsidRDefault="005C3C54" w:rsidP="00897B4C">
      <w:pPr>
        <w:pStyle w:val="SCCLsocParty"/>
        <w:jc w:val="center"/>
      </w:pPr>
      <w:r>
        <w:t>Complete Environmental Inc. and</w:t>
      </w:r>
    </w:p>
    <w:p w:rsidR="005C3C54" w:rsidRDefault="005C3C54" w:rsidP="00897B4C">
      <w:pPr>
        <w:pStyle w:val="SCCLsocParty"/>
        <w:jc w:val="center"/>
      </w:pPr>
      <w:proofErr w:type="spellStart"/>
      <w:r>
        <w:t>Babkirk</w:t>
      </w:r>
      <w:proofErr w:type="spellEnd"/>
      <w:r>
        <w:t xml:space="preserve"> Land Services Inc.</w:t>
      </w:r>
    </w:p>
    <w:p w:rsidR="005C3C54" w:rsidRDefault="005C3C54" w:rsidP="00897B4C">
      <w:pPr>
        <w:jc w:val="center"/>
      </w:pPr>
      <w:r>
        <w:t>Appellants</w:t>
      </w:r>
    </w:p>
    <w:p w:rsidR="005C3C54" w:rsidRPr="00897B4C" w:rsidRDefault="005C3C54" w:rsidP="00897B4C">
      <w:pPr>
        <w:pStyle w:val="SCCLsocVersus"/>
        <w:spacing w:after="0"/>
        <w:jc w:val="center"/>
        <w:rPr>
          <w:i w:val="0"/>
        </w:rPr>
      </w:pPr>
      <w:proofErr w:type="gramStart"/>
      <w:r w:rsidRPr="00897B4C">
        <w:rPr>
          <w:i w:val="0"/>
        </w:rPr>
        <w:t>and</w:t>
      </w:r>
      <w:proofErr w:type="gramEnd"/>
    </w:p>
    <w:p w:rsidR="005C3C54" w:rsidRDefault="005C3C54" w:rsidP="00897B4C">
      <w:pPr>
        <w:pStyle w:val="SCCLsocParty"/>
        <w:jc w:val="center"/>
      </w:pPr>
      <w:r>
        <w:t>Commissioner of Competition</w:t>
      </w:r>
    </w:p>
    <w:p w:rsidR="005C3C54" w:rsidRDefault="005C3C54" w:rsidP="00897B4C">
      <w:pPr>
        <w:jc w:val="center"/>
      </w:pPr>
      <w:r>
        <w:t>Respondent</w:t>
      </w:r>
    </w:p>
    <w:p w:rsidR="005C3C54" w:rsidRDefault="005C3C54" w:rsidP="00897B4C">
      <w:pPr>
        <w:jc w:val="center"/>
      </w:pPr>
    </w:p>
    <w:p w:rsidR="005C3C54" w:rsidRPr="006B210C" w:rsidRDefault="005C3C54" w:rsidP="00897B4C">
      <w:pPr>
        <w:jc w:val="center"/>
      </w:pPr>
    </w:p>
    <w:p w:rsidR="005C3C54" w:rsidRPr="006B210C" w:rsidRDefault="005C3C54" w:rsidP="005C3C54">
      <w:r w:rsidRPr="006B210C">
        <w:rPr>
          <w:b/>
          <w:smallCaps/>
        </w:rPr>
        <w:t>Coram</w:t>
      </w:r>
      <w:r>
        <w:rPr>
          <w:b/>
          <w:smallCaps/>
        </w:rPr>
        <w:t>:</w:t>
      </w:r>
      <w:r w:rsidRPr="006B210C">
        <w:t xml:space="preserve"> </w:t>
      </w:r>
      <w:proofErr w:type="spellStart"/>
      <w:r>
        <w:t>McLachlin</w:t>
      </w:r>
      <w:proofErr w:type="spellEnd"/>
      <w:r>
        <w:t xml:space="preserve"> C.J. and </w:t>
      </w:r>
      <w:proofErr w:type="spellStart"/>
      <w:r>
        <w:t>Abella</w:t>
      </w:r>
      <w:proofErr w:type="spellEnd"/>
      <w:r>
        <w:t xml:space="preserve">, Rothstein, Cromwell, </w:t>
      </w:r>
      <w:proofErr w:type="spellStart"/>
      <w:r>
        <w:t>Moldaver</w:t>
      </w:r>
      <w:proofErr w:type="spellEnd"/>
      <w:r>
        <w:t xml:space="preserve">, </w:t>
      </w:r>
      <w:proofErr w:type="spellStart"/>
      <w:r>
        <w:t>Karakatsanis</w:t>
      </w:r>
      <w:proofErr w:type="spellEnd"/>
      <w:r>
        <w:t xml:space="preserve"> and </w:t>
      </w:r>
      <w:r w:rsidRPr="00E720CA">
        <w:t>Wagner</w:t>
      </w:r>
      <w:r>
        <w:t> JJ.</w:t>
      </w:r>
    </w:p>
    <w:p w:rsidR="005C3C54" w:rsidRPr="006B210C" w:rsidRDefault="005C3C54" w:rsidP="005C3C5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5C3C54" w:rsidRPr="006B210C" w:rsidTr="0031118D">
        <w:trPr>
          <w:cantSplit/>
        </w:trPr>
        <w:tc>
          <w:tcPr>
            <w:tcW w:w="3618" w:type="dxa"/>
          </w:tcPr>
          <w:p w:rsidR="005C3C54" w:rsidRDefault="005C3C54" w:rsidP="0031118D">
            <w:pPr>
              <w:rPr>
                <w:b/>
                <w:smallCaps/>
              </w:rPr>
            </w:pPr>
            <w:r w:rsidRPr="006B210C">
              <w:rPr>
                <w:b/>
                <w:smallCaps/>
              </w:rPr>
              <w:t>Reasons for Judgment</w:t>
            </w:r>
            <w:r>
              <w:rPr>
                <w:b/>
                <w:smallCaps/>
              </w:rPr>
              <w:t>:</w:t>
            </w:r>
          </w:p>
          <w:p w:rsidR="005C3C54" w:rsidRPr="00982673" w:rsidRDefault="005C3C54" w:rsidP="0031118D">
            <w:pPr>
              <w:rPr>
                <w:smallCaps/>
              </w:rPr>
            </w:pPr>
            <w:r>
              <w:t>(paras. 1 to 168)</w:t>
            </w:r>
          </w:p>
          <w:p w:rsidR="005C3C54" w:rsidRPr="00982673" w:rsidRDefault="005C3C54" w:rsidP="0031118D">
            <w:pPr>
              <w:rPr>
                <w:smallCaps/>
              </w:rPr>
            </w:pPr>
          </w:p>
          <w:p w:rsidR="005C3C54" w:rsidRPr="00982673" w:rsidRDefault="005C3C54" w:rsidP="0031118D">
            <w:pPr>
              <w:rPr>
                <w:b/>
                <w:smallCaps/>
              </w:rPr>
            </w:pPr>
            <w:r>
              <w:rPr>
                <w:b/>
                <w:smallCaps/>
              </w:rPr>
              <w:t>Partially Concurring Reasons</w:t>
            </w:r>
            <w:r w:rsidRPr="00982673">
              <w:rPr>
                <w:b/>
                <w:smallCaps/>
              </w:rPr>
              <w:t>:</w:t>
            </w:r>
          </w:p>
          <w:p w:rsidR="005C3C54" w:rsidRDefault="005C3C54" w:rsidP="0031118D">
            <w:r>
              <w:t>(paras. 169 to 180)</w:t>
            </w:r>
          </w:p>
          <w:p w:rsidR="005C3C54" w:rsidRDefault="005C3C54" w:rsidP="0031118D"/>
          <w:p w:rsidR="005C3C54" w:rsidRPr="00982673" w:rsidRDefault="005C3C54" w:rsidP="0031118D">
            <w:pPr>
              <w:rPr>
                <w:b/>
                <w:smallCaps/>
              </w:rPr>
            </w:pPr>
            <w:r w:rsidRPr="00982673">
              <w:rPr>
                <w:b/>
                <w:smallCaps/>
              </w:rPr>
              <w:t>Dissenting Reasons:</w:t>
            </w:r>
          </w:p>
          <w:p w:rsidR="005C3C54" w:rsidRPr="00982673" w:rsidRDefault="005C3C54" w:rsidP="0031118D">
            <w:pPr>
              <w:rPr>
                <w:smallCaps/>
              </w:rPr>
            </w:pPr>
            <w:r>
              <w:t>(paras. 181 to 200)</w:t>
            </w:r>
          </w:p>
          <w:p w:rsidR="005C3C54" w:rsidRPr="006B210C" w:rsidRDefault="005C3C54" w:rsidP="0031118D"/>
        </w:tc>
        <w:tc>
          <w:tcPr>
            <w:tcW w:w="5958" w:type="dxa"/>
          </w:tcPr>
          <w:p w:rsidR="005C3C54" w:rsidRDefault="005C3C54" w:rsidP="0031118D">
            <w:r>
              <w:t>Rothstein J. (</w:t>
            </w:r>
            <w:proofErr w:type="spellStart"/>
            <w:r>
              <w:t>McLachlin</w:t>
            </w:r>
            <w:proofErr w:type="spellEnd"/>
            <w:r>
              <w:t xml:space="preserve"> C.J. and Cromwell, </w:t>
            </w:r>
            <w:proofErr w:type="spellStart"/>
            <w:r>
              <w:t>Moldaver</w:t>
            </w:r>
            <w:proofErr w:type="spellEnd"/>
            <w:r>
              <w:t xml:space="preserve"> and Wagner JJ. concurring)</w:t>
            </w:r>
          </w:p>
          <w:p w:rsidR="005C3C54" w:rsidRDefault="005C3C54" w:rsidP="0031118D"/>
          <w:p w:rsidR="005C3C54" w:rsidRDefault="005C3C54" w:rsidP="0031118D">
            <w:proofErr w:type="spellStart"/>
            <w:r>
              <w:t>Abella</w:t>
            </w:r>
            <w:proofErr w:type="spellEnd"/>
            <w:r>
              <w:t xml:space="preserve"> J.</w:t>
            </w:r>
          </w:p>
          <w:p w:rsidR="005C3C54" w:rsidRDefault="005C3C54" w:rsidP="0031118D"/>
          <w:p w:rsidR="005C3C54" w:rsidRDefault="005C3C54" w:rsidP="0031118D"/>
          <w:p w:rsidR="005C3C54" w:rsidRDefault="005C3C54" w:rsidP="0031118D"/>
          <w:p w:rsidR="005C3C54" w:rsidRPr="006B210C" w:rsidRDefault="005C3C54" w:rsidP="0031118D">
            <w:proofErr w:type="spellStart"/>
            <w:r>
              <w:t>Karakatsanis</w:t>
            </w:r>
            <w:proofErr w:type="spellEnd"/>
            <w:r>
              <w:t xml:space="preserve"> J.</w:t>
            </w:r>
          </w:p>
        </w:tc>
      </w:tr>
    </w:tbl>
    <w:p w:rsidR="005C3C54" w:rsidRPr="006B210C" w:rsidRDefault="005C3C54" w:rsidP="005C3C54">
      <w:r w:rsidRPr="00FD572B">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mso-position-horizontal-relative:text;mso-position-vertical-relative:text" o:connectortype="straight"/>
        </w:pict>
      </w:r>
    </w:p>
    <w:p w:rsidR="005C3C54" w:rsidRDefault="005C3C54" w:rsidP="00154FA9">
      <w:pPr>
        <w:spacing w:after="720"/>
        <w:jc w:val="both"/>
        <w:rPr>
          <w:rStyle w:val="SCCAppellantForRunningHeadChar"/>
        </w:rPr>
      </w:pPr>
    </w:p>
    <w:p w:rsidR="00200735" w:rsidRPr="00201EC9" w:rsidRDefault="00200735" w:rsidP="00154FA9">
      <w:pPr>
        <w:spacing w:after="720"/>
        <w:jc w:val="both"/>
      </w:pPr>
      <w:proofErr w:type="spellStart"/>
      <w:r w:rsidRPr="00201EC9">
        <w:rPr>
          <w:rStyle w:val="SCCAppellantForRunningHeadChar"/>
        </w:rPr>
        <w:t>tervita</w:t>
      </w:r>
      <w:proofErr w:type="spellEnd"/>
      <w:r w:rsidRPr="00201EC9">
        <w:rPr>
          <w:rStyle w:val="SCCAppellantForRunningHeadChar"/>
        </w:rPr>
        <w:t xml:space="preserve"> </w:t>
      </w:r>
      <w:r w:rsidRPr="00201EC9">
        <w:rPr>
          <w:i/>
        </w:rPr>
        <w:t>v.</w:t>
      </w:r>
      <w:r w:rsidRPr="00201EC9">
        <w:t xml:space="preserve"> </w:t>
      </w:r>
      <w:proofErr w:type="spellStart"/>
      <w:r w:rsidRPr="00201EC9">
        <w:rPr>
          <w:rStyle w:val="SCCRespondentForRunningHeadChar"/>
        </w:rPr>
        <w:t>cana</w:t>
      </w:r>
      <w:r w:rsidR="00997996">
        <w:rPr>
          <w:rStyle w:val="SCCRespondentForRunningHeadChar"/>
        </w:rPr>
        <w:t>da</w:t>
      </w:r>
      <w:proofErr w:type="spellEnd"/>
      <w:r w:rsidR="00997996">
        <w:rPr>
          <w:rStyle w:val="SCCRespondentForRunningHeadChar"/>
        </w:rPr>
        <w:t xml:space="preserve"> (commissioner</w:t>
      </w:r>
      <w:r w:rsidR="008B1EDF">
        <w:rPr>
          <w:rStyle w:val="SCCRespondentForRunningHeadChar"/>
        </w:rPr>
        <w:t xml:space="preserve"> of competition)</w:t>
      </w:r>
      <w:r w:rsidR="00997996">
        <w:rPr>
          <w:rStyle w:val="SCCRespondentForRunningHeadChar"/>
        </w:rPr>
        <w:t xml:space="preserve">, </w:t>
      </w:r>
      <w:r w:rsidR="00997996" w:rsidRPr="00201EC9">
        <w:t>2015 SCC</w:t>
      </w:r>
      <w:r w:rsidR="00997996">
        <w:t xml:space="preserve"> </w:t>
      </w:r>
      <w:r w:rsidR="00997996" w:rsidRPr="00201EC9">
        <w:t>3</w:t>
      </w:r>
      <w:r w:rsidR="00997996">
        <w:t>, [2015] 1 S.C.R. 161</w:t>
      </w:r>
    </w:p>
    <w:p w:rsidR="00200735" w:rsidRPr="00201EC9" w:rsidRDefault="00200735" w:rsidP="00154FA9">
      <w:pPr>
        <w:pStyle w:val="SCCLsocParty"/>
      </w:pPr>
      <w:proofErr w:type="spellStart"/>
      <w:r w:rsidRPr="00201EC9">
        <w:t>Tervita</w:t>
      </w:r>
      <w:proofErr w:type="spellEnd"/>
      <w:r w:rsidRPr="00201EC9">
        <w:t xml:space="preserve"> Corporation,</w:t>
      </w:r>
    </w:p>
    <w:p w:rsidR="00200735" w:rsidRPr="00201EC9" w:rsidRDefault="00200735" w:rsidP="00154FA9">
      <w:pPr>
        <w:pStyle w:val="SCCLsocParty"/>
      </w:pPr>
      <w:r w:rsidRPr="00201EC9">
        <w:t xml:space="preserve">Complete Environmental Inc. and </w:t>
      </w:r>
    </w:p>
    <w:p w:rsidR="00200735" w:rsidRPr="00201EC9" w:rsidRDefault="00200735" w:rsidP="00154FA9">
      <w:pPr>
        <w:pStyle w:val="SCCLsocLastPartyInRole"/>
      </w:pPr>
      <w:proofErr w:type="spellStart"/>
      <w:r w:rsidRPr="00201EC9">
        <w:t>Babkirk</w:t>
      </w:r>
      <w:proofErr w:type="spellEnd"/>
      <w:r w:rsidRPr="00201EC9">
        <w:t xml:space="preserve"> Land Services Inc.</w:t>
      </w:r>
      <w:r w:rsidRPr="00201EC9">
        <w:rPr>
          <w:rStyle w:val="SCCLsocPartyRole"/>
        </w:rPr>
        <w:tab/>
        <w:t>Appellants</w:t>
      </w:r>
    </w:p>
    <w:p w:rsidR="00200735" w:rsidRPr="00201EC9" w:rsidRDefault="00200735" w:rsidP="00154FA9">
      <w:pPr>
        <w:pStyle w:val="SCCLsocVersus"/>
      </w:pPr>
      <w:proofErr w:type="gramStart"/>
      <w:r w:rsidRPr="00201EC9">
        <w:lastRenderedPageBreak/>
        <w:t>v</w:t>
      </w:r>
      <w:proofErr w:type="gramEnd"/>
      <w:r w:rsidRPr="00201EC9">
        <w:t>.</w:t>
      </w:r>
    </w:p>
    <w:p w:rsidR="00200735" w:rsidRPr="00201EC9" w:rsidRDefault="00200735" w:rsidP="00154FA9">
      <w:pPr>
        <w:pStyle w:val="SCCLsocLastPartyInRole"/>
      </w:pPr>
      <w:r w:rsidRPr="00201EC9">
        <w:t>Commissioner of Competition</w:t>
      </w:r>
      <w:r w:rsidRPr="00201EC9">
        <w:rPr>
          <w:rStyle w:val="SCCLsocPartyRole"/>
        </w:rPr>
        <w:tab/>
        <w:t>Respondent</w:t>
      </w:r>
    </w:p>
    <w:p w:rsidR="00200735" w:rsidRPr="00201EC9" w:rsidRDefault="00200735" w:rsidP="00154FA9">
      <w:pPr>
        <w:spacing w:after="720"/>
        <w:jc w:val="both"/>
        <w:rPr>
          <w:b/>
        </w:rPr>
      </w:pPr>
      <w:r w:rsidRPr="00201EC9">
        <w:rPr>
          <w:b/>
        </w:rPr>
        <w:t xml:space="preserve">Indexed as:  </w:t>
      </w:r>
      <w:proofErr w:type="spellStart"/>
      <w:r w:rsidRPr="00201EC9">
        <w:rPr>
          <w:rStyle w:val="SCCAppellantForIndexChar"/>
        </w:rPr>
        <w:t>Tervita</w:t>
      </w:r>
      <w:proofErr w:type="spellEnd"/>
      <w:r w:rsidRPr="00201EC9">
        <w:rPr>
          <w:rStyle w:val="SCCAppellantForIndexChar"/>
        </w:rPr>
        <w:t xml:space="preserve"> Corp.</w:t>
      </w:r>
      <w:r w:rsidR="00154FA9">
        <w:rPr>
          <w:rStyle w:val="SCCAppellantForIndexChar"/>
        </w:rPr>
        <w:t xml:space="preserve"> </w:t>
      </w:r>
      <w:r w:rsidRPr="00201EC9">
        <w:rPr>
          <w:b/>
          <w:i/>
        </w:rPr>
        <w:t>v.</w:t>
      </w:r>
      <w:r w:rsidRPr="00201EC9">
        <w:rPr>
          <w:b/>
        </w:rPr>
        <w:t xml:space="preserve"> Canada (</w:t>
      </w:r>
      <w:r w:rsidRPr="00201EC9">
        <w:rPr>
          <w:rStyle w:val="SCCRespondentForIndexChar"/>
        </w:rPr>
        <w:t>Commissioner of Competition)</w:t>
      </w:r>
    </w:p>
    <w:p w:rsidR="00200735" w:rsidRPr="00201EC9" w:rsidRDefault="00200735" w:rsidP="00154FA9">
      <w:pPr>
        <w:pStyle w:val="SCCSystemYear"/>
        <w:spacing w:after="720"/>
        <w:jc w:val="both"/>
      </w:pPr>
      <w:r w:rsidRPr="00201EC9">
        <w:t>2015 SCC</w:t>
      </w:r>
      <w:r w:rsidR="00154FA9">
        <w:t xml:space="preserve"> </w:t>
      </w:r>
      <w:r w:rsidRPr="00201EC9">
        <w:t>3</w:t>
      </w:r>
    </w:p>
    <w:p w:rsidR="00200735" w:rsidRPr="00201EC9" w:rsidRDefault="00200735" w:rsidP="00154FA9">
      <w:pPr>
        <w:spacing w:after="720"/>
        <w:jc w:val="both"/>
      </w:pPr>
      <w:r w:rsidRPr="00201EC9">
        <w:t>File No.:  35314.</w:t>
      </w:r>
    </w:p>
    <w:p w:rsidR="00200735" w:rsidRPr="00201EC9" w:rsidRDefault="00200735" w:rsidP="00154FA9">
      <w:pPr>
        <w:spacing w:after="720"/>
        <w:jc w:val="both"/>
      </w:pPr>
      <w:r w:rsidRPr="00201EC9">
        <w:t>2014:</w:t>
      </w:r>
      <w:r w:rsidR="00154FA9">
        <w:t xml:space="preserve">  </w:t>
      </w:r>
      <w:r w:rsidRPr="00201EC9">
        <w:t>March</w:t>
      </w:r>
      <w:r w:rsidR="00154FA9">
        <w:t xml:space="preserve"> </w:t>
      </w:r>
      <w:r w:rsidRPr="00201EC9">
        <w:t>27; 2015:</w:t>
      </w:r>
      <w:r w:rsidR="00154FA9">
        <w:t xml:space="preserve">  </w:t>
      </w:r>
      <w:r w:rsidRPr="00201EC9">
        <w:t>January</w:t>
      </w:r>
      <w:r w:rsidR="00154FA9">
        <w:t xml:space="preserve"> </w:t>
      </w:r>
      <w:r w:rsidRPr="00201EC9">
        <w:t>22.</w:t>
      </w:r>
    </w:p>
    <w:p w:rsidR="00200735" w:rsidRPr="00201EC9" w:rsidRDefault="00200735" w:rsidP="00154FA9">
      <w:pPr>
        <w:spacing w:after="720"/>
        <w:jc w:val="both"/>
      </w:pPr>
      <w:r w:rsidRPr="00201EC9">
        <w:t xml:space="preserve">Present:  </w:t>
      </w:r>
      <w:proofErr w:type="spellStart"/>
      <w:r w:rsidRPr="00201EC9">
        <w:t>McLachlin</w:t>
      </w:r>
      <w:proofErr w:type="spellEnd"/>
      <w:r w:rsidR="00154FA9">
        <w:t xml:space="preserve"> </w:t>
      </w:r>
      <w:r w:rsidRPr="00201EC9">
        <w:t xml:space="preserve">C.J. and </w:t>
      </w:r>
      <w:proofErr w:type="spellStart"/>
      <w:r w:rsidRPr="00201EC9">
        <w:t>Abella</w:t>
      </w:r>
      <w:proofErr w:type="spellEnd"/>
      <w:r w:rsidRPr="00201EC9">
        <w:t xml:space="preserve">, Rothstein, Cromwell, </w:t>
      </w:r>
      <w:proofErr w:type="spellStart"/>
      <w:r w:rsidRPr="00201EC9">
        <w:t>Moldaver</w:t>
      </w:r>
      <w:proofErr w:type="spellEnd"/>
      <w:r w:rsidRPr="00201EC9">
        <w:t xml:space="preserve">, </w:t>
      </w:r>
      <w:proofErr w:type="spellStart"/>
      <w:r w:rsidRPr="00201EC9">
        <w:t>Karakatsanis</w:t>
      </w:r>
      <w:proofErr w:type="spellEnd"/>
      <w:r w:rsidRPr="00201EC9">
        <w:t xml:space="preserve"> and Wagner</w:t>
      </w:r>
      <w:r w:rsidR="00154FA9">
        <w:t xml:space="preserve"> </w:t>
      </w:r>
      <w:r w:rsidRPr="00201EC9">
        <w:t>JJ.</w:t>
      </w:r>
    </w:p>
    <w:p w:rsidR="00200735" w:rsidRPr="00201EC9" w:rsidRDefault="00200735" w:rsidP="00154FA9">
      <w:pPr>
        <w:pStyle w:val="SCCLowerCourtNameLowercase"/>
        <w:spacing w:after="720" w:line="240" w:lineRule="auto"/>
      </w:pPr>
      <w:r w:rsidRPr="00201EC9">
        <w:t>on appeal from the federal court of appeal</w:t>
      </w:r>
    </w:p>
    <w:p w:rsidR="00200735" w:rsidRPr="00201EC9" w:rsidRDefault="00200735" w:rsidP="00154FA9">
      <w:pPr>
        <w:pStyle w:val="SCCNormalDoubleSpacing"/>
        <w:spacing w:before="480" w:after="480"/>
        <w:rPr>
          <w:i/>
        </w:rPr>
      </w:pPr>
      <w:r w:rsidRPr="00201EC9">
        <w:tab/>
      </w:r>
      <w:r w:rsidRPr="00201EC9">
        <w:rPr>
          <w:i/>
        </w:rPr>
        <w:t>Competition — Mergers — Review — Commissioner of Competition opposing merger on ground that merger likely to prevent competition substantially — Merged parties raising statutory efficiencies defence — Competition Tribunal rejecting defence and making divestiture order — Proper legal test for determining when merger gives rise to substantial prevention of competition under Competition Act — Proper approach to statutory efficiencies defence — Content of Commissioner’s burden for purposes of efficiencies defence — Whether merger likely to prevent competition substantially — Whether gains in efficiency resulting from merger greater than and offset anti</w:t>
      </w:r>
      <w:r w:rsidR="00154FA9">
        <w:rPr>
          <w:i/>
        </w:rPr>
        <w:t>-</w:t>
      </w:r>
      <w:r w:rsidRPr="00201EC9">
        <w:rPr>
          <w:i/>
        </w:rPr>
        <w:t>competitive effects of merger — Competition Act, R.S.C. 1985, c.</w:t>
      </w:r>
      <w:r w:rsidR="00154FA9">
        <w:rPr>
          <w:i/>
        </w:rPr>
        <w:t xml:space="preserve"> </w:t>
      </w:r>
      <w:r w:rsidRPr="00201EC9">
        <w:rPr>
          <w:i/>
        </w:rPr>
        <w:t>C</w:t>
      </w:r>
      <w:r w:rsidR="00154FA9">
        <w:rPr>
          <w:i/>
        </w:rPr>
        <w:t>-</w:t>
      </w:r>
      <w:r w:rsidRPr="00201EC9">
        <w:rPr>
          <w:i/>
        </w:rPr>
        <w:t>34, ss.</w:t>
      </w:r>
      <w:r w:rsidR="00154FA9">
        <w:rPr>
          <w:i/>
        </w:rPr>
        <w:t xml:space="preserve"> </w:t>
      </w:r>
      <w:r w:rsidRPr="00201EC9">
        <w:rPr>
          <w:i/>
        </w:rPr>
        <w:t>92, 96.</w:t>
      </w:r>
    </w:p>
    <w:p w:rsidR="00200735" w:rsidRPr="00201EC9" w:rsidRDefault="00200735" w:rsidP="00154FA9">
      <w:pPr>
        <w:pStyle w:val="SCCNormalDoubleSpacing"/>
        <w:spacing w:before="480" w:after="480"/>
        <w:rPr>
          <w:i/>
        </w:rPr>
      </w:pPr>
      <w:r w:rsidRPr="00201EC9">
        <w:rPr>
          <w:i/>
        </w:rPr>
        <w:lastRenderedPageBreak/>
        <w:tab/>
        <w:t>Administrative law — Appeals — Standard of review — Competition Tribunal — Standard of review applicable to tribunal’s determinations of questions of law arising under Competition Act, R.S.C. 1985, c.</w:t>
      </w:r>
      <w:r w:rsidR="00154FA9">
        <w:rPr>
          <w:i/>
        </w:rPr>
        <w:t xml:space="preserve"> </w:t>
      </w:r>
      <w:r w:rsidRPr="00201EC9">
        <w:rPr>
          <w:i/>
        </w:rPr>
        <w:t>C</w:t>
      </w:r>
      <w:r w:rsidR="00154FA9">
        <w:rPr>
          <w:i/>
        </w:rPr>
        <w:t>-</w:t>
      </w:r>
      <w:r w:rsidRPr="00201EC9">
        <w:rPr>
          <w:i/>
        </w:rPr>
        <w:t>34 — Whether statutory language in appeal provision rebuts presumption that standard of reasonableness applies to tribunal’s interpretation of own statute — Competition Tribunal Act, R.S.C. 1985, c.</w:t>
      </w:r>
      <w:r w:rsidR="00154FA9">
        <w:rPr>
          <w:i/>
        </w:rPr>
        <w:t xml:space="preserve"> </w:t>
      </w:r>
      <w:r w:rsidRPr="00201EC9">
        <w:rPr>
          <w:i/>
        </w:rPr>
        <w:t>19</w:t>
      </w:r>
      <w:r>
        <w:rPr>
          <w:i/>
        </w:rPr>
        <w:t xml:space="preserve"> (2</w:t>
      </w:r>
      <w:r w:rsidRPr="003A195D">
        <w:rPr>
          <w:i/>
        </w:rPr>
        <w:t>nd</w:t>
      </w:r>
      <w:r w:rsidR="00681DBF">
        <w:rPr>
          <w:i/>
        </w:rPr>
        <w:t xml:space="preserve"> S</w:t>
      </w:r>
      <w:r>
        <w:rPr>
          <w:i/>
        </w:rPr>
        <w:t>upp.)</w:t>
      </w:r>
      <w:r w:rsidRPr="00201EC9">
        <w:rPr>
          <w:i/>
        </w:rPr>
        <w:t>, s.</w:t>
      </w:r>
      <w:r w:rsidR="00154FA9">
        <w:rPr>
          <w:i/>
        </w:rPr>
        <w:t xml:space="preserve"> </w:t>
      </w:r>
      <w:r w:rsidRPr="00201EC9">
        <w:rPr>
          <w:i/>
        </w:rPr>
        <w:t>13(1).</w:t>
      </w:r>
    </w:p>
    <w:p w:rsidR="00200735" w:rsidRPr="00201EC9" w:rsidRDefault="00200735" w:rsidP="00154FA9">
      <w:pPr>
        <w:pStyle w:val="SCCNormalDoubleSpacing"/>
        <w:spacing w:before="480" w:after="480"/>
      </w:pPr>
      <w:r w:rsidRPr="00201EC9">
        <w:tab/>
        <w:t>Four permits for the operation of secure landfills for the disposal of hazardous waste generated by oil and gas operations have been issued in Northeastern British Columbia.  T holds two permits and operates two landfills pursuant to them.  A third permit is held by an Aboriginal community but the landfill has not yet been constructed.  The fourth permit is held by B, a wholly owned subsidiary of C.  When T acquired C, the Commissioner of Competition (the “Commissioner”) opposed the transaction on the ground that it was likely to substantially prevent competition in secure landfill services in Northeastern British Columbia.  The Commissioner asked the Competition Tribunal (the “Tribunal”) to order, pursuant to s.</w:t>
      </w:r>
      <w:r w:rsidR="00154FA9">
        <w:t xml:space="preserve"> </w:t>
      </w:r>
      <w:r w:rsidRPr="00201EC9">
        <w:t xml:space="preserve">92 of the </w:t>
      </w:r>
      <w:r w:rsidRPr="00201EC9">
        <w:rPr>
          <w:i/>
        </w:rPr>
        <w:t>Competition Act</w:t>
      </w:r>
      <w:r w:rsidRPr="00201EC9">
        <w:t>, R.S.C. 1985, c. C</w:t>
      </w:r>
      <w:r w:rsidR="00154FA9">
        <w:t>-</w:t>
      </w:r>
      <w:r w:rsidRPr="00201EC9">
        <w:t xml:space="preserve">34 (the “Act”), that the transaction be dissolved, or in the alternative, that T divest itself of B or C.  </w:t>
      </w:r>
    </w:p>
    <w:p w:rsidR="00200735" w:rsidRPr="00201EC9" w:rsidRDefault="00200735" w:rsidP="00154FA9">
      <w:pPr>
        <w:pStyle w:val="SCCNormalDoubleSpacing"/>
      </w:pPr>
      <w:r w:rsidRPr="00201EC9">
        <w:tab/>
        <w:t>Pursuant to s.</w:t>
      </w:r>
      <w:r w:rsidR="00154FA9">
        <w:t xml:space="preserve"> </w:t>
      </w:r>
      <w:r w:rsidRPr="00201EC9">
        <w:t>92 of the Act, the Tribunal found that the merger was likely to prevent competition substantially in the relevant market.  It further found that the efficiencies gained by the merger were not greater than and would not offset the anti</w:t>
      </w:r>
      <w:r w:rsidR="00154FA9">
        <w:t>-</w:t>
      </w:r>
      <w:r w:rsidRPr="00201EC9">
        <w:t>competitive effects of the merger, such that T had failed to bring itself within the efficiencies exception contained in s.</w:t>
      </w:r>
      <w:r w:rsidR="00154FA9">
        <w:t xml:space="preserve"> </w:t>
      </w:r>
      <w:r w:rsidRPr="00201EC9">
        <w:t xml:space="preserve">96 of the Act.  The Tribunal ordered T to divest itself of B.  The Federal Court of Appeal upheld the Tribunal’s conclusion that the </w:t>
      </w:r>
      <w:r w:rsidRPr="00201EC9">
        <w:lastRenderedPageBreak/>
        <w:t>merger would likely substantially prevent competition.  With respect to the s.</w:t>
      </w:r>
      <w:r w:rsidR="00154FA9">
        <w:t xml:space="preserve"> </w:t>
      </w:r>
      <w:r w:rsidRPr="00201EC9">
        <w:t>96 efficiencies defence, the court held that the Tribunal erred in a number of respects.</w:t>
      </w:r>
      <w:r w:rsidR="00154FA9">
        <w:t xml:space="preserve"> </w:t>
      </w:r>
      <w:r w:rsidRPr="00201EC9">
        <w:t xml:space="preserve"> However, in its fresh assessment of the matter, the court concluded that the merger only provided marginal gains in efficiency which </w:t>
      </w:r>
      <w:proofErr w:type="gramStart"/>
      <w:r w:rsidRPr="00201EC9">
        <w:t>were</w:t>
      </w:r>
      <w:proofErr w:type="gramEnd"/>
      <w:r w:rsidRPr="00201EC9">
        <w:t xml:space="preserve"> not significant enough to approve a merger under s.</w:t>
      </w:r>
      <w:r w:rsidR="00154FA9">
        <w:t xml:space="preserve"> </w:t>
      </w:r>
      <w:r w:rsidRPr="00201EC9">
        <w:t>96.  As a result, the court dismissed the appeal.</w:t>
      </w:r>
    </w:p>
    <w:p w:rsidR="00200735" w:rsidRPr="00201EC9" w:rsidRDefault="00200735" w:rsidP="00154FA9">
      <w:pPr>
        <w:pStyle w:val="SCCNormalDoubleSpacing"/>
        <w:spacing w:before="480" w:after="480"/>
      </w:pPr>
      <w:r w:rsidRPr="00201EC9">
        <w:tab/>
      </w:r>
      <w:r w:rsidRPr="00201EC9">
        <w:rPr>
          <w:rStyle w:val="QuoteChar"/>
        </w:rPr>
        <w:t>Held</w:t>
      </w:r>
      <w:r w:rsidRPr="00A62FFC">
        <w:rPr>
          <w:rStyle w:val="QuoteChar"/>
          <w:i w:val="0"/>
        </w:rPr>
        <w:t xml:space="preserve"> (</w:t>
      </w:r>
      <w:proofErr w:type="spellStart"/>
      <w:r w:rsidRPr="00A62FFC">
        <w:rPr>
          <w:rStyle w:val="QuoteChar"/>
          <w:i w:val="0"/>
        </w:rPr>
        <w:t>Karakatsanis</w:t>
      </w:r>
      <w:proofErr w:type="spellEnd"/>
      <w:r w:rsidR="00154FA9">
        <w:rPr>
          <w:rStyle w:val="QuoteChar"/>
          <w:i w:val="0"/>
        </w:rPr>
        <w:t xml:space="preserve"> </w:t>
      </w:r>
      <w:r w:rsidRPr="00A62FFC">
        <w:rPr>
          <w:rStyle w:val="QuoteChar"/>
          <w:i w:val="0"/>
        </w:rPr>
        <w:t>J. dissenting):</w:t>
      </w:r>
      <w:r w:rsidRPr="00A62FFC">
        <w:rPr>
          <w:i/>
        </w:rPr>
        <w:t xml:space="preserve">  </w:t>
      </w:r>
      <w:r w:rsidRPr="00201EC9">
        <w:t>The appeal should be allowed, the divestiture order set aside and the s.</w:t>
      </w:r>
      <w:r w:rsidR="00154FA9">
        <w:t xml:space="preserve"> </w:t>
      </w:r>
      <w:r w:rsidRPr="00201EC9">
        <w:t xml:space="preserve">92 </w:t>
      </w:r>
      <w:proofErr w:type="gramStart"/>
      <w:r w:rsidRPr="00201EC9">
        <w:t>application</w:t>
      </w:r>
      <w:proofErr w:type="gramEnd"/>
      <w:r w:rsidRPr="00201EC9">
        <w:t xml:space="preserve"> dismissed.</w:t>
      </w:r>
    </w:p>
    <w:p w:rsidR="00200735" w:rsidRPr="00201EC9" w:rsidRDefault="00200735" w:rsidP="00154FA9">
      <w:pPr>
        <w:pStyle w:val="SCCNormalDoubleSpacing"/>
        <w:spacing w:before="480" w:after="480"/>
      </w:pPr>
      <w:r w:rsidRPr="00201EC9">
        <w:tab/>
      </w:r>
      <w:r w:rsidRPr="00201EC9">
        <w:rPr>
          <w:i/>
        </w:rPr>
        <w:t>Per</w:t>
      </w:r>
      <w:r w:rsidRPr="00201EC9">
        <w:t xml:space="preserve"> </w:t>
      </w:r>
      <w:proofErr w:type="spellStart"/>
      <w:r w:rsidRPr="00201EC9">
        <w:t>McLachlin</w:t>
      </w:r>
      <w:proofErr w:type="spellEnd"/>
      <w:r w:rsidR="00154FA9">
        <w:t xml:space="preserve"> </w:t>
      </w:r>
      <w:r w:rsidRPr="00201EC9">
        <w:t xml:space="preserve">C.J. and </w:t>
      </w:r>
      <w:r w:rsidRPr="00C53B8C">
        <w:t>Rothstein</w:t>
      </w:r>
      <w:r w:rsidRPr="00201EC9">
        <w:t xml:space="preserve">, Cromwell, </w:t>
      </w:r>
      <w:proofErr w:type="spellStart"/>
      <w:r w:rsidRPr="00201EC9">
        <w:t>Moldaver</w:t>
      </w:r>
      <w:proofErr w:type="spellEnd"/>
      <w:r w:rsidRPr="00201EC9">
        <w:t xml:space="preserve"> and Wagner</w:t>
      </w:r>
      <w:r w:rsidR="00154FA9">
        <w:t xml:space="preserve"> </w:t>
      </w:r>
      <w:r w:rsidRPr="00201EC9">
        <w:t xml:space="preserve">JJ.:  While a standard of reasonableness presumptively applies in this case because the questions at issue are questions of law arising under the Tribunal’s home statute, that presumption is rebutted.  </w:t>
      </w:r>
      <w:r w:rsidRPr="00201EC9">
        <w:rPr>
          <w:lang w:val="en-US"/>
        </w:rPr>
        <w:t xml:space="preserve">The appeal provision in the </w:t>
      </w:r>
      <w:r w:rsidRPr="00201EC9">
        <w:rPr>
          <w:i/>
          <w:lang w:val="en-US"/>
        </w:rPr>
        <w:t>Competition Tribunal Act</w:t>
      </w:r>
      <w:r w:rsidRPr="00201EC9">
        <w:rPr>
          <w:lang w:val="en-US"/>
        </w:rPr>
        <w:t>, R.S.C. 1985, c.</w:t>
      </w:r>
      <w:r w:rsidR="00154FA9">
        <w:rPr>
          <w:lang w:val="en-US"/>
        </w:rPr>
        <w:t xml:space="preserve"> </w:t>
      </w:r>
      <w:r w:rsidRPr="00201EC9">
        <w:rPr>
          <w:lang w:val="en-US"/>
        </w:rPr>
        <w:t>19</w:t>
      </w:r>
      <w:r>
        <w:rPr>
          <w:lang w:val="en-US"/>
        </w:rPr>
        <w:t xml:space="preserve"> (2nd Supp.)</w:t>
      </w:r>
      <w:r w:rsidRPr="00201EC9">
        <w:rPr>
          <w:lang w:val="en-US"/>
        </w:rPr>
        <w:t xml:space="preserve">, </w:t>
      </w:r>
      <w:r w:rsidRPr="00201EC9">
        <w:t>evidences a clear Parliamentary intention that decisions of the Tribunal be reviewed on a less than deferential standard, supporting the view that questions of law should be reviewed for correctness and questions of fact and mixed law and fact for reasonableness.</w:t>
      </w:r>
    </w:p>
    <w:p w:rsidR="00200735" w:rsidRPr="00201EC9" w:rsidRDefault="00200735" w:rsidP="00154FA9">
      <w:pPr>
        <w:pStyle w:val="SCCNormalDoubleSpacing"/>
        <w:spacing w:before="480" w:after="480"/>
      </w:pPr>
      <w:r w:rsidRPr="00201EC9">
        <w:tab/>
        <w:t>The concern under the “prevention” branch of s.</w:t>
      </w:r>
      <w:r w:rsidR="00154FA9">
        <w:t xml:space="preserve"> </w:t>
      </w:r>
      <w:r w:rsidRPr="00201EC9">
        <w:t>92 of the Act is that a firm with market power will use a merger to prevent competition that could otherwise arise in a contestable market.  To determine whether a merger gives rise to a substantial prevention of competition under s.</w:t>
      </w:r>
      <w:r w:rsidR="00154FA9">
        <w:t xml:space="preserve"> </w:t>
      </w:r>
      <w:r w:rsidRPr="00201EC9">
        <w:t xml:space="preserve">92(1), the Tribunal must look to the “but for” market condition to assess the competitive landscape that would likely exist if there was no merger.  First, it is necessary to identify the firm or firms the merger would prevent from independently entering the market.  Typically, the potential </w:t>
      </w:r>
      <w:r w:rsidRPr="00201EC9">
        <w:lastRenderedPageBreak/>
        <w:t>competitor will be one of the merged parties: the acquired firm or the acquiring firm.  The potential entry of the acquired firm will be the focus of the analysis when, but for the merger, it would likely have entered the relevant market.  The potential entry of the acquiring firm will be the focus of the analysis when, but for the merger, the acquiring firm would have entered the relevant market independently or through the acquisition and expansion of a smaller firm.</w:t>
      </w:r>
    </w:p>
    <w:p w:rsidR="00200735" w:rsidRPr="00201EC9" w:rsidRDefault="00200735" w:rsidP="00154FA9">
      <w:pPr>
        <w:pStyle w:val="SCCNormalDoubleSpacing"/>
        <w:spacing w:before="480" w:after="480"/>
      </w:pPr>
      <w:r w:rsidRPr="00201EC9">
        <w:tab/>
        <w:t>Second, it is necessary to examine the “but for” market condition to see if, absent the merger, the potential competitor would have likely entered the market and if so whether the effect of that competitor’s entry on the market would likely be substantial.  If the independent entry has no effect on the market power of the acquiring firm then the merger cannot be said to prevent competition substantially.  At this stage of the analysis, any factor that could influence entry upon which evidence has been adduced should be considered, such as the plans and assets of that merging party, current and expected market conditions, and other factors listed in s.</w:t>
      </w:r>
      <w:r w:rsidR="00154FA9">
        <w:t xml:space="preserve"> </w:t>
      </w:r>
      <w:r w:rsidRPr="00201EC9">
        <w:t xml:space="preserve">93 of the Act.  The timeframe for entry must </w:t>
      </w:r>
      <w:r>
        <w:t xml:space="preserve">be </w:t>
      </w:r>
      <w:r w:rsidRPr="00201EC9">
        <w:t xml:space="preserve">discernible.  In other words, there must be evidence of when the merging party is realistically expected to enter the market in absence of the merger.  That evidence must be sufficient to meet the “likely” test on a balance of probabilities, keeping in mind that the further into the future the Tribunal </w:t>
      </w:r>
      <w:proofErr w:type="gramStart"/>
      <w:r w:rsidRPr="00201EC9">
        <w:t>looks,</w:t>
      </w:r>
      <w:proofErr w:type="gramEnd"/>
      <w:r w:rsidRPr="00201EC9">
        <w:t xml:space="preserve"> the more difficult it will be to meet the test.  The inherent time delay that a new entrant, facing certain barriers and acting diligently to overcome them, could be expected to experience when trying to enter the market is an important consideration, but should not support an effort to look farther into the future than the evidence supports.  As for whether a potential competitor’s entry into the market will have a substantial effect, it is necessary to assess a variety of </w:t>
      </w:r>
      <w:r w:rsidRPr="00201EC9">
        <w:lastRenderedPageBreak/>
        <w:t>dimensions of competition including price and output, as well as the degree and duration of any effect it would have on the market.  Section</w:t>
      </w:r>
      <w:r w:rsidR="00154FA9">
        <w:t xml:space="preserve"> </w:t>
      </w:r>
      <w:r w:rsidRPr="00201EC9">
        <w:t>93 of the Act provides a non</w:t>
      </w:r>
      <w:r w:rsidR="00154FA9">
        <w:t>-</w:t>
      </w:r>
      <w:r w:rsidRPr="00201EC9">
        <w:t>exhaustive list of factors that may be considered.</w:t>
      </w:r>
    </w:p>
    <w:p w:rsidR="00200735" w:rsidRPr="00201EC9" w:rsidRDefault="00200735" w:rsidP="00154FA9">
      <w:pPr>
        <w:pStyle w:val="SCCNormalDoubleSpacing"/>
        <w:spacing w:before="480" w:after="480"/>
      </w:pPr>
      <w:r w:rsidRPr="00201EC9">
        <w:tab/>
        <w:t>In the present case, the Tribunal’s conclusion that the merger is likely to substantially prevent competition is correct.  It used a forward</w:t>
      </w:r>
      <w:r w:rsidR="00154FA9">
        <w:t>-</w:t>
      </w:r>
      <w:r w:rsidRPr="00201EC9">
        <w:t>looking “but for” analysis, identified the acquired party as the focus of the analysis, and assessed whether, but for the merger, the acquired party would likely have entered the relevant market in a manner sufficient to compete with T.  The Tribunal did not speculate; rather, it made findings of fact based on the abundant evidence before it.  While the Tribunal’s treatment of the asserted 10</w:t>
      </w:r>
      <w:r w:rsidR="00154FA9">
        <w:t xml:space="preserve"> </w:t>
      </w:r>
      <w:r w:rsidRPr="00201EC9">
        <w:t xml:space="preserve">percent reduction in prices that would allegedly have been realized in absence of the merger was flawed, there was sufficient other evidence upon which it could find a substantial prevention of competition as a result of the merger.  </w:t>
      </w:r>
    </w:p>
    <w:p w:rsidR="00200735" w:rsidRPr="00201EC9" w:rsidRDefault="00200735" w:rsidP="00154FA9">
      <w:pPr>
        <w:pStyle w:val="SCCNormalDoubleSpacing"/>
        <w:spacing w:before="480" w:after="480"/>
      </w:pPr>
      <w:r w:rsidRPr="00201EC9">
        <w:tab/>
        <w:t>As s</w:t>
      </w:r>
      <w:r w:rsidR="006D0BF7">
        <w:t>.</w:t>
      </w:r>
      <w:r w:rsidRPr="00201EC9">
        <w:t xml:space="preserve"> 92 of the Act is engaged, it is necessary to determine whether the s.</w:t>
      </w:r>
      <w:r w:rsidR="00154FA9">
        <w:t xml:space="preserve"> </w:t>
      </w:r>
      <w:r w:rsidRPr="00201EC9">
        <w:t>96 efficiencies defence applies to prevent the making of an order under s.</w:t>
      </w:r>
      <w:r w:rsidR="00154FA9">
        <w:t xml:space="preserve"> </w:t>
      </w:r>
      <w:r w:rsidRPr="00201EC9">
        <w:t>92.  The defence requires an analysis of whether the efficiency gains of the merger, which result from the integration of resources, outweigh the anti</w:t>
      </w:r>
      <w:r w:rsidR="00154FA9">
        <w:t>-</w:t>
      </w:r>
      <w:r w:rsidRPr="00201EC9">
        <w:t>competitive effects, which result from the decrease in or absence of competition in the relevant geographic and product market.  The Commissioner has the burden of proving the anti</w:t>
      </w:r>
      <w:r w:rsidR="00154FA9">
        <w:t>-</w:t>
      </w:r>
      <w:r w:rsidRPr="00201EC9">
        <w:t>competitive effects, and the merging parties bear the onus of proving the remaining elements of the defence.  There are different possible methodologies for the comparative exercise under s.</w:t>
      </w:r>
      <w:r w:rsidR="00154FA9">
        <w:t xml:space="preserve"> </w:t>
      </w:r>
      <w:r w:rsidRPr="00201EC9">
        <w:t xml:space="preserve">96, two of which have been the subject of judicial consideration in Canada: the “total surplus standard” which involves quantifying the deadweight loss which </w:t>
      </w:r>
      <w:r w:rsidRPr="00201EC9">
        <w:lastRenderedPageBreak/>
        <w:t>will result from a merger, and the “balancing weights standard” under which the Tribunal weighs the effects of the merger on consumers against the effects of the merger on the shareholders of the merged entity.  Because the Act does not set out which methodology should be used, the Tribunal has the flexibility to make the ultimate choice of methodology in view of the particular circumstances of each merger.</w:t>
      </w:r>
    </w:p>
    <w:p w:rsidR="00200735" w:rsidRPr="00201EC9" w:rsidRDefault="00200735" w:rsidP="00154FA9">
      <w:pPr>
        <w:pStyle w:val="SCCNormalDoubleSpacing"/>
        <w:spacing w:before="480" w:after="480"/>
      </w:pPr>
      <w:r w:rsidRPr="00201EC9">
        <w:tab/>
        <w:t>While s</w:t>
      </w:r>
      <w:r w:rsidR="006D0BF7">
        <w:t>.</w:t>
      </w:r>
      <w:r w:rsidRPr="00201EC9">
        <w:t xml:space="preserve"> 96 does give primacy to economic efficiency, it is not without limitation.  Not all economic efficiencies should be taken into account under s.</w:t>
      </w:r>
      <w:r w:rsidR="00154FA9">
        <w:t xml:space="preserve"> </w:t>
      </w:r>
      <w:r w:rsidRPr="00201EC9">
        <w:t xml:space="preserve">96.  A distinction should be drawn between efficiencies claimed because a merging party would be able to bring those efficiencies into being faster than would be the </w:t>
      </w:r>
      <w:r w:rsidR="006D0BF7">
        <w:t>case but for the merger (“early-</w:t>
      </w:r>
      <w:r w:rsidRPr="00201EC9">
        <w:t>mover efficiencies”), and efficiencies that a merging party could realize sooner than a competitor only because the competitor would be delayed in implementing those efficiencies because of legal proceedings associated with a divestiture order (“order implementation efficiencies”).  Efficiencies that are the result of the regulatory process of the Act are not cognizable under s.</w:t>
      </w:r>
      <w:r w:rsidR="00154FA9">
        <w:t xml:space="preserve"> </w:t>
      </w:r>
      <w:r w:rsidRPr="00201EC9">
        <w:t>96, because they result from the operation and application of the legal framework regulating competition law in Canada, rather than from the merger itself.  On the other hand, early</w:t>
      </w:r>
      <w:r w:rsidR="00154FA9">
        <w:t>-</w:t>
      </w:r>
      <w:r w:rsidRPr="00201EC9">
        <w:t>mover efficiencies are cognizable under s.</w:t>
      </w:r>
      <w:r w:rsidR="00154FA9">
        <w:t xml:space="preserve"> </w:t>
      </w:r>
      <w:r w:rsidRPr="00201EC9">
        <w:t>96, because they are real economic efficiencies that are caused by the merger.  In this case, however, the classification of the one</w:t>
      </w:r>
      <w:r w:rsidR="00154FA9">
        <w:t>-</w:t>
      </w:r>
      <w:r w:rsidRPr="00201EC9">
        <w:t>year transportation and market efficiency gains claimed by T as either early</w:t>
      </w:r>
      <w:r w:rsidR="00154FA9">
        <w:t>-</w:t>
      </w:r>
      <w:r w:rsidRPr="00201EC9">
        <w:t>mover efficiencies or order implementation efficiencies would not be dispositive because the efficiencies were not ultimately realized by T.</w:t>
      </w:r>
    </w:p>
    <w:p w:rsidR="00200735" w:rsidRPr="00201EC9" w:rsidRDefault="00200735" w:rsidP="00154FA9">
      <w:pPr>
        <w:pStyle w:val="SCCNormalDoubleSpacing"/>
        <w:spacing w:before="480" w:after="480"/>
      </w:pPr>
      <w:r w:rsidRPr="00201EC9">
        <w:lastRenderedPageBreak/>
        <w:tab/>
        <w:t>In its consideration of the efficiencies defence, the Tribunal should consider all available quantitative and qualitative evidence.  It is the Commissioner’s burden to quantify all quantifiable anti</w:t>
      </w:r>
      <w:r w:rsidR="00154FA9">
        <w:t>-</w:t>
      </w:r>
      <w:r w:rsidRPr="00201EC9">
        <w:t xml:space="preserve">competitive effects.  Effects that can be quantified should be quantified, even as </w:t>
      </w:r>
      <w:proofErr w:type="gramStart"/>
      <w:r w:rsidRPr="00201EC9">
        <w:t>estimates,</w:t>
      </w:r>
      <w:proofErr w:type="gramEnd"/>
      <w:r w:rsidRPr="00201EC9">
        <w:t xml:space="preserve"> provided such estimates are grounded in evidence that can be challenged and weighed.  If effects are realistically measurable, failure to at least estimate the quantification of those effects will not result in the effects being assessed on a qualitative basis.  Effects will only be considered qualitatively if they cannot be quantitatively estimated.  This approach minimizes the degree of subjective judgment necessary in the analysis and enables the Tribunal to make the most objective assessment possible in the circumstances.</w:t>
      </w:r>
    </w:p>
    <w:p w:rsidR="00200735" w:rsidRPr="00201EC9" w:rsidRDefault="00200735" w:rsidP="00154FA9">
      <w:pPr>
        <w:pStyle w:val="SCCNormalDoubleSpacing"/>
        <w:spacing w:before="480" w:after="480"/>
      </w:pPr>
      <w:r w:rsidRPr="00201EC9">
        <w:tab/>
        <w:t>Here, the Commissioner did not quantify quantifiable anti</w:t>
      </w:r>
      <w:r w:rsidR="00154FA9">
        <w:t>-</w:t>
      </w:r>
      <w:r w:rsidRPr="00201EC9">
        <w:t>competitive effects and therefore failed to meet her burden under s.</w:t>
      </w:r>
      <w:r w:rsidR="00154FA9">
        <w:t xml:space="preserve"> </w:t>
      </w:r>
      <w:r w:rsidRPr="00201EC9">
        <w:t>96.  Specifically, there is no price elasticity information which means that the possible range of deadweight loss resulting from the merger is unknown.  To permit the Tribunal to consider the price decrease evidence without the rest of the information necessary to quantify deadweight loss admits far too much subjectivity into the analysis, with no guarantee that the Tribunal will have enough information to ensure that a subjective assessment would align with what would actually be observed if the effect were properly quantified.  As a result, those quantifiable anti</w:t>
      </w:r>
      <w:r w:rsidR="00154FA9">
        <w:t>-</w:t>
      </w:r>
      <w:r w:rsidRPr="00201EC9">
        <w:t xml:space="preserve">competitive effects should be assigned zero weight.  In setting the weight of these effects at undetermined, the Federal Court of Appeal allowed for subjective judgment to overtake the analysis.  Its “undetermined” approach also raises concerns of fairness to the merging parties, in that it places them in the impossible position of having to demonstrate that the efficiency gains exceed and offset an amount that is undetermined.  Under this </w:t>
      </w:r>
      <w:r w:rsidRPr="00201EC9">
        <w:lastRenderedPageBreak/>
        <w:t>approach, requiring the merging parties to prove the remaining elements of the defence on a balance of probabilities becomes an unfair exercise as they do not know the case they have to meet.</w:t>
      </w:r>
    </w:p>
    <w:p w:rsidR="00200735" w:rsidRPr="00201EC9" w:rsidRDefault="00200735" w:rsidP="00154FA9">
      <w:pPr>
        <w:pStyle w:val="SCCNormalDoubleSpacing"/>
        <w:spacing w:before="480" w:after="480"/>
      </w:pPr>
      <w:r w:rsidRPr="00201EC9">
        <w:tab/>
        <w:t>The balancing test under s.</w:t>
      </w:r>
      <w:r w:rsidR="00154FA9">
        <w:t xml:space="preserve"> </w:t>
      </w:r>
      <w:r w:rsidRPr="00201EC9">
        <w:t>96 mandates a flexible but objectively reasonable approach by which the Tribunal must determine both quantitative and qualitative aspects of the merger, and then weigh and balance those aspects.  The test may be framed as a two</w:t>
      </w:r>
      <w:r w:rsidR="00154FA9">
        <w:t>-</w:t>
      </w:r>
      <w:r w:rsidRPr="00201EC9">
        <w:t>step inquiry.  First, the quantitative efficiencies of the merger should be compared against the quantitative anti</w:t>
      </w:r>
      <w:r w:rsidR="00154FA9">
        <w:t>-</w:t>
      </w:r>
      <w:r w:rsidRPr="00201EC9">
        <w:t>competitive effects.  Where the quantitative anti</w:t>
      </w:r>
      <w:r w:rsidR="00154FA9">
        <w:t>-</w:t>
      </w:r>
      <w:r w:rsidRPr="00201EC9">
        <w:t>competitive effects outweigh the quantitative efficiencies, this step will in most cases be dispositive, and the defence will not apply.  Under the second step, the qualitative efficiencies should be balanced against the qualitative anti</w:t>
      </w:r>
      <w:r w:rsidR="00154FA9">
        <w:t>-</w:t>
      </w:r>
      <w:r w:rsidRPr="00201EC9">
        <w:t>competitive effects, and a final determination must be made as to whether the total efficiencies offset the total anti</w:t>
      </w:r>
      <w:r w:rsidR="00154FA9">
        <w:t>-</w:t>
      </w:r>
      <w:r w:rsidRPr="00201EC9">
        <w:t>competitive effects of the merger at issue.  However, despite the flexibility the Tribunal has in applying this balancing approach, more than marginal efficiency gains should not be required for the defence to apply.  The words of the Act do not provide a basis for requiring this kind of threshold.  Nor does the statutory context of s.</w:t>
      </w:r>
      <w:r w:rsidR="00154FA9">
        <w:t xml:space="preserve"> </w:t>
      </w:r>
      <w:r w:rsidRPr="00201EC9">
        <w:t>96(1) indicate that it should be read to include a threshold significance requirement.  As a result, the Federal Court of Appeal erred in holding that an anti</w:t>
      </w:r>
      <w:r w:rsidR="00154FA9">
        <w:t>-</w:t>
      </w:r>
      <w:r w:rsidRPr="00201EC9">
        <w:t>competitive merger cannot be approved under s.</w:t>
      </w:r>
      <w:r w:rsidR="00154FA9">
        <w:t xml:space="preserve"> </w:t>
      </w:r>
      <w:r w:rsidRPr="00201EC9">
        <w:t xml:space="preserve">96 if only marginal or insignificant gains in efficiency result from that merger.  </w:t>
      </w:r>
    </w:p>
    <w:p w:rsidR="00200735" w:rsidRPr="00201EC9" w:rsidRDefault="00200735" w:rsidP="00154FA9">
      <w:pPr>
        <w:pStyle w:val="SCCNormalDoubleSpacing"/>
        <w:spacing w:before="480" w:after="480"/>
      </w:pPr>
      <w:r w:rsidRPr="00201EC9">
        <w:tab/>
        <w:t>In this case, the Commissioner did not meet her burden to prove the anti</w:t>
      </w:r>
      <w:r w:rsidR="00154FA9">
        <w:t>-</w:t>
      </w:r>
      <w:r w:rsidRPr="00201EC9">
        <w:t xml:space="preserve">competitive effects, and as such, the weight given to the quantifiable effects is zero.  There are no proven qualitative effects.  T, however, established overhead efficiency </w:t>
      </w:r>
      <w:r w:rsidRPr="00201EC9">
        <w:lastRenderedPageBreak/>
        <w:t xml:space="preserve">gains resulting from B’s obtaining access to T’s administrative and operating functions.  These proven gains meet the “greater than and offset” requirement, and the efficiencies defence has therefore been made out. </w:t>
      </w:r>
    </w:p>
    <w:p w:rsidR="00200735" w:rsidRPr="00201EC9" w:rsidRDefault="00200735" w:rsidP="00154FA9">
      <w:pPr>
        <w:pStyle w:val="SCCNormalDoubleSpacing"/>
        <w:spacing w:before="480" w:after="480"/>
      </w:pPr>
      <w:r w:rsidRPr="00201EC9">
        <w:tab/>
      </w:r>
      <w:r w:rsidRPr="00201EC9">
        <w:rPr>
          <w:i/>
        </w:rPr>
        <w:t>Per</w:t>
      </w:r>
      <w:r w:rsidRPr="00201EC9">
        <w:t xml:space="preserve"> </w:t>
      </w:r>
      <w:proofErr w:type="spellStart"/>
      <w:r w:rsidRPr="00101AB5">
        <w:t>Abella</w:t>
      </w:r>
      <w:proofErr w:type="spellEnd"/>
      <w:r w:rsidR="00154FA9">
        <w:t xml:space="preserve"> </w:t>
      </w:r>
      <w:r w:rsidRPr="00201EC9">
        <w:t xml:space="preserve">J.:  The applicable standard of review in this case is reasonableness, not correctness.  Following the case of </w:t>
      </w:r>
      <w:proofErr w:type="spellStart"/>
      <w:r w:rsidRPr="00201EC9">
        <w:rPr>
          <w:i/>
        </w:rPr>
        <w:t>Pezim</w:t>
      </w:r>
      <w:proofErr w:type="spellEnd"/>
      <w:r w:rsidRPr="00201EC9">
        <w:rPr>
          <w:i/>
        </w:rPr>
        <w:t xml:space="preserve"> v. British Columbia (Superintendent of Brokers)</w:t>
      </w:r>
      <w:r w:rsidRPr="00201EC9">
        <w:t>, [1994] 2 S.C.R. 557, which introduced a new edifice for the review of specialized tribunals, the jurisprudence of this Court has developed into a presumption that, regardless of the presence or absence of either a right of appeal or a privative clause, when a tribunal is interpreting its home statute, reasonableness applies.  While the statutory language granting the right of appeal in this case may be different from the language granting the right of appeal in other cases where this Court has applied a reasonableness standard, it is not sufficiently different to undermine the established principle of deference to tribunal expertise in the interpretation of the tribunal’s own statute.  Using such language to trump the deference owed to tribunal expertise, elevates the factor of statutory language to a pre</w:t>
      </w:r>
      <w:r w:rsidR="00101AB5">
        <w:t>-</w:t>
      </w:r>
      <w:r w:rsidRPr="00201EC9">
        <w:t>eminent and determinative status we have long denied it.  To apply correctness in this case represents a reversion to the pre</w:t>
      </w:r>
      <w:r w:rsidR="00154FA9">
        <w:t>-</w:t>
      </w:r>
      <w:proofErr w:type="spellStart"/>
      <w:r w:rsidRPr="00201EC9">
        <w:rPr>
          <w:i/>
        </w:rPr>
        <w:t>Pezim</w:t>
      </w:r>
      <w:proofErr w:type="spellEnd"/>
      <w:r w:rsidRPr="00201EC9">
        <w:t xml:space="preserve"> era, undermines the statutorily</w:t>
      </w:r>
      <w:r w:rsidR="00154FA9">
        <w:t>-</w:t>
      </w:r>
      <w:r w:rsidRPr="00201EC9">
        <w:t>recognized expertise of the Tribunal, and constitutes an inexplicable variation from the Court’s jurisprudence that is certain to enge</w:t>
      </w:r>
      <w:r w:rsidR="00101AB5">
        <w:t>nder the very “standard of review”</w:t>
      </w:r>
      <w:r w:rsidRPr="00201EC9">
        <w:t xml:space="preserve"> confusion that inspired this Court to try to weave the strands together in the first place.  Applying the reasonableness standard, the Tribunal’s interpretation of s.</w:t>
      </w:r>
      <w:r w:rsidR="00154FA9">
        <w:t xml:space="preserve"> </w:t>
      </w:r>
      <w:r w:rsidRPr="00201EC9">
        <w:t>96 of the Act was unreasonable.</w:t>
      </w:r>
    </w:p>
    <w:p w:rsidR="00200735" w:rsidRPr="00201EC9" w:rsidRDefault="00200735" w:rsidP="00154FA9">
      <w:pPr>
        <w:pStyle w:val="SCCNormalDoubleSpacing"/>
        <w:spacing w:before="480" w:after="480"/>
      </w:pPr>
      <w:r w:rsidRPr="00201EC9">
        <w:lastRenderedPageBreak/>
        <w:tab/>
      </w:r>
      <w:r w:rsidRPr="00201EC9">
        <w:rPr>
          <w:i/>
        </w:rPr>
        <w:t>Per</w:t>
      </w:r>
      <w:r w:rsidRPr="00201EC9">
        <w:t xml:space="preserve"> </w:t>
      </w:r>
      <w:proofErr w:type="spellStart"/>
      <w:r w:rsidRPr="001A5745">
        <w:t>Karakatsanis</w:t>
      </w:r>
      <w:proofErr w:type="spellEnd"/>
      <w:r w:rsidR="00154FA9">
        <w:t xml:space="preserve"> </w:t>
      </w:r>
      <w:r w:rsidRPr="00201EC9">
        <w:t>J. (dissenting):  T was not entitled to the benefit of the s.</w:t>
      </w:r>
      <w:r w:rsidR="00154FA9">
        <w:t xml:space="preserve"> </w:t>
      </w:r>
      <w:r w:rsidRPr="00201EC9">
        <w:t>96 efficiencies defence.  Efficiencies and effects should be quantified wherever reasonably possible in the s.</w:t>
      </w:r>
      <w:r w:rsidR="00154FA9">
        <w:t xml:space="preserve"> </w:t>
      </w:r>
      <w:r w:rsidRPr="00201EC9">
        <w:t>96 analysis, and the assessment of qualitative effects should be objectively reasonable, supported by evidence and clear reasoning. However, the need for “reasonable objectivity” does not justify a hierarchical approach to quantitative and qualitative aspects under the efficiencies defence; nor should qualitative effects be of lesser importance than quantitative effects.  The statutory language of the Act does not distinguish between quantitative and qualitative efficiencies, and many of the wide</w:t>
      </w:r>
      <w:r w:rsidR="00154FA9">
        <w:t>-</w:t>
      </w:r>
      <w:r w:rsidRPr="00201EC9">
        <w:t>ranging purposes of the Act set out in s.</w:t>
      </w:r>
      <w:r w:rsidR="00154FA9">
        <w:t xml:space="preserve"> </w:t>
      </w:r>
      <w:r w:rsidRPr="00201EC9">
        <w:t>1.1 may not be quantifiable.  Indeed, many important anti</w:t>
      </w:r>
      <w:r w:rsidR="00154FA9">
        <w:t>-</w:t>
      </w:r>
      <w:r w:rsidRPr="00201EC9">
        <w:t>competitive effects of a merger may be qualitative in nature, and in some cases, those qualitative effects may be determinative in the s.</w:t>
      </w:r>
      <w:r w:rsidR="00154FA9">
        <w:t xml:space="preserve"> </w:t>
      </w:r>
      <w:r w:rsidRPr="00201EC9">
        <w:t>96 analysis.  The legislation mandates a purposive analysis, and the relative significance of qualitative and quantitative gains or effects can only be determined in the circumstances of each case.  It is neither helpful nor necessary to predetermine their relative role and importance in the s.</w:t>
      </w:r>
      <w:r w:rsidR="00154FA9">
        <w:t xml:space="preserve"> </w:t>
      </w:r>
      <w:r w:rsidRPr="00201EC9">
        <w:t xml:space="preserve">96 defence.  </w:t>
      </w:r>
    </w:p>
    <w:p w:rsidR="00200735" w:rsidRPr="00201EC9" w:rsidRDefault="00200735" w:rsidP="00154FA9">
      <w:pPr>
        <w:pStyle w:val="SCCNormalDoubleSpacing"/>
        <w:spacing w:before="480" w:after="480"/>
      </w:pPr>
      <w:r w:rsidRPr="00201EC9">
        <w:tab/>
        <w:t>The Federal Court of Appeal’s view that the s.</w:t>
      </w:r>
      <w:r w:rsidR="00154FA9">
        <w:t xml:space="preserve"> </w:t>
      </w:r>
      <w:r w:rsidRPr="00201EC9">
        <w:t>96 analysis is at heart about balancing overall efficiency gains against overall anti</w:t>
      </w:r>
      <w:r w:rsidR="00154FA9">
        <w:t>-</w:t>
      </w:r>
      <w:r w:rsidRPr="00201EC9">
        <w:t>competitive effects is an approach that provides an appropriate level of flexibility, given that efficiencies and anti</w:t>
      </w:r>
      <w:r w:rsidR="00154FA9">
        <w:t>-</w:t>
      </w:r>
      <w:r w:rsidRPr="00201EC9">
        <w:t>competitive effects will not always be easy to measure.  The s.</w:t>
      </w:r>
      <w:r w:rsidR="00154FA9">
        <w:t xml:space="preserve"> </w:t>
      </w:r>
      <w:r w:rsidRPr="00201EC9">
        <w:t xml:space="preserve">96 framework enables the expert Tribunal to holistically assess the entirety of the evidence before it, rather than artificially </w:t>
      </w:r>
      <w:proofErr w:type="gramStart"/>
      <w:r w:rsidRPr="00201EC9">
        <w:t>bifurcating</w:t>
      </w:r>
      <w:proofErr w:type="gramEnd"/>
      <w:r w:rsidRPr="00201EC9">
        <w:t xml:space="preserve"> the analysis of qualitative and quantitative effects that may, in some cases, more helpfully be analyzed together.  </w:t>
      </w:r>
    </w:p>
    <w:p w:rsidR="00200735" w:rsidRPr="00201EC9" w:rsidRDefault="00200735" w:rsidP="00154FA9">
      <w:pPr>
        <w:pStyle w:val="SCCNormalDoubleSpacing"/>
        <w:spacing w:before="480" w:after="480"/>
      </w:pPr>
      <w:r w:rsidRPr="00201EC9">
        <w:lastRenderedPageBreak/>
        <w:tab/>
        <w:t>Further, while the Commissioner bears the evidentiary burden to lead evidence of the anti</w:t>
      </w:r>
      <w:r w:rsidR="00154FA9">
        <w:t>-</w:t>
      </w:r>
      <w:r w:rsidRPr="00201EC9">
        <w:t>competitive effects of a merger, and bears the risk that the failure to fully quantify such effects where possible may render the evidence insufficient to counter the evidence of efficiency gains, the failure to quantify quantifiable anti</w:t>
      </w:r>
      <w:r w:rsidR="00154FA9">
        <w:t>-</w:t>
      </w:r>
      <w:r w:rsidRPr="00201EC9">
        <w:t>competitive effects does not invalidate the evidence that established there was a known anti</w:t>
      </w:r>
      <w:r w:rsidR="00154FA9">
        <w:t>-</w:t>
      </w:r>
      <w:r w:rsidRPr="00201EC9">
        <w:t xml:space="preserve">competitive effect of undetermined extent.  Relevant evidence is generally admissible, and the failure to lead the best evidence available goes to weight, not admissibility.  Neither the statutory language of the Act nor its purpose or context </w:t>
      </w:r>
      <w:proofErr w:type="gramStart"/>
      <w:r w:rsidRPr="00201EC9">
        <w:t>require</w:t>
      </w:r>
      <w:proofErr w:type="gramEnd"/>
      <w:r w:rsidRPr="00201EC9">
        <w:t xml:space="preserve"> that an anti</w:t>
      </w:r>
      <w:r w:rsidR="00154FA9">
        <w:t>-</w:t>
      </w:r>
      <w:r w:rsidRPr="00201EC9">
        <w:t>competitive effect of undetermined weight become irrelevant or inadmissible.</w:t>
      </w:r>
    </w:p>
    <w:p w:rsidR="00200735" w:rsidRPr="00201EC9" w:rsidRDefault="00200735" w:rsidP="00154FA9">
      <w:pPr>
        <w:pStyle w:val="SCCNormalDoubleSpacing"/>
        <w:spacing w:before="480" w:after="480"/>
      </w:pPr>
      <w:r w:rsidRPr="00201EC9">
        <w:tab/>
        <w:t>The Federal Court of Appeal was entitled to conclude that the Tribunal’s finding that prices would have been 10</w:t>
      </w:r>
      <w:r w:rsidR="00154FA9">
        <w:t xml:space="preserve"> </w:t>
      </w:r>
      <w:r w:rsidRPr="00201EC9">
        <w:t>percent lower in the relevant area in the absence of a merger amounted to evidence of a known anti</w:t>
      </w:r>
      <w:r w:rsidR="00154FA9">
        <w:t>-</w:t>
      </w:r>
      <w:r w:rsidRPr="00201EC9">
        <w:t>competitive effect of undetermined weight.  The court was also in a position to accept that T’s pre</w:t>
      </w:r>
      <w:r w:rsidR="00154FA9">
        <w:t>-</w:t>
      </w:r>
      <w:r w:rsidRPr="00201EC9">
        <w:t>existing monopoly was likely to magnify the anti</w:t>
      </w:r>
      <w:r w:rsidR="00154FA9">
        <w:t>-</w:t>
      </w:r>
      <w:r w:rsidRPr="00201EC9">
        <w:t>competitive effects of the merger.  Ultimately, the court was entitled to find that the proven efficiency gains were marginal to the point of being negligible and did not likely exceed the known (but undetermined) anti</w:t>
      </w:r>
      <w:r w:rsidR="00154FA9">
        <w:t>-</w:t>
      </w:r>
      <w:r w:rsidRPr="00201EC9">
        <w:t>competitive effects.</w:t>
      </w:r>
    </w:p>
    <w:p w:rsidR="00200735" w:rsidRPr="00201EC9" w:rsidRDefault="00200735" w:rsidP="00154FA9">
      <w:pPr>
        <w:pStyle w:val="SCCNormalDoubleSpacing"/>
        <w:spacing w:after="720" w:line="240" w:lineRule="auto"/>
        <w:rPr>
          <w:b/>
        </w:rPr>
      </w:pPr>
      <w:r w:rsidRPr="00201EC9">
        <w:rPr>
          <w:b/>
        </w:rPr>
        <w:t>Cases Cited</w:t>
      </w:r>
    </w:p>
    <w:p w:rsidR="00200735" w:rsidRPr="00201EC9" w:rsidRDefault="00200735" w:rsidP="00154FA9">
      <w:pPr>
        <w:pStyle w:val="SCCNormalDoubleSpacing"/>
        <w:spacing w:after="720" w:line="240" w:lineRule="auto"/>
      </w:pPr>
      <w:proofErr w:type="gramStart"/>
      <w:r w:rsidRPr="00201EC9">
        <w:t>By Rothstein</w:t>
      </w:r>
      <w:r w:rsidR="00154FA9">
        <w:t xml:space="preserve"> </w:t>
      </w:r>
      <w:r w:rsidRPr="00201EC9">
        <w:t>J.</w:t>
      </w:r>
      <w:proofErr w:type="gramEnd"/>
    </w:p>
    <w:p w:rsidR="00200735" w:rsidRPr="00201EC9" w:rsidRDefault="00200735" w:rsidP="00154FA9">
      <w:pPr>
        <w:pStyle w:val="SCCNormalDoubleSpacing"/>
        <w:spacing w:before="480" w:after="480"/>
      </w:pPr>
      <w:r w:rsidRPr="00201EC9">
        <w:lastRenderedPageBreak/>
        <w:tab/>
      </w:r>
      <w:r w:rsidRPr="00201EC9">
        <w:rPr>
          <w:b/>
        </w:rPr>
        <w:t>Distinguished:</w:t>
      </w:r>
      <w:r w:rsidRPr="00201EC9">
        <w:t xml:space="preserve">  </w:t>
      </w:r>
      <w:r w:rsidRPr="00201EC9">
        <w:rPr>
          <w:i/>
        </w:rPr>
        <w:t>Smith v. Alliance Pipeline Ltd.</w:t>
      </w:r>
      <w:r w:rsidRPr="00201EC9">
        <w:t xml:space="preserve">, 2011 SCC 7, [2011] 1 S.C.R. 160; </w:t>
      </w:r>
      <w:proofErr w:type="spellStart"/>
      <w:r w:rsidRPr="00201EC9">
        <w:rPr>
          <w:i/>
        </w:rPr>
        <w:t>Pezim</w:t>
      </w:r>
      <w:proofErr w:type="spellEnd"/>
      <w:r w:rsidRPr="00201EC9">
        <w:rPr>
          <w:i/>
        </w:rPr>
        <w:t xml:space="preserve"> v. British Columbia (Superintendent of Brokers)</w:t>
      </w:r>
      <w:r w:rsidRPr="00201EC9">
        <w:t xml:space="preserve">, [1994] 2 S.C.R. 557; </w:t>
      </w:r>
      <w:r w:rsidRPr="00201EC9">
        <w:rPr>
          <w:i/>
        </w:rPr>
        <w:t>McLean v. British Columbia (Securities Commission)</w:t>
      </w:r>
      <w:r w:rsidRPr="00201EC9">
        <w:t xml:space="preserve">, 2013 SCC 67, [2013] 3 S.C.R. 895; </w:t>
      </w:r>
      <w:r w:rsidRPr="00201EC9">
        <w:rPr>
          <w:b/>
        </w:rPr>
        <w:t>referred to:</w:t>
      </w:r>
      <w:r w:rsidRPr="00201EC9">
        <w:t xml:space="preserve">  </w:t>
      </w:r>
      <w:r w:rsidRPr="00201EC9">
        <w:rPr>
          <w:i/>
        </w:rPr>
        <w:t>Dunsmuir v. New Brunswick</w:t>
      </w:r>
      <w:r w:rsidRPr="00201EC9">
        <w:t xml:space="preserve">, 2008 SCC 9, [2008] 1 S.C.R. 190; </w:t>
      </w:r>
      <w:r w:rsidRPr="00201EC9">
        <w:rPr>
          <w:i/>
        </w:rPr>
        <w:t>Alberta (Information and Privacy Commissioner) v. Alberta Teachers’ Association</w:t>
      </w:r>
      <w:r w:rsidRPr="00201EC9">
        <w:t xml:space="preserve">, 2011 SCC 61, [2011] 3 S.C.R. 654; </w:t>
      </w:r>
      <w:r w:rsidRPr="00201EC9">
        <w:rPr>
          <w:i/>
        </w:rPr>
        <w:t>Canada (Commissioner of Competition) v. Superior Propane Inc.</w:t>
      </w:r>
      <w:r w:rsidRPr="00201EC9">
        <w:t>, 2001 FCA</w:t>
      </w:r>
      <w:r w:rsidR="00203707">
        <w:t xml:space="preserve"> 104, [2001] 3 F.C. 185, </w:t>
      </w:r>
      <w:proofErr w:type="spellStart"/>
      <w:r w:rsidR="00203707">
        <w:t>rev’g</w:t>
      </w:r>
      <w:proofErr w:type="spellEnd"/>
      <w:r w:rsidR="00203707">
        <w:t xml:space="preserve"> </w:t>
      </w:r>
      <w:r w:rsidRPr="00201EC9">
        <w:t>2000</w:t>
      </w:r>
      <w:r w:rsidR="00203707">
        <w:t xml:space="preserve"> Comp. Trib. 15</w:t>
      </w:r>
      <w:r w:rsidRPr="00201EC9">
        <w:t xml:space="preserve">, 7 C.P.R. (4th) 385, leave to appeal </w:t>
      </w:r>
      <w:r w:rsidR="001A5745">
        <w:t>dismiss</w:t>
      </w:r>
      <w:r w:rsidRPr="00201EC9">
        <w:t xml:space="preserve">ed, [2001] 2 S.C.R. xiii; </w:t>
      </w:r>
      <w:r w:rsidRPr="00201EC9">
        <w:rPr>
          <w:i/>
        </w:rPr>
        <w:t>Air Canada v. Canada (Commissioner of Competition)</w:t>
      </w:r>
      <w:r w:rsidRPr="00201EC9">
        <w:t xml:space="preserve">, 2002 FCA 121, [2002] 4 F.C. 598; </w:t>
      </w:r>
      <w:r w:rsidRPr="00201EC9">
        <w:rPr>
          <w:i/>
        </w:rPr>
        <w:t>Canada (Commissioner of Competition) v. Canada Pipe Co.</w:t>
      </w:r>
      <w:r w:rsidRPr="00201EC9">
        <w:t xml:space="preserve">, 2006 FCA 233, [2007] 2 F.C.R. 3; </w:t>
      </w:r>
      <w:r w:rsidRPr="00201EC9">
        <w:rPr>
          <w:i/>
        </w:rPr>
        <w:t>Canada (Commissioner of Competition) v. Labatt Brewing Co.</w:t>
      </w:r>
      <w:r w:rsidRPr="00201EC9">
        <w:t xml:space="preserve">, 2008 FCA 22, 64 C.P.R. (4th) 181; </w:t>
      </w:r>
      <w:r w:rsidRPr="00201EC9">
        <w:rPr>
          <w:i/>
        </w:rPr>
        <w:t>Canada (Commissioner of Competition) v. Canadian Waste Services Holdings Inc.</w:t>
      </w:r>
      <w:r w:rsidR="00203707">
        <w:t xml:space="preserve">, </w:t>
      </w:r>
      <w:r w:rsidRPr="00201EC9">
        <w:t>2001</w:t>
      </w:r>
      <w:r w:rsidR="00203707">
        <w:t xml:space="preserve"> Comp. Trib. 3</w:t>
      </w:r>
      <w:r w:rsidRPr="00201EC9">
        <w:t xml:space="preserve">, 11 C.P.R. (4th) 425, </w:t>
      </w:r>
      <w:proofErr w:type="spellStart"/>
      <w:r w:rsidRPr="00201EC9">
        <w:t>aff’d</w:t>
      </w:r>
      <w:proofErr w:type="spellEnd"/>
      <w:r w:rsidRPr="00201EC9">
        <w:t xml:space="preserve"> 2003 FCA 131, 24 C.P.R. (4th) 178, leave to appeal refused, [2004] 1 S.C.R. vii; </w:t>
      </w:r>
      <w:r w:rsidRPr="00201EC9">
        <w:rPr>
          <w:i/>
        </w:rPr>
        <w:t xml:space="preserve">Canada (Director of Investigation and Research) v. </w:t>
      </w:r>
      <w:proofErr w:type="spellStart"/>
      <w:r w:rsidRPr="00201EC9">
        <w:rPr>
          <w:i/>
        </w:rPr>
        <w:t>Hillsdown</w:t>
      </w:r>
      <w:proofErr w:type="spellEnd"/>
      <w:r w:rsidRPr="00201EC9">
        <w:rPr>
          <w:i/>
        </w:rPr>
        <w:t xml:space="preserve"> Holdings (Canada) Ltd.</w:t>
      </w:r>
      <w:r w:rsidRPr="00201EC9">
        <w:t xml:space="preserve"> (1992), 41 C.P.R. (3d) 289; </w:t>
      </w:r>
      <w:r w:rsidRPr="00201EC9">
        <w:rPr>
          <w:i/>
        </w:rPr>
        <w:t xml:space="preserve">Canada (Director of Investigation and Research) v. </w:t>
      </w:r>
      <w:proofErr w:type="spellStart"/>
      <w:r w:rsidRPr="00201EC9">
        <w:rPr>
          <w:i/>
        </w:rPr>
        <w:t>Southam</w:t>
      </w:r>
      <w:proofErr w:type="spellEnd"/>
      <w:r w:rsidRPr="00201EC9">
        <w:rPr>
          <w:i/>
        </w:rPr>
        <w:t xml:space="preserve"> Inc.</w:t>
      </w:r>
      <w:r w:rsidRPr="00201EC9">
        <w:t xml:space="preserve">, [1997] 1 S.C.R. 748; </w:t>
      </w:r>
      <w:r w:rsidRPr="00201EC9">
        <w:rPr>
          <w:i/>
        </w:rPr>
        <w:t>F.H. v. McDougall</w:t>
      </w:r>
      <w:r w:rsidRPr="00201EC9">
        <w:t xml:space="preserve">, 2008 SCC 53, [2008] 3 S.C.R. 41; </w:t>
      </w:r>
      <w:r w:rsidRPr="00201EC9">
        <w:rPr>
          <w:i/>
        </w:rPr>
        <w:t>Canada (Director of Investigation and Research) v. Laidlaw</w:t>
      </w:r>
      <w:bookmarkStart w:id="0" w:name="_GoBack"/>
      <w:bookmarkEnd w:id="0"/>
      <w:r w:rsidRPr="00201EC9">
        <w:rPr>
          <w:i/>
        </w:rPr>
        <w:t xml:space="preserve"> Waste Systems Ltd.</w:t>
      </w:r>
      <w:r w:rsidRPr="00201EC9">
        <w:t xml:space="preserve"> (1992), 40 C.P.R. (3d) 289; </w:t>
      </w:r>
      <w:r w:rsidRPr="00201EC9">
        <w:rPr>
          <w:i/>
        </w:rPr>
        <w:t>BOC International Ltd. v. Federal Trade Commission</w:t>
      </w:r>
      <w:r w:rsidRPr="00201EC9">
        <w:t xml:space="preserve">, 557 F.2d 24 (1977); </w:t>
      </w:r>
      <w:r w:rsidRPr="00201EC9">
        <w:rPr>
          <w:i/>
        </w:rPr>
        <w:t>Canada (Commissioner of Competition) v. Superior Propane Inc.</w:t>
      </w:r>
      <w:r w:rsidR="00203707">
        <w:t xml:space="preserve">, </w:t>
      </w:r>
      <w:r w:rsidRPr="00201EC9">
        <w:t>2002</w:t>
      </w:r>
      <w:r w:rsidR="00203707">
        <w:t xml:space="preserve"> Comp. Trib. 16</w:t>
      </w:r>
      <w:r w:rsidRPr="00201EC9">
        <w:t xml:space="preserve">, 18 C.P.R. (4th) 417, </w:t>
      </w:r>
      <w:proofErr w:type="spellStart"/>
      <w:r w:rsidRPr="00201EC9">
        <w:t>aff’d</w:t>
      </w:r>
      <w:proofErr w:type="spellEnd"/>
      <w:r w:rsidRPr="00201EC9">
        <w:t xml:space="preserve"> 2003 FCA 53, [2003] 3 F.C. 529.</w:t>
      </w:r>
    </w:p>
    <w:p w:rsidR="00200735" w:rsidRPr="00201EC9" w:rsidRDefault="00200735" w:rsidP="00154FA9">
      <w:pPr>
        <w:pStyle w:val="SCCNormalDoubleSpacing"/>
        <w:spacing w:after="720" w:line="240" w:lineRule="auto"/>
      </w:pPr>
      <w:proofErr w:type="gramStart"/>
      <w:r w:rsidRPr="00201EC9">
        <w:t xml:space="preserve">By </w:t>
      </w:r>
      <w:proofErr w:type="spellStart"/>
      <w:r w:rsidRPr="00201EC9">
        <w:t>Abella</w:t>
      </w:r>
      <w:proofErr w:type="spellEnd"/>
      <w:r w:rsidR="00154FA9">
        <w:t xml:space="preserve"> </w:t>
      </w:r>
      <w:r w:rsidRPr="00201EC9">
        <w:t>J.</w:t>
      </w:r>
      <w:proofErr w:type="gramEnd"/>
    </w:p>
    <w:p w:rsidR="00200735" w:rsidRPr="00201EC9" w:rsidRDefault="00200735" w:rsidP="00154FA9">
      <w:pPr>
        <w:pStyle w:val="SCCNormalDoubleSpacing"/>
        <w:spacing w:after="720"/>
      </w:pPr>
      <w:r w:rsidRPr="00201EC9">
        <w:lastRenderedPageBreak/>
        <w:tab/>
      </w:r>
      <w:r w:rsidRPr="00201EC9">
        <w:rPr>
          <w:b/>
        </w:rPr>
        <w:t>Applied:</w:t>
      </w:r>
      <w:r w:rsidRPr="00201EC9">
        <w:t xml:space="preserve">  </w:t>
      </w:r>
      <w:proofErr w:type="spellStart"/>
      <w:r w:rsidRPr="00201EC9">
        <w:rPr>
          <w:i/>
        </w:rPr>
        <w:t>Pezim</w:t>
      </w:r>
      <w:proofErr w:type="spellEnd"/>
      <w:r w:rsidRPr="00201EC9">
        <w:rPr>
          <w:i/>
        </w:rPr>
        <w:t xml:space="preserve"> v. British Columbia (Superintendent of Brokers)</w:t>
      </w:r>
      <w:r w:rsidRPr="00201EC9">
        <w:t xml:space="preserve">, [1994] 2 S.C.R. 557; </w:t>
      </w:r>
      <w:r w:rsidRPr="00201EC9">
        <w:rPr>
          <w:i/>
        </w:rPr>
        <w:t>McLean v. British Columbia (Securities Commission)</w:t>
      </w:r>
      <w:r w:rsidRPr="00201EC9">
        <w:t xml:space="preserve">, 2013 SCC 67, [2013] 3 S.C.R. 895; </w:t>
      </w:r>
      <w:r w:rsidRPr="00201EC9">
        <w:rPr>
          <w:i/>
        </w:rPr>
        <w:t>Smith v. Alliance Pipeline Ltd.</w:t>
      </w:r>
      <w:r w:rsidRPr="00201EC9">
        <w:t xml:space="preserve">, 2011 SCC 7, [2011] 1 S.C.R. 160; </w:t>
      </w:r>
      <w:r w:rsidRPr="00201EC9">
        <w:rPr>
          <w:b/>
        </w:rPr>
        <w:t>referred to:</w:t>
      </w:r>
      <w:r w:rsidRPr="00201EC9">
        <w:t xml:space="preserve">  </w:t>
      </w:r>
      <w:r w:rsidRPr="00201EC9">
        <w:rPr>
          <w:i/>
        </w:rPr>
        <w:t>Dunsmuir v. New Brunswick</w:t>
      </w:r>
      <w:r w:rsidRPr="00201EC9">
        <w:t xml:space="preserve">, 2008 SCC 9, [2008] 1 S.C.R. 190; </w:t>
      </w:r>
      <w:r w:rsidRPr="00201EC9">
        <w:rPr>
          <w:i/>
        </w:rPr>
        <w:t>Alberta (Information and Privacy Commissioner) v. Alberta Teachers’ Association</w:t>
      </w:r>
      <w:r w:rsidRPr="00201EC9">
        <w:t xml:space="preserve">, 2011 SCC 61, [2011] 3 S.C.R. 654; </w:t>
      </w:r>
      <w:r w:rsidRPr="00201EC9">
        <w:rPr>
          <w:i/>
          <w:iCs/>
        </w:rPr>
        <w:t>Rogers Communications Inc. v. Society of Composers, Authors and Music Publishers of Canada</w:t>
      </w:r>
      <w:r w:rsidRPr="00201EC9">
        <w:rPr>
          <w:iCs/>
        </w:rPr>
        <w:t>, 2012 SCC 35, [2012] 2 S.C.R. 283</w:t>
      </w:r>
      <w:r w:rsidRPr="00201EC9">
        <w:t xml:space="preserve">; </w:t>
      </w:r>
      <w:r w:rsidRPr="00201EC9">
        <w:rPr>
          <w:i/>
        </w:rPr>
        <w:t xml:space="preserve">Canada (Citizenship and Immigration) v. </w:t>
      </w:r>
      <w:proofErr w:type="spellStart"/>
      <w:r w:rsidRPr="00201EC9">
        <w:rPr>
          <w:i/>
        </w:rPr>
        <w:t>Khosa</w:t>
      </w:r>
      <w:proofErr w:type="spellEnd"/>
      <w:r w:rsidRPr="00201EC9">
        <w:t xml:space="preserve">, 2009 SCC 12, [2009] 1 S.C.R. 339; </w:t>
      </w:r>
      <w:r w:rsidRPr="00201EC9">
        <w:rPr>
          <w:i/>
        </w:rPr>
        <w:t>Canada (Canadian Human Rights Commission) v. Canada (Attorney General)</w:t>
      </w:r>
      <w:r w:rsidRPr="00201EC9">
        <w:t xml:space="preserve">, 2011 SCC 53, [2011] 3 S.C.R. 471; </w:t>
      </w:r>
      <w:r w:rsidRPr="00201EC9">
        <w:rPr>
          <w:i/>
        </w:rPr>
        <w:t>Canadian National Railway Co. v. Canada (Attorney General)</w:t>
      </w:r>
      <w:r w:rsidRPr="00201EC9">
        <w:t xml:space="preserve">, 2014 SCC 40, [2014] 2 S.C.R. 135; </w:t>
      </w:r>
      <w:proofErr w:type="spellStart"/>
      <w:r w:rsidRPr="00201EC9">
        <w:rPr>
          <w:i/>
        </w:rPr>
        <w:t>Agraira</w:t>
      </w:r>
      <w:proofErr w:type="spellEnd"/>
      <w:r w:rsidRPr="00201EC9">
        <w:rPr>
          <w:i/>
        </w:rPr>
        <w:t xml:space="preserve"> v. Canada (Public Safety and Emergency Preparedness)</w:t>
      </w:r>
      <w:r w:rsidRPr="00201EC9">
        <w:t xml:space="preserve">, 2013 SCC 36, [2013] 2 S.C.R. 559; </w:t>
      </w:r>
      <w:r w:rsidRPr="00201EC9">
        <w:rPr>
          <w:i/>
        </w:rPr>
        <w:t>Nor</w:t>
      </w:r>
      <w:r w:rsidR="00154FA9">
        <w:rPr>
          <w:i/>
        </w:rPr>
        <w:t>-</w:t>
      </w:r>
      <w:r w:rsidRPr="00201EC9">
        <w:rPr>
          <w:i/>
        </w:rPr>
        <w:t>Man Regional Health Authority Inc. v. Manitoba Association of Health Care Professionals</w:t>
      </w:r>
      <w:r w:rsidRPr="00201EC9">
        <w:t xml:space="preserve">, 2011 SCC 59, [2011] 3 S.C.R. 616; </w:t>
      </w:r>
      <w:proofErr w:type="spellStart"/>
      <w:r w:rsidRPr="00201EC9">
        <w:rPr>
          <w:i/>
        </w:rPr>
        <w:t>Celgene</w:t>
      </w:r>
      <w:proofErr w:type="spellEnd"/>
      <w:r w:rsidRPr="00201EC9">
        <w:rPr>
          <w:i/>
        </w:rPr>
        <w:t xml:space="preserve"> Corp.</w:t>
      </w:r>
      <w:r w:rsidR="00154FA9">
        <w:rPr>
          <w:i/>
        </w:rPr>
        <w:t xml:space="preserve"> </w:t>
      </w:r>
      <w:r w:rsidRPr="00201EC9">
        <w:rPr>
          <w:i/>
        </w:rPr>
        <w:t>v. Canada (Attorney General)</w:t>
      </w:r>
      <w:r w:rsidRPr="00201EC9">
        <w:t xml:space="preserve">, 2011 SCC 1, [2011] 1 S.C.R. 3; </w:t>
      </w:r>
      <w:r w:rsidRPr="00201EC9">
        <w:rPr>
          <w:i/>
        </w:rPr>
        <w:t>Nolan v. Kerry (Canada) Inc.</w:t>
      </w:r>
      <w:r w:rsidRPr="00201EC9">
        <w:t xml:space="preserve">, 2009 SCC 39, [2009] 2 S.C.R. 678; </w:t>
      </w:r>
      <w:proofErr w:type="spellStart"/>
      <w:r w:rsidRPr="00201EC9">
        <w:rPr>
          <w:i/>
        </w:rPr>
        <w:t>Sattva</w:t>
      </w:r>
      <w:proofErr w:type="spellEnd"/>
      <w:r w:rsidRPr="00201EC9">
        <w:rPr>
          <w:i/>
        </w:rPr>
        <w:t xml:space="preserve"> Capital Corp.</w:t>
      </w:r>
      <w:r w:rsidR="00154FA9">
        <w:rPr>
          <w:i/>
        </w:rPr>
        <w:t xml:space="preserve"> </w:t>
      </w:r>
      <w:r w:rsidRPr="00201EC9">
        <w:rPr>
          <w:i/>
        </w:rPr>
        <w:t xml:space="preserve">v. Creston </w:t>
      </w:r>
      <w:proofErr w:type="spellStart"/>
      <w:r w:rsidRPr="00201EC9">
        <w:rPr>
          <w:i/>
        </w:rPr>
        <w:t>Moly</w:t>
      </w:r>
      <w:proofErr w:type="spellEnd"/>
      <w:r w:rsidRPr="00201EC9">
        <w:rPr>
          <w:i/>
        </w:rPr>
        <w:t xml:space="preserve"> Corp.</w:t>
      </w:r>
      <w:r w:rsidRPr="00201EC9">
        <w:t>, 2014 SCC 53, [2014] 2 S.C.R. 633.</w:t>
      </w:r>
    </w:p>
    <w:p w:rsidR="00200735" w:rsidRPr="00201EC9" w:rsidRDefault="00200735" w:rsidP="00154FA9">
      <w:pPr>
        <w:pStyle w:val="SCCNormalDoubleSpacing"/>
        <w:spacing w:after="720" w:line="240" w:lineRule="auto"/>
      </w:pPr>
      <w:r w:rsidRPr="00201EC9">
        <w:t xml:space="preserve">By </w:t>
      </w:r>
      <w:proofErr w:type="spellStart"/>
      <w:r w:rsidRPr="00201EC9">
        <w:t>Karakatsanis</w:t>
      </w:r>
      <w:proofErr w:type="spellEnd"/>
      <w:r w:rsidR="00154FA9">
        <w:t xml:space="preserve"> </w:t>
      </w:r>
      <w:r w:rsidRPr="00201EC9">
        <w:t>J. (dissenting)</w:t>
      </w:r>
    </w:p>
    <w:p w:rsidR="00200735" w:rsidRPr="00201EC9" w:rsidRDefault="00200735" w:rsidP="00154FA9">
      <w:pPr>
        <w:pStyle w:val="SCCNormalDoubleSpacing"/>
        <w:spacing w:before="480" w:after="480"/>
      </w:pPr>
      <w:r w:rsidRPr="00201EC9">
        <w:tab/>
      </w:r>
      <w:proofErr w:type="gramStart"/>
      <w:r w:rsidRPr="00201EC9">
        <w:rPr>
          <w:i/>
        </w:rPr>
        <w:t>Canada (Commissioner of Competition) v. Superior Propane Inc.</w:t>
      </w:r>
      <w:r w:rsidR="00203707">
        <w:t xml:space="preserve">, </w:t>
      </w:r>
      <w:r w:rsidRPr="00201EC9">
        <w:t>2002</w:t>
      </w:r>
      <w:r w:rsidR="00203707">
        <w:t xml:space="preserve"> Comp. Trib. 16</w:t>
      </w:r>
      <w:r w:rsidRPr="00201EC9">
        <w:t>, 18 C.P.R. (4th) 417.</w:t>
      </w:r>
      <w:proofErr w:type="gramEnd"/>
    </w:p>
    <w:p w:rsidR="00200735" w:rsidRPr="00201EC9" w:rsidRDefault="00200735" w:rsidP="00154FA9">
      <w:pPr>
        <w:pStyle w:val="SCCNormalDoubleSpacing"/>
        <w:spacing w:after="720" w:line="240" w:lineRule="auto"/>
      </w:pPr>
      <w:r w:rsidRPr="00201EC9">
        <w:rPr>
          <w:b/>
        </w:rPr>
        <w:t>Statutes and Regulations Cited</w:t>
      </w:r>
    </w:p>
    <w:p w:rsidR="00200735" w:rsidRPr="00201EC9" w:rsidRDefault="00200735" w:rsidP="00154FA9">
      <w:pPr>
        <w:pStyle w:val="SCCNormalDoubleSpacing"/>
        <w:spacing w:after="240" w:line="240" w:lineRule="auto"/>
        <w:ind w:left="547" w:hanging="547"/>
      </w:pPr>
      <w:r w:rsidRPr="00201EC9">
        <w:rPr>
          <w:i/>
        </w:rPr>
        <w:lastRenderedPageBreak/>
        <w:t>Act to establish the Competition Tribunal and to amend the Combines Investigation Act and the Bank Act and other Acts in consequence thereof</w:t>
      </w:r>
      <w:r w:rsidRPr="00201EC9">
        <w:t>, Bill C</w:t>
      </w:r>
      <w:r w:rsidR="00154FA9">
        <w:t>-</w:t>
      </w:r>
      <w:r w:rsidRPr="00201EC9">
        <w:t>91, 1st</w:t>
      </w:r>
      <w:r w:rsidR="00154FA9">
        <w:t xml:space="preserve"> </w:t>
      </w:r>
      <w:r w:rsidRPr="00201EC9">
        <w:t>Sess., 33rd Parl., 1985 (assented to June</w:t>
      </w:r>
      <w:r w:rsidR="00154FA9">
        <w:t xml:space="preserve"> </w:t>
      </w:r>
      <w:r w:rsidRPr="00201EC9">
        <w:t>17, 1986), S.C. 1986, c.</w:t>
      </w:r>
      <w:r w:rsidR="00154FA9">
        <w:t xml:space="preserve"> </w:t>
      </w:r>
      <w:r w:rsidRPr="00201EC9">
        <w:t>26.</w:t>
      </w:r>
    </w:p>
    <w:p w:rsidR="00200735" w:rsidRPr="00201EC9" w:rsidRDefault="00200735" w:rsidP="00154FA9">
      <w:pPr>
        <w:pStyle w:val="SCCNormalDoubleSpacing"/>
        <w:spacing w:after="240" w:line="240" w:lineRule="auto"/>
        <w:ind w:left="547" w:hanging="547"/>
      </w:pPr>
      <w:proofErr w:type="gramStart"/>
      <w:r w:rsidRPr="00201EC9">
        <w:rPr>
          <w:i/>
        </w:rPr>
        <w:t>Combines Investigation Act</w:t>
      </w:r>
      <w:r w:rsidRPr="00201EC9">
        <w:t>, R.S.C. 1970, c.</w:t>
      </w:r>
      <w:r w:rsidR="00154FA9">
        <w:t xml:space="preserve"> </w:t>
      </w:r>
      <w:r w:rsidRPr="00201EC9">
        <w:t>C</w:t>
      </w:r>
      <w:r w:rsidR="00154FA9">
        <w:t>-</w:t>
      </w:r>
      <w:r w:rsidRPr="00201EC9">
        <w:t>23.</w:t>
      </w:r>
      <w:proofErr w:type="gramEnd"/>
    </w:p>
    <w:p w:rsidR="00200735" w:rsidRPr="00201EC9" w:rsidRDefault="00200735" w:rsidP="00154FA9">
      <w:pPr>
        <w:pStyle w:val="SCCNormalDoubleSpacing"/>
        <w:spacing w:after="240" w:line="240" w:lineRule="auto"/>
        <w:ind w:left="547" w:hanging="547"/>
        <w:rPr>
          <w:szCs w:val="24"/>
        </w:rPr>
      </w:pPr>
      <w:r w:rsidRPr="00201EC9">
        <w:rPr>
          <w:i/>
          <w:iCs/>
          <w:szCs w:val="24"/>
        </w:rPr>
        <w:t>Competition Act</w:t>
      </w:r>
      <w:r w:rsidRPr="00201EC9">
        <w:rPr>
          <w:iCs/>
          <w:szCs w:val="24"/>
        </w:rPr>
        <w:t xml:space="preserve">, </w:t>
      </w:r>
      <w:r w:rsidRPr="00201EC9">
        <w:rPr>
          <w:szCs w:val="24"/>
        </w:rPr>
        <w:t>R.S.C. 1985, c.</w:t>
      </w:r>
      <w:r w:rsidR="00154FA9">
        <w:rPr>
          <w:szCs w:val="24"/>
        </w:rPr>
        <w:t xml:space="preserve"> </w:t>
      </w:r>
      <w:r w:rsidRPr="00201EC9">
        <w:rPr>
          <w:szCs w:val="24"/>
        </w:rPr>
        <w:t>C</w:t>
      </w:r>
      <w:r w:rsidR="00154FA9">
        <w:rPr>
          <w:szCs w:val="24"/>
        </w:rPr>
        <w:t>-</w:t>
      </w:r>
      <w:r w:rsidRPr="00201EC9">
        <w:rPr>
          <w:szCs w:val="24"/>
        </w:rPr>
        <w:t>34, ss.</w:t>
      </w:r>
      <w:r w:rsidR="00154FA9">
        <w:rPr>
          <w:szCs w:val="24"/>
        </w:rPr>
        <w:t xml:space="preserve"> </w:t>
      </w:r>
      <w:r w:rsidRPr="00201EC9">
        <w:rPr>
          <w:szCs w:val="24"/>
        </w:rPr>
        <w:t>1.1, 79(1</w:t>
      </w:r>
      <w:proofErr w:type="gramStart"/>
      <w:r w:rsidRPr="00201EC9">
        <w:rPr>
          <w:szCs w:val="24"/>
        </w:rPr>
        <w:t>)(</w:t>
      </w:r>
      <w:proofErr w:type="gramEnd"/>
      <w:r w:rsidRPr="00201EC9">
        <w:rPr>
          <w:i/>
          <w:szCs w:val="24"/>
        </w:rPr>
        <w:t>c</w:t>
      </w:r>
      <w:r w:rsidRPr="00201EC9">
        <w:rPr>
          <w:szCs w:val="24"/>
        </w:rPr>
        <w:t>), 91 “merger”, 92, 93, 94 to 96.</w:t>
      </w:r>
    </w:p>
    <w:p w:rsidR="00200735" w:rsidRPr="00201EC9" w:rsidRDefault="00200735" w:rsidP="00154FA9">
      <w:pPr>
        <w:pStyle w:val="SCCNormalDoubleSpacing"/>
        <w:spacing w:after="240" w:line="240" w:lineRule="auto"/>
        <w:ind w:left="547" w:hanging="547"/>
        <w:rPr>
          <w:szCs w:val="24"/>
        </w:rPr>
      </w:pPr>
      <w:r w:rsidRPr="00201EC9">
        <w:rPr>
          <w:i/>
          <w:szCs w:val="24"/>
        </w:rPr>
        <w:t>Competition Tribunal Act</w:t>
      </w:r>
      <w:r w:rsidRPr="00201EC9">
        <w:rPr>
          <w:szCs w:val="24"/>
        </w:rPr>
        <w:t>, R.S.C. 1985, c.</w:t>
      </w:r>
      <w:r w:rsidR="00154FA9">
        <w:rPr>
          <w:szCs w:val="24"/>
        </w:rPr>
        <w:t xml:space="preserve"> </w:t>
      </w:r>
      <w:r w:rsidRPr="00201EC9">
        <w:rPr>
          <w:szCs w:val="24"/>
        </w:rPr>
        <w:t>19 (2nd Supp.), s.</w:t>
      </w:r>
      <w:r w:rsidR="00154FA9">
        <w:rPr>
          <w:szCs w:val="24"/>
        </w:rPr>
        <w:t xml:space="preserve"> </w:t>
      </w:r>
      <w:r w:rsidRPr="00201EC9">
        <w:rPr>
          <w:szCs w:val="24"/>
        </w:rPr>
        <w:t>13(1).</w:t>
      </w:r>
    </w:p>
    <w:p w:rsidR="00200735" w:rsidRPr="00201EC9" w:rsidRDefault="00200735" w:rsidP="00154FA9">
      <w:pPr>
        <w:pStyle w:val="SCCNormalDoubleSpacing"/>
        <w:spacing w:after="240" w:line="240" w:lineRule="auto"/>
        <w:ind w:left="547" w:hanging="547"/>
        <w:rPr>
          <w:szCs w:val="24"/>
        </w:rPr>
      </w:pPr>
      <w:r w:rsidRPr="00201EC9">
        <w:rPr>
          <w:i/>
          <w:szCs w:val="24"/>
        </w:rPr>
        <w:t>National Energy Board Act</w:t>
      </w:r>
      <w:r w:rsidRPr="00201EC9">
        <w:rPr>
          <w:szCs w:val="24"/>
        </w:rPr>
        <w:t>, R.S.C. 1985, c.</w:t>
      </w:r>
      <w:r w:rsidR="00154FA9">
        <w:rPr>
          <w:szCs w:val="24"/>
        </w:rPr>
        <w:t xml:space="preserve"> </w:t>
      </w:r>
      <w:r w:rsidRPr="00201EC9">
        <w:rPr>
          <w:szCs w:val="24"/>
        </w:rPr>
        <w:t>N</w:t>
      </w:r>
      <w:r w:rsidR="00154FA9">
        <w:rPr>
          <w:szCs w:val="24"/>
        </w:rPr>
        <w:t>-</w:t>
      </w:r>
      <w:r w:rsidRPr="00201EC9">
        <w:rPr>
          <w:szCs w:val="24"/>
        </w:rPr>
        <w:t>7, s.</w:t>
      </w:r>
      <w:r w:rsidR="00154FA9">
        <w:rPr>
          <w:szCs w:val="24"/>
        </w:rPr>
        <w:t xml:space="preserve"> </w:t>
      </w:r>
      <w:r w:rsidRPr="00201EC9">
        <w:rPr>
          <w:szCs w:val="24"/>
        </w:rPr>
        <w:t>101.</w:t>
      </w:r>
    </w:p>
    <w:p w:rsidR="00200735" w:rsidRPr="00201EC9" w:rsidRDefault="00200735" w:rsidP="00154FA9">
      <w:pPr>
        <w:pStyle w:val="SCCNormalDoubleSpacing"/>
        <w:spacing w:after="240" w:line="240" w:lineRule="auto"/>
        <w:ind w:left="547" w:hanging="547"/>
        <w:rPr>
          <w:szCs w:val="24"/>
        </w:rPr>
      </w:pPr>
      <w:r w:rsidRPr="00201EC9">
        <w:rPr>
          <w:i/>
          <w:szCs w:val="24"/>
        </w:rPr>
        <w:t>Securities Act</w:t>
      </w:r>
      <w:r w:rsidRPr="00201EC9">
        <w:rPr>
          <w:szCs w:val="24"/>
        </w:rPr>
        <w:t>, R.S.B.C. 1996, c.</w:t>
      </w:r>
      <w:r w:rsidR="00154FA9">
        <w:rPr>
          <w:szCs w:val="24"/>
        </w:rPr>
        <w:t xml:space="preserve"> </w:t>
      </w:r>
      <w:r w:rsidRPr="00201EC9">
        <w:rPr>
          <w:szCs w:val="24"/>
        </w:rPr>
        <w:t>418, s.</w:t>
      </w:r>
      <w:r w:rsidR="00154FA9">
        <w:rPr>
          <w:szCs w:val="24"/>
        </w:rPr>
        <w:t xml:space="preserve"> </w:t>
      </w:r>
      <w:r w:rsidRPr="00201EC9">
        <w:rPr>
          <w:szCs w:val="24"/>
        </w:rPr>
        <w:t>167.</w:t>
      </w:r>
    </w:p>
    <w:p w:rsidR="00200735" w:rsidRPr="00201EC9" w:rsidRDefault="00200735" w:rsidP="00154FA9">
      <w:pPr>
        <w:pStyle w:val="SCCNormalDoubleSpacing"/>
        <w:spacing w:after="720" w:line="240" w:lineRule="auto"/>
        <w:ind w:left="547" w:hanging="547"/>
        <w:rPr>
          <w:szCs w:val="24"/>
        </w:rPr>
      </w:pPr>
      <w:r w:rsidRPr="00201EC9">
        <w:rPr>
          <w:i/>
          <w:szCs w:val="24"/>
        </w:rPr>
        <w:t>Securities Act</w:t>
      </w:r>
      <w:r w:rsidRPr="00201EC9">
        <w:rPr>
          <w:szCs w:val="24"/>
        </w:rPr>
        <w:t>, S.B.C. 1985, c.</w:t>
      </w:r>
      <w:r w:rsidR="00154FA9">
        <w:rPr>
          <w:szCs w:val="24"/>
        </w:rPr>
        <w:t xml:space="preserve"> </w:t>
      </w:r>
      <w:r w:rsidRPr="00201EC9">
        <w:rPr>
          <w:szCs w:val="24"/>
        </w:rPr>
        <w:t>83, s.</w:t>
      </w:r>
      <w:r w:rsidR="00154FA9">
        <w:rPr>
          <w:szCs w:val="24"/>
        </w:rPr>
        <w:t xml:space="preserve"> </w:t>
      </w:r>
      <w:r w:rsidRPr="00201EC9">
        <w:rPr>
          <w:szCs w:val="24"/>
        </w:rPr>
        <w:t>149(1).</w:t>
      </w:r>
    </w:p>
    <w:p w:rsidR="00200735" w:rsidRPr="00201EC9" w:rsidRDefault="00200735" w:rsidP="00154FA9">
      <w:pPr>
        <w:pStyle w:val="SCCNormalDoubleSpacing"/>
        <w:spacing w:after="720" w:line="240" w:lineRule="auto"/>
        <w:rPr>
          <w:b/>
        </w:rPr>
      </w:pPr>
      <w:r w:rsidRPr="00201EC9">
        <w:rPr>
          <w:b/>
        </w:rPr>
        <w:t>Authors Cited</w:t>
      </w:r>
    </w:p>
    <w:p w:rsidR="00200735" w:rsidRPr="00201EC9" w:rsidRDefault="00200735" w:rsidP="00154FA9">
      <w:pPr>
        <w:pStyle w:val="SCCNormalDoubleSpacing"/>
        <w:spacing w:after="240" w:line="240" w:lineRule="auto"/>
        <w:ind w:left="547" w:hanging="547"/>
      </w:pPr>
      <w:r w:rsidRPr="00201EC9">
        <w:t>Campbell, A.</w:t>
      </w:r>
      <w:r w:rsidR="00154FA9">
        <w:t xml:space="preserve"> </w:t>
      </w:r>
      <w:r w:rsidRPr="00201EC9">
        <w:t xml:space="preserve">Neil.  </w:t>
      </w:r>
      <w:r w:rsidRPr="00201EC9">
        <w:rPr>
          <w:i/>
        </w:rPr>
        <w:t xml:space="preserve">Merger Law and Practice:  The Regulation of Mergers </w:t>
      </w:r>
      <w:proofErr w:type="gramStart"/>
      <w:r w:rsidRPr="00201EC9">
        <w:rPr>
          <w:i/>
        </w:rPr>
        <w:t>Under</w:t>
      </w:r>
      <w:proofErr w:type="gramEnd"/>
      <w:r w:rsidRPr="00201EC9">
        <w:rPr>
          <w:i/>
        </w:rPr>
        <w:t xml:space="preserve"> the Competition Act</w:t>
      </w:r>
      <w:r w:rsidRPr="00201EC9">
        <w:t xml:space="preserve">.  Scarborough, Ont.:  </w:t>
      </w:r>
      <w:proofErr w:type="spellStart"/>
      <w:r w:rsidRPr="00201EC9">
        <w:t>Carswell</w:t>
      </w:r>
      <w:proofErr w:type="spellEnd"/>
      <w:r w:rsidRPr="00201EC9">
        <w:t>, 1997.</w:t>
      </w:r>
    </w:p>
    <w:p w:rsidR="00200735" w:rsidRPr="00201EC9" w:rsidRDefault="00200735" w:rsidP="00154FA9">
      <w:pPr>
        <w:pStyle w:val="SCCNormalDoubleSpacing"/>
        <w:spacing w:after="240" w:line="240" w:lineRule="auto"/>
        <w:ind w:left="547" w:hanging="547"/>
      </w:pPr>
      <w:r w:rsidRPr="00201EC9">
        <w:t xml:space="preserve">Canada.  </w:t>
      </w:r>
      <w:proofErr w:type="gramStart"/>
      <w:r w:rsidRPr="00201EC9">
        <w:t>Competition Bureau.</w:t>
      </w:r>
      <w:proofErr w:type="gramEnd"/>
      <w:r w:rsidRPr="00201EC9">
        <w:t xml:space="preserve">  </w:t>
      </w:r>
      <w:proofErr w:type="gramStart"/>
      <w:r w:rsidRPr="00201EC9">
        <w:rPr>
          <w:i/>
        </w:rPr>
        <w:t>Merger Enforcement Guidelines</w:t>
      </w:r>
      <w:r w:rsidRPr="00201EC9">
        <w:t>.</w:t>
      </w:r>
      <w:proofErr w:type="gramEnd"/>
      <w:r w:rsidRPr="00201EC9">
        <w:t xml:space="preserve">  Gatineau:  The Bureau, 2011.</w:t>
      </w:r>
    </w:p>
    <w:p w:rsidR="00200735" w:rsidRPr="00201EC9" w:rsidRDefault="00200735" w:rsidP="00154FA9">
      <w:pPr>
        <w:pStyle w:val="SCCNormalDoubleSpacing"/>
        <w:spacing w:after="240" w:line="240" w:lineRule="auto"/>
        <w:ind w:left="547" w:hanging="547"/>
      </w:pPr>
      <w:r w:rsidRPr="00201EC9">
        <w:t xml:space="preserve">Canada.  </w:t>
      </w:r>
      <w:proofErr w:type="gramStart"/>
      <w:r w:rsidRPr="00201EC9">
        <w:t>House of Commons.</w:t>
      </w:r>
      <w:proofErr w:type="gramEnd"/>
      <w:r w:rsidRPr="00201EC9">
        <w:t xml:space="preserve">  </w:t>
      </w:r>
      <w:r w:rsidRPr="00201EC9">
        <w:rPr>
          <w:i/>
        </w:rPr>
        <w:t>House of Commons Debates</w:t>
      </w:r>
      <w:r w:rsidRPr="00201EC9">
        <w:t>, vol.</w:t>
      </w:r>
      <w:r w:rsidR="00154FA9">
        <w:t xml:space="preserve"> </w:t>
      </w:r>
      <w:r w:rsidRPr="00201EC9">
        <w:t>VIII, 1st Sess., 33rd Parl., April 7, 1986, p.</w:t>
      </w:r>
      <w:r w:rsidR="00154FA9">
        <w:t xml:space="preserve"> </w:t>
      </w:r>
      <w:r w:rsidRPr="00201EC9">
        <w:t>11962.</w:t>
      </w:r>
    </w:p>
    <w:p w:rsidR="00200735" w:rsidRPr="00201EC9" w:rsidRDefault="00200735" w:rsidP="00154FA9">
      <w:pPr>
        <w:pStyle w:val="SCCNormalDoubleSpacing"/>
        <w:spacing w:after="240" w:line="240" w:lineRule="auto"/>
        <w:ind w:left="547" w:hanging="547"/>
      </w:pPr>
      <w:r w:rsidRPr="00201EC9">
        <w:t xml:space="preserve">Canada.  </w:t>
      </w:r>
      <w:proofErr w:type="gramStart"/>
      <w:r w:rsidRPr="00201EC9">
        <w:t>Minister of Consumer and Corporate Affairs.</w:t>
      </w:r>
      <w:proofErr w:type="gramEnd"/>
      <w:r w:rsidRPr="00201EC9">
        <w:t xml:space="preserve">  </w:t>
      </w:r>
      <w:r w:rsidRPr="00201EC9">
        <w:rPr>
          <w:i/>
        </w:rPr>
        <w:t>Competition Law Amendments:  A Guide</w:t>
      </w:r>
      <w:r w:rsidRPr="00201EC9">
        <w:t>.  Ottawa:  Supply and Services Canada, 1985.</w:t>
      </w:r>
    </w:p>
    <w:p w:rsidR="00200735" w:rsidRPr="00201EC9" w:rsidRDefault="00200735" w:rsidP="00154FA9">
      <w:pPr>
        <w:pStyle w:val="SCCNormalDoubleSpacing"/>
        <w:spacing w:after="240" w:line="240" w:lineRule="auto"/>
        <w:ind w:left="547" w:hanging="547"/>
      </w:pPr>
      <w:proofErr w:type="spellStart"/>
      <w:proofErr w:type="gramStart"/>
      <w:r w:rsidRPr="00201EC9">
        <w:t>Facey</w:t>
      </w:r>
      <w:proofErr w:type="spellEnd"/>
      <w:r w:rsidRPr="00201EC9">
        <w:t>, Brian</w:t>
      </w:r>
      <w:r w:rsidR="00154FA9">
        <w:t xml:space="preserve"> </w:t>
      </w:r>
      <w:r w:rsidRPr="00201EC9">
        <w:t>A., and Cassandra Brown.</w:t>
      </w:r>
      <w:proofErr w:type="gramEnd"/>
      <w:r w:rsidRPr="00201EC9">
        <w:t xml:space="preserve">  </w:t>
      </w:r>
      <w:r w:rsidRPr="00201EC9">
        <w:rPr>
          <w:i/>
        </w:rPr>
        <w:t>Competition and Antitrust Laws in Canada:  Mergers, Joint Ventures and Competitor Collaborations</w:t>
      </w:r>
      <w:r w:rsidRPr="00201EC9">
        <w:t>.  Markham, Ont.:  LexisNexis, 2013.</w:t>
      </w:r>
    </w:p>
    <w:p w:rsidR="00200735" w:rsidRPr="00201EC9" w:rsidRDefault="00200735" w:rsidP="00154FA9">
      <w:pPr>
        <w:pStyle w:val="SCCNormalDoubleSpacing"/>
        <w:spacing w:after="240" w:line="240" w:lineRule="auto"/>
        <w:ind w:left="547" w:hanging="547"/>
      </w:pPr>
      <w:proofErr w:type="spellStart"/>
      <w:proofErr w:type="gramStart"/>
      <w:r w:rsidRPr="00201EC9">
        <w:t>Facey</w:t>
      </w:r>
      <w:proofErr w:type="spellEnd"/>
      <w:r w:rsidRPr="00201EC9">
        <w:t>, Brian</w:t>
      </w:r>
      <w:r w:rsidR="00154FA9">
        <w:t xml:space="preserve"> </w:t>
      </w:r>
      <w:r w:rsidRPr="00201EC9">
        <w:t xml:space="preserve">A., and </w:t>
      </w:r>
      <w:proofErr w:type="spellStart"/>
      <w:r w:rsidRPr="00201EC9">
        <w:t>Dany</w:t>
      </w:r>
      <w:proofErr w:type="spellEnd"/>
      <w:r w:rsidR="00154FA9">
        <w:t xml:space="preserve"> </w:t>
      </w:r>
      <w:r w:rsidRPr="00201EC9">
        <w:t xml:space="preserve">H. </w:t>
      </w:r>
      <w:proofErr w:type="spellStart"/>
      <w:r w:rsidRPr="00201EC9">
        <w:t>Assaf</w:t>
      </w:r>
      <w:proofErr w:type="spellEnd"/>
      <w:r w:rsidRPr="00201EC9">
        <w:t>.</w:t>
      </w:r>
      <w:proofErr w:type="gramEnd"/>
      <w:r w:rsidRPr="00201EC9">
        <w:t xml:space="preserve">  </w:t>
      </w:r>
      <w:r w:rsidRPr="00201EC9">
        <w:rPr>
          <w:i/>
        </w:rPr>
        <w:t>Competition and Antitrust Law:  Canada and the United States</w:t>
      </w:r>
      <w:r w:rsidRPr="00201EC9">
        <w:t xml:space="preserve">, 4th </w:t>
      </w:r>
      <w:proofErr w:type="gramStart"/>
      <w:r w:rsidRPr="00201EC9">
        <w:t>ed</w:t>
      </w:r>
      <w:proofErr w:type="gramEnd"/>
      <w:r w:rsidRPr="00201EC9">
        <w:t>.  Markham, Ont.:  LexisNexis, 2014.</w:t>
      </w:r>
    </w:p>
    <w:p w:rsidR="00200735" w:rsidRPr="00201EC9" w:rsidRDefault="00200735" w:rsidP="00154FA9">
      <w:pPr>
        <w:pStyle w:val="SCCNormalDoubleSpacing"/>
        <w:spacing w:after="240" w:line="240" w:lineRule="auto"/>
        <w:ind w:left="547" w:hanging="547"/>
      </w:pPr>
      <w:proofErr w:type="spellStart"/>
      <w:proofErr w:type="gramStart"/>
      <w:r w:rsidRPr="00201EC9">
        <w:t>Facey</w:t>
      </w:r>
      <w:proofErr w:type="spellEnd"/>
      <w:r w:rsidRPr="00201EC9">
        <w:t>, Brian</w:t>
      </w:r>
      <w:r w:rsidR="00154FA9">
        <w:t xml:space="preserve"> </w:t>
      </w:r>
      <w:r w:rsidRPr="00201EC9">
        <w:t>A., Gregory Hilton</w:t>
      </w:r>
      <w:r w:rsidR="00154FA9">
        <w:t>-</w:t>
      </w:r>
      <w:r w:rsidRPr="00201EC9">
        <w:t>Sullivan and Mark Graham.</w:t>
      </w:r>
      <w:proofErr w:type="gramEnd"/>
      <w:r w:rsidRPr="00201EC9">
        <w:t xml:space="preserve">  </w:t>
      </w:r>
      <w:proofErr w:type="gramStart"/>
      <w:r w:rsidRPr="00201EC9">
        <w:t xml:space="preserve">“The Reinvigoration of Canadian Antitrust Law — Canada’s New Approach to Merger Review” (2010), 6 </w:t>
      </w:r>
      <w:r w:rsidRPr="00201EC9">
        <w:rPr>
          <w:i/>
        </w:rPr>
        <w:t>C.L.I.</w:t>
      </w:r>
      <w:r w:rsidRPr="00201EC9">
        <w:t xml:space="preserve"> 28.</w:t>
      </w:r>
      <w:proofErr w:type="gramEnd"/>
    </w:p>
    <w:p w:rsidR="00200735" w:rsidRPr="00201EC9" w:rsidRDefault="00200735" w:rsidP="00154FA9">
      <w:pPr>
        <w:pStyle w:val="SCCNormalDoubleSpacing"/>
        <w:spacing w:after="240" w:line="240" w:lineRule="auto"/>
        <w:ind w:left="547" w:hanging="547"/>
      </w:pPr>
      <w:r w:rsidRPr="00201EC9">
        <w:rPr>
          <w:i/>
        </w:rPr>
        <w:t>Merriam</w:t>
      </w:r>
      <w:r w:rsidR="00154FA9">
        <w:rPr>
          <w:i/>
        </w:rPr>
        <w:t>-</w:t>
      </w:r>
      <w:r w:rsidRPr="00201EC9">
        <w:rPr>
          <w:i/>
        </w:rPr>
        <w:t>Webster’s Collegiate Dictionary</w:t>
      </w:r>
      <w:r w:rsidRPr="00201EC9">
        <w:t xml:space="preserve">, 11th </w:t>
      </w:r>
      <w:proofErr w:type="gramStart"/>
      <w:r w:rsidRPr="00201EC9">
        <w:t>ed</w:t>
      </w:r>
      <w:proofErr w:type="gramEnd"/>
      <w:r w:rsidRPr="00201EC9">
        <w:t>.  Springfield, Mass.:  Merriam</w:t>
      </w:r>
      <w:r w:rsidR="00154FA9">
        <w:t>-</w:t>
      </w:r>
      <w:r w:rsidRPr="00201EC9">
        <w:t>Webster, 2003, “offset”.</w:t>
      </w:r>
    </w:p>
    <w:p w:rsidR="00200735" w:rsidRPr="00201EC9" w:rsidRDefault="00200735" w:rsidP="00154FA9">
      <w:pPr>
        <w:pStyle w:val="SCCNormalDoubleSpacing"/>
        <w:spacing w:after="240" w:line="240" w:lineRule="auto"/>
        <w:ind w:left="547" w:hanging="547"/>
      </w:pPr>
      <w:r w:rsidRPr="00201EC9">
        <w:t>Musgrove, James</w:t>
      </w:r>
      <w:r w:rsidR="00154FA9">
        <w:t xml:space="preserve"> </w:t>
      </w:r>
      <w:r w:rsidRPr="00201EC9">
        <w:t xml:space="preserve">B., Janine </w:t>
      </w:r>
      <w:proofErr w:type="spellStart"/>
      <w:r w:rsidRPr="00201EC9">
        <w:t>MacNeil</w:t>
      </w:r>
      <w:proofErr w:type="spellEnd"/>
      <w:r w:rsidRPr="00201EC9">
        <w:t xml:space="preserve"> and Michael Osborne, </w:t>
      </w:r>
      <w:proofErr w:type="gramStart"/>
      <w:r w:rsidRPr="00201EC9">
        <w:t>eds</w:t>
      </w:r>
      <w:proofErr w:type="gramEnd"/>
      <w:r w:rsidRPr="00201EC9">
        <w:t xml:space="preserve">.  </w:t>
      </w:r>
      <w:r w:rsidRPr="00201EC9">
        <w:rPr>
          <w:i/>
        </w:rPr>
        <w:t>Fundamentals of Canadian Competition Law</w:t>
      </w:r>
      <w:r w:rsidRPr="00201EC9">
        <w:t xml:space="preserve">, 2nd </w:t>
      </w:r>
      <w:proofErr w:type="gramStart"/>
      <w:r w:rsidRPr="00201EC9">
        <w:t>ed</w:t>
      </w:r>
      <w:proofErr w:type="gramEnd"/>
      <w:r w:rsidRPr="00201EC9">
        <w:t xml:space="preserve">.  Toronto:  </w:t>
      </w:r>
      <w:proofErr w:type="spellStart"/>
      <w:r w:rsidRPr="00201EC9">
        <w:t>Carswell</w:t>
      </w:r>
      <w:proofErr w:type="spellEnd"/>
      <w:r w:rsidRPr="00201EC9">
        <w:t>, 2010.</w:t>
      </w:r>
    </w:p>
    <w:p w:rsidR="00200735" w:rsidRPr="00201EC9" w:rsidRDefault="00200735" w:rsidP="00154FA9">
      <w:pPr>
        <w:pStyle w:val="SCCNormalDoubleSpacing"/>
        <w:spacing w:after="240" w:line="240" w:lineRule="auto"/>
        <w:ind w:left="547" w:hanging="547"/>
      </w:pPr>
      <w:r w:rsidRPr="00201EC9">
        <w:rPr>
          <w:i/>
        </w:rPr>
        <w:lastRenderedPageBreak/>
        <w:t>Oxford English Dictionary</w:t>
      </w:r>
      <w:r w:rsidRPr="00201EC9">
        <w:t xml:space="preserve">, 2nd </w:t>
      </w:r>
      <w:proofErr w:type="gramStart"/>
      <w:r w:rsidRPr="00201EC9">
        <w:t>ed</w:t>
      </w:r>
      <w:proofErr w:type="gramEnd"/>
      <w:r w:rsidRPr="00201EC9">
        <w:t>.  Oxford:  Clarendon Press, 1989, “offset”.</w:t>
      </w:r>
    </w:p>
    <w:p w:rsidR="00200735" w:rsidRPr="00201EC9" w:rsidRDefault="00200735" w:rsidP="00154FA9">
      <w:pPr>
        <w:pStyle w:val="SCCNormalDoubleSpacing"/>
        <w:spacing w:after="240" w:line="240" w:lineRule="auto"/>
        <w:ind w:left="547" w:hanging="547"/>
      </w:pPr>
      <w:proofErr w:type="spellStart"/>
      <w:proofErr w:type="gramStart"/>
      <w:r w:rsidRPr="00201EC9">
        <w:t>Stanbury</w:t>
      </w:r>
      <w:proofErr w:type="spellEnd"/>
      <w:r w:rsidRPr="00201EC9">
        <w:t>, W.</w:t>
      </w:r>
      <w:r w:rsidR="00154FA9">
        <w:t xml:space="preserve"> </w:t>
      </w:r>
      <w:r w:rsidRPr="00201EC9">
        <w:t>T., and G.</w:t>
      </w:r>
      <w:r w:rsidR="00154FA9">
        <w:t xml:space="preserve"> </w:t>
      </w:r>
      <w:r w:rsidRPr="00201EC9">
        <w:t xml:space="preserve">B. </w:t>
      </w:r>
      <w:proofErr w:type="spellStart"/>
      <w:r w:rsidRPr="00201EC9">
        <w:t>Reschenthaler</w:t>
      </w:r>
      <w:proofErr w:type="spellEnd"/>
      <w:r w:rsidRPr="00201EC9">
        <w:t>.</w:t>
      </w:r>
      <w:proofErr w:type="gramEnd"/>
      <w:r w:rsidRPr="00201EC9">
        <w:t xml:space="preserve">  </w:t>
      </w:r>
      <w:proofErr w:type="gramStart"/>
      <w:r w:rsidRPr="00201EC9">
        <w:t xml:space="preserve">“Reforming Canadian Competition Policy:  Once More Unto the Breach” (1981), 5 </w:t>
      </w:r>
      <w:r w:rsidRPr="00201EC9">
        <w:rPr>
          <w:i/>
        </w:rPr>
        <w:t>Can. Bus.</w:t>
      </w:r>
      <w:proofErr w:type="gramEnd"/>
      <w:r w:rsidRPr="00201EC9">
        <w:rPr>
          <w:i/>
        </w:rPr>
        <w:t xml:space="preserve"> </w:t>
      </w:r>
      <w:proofErr w:type="gramStart"/>
      <w:r w:rsidRPr="00201EC9">
        <w:rPr>
          <w:i/>
        </w:rPr>
        <w:t>L.J.</w:t>
      </w:r>
      <w:r w:rsidRPr="00201EC9">
        <w:t xml:space="preserve"> 381.</w:t>
      </w:r>
      <w:proofErr w:type="gramEnd"/>
    </w:p>
    <w:p w:rsidR="00200735" w:rsidRPr="00201EC9" w:rsidRDefault="00200735" w:rsidP="00154FA9">
      <w:pPr>
        <w:pStyle w:val="SCCNormalDoubleSpacing"/>
        <w:spacing w:after="240" w:line="240" w:lineRule="auto"/>
        <w:ind w:left="547" w:hanging="547"/>
      </w:pPr>
      <w:proofErr w:type="spellStart"/>
      <w:r w:rsidRPr="00201EC9">
        <w:t>Trebilcock</w:t>
      </w:r>
      <w:proofErr w:type="spellEnd"/>
      <w:r w:rsidRPr="00201EC9">
        <w:t xml:space="preserve">, Michael, et al.  </w:t>
      </w:r>
      <w:proofErr w:type="gramStart"/>
      <w:r w:rsidRPr="00201EC9">
        <w:rPr>
          <w:i/>
        </w:rPr>
        <w:t>The Law and Economics of Canadian Competition Policy</w:t>
      </w:r>
      <w:r w:rsidRPr="00201EC9">
        <w:t>.</w:t>
      </w:r>
      <w:proofErr w:type="gramEnd"/>
      <w:r w:rsidRPr="00201EC9">
        <w:t xml:space="preserve">  Toronto:  University of Toronto Press, 2002.</w:t>
      </w:r>
    </w:p>
    <w:p w:rsidR="00200735" w:rsidRPr="00201EC9" w:rsidRDefault="00200735" w:rsidP="00154FA9">
      <w:pPr>
        <w:pStyle w:val="SCCNormalDoubleSpacing"/>
        <w:spacing w:after="240" w:line="240" w:lineRule="auto"/>
        <w:ind w:left="547" w:hanging="547"/>
      </w:pPr>
      <w:proofErr w:type="spellStart"/>
      <w:r w:rsidRPr="00201EC9">
        <w:t>Waddams</w:t>
      </w:r>
      <w:proofErr w:type="spellEnd"/>
      <w:r w:rsidRPr="00201EC9">
        <w:t>, S.</w:t>
      </w:r>
      <w:r w:rsidR="00154FA9">
        <w:t xml:space="preserve"> </w:t>
      </w:r>
      <w:r w:rsidRPr="00201EC9">
        <w:t xml:space="preserve">M.  </w:t>
      </w:r>
      <w:r w:rsidRPr="00201EC9">
        <w:rPr>
          <w:i/>
        </w:rPr>
        <w:t>The Law of Damages</w:t>
      </w:r>
      <w:r w:rsidRPr="00201EC9">
        <w:t xml:space="preserve">, 5th </w:t>
      </w:r>
      <w:proofErr w:type="gramStart"/>
      <w:r w:rsidRPr="00201EC9">
        <w:t>ed</w:t>
      </w:r>
      <w:proofErr w:type="gramEnd"/>
      <w:r w:rsidRPr="00201EC9">
        <w:t>.  Toronto:  Canada Law Book, 2012.</w:t>
      </w:r>
    </w:p>
    <w:p w:rsidR="00200735" w:rsidRPr="00201EC9" w:rsidRDefault="00200735" w:rsidP="00154FA9">
      <w:pPr>
        <w:pStyle w:val="SCCNormalDoubleSpacing"/>
        <w:spacing w:after="720" w:line="240" w:lineRule="auto"/>
        <w:ind w:left="547" w:hanging="547"/>
      </w:pPr>
      <w:proofErr w:type="spellStart"/>
      <w:r w:rsidRPr="00201EC9">
        <w:t>Wakil</w:t>
      </w:r>
      <w:proofErr w:type="spellEnd"/>
      <w:r w:rsidRPr="00201EC9">
        <w:t xml:space="preserve">, Omar.  </w:t>
      </w:r>
      <w:r w:rsidRPr="00201EC9">
        <w:rPr>
          <w:i/>
        </w:rPr>
        <w:t>The 2014 Annotated Competition Act</w:t>
      </w:r>
      <w:r w:rsidRPr="00201EC9">
        <w:t xml:space="preserve">.  Toronto:  </w:t>
      </w:r>
      <w:proofErr w:type="spellStart"/>
      <w:r w:rsidRPr="00201EC9">
        <w:t>Carswell</w:t>
      </w:r>
      <w:proofErr w:type="spellEnd"/>
      <w:r w:rsidRPr="00201EC9">
        <w:t>, 2013.</w:t>
      </w:r>
    </w:p>
    <w:p w:rsidR="00200735" w:rsidRPr="00201EC9" w:rsidRDefault="00200735" w:rsidP="00154FA9">
      <w:pPr>
        <w:pStyle w:val="SCCNormalDoubleSpacing"/>
      </w:pPr>
      <w:r w:rsidRPr="00201EC9">
        <w:tab/>
        <w:t xml:space="preserve">APPEAL from a judgment of the Federal Court of Appeal (Evans, </w:t>
      </w:r>
      <w:proofErr w:type="spellStart"/>
      <w:r w:rsidRPr="00201EC9">
        <w:t>Stratas</w:t>
      </w:r>
      <w:proofErr w:type="spellEnd"/>
      <w:r w:rsidRPr="00201EC9">
        <w:t xml:space="preserve"> and </w:t>
      </w:r>
      <w:proofErr w:type="spellStart"/>
      <w:r w:rsidRPr="00201EC9">
        <w:t>Mainville</w:t>
      </w:r>
      <w:proofErr w:type="spellEnd"/>
      <w:r w:rsidR="00154FA9">
        <w:t xml:space="preserve"> </w:t>
      </w:r>
      <w:r w:rsidRPr="00201EC9">
        <w:t xml:space="preserve">JJ.A.), 2013 FCA 28, </w:t>
      </w:r>
      <w:r w:rsidR="003D18FC">
        <w:t xml:space="preserve">[2014] 2 F.C.R. 352, </w:t>
      </w:r>
      <w:r w:rsidRPr="00201EC9">
        <w:t>446 N.R. 261, 360 D.L.R. (4th) 717, [2013] F.C.J. No.</w:t>
      </w:r>
      <w:r w:rsidR="00154FA9">
        <w:t xml:space="preserve"> </w:t>
      </w:r>
      <w:r w:rsidRPr="00201EC9">
        <w:t xml:space="preserve">557 (QL), 2013 </w:t>
      </w:r>
      <w:proofErr w:type="spellStart"/>
      <w:r w:rsidRPr="00201EC9">
        <w:t>CarswellNat</w:t>
      </w:r>
      <w:proofErr w:type="spellEnd"/>
      <w:r w:rsidRPr="00201EC9">
        <w:t xml:space="preserve"> 1400</w:t>
      </w:r>
      <w:r w:rsidR="003D18FC">
        <w:t xml:space="preserve"> (WL Can.)</w:t>
      </w:r>
      <w:r w:rsidRPr="00201EC9">
        <w:t xml:space="preserve">, affirming a decision of the Competition Tribunal, </w:t>
      </w:r>
      <w:r w:rsidR="00BB5064" w:rsidRPr="00201EC9">
        <w:t>2012 Comp. Trib. 14</w:t>
      </w:r>
      <w:r w:rsidR="00BB5064">
        <w:t>,</w:t>
      </w:r>
      <w:r w:rsidR="00BB5064" w:rsidRPr="00201EC9">
        <w:t xml:space="preserve"> </w:t>
      </w:r>
      <w:r w:rsidRPr="00201EC9">
        <w:t>[2012] C.C.T.D. No.</w:t>
      </w:r>
      <w:r w:rsidR="00154FA9">
        <w:t xml:space="preserve"> </w:t>
      </w:r>
      <w:r w:rsidRPr="00201EC9">
        <w:t xml:space="preserve">14 (QL), 2012 </w:t>
      </w:r>
      <w:proofErr w:type="spellStart"/>
      <w:r w:rsidRPr="00201EC9">
        <w:t>CarswellNat</w:t>
      </w:r>
      <w:proofErr w:type="spellEnd"/>
      <w:r w:rsidRPr="00201EC9">
        <w:t xml:space="preserve"> 4409</w:t>
      </w:r>
      <w:r w:rsidR="003D18FC">
        <w:t xml:space="preserve"> (WL Can.)</w:t>
      </w:r>
      <w:r w:rsidR="001A7E33">
        <w:t xml:space="preserve">.  </w:t>
      </w:r>
      <w:r w:rsidRPr="00201EC9">
        <w:t xml:space="preserve">Appeal allowed, </w:t>
      </w:r>
      <w:proofErr w:type="spellStart"/>
      <w:r w:rsidRPr="00201EC9">
        <w:t>Karakatsanis</w:t>
      </w:r>
      <w:proofErr w:type="spellEnd"/>
      <w:r w:rsidR="00154FA9">
        <w:t xml:space="preserve"> </w:t>
      </w:r>
      <w:r w:rsidRPr="00201EC9">
        <w:t>J. dissenting.</w:t>
      </w:r>
    </w:p>
    <w:p w:rsidR="00200735" w:rsidRPr="00201EC9" w:rsidRDefault="00200735" w:rsidP="00154FA9">
      <w:pPr>
        <w:pStyle w:val="SCCNormalDoubleSpacing"/>
        <w:spacing w:before="480" w:after="480"/>
      </w:pPr>
      <w:r w:rsidRPr="00201EC9">
        <w:rPr>
          <w:rStyle w:val="SCCCounselNameChar"/>
        </w:rPr>
        <w:tab/>
      </w:r>
      <w:proofErr w:type="gramStart"/>
      <w:r w:rsidRPr="00201EC9">
        <w:rPr>
          <w:rStyle w:val="SCCCounselNameChar"/>
        </w:rPr>
        <w:t>John</w:t>
      </w:r>
      <w:r w:rsidR="00154FA9">
        <w:rPr>
          <w:rStyle w:val="SCCCounselNameChar"/>
        </w:rPr>
        <w:t xml:space="preserve"> </w:t>
      </w:r>
      <w:r w:rsidRPr="00201EC9">
        <w:rPr>
          <w:rStyle w:val="SCCCounselNameChar"/>
        </w:rPr>
        <w:t xml:space="preserve">B. </w:t>
      </w:r>
      <w:proofErr w:type="spellStart"/>
      <w:r w:rsidRPr="00201EC9">
        <w:rPr>
          <w:rStyle w:val="SCCCounselNameChar"/>
        </w:rPr>
        <w:t>Laskin</w:t>
      </w:r>
      <w:proofErr w:type="spellEnd"/>
      <w:r w:rsidRPr="00201EC9">
        <w:rPr>
          <w:rStyle w:val="SCCCounselSeparatorChar"/>
        </w:rPr>
        <w:t xml:space="preserve">, </w:t>
      </w:r>
      <w:r w:rsidRPr="00201EC9">
        <w:rPr>
          <w:rStyle w:val="SCCCounselNameChar"/>
        </w:rPr>
        <w:t>Linda</w:t>
      </w:r>
      <w:r w:rsidR="00154FA9">
        <w:rPr>
          <w:rStyle w:val="SCCCounselNameChar"/>
        </w:rPr>
        <w:t xml:space="preserve"> </w:t>
      </w:r>
      <w:r w:rsidRPr="00201EC9">
        <w:rPr>
          <w:rStyle w:val="SCCCounselNameChar"/>
        </w:rPr>
        <w:t xml:space="preserve">M. </w:t>
      </w:r>
      <w:proofErr w:type="spellStart"/>
      <w:r w:rsidRPr="00201EC9">
        <w:rPr>
          <w:rStyle w:val="SCCCounselNameChar"/>
        </w:rPr>
        <w:t>Plumpton</w:t>
      </w:r>
      <w:proofErr w:type="spellEnd"/>
      <w:r w:rsidRPr="00201EC9">
        <w:rPr>
          <w:rStyle w:val="SCCCounselNameChar"/>
        </w:rPr>
        <w:t xml:space="preserve">, </w:t>
      </w:r>
      <w:proofErr w:type="spellStart"/>
      <w:r w:rsidRPr="00201EC9">
        <w:rPr>
          <w:rStyle w:val="SCCCounselNameChar"/>
        </w:rPr>
        <w:t>Dany</w:t>
      </w:r>
      <w:proofErr w:type="spellEnd"/>
      <w:r w:rsidR="00154FA9">
        <w:rPr>
          <w:rStyle w:val="SCCCounselNameChar"/>
        </w:rPr>
        <w:t xml:space="preserve"> </w:t>
      </w:r>
      <w:r w:rsidRPr="00201EC9">
        <w:rPr>
          <w:rStyle w:val="SCCCounselNameChar"/>
        </w:rPr>
        <w:t xml:space="preserve">H. </w:t>
      </w:r>
      <w:proofErr w:type="spellStart"/>
      <w:r w:rsidRPr="00201EC9">
        <w:rPr>
          <w:rStyle w:val="SCCCounselNameChar"/>
        </w:rPr>
        <w:t>Assaf</w:t>
      </w:r>
      <w:proofErr w:type="spellEnd"/>
      <w:r w:rsidRPr="00201EC9">
        <w:rPr>
          <w:rStyle w:val="SCCCounselSeparatorChar"/>
        </w:rPr>
        <w:t xml:space="preserve"> and </w:t>
      </w:r>
      <w:r w:rsidRPr="00201EC9">
        <w:rPr>
          <w:rStyle w:val="SCCCounselNameChar"/>
        </w:rPr>
        <w:t>Crawford</w:t>
      </w:r>
      <w:r w:rsidR="00154FA9">
        <w:rPr>
          <w:rStyle w:val="SCCCounselNameChar"/>
        </w:rPr>
        <w:t xml:space="preserve"> </w:t>
      </w:r>
      <w:r w:rsidRPr="00201EC9">
        <w:rPr>
          <w:rStyle w:val="SCCCounselNameChar"/>
        </w:rPr>
        <w:t>G. Smith</w:t>
      </w:r>
      <w:r w:rsidRPr="00201EC9">
        <w:rPr>
          <w:rStyle w:val="SCCCounselPartyRoleChar"/>
        </w:rPr>
        <w:t>, for the appellants.</w:t>
      </w:r>
      <w:proofErr w:type="gramEnd"/>
    </w:p>
    <w:p w:rsidR="00200735" w:rsidRPr="00201EC9" w:rsidRDefault="00200735" w:rsidP="00154FA9">
      <w:pPr>
        <w:pStyle w:val="SCCNormalDoubleSpacing"/>
        <w:spacing w:before="480" w:after="480"/>
      </w:pPr>
      <w:r w:rsidRPr="00201EC9">
        <w:rPr>
          <w:rStyle w:val="SCCCounselNameChar"/>
        </w:rPr>
        <w:tab/>
      </w:r>
      <w:proofErr w:type="gramStart"/>
      <w:r w:rsidRPr="00201EC9">
        <w:rPr>
          <w:rStyle w:val="SCCCounselNameChar"/>
        </w:rPr>
        <w:t xml:space="preserve">Christopher </w:t>
      </w:r>
      <w:proofErr w:type="spellStart"/>
      <w:r w:rsidRPr="00201EC9">
        <w:rPr>
          <w:rStyle w:val="SCCCounselNameChar"/>
        </w:rPr>
        <w:t>Rupar</w:t>
      </w:r>
      <w:proofErr w:type="spellEnd"/>
      <w:r w:rsidRPr="00201EC9">
        <w:rPr>
          <w:rStyle w:val="SCCCounselSeparatorChar"/>
        </w:rPr>
        <w:t xml:space="preserve">, </w:t>
      </w:r>
      <w:r w:rsidRPr="00201EC9">
        <w:rPr>
          <w:rStyle w:val="SCCCounselNameChar"/>
        </w:rPr>
        <w:t xml:space="preserve">John </w:t>
      </w:r>
      <w:proofErr w:type="spellStart"/>
      <w:r w:rsidRPr="00201EC9">
        <w:rPr>
          <w:rStyle w:val="SCCCounselNameChar"/>
        </w:rPr>
        <w:t>Tyhurst</w:t>
      </w:r>
      <w:proofErr w:type="spellEnd"/>
      <w:r w:rsidRPr="00201EC9">
        <w:rPr>
          <w:rStyle w:val="SCCCounselSeparatorChar"/>
        </w:rPr>
        <w:t xml:space="preserve"> and </w:t>
      </w:r>
      <w:r w:rsidRPr="00201EC9">
        <w:rPr>
          <w:rStyle w:val="SCCCounselNameChar"/>
        </w:rPr>
        <w:t>Jonathan Hood</w:t>
      </w:r>
      <w:r w:rsidRPr="00201EC9">
        <w:rPr>
          <w:rStyle w:val="SCCCounselPartyRoleChar"/>
        </w:rPr>
        <w:t>, for the respondent.</w:t>
      </w:r>
      <w:proofErr w:type="gramEnd"/>
    </w:p>
    <w:p w:rsidR="003D18FC" w:rsidRPr="003D18FC" w:rsidRDefault="003D18FC" w:rsidP="00154FA9">
      <w:pPr>
        <w:pStyle w:val="JudgeJuge"/>
        <w:outlineLvl w:val="0"/>
        <w:rPr>
          <w:smallCaps w:val="0"/>
        </w:rPr>
      </w:pPr>
      <w:r>
        <w:tab/>
      </w:r>
      <w:proofErr w:type="gramStart"/>
      <w:r w:rsidRPr="003D18FC">
        <w:rPr>
          <w:smallCaps w:val="0"/>
        </w:rPr>
        <w:t xml:space="preserve">The </w:t>
      </w:r>
      <w:r>
        <w:rPr>
          <w:smallCaps w:val="0"/>
        </w:rPr>
        <w:t xml:space="preserve">judgment of </w:t>
      </w:r>
      <w:proofErr w:type="spellStart"/>
      <w:r>
        <w:rPr>
          <w:smallCaps w:val="0"/>
        </w:rPr>
        <w:t>McLachlin</w:t>
      </w:r>
      <w:proofErr w:type="spellEnd"/>
      <w:r>
        <w:rPr>
          <w:smallCaps w:val="0"/>
        </w:rPr>
        <w:t xml:space="preserve"> C.J. and Rothstein, Cromwell, </w:t>
      </w:r>
      <w:proofErr w:type="spellStart"/>
      <w:r>
        <w:rPr>
          <w:smallCaps w:val="0"/>
        </w:rPr>
        <w:t>Moldaver</w:t>
      </w:r>
      <w:proofErr w:type="spellEnd"/>
      <w:r>
        <w:rPr>
          <w:smallCaps w:val="0"/>
        </w:rPr>
        <w:t xml:space="preserve"> and Wagner JJ.</w:t>
      </w:r>
      <w:proofErr w:type="gramEnd"/>
      <w:r>
        <w:rPr>
          <w:smallCaps w:val="0"/>
        </w:rPr>
        <w:t xml:space="preserve"> </w:t>
      </w:r>
      <w:proofErr w:type="gramStart"/>
      <w:r>
        <w:rPr>
          <w:smallCaps w:val="0"/>
        </w:rPr>
        <w:t>was</w:t>
      </w:r>
      <w:proofErr w:type="gramEnd"/>
      <w:r>
        <w:rPr>
          <w:smallCaps w:val="0"/>
        </w:rPr>
        <w:t xml:space="preserve"> delivered by</w:t>
      </w:r>
    </w:p>
    <w:p w:rsidR="00E35AE4" w:rsidRPr="00CE21C4" w:rsidRDefault="00E35AE4" w:rsidP="00154FA9">
      <w:pPr>
        <w:pStyle w:val="JudgeJuge"/>
        <w:outlineLvl w:val="0"/>
      </w:pPr>
      <w:r w:rsidRPr="00CE21C4">
        <w:tab/>
        <w:t>Rothstein J. —</w:t>
      </w:r>
    </w:p>
    <w:tbl>
      <w:tblPr>
        <w:tblStyle w:val="TableGrid1"/>
        <w:tblW w:w="8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7740"/>
        <w:gridCol w:w="720"/>
      </w:tblGrid>
      <w:tr w:rsidR="00E35AE4" w:rsidRPr="00CE21C4" w:rsidTr="005C3395">
        <w:tc>
          <w:tcPr>
            <w:tcW w:w="8460" w:type="dxa"/>
            <w:gridSpan w:val="2"/>
          </w:tcPr>
          <w:p w:rsidR="00E35AE4" w:rsidRPr="00CE21C4" w:rsidRDefault="00E35AE4" w:rsidP="00154FA9">
            <w:pPr>
              <w:tabs>
                <w:tab w:val="center" w:pos="4050"/>
              </w:tabs>
              <w:jc w:val="center"/>
              <w:rPr>
                <w:b/>
              </w:rPr>
            </w:pPr>
          </w:p>
          <w:p w:rsidR="00E35AE4" w:rsidRPr="00CE21C4" w:rsidRDefault="00E35AE4" w:rsidP="00154FA9">
            <w:pPr>
              <w:tabs>
                <w:tab w:val="center" w:pos="4050"/>
              </w:tabs>
              <w:jc w:val="center"/>
              <w:rPr>
                <w:b/>
              </w:rPr>
            </w:pPr>
          </w:p>
          <w:p w:rsidR="00E35AE4" w:rsidRPr="003D18FC" w:rsidRDefault="003D18FC" w:rsidP="00154FA9">
            <w:pPr>
              <w:tabs>
                <w:tab w:val="center" w:pos="4050"/>
              </w:tabs>
              <w:jc w:val="center"/>
              <w:rPr>
                <w:b/>
                <w:smallCaps/>
              </w:rPr>
            </w:pPr>
            <w:r w:rsidRPr="003D18FC">
              <w:rPr>
                <w:b/>
                <w:smallCaps/>
              </w:rPr>
              <w:t>Table of Contents</w:t>
            </w:r>
          </w:p>
        </w:tc>
      </w:tr>
      <w:tr w:rsidR="00E35AE4" w:rsidRPr="00CE21C4" w:rsidTr="005C3395">
        <w:tc>
          <w:tcPr>
            <w:tcW w:w="8460" w:type="dxa"/>
            <w:gridSpan w:val="2"/>
          </w:tcPr>
          <w:p w:rsidR="00E35AE4" w:rsidRPr="00CE21C4" w:rsidRDefault="00E35AE4" w:rsidP="00154FA9">
            <w:pPr>
              <w:tabs>
                <w:tab w:val="right" w:pos="8460"/>
              </w:tabs>
            </w:pPr>
            <w:r w:rsidRPr="00CE21C4">
              <w:lastRenderedPageBreak/>
              <w:tab/>
              <w:t>Paragraph</w:t>
            </w:r>
          </w:p>
        </w:tc>
      </w:tr>
      <w:tr w:rsidR="00E35AE4" w:rsidRPr="00CE21C4" w:rsidTr="005C3395">
        <w:tc>
          <w:tcPr>
            <w:tcW w:w="7740" w:type="dxa"/>
          </w:tcPr>
          <w:p w:rsidR="00E35AE4" w:rsidRPr="00CE21C4" w:rsidRDefault="00750DAC" w:rsidP="00154FA9">
            <w:pPr>
              <w:pStyle w:val="TOC1"/>
              <w:rPr>
                <w:sz w:val="22"/>
              </w:rPr>
            </w:pPr>
            <w:r w:rsidRPr="00CE21C4">
              <w:fldChar w:fldCharType="begin"/>
            </w:r>
            <w:r w:rsidR="00E35AE4" w:rsidRPr="00CE21C4">
              <w:instrText xml:space="preserve"> TOC \h \z \t "Title 1 Level / Titre 1 Niveau - Alt L,1,Title 2 Level / Titre 2 Niveau,2,Title 3 Level / Titre 3 Niveau,3,Title 4 Level / Titre 4 Niveau,4,Title 5 Level / Titre 5 Niveau,5,Title / Titre - Alt T,1" </w:instrText>
            </w:r>
            <w:r w:rsidRPr="00CE21C4">
              <w:fldChar w:fldCharType="separate"/>
            </w:r>
            <w:r w:rsidR="00E35AE4" w:rsidRPr="00CE21C4">
              <w:t>I.</w:t>
            </w:r>
            <w:r w:rsidR="00C64485" w:rsidRPr="00CE21C4">
              <w:rPr>
                <w:rFonts w:cs="Times New Roman"/>
                <w:sz w:val="22"/>
              </w:rPr>
              <w:tab/>
            </w:r>
            <w:r w:rsidR="00B0023F" w:rsidRPr="00C64485">
              <w:rPr>
                <w:rFonts w:cs="Times New Roman"/>
                <w:u w:val="single"/>
                <w:lang w:val="en-US"/>
              </w:rPr>
              <w:t>Overview</w:t>
            </w:r>
            <w:r w:rsidR="00E35AE4" w:rsidRPr="00CE21C4">
              <w:rPr>
                <w:sz w:val="22"/>
              </w:rPr>
              <w:tab/>
            </w:r>
            <w:r w:rsidR="00E35AE4" w:rsidRPr="00CE21C4">
              <w:rPr>
                <w:webHidden/>
              </w:rPr>
              <w:tab/>
              <w:t>3</w:t>
            </w:r>
          </w:p>
          <w:p w:rsidR="00E35AE4" w:rsidRPr="00CE21C4" w:rsidRDefault="00E35AE4" w:rsidP="00154FA9">
            <w:pPr>
              <w:pStyle w:val="TOC1"/>
              <w:rPr>
                <w:sz w:val="22"/>
              </w:rPr>
            </w:pPr>
            <w:r w:rsidRPr="00CE21C4">
              <w:t>II.</w:t>
            </w:r>
            <w:r w:rsidR="00C64485" w:rsidRPr="00CE21C4">
              <w:rPr>
                <w:rFonts w:cs="Times New Roman"/>
                <w:sz w:val="22"/>
              </w:rPr>
              <w:tab/>
            </w:r>
            <w:r w:rsidR="008A180B" w:rsidRPr="008A180B">
              <w:rPr>
                <w:u w:val="single"/>
              </w:rPr>
              <w:t>Facts</w:t>
            </w:r>
            <w:r w:rsidRPr="00CE21C4">
              <w:rPr>
                <w:sz w:val="22"/>
              </w:rPr>
              <w:tab/>
            </w:r>
            <w:r w:rsidRPr="003D18FC">
              <w:rPr>
                <w:u w:val="single"/>
              </w:rPr>
              <w:t>ts</w:t>
            </w:r>
            <w:r w:rsidRPr="00CE21C4">
              <w:rPr>
                <w:webHidden/>
              </w:rPr>
              <w:tab/>
              <w:t>4</w:t>
            </w:r>
          </w:p>
          <w:p w:rsidR="008A180B" w:rsidRPr="00CE21C4" w:rsidRDefault="00E35AE4" w:rsidP="00154FA9">
            <w:pPr>
              <w:pStyle w:val="TOC1"/>
              <w:rPr>
                <w:sz w:val="22"/>
              </w:rPr>
            </w:pPr>
            <w:r w:rsidRPr="00CE21C4">
              <w:t>III.</w:t>
            </w:r>
            <w:r w:rsidR="00C64485" w:rsidRPr="00CE21C4">
              <w:rPr>
                <w:rFonts w:cs="Times New Roman"/>
                <w:sz w:val="22"/>
              </w:rPr>
              <w:tab/>
            </w:r>
            <w:r w:rsidR="008A180B" w:rsidRPr="00C64485">
              <w:rPr>
                <w:rFonts w:cs="Times New Roman"/>
                <w:u w:val="single"/>
                <w:lang w:val="en-US"/>
              </w:rPr>
              <w:t>Statutory</w:t>
            </w:r>
            <w:r w:rsidR="008A180B" w:rsidRPr="00C64485">
              <w:rPr>
                <w:u w:val="single"/>
              </w:rPr>
              <w:t xml:space="preserve"> Provisions</w:t>
            </w:r>
            <w:r w:rsidRPr="00CE21C4">
              <w:rPr>
                <w:sz w:val="22"/>
              </w:rPr>
              <w:tab/>
            </w:r>
            <w:r w:rsidR="008A180B" w:rsidRPr="003D18FC">
              <w:t>ns</w:t>
            </w:r>
            <w:r w:rsidR="008A180B" w:rsidRPr="00CE21C4">
              <w:rPr>
                <w:webHidden/>
              </w:rPr>
              <w:tab/>
              <w:t>6</w:t>
            </w:r>
          </w:p>
          <w:p w:rsidR="008A180B" w:rsidRPr="00CE21C4" w:rsidRDefault="008A180B" w:rsidP="00154FA9">
            <w:pPr>
              <w:pStyle w:val="TOC1"/>
              <w:rPr>
                <w:sz w:val="22"/>
              </w:rPr>
            </w:pPr>
            <w:r w:rsidRPr="00CE21C4">
              <w:t>IV.</w:t>
            </w:r>
            <w:r w:rsidR="00C64485" w:rsidRPr="00CE21C4">
              <w:rPr>
                <w:rFonts w:cs="Times New Roman"/>
                <w:sz w:val="22"/>
              </w:rPr>
              <w:tab/>
            </w:r>
            <w:r w:rsidRPr="00C64485">
              <w:rPr>
                <w:rFonts w:cs="Times New Roman"/>
                <w:lang w:val="en-US"/>
              </w:rPr>
              <w:t>Decisions</w:t>
            </w:r>
            <w:r w:rsidRPr="00C64485">
              <w:t xml:space="preserve"> Below</w:t>
            </w:r>
            <w:r w:rsidRPr="00CE21C4">
              <w:rPr>
                <w:sz w:val="22"/>
              </w:rPr>
              <w:tab/>
            </w:r>
            <w:r w:rsidRPr="00CE21C4">
              <w:rPr>
                <w:webHidden/>
              </w:rPr>
              <w:tab/>
              <w:t>6</w:t>
            </w:r>
          </w:p>
          <w:p w:rsidR="008A180B" w:rsidRPr="00CE21C4" w:rsidRDefault="008A180B" w:rsidP="00154FA9">
            <w:pPr>
              <w:pStyle w:val="TOC2"/>
              <w:rPr>
                <w:rFonts w:cs="Times New Roman"/>
                <w:i w:val="0"/>
                <w:sz w:val="22"/>
              </w:rPr>
            </w:pPr>
            <w:r w:rsidRPr="00CE21C4">
              <w:rPr>
                <w:rFonts w:cs="Times New Roman"/>
                <w:i w:val="0"/>
              </w:rPr>
              <w:t>A.</w:t>
            </w:r>
            <w:r w:rsidRPr="00CE21C4">
              <w:rPr>
                <w:rFonts w:cs="Times New Roman"/>
                <w:i w:val="0"/>
                <w:sz w:val="22"/>
              </w:rPr>
              <w:tab/>
            </w:r>
            <w:r w:rsidRPr="00CE21C4">
              <w:rPr>
                <w:rFonts w:cs="Times New Roman"/>
              </w:rPr>
              <w:t>Competition Tribunal, [2012] C.C.T.D. No. 14 (QL)</w:t>
            </w:r>
            <w:r w:rsidRPr="00CE21C4">
              <w:rPr>
                <w:rFonts w:cs="Times New Roman"/>
                <w:webHidden/>
              </w:rPr>
              <w:tab/>
              <w:t>6</w:t>
            </w:r>
          </w:p>
          <w:p w:rsidR="008A180B" w:rsidRPr="00CE21C4" w:rsidRDefault="008A180B" w:rsidP="00154FA9">
            <w:pPr>
              <w:pStyle w:val="TOC3"/>
              <w:rPr>
                <w:rFonts w:eastAsiaTheme="minorEastAsia"/>
                <w:sz w:val="22"/>
                <w:szCs w:val="22"/>
                <w:u w:val="none"/>
              </w:rPr>
            </w:pPr>
            <w:r w:rsidRPr="00CE21C4">
              <w:rPr>
                <w:u w:val="none"/>
              </w:rPr>
              <w:t>(1)</w:t>
            </w:r>
            <w:r w:rsidRPr="00CE21C4">
              <w:rPr>
                <w:rFonts w:eastAsiaTheme="minorEastAsia"/>
                <w:sz w:val="22"/>
                <w:szCs w:val="22"/>
                <w:u w:val="none"/>
              </w:rPr>
              <w:tab/>
            </w:r>
            <w:r w:rsidRPr="00CE21C4">
              <w:t>Section 92</w:t>
            </w:r>
            <w:r w:rsidRPr="00CE21C4">
              <w:rPr>
                <w:webHidden/>
                <w:u w:val="none"/>
              </w:rPr>
              <w:tab/>
            </w:r>
          </w:p>
          <w:p w:rsidR="008A180B" w:rsidRPr="00CE21C4" w:rsidRDefault="008A180B" w:rsidP="00154FA9">
            <w:pPr>
              <w:pStyle w:val="TOC3"/>
              <w:rPr>
                <w:rFonts w:eastAsiaTheme="minorEastAsia"/>
                <w:sz w:val="22"/>
                <w:szCs w:val="22"/>
                <w:u w:val="none"/>
              </w:rPr>
            </w:pPr>
            <w:r w:rsidRPr="00CE21C4">
              <w:rPr>
                <w:u w:val="none"/>
              </w:rPr>
              <w:t>(2)</w:t>
            </w:r>
            <w:r w:rsidRPr="00CE21C4">
              <w:rPr>
                <w:rFonts w:eastAsiaTheme="minorEastAsia"/>
                <w:sz w:val="22"/>
                <w:szCs w:val="22"/>
                <w:u w:val="none"/>
              </w:rPr>
              <w:tab/>
            </w:r>
            <w:r w:rsidRPr="00CE21C4">
              <w:t>Section 96</w:t>
            </w:r>
            <w:r w:rsidRPr="00CE21C4">
              <w:rPr>
                <w:webHidden/>
                <w:u w:val="none"/>
              </w:rPr>
              <w:tab/>
              <w:t>9</w:t>
            </w:r>
          </w:p>
          <w:p w:rsidR="008A180B" w:rsidRPr="00CE21C4" w:rsidRDefault="008A180B" w:rsidP="00154FA9">
            <w:pPr>
              <w:pStyle w:val="TOC2"/>
              <w:rPr>
                <w:rFonts w:cs="Times New Roman"/>
                <w:i w:val="0"/>
                <w:sz w:val="22"/>
              </w:rPr>
            </w:pPr>
            <w:r w:rsidRPr="00CE21C4">
              <w:rPr>
                <w:rFonts w:cs="Times New Roman"/>
                <w:i w:val="0"/>
              </w:rPr>
              <w:t>B.</w:t>
            </w:r>
            <w:r w:rsidRPr="00CE21C4">
              <w:rPr>
                <w:rFonts w:cs="Times New Roman"/>
                <w:i w:val="0"/>
                <w:sz w:val="22"/>
              </w:rPr>
              <w:tab/>
            </w:r>
            <w:r w:rsidRPr="00CE21C4">
              <w:rPr>
                <w:rFonts w:cs="Times New Roman"/>
              </w:rPr>
              <w:t xml:space="preserve">Federal Court of Appeal, 2013 FCA 28, </w:t>
            </w:r>
            <w:r>
              <w:rPr>
                <w:rFonts w:cs="Times New Roman"/>
              </w:rPr>
              <w:t>[2014] 2 F.C.R. 352</w:t>
            </w:r>
            <w:r w:rsidRPr="00CE21C4">
              <w:rPr>
                <w:rFonts w:cs="Times New Roman"/>
                <w:webHidden/>
              </w:rPr>
              <w:tab/>
              <w:t>11</w:t>
            </w:r>
          </w:p>
          <w:p w:rsidR="008A180B" w:rsidRPr="00CE21C4" w:rsidRDefault="008A180B" w:rsidP="00154FA9">
            <w:pPr>
              <w:pStyle w:val="TOC3"/>
              <w:rPr>
                <w:rFonts w:eastAsiaTheme="minorEastAsia"/>
                <w:sz w:val="22"/>
                <w:szCs w:val="22"/>
                <w:u w:val="none"/>
              </w:rPr>
            </w:pPr>
            <w:r w:rsidRPr="00CE21C4">
              <w:rPr>
                <w:u w:val="none"/>
              </w:rPr>
              <w:t>(1)</w:t>
            </w:r>
            <w:r w:rsidRPr="00CE21C4">
              <w:rPr>
                <w:rFonts w:eastAsiaTheme="minorEastAsia"/>
                <w:sz w:val="22"/>
                <w:szCs w:val="22"/>
                <w:u w:val="none"/>
              </w:rPr>
              <w:tab/>
            </w:r>
            <w:r w:rsidRPr="00CE21C4">
              <w:t>Section 92</w:t>
            </w:r>
            <w:r w:rsidRPr="00CE21C4">
              <w:rPr>
                <w:webHidden/>
                <w:u w:val="none"/>
              </w:rPr>
              <w:tab/>
              <w:t>11</w:t>
            </w:r>
          </w:p>
          <w:p w:rsidR="008A180B" w:rsidRPr="00CE21C4" w:rsidRDefault="008A180B" w:rsidP="00154FA9">
            <w:pPr>
              <w:pStyle w:val="TOC3"/>
              <w:rPr>
                <w:rFonts w:eastAsiaTheme="minorEastAsia"/>
                <w:sz w:val="22"/>
                <w:szCs w:val="22"/>
                <w:u w:val="none"/>
              </w:rPr>
            </w:pPr>
            <w:r w:rsidRPr="00CE21C4">
              <w:rPr>
                <w:u w:val="none"/>
              </w:rPr>
              <w:t>(2)</w:t>
            </w:r>
            <w:r w:rsidRPr="00CE21C4">
              <w:rPr>
                <w:rFonts w:eastAsiaTheme="minorEastAsia"/>
                <w:sz w:val="22"/>
                <w:szCs w:val="22"/>
                <w:u w:val="none"/>
              </w:rPr>
              <w:tab/>
            </w:r>
            <w:r w:rsidRPr="00CE21C4">
              <w:t>Section 96</w:t>
            </w:r>
            <w:r w:rsidRPr="00CE21C4">
              <w:rPr>
                <w:webHidden/>
                <w:u w:val="none"/>
              </w:rPr>
              <w:tab/>
              <w:t>12</w:t>
            </w:r>
          </w:p>
          <w:p w:rsidR="008A180B" w:rsidRPr="00CE21C4" w:rsidRDefault="008A180B" w:rsidP="00154FA9">
            <w:pPr>
              <w:pStyle w:val="TOC1"/>
              <w:rPr>
                <w:sz w:val="22"/>
              </w:rPr>
            </w:pPr>
            <w:r w:rsidRPr="00CE21C4">
              <w:t>V.</w:t>
            </w:r>
            <w:r>
              <w:t xml:space="preserve"> </w:t>
            </w:r>
            <w:r w:rsidR="00C64485" w:rsidRPr="00CE21C4">
              <w:rPr>
                <w:rFonts w:cs="Times New Roman"/>
                <w:sz w:val="22"/>
              </w:rPr>
              <w:tab/>
            </w:r>
            <w:r w:rsidRPr="008A180B">
              <w:rPr>
                <w:u w:val="single"/>
              </w:rPr>
              <w:t>Issues</w:t>
            </w:r>
            <w:r w:rsidRPr="00CE21C4">
              <w:rPr>
                <w:sz w:val="22"/>
              </w:rPr>
              <w:tab/>
            </w:r>
            <w:r w:rsidRPr="00CE21C4">
              <w:rPr>
                <w:webHidden/>
              </w:rPr>
              <w:tab/>
              <w:t>14</w:t>
            </w:r>
          </w:p>
          <w:p w:rsidR="008A180B" w:rsidRPr="00CE21C4" w:rsidRDefault="008A180B" w:rsidP="00154FA9">
            <w:pPr>
              <w:pStyle w:val="TOC1"/>
              <w:rPr>
                <w:sz w:val="22"/>
              </w:rPr>
            </w:pPr>
            <w:r w:rsidRPr="00CE21C4">
              <w:t>VI.</w:t>
            </w:r>
            <w:r w:rsidR="00C64485" w:rsidRPr="00CE21C4">
              <w:rPr>
                <w:rFonts w:cs="Times New Roman"/>
                <w:sz w:val="22"/>
              </w:rPr>
              <w:t xml:space="preserve"> </w:t>
            </w:r>
            <w:r w:rsidR="00C64485" w:rsidRPr="00CE21C4">
              <w:rPr>
                <w:rFonts w:cs="Times New Roman"/>
                <w:sz w:val="22"/>
              </w:rPr>
              <w:tab/>
            </w:r>
            <w:r w:rsidRPr="008A180B">
              <w:rPr>
                <w:u w:val="single"/>
              </w:rPr>
              <w:t>Analysis</w:t>
            </w:r>
            <w:r w:rsidRPr="00CE21C4">
              <w:rPr>
                <w:sz w:val="22"/>
              </w:rPr>
              <w:tab/>
            </w:r>
            <w:r w:rsidRPr="00B12769">
              <w:t>is</w:t>
            </w:r>
            <w:r w:rsidRPr="00CE21C4">
              <w:rPr>
                <w:webHidden/>
              </w:rPr>
              <w:tab/>
              <w:t>15</w:t>
            </w:r>
          </w:p>
          <w:p w:rsidR="008A180B" w:rsidRPr="00CE21C4" w:rsidRDefault="008A180B" w:rsidP="00154FA9">
            <w:pPr>
              <w:pStyle w:val="TOC2"/>
              <w:rPr>
                <w:rFonts w:cs="Times New Roman"/>
                <w:i w:val="0"/>
                <w:sz w:val="22"/>
              </w:rPr>
            </w:pPr>
            <w:r w:rsidRPr="00CE21C4">
              <w:rPr>
                <w:rFonts w:cs="Times New Roman"/>
                <w:i w:val="0"/>
              </w:rPr>
              <w:t>A.</w:t>
            </w:r>
            <w:r w:rsidRPr="00CE21C4">
              <w:rPr>
                <w:rFonts w:cs="Times New Roman"/>
                <w:i w:val="0"/>
                <w:sz w:val="22"/>
              </w:rPr>
              <w:tab/>
            </w:r>
            <w:r w:rsidRPr="00CE21C4">
              <w:rPr>
                <w:rFonts w:cs="Times New Roman"/>
              </w:rPr>
              <w:t>Standard of Review</w:t>
            </w:r>
            <w:r w:rsidRPr="00CE21C4">
              <w:rPr>
                <w:rFonts w:cs="Times New Roman"/>
                <w:webHidden/>
              </w:rPr>
              <w:tab/>
              <w:t>15</w:t>
            </w:r>
          </w:p>
          <w:p w:rsidR="008A180B" w:rsidRPr="00CE21C4" w:rsidRDefault="008A180B" w:rsidP="00154FA9">
            <w:pPr>
              <w:pStyle w:val="TOC2"/>
              <w:rPr>
                <w:rFonts w:cs="Times New Roman"/>
                <w:i w:val="0"/>
                <w:sz w:val="22"/>
              </w:rPr>
            </w:pPr>
            <w:r w:rsidRPr="00CE21C4">
              <w:rPr>
                <w:rFonts w:cs="Times New Roman"/>
                <w:i w:val="0"/>
              </w:rPr>
              <w:t>B.</w:t>
            </w:r>
            <w:r w:rsidRPr="00CE21C4">
              <w:rPr>
                <w:rFonts w:cs="Times New Roman"/>
                <w:i w:val="0"/>
                <w:sz w:val="22"/>
              </w:rPr>
              <w:tab/>
            </w:r>
            <w:r w:rsidRPr="00CE21C4">
              <w:rPr>
                <w:rFonts w:cs="Times New Roman"/>
              </w:rPr>
              <w:t xml:space="preserve">Merger Review Analysis Under Section 92 of </w:t>
            </w:r>
            <w:r w:rsidR="007E316C">
              <w:rPr>
                <w:rFonts w:cs="Times New Roman"/>
              </w:rPr>
              <w:t xml:space="preserve">the </w:t>
            </w:r>
            <w:r w:rsidRPr="00CE21C4">
              <w:rPr>
                <w:rFonts w:cs="Times New Roman"/>
              </w:rPr>
              <w:t>Act</w:t>
            </w:r>
            <w:r w:rsidRPr="00CE21C4">
              <w:rPr>
                <w:rFonts w:cs="Times New Roman"/>
                <w:webHidden/>
              </w:rPr>
              <w:tab/>
              <w:t>17</w:t>
            </w:r>
          </w:p>
          <w:p w:rsidR="008A180B" w:rsidRPr="00CE21C4" w:rsidRDefault="008A180B" w:rsidP="00154FA9">
            <w:pPr>
              <w:pStyle w:val="TOC3"/>
              <w:rPr>
                <w:rFonts w:eastAsiaTheme="minorEastAsia"/>
                <w:sz w:val="22"/>
                <w:szCs w:val="22"/>
                <w:u w:val="none"/>
              </w:rPr>
            </w:pPr>
            <w:r w:rsidRPr="00CE21C4">
              <w:rPr>
                <w:u w:val="none"/>
              </w:rPr>
              <w:t>(1)</w:t>
            </w:r>
            <w:r w:rsidRPr="00CE21C4">
              <w:rPr>
                <w:rFonts w:eastAsiaTheme="minorEastAsia"/>
                <w:sz w:val="22"/>
                <w:szCs w:val="22"/>
                <w:u w:val="none"/>
              </w:rPr>
              <w:tab/>
            </w:r>
            <w:r w:rsidRPr="00CE21C4">
              <w:t>Merger Review: An Overview</w:t>
            </w:r>
            <w:r w:rsidRPr="00CE21C4">
              <w:rPr>
                <w:webHidden/>
                <w:u w:val="none"/>
              </w:rPr>
              <w:tab/>
              <w:t>17</w:t>
            </w:r>
          </w:p>
          <w:p w:rsidR="008A180B" w:rsidRPr="00CE21C4" w:rsidRDefault="008A180B" w:rsidP="00154FA9">
            <w:pPr>
              <w:pStyle w:val="TOC3"/>
              <w:rPr>
                <w:rFonts w:eastAsiaTheme="minorEastAsia"/>
                <w:sz w:val="22"/>
                <w:szCs w:val="22"/>
                <w:u w:val="none"/>
              </w:rPr>
            </w:pPr>
            <w:r w:rsidRPr="00CE21C4">
              <w:rPr>
                <w:u w:val="none"/>
              </w:rPr>
              <w:t>(2)</w:t>
            </w:r>
            <w:r w:rsidRPr="00CE21C4">
              <w:rPr>
                <w:rFonts w:eastAsiaTheme="minorEastAsia"/>
                <w:sz w:val="22"/>
                <w:szCs w:val="22"/>
                <w:u w:val="none"/>
              </w:rPr>
              <w:tab/>
            </w:r>
            <w:r w:rsidRPr="00CE21C4">
              <w:t>Determining Whether a Substantial Lessening or Prevention Will Likely Occur</w:t>
            </w:r>
            <w:r w:rsidRPr="00CE21C4">
              <w:rPr>
                <w:webHidden/>
                <w:u w:val="none"/>
              </w:rPr>
              <w:tab/>
              <w:t>20</w:t>
            </w:r>
          </w:p>
          <w:p w:rsidR="008A180B" w:rsidRPr="00CE21C4" w:rsidRDefault="008A180B" w:rsidP="00154FA9">
            <w:pPr>
              <w:pStyle w:val="TOC4"/>
              <w:rPr>
                <w:rFonts w:cs="Times New Roman"/>
                <w:i w:val="0"/>
                <w:sz w:val="22"/>
              </w:rPr>
            </w:pPr>
            <w:r w:rsidRPr="00CE21C4">
              <w:rPr>
                <w:rFonts w:cs="Times New Roman"/>
                <w:i w:val="0"/>
              </w:rPr>
              <w:t>(a)</w:t>
            </w:r>
            <w:r w:rsidRPr="00CE21C4">
              <w:rPr>
                <w:rFonts w:cs="Times New Roman"/>
                <w:i w:val="0"/>
                <w:sz w:val="22"/>
              </w:rPr>
              <w:tab/>
            </w:r>
            <w:r w:rsidRPr="00CE21C4">
              <w:rPr>
                <w:rFonts w:cs="Times New Roman"/>
              </w:rPr>
              <w:t>“But For” Analysis Should Be Used</w:t>
            </w:r>
            <w:r w:rsidRPr="00CE21C4">
              <w:rPr>
                <w:rFonts w:cs="Times New Roman"/>
                <w:webHidden/>
              </w:rPr>
              <w:tab/>
              <w:t>20</w:t>
            </w:r>
          </w:p>
          <w:p w:rsidR="008A180B" w:rsidRPr="00CE21C4" w:rsidRDefault="008A180B" w:rsidP="00154FA9">
            <w:pPr>
              <w:pStyle w:val="TOC4"/>
              <w:rPr>
                <w:rFonts w:cs="Times New Roman"/>
                <w:i w:val="0"/>
                <w:sz w:val="22"/>
              </w:rPr>
            </w:pPr>
            <w:r w:rsidRPr="00CE21C4">
              <w:rPr>
                <w:rFonts w:cs="Times New Roman"/>
                <w:i w:val="0"/>
              </w:rPr>
              <w:t>(b)</w:t>
            </w:r>
            <w:r w:rsidRPr="00CE21C4">
              <w:rPr>
                <w:rFonts w:cs="Times New Roman"/>
                <w:i w:val="0"/>
                <w:sz w:val="22"/>
              </w:rPr>
              <w:tab/>
            </w:r>
            <w:r w:rsidRPr="00CE21C4">
              <w:rPr>
                <w:rFonts w:cs="Times New Roman"/>
              </w:rPr>
              <w:t>The “But For” Analysis Under Section 92(1) Is Forward-Looking</w:t>
            </w:r>
            <w:r w:rsidRPr="00CE21C4">
              <w:rPr>
                <w:rFonts w:cs="Times New Roman"/>
                <w:webHidden/>
              </w:rPr>
              <w:tab/>
              <w:t>21</w:t>
            </w:r>
          </w:p>
          <w:p w:rsidR="008A180B" w:rsidRPr="00CE21C4" w:rsidRDefault="008A180B" w:rsidP="00154FA9">
            <w:pPr>
              <w:pStyle w:val="TOC4"/>
              <w:rPr>
                <w:rFonts w:cs="Times New Roman"/>
                <w:i w:val="0"/>
                <w:sz w:val="22"/>
              </w:rPr>
            </w:pPr>
            <w:r w:rsidRPr="00CE21C4">
              <w:rPr>
                <w:rFonts w:cs="Times New Roman"/>
                <w:i w:val="0"/>
              </w:rPr>
              <w:t>(c)</w:t>
            </w:r>
            <w:r w:rsidRPr="00CE21C4">
              <w:rPr>
                <w:rFonts w:cs="Times New Roman"/>
                <w:i w:val="0"/>
                <w:sz w:val="22"/>
              </w:rPr>
              <w:tab/>
            </w:r>
            <w:r w:rsidRPr="00CE21C4">
              <w:rPr>
                <w:rFonts w:cs="Times New Roman"/>
              </w:rPr>
              <w:t>Similarities and Differences Between the “Lessening” and “Prevention” Branches of Section 92</w:t>
            </w:r>
            <w:r w:rsidRPr="00CE21C4">
              <w:rPr>
                <w:rFonts w:cs="Times New Roman"/>
                <w:webHidden/>
              </w:rPr>
              <w:tab/>
              <w:t>22</w:t>
            </w:r>
          </w:p>
          <w:p w:rsidR="008A180B" w:rsidRPr="00CE21C4" w:rsidRDefault="008A180B" w:rsidP="00154FA9">
            <w:pPr>
              <w:pStyle w:val="TOC2"/>
              <w:rPr>
                <w:rFonts w:cs="Times New Roman"/>
                <w:i w:val="0"/>
                <w:sz w:val="22"/>
              </w:rPr>
            </w:pPr>
            <w:r w:rsidRPr="00CE21C4">
              <w:rPr>
                <w:rFonts w:cs="Times New Roman"/>
                <w:i w:val="0"/>
              </w:rPr>
              <w:t>C.</w:t>
            </w:r>
            <w:r w:rsidRPr="00CE21C4">
              <w:rPr>
                <w:rFonts w:cs="Times New Roman"/>
                <w:i w:val="0"/>
                <w:sz w:val="22"/>
              </w:rPr>
              <w:tab/>
            </w:r>
            <w:r w:rsidRPr="00CE21C4">
              <w:rPr>
                <w:rFonts w:cs="Times New Roman"/>
              </w:rPr>
              <w:t>The “Prevention” Branch of Section 92(1)</w:t>
            </w:r>
            <w:r w:rsidRPr="00CE21C4">
              <w:rPr>
                <w:rFonts w:cs="Times New Roman"/>
                <w:webHidden/>
              </w:rPr>
              <w:tab/>
              <w:t>23</w:t>
            </w:r>
          </w:p>
          <w:p w:rsidR="008A180B" w:rsidRPr="00CE21C4" w:rsidRDefault="008A180B" w:rsidP="00154FA9">
            <w:pPr>
              <w:pStyle w:val="TOC3"/>
              <w:rPr>
                <w:rFonts w:eastAsiaTheme="minorEastAsia"/>
                <w:sz w:val="22"/>
                <w:szCs w:val="22"/>
                <w:u w:val="none"/>
              </w:rPr>
            </w:pPr>
            <w:r w:rsidRPr="00CE21C4">
              <w:rPr>
                <w:u w:val="none"/>
              </w:rPr>
              <w:t>(1)</w:t>
            </w:r>
            <w:r w:rsidRPr="00CE21C4">
              <w:rPr>
                <w:rFonts w:eastAsiaTheme="minorEastAsia"/>
                <w:sz w:val="22"/>
                <w:szCs w:val="22"/>
                <w:u w:val="none"/>
              </w:rPr>
              <w:tab/>
            </w:r>
            <w:r w:rsidRPr="00CE21C4">
              <w:t>The Law</w:t>
            </w:r>
            <w:r w:rsidRPr="00CE21C4">
              <w:rPr>
                <w:webHidden/>
                <w:u w:val="none"/>
              </w:rPr>
              <w:tab/>
              <w:t>24</w:t>
            </w:r>
          </w:p>
          <w:p w:rsidR="008A180B" w:rsidRPr="00CE21C4" w:rsidRDefault="008A180B" w:rsidP="00154FA9">
            <w:pPr>
              <w:pStyle w:val="TOC4"/>
              <w:rPr>
                <w:rFonts w:cs="Times New Roman"/>
                <w:i w:val="0"/>
                <w:sz w:val="22"/>
              </w:rPr>
            </w:pPr>
            <w:r w:rsidRPr="00CE21C4">
              <w:rPr>
                <w:rFonts w:cs="Times New Roman"/>
                <w:i w:val="0"/>
              </w:rPr>
              <w:t>(a)</w:t>
            </w:r>
            <w:r w:rsidRPr="00CE21C4">
              <w:rPr>
                <w:rFonts w:cs="Times New Roman"/>
                <w:i w:val="0"/>
                <w:sz w:val="22"/>
              </w:rPr>
              <w:tab/>
            </w:r>
            <w:r w:rsidRPr="00CE21C4">
              <w:rPr>
                <w:rFonts w:cs="Times New Roman"/>
              </w:rPr>
              <w:t>Identify the Potential Competitor</w:t>
            </w:r>
            <w:r w:rsidRPr="00CE21C4">
              <w:rPr>
                <w:rFonts w:cs="Times New Roman"/>
                <w:webHidden/>
              </w:rPr>
              <w:tab/>
              <w:t>25</w:t>
            </w:r>
          </w:p>
          <w:p w:rsidR="008A180B" w:rsidRPr="00CE21C4" w:rsidRDefault="008A180B" w:rsidP="00154FA9">
            <w:pPr>
              <w:pStyle w:val="TOC4"/>
              <w:rPr>
                <w:rFonts w:cs="Times New Roman"/>
                <w:i w:val="0"/>
                <w:sz w:val="22"/>
              </w:rPr>
            </w:pPr>
            <w:r w:rsidRPr="00CE21C4">
              <w:rPr>
                <w:rFonts w:cs="Times New Roman"/>
                <w:i w:val="0"/>
              </w:rPr>
              <w:t>(b)</w:t>
            </w:r>
            <w:r w:rsidRPr="00CE21C4">
              <w:rPr>
                <w:rFonts w:cs="Times New Roman"/>
                <w:i w:val="0"/>
                <w:sz w:val="22"/>
              </w:rPr>
              <w:tab/>
            </w:r>
            <w:r w:rsidRPr="00CE21C4">
              <w:rPr>
                <w:rFonts w:cs="Times New Roman"/>
              </w:rPr>
              <w:t>Examine the “But For” Market Condition</w:t>
            </w:r>
            <w:r w:rsidRPr="00CE21C4">
              <w:rPr>
                <w:rFonts w:cs="Times New Roman"/>
                <w:webHidden/>
              </w:rPr>
              <w:tab/>
              <w:t>26</w:t>
            </w:r>
          </w:p>
          <w:p w:rsidR="008A180B" w:rsidRPr="00CE21C4" w:rsidRDefault="008A180B" w:rsidP="00154FA9">
            <w:pPr>
              <w:pStyle w:val="TOC5"/>
              <w:rPr>
                <w:rFonts w:eastAsiaTheme="minorEastAsia"/>
                <w:sz w:val="22"/>
                <w:szCs w:val="22"/>
                <w:u w:val="none"/>
              </w:rPr>
            </w:pPr>
            <w:r w:rsidRPr="00CE21C4">
              <w:rPr>
                <w:u w:val="none"/>
              </w:rPr>
              <w:t>(i)</w:t>
            </w:r>
            <w:r w:rsidRPr="00CE21C4">
              <w:rPr>
                <w:rFonts w:eastAsiaTheme="minorEastAsia"/>
                <w:sz w:val="22"/>
                <w:szCs w:val="22"/>
                <w:u w:val="none"/>
              </w:rPr>
              <w:tab/>
            </w:r>
            <w:r w:rsidRPr="00CE21C4">
              <w:t>Likelihood of Entry by One of the Merging Parties</w:t>
            </w:r>
            <w:r w:rsidRPr="00CE21C4">
              <w:rPr>
                <w:webHidden/>
                <w:u w:val="none"/>
              </w:rPr>
              <w:tab/>
              <w:t>27</w:t>
            </w:r>
          </w:p>
          <w:p w:rsidR="008A180B" w:rsidRPr="00CE21C4" w:rsidRDefault="008A180B" w:rsidP="00154FA9">
            <w:pPr>
              <w:pStyle w:val="TOC5"/>
              <w:rPr>
                <w:rFonts w:eastAsiaTheme="minorEastAsia"/>
                <w:sz w:val="22"/>
                <w:szCs w:val="22"/>
                <w:u w:val="none"/>
              </w:rPr>
            </w:pPr>
            <w:r w:rsidRPr="00CE21C4">
              <w:rPr>
                <w:u w:val="none"/>
              </w:rPr>
              <w:t>(ii)</w:t>
            </w:r>
            <w:r w:rsidRPr="00CE21C4">
              <w:rPr>
                <w:rFonts w:eastAsiaTheme="minorEastAsia"/>
                <w:sz w:val="22"/>
                <w:szCs w:val="22"/>
                <w:u w:val="none"/>
              </w:rPr>
              <w:tab/>
            </w:r>
            <w:r w:rsidRPr="00CE21C4">
              <w:t>Likely to Have a Substantial Effect on the Market</w:t>
            </w:r>
            <w:r w:rsidRPr="00CE21C4">
              <w:rPr>
                <w:webHidden/>
                <w:u w:val="none"/>
              </w:rPr>
              <w:tab/>
              <w:t>32</w:t>
            </w:r>
          </w:p>
          <w:p w:rsidR="008A180B" w:rsidRPr="00CE21C4" w:rsidRDefault="008A180B" w:rsidP="00154FA9">
            <w:pPr>
              <w:pStyle w:val="TOC3"/>
              <w:rPr>
                <w:rFonts w:eastAsiaTheme="minorEastAsia"/>
                <w:sz w:val="22"/>
                <w:szCs w:val="22"/>
                <w:u w:val="none"/>
              </w:rPr>
            </w:pPr>
            <w:r w:rsidRPr="00CE21C4">
              <w:rPr>
                <w:u w:val="none"/>
              </w:rPr>
              <w:t>(2)</w:t>
            </w:r>
            <w:r w:rsidRPr="00CE21C4">
              <w:rPr>
                <w:rFonts w:eastAsiaTheme="minorEastAsia"/>
                <w:sz w:val="22"/>
                <w:szCs w:val="22"/>
                <w:u w:val="none"/>
              </w:rPr>
              <w:tab/>
            </w:r>
            <w:r w:rsidRPr="00CE21C4">
              <w:t>Application to the Present Case</w:t>
            </w:r>
            <w:r w:rsidRPr="00CE21C4">
              <w:rPr>
                <w:webHidden/>
                <w:u w:val="none"/>
              </w:rPr>
              <w:tab/>
              <w:t>32</w:t>
            </w:r>
          </w:p>
          <w:p w:rsidR="008A180B" w:rsidRPr="00CE21C4" w:rsidRDefault="008A180B" w:rsidP="00154FA9">
            <w:pPr>
              <w:pStyle w:val="TOC2"/>
              <w:rPr>
                <w:rFonts w:cs="Times New Roman"/>
                <w:i w:val="0"/>
                <w:sz w:val="22"/>
              </w:rPr>
            </w:pPr>
            <w:r w:rsidRPr="00CE21C4">
              <w:rPr>
                <w:rFonts w:cs="Times New Roman"/>
                <w:i w:val="0"/>
              </w:rPr>
              <w:t>D.</w:t>
            </w:r>
            <w:r w:rsidRPr="00CE21C4">
              <w:rPr>
                <w:rFonts w:cs="Times New Roman"/>
                <w:i w:val="0"/>
                <w:sz w:val="22"/>
              </w:rPr>
              <w:tab/>
            </w:r>
            <w:r w:rsidRPr="00CE21C4">
              <w:rPr>
                <w:rFonts w:cs="Times New Roman"/>
              </w:rPr>
              <w:t>The Efficiencies Defence</w:t>
            </w:r>
            <w:r w:rsidRPr="00CE21C4">
              <w:rPr>
                <w:rFonts w:cs="Times New Roman"/>
                <w:webHidden/>
              </w:rPr>
              <w:tab/>
              <w:t>34</w:t>
            </w:r>
          </w:p>
          <w:p w:rsidR="008A180B" w:rsidRPr="00CE21C4" w:rsidRDefault="008A180B" w:rsidP="00154FA9">
            <w:pPr>
              <w:pStyle w:val="TOC3"/>
              <w:rPr>
                <w:rFonts w:eastAsiaTheme="minorEastAsia"/>
                <w:sz w:val="22"/>
                <w:szCs w:val="22"/>
                <w:u w:val="none"/>
              </w:rPr>
            </w:pPr>
            <w:r w:rsidRPr="00CE21C4">
              <w:rPr>
                <w:u w:val="none"/>
              </w:rPr>
              <w:t>(1)</w:t>
            </w:r>
            <w:r w:rsidRPr="00CE21C4">
              <w:rPr>
                <w:rFonts w:eastAsiaTheme="minorEastAsia"/>
                <w:sz w:val="22"/>
                <w:szCs w:val="22"/>
                <w:u w:val="none"/>
              </w:rPr>
              <w:tab/>
            </w:r>
            <w:r w:rsidRPr="00CE21C4">
              <w:t>History of the Efficiencies Defence</w:t>
            </w:r>
            <w:r w:rsidRPr="00CE21C4">
              <w:rPr>
                <w:webHidden/>
                <w:u w:val="none"/>
              </w:rPr>
              <w:tab/>
              <w:t>35</w:t>
            </w:r>
          </w:p>
          <w:p w:rsidR="008A180B" w:rsidRPr="00CE21C4" w:rsidRDefault="008A180B" w:rsidP="00154FA9">
            <w:pPr>
              <w:pStyle w:val="TOC3"/>
              <w:rPr>
                <w:rFonts w:eastAsiaTheme="minorEastAsia"/>
                <w:sz w:val="22"/>
                <w:szCs w:val="22"/>
                <w:u w:val="none"/>
              </w:rPr>
            </w:pPr>
            <w:r w:rsidRPr="00CE21C4">
              <w:rPr>
                <w:u w:val="none"/>
              </w:rPr>
              <w:t>(2)</w:t>
            </w:r>
            <w:r w:rsidRPr="00CE21C4">
              <w:rPr>
                <w:rFonts w:eastAsiaTheme="minorEastAsia"/>
                <w:sz w:val="22"/>
                <w:szCs w:val="22"/>
                <w:u w:val="none"/>
              </w:rPr>
              <w:tab/>
            </w:r>
            <w:r w:rsidRPr="00CE21C4">
              <w:t>Jurisprudential History of Section 96</w:t>
            </w:r>
            <w:r w:rsidRPr="00CE21C4">
              <w:rPr>
                <w:webHidden/>
                <w:u w:val="none"/>
              </w:rPr>
              <w:tab/>
              <w:t>37</w:t>
            </w:r>
          </w:p>
          <w:p w:rsidR="008A180B" w:rsidRPr="00CE21C4" w:rsidRDefault="008A180B" w:rsidP="00154FA9">
            <w:pPr>
              <w:pStyle w:val="TOC3"/>
              <w:rPr>
                <w:rFonts w:eastAsiaTheme="minorEastAsia"/>
                <w:sz w:val="22"/>
                <w:szCs w:val="22"/>
                <w:u w:val="none"/>
              </w:rPr>
            </w:pPr>
            <w:r w:rsidRPr="00CE21C4">
              <w:rPr>
                <w:u w:val="none"/>
              </w:rPr>
              <w:t>(3)</w:t>
            </w:r>
            <w:r w:rsidRPr="00CE21C4">
              <w:rPr>
                <w:rFonts w:eastAsiaTheme="minorEastAsia"/>
                <w:sz w:val="22"/>
                <w:szCs w:val="22"/>
                <w:u w:val="none"/>
              </w:rPr>
              <w:tab/>
            </w:r>
            <w:r w:rsidRPr="00CE21C4">
              <w:t>Methodological Approaches to Section 96</w:t>
            </w:r>
            <w:r w:rsidRPr="00CE21C4">
              <w:rPr>
                <w:webHidden/>
                <w:u w:val="none"/>
              </w:rPr>
              <w:tab/>
              <w:t>38</w:t>
            </w:r>
          </w:p>
          <w:p w:rsidR="008A180B" w:rsidRPr="00CE21C4" w:rsidRDefault="008A180B" w:rsidP="00154FA9">
            <w:pPr>
              <w:pStyle w:val="TOC3"/>
              <w:rPr>
                <w:rFonts w:eastAsiaTheme="minorEastAsia"/>
                <w:sz w:val="22"/>
                <w:szCs w:val="22"/>
                <w:u w:val="none"/>
              </w:rPr>
            </w:pPr>
            <w:r w:rsidRPr="00CE21C4">
              <w:rPr>
                <w:u w:val="none"/>
              </w:rPr>
              <w:t>(4)</w:t>
            </w:r>
            <w:r w:rsidRPr="00CE21C4">
              <w:rPr>
                <w:rFonts w:eastAsiaTheme="minorEastAsia"/>
                <w:sz w:val="22"/>
                <w:szCs w:val="22"/>
                <w:u w:val="none"/>
              </w:rPr>
              <w:tab/>
            </w:r>
            <w:r w:rsidRPr="00CE21C4">
              <w:t>Order Implementation Efficiencies Are Not Valid Efficiencies Under Section 96</w:t>
            </w:r>
            <w:r w:rsidRPr="00CE21C4">
              <w:rPr>
                <w:webHidden/>
                <w:u w:val="none"/>
              </w:rPr>
              <w:tab/>
              <w:t>43</w:t>
            </w:r>
          </w:p>
          <w:p w:rsidR="008A180B" w:rsidRPr="00CE21C4" w:rsidRDefault="008A180B" w:rsidP="00154FA9">
            <w:pPr>
              <w:pStyle w:val="TOC3"/>
              <w:rPr>
                <w:rFonts w:eastAsiaTheme="minorEastAsia"/>
                <w:sz w:val="22"/>
                <w:szCs w:val="22"/>
                <w:u w:val="none"/>
              </w:rPr>
            </w:pPr>
            <w:r w:rsidRPr="00CE21C4">
              <w:rPr>
                <w:u w:val="none"/>
              </w:rPr>
              <w:lastRenderedPageBreak/>
              <w:t>(5)</w:t>
            </w:r>
            <w:r w:rsidRPr="00CE21C4">
              <w:rPr>
                <w:rFonts w:eastAsiaTheme="minorEastAsia"/>
                <w:sz w:val="22"/>
                <w:szCs w:val="22"/>
                <w:u w:val="none"/>
              </w:rPr>
              <w:tab/>
            </w:r>
            <w:r>
              <w:t>The Balancing Test U</w:t>
            </w:r>
            <w:r w:rsidRPr="00CE21C4">
              <w:t>nder Section 96</w:t>
            </w:r>
            <w:r w:rsidRPr="00CE21C4">
              <w:rPr>
                <w:webHidden/>
                <w:u w:val="none"/>
              </w:rPr>
              <w:tab/>
              <w:t>51</w:t>
            </w:r>
          </w:p>
          <w:p w:rsidR="008A180B" w:rsidRPr="00CE21C4" w:rsidRDefault="008A180B" w:rsidP="00154FA9">
            <w:pPr>
              <w:pStyle w:val="TOC4"/>
              <w:rPr>
                <w:rFonts w:cs="Times New Roman"/>
                <w:i w:val="0"/>
                <w:sz w:val="22"/>
              </w:rPr>
            </w:pPr>
            <w:r w:rsidRPr="00CE21C4">
              <w:rPr>
                <w:rFonts w:cs="Times New Roman"/>
                <w:i w:val="0"/>
              </w:rPr>
              <w:t>(a)</w:t>
            </w:r>
            <w:r w:rsidRPr="00CE21C4">
              <w:rPr>
                <w:rFonts w:cs="Times New Roman"/>
                <w:i w:val="0"/>
                <w:sz w:val="22"/>
              </w:rPr>
              <w:tab/>
            </w:r>
            <w:r w:rsidRPr="00CE21C4">
              <w:rPr>
                <w:rFonts w:cs="Times New Roman"/>
              </w:rPr>
              <w:t>The Commissioner’s Burden</w:t>
            </w:r>
            <w:r w:rsidRPr="00CE21C4">
              <w:rPr>
                <w:rFonts w:cs="Times New Roman"/>
                <w:webHidden/>
              </w:rPr>
              <w:tab/>
              <w:t>51</w:t>
            </w:r>
          </w:p>
          <w:p w:rsidR="008A180B" w:rsidRPr="00CE21C4" w:rsidRDefault="008A180B" w:rsidP="00154FA9">
            <w:pPr>
              <w:pStyle w:val="TOC5"/>
              <w:rPr>
                <w:rFonts w:eastAsiaTheme="minorEastAsia"/>
                <w:sz w:val="22"/>
                <w:szCs w:val="22"/>
                <w:u w:val="none"/>
              </w:rPr>
            </w:pPr>
            <w:r w:rsidRPr="00CE21C4">
              <w:rPr>
                <w:u w:val="none"/>
              </w:rPr>
              <w:t>(i)</w:t>
            </w:r>
            <w:r w:rsidRPr="00CE21C4">
              <w:rPr>
                <w:rFonts w:eastAsiaTheme="minorEastAsia"/>
                <w:sz w:val="22"/>
                <w:szCs w:val="22"/>
                <w:u w:val="none"/>
              </w:rPr>
              <w:tab/>
            </w:r>
            <w:r w:rsidRPr="00CE21C4">
              <w:t>The Content of the Commissioner’s Burden</w:t>
            </w:r>
            <w:r w:rsidRPr="00CE21C4">
              <w:rPr>
                <w:webHidden/>
                <w:u w:val="none"/>
              </w:rPr>
              <w:tab/>
              <w:t>52</w:t>
            </w:r>
          </w:p>
          <w:p w:rsidR="008A180B" w:rsidRPr="00CE21C4" w:rsidRDefault="008A180B" w:rsidP="00154FA9">
            <w:pPr>
              <w:pStyle w:val="TOC5"/>
              <w:rPr>
                <w:rFonts w:eastAsiaTheme="minorEastAsia"/>
                <w:sz w:val="22"/>
                <w:szCs w:val="22"/>
                <w:u w:val="none"/>
              </w:rPr>
            </w:pPr>
            <w:r w:rsidRPr="00CE21C4">
              <w:rPr>
                <w:u w:val="none"/>
              </w:rPr>
              <w:t>(ii)</w:t>
            </w:r>
            <w:r w:rsidRPr="00CE21C4">
              <w:rPr>
                <w:rFonts w:eastAsiaTheme="minorEastAsia"/>
                <w:sz w:val="22"/>
                <w:szCs w:val="22"/>
                <w:u w:val="none"/>
              </w:rPr>
              <w:tab/>
            </w:r>
            <w:r w:rsidRPr="00CE21C4">
              <w:t>What Consequences Flow From a Failure to Meet the Burden?</w:t>
            </w:r>
            <w:r w:rsidRPr="00CE21C4">
              <w:rPr>
                <w:webHidden/>
                <w:u w:val="none"/>
              </w:rPr>
              <w:tab/>
              <w:t>53</w:t>
            </w:r>
          </w:p>
          <w:p w:rsidR="008A180B" w:rsidRPr="00CE21C4" w:rsidRDefault="008A180B" w:rsidP="00154FA9">
            <w:pPr>
              <w:pStyle w:val="TOC4"/>
              <w:rPr>
                <w:rFonts w:cs="Times New Roman"/>
                <w:i w:val="0"/>
                <w:sz w:val="22"/>
              </w:rPr>
            </w:pPr>
            <w:r w:rsidRPr="00CE21C4">
              <w:rPr>
                <w:rFonts w:cs="Times New Roman"/>
                <w:i w:val="0"/>
              </w:rPr>
              <w:t>(b)</w:t>
            </w:r>
            <w:r w:rsidRPr="00CE21C4">
              <w:rPr>
                <w:rFonts w:cs="Times New Roman"/>
                <w:i w:val="0"/>
                <w:sz w:val="22"/>
              </w:rPr>
              <w:tab/>
            </w:r>
            <w:r w:rsidRPr="00CE21C4">
              <w:rPr>
                <w:rFonts w:cs="Times New Roman"/>
              </w:rPr>
              <w:t>The Approach to the Section 96 Balancing</w:t>
            </w:r>
            <w:r w:rsidRPr="00CE21C4">
              <w:rPr>
                <w:rFonts w:cs="Times New Roman"/>
                <w:webHidden/>
              </w:rPr>
              <w:tab/>
              <w:t>61</w:t>
            </w:r>
          </w:p>
          <w:p w:rsidR="008A180B" w:rsidRPr="00CE21C4" w:rsidRDefault="008A180B" w:rsidP="00154FA9">
            <w:pPr>
              <w:pStyle w:val="TOC5"/>
              <w:rPr>
                <w:rFonts w:eastAsiaTheme="minorEastAsia"/>
                <w:sz w:val="22"/>
                <w:szCs w:val="22"/>
                <w:u w:val="none"/>
              </w:rPr>
            </w:pPr>
            <w:r w:rsidRPr="00CE21C4">
              <w:rPr>
                <w:u w:val="none"/>
              </w:rPr>
              <w:t>(i)</w:t>
            </w:r>
            <w:r w:rsidRPr="00CE21C4">
              <w:rPr>
                <w:rFonts w:eastAsiaTheme="minorEastAsia"/>
                <w:sz w:val="22"/>
                <w:szCs w:val="22"/>
                <w:u w:val="none"/>
              </w:rPr>
              <w:tab/>
            </w:r>
            <w:r w:rsidRPr="00CE21C4">
              <w:t>The Requirement That the Efficiency Gains Be “Great</w:t>
            </w:r>
            <w:r>
              <w:t>er Than” and “Offset” the Anti-c</w:t>
            </w:r>
            <w:r w:rsidRPr="00CE21C4">
              <w:t>ompetitive Effects</w:t>
            </w:r>
            <w:r w:rsidRPr="00CE21C4">
              <w:rPr>
                <w:webHidden/>
                <w:u w:val="none"/>
              </w:rPr>
              <w:tab/>
              <w:t>61</w:t>
            </w:r>
          </w:p>
          <w:p w:rsidR="008A180B" w:rsidRPr="00CE21C4" w:rsidRDefault="008A180B" w:rsidP="00154FA9">
            <w:pPr>
              <w:pStyle w:val="TOC5"/>
              <w:rPr>
                <w:rFonts w:eastAsiaTheme="minorEastAsia"/>
                <w:sz w:val="22"/>
                <w:szCs w:val="22"/>
                <w:u w:val="none"/>
              </w:rPr>
            </w:pPr>
            <w:r w:rsidRPr="00CE21C4">
              <w:rPr>
                <w:u w:val="none"/>
              </w:rPr>
              <w:t>(ii)</w:t>
            </w:r>
            <w:r w:rsidRPr="00CE21C4">
              <w:rPr>
                <w:rFonts w:eastAsiaTheme="minorEastAsia"/>
                <w:sz w:val="22"/>
                <w:szCs w:val="22"/>
                <w:u w:val="none"/>
              </w:rPr>
              <w:tab/>
            </w:r>
            <w:r w:rsidRPr="00CE21C4">
              <w:t>Pre-existing Monopoly</w:t>
            </w:r>
            <w:r w:rsidRPr="00CE21C4">
              <w:rPr>
                <w:webHidden/>
                <w:u w:val="none"/>
              </w:rPr>
              <w:tab/>
              <w:t>69</w:t>
            </w:r>
          </w:p>
          <w:p w:rsidR="008A180B" w:rsidRPr="00CE21C4" w:rsidRDefault="008A180B" w:rsidP="00154FA9">
            <w:pPr>
              <w:pStyle w:val="TOC5"/>
              <w:rPr>
                <w:rFonts w:eastAsiaTheme="minorEastAsia"/>
                <w:sz w:val="22"/>
                <w:szCs w:val="22"/>
                <w:u w:val="none"/>
              </w:rPr>
            </w:pPr>
            <w:r w:rsidRPr="00CE21C4">
              <w:rPr>
                <w:u w:val="none"/>
              </w:rPr>
              <w:t>(iii)</w:t>
            </w:r>
            <w:r w:rsidRPr="00CE21C4">
              <w:rPr>
                <w:rFonts w:eastAsiaTheme="minorEastAsia"/>
                <w:sz w:val="22"/>
                <w:szCs w:val="22"/>
                <w:u w:val="none"/>
              </w:rPr>
              <w:tab/>
            </w:r>
            <w:r w:rsidRPr="00CE21C4">
              <w:t>Application to This Case</w:t>
            </w:r>
            <w:r w:rsidRPr="00CE21C4">
              <w:rPr>
                <w:webHidden/>
                <w:u w:val="none"/>
              </w:rPr>
              <w:tab/>
              <w:t>70</w:t>
            </w:r>
          </w:p>
          <w:p w:rsidR="008A180B" w:rsidRPr="00CE21C4" w:rsidRDefault="008A180B" w:rsidP="00154FA9">
            <w:pPr>
              <w:pStyle w:val="TOC4"/>
              <w:rPr>
                <w:rFonts w:cs="Times New Roman"/>
                <w:i w:val="0"/>
                <w:sz w:val="22"/>
              </w:rPr>
            </w:pPr>
            <w:r w:rsidRPr="00CE21C4">
              <w:rPr>
                <w:rFonts w:cs="Times New Roman"/>
                <w:i w:val="0"/>
              </w:rPr>
              <w:t>(c)</w:t>
            </w:r>
            <w:r w:rsidRPr="00CE21C4">
              <w:rPr>
                <w:rFonts w:cs="Times New Roman"/>
                <w:i w:val="0"/>
                <w:sz w:val="22"/>
              </w:rPr>
              <w:tab/>
            </w:r>
            <w:r w:rsidRPr="00CE21C4">
              <w:rPr>
                <w:rFonts w:cs="Times New Roman"/>
              </w:rPr>
              <w:t>The Commissioner’s Alternative Argument</w:t>
            </w:r>
            <w:r w:rsidRPr="00CE21C4">
              <w:rPr>
                <w:rFonts w:cs="Times New Roman"/>
                <w:webHidden/>
              </w:rPr>
              <w:tab/>
              <w:t>71</w:t>
            </w:r>
          </w:p>
          <w:p w:rsidR="008A180B" w:rsidRPr="00CE21C4" w:rsidRDefault="008A180B" w:rsidP="00154FA9">
            <w:pPr>
              <w:pStyle w:val="TOC4"/>
              <w:rPr>
                <w:rFonts w:cs="Times New Roman"/>
                <w:i w:val="0"/>
                <w:sz w:val="22"/>
              </w:rPr>
            </w:pPr>
            <w:r w:rsidRPr="00CE21C4">
              <w:rPr>
                <w:rFonts w:cs="Times New Roman"/>
                <w:i w:val="0"/>
              </w:rPr>
              <w:t>(d)</w:t>
            </w:r>
            <w:r w:rsidRPr="00CE21C4">
              <w:rPr>
                <w:rFonts w:cs="Times New Roman"/>
                <w:i w:val="0"/>
                <w:sz w:val="22"/>
              </w:rPr>
              <w:tab/>
            </w:r>
            <w:r w:rsidRPr="00CE21C4">
              <w:rPr>
                <w:rFonts w:cs="Times New Roman"/>
              </w:rPr>
              <w:t>Conclusion on the Balancing Under Section 96</w:t>
            </w:r>
            <w:r w:rsidRPr="00CE21C4">
              <w:rPr>
                <w:rFonts w:cs="Times New Roman"/>
                <w:webHidden/>
              </w:rPr>
              <w:tab/>
              <w:t>73</w:t>
            </w:r>
          </w:p>
          <w:p w:rsidR="008A180B" w:rsidRPr="00CE21C4" w:rsidRDefault="008A180B" w:rsidP="00154FA9">
            <w:pPr>
              <w:pStyle w:val="TOC3"/>
              <w:rPr>
                <w:rFonts w:eastAsiaTheme="minorEastAsia"/>
                <w:sz w:val="22"/>
                <w:szCs w:val="22"/>
                <w:u w:val="none"/>
              </w:rPr>
            </w:pPr>
            <w:r w:rsidRPr="00CE21C4">
              <w:rPr>
                <w:u w:val="none"/>
              </w:rPr>
              <w:t>(6)</w:t>
            </w:r>
            <w:r w:rsidRPr="00CE21C4">
              <w:rPr>
                <w:rFonts w:eastAsiaTheme="minorEastAsia"/>
                <w:sz w:val="22"/>
                <w:szCs w:val="22"/>
                <w:u w:val="none"/>
              </w:rPr>
              <w:tab/>
            </w:r>
            <w:r w:rsidRPr="00CE21C4">
              <w:t>Postscript</w:t>
            </w:r>
            <w:r w:rsidRPr="00CE21C4">
              <w:rPr>
                <w:webHidden/>
                <w:u w:val="none"/>
              </w:rPr>
              <w:tab/>
              <w:t>75</w:t>
            </w:r>
          </w:p>
          <w:p w:rsidR="008A180B" w:rsidRPr="00CE21C4" w:rsidRDefault="008A180B" w:rsidP="00154FA9">
            <w:pPr>
              <w:pStyle w:val="TOC1"/>
              <w:rPr>
                <w:sz w:val="22"/>
              </w:rPr>
            </w:pPr>
            <w:r w:rsidRPr="00CE21C4">
              <w:t>VII.</w:t>
            </w:r>
            <w:r>
              <w:t xml:space="preserve"> </w:t>
            </w:r>
            <w:r w:rsidR="00C64485" w:rsidRPr="00CE21C4">
              <w:rPr>
                <w:rFonts w:cs="Times New Roman"/>
                <w:sz w:val="22"/>
              </w:rPr>
              <w:tab/>
            </w:r>
            <w:r w:rsidRPr="008A180B">
              <w:rPr>
                <w:u w:val="single"/>
              </w:rPr>
              <w:t>Conclusion</w:t>
            </w:r>
            <w:r w:rsidRPr="00CE21C4">
              <w:rPr>
                <w:sz w:val="22"/>
              </w:rPr>
              <w:tab/>
            </w:r>
            <w:r w:rsidRPr="00B12769">
              <w:t>on</w:t>
            </w:r>
            <w:r w:rsidRPr="00CE21C4">
              <w:rPr>
                <w:webHidden/>
              </w:rPr>
              <w:tab/>
              <w:t>75</w:t>
            </w:r>
          </w:p>
          <w:p w:rsidR="00E35AE4" w:rsidRPr="008A180B" w:rsidRDefault="008A180B" w:rsidP="00154FA9">
            <w:pPr>
              <w:pStyle w:val="TOC1"/>
              <w:rPr>
                <w:sz w:val="22"/>
              </w:rPr>
            </w:pPr>
            <w:r w:rsidRPr="00B12769">
              <w:rPr>
                <w:smallCaps/>
              </w:rPr>
              <w:t>Appendix</w:t>
            </w:r>
            <w:r w:rsidRPr="00CE21C4">
              <w:t xml:space="preserve">: Sections 1.1, 79(1), 92, 93 and 96 of the </w:t>
            </w:r>
            <w:r w:rsidRPr="00CE21C4">
              <w:rPr>
                <w:i/>
              </w:rPr>
              <w:t>Competition Act</w:t>
            </w:r>
            <w:r w:rsidRPr="00CE21C4">
              <w:t>, R.S.C. 1985, c. C-34</w:t>
            </w:r>
            <w:r w:rsidR="00750DAC" w:rsidRPr="00CE21C4">
              <w:fldChar w:fldCharType="end"/>
            </w:r>
          </w:p>
        </w:tc>
        <w:tc>
          <w:tcPr>
            <w:tcW w:w="720" w:type="dxa"/>
          </w:tcPr>
          <w:p w:rsidR="00E35AE4" w:rsidRPr="00CE21C4" w:rsidRDefault="00E35AE4" w:rsidP="00154FA9">
            <w:pPr>
              <w:spacing w:before="120" w:after="120"/>
            </w:pPr>
            <w:r w:rsidRPr="00CE21C4">
              <w:lastRenderedPageBreak/>
              <w:t>1</w:t>
            </w:r>
          </w:p>
          <w:p w:rsidR="00E35AE4" w:rsidRPr="00CE21C4" w:rsidRDefault="00E35AE4" w:rsidP="00154FA9">
            <w:pPr>
              <w:spacing w:before="120" w:after="120"/>
            </w:pPr>
            <w:r w:rsidRPr="00CE21C4">
              <w:t>3</w:t>
            </w:r>
          </w:p>
          <w:p w:rsidR="00E35AE4" w:rsidRPr="00CE21C4" w:rsidRDefault="00E35AE4" w:rsidP="00154FA9">
            <w:pPr>
              <w:spacing w:before="120" w:after="120"/>
            </w:pPr>
            <w:r w:rsidRPr="00CE21C4">
              <w:t>9</w:t>
            </w:r>
          </w:p>
          <w:p w:rsidR="00E35AE4" w:rsidRPr="00CE21C4" w:rsidRDefault="00E35AE4" w:rsidP="00154FA9">
            <w:pPr>
              <w:spacing w:before="120" w:after="120"/>
            </w:pPr>
            <w:r w:rsidRPr="00CE21C4">
              <w:t>10</w:t>
            </w:r>
          </w:p>
          <w:p w:rsidR="00E35AE4" w:rsidRPr="00CE21C4" w:rsidRDefault="00E35AE4" w:rsidP="00154FA9">
            <w:pPr>
              <w:spacing w:before="120" w:after="120"/>
            </w:pPr>
            <w:r w:rsidRPr="00CE21C4">
              <w:t>10</w:t>
            </w:r>
          </w:p>
          <w:p w:rsidR="00E35AE4" w:rsidRPr="00CE21C4" w:rsidRDefault="00E35AE4" w:rsidP="00154FA9">
            <w:pPr>
              <w:spacing w:before="120" w:after="120"/>
            </w:pPr>
            <w:r w:rsidRPr="00CE21C4">
              <w:t>11</w:t>
            </w:r>
          </w:p>
          <w:p w:rsidR="00E35AE4" w:rsidRPr="00CE21C4" w:rsidRDefault="00E35AE4" w:rsidP="00154FA9">
            <w:pPr>
              <w:spacing w:before="120" w:after="120"/>
            </w:pPr>
            <w:r w:rsidRPr="00CE21C4">
              <w:t>17</w:t>
            </w:r>
          </w:p>
          <w:p w:rsidR="00E35AE4" w:rsidRPr="00CE21C4" w:rsidRDefault="00E35AE4" w:rsidP="00154FA9">
            <w:pPr>
              <w:spacing w:before="120" w:after="120"/>
            </w:pPr>
            <w:r w:rsidRPr="00CE21C4">
              <w:t>23</w:t>
            </w:r>
          </w:p>
          <w:p w:rsidR="00E35AE4" w:rsidRPr="00CE21C4" w:rsidRDefault="00E35AE4" w:rsidP="00154FA9">
            <w:pPr>
              <w:spacing w:before="120" w:after="120"/>
            </w:pPr>
            <w:r w:rsidRPr="00CE21C4">
              <w:t>25</w:t>
            </w:r>
          </w:p>
          <w:p w:rsidR="00E35AE4" w:rsidRPr="00CE21C4" w:rsidRDefault="00E35AE4" w:rsidP="00154FA9">
            <w:pPr>
              <w:spacing w:before="120" w:after="120"/>
            </w:pPr>
            <w:r w:rsidRPr="00CE21C4">
              <w:t>28</w:t>
            </w:r>
          </w:p>
          <w:p w:rsidR="00E35AE4" w:rsidRPr="00CE21C4" w:rsidRDefault="00E35AE4" w:rsidP="00154FA9">
            <w:pPr>
              <w:spacing w:before="120" w:after="120"/>
            </w:pPr>
            <w:r w:rsidRPr="00CE21C4">
              <w:t>33</w:t>
            </w:r>
          </w:p>
          <w:p w:rsidR="00E35AE4" w:rsidRPr="00CE21C4" w:rsidRDefault="00E35AE4" w:rsidP="00154FA9">
            <w:pPr>
              <w:spacing w:before="120" w:after="120"/>
            </w:pPr>
            <w:r w:rsidRPr="00CE21C4">
              <w:t>34</w:t>
            </w:r>
          </w:p>
          <w:p w:rsidR="00E35AE4" w:rsidRPr="00CE21C4" w:rsidRDefault="00E35AE4" w:rsidP="00154FA9">
            <w:pPr>
              <w:spacing w:before="120" w:after="120"/>
            </w:pPr>
            <w:r w:rsidRPr="00CE21C4">
              <w:t>34</w:t>
            </w:r>
          </w:p>
          <w:p w:rsidR="00E35AE4" w:rsidRPr="00CE21C4" w:rsidRDefault="00E35AE4" w:rsidP="00154FA9">
            <w:pPr>
              <w:spacing w:before="120" w:after="120"/>
            </w:pPr>
            <w:r>
              <w:t>41</w:t>
            </w:r>
          </w:p>
          <w:p w:rsidR="00E35AE4" w:rsidRPr="00CE21C4" w:rsidRDefault="00E35AE4" w:rsidP="00154FA9">
            <w:pPr>
              <w:spacing w:before="120" w:after="120"/>
            </w:pPr>
            <w:r>
              <w:t>42</w:t>
            </w:r>
          </w:p>
          <w:p w:rsidR="00E35AE4" w:rsidRPr="00CE21C4" w:rsidRDefault="00E35AE4" w:rsidP="00154FA9">
            <w:pPr>
              <w:spacing w:before="120" w:after="120"/>
            </w:pPr>
            <w:r w:rsidRPr="00CE21C4">
              <w:br/>
              <w:t>4</w:t>
            </w:r>
            <w:r>
              <w:t>9</w:t>
            </w:r>
          </w:p>
          <w:p w:rsidR="00E35AE4" w:rsidRPr="00CE21C4" w:rsidRDefault="00E35AE4" w:rsidP="00154FA9">
            <w:pPr>
              <w:spacing w:before="120" w:after="120"/>
            </w:pPr>
            <w:r w:rsidRPr="00CE21C4">
              <w:t>4</w:t>
            </w:r>
            <w:r>
              <w:t>9</w:t>
            </w:r>
          </w:p>
          <w:p w:rsidR="00E35AE4" w:rsidRPr="00CE21C4" w:rsidRDefault="00E35AE4" w:rsidP="00154FA9">
            <w:pPr>
              <w:spacing w:before="120" w:after="120"/>
            </w:pPr>
            <w:r>
              <w:t>52</w:t>
            </w:r>
          </w:p>
          <w:p w:rsidR="00E35AE4" w:rsidRPr="00CE21C4" w:rsidRDefault="00E35AE4" w:rsidP="00154FA9">
            <w:pPr>
              <w:spacing w:before="120" w:after="120"/>
            </w:pPr>
            <w:r w:rsidRPr="00CE21C4">
              <w:br/>
              <w:t>5</w:t>
            </w:r>
            <w:r>
              <w:t>4</w:t>
            </w:r>
          </w:p>
          <w:p w:rsidR="00E35AE4" w:rsidRPr="00CE21C4" w:rsidRDefault="00E35AE4" w:rsidP="00154FA9">
            <w:pPr>
              <w:spacing w:before="120" w:after="120"/>
            </w:pPr>
            <w:r w:rsidRPr="00CE21C4">
              <w:t>5</w:t>
            </w:r>
            <w:r>
              <w:t>6</w:t>
            </w:r>
          </w:p>
          <w:p w:rsidR="00E35AE4" w:rsidRPr="00CE21C4" w:rsidRDefault="00E35AE4" w:rsidP="00154FA9">
            <w:pPr>
              <w:spacing w:before="120" w:after="120"/>
            </w:pPr>
            <w:r>
              <w:t>60</w:t>
            </w:r>
          </w:p>
          <w:p w:rsidR="00E35AE4" w:rsidRPr="00CE21C4" w:rsidRDefault="00E35AE4" w:rsidP="00154FA9">
            <w:pPr>
              <w:spacing w:before="120" w:after="120"/>
            </w:pPr>
            <w:r>
              <w:t>61</w:t>
            </w:r>
          </w:p>
          <w:p w:rsidR="00E35AE4" w:rsidRPr="00CE21C4" w:rsidRDefault="00E35AE4" w:rsidP="00154FA9">
            <w:pPr>
              <w:spacing w:before="120" w:after="120"/>
            </w:pPr>
            <w:r w:rsidRPr="00CE21C4">
              <w:t>6</w:t>
            </w:r>
            <w:r>
              <w:t>4</w:t>
            </w:r>
          </w:p>
          <w:p w:rsidR="00E35AE4" w:rsidRPr="00CE21C4" w:rsidRDefault="00E35AE4" w:rsidP="00154FA9">
            <w:pPr>
              <w:spacing w:before="120" w:after="120"/>
            </w:pPr>
            <w:r w:rsidRPr="00CE21C4">
              <w:t>6</w:t>
            </w:r>
            <w:r>
              <w:t>7</w:t>
            </w:r>
          </w:p>
          <w:p w:rsidR="00E35AE4" w:rsidRPr="00CE21C4" w:rsidRDefault="00E35AE4" w:rsidP="00154FA9">
            <w:pPr>
              <w:spacing w:before="120" w:after="120"/>
            </w:pPr>
            <w:r w:rsidRPr="00CE21C4">
              <w:t>7</w:t>
            </w:r>
            <w:r>
              <w:t>8</w:t>
            </w:r>
          </w:p>
          <w:p w:rsidR="00E35AE4" w:rsidRPr="00CE21C4" w:rsidRDefault="00E35AE4" w:rsidP="00154FA9">
            <w:pPr>
              <w:spacing w:before="120" w:after="120"/>
            </w:pPr>
            <w:r>
              <w:t>80</w:t>
            </w:r>
          </w:p>
          <w:p w:rsidR="00E35AE4" w:rsidRPr="00CE21C4" w:rsidRDefault="00E35AE4" w:rsidP="00154FA9">
            <w:pPr>
              <w:spacing w:before="120" w:after="120"/>
            </w:pPr>
            <w:r w:rsidRPr="00CE21C4">
              <w:t>8</w:t>
            </w:r>
            <w:r>
              <w:t>4</w:t>
            </w:r>
          </w:p>
          <w:p w:rsidR="00E35AE4" w:rsidRPr="00CE21C4" w:rsidRDefault="00E35AE4" w:rsidP="00154FA9">
            <w:pPr>
              <w:spacing w:before="120" w:after="120"/>
            </w:pPr>
            <w:r w:rsidRPr="00CE21C4">
              <w:t>8</w:t>
            </w:r>
            <w:r>
              <w:t>5</w:t>
            </w:r>
          </w:p>
          <w:p w:rsidR="00E35AE4" w:rsidRPr="00CE21C4" w:rsidRDefault="00E35AE4" w:rsidP="00154FA9">
            <w:pPr>
              <w:spacing w:before="120" w:after="120"/>
            </w:pPr>
            <w:r w:rsidRPr="00CE21C4">
              <w:t>8</w:t>
            </w:r>
            <w:r>
              <w:t>8</w:t>
            </w:r>
          </w:p>
          <w:p w:rsidR="00E35AE4" w:rsidRPr="00CE21C4" w:rsidRDefault="00E35AE4" w:rsidP="00154FA9">
            <w:pPr>
              <w:spacing w:before="120" w:after="120"/>
            </w:pPr>
            <w:r>
              <w:t>91</w:t>
            </w:r>
          </w:p>
          <w:p w:rsidR="00E35AE4" w:rsidRPr="00CE21C4" w:rsidRDefault="00E35AE4" w:rsidP="00154FA9">
            <w:pPr>
              <w:spacing w:before="120" w:after="120"/>
            </w:pPr>
            <w:r w:rsidRPr="00CE21C4">
              <w:br/>
            </w:r>
            <w:r>
              <w:t>102</w:t>
            </w:r>
          </w:p>
          <w:p w:rsidR="00E35AE4" w:rsidRPr="00CE21C4" w:rsidRDefault="00E35AE4" w:rsidP="00154FA9">
            <w:pPr>
              <w:spacing w:before="120" w:after="120"/>
            </w:pPr>
            <w:r>
              <w:lastRenderedPageBreak/>
              <w:t>121</w:t>
            </w:r>
          </w:p>
          <w:p w:rsidR="00E35AE4" w:rsidRPr="00CE21C4" w:rsidRDefault="00E35AE4" w:rsidP="00154FA9">
            <w:pPr>
              <w:spacing w:before="120" w:after="120"/>
            </w:pPr>
            <w:r w:rsidRPr="00CE21C4">
              <w:t>1</w:t>
            </w:r>
            <w:r>
              <w:t>22</w:t>
            </w:r>
          </w:p>
          <w:p w:rsidR="00E35AE4" w:rsidRPr="00CE21C4" w:rsidRDefault="00E35AE4" w:rsidP="00154FA9">
            <w:pPr>
              <w:spacing w:before="120" w:after="120"/>
            </w:pPr>
            <w:r w:rsidRPr="00CE21C4">
              <w:t>12</w:t>
            </w:r>
            <w:r>
              <w:t>3</w:t>
            </w:r>
          </w:p>
          <w:p w:rsidR="00E35AE4" w:rsidRPr="00CE21C4" w:rsidRDefault="00E35AE4" w:rsidP="00154FA9">
            <w:pPr>
              <w:spacing w:before="120" w:after="120"/>
            </w:pPr>
            <w:r w:rsidRPr="00CE21C4">
              <w:t>12</w:t>
            </w:r>
            <w:r>
              <w:t>7</w:t>
            </w:r>
          </w:p>
          <w:p w:rsidR="00E35AE4" w:rsidRPr="00CE21C4" w:rsidRDefault="00E35AE4" w:rsidP="00154FA9">
            <w:pPr>
              <w:spacing w:before="120" w:after="120"/>
            </w:pPr>
            <w:r>
              <w:t>141</w:t>
            </w:r>
          </w:p>
          <w:p w:rsidR="00E35AE4" w:rsidRPr="00CE21C4" w:rsidRDefault="00E35AE4" w:rsidP="00154FA9">
            <w:pPr>
              <w:spacing w:before="120" w:after="120"/>
            </w:pPr>
            <w:r>
              <w:br/>
              <w:t>142</w:t>
            </w:r>
          </w:p>
          <w:p w:rsidR="00E35AE4" w:rsidRPr="00CE21C4" w:rsidRDefault="00E35AE4" w:rsidP="00154FA9">
            <w:pPr>
              <w:spacing w:before="120" w:after="120"/>
            </w:pPr>
            <w:r>
              <w:t>156</w:t>
            </w:r>
          </w:p>
          <w:p w:rsidR="00E35AE4" w:rsidRPr="00CE21C4" w:rsidRDefault="00E35AE4" w:rsidP="00154FA9">
            <w:pPr>
              <w:spacing w:before="120" w:after="120"/>
            </w:pPr>
            <w:r w:rsidRPr="00CE21C4">
              <w:t>15</w:t>
            </w:r>
            <w:r>
              <w:t>9</w:t>
            </w:r>
          </w:p>
          <w:p w:rsidR="00E35AE4" w:rsidRPr="00CE21C4" w:rsidRDefault="00E35AE4" w:rsidP="00154FA9">
            <w:pPr>
              <w:spacing w:before="120" w:after="120"/>
            </w:pPr>
            <w:r>
              <w:t>161</w:t>
            </w:r>
          </w:p>
          <w:p w:rsidR="00E35AE4" w:rsidRPr="00CE21C4" w:rsidRDefault="00E35AE4" w:rsidP="00154FA9">
            <w:pPr>
              <w:spacing w:before="120" w:after="120"/>
            </w:pPr>
            <w:r>
              <w:t>165</w:t>
            </w:r>
          </w:p>
          <w:p w:rsidR="00E35AE4" w:rsidRPr="00CE21C4" w:rsidRDefault="00E35AE4" w:rsidP="00154FA9">
            <w:pPr>
              <w:spacing w:before="120" w:after="120"/>
            </w:pPr>
            <w:r>
              <w:t>167</w:t>
            </w:r>
          </w:p>
          <w:p w:rsidR="00E35AE4" w:rsidRPr="00CE21C4" w:rsidRDefault="00E35AE4" w:rsidP="00154FA9">
            <w:pPr>
              <w:spacing w:before="120" w:after="120"/>
            </w:pPr>
            <w:r w:rsidRPr="00CE21C4">
              <w:t>1</w:t>
            </w:r>
            <w:r>
              <w:t>68</w:t>
            </w:r>
          </w:p>
          <w:p w:rsidR="00E35AE4" w:rsidRPr="00CE21C4" w:rsidRDefault="00E35AE4" w:rsidP="00154FA9">
            <w:pPr>
              <w:spacing w:before="120" w:after="120"/>
            </w:pPr>
          </w:p>
        </w:tc>
      </w:tr>
    </w:tbl>
    <w:p w:rsidR="00E35AE4" w:rsidRPr="00CE21C4" w:rsidRDefault="00E35AE4" w:rsidP="00154FA9">
      <w:pPr>
        <w:pStyle w:val="Title1LevelTitre1Niveau-AltL"/>
        <w:rPr>
          <w:rFonts w:cs="Times New Roman"/>
        </w:rPr>
      </w:pPr>
      <w:bookmarkStart w:id="1" w:name="_Toc396299520"/>
      <w:bookmarkStart w:id="2" w:name="_Toc397586751"/>
      <w:bookmarkStart w:id="3" w:name="_Toc397606991"/>
      <w:bookmarkStart w:id="4" w:name="_Toc404926100"/>
      <w:r w:rsidRPr="00CE21C4">
        <w:rPr>
          <w:rFonts w:cs="Times New Roman"/>
        </w:rPr>
        <w:lastRenderedPageBreak/>
        <w:t>Overview</w:t>
      </w:r>
      <w:bookmarkEnd w:id="1"/>
      <w:bookmarkEnd w:id="2"/>
      <w:bookmarkEnd w:id="3"/>
      <w:bookmarkEnd w:id="4"/>
    </w:p>
    <w:p w:rsidR="00E35AE4" w:rsidRPr="00CE21C4" w:rsidRDefault="00E35AE4" w:rsidP="00154FA9">
      <w:pPr>
        <w:pStyle w:val="ParaNoNdepar-AltN"/>
        <w:numPr>
          <w:ilvl w:val="0"/>
          <w:numId w:val="38"/>
        </w:numPr>
        <w:rPr>
          <w:rFonts w:cs="Times New Roman"/>
        </w:rPr>
      </w:pPr>
      <w:r w:rsidRPr="00CE21C4">
        <w:rPr>
          <w:rFonts w:cs="Times New Roman"/>
        </w:rPr>
        <w:t xml:space="preserve">The appellant in this case, </w:t>
      </w:r>
      <w:proofErr w:type="spellStart"/>
      <w:r w:rsidRPr="00CE21C4">
        <w:rPr>
          <w:rFonts w:cs="Times New Roman"/>
        </w:rPr>
        <w:t>Tervita</w:t>
      </w:r>
      <w:proofErr w:type="spellEnd"/>
      <w:r w:rsidRPr="00CE21C4">
        <w:rPr>
          <w:rFonts w:cs="Times New Roman"/>
        </w:rPr>
        <w:t xml:space="preserve"> Corp., operates two hazardous waste secure landfills in British Columbia. In February 2010, </w:t>
      </w:r>
      <w:proofErr w:type="spellStart"/>
      <w:r w:rsidRPr="00CE21C4">
        <w:rPr>
          <w:rFonts w:cs="Times New Roman"/>
        </w:rPr>
        <w:t>Tervita</w:t>
      </w:r>
      <w:proofErr w:type="spellEnd"/>
      <w:r w:rsidRPr="00CE21C4">
        <w:rPr>
          <w:rFonts w:cs="Times New Roman"/>
        </w:rPr>
        <w:t xml:space="preserve"> Corp. acquired a company which held a permit for another secure landfill site. This transaction attracted the attention of the Commissioner of Competition, who initiated the merger review process under the </w:t>
      </w:r>
      <w:r w:rsidRPr="00CE21C4">
        <w:rPr>
          <w:rFonts w:cs="Times New Roman"/>
          <w:i/>
          <w:iCs/>
        </w:rPr>
        <w:t>Competition Act</w:t>
      </w:r>
      <w:r w:rsidRPr="00CE21C4">
        <w:rPr>
          <w:rFonts w:cs="Times New Roman"/>
          <w:iCs/>
        </w:rPr>
        <w:t>,</w:t>
      </w:r>
      <w:r w:rsidRPr="00CE21C4">
        <w:rPr>
          <w:rFonts w:cs="Times New Roman"/>
          <w:i/>
          <w:iCs/>
        </w:rPr>
        <w:t xml:space="preserve"> </w:t>
      </w:r>
      <w:r w:rsidRPr="00CE21C4">
        <w:rPr>
          <w:rFonts w:cs="Times New Roman"/>
        </w:rPr>
        <w:t xml:space="preserve">R.S.C. 1985, </w:t>
      </w:r>
      <w:proofErr w:type="gramStart"/>
      <w:r w:rsidRPr="00CE21C4">
        <w:rPr>
          <w:rFonts w:cs="Times New Roman"/>
        </w:rPr>
        <w:t>c. C-34 (</w:t>
      </w:r>
      <w:r w:rsidR="003E2234">
        <w:rPr>
          <w:rFonts w:cs="Times New Roman"/>
        </w:rPr>
        <w:t xml:space="preserve">the </w:t>
      </w:r>
      <w:r w:rsidRPr="00CE21C4">
        <w:rPr>
          <w:rFonts w:cs="Times New Roman"/>
        </w:rPr>
        <w:t>“Act</w:t>
      </w:r>
      <w:proofErr w:type="gramEnd"/>
      <w:r w:rsidRPr="00CE21C4">
        <w:rPr>
          <w:rFonts w:cs="Times New Roman"/>
        </w:rPr>
        <w:t>”).</w:t>
      </w:r>
    </w:p>
    <w:p w:rsidR="00E35AE4" w:rsidRPr="00CE21C4" w:rsidRDefault="00E35AE4" w:rsidP="00154FA9">
      <w:pPr>
        <w:pStyle w:val="ParaNoNdepar-AltN"/>
        <w:numPr>
          <w:ilvl w:val="0"/>
          <w:numId w:val="38"/>
        </w:numPr>
        <w:rPr>
          <w:rFonts w:cs="Times New Roman"/>
        </w:rPr>
      </w:pPr>
      <w:r w:rsidRPr="00CE21C4">
        <w:rPr>
          <w:rFonts w:cs="Times New Roman"/>
        </w:rPr>
        <w:t>The purpose of the Act is in part “to maintain and encourage competition in Canada in order to promote the efficiency and adaptability of the Canadian economy” (s. 1.1). It is within this context that merger reviews are conducted. This appeal provides this Court the opportunity to address two issues in merger review: the “prevention” branch of s. 92 and the s. 96 efficiencies defence.</w:t>
      </w:r>
    </w:p>
    <w:p w:rsidR="00E35AE4" w:rsidRPr="00CE21C4" w:rsidRDefault="00E35AE4" w:rsidP="00154FA9">
      <w:pPr>
        <w:pStyle w:val="Title1LevelTitre1Niveau-AltL"/>
        <w:rPr>
          <w:rFonts w:cs="Times New Roman"/>
        </w:rPr>
      </w:pPr>
      <w:bookmarkStart w:id="5" w:name="_Toc396299521"/>
      <w:bookmarkStart w:id="6" w:name="_Toc397586752"/>
      <w:bookmarkStart w:id="7" w:name="_Toc397606992"/>
      <w:bookmarkStart w:id="8" w:name="_Toc404926101"/>
      <w:r w:rsidRPr="00CE21C4">
        <w:rPr>
          <w:rFonts w:cs="Times New Roman"/>
        </w:rPr>
        <w:lastRenderedPageBreak/>
        <w:t>Facts</w:t>
      </w:r>
      <w:bookmarkEnd w:id="5"/>
      <w:bookmarkEnd w:id="6"/>
      <w:bookmarkEnd w:id="7"/>
      <w:bookmarkEnd w:id="8"/>
      <w:r w:rsidRPr="00CE21C4">
        <w:rPr>
          <w:rFonts w:cs="Times New Roman"/>
        </w:rPr>
        <w:t xml:space="preserve"> </w:t>
      </w:r>
    </w:p>
    <w:p w:rsidR="00E35AE4" w:rsidRPr="00CE21C4" w:rsidRDefault="00E35AE4" w:rsidP="00154FA9">
      <w:pPr>
        <w:pStyle w:val="ParaNoNdepar-AltN"/>
        <w:rPr>
          <w:rFonts w:cs="Times New Roman"/>
        </w:rPr>
      </w:pPr>
      <w:r w:rsidRPr="00CE21C4">
        <w:rPr>
          <w:rFonts w:cs="Times New Roman"/>
        </w:rPr>
        <w:t xml:space="preserve">Four permits for the operation of secure landfills for the disposal of hazardous waste generated by oil and gas operations have been issued in Northeastern British Columbia.  The appellant </w:t>
      </w:r>
      <w:proofErr w:type="spellStart"/>
      <w:r w:rsidRPr="00CE21C4">
        <w:rPr>
          <w:rFonts w:cs="Times New Roman"/>
        </w:rPr>
        <w:t>Tervita</w:t>
      </w:r>
      <w:proofErr w:type="spellEnd"/>
      <w:r w:rsidRPr="00CE21C4">
        <w:rPr>
          <w:rFonts w:cs="Times New Roman"/>
        </w:rPr>
        <w:t xml:space="preserve"> Corp. holds two of the permits and operates two hazardous waste landfills pursuant to them: the Silverberry (capacity for 6,000,000 tonnes of waste) and Northern Rockies (3,344,000 tonnes) landfills.  A third permit was issued for the </w:t>
      </w:r>
      <w:proofErr w:type="spellStart"/>
      <w:r w:rsidRPr="00CE21C4">
        <w:rPr>
          <w:rFonts w:cs="Times New Roman"/>
        </w:rPr>
        <w:t>Peejay</w:t>
      </w:r>
      <w:proofErr w:type="spellEnd"/>
      <w:r w:rsidRPr="00CE21C4">
        <w:rPr>
          <w:rFonts w:cs="Times New Roman"/>
        </w:rPr>
        <w:t xml:space="preserve"> site, a site developed by an Aboriginal community, but the landfill has not yet been constructed.</w:t>
      </w:r>
    </w:p>
    <w:p w:rsidR="00E35AE4" w:rsidRPr="00CE21C4" w:rsidRDefault="00E35AE4" w:rsidP="00154FA9">
      <w:pPr>
        <w:pStyle w:val="ParaNoNdepar-AltN"/>
        <w:rPr>
          <w:rFonts w:cs="Times New Roman"/>
        </w:rPr>
      </w:pPr>
      <w:r w:rsidRPr="00CE21C4">
        <w:rPr>
          <w:rFonts w:cs="Times New Roman"/>
        </w:rPr>
        <w:t xml:space="preserve">The fourth permit, </w:t>
      </w:r>
      <w:proofErr w:type="spellStart"/>
      <w:r w:rsidRPr="00CE21C4">
        <w:rPr>
          <w:rFonts w:cs="Times New Roman"/>
        </w:rPr>
        <w:t>Babkirk</w:t>
      </w:r>
      <w:proofErr w:type="spellEnd"/>
      <w:r w:rsidRPr="00CE21C4">
        <w:rPr>
          <w:rFonts w:cs="Times New Roman"/>
        </w:rPr>
        <w:t xml:space="preserve"> site, is held by the appellant </w:t>
      </w:r>
      <w:proofErr w:type="spellStart"/>
      <w:r w:rsidRPr="00CE21C4">
        <w:rPr>
          <w:rFonts w:cs="Times New Roman"/>
        </w:rPr>
        <w:t>Babkirk</w:t>
      </w:r>
      <w:proofErr w:type="spellEnd"/>
      <w:r w:rsidRPr="00CE21C4">
        <w:rPr>
          <w:rFonts w:cs="Times New Roman"/>
        </w:rPr>
        <w:t xml:space="preserve"> Land Services Inc. (“</w:t>
      </w:r>
      <w:proofErr w:type="spellStart"/>
      <w:r w:rsidRPr="00CE21C4">
        <w:rPr>
          <w:rFonts w:cs="Times New Roman"/>
        </w:rPr>
        <w:t>Babkirk</w:t>
      </w:r>
      <w:proofErr w:type="spellEnd"/>
      <w:r w:rsidRPr="00CE21C4">
        <w:rPr>
          <w:rFonts w:cs="Times New Roman"/>
        </w:rPr>
        <w:t xml:space="preserve">”), a wholly owned subsidiary of the appellant Complete Environmental Inc. (“Complete”). The previous </w:t>
      </w:r>
      <w:proofErr w:type="spellStart"/>
      <w:r w:rsidRPr="00CE21C4">
        <w:rPr>
          <w:rFonts w:cs="Times New Roman"/>
        </w:rPr>
        <w:t>Babkirk</w:t>
      </w:r>
      <w:proofErr w:type="spellEnd"/>
      <w:r w:rsidRPr="00CE21C4">
        <w:rPr>
          <w:rFonts w:cs="Times New Roman"/>
        </w:rPr>
        <w:t xml:space="preserve"> owners operated a hazardous waste landfill on the site from 1998 to 2004.  In 2009, they sold </w:t>
      </w:r>
      <w:proofErr w:type="spellStart"/>
      <w:r w:rsidRPr="00CE21C4">
        <w:rPr>
          <w:rFonts w:cs="Times New Roman"/>
        </w:rPr>
        <w:t>Babkirk</w:t>
      </w:r>
      <w:proofErr w:type="spellEnd"/>
      <w:r w:rsidRPr="00CE21C4">
        <w:rPr>
          <w:rFonts w:cs="Times New Roman"/>
        </w:rPr>
        <w:t xml:space="preserve"> to Complete, which is owned and controlled by five investors (the “Vendors”).</w:t>
      </w:r>
    </w:p>
    <w:p w:rsidR="00E35AE4" w:rsidRPr="00CE21C4" w:rsidRDefault="00E35AE4" w:rsidP="00154FA9">
      <w:pPr>
        <w:pStyle w:val="ParaNoNdepar-AltN"/>
        <w:rPr>
          <w:rFonts w:cs="Times New Roman"/>
        </w:rPr>
      </w:pPr>
      <w:r w:rsidRPr="00CE21C4">
        <w:rPr>
          <w:rFonts w:cs="Times New Roman"/>
        </w:rPr>
        <w:t xml:space="preserve">The Vendors intended to begin operating the </w:t>
      </w:r>
      <w:proofErr w:type="spellStart"/>
      <w:r w:rsidRPr="00CE21C4">
        <w:rPr>
          <w:rFonts w:cs="Times New Roman"/>
        </w:rPr>
        <w:t>Babkirk</w:t>
      </w:r>
      <w:proofErr w:type="spellEnd"/>
      <w:r w:rsidRPr="00CE21C4">
        <w:rPr>
          <w:rFonts w:cs="Times New Roman"/>
        </w:rPr>
        <w:t xml:space="preserve"> site mainly as a bioremediation facility which would treat contaminated soil using micro-organisms, and to complement the bioremediation site with a secure landfill facility to store hazardous waste not amenable to bioremediation.  In February 2010, the Vendors received a permit for this secure landfill with a capacity of 750,000 tonnes.</w:t>
      </w:r>
    </w:p>
    <w:p w:rsidR="00E35AE4" w:rsidRPr="00CE21C4" w:rsidRDefault="00E35AE4" w:rsidP="00154FA9">
      <w:pPr>
        <w:pStyle w:val="ParaNoNdepar-AltN"/>
        <w:rPr>
          <w:rFonts w:cs="Times New Roman"/>
        </w:rPr>
      </w:pPr>
      <w:r w:rsidRPr="00CE21C4">
        <w:rPr>
          <w:rFonts w:cs="Times New Roman"/>
        </w:rPr>
        <w:t xml:space="preserve">Soon afterwards, a company called Integrated Resources Technologies Ltd. (“IRTL”) offered to purchase Complete.  The Vendors then explored the possibility of selling to other third parties. Secure Energy Services (“SES”) showed </w:t>
      </w:r>
      <w:r w:rsidRPr="00CE21C4">
        <w:rPr>
          <w:rFonts w:cs="Times New Roman"/>
        </w:rPr>
        <w:lastRenderedPageBreak/>
        <w:t xml:space="preserve">some interest, but at a lower price. The Vendors decided to accept IRTL’s offer, but it was withdrawn in June 2010 due to lack of financing.  In one last attempt to sell, the Vendors pursued various discussions with SES and </w:t>
      </w:r>
      <w:proofErr w:type="spellStart"/>
      <w:r w:rsidRPr="00CE21C4">
        <w:rPr>
          <w:rFonts w:cs="Times New Roman"/>
        </w:rPr>
        <w:t>Tervita</w:t>
      </w:r>
      <w:proofErr w:type="spellEnd"/>
      <w:r w:rsidRPr="00CE21C4">
        <w:rPr>
          <w:rFonts w:cs="Times New Roman"/>
        </w:rPr>
        <w:t xml:space="preserve"> Corp., then known as CCS Corp. (hereinafter “</w:t>
      </w:r>
      <w:proofErr w:type="spellStart"/>
      <w:r w:rsidRPr="00CE21C4">
        <w:rPr>
          <w:rFonts w:cs="Times New Roman"/>
        </w:rPr>
        <w:t>Tervita</w:t>
      </w:r>
      <w:proofErr w:type="spellEnd"/>
      <w:r w:rsidRPr="00CE21C4">
        <w:rPr>
          <w:rFonts w:cs="Times New Roman"/>
        </w:rPr>
        <w:t xml:space="preserve"> Corp.”).  In July 2010, the Vendors reached an understanding with </w:t>
      </w:r>
      <w:proofErr w:type="spellStart"/>
      <w:r w:rsidRPr="00CE21C4">
        <w:rPr>
          <w:rFonts w:cs="Times New Roman"/>
        </w:rPr>
        <w:t>Tervita</w:t>
      </w:r>
      <w:proofErr w:type="spellEnd"/>
      <w:r w:rsidRPr="00CE21C4">
        <w:rPr>
          <w:rFonts w:cs="Times New Roman"/>
        </w:rPr>
        <w:t xml:space="preserve"> Corp. and a letter of intent was signed.</w:t>
      </w:r>
    </w:p>
    <w:p w:rsidR="00E35AE4" w:rsidRPr="00CE21C4" w:rsidRDefault="00E35AE4" w:rsidP="00154FA9">
      <w:pPr>
        <w:pStyle w:val="ParaNoNdepar-AltN"/>
        <w:rPr>
          <w:rFonts w:cs="Times New Roman"/>
        </w:rPr>
      </w:pPr>
      <w:r w:rsidRPr="00CE21C4">
        <w:rPr>
          <w:rFonts w:cs="Times New Roman"/>
        </w:rPr>
        <w:t xml:space="preserve">The sale of the Vendors’ shares in Complete (including </w:t>
      </w:r>
      <w:proofErr w:type="spellStart"/>
      <w:r w:rsidRPr="00CE21C4">
        <w:rPr>
          <w:rFonts w:cs="Times New Roman"/>
        </w:rPr>
        <w:t>Babkirk</w:t>
      </w:r>
      <w:proofErr w:type="spellEnd"/>
      <w:r w:rsidRPr="00CE21C4">
        <w:rPr>
          <w:rFonts w:cs="Times New Roman"/>
        </w:rPr>
        <w:t xml:space="preserve"> and the </w:t>
      </w:r>
      <w:proofErr w:type="spellStart"/>
      <w:r w:rsidRPr="00CE21C4">
        <w:rPr>
          <w:rFonts w:cs="Times New Roman"/>
        </w:rPr>
        <w:t>Babkirk</w:t>
      </w:r>
      <w:proofErr w:type="spellEnd"/>
      <w:r w:rsidRPr="00CE21C4">
        <w:rPr>
          <w:rFonts w:cs="Times New Roman"/>
        </w:rPr>
        <w:t xml:space="preserve"> site) closed on January 7, 2011.  However, prior to closing, the Commissioner of Competition informed the parties that she opposed the transaction on the ground that it was likely to substantially prevent competition in secure landfill services in Northeastern British Columbia. After closing, the Commissioner asked the Competition Tribunal to order, pursuant to s. 92 of the </w:t>
      </w:r>
      <w:r w:rsidRPr="00CE21C4">
        <w:rPr>
          <w:rFonts w:cs="Times New Roman"/>
          <w:i/>
        </w:rPr>
        <w:t>Competition Act</w:t>
      </w:r>
      <w:r w:rsidRPr="00CE21C4">
        <w:rPr>
          <w:rFonts w:cs="Times New Roman"/>
        </w:rPr>
        <w:t xml:space="preserve">, that the transaction be dissolved, or in the alternative, that </w:t>
      </w:r>
      <w:proofErr w:type="spellStart"/>
      <w:r w:rsidRPr="00CE21C4">
        <w:rPr>
          <w:rFonts w:cs="Times New Roman"/>
        </w:rPr>
        <w:t>Tervita</w:t>
      </w:r>
      <w:proofErr w:type="spellEnd"/>
      <w:r w:rsidRPr="00CE21C4">
        <w:rPr>
          <w:rFonts w:cs="Times New Roman"/>
        </w:rPr>
        <w:t xml:space="preserve"> Corp. </w:t>
      </w:r>
      <w:proofErr w:type="gramStart"/>
      <w:r w:rsidRPr="00CE21C4">
        <w:rPr>
          <w:rFonts w:cs="Times New Roman"/>
        </w:rPr>
        <w:t>divest</w:t>
      </w:r>
      <w:proofErr w:type="gramEnd"/>
      <w:r w:rsidRPr="00CE21C4">
        <w:rPr>
          <w:rFonts w:cs="Times New Roman"/>
        </w:rPr>
        <w:t xml:space="preserve"> itself of Complete or </w:t>
      </w:r>
      <w:proofErr w:type="spellStart"/>
      <w:r w:rsidRPr="00CE21C4">
        <w:rPr>
          <w:rFonts w:cs="Times New Roman"/>
        </w:rPr>
        <w:t>Babkirk</w:t>
      </w:r>
      <w:proofErr w:type="spellEnd"/>
      <w:r w:rsidRPr="00CE21C4">
        <w:rPr>
          <w:rFonts w:cs="Times New Roman"/>
        </w:rPr>
        <w:t>.</w:t>
      </w:r>
    </w:p>
    <w:p w:rsidR="00E35AE4" w:rsidRPr="00CE21C4" w:rsidRDefault="00E35AE4" w:rsidP="00154FA9">
      <w:pPr>
        <w:pStyle w:val="ParaNoNdepar-AltN"/>
        <w:rPr>
          <w:rFonts w:cs="Times New Roman"/>
        </w:rPr>
      </w:pPr>
      <w:r w:rsidRPr="00CE21C4">
        <w:rPr>
          <w:rFonts w:cs="Times New Roman"/>
        </w:rPr>
        <w:t xml:space="preserve">The three appellants in this appeal, </w:t>
      </w:r>
      <w:proofErr w:type="spellStart"/>
      <w:r w:rsidRPr="00CE21C4">
        <w:rPr>
          <w:rFonts w:cs="Times New Roman"/>
        </w:rPr>
        <w:t>Tervita</w:t>
      </w:r>
      <w:proofErr w:type="spellEnd"/>
      <w:r w:rsidRPr="00CE21C4">
        <w:rPr>
          <w:rFonts w:cs="Times New Roman"/>
        </w:rPr>
        <w:t xml:space="preserve"> Corp., Complete and </w:t>
      </w:r>
      <w:proofErr w:type="spellStart"/>
      <w:r w:rsidRPr="00CE21C4">
        <w:rPr>
          <w:rFonts w:cs="Times New Roman"/>
        </w:rPr>
        <w:t>Babkirk</w:t>
      </w:r>
      <w:proofErr w:type="spellEnd"/>
      <w:r w:rsidRPr="00CE21C4">
        <w:rPr>
          <w:rFonts w:cs="Times New Roman"/>
        </w:rPr>
        <w:t>, are hereinafter referred to collectively as “</w:t>
      </w:r>
      <w:proofErr w:type="spellStart"/>
      <w:r w:rsidRPr="00CE21C4">
        <w:rPr>
          <w:rFonts w:cs="Times New Roman"/>
        </w:rPr>
        <w:t>Tervita</w:t>
      </w:r>
      <w:proofErr w:type="spellEnd"/>
      <w:r w:rsidRPr="00CE21C4">
        <w:rPr>
          <w:rFonts w:cs="Times New Roman"/>
        </w:rPr>
        <w:t>”.</w:t>
      </w:r>
    </w:p>
    <w:p w:rsidR="00E35AE4" w:rsidRPr="00CE21C4" w:rsidRDefault="00E35AE4" w:rsidP="00154FA9">
      <w:pPr>
        <w:pStyle w:val="Title1LevelTitre1Niveau-AltL"/>
        <w:rPr>
          <w:rFonts w:cs="Times New Roman"/>
        </w:rPr>
      </w:pPr>
      <w:bookmarkStart w:id="9" w:name="_Toc396299522"/>
      <w:bookmarkStart w:id="10" w:name="_Toc397586753"/>
      <w:bookmarkStart w:id="11" w:name="_Toc397606993"/>
      <w:bookmarkStart w:id="12" w:name="_Toc404926102"/>
      <w:r w:rsidRPr="00CE21C4">
        <w:rPr>
          <w:rFonts w:cs="Times New Roman"/>
        </w:rPr>
        <w:t>Statutory Provisions</w:t>
      </w:r>
      <w:bookmarkEnd w:id="9"/>
      <w:bookmarkEnd w:id="10"/>
      <w:bookmarkEnd w:id="11"/>
      <w:bookmarkEnd w:id="12"/>
    </w:p>
    <w:p w:rsidR="00E35AE4" w:rsidRPr="00CE21C4" w:rsidRDefault="00E35AE4" w:rsidP="00154FA9">
      <w:pPr>
        <w:pStyle w:val="ParaNoNdepar-AltN"/>
        <w:rPr>
          <w:rFonts w:cs="Times New Roman"/>
        </w:rPr>
      </w:pPr>
      <w:r w:rsidRPr="00CE21C4">
        <w:rPr>
          <w:rFonts w:cs="Times New Roman"/>
        </w:rPr>
        <w:t xml:space="preserve">The relevant statutory provisions in this case are included in the Appendix. The statutory provisions most directly at issue in this appeal are ss. 92, 93 and 96 of the Act. </w:t>
      </w:r>
    </w:p>
    <w:p w:rsidR="00E35AE4" w:rsidRPr="00CE21C4" w:rsidRDefault="00E35AE4" w:rsidP="00154FA9">
      <w:pPr>
        <w:pStyle w:val="Title1LevelTitre1Niveau-AltL"/>
        <w:rPr>
          <w:rFonts w:cs="Times New Roman"/>
        </w:rPr>
      </w:pPr>
      <w:bookmarkStart w:id="13" w:name="_Toc396299523"/>
      <w:bookmarkStart w:id="14" w:name="_Toc397586754"/>
      <w:bookmarkStart w:id="15" w:name="_Toc397606994"/>
      <w:bookmarkStart w:id="16" w:name="_Toc404926103"/>
      <w:r w:rsidRPr="00CE21C4">
        <w:rPr>
          <w:rFonts w:cs="Times New Roman"/>
        </w:rPr>
        <w:t>Decisions Below</w:t>
      </w:r>
      <w:bookmarkEnd w:id="13"/>
      <w:bookmarkEnd w:id="14"/>
      <w:bookmarkEnd w:id="15"/>
      <w:bookmarkEnd w:id="16"/>
      <w:r w:rsidRPr="00CE21C4">
        <w:rPr>
          <w:rFonts w:cs="Times New Roman"/>
        </w:rPr>
        <w:t xml:space="preserve"> </w:t>
      </w:r>
    </w:p>
    <w:p w:rsidR="00E35AE4" w:rsidRPr="00CE21C4" w:rsidRDefault="00E35AE4" w:rsidP="00154FA9">
      <w:pPr>
        <w:pStyle w:val="Title2LevelTitre2Niveau"/>
        <w:rPr>
          <w:rFonts w:cs="Times New Roman"/>
        </w:rPr>
      </w:pPr>
      <w:bookmarkStart w:id="17" w:name="_Toc396299524"/>
      <w:bookmarkStart w:id="18" w:name="_Toc397586755"/>
      <w:bookmarkStart w:id="19" w:name="_Toc397606995"/>
      <w:bookmarkStart w:id="20" w:name="_Toc404926104"/>
      <w:r w:rsidRPr="00CE21C4">
        <w:rPr>
          <w:rFonts w:cs="Times New Roman"/>
        </w:rPr>
        <w:lastRenderedPageBreak/>
        <w:t>Competition Tribunal</w:t>
      </w:r>
      <w:bookmarkEnd w:id="17"/>
      <w:bookmarkEnd w:id="18"/>
      <w:bookmarkEnd w:id="19"/>
      <w:bookmarkEnd w:id="20"/>
      <w:r w:rsidRPr="00CE21C4">
        <w:rPr>
          <w:rFonts w:cs="Times New Roman"/>
        </w:rPr>
        <w:t>, [2012] C.C.T.D. No. 14 (QL)</w:t>
      </w:r>
    </w:p>
    <w:p w:rsidR="00E35AE4" w:rsidRPr="00CE21C4" w:rsidRDefault="00E35AE4" w:rsidP="00154FA9">
      <w:pPr>
        <w:pStyle w:val="ParaNoNdepar-AltN"/>
        <w:rPr>
          <w:rFonts w:cs="Times New Roman"/>
        </w:rPr>
      </w:pPr>
      <w:r w:rsidRPr="00CE21C4">
        <w:rPr>
          <w:rFonts w:cs="Times New Roman"/>
        </w:rPr>
        <w:t>Pursuant to s. 92, the Tribunal</w:t>
      </w:r>
      <w:r w:rsidRPr="00CE21C4">
        <w:rPr>
          <w:rStyle w:val="SCCLowerCourtJudge"/>
          <w:rFonts w:cs="Times New Roman"/>
        </w:rPr>
        <w:t xml:space="preserve"> </w:t>
      </w:r>
      <w:r w:rsidRPr="00CE21C4">
        <w:rPr>
          <w:rFonts w:cs="Times New Roman"/>
        </w:rPr>
        <w:t xml:space="preserve">found that the merger was likely to prevent competition substantially in the relevant market. The Tribunal further found that </w:t>
      </w:r>
      <w:proofErr w:type="spellStart"/>
      <w:r w:rsidRPr="00CE21C4">
        <w:rPr>
          <w:rFonts w:cs="Times New Roman"/>
        </w:rPr>
        <w:t>Tervita</w:t>
      </w:r>
      <w:proofErr w:type="spellEnd"/>
      <w:r w:rsidRPr="00CE21C4">
        <w:rPr>
          <w:rFonts w:cs="Times New Roman"/>
        </w:rPr>
        <w:t xml:space="preserve"> had not brought itself within the efficiencies exception contained in s. 96 that would have permitted the merger notwithstanding s. 92. It found that the efficiencies gained by the merger were not greater than the effects of the likely prevention of competition resulting from the merger, and would not offset those effects. It ordered </w:t>
      </w:r>
      <w:proofErr w:type="spellStart"/>
      <w:r w:rsidRPr="00CE21C4">
        <w:rPr>
          <w:rFonts w:cs="Times New Roman"/>
        </w:rPr>
        <w:t>Tervita</w:t>
      </w:r>
      <w:proofErr w:type="spellEnd"/>
      <w:r w:rsidRPr="00CE21C4">
        <w:rPr>
          <w:rFonts w:cs="Times New Roman"/>
        </w:rPr>
        <w:t xml:space="preserve"> to divest itself of </w:t>
      </w:r>
      <w:proofErr w:type="spellStart"/>
      <w:r w:rsidRPr="00CE21C4">
        <w:rPr>
          <w:rFonts w:cs="Times New Roman"/>
        </w:rPr>
        <w:t>Babkirk</w:t>
      </w:r>
      <w:proofErr w:type="spellEnd"/>
      <w:r w:rsidRPr="00CE21C4">
        <w:rPr>
          <w:rFonts w:cs="Times New Roman"/>
        </w:rPr>
        <w:t>.</w:t>
      </w:r>
    </w:p>
    <w:p w:rsidR="00E35AE4" w:rsidRPr="00CE21C4" w:rsidRDefault="00E35AE4" w:rsidP="00154FA9">
      <w:pPr>
        <w:pStyle w:val="Title3LevelTitre3Niveau"/>
        <w:rPr>
          <w:rFonts w:cs="Times New Roman"/>
        </w:rPr>
      </w:pPr>
      <w:bookmarkStart w:id="21" w:name="_Toc396299525"/>
      <w:bookmarkStart w:id="22" w:name="_Toc397586756"/>
      <w:bookmarkStart w:id="23" w:name="_Toc397606996"/>
      <w:bookmarkStart w:id="24" w:name="_Toc404926105"/>
      <w:r w:rsidRPr="00CE21C4">
        <w:rPr>
          <w:rFonts w:cs="Times New Roman"/>
        </w:rPr>
        <w:t>Section 92</w:t>
      </w:r>
      <w:bookmarkEnd w:id="21"/>
      <w:bookmarkEnd w:id="22"/>
      <w:bookmarkEnd w:id="23"/>
      <w:bookmarkEnd w:id="24"/>
    </w:p>
    <w:p w:rsidR="00E35AE4" w:rsidRPr="00CE21C4" w:rsidRDefault="00E35AE4" w:rsidP="00154FA9">
      <w:pPr>
        <w:pStyle w:val="ParaNoNdepar-AltN"/>
        <w:rPr>
          <w:rFonts w:cs="Times New Roman"/>
        </w:rPr>
      </w:pPr>
      <w:r w:rsidRPr="00CE21C4">
        <w:rPr>
          <w:rFonts w:cs="Times New Roman"/>
        </w:rPr>
        <w:t>The Tribunal assessed whether “effective competition in the relevant market likely [would] have emerged ‘but for’ the [m]</w:t>
      </w:r>
      <w:proofErr w:type="spellStart"/>
      <w:r w:rsidRPr="00CE21C4">
        <w:rPr>
          <w:rFonts w:cs="Times New Roman"/>
        </w:rPr>
        <w:t>erger</w:t>
      </w:r>
      <w:proofErr w:type="spellEnd"/>
      <w:r w:rsidRPr="00CE21C4">
        <w:rPr>
          <w:rFonts w:cs="Times New Roman"/>
        </w:rPr>
        <w:t>” (</w:t>
      </w:r>
      <w:proofErr w:type="spellStart"/>
      <w:r w:rsidRPr="00CE21C4">
        <w:rPr>
          <w:rFonts w:cs="Times New Roman"/>
        </w:rPr>
        <w:t>para</w:t>
      </w:r>
      <w:proofErr w:type="spellEnd"/>
      <w:r w:rsidRPr="00CE21C4">
        <w:rPr>
          <w:rFonts w:cs="Times New Roman"/>
        </w:rPr>
        <w:t>. 129). The parties “essentially agreed” that the commencement of the timeframe for considering the “but for” market condition, i.e. a market condition where the merger did not occur, was the end of July 2010 (</w:t>
      </w:r>
      <w:proofErr w:type="spellStart"/>
      <w:r w:rsidRPr="00CE21C4">
        <w:rPr>
          <w:rFonts w:cs="Times New Roman"/>
        </w:rPr>
        <w:t>para</w:t>
      </w:r>
      <w:proofErr w:type="spellEnd"/>
      <w:r w:rsidRPr="00CE21C4">
        <w:rPr>
          <w:rFonts w:cs="Times New Roman"/>
        </w:rPr>
        <w:t xml:space="preserve">. 131). This was the point in time a letter of intent between </w:t>
      </w:r>
      <w:proofErr w:type="spellStart"/>
      <w:r w:rsidRPr="00CE21C4">
        <w:rPr>
          <w:rFonts w:cs="Times New Roman"/>
        </w:rPr>
        <w:t>Tervita</w:t>
      </w:r>
      <w:proofErr w:type="spellEnd"/>
      <w:r w:rsidRPr="00CE21C4">
        <w:rPr>
          <w:rFonts w:cs="Times New Roman"/>
        </w:rPr>
        <w:t xml:space="preserve"> and the Vendors was signed. The Tribunal agreed that this timeframe commenced at the end of July 2010. </w:t>
      </w:r>
    </w:p>
    <w:p w:rsidR="00E35AE4" w:rsidRPr="00CE21C4" w:rsidRDefault="00E35AE4" w:rsidP="00154FA9">
      <w:pPr>
        <w:pStyle w:val="ParaNoNdepar-AltN"/>
        <w:rPr>
          <w:rFonts w:cs="Times New Roman"/>
        </w:rPr>
      </w:pPr>
      <w:r w:rsidRPr="00CE21C4">
        <w:rPr>
          <w:rFonts w:cs="Times New Roman"/>
        </w:rPr>
        <w:t xml:space="preserve">As of the end of July 2010, the Tribunal saw only two realistic scenarios for the </w:t>
      </w:r>
      <w:proofErr w:type="spellStart"/>
      <w:r w:rsidRPr="00CE21C4">
        <w:rPr>
          <w:rFonts w:cs="Times New Roman"/>
        </w:rPr>
        <w:t>Babkirk</w:t>
      </w:r>
      <w:proofErr w:type="spellEnd"/>
      <w:r w:rsidRPr="00CE21C4">
        <w:rPr>
          <w:rFonts w:cs="Times New Roman"/>
        </w:rPr>
        <w:t xml:space="preserve"> site:</w:t>
      </w:r>
    </w:p>
    <w:p w:rsidR="00E35AE4" w:rsidRPr="00CE21C4" w:rsidRDefault="00E35AE4" w:rsidP="00154FA9">
      <w:pPr>
        <w:pStyle w:val="Citation-AltC"/>
        <w:ind w:left="1440" w:hanging="274"/>
      </w:pPr>
      <w:r w:rsidRPr="00CE21C4">
        <w:t>1. The Vendors would have sold to a waste company called [SES], which would have operated a Secure Landfill; or</w:t>
      </w:r>
    </w:p>
    <w:p w:rsidR="00E35AE4" w:rsidRPr="00CE21C4" w:rsidRDefault="00E35AE4" w:rsidP="00154FA9">
      <w:pPr>
        <w:pStyle w:val="Citation-AltC"/>
      </w:pPr>
    </w:p>
    <w:p w:rsidR="00E35AE4" w:rsidRPr="00CE21C4" w:rsidRDefault="00E35AE4" w:rsidP="00154FA9">
      <w:pPr>
        <w:pStyle w:val="Citation-AltC"/>
        <w:ind w:left="1440" w:hanging="274"/>
      </w:pPr>
      <w:r w:rsidRPr="00CE21C4">
        <w:lastRenderedPageBreak/>
        <w:t>2. The Vendors would have operated a bioremediation facility together with a half cell of Secure Landfill. [</w:t>
      </w:r>
      <w:proofErr w:type="spellStart"/>
      <w:r w:rsidRPr="00CE21C4">
        <w:t>para</w:t>
      </w:r>
      <w:proofErr w:type="spellEnd"/>
      <w:r w:rsidRPr="00CE21C4">
        <w:t>. 132]</w:t>
      </w:r>
    </w:p>
    <w:p w:rsidR="00E35AE4" w:rsidRPr="00CE21C4" w:rsidRDefault="00E35AE4" w:rsidP="00154FA9">
      <w:pPr>
        <w:pStyle w:val="ParaNoNdepar-AltN"/>
        <w:rPr>
          <w:rFonts w:cs="Times New Roman"/>
        </w:rPr>
      </w:pPr>
      <w:r w:rsidRPr="00CE21C4">
        <w:rPr>
          <w:rFonts w:cs="Times New Roman"/>
        </w:rPr>
        <w:t xml:space="preserve">The Tribunal found that, on a balance of probabilities, SES would not have made an acceptable offer for the </w:t>
      </w:r>
      <w:proofErr w:type="gramStart"/>
      <w:r w:rsidRPr="00CE21C4">
        <w:rPr>
          <w:rFonts w:cs="Times New Roman"/>
        </w:rPr>
        <w:t>Complete</w:t>
      </w:r>
      <w:proofErr w:type="gramEnd"/>
      <w:r w:rsidRPr="00CE21C4">
        <w:rPr>
          <w:rFonts w:cs="Times New Roman"/>
        </w:rPr>
        <w:t xml:space="preserve"> site at any time during the summer of 2010. Thus, according to the Tribunal, the Vendors would have moved forward with the second option: operate the </w:t>
      </w:r>
      <w:proofErr w:type="spellStart"/>
      <w:r w:rsidRPr="00CE21C4">
        <w:rPr>
          <w:rFonts w:cs="Times New Roman"/>
        </w:rPr>
        <w:t>Babkirk</w:t>
      </w:r>
      <w:proofErr w:type="spellEnd"/>
      <w:r w:rsidRPr="00CE21C4">
        <w:rPr>
          <w:rFonts w:cs="Times New Roman"/>
        </w:rPr>
        <w:t xml:space="preserve"> site as a bioremediation facility.  </w:t>
      </w:r>
    </w:p>
    <w:p w:rsidR="00E35AE4" w:rsidRPr="00CE21C4" w:rsidRDefault="00E35AE4" w:rsidP="00154FA9">
      <w:pPr>
        <w:pStyle w:val="ParaNoNdepar-AltN"/>
        <w:rPr>
          <w:rFonts w:cs="Times New Roman"/>
        </w:rPr>
      </w:pPr>
      <w:r w:rsidRPr="00CE21C4">
        <w:rPr>
          <w:rFonts w:cs="Times New Roman"/>
        </w:rPr>
        <w:t>Bioremediation is a “method of treating soil by using micro-organisms to reduce contamination” (</w:t>
      </w:r>
      <w:proofErr w:type="spellStart"/>
      <w:r w:rsidRPr="00CE21C4">
        <w:rPr>
          <w:rFonts w:cs="Times New Roman"/>
        </w:rPr>
        <w:t>para</w:t>
      </w:r>
      <w:proofErr w:type="spellEnd"/>
      <w:r w:rsidRPr="00CE21C4">
        <w:rPr>
          <w:rFonts w:cs="Times New Roman"/>
        </w:rPr>
        <w:t>. 42). The Tribunal concluded that the Vendors would have had the bioremediation facility fully operational by October 2011, but that it would have been unprofitable. The Tribunal concluded that it was “unreasonable to suppose that [the Vendors] would have been prepared to operate unprofitably beyond the fall of 2012” (</w:t>
      </w:r>
      <w:proofErr w:type="spellStart"/>
      <w:r w:rsidRPr="00CE21C4">
        <w:rPr>
          <w:rFonts w:cs="Times New Roman"/>
        </w:rPr>
        <w:t>para</w:t>
      </w:r>
      <w:proofErr w:type="spellEnd"/>
      <w:r w:rsidRPr="00CE21C4">
        <w:rPr>
          <w:rFonts w:cs="Times New Roman"/>
        </w:rPr>
        <w:t xml:space="preserve">. 206). Accordingly, the Tribunal found that the Vendors would have either begun operating the </w:t>
      </w:r>
      <w:proofErr w:type="spellStart"/>
      <w:r w:rsidRPr="00CE21C4">
        <w:rPr>
          <w:rFonts w:cs="Times New Roman"/>
        </w:rPr>
        <w:t>Babkirk</w:t>
      </w:r>
      <w:proofErr w:type="spellEnd"/>
      <w:r w:rsidRPr="00CE21C4">
        <w:rPr>
          <w:rFonts w:cs="Times New Roman"/>
        </w:rPr>
        <w:t xml:space="preserve"> site as a secure landfill themselves or would have sold the site to a purchaser who would have operated the site as a secure landfill.  Either way, the </w:t>
      </w:r>
      <w:proofErr w:type="spellStart"/>
      <w:r w:rsidRPr="00CE21C4">
        <w:rPr>
          <w:rFonts w:cs="Times New Roman"/>
        </w:rPr>
        <w:t>Babkirk</w:t>
      </w:r>
      <w:proofErr w:type="spellEnd"/>
      <w:r w:rsidRPr="00CE21C4">
        <w:rPr>
          <w:rFonts w:cs="Times New Roman"/>
        </w:rPr>
        <w:t xml:space="preserve"> site full</w:t>
      </w:r>
      <w:r w:rsidR="00D10E51">
        <w:rPr>
          <w:rFonts w:cs="Times New Roman"/>
        </w:rPr>
        <w:t>-</w:t>
      </w:r>
      <w:r w:rsidRPr="00CE21C4">
        <w:rPr>
          <w:rFonts w:cs="Times New Roman"/>
        </w:rPr>
        <w:t xml:space="preserve">service secure landfill would have been a “direct and substantial” competitor with </w:t>
      </w:r>
      <w:proofErr w:type="spellStart"/>
      <w:r w:rsidRPr="00CE21C4">
        <w:rPr>
          <w:rFonts w:cs="Times New Roman"/>
        </w:rPr>
        <w:t>Tervita</w:t>
      </w:r>
      <w:proofErr w:type="spellEnd"/>
      <w:r w:rsidRPr="00CE21C4">
        <w:rPr>
          <w:rFonts w:cs="Times New Roman"/>
        </w:rPr>
        <w:t xml:space="preserve"> no later than the spring of 2013 (</w:t>
      </w:r>
      <w:proofErr w:type="spellStart"/>
      <w:r w:rsidRPr="00CE21C4">
        <w:rPr>
          <w:rFonts w:cs="Times New Roman"/>
        </w:rPr>
        <w:t>para</w:t>
      </w:r>
      <w:proofErr w:type="spellEnd"/>
      <w:r w:rsidRPr="00CE21C4">
        <w:rPr>
          <w:rFonts w:cs="Times New Roman"/>
        </w:rPr>
        <w:t xml:space="preserve">. 215). </w:t>
      </w:r>
    </w:p>
    <w:p w:rsidR="00E35AE4" w:rsidRPr="00CE21C4" w:rsidRDefault="00E35AE4" w:rsidP="00154FA9">
      <w:pPr>
        <w:pStyle w:val="ParaNoNdepar-AltN"/>
        <w:rPr>
          <w:rFonts w:cs="Times New Roman"/>
        </w:rPr>
      </w:pPr>
      <w:r w:rsidRPr="00CE21C4">
        <w:rPr>
          <w:rFonts w:cs="Times New Roman"/>
        </w:rPr>
        <w:t xml:space="preserve">The Tribunal found that a likely effect of the merger would have been to allow </w:t>
      </w:r>
      <w:proofErr w:type="spellStart"/>
      <w:r w:rsidRPr="00CE21C4">
        <w:rPr>
          <w:rFonts w:cs="Times New Roman"/>
        </w:rPr>
        <w:t>Tervita</w:t>
      </w:r>
      <w:proofErr w:type="spellEnd"/>
      <w:r w:rsidRPr="00CE21C4">
        <w:rPr>
          <w:rFonts w:cs="Times New Roman"/>
        </w:rPr>
        <w:t xml:space="preserve"> to maintain its ability to exercise materially greater market power than it would in the absence of the merger. It found that in the absence of the merger, disposal fees, called “tipping fees” in the industry, would have been 10 percent lower in the “Contestable Area” (the relevant geographic market) (</w:t>
      </w:r>
      <w:proofErr w:type="spellStart"/>
      <w:r w:rsidRPr="00CE21C4">
        <w:rPr>
          <w:rFonts w:cs="Times New Roman"/>
        </w:rPr>
        <w:t>para</w:t>
      </w:r>
      <w:proofErr w:type="spellEnd"/>
      <w:r w:rsidRPr="00CE21C4">
        <w:rPr>
          <w:rFonts w:cs="Times New Roman"/>
        </w:rPr>
        <w:t xml:space="preserve">. 229(iii)). </w:t>
      </w:r>
    </w:p>
    <w:p w:rsidR="00E35AE4" w:rsidRPr="00CE21C4" w:rsidRDefault="00E35AE4" w:rsidP="00154FA9">
      <w:pPr>
        <w:pStyle w:val="ParaNoNdepar-AltN"/>
        <w:rPr>
          <w:rFonts w:cs="Times New Roman"/>
        </w:rPr>
      </w:pPr>
      <w:r w:rsidRPr="00CE21C4">
        <w:rPr>
          <w:rFonts w:cs="Times New Roman"/>
        </w:rPr>
        <w:lastRenderedPageBreak/>
        <w:t xml:space="preserve">The Tribunal concluded that the merger was likely to prevent competition substantially. </w:t>
      </w:r>
    </w:p>
    <w:p w:rsidR="00E35AE4" w:rsidRPr="00CE21C4" w:rsidRDefault="00E35AE4" w:rsidP="00154FA9">
      <w:pPr>
        <w:pStyle w:val="Title3LevelTitre3Niveau"/>
        <w:rPr>
          <w:rFonts w:cs="Times New Roman"/>
        </w:rPr>
      </w:pPr>
      <w:bookmarkStart w:id="25" w:name="_Toc396299526"/>
      <w:bookmarkStart w:id="26" w:name="_Toc397586757"/>
      <w:bookmarkStart w:id="27" w:name="_Toc397606997"/>
      <w:bookmarkStart w:id="28" w:name="_Toc404926106"/>
      <w:r w:rsidRPr="00CE21C4">
        <w:rPr>
          <w:rFonts w:cs="Times New Roman"/>
        </w:rPr>
        <w:t>Section 96</w:t>
      </w:r>
      <w:bookmarkEnd w:id="25"/>
      <w:bookmarkEnd w:id="26"/>
      <w:bookmarkEnd w:id="27"/>
      <w:bookmarkEnd w:id="28"/>
    </w:p>
    <w:p w:rsidR="00E35AE4" w:rsidRPr="00CE21C4" w:rsidRDefault="00E35AE4" w:rsidP="00154FA9">
      <w:pPr>
        <w:pStyle w:val="ParaNoNdepar-AltN"/>
        <w:rPr>
          <w:rFonts w:cs="Times New Roman"/>
        </w:rPr>
      </w:pPr>
      <w:r w:rsidRPr="00CE21C4">
        <w:rPr>
          <w:rFonts w:cs="Times New Roman"/>
        </w:rPr>
        <w:t>The s. 96 efficiencies defence is an exception to the application of s. 92.  The defence prohibits the Tribunal from making an order precluding a merger when it finds that the merger is likely to bring about gains in efficiency that would be greater than and would offset the anti-competitive effects of the merger.</w:t>
      </w:r>
    </w:p>
    <w:p w:rsidR="00E35AE4" w:rsidRPr="00CE21C4" w:rsidRDefault="00E35AE4" w:rsidP="00154FA9">
      <w:pPr>
        <w:pStyle w:val="ParaNoNdepar-AltN"/>
        <w:rPr>
          <w:rFonts w:cs="Times New Roman"/>
        </w:rPr>
      </w:pPr>
      <w:r w:rsidRPr="00CE21C4">
        <w:rPr>
          <w:rFonts w:cs="Times New Roman"/>
        </w:rPr>
        <w:t xml:space="preserve">The Tribunal found that the Commissioner had failed to meet her burden to demonstrate the extent of the quantifiable anti-competitive effects. The Commissioner’s expert had only estimated that a price decrease of 10 percent would be precluded by the merger but provided no estimate of the volume having regard to the elasticity of demand. The Tribunal found that this meant that </w:t>
      </w:r>
      <w:proofErr w:type="spellStart"/>
      <w:r w:rsidRPr="00CE21C4">
        <w:rPr>
          <w:rFonts w:cs="Times New Roman"/>
        </w:rPr>
        <w:t>Tervita</w:t>
      </w:r>
      <w:proofErr w:type="spellEnd"/>
      <w:r w:rsidRPr="00CE21C4">
        <w:rPr>
          <w:rFonts w:cs="Times New Roman"/>
        </w:rPr>
        <w:t xml:space="preserve"> could not take a position about whether the number it calculated as its total efficiencies </w:t>
      </w:r>
      <w:proofErr w:type="gramStart"/>
      <w:r w:rsidRPr="00CE21C4">
        <w:rPr>
          <w:rFonts w:cs="Times New Roman"/>
        </w:rPr>
        <w:t>was</w:t>
      </w:r>
      <w:proofErr w:type="gramEnd"/>
      <w:r w:rsidRPr="00CE21C4">
        <w:rPr>
          <w:rFonts w:cs="Times New Roman"/>
        </w:rPr>
        <w:t xml:space="preserve"> greater than the adverse effects of the merger (</w:t>
      </w:r>
      <w:proofErr w:type="spellStart"/>
      <w:r w:rsidRPr="00CE21C4">
        <w:rPr>
          <w:rFonts w:cs="Times New Roman"/>
        </w:rPr>
        <w:t>para</w:t>
      </w:r>
      <w:proofErr w:type="spellEnd"/>
      <w:r w:rsidRPr="00CE21C4">
        <w:rPr>
          <w:rFonts w:cs="Times New Roman"/>
        </w:rPr>
        <w:t xml:space="preserve">. 246).  However, the Tribunal concluded that, “in the unusual circumstances of this case”, </w:t>
      </w:r>
      <w:proofErr w:type="spellStart"/>
      <w:r w:rsidRPr="00CE21C4">
        <w:rPr>
          <w:rFonts w:cs="Times New Roman"/>
        </w:rPr>
        <w:t>Tervita</w:t>
      </w:r>
      <w:proofErr w:type="spellEnd"/>
      <w:r w:rsidRPr="00CE21C4">
        <w:rPr>
          <w:rFonts w:cs="Times New Roman"/>
        </w:rPr>
        <w:t xml:space="preserve"> was not prejudiced by the Commissioner’s failure to quantify the anti-competitive effects of the merger. </w:t>
      </w:r>
      <w:proofErr w:type="spellStart"/>
      <w:r w:rsidRPr="00CE21C4">
        <w:rPr>
          <w:rFonts w:cs="Times New Roman"/>
        </w:rPr>
        <w:t>Tervita</w:t>
      </w:r>
      <w:proofErr w:type="spellEnd"/>
      <w:r w:rsidRPr="00CE21C4">
        <w:rPr>
          <w:rFonts w:cs="Times New Roman"/>
        </w:rPr>
        <w:t xml:space="preserve"> was still able to effectively attack the Commissioner’s expert’s findings and assert the s. 96 defence (</w:t>
      </w:r>
      <w:proofErr w:type="spellStart"/>
      <w:r w:rsidRPr="00CE21C4">
        <w:rPr>
          <w:rFonts w:cs="Times New Roman"/>
        </w:rPr>
        <w:t>para</w:t>
      </w:r>
      <w:proofErr w:type="spellEnd"/>
      <w:r w:rsidRPr="00CE21C4">
        <w:rPr>
          <w:rFonts w:cs="Times New Roman"/>
        </w:rPr>
        <w:t xml:space="preserve">. 246).  The Tribunal accepted, on a balance of probabilities, the Commissioner’s </w:t>
      </w:r>
      <w:proofErr w:type="spellStart"/>
      <w:r w:rsidRPr="00CE21C4">
        <w:rPr>
          <w:rFonts w:cs="Times New Roman"/>
        </w:rPr>
        <w:t>expert’s</w:t>
      </w:r>
      <w:proofErr w:type="spellEnd"/>
      <w:r w:rsidRPr="00CE21C4">
        <w:rPr>
          <w:rFonts w:cs="Times New Roman"/>
        </w:rPr>
        <w:t xml:space="preserve"> estimate of a minimum annual deadweight loss (paras. 301-3).</w:t>
      </w:r>
    </w:p>
    <w:p w:rsidR="00E35AE4" w:rsidRPr="00CE21C4" w:rsidRDefault="00E35AE4" w:rsidP="00154FA9">
      <w:pPr>
        <w:pStyle w:val="ParaNoNdepar-AltN"/>
        <w:rPr>
          <w:rFonts w:cs="Times New Roman"/>
        </w:rPr>
      </w:pPr>
      <w:r w:rsidRPr="00CE21C4">
        <w:rPr>
          <w:rFonts w:cs="Times New Roman"/>
        </w:rPr>
        <w:lastRenderedPageBreak/>
        <w:t>The Tribunal also accepted what it found to be qualitative anti-competitive effects — namely environmental effect</w:t>
      </w:r>
      <w:r w:rsidR="00D10E51">
        <w:rPr>
          <w:rFonts w:cs="Times New Roman"/>
        </w:rPr>
        <w:t>s related to price reduction on-</w:t>
      </w:r>
      <w:r w:rsidRPr="00CE21C4">
        <w:rPr>
          <w:rFonts w:cs="Times New Roman"/>
        </w:rPr>
        <w:t xml:space="preserve">site clean-up and “value propositions”, or offers </w:t>
      </w:r>
      <w:proofErr w:type="spellStart"/>
      <w:r w:rsidRPr="00CE21C4">
        <w:rPr>
          <w:rFonts w:cs="Times New Roman"/>
        </w:rPr>
        <w:t>Tervita</w:t>
      </w:r>
      <w:proofErr w:type="spellEnd"/>
      <w:r w:rsidRPr="00CE21C4">
        <w:rPr>
          <w:rFonts w:cs="Times New Roman"/>
        </w:rPr>
        <w:t xml:space="preserve"> would have made in a competitive environment to certain customers resulting in lower total cost for overall waste services used by such customers (paras. 306-7).</w:t>
      </w:r>
    </w:p>
    <w:p w:rsidR="00E35AE4" w:rsidRPr="00CE21C4" w:rsidRDefault="00E35AE4" w:rsidP="00154FA9">
      <w:pPr>
        <w:pStyle w:val="ParaNoNdepar-AltN"/>
        <w:rPr>
          <w:rFonts w:cs="Times New Roman"/>
        </w:rPr>
      </w:pPr>
      <w:r w:rsidRPr="00CE21C4">
        <w:rPr>
          <w:rFonts w:cs="Times New Roman"/>
        </w:rPr>
        <w:t xml:space="preserve">The Tribunal rejected most of </w:t>
      </w:r>
      <w:proofErr w:type="spellStart"/>
      <w:r w:rsidRPr="00CE21C4">
        <w:rPr>
          <w:rFonts w:cs="Times New Roman"/>
        </w:rPr>
        <w:t>Tervita’s</w:t>
      </w:r>
      <w:proofErr w:type="spellEnd"/>
      <w:r w:rsidRPr="00CE21C4">
        <w:rPr>
          <w:rFonts w:cs="Times New Roman"/>
        </w:rPr>
        <w:t xml:space="preserve"> claimed efficiencies gains because they would likely be achieved even if the divestiture order were made (</w:t>
      </w:r>
      <w:proofErr w:type="spellStart"/>
      <w:r w:rsidRPr="00CE21C4">
        <w:rPr>
          <w:rFonts w:cs="Times New Roman"/>
        </w:rPr>
        <w:t>para</w:t>
      </w:r>
      <w:proofErr w:type="spellEnd"/>
      <w:r w:rsidRPr="00CE21C4">
        <w:rPr>
          <w:rFonts w:cs="Times New Roman"/>
        </w:rPr>
        <w:t>. 265). The Tribunal also rejected the claimed “order implementation efficiencies” (“OIEs”) — those transportation and market expansion efficiencies resulting from delays associated with the implementation of a divestiture order. The Tribunal held that OIEs are not cognizable under s. 96, because to give merging parties the benefit of these efficiencies would be contrary to the purposes of the Act (</w:t>
      </w:r>
      <w:proofErr w:type="spellStart"/>
      <w:r w:rsidRPr="00CE21C4">
        <w:rPr>
          <w:rFonts w:cs="Times New Roman"/>
        </w:rPr>
        <w:t>para</w:t>
      </w:r>
      <w:proofErr w:type="spellEnd"/>
      <w:r w:rsidRPr="00CE21C4">
        <w:rPr>
          <w:rFonts w:cs="Times New Roman"/>
        </w:rPr>
        <w:t xml:space="preserve">. 270).  The Tribunal did accept “overhead” efficiencies claimed by </w:t>
      </w:r>
      <w:proofErr w:type="spellStart"/>
      <w:r w:rsidRPr="00CE21C4">
        <w:rPr>
          <w:rFonts w:cs="Times New Roman"/>
        </w:rPr>
        <w:t>Tervita</w:t>
      </w:r>
      <w:proofErr w:type="spellEnd"/>
      <w:r w:rsidRPr="00CE21C4">
        <w:rPr>
          <w:rFonts w:cs="Times New Roman"/>
        </w:rPr>
        <w:t xml:space="preserve"> (</w:t>
      </w:r>
      <w:proofErr w:type="spellStart"/>
      <w:r w:rsidRPr="00CE21C4">
        <w:rPr>
          <w:rFonts w:cs="Times New Roman"/>
        </w:rPr>
        <w:t>para</w:t>
      </w:r>
      <w:proofErr w:type="spellEnd"/>
      <w:r w:rsidRPr="00CE21C4">
        <w:rPr>
          <w:rFonts w:cs="Times New Roman"/>
        </w:rPr>
        <w:t>. 275).</w:t>
      </w:r>
    </w:p>
    <w:p w:rsidR="00E35AE4" w:rsidRPr="00CE21C4" w:rsidRDefault="00E35AE4" w:rsidP="00154FA9">
      <w:pPr>
        <w:pStyle w:val="ParaNoNdepar-AltN"/>
        <w:rPr>
          <w:rFonts w:cs="Times New Roman"/>
        </w:rPr>
      </w:pPr>
      <w:r w:rsidRPr="00CE21C4">
        <w:rPr>
          <w:rFonts w:cs="Times New Roman"/>
        </w:rPr>
        <w:t>The Tribunal weighed the proven quantifiable efficiency gains against the quantifiable anti-competitive effects it accepted and found that the combined quantitative and qualitative efficiency gains were not likely to be “greater than” the combined quantitative and qualitative anti-competitive effects (paras. 313-14). The Tribunal further supported this conclusion on the basis that, in the absence of a s. 92 order, the merger would maintain a monopolistic structure in the relevant market, thus precluding “benefits of competition that will arise in ways that will defy prediction</w:t>
      </w:r>
      <w:proofErr w:type="gramStart"/>
      <w:r w:rsidRPr="00CE21C4">
        <w:rPr>
          <w:rFonts w:cs="Times New Roman"/>
        </w:rPr>
        <w:t>”  (</w:t>
      </w:r>
      <w:proofErr w:type="spellStart"/>
      <w:proofErr w:type="gramEnd"/>
      <w:r w:rsidRPr="00CE21C4">
        <w:rPr>
          <w:rFonts w:cs="Times New Roman"/>
        </w:rPr>
        <w:t>para</w:t>
      </w:r>
      <w:proofErr w:type="spellEnd"/>
      <w:r w:rsidRPr="00CE21C4">
        <w:rPr>
          <w:rFonts w:cs="Times New Roman"/>
        </w:rPr>
        <w:t>. 317).</w:t>
      </w:r>
    </w:p>
    <w:p w:rsidR="00E35AE4" w:rsidRPr="00CE21C4" w:rsidRDefault="00E35AE4" w:rsidP="00154FA9">
      <w:pPr>
        <w:pStyle w:val="ParaNoNdepar-AltN"/>
        <w:rPr>
          <w:rFonts w:cs="Times New Roman"/>
        </w:rPr>
      </w:pPr>
      <w:r w:rsidRPr="00CE21C4">
        <w:rPr>
          <w:rFonts w:cs="Times New Roman"/>
        </w:rPr>
        <w:lastRenderedPageBreak/>
        <w:t xml:space="preserve">In his concurring reasons, Chief Justice </w:t>
      </w:r>
      <w:proofErr w:type="spellStart"/>
      <w:r w:rsidRPr="00CE21C4">
        <w:rPr>
          <w:rFonts w:cs="Times New Roman"/>
        </w:rPr>
        <w:t>Crampton</w:t>
      </w:r>
      <w:proofErr w:type="spellEnd"/>
      <w:r w:rsidRPr="00CE21C4">
        <w:rPr>
          <w:rStyle w:val="FootnoteReference"/>
          <w:rFonts w:cs="Times New Roman"/>
        </w:rPr>
        <w:footnoteReference w:id="1"/>
      </w:r>
      <w:r w:rsidRPr="00CE21C4">
        <w:rPr>
          <w:rFonts w:cs="Times New Roman"/>
        </w:rPr>
        <w:t xml:space="preserve"> held that for non-quantified </w:t>
      </w:r>
      <w:proofErr w:type="gramStart"/>
      <w:r w:rsidRPr="00CE21C4">
        <w:rPr>
          <w:rFonts w:cs="Times New Roman"/>
        </w:rPr>
        <w:t>effects,</w:t>
      </w:r>
      <w:proofErr w:type="gramEnd"/>
      <w:r w:rsidRPr="00CE21C4">
        <w:rPr>
          <w:rFonts w:cs="Times New Roman"/>
        </w:rPr>
        <w:t xml:space="preserve"> where there is not sufficient evidence to provide even a rough quantification of an effect that is ordinarily quantifiable, the Tribunal is still able to accord this factor some qualitative weight (</w:t>
      </w:r>
      <w:proofErr w:type="spellStart"/>
      <w:r w:rsidRPr="00CE21C4">
        <w:rPr>
          <w:rFonts w:cs="Times New Roman"/>
        </w:rPr>
        <w:t>para</w:t>
      </w:r>
      <w:proofErr w:type="spellEnd"/>
      <w:r w:rsidRPr="00CE21C4">
        <w:rPr>
          <w:rFonts w:cs="Times New Roman"/>
        </w:rPr>
        <w:t>. 408).</w:t>
      </w:r>
    </w:p>
    <w:p w:rsidR="00E35AE4" w:rsidRPr="00CE21C4" w:rsidRDefault="00E35AE4" w:rsidP="00154FA9">
      <w:pPr>
        <w:pStyle w:val="Title2LevelTitre2Niveau"/>
        <w:rPr>
          <w:rFonts w:cs="Times New Roman"/>
        </w:rPr>
      </w:pPr>
      <w:bookmarkStart w:id="29" w:name="_Toc396299527"/>
      <w:bookmarkStart w:id="30" w:name="_Toc397586758"/>
      <w:bookmarkStart w:id="31" w:name="_Toc397606998"/>
      <w:bookmarkStart w:id="32" w:name="_Toc404926107"/>
      <w:r w:rsidRPr="00CE21C4">
        <w:rPr>
          <w:rFonts w:cs="Times New Roman"/>
        </w:rPr>
        <w:t>Federal Court of Appeal</w:t>
      </w:r>
      <w:bookmarkEnd w:id="29"/>
      <w:bookmarkEnd w:id="30"/>
      <w:bookmarkEnd w:id="31"/>
      <w:bookmarkEnd w:id="32"/>
      <w:r w:rsidRPr="00CE21C4">
        <w:rPr>
          <w:rFonts w:cs="Times New Roman"/>
        </w:rPr>
        <w:t xml:space="preserve">, 2013 FCA 28, </w:t>
      </w:r>
      <w:r w:rsidR="00D10E51">
        <w:rPr>
          <w:rFonts w:cs="Times New Roman"/>
        </w:rPr>
        <w:t>[2014] 2 F.C.R. 352</w:t>
      </w:r>
    </w:p>
    <w:p w:rsidR="00E35AE4" w:rsidRPr="00CE21C4" w:rsidRDefault="00E35AE4" w:rsidP="00154FA9">
      <w:pPr>
        <w:pStyle w:val="ParaNoNdepar-AltN"/>
        <w:rPr>
          <w:rFonts w:cs="Times New Roman"/>
        </w:rPr>
      </w:pPr>
      <w:proofErr w:type="spellStart"/>
      <w:r w:rsidRPr="00CE21C4">
        <w:rPr>
          <w:rFonts w:cs="Times New Roman"/>
        </w:rPr>
        <w:t>Tervita</w:t>
      </w:r>
      <w:proofErr w:type="spellEnd"/>
      <w:r w:rsidRPr="00CE21C4">
        <w:rPr>
          <w:rFonts w:cs="Times New Roman"/>
        </w:rPr>
        <w:t xml:space="preserve"> appealed to the Federal Court of Appeal, challenging the divestiture order made by the Tribunal. </w:t>
      </w:r>
    </w:p>
    <w:p w:rsidR="00E35AE4" w:rsidRPr="00CE21C4" w:rsidRDefault="00E35AE4" w:rsidP="00154FA9">
      <w:pPr>
        <w:pStyle w:val="ParaNoNdepar-AltN"/>
        <w:rPr>
          <w:rFonts w:cs="Times New Roman"/>
        </w:rPr>
      </w:pPr>
      <w:r w:rsidRPr="00CE21C4">
        <w:rPr>
          <w:rFonts w:cs="Times New Roman"/>
        </w:rPr>
        <w:t>The Federal Court of Appeal first determined that the Tribunal’s findings on questions of law should be reviewed on a standard of correctness, while its findings on questions of fact or of mixed law and fact should be reviewed on a standard of reasonableness (paras. 52-68).</w:t>
      </w:r>
    </w:p>
    <w:p w:rsidR="00E35AE4" w:rsidRPr="00CE21C4" w:rsidRDefault="00E35AE4" w:rsidP="00154FA9">
      <w:pPr>
        <w:pStyle w:val="Title3LevelTitre3Niveau"/>
        <w:rPr>
          <w:rFonts w:cs="Times New Roman"/>
        </w:rPr>
      </w:pPr>
      <w:bookmarkStart w:id="33" w:name="_Toc396299528"/>
      <w:bookmarkStart w:id="34" w:name="_Toc397586759"/>
      <w:bookmarkStart w:id="35" w:name="_Toc397606999"/>
      <w:bookmarkStart w:id="36" w:name="_Toc404926108"/>
      <w:r w:rsidRPr="00CE21C4">
        <w:rPr>
          <w:rFonts w:cs="Times New Roman"/>
        </w:rPr>
        <w:t>Section 92</w:t>
      </w:r>
      <w:bookmarkEnd w:id="33"/>
      <w:bookmarkEnd w:id="34"/>
      <w:bookmarkEnd w:id="35"/>
      <w:bookmarkEnd w:id="36"/>
    </w:p>
    <w:p w:rsidR="00E35AE4" w:rsidRPr="00CE21C4" w:rsidRDefault="00E35AE4" w:rsidP="00154FA9">
      <w:pPr>
        <w:pStyle w:val="ParaNoNdepar-AltN"/>
        <w:rPr>
          <w:rFonts w:cs="Times New Roman"/>
        </w:rPr>
      </w:pPr>
      <w:r w:rsidRPr="00CE21C4">
        <w:rPr>
          <w:rFonts w:cs="Times New Roman"/>
        </w:rPr>
        <w:t>The Federal Court of Appeal confirmed the Tribunal’s approach that the analysis required under s. 92 of the Act is “necessarily forward-looking” (</w:t>
      </w:r>
      <w:proofErr w:type="spellStart"/>
      <w:r w:rsidRPr="00CE21C4">
        <w:rPr>
          <w:rFonts w:cs="Times New Roman"/>
        </w:rPr>
        <w:t>para</w:t>
      </w:r>
      <w:proofErr w:type="spellEnd"/>
      <w:r w:rsidRPr="00CE21C4">
        <w:rPr>
          <w:rFonts w:cs="Times New Roman"/>
        </w:rPr>
        <w:t>. 87) and therefore the Tribunal was correct in “look[</w:t>
      </w:r>
      <w:proofErr w:type="spellStart"/>
      <w:r w:rsidRPr="00CE21C4">
        <w:rPr>
          <w:rFonts w:cs="Times New Roman"/>
        </w:rPr>
        <w:t>ing</w:t>
      </w:r>
      <w:proofErr w:type="spellEnd"/>
      <w:r w:rsidRPr="00CE21C4">
        <w:rPr>
          <w:rFonts w:cs="Times New Roman"/>
        </w:rPr>
        <w:t>] into the future to ascertain whether the [</w:t>
      </w:r>
      <w:proofErr w:type="spellStart"/>
      <w:r w:rsidRPr="00CE21C4">
        <w:rPr>
          <w:rFonts w:cs="Times New Roman"/>
        </w:rPr>
        <w:t>Babkirk</w:t>
      </w:r>
      <w:proofErr w:type="spellEnd"/>
      <w:r w:rsidRPr="00CE21C4">
        <w:rPr>
          <w:rFonts w:cs="Times New Roman"/>
        </w:rPr>
        <w:t xml:space="preserve"> site entering] the market would have occurred within a reasonable period of time” (</w:t>
      </w:r>
      <w:proofErr w:type="spellStart"/>
      <w:r w:rsidRPr="00CE21C4">
        <w:rPr>
          <w:rFonts w:cs="Times New Roman"/>
        </w:rPr>
        <w:t>para</w:t>
      </w:r>
      <w:proofErr w:type="spellEnd"/>
      <w:r w:rsidRPr="00CE21C4">
        <w:rPr>
          <w:rFonts w:cs="Times New Roman"/>
        </w:rPr>
        <w:t xml:space="preserve">. 88). While recognizing that what constitutes a reasonable period of time will “necessarily vary from case to case and will depend on </w:t>
      </w:r>
      <w:r w:rsidRPr="00CE21C4">
        <w:rPr>
          <w:rFonts w:cs="Times New Roman"/>
        </w:rPr>
        <w:lastRenderedPageBreak/>
        <w:t>the business under consideration” (</w:t>
      </w:r>
      <w:proofErr w:type="spellStart"/>
      <w:r w:rsidRPr="00CE21C4">
        <w:rPr>
          <w:rFonts w:cs="Times New Roman"/>
        </w:rPr>
        <w:t>para</w:t>
      </w:r>
      <w:proofErr w:type="spellEnd"/>
      <w:r w:rsidRPr="00CE21C4">
        <w:rPr>
          <w:rFonts w:cs="Times New Roman"/>
        </w:rPr>
        <w:t>. 89), the court set out two guidelines for determining what constitutes a “reasonable period of time”:</w:t>
      </w:r>
    </w:p>
    <w:p w:rsidR="00E35AE4" w:rsidRPr="00CE21C4" w:rsidRDefault="00E35AE4" w:rsidP="00154FA9">
      <w:pPr>
        <w:pStyle w:val="Citation-AltC"/>
        <w:spacing w:line="480" w:lineRule="auto"/>
        <w:ind w:left="540" w:hanging="540"/>
      </w:pPr>
      <w:r w:rsidRPr="00CE21C4">
        <w:t xml:space="preserve">(1) </w:t>
      </w:r>
      <w:r w:rsidR="002D7C39">
        <w:tab/>
      </w:r>
      <w:r w:rsidR="005C3395">
        <w:t>“</w:t>
      </w:r>
      <w:proofErr w:type="gramStart"/>
      <w:r w:rsidRPr="00CE21C4">
        <w:t>the</w:t>
      </w:r>
      <w:proofErr w:type="gramEnd"/>
      <w:r w:rsidRPr="00CE21C4">
        <w:t xml:space="preserve"> time</w:t>
      </w:r>
      <w:r w:rsidR="005C3395">
        <w:t xml:space="preserve"> </w:t>
      </w:r>
      <w:r w:rsidRPr="00CE21C4">
        <w:t>frame must be discernible</w:t>
      </w:r>
      <w:r w:rsidR="005C3395">
        <w:t>”</w:t>
      </w:r>
      <w:r w:rsidRPr="00CE21C4">
        <w:t xml:space="preserve"> (</w:t>
      </w:r>
      <w:proofErr w:type="spellStart"/>
      <w:r w:rsidRPr="00CE21C4">
        <w:t>para</w:t>
      </w:r>
      <w:proofErr w:type="spellEnd"/>
      <w:r w:rsidRPr="00CE21C4">
        <w:t>. 90), and</w:t>
      </w:r>
    </w:p>
    <w:p w:rsidR="00E35AE4" w:rsidRPr="00CE21C4" w:rsidRDefault="00E35AE4" w:rsidP="00154FA9">
      <w:pPr>
        <w:pStyle w:val="Citation-AltC"/>
        <w:spacing w:line="480" w:lineRule="auto"/>
      </w:pPr>
    </w:p>
    <w:p w:rsidR="00E35AE4" w:rsidRPr="00CE21C4" w:rsidRDefault="002D7C39" w:rsidP="00154FA9">
      <w:pPr>
        <w:pStyle w:val="Citation-AltC"/>
        <w:spacing w:line="480" w:lineRule="auto"/>
        <w:ind w:left="540" w:hanging="540"/>
      </w:pPr>
      <w:r>
        <w:t>(2)</w:t>
      </w:r>
      <w:r>
        <w:tab/>
      </w:r>
      <w:r w:rsidR="00E35AE4" w:rsidRPr="00CE21C4">
        <w:t>“</w:t>
      </w:r>
      <w:proofErr w:type="gramStart"/>
      <w:r w:rsidR="00E35AE4" w:rsidRPr="00CE21C4">
        <w:t>the</w:t>
      </w:r>
      <w:proofErr w:type="gramEnd"/>
      <w:r w:rsidR="00E35AE4" w:rsidRPr="00CE21C4">
        <w:t xml:space="preserve"> time</w:t>
      </w:r>
      <w:r w:rsidR="005C3395">
        <w:t xml:space="preserve"> </w:t>
      </w:r>
      <w:r w:rsidR="00E35AE4" w:rsidRPr="00CE21C4">
        <w:t>frame for market entry should normally fall within the temporal dimension of the barriers to entry into the market at issue” (</w:t>
      </w:r>
      <w:proofErr w:type="spellStart"/>
      <w:r w:rsidR="00E35AE4" w:rsidRPr="00CE21C4">
        <w:t>para</w:t>
      </w:r>
      <w:proofErr w:type="spellEnd"/>
      <w:r w:rsidR="00E35AE4" w:rsidRPr="00CE21C4">
        <w:t>. 91).</w:t>
      </w:r>
    </w:p>
    <w:p w:rsidR="00E35AE4" w:rsidRPr="00CE21C4" w:rsidRDefault="00E35AE4" w:rsidP="00154FA9">
      <w:pPr>
        <w:pStyle w:val="ParaNoNdepar-AltN"/>
        <w:rPr>
          <w:rFonts w:cs="Times New Roman"/>
        </w:rPr>
      </w:pPr>
      <w:r w:rsidRPr="00CE21C4">
        <w:rPr>
          <w:rFonts w:cs="Times New Roman"/>
        </w:rPr>
        <w:t>Applying those guidelines, the Federal Court of Appeal held that the Tribunal “discerned a clear time</w:t>
      </w:r>
      <w:r w:rsidR="005C3395">
        <w:rPr>
          <w:rFonts w:cs="Times New Roman"/>
        </w:rPr>
        <w:t xml:space="preserve"> </w:t>
      </w:r>
      <w:r w:rsidR="002D7C39">
        <w:rPr>
          <w:rFonts w:cs="Times New Roman"/>
        </w:rPr>
        <w:t xml:space="preserve">frame under which the </w:t>
      </w:r>
      <w:proofErr w:type="spellStart"/>
      <w:r w:rsidR="002D7C39">
        <w:rPr>
          <w:rFonts w:cs="Times New Roman"/>
        </w:rPr>
        <w:t>Babkirk</w:t>
      </w:r>
      <w:proofErr w:type="spellEnd"/>
      <w:r w:rsidR="002D7C39">
        <w:rPr>
          <w:rFonts w:cs="Times New Roman"/>
        </w:rPr>
        <w:t xml:space="preserve"> s</w:t>
      </w:r>
      <w:r w:rsidRPr="00CE21C4">
        <w:rPr>
          <w:rFonts w:cs="Times New Roman"/>
        </w:rPr>
        <w:t>ite would enter the market for secure landfills” (</w:t>
      </w:r>
      <w:proofErr w:type="spellStart"/>
      <w:r w:rsidRPr="00CE21C4">
        <w:rPr>
          <w:rFonts w:cs="Times New Roman"/>
        </w:rPr>
        <w:t>para</w:t>
      </w:r>
      <w:proofErr w:type="spellEnd"/>
      <w:r w:rsidRPr="00CE21C4">
        <w:rPr>
          <w:rFonts w:cs="Times New Roman"/>
        </w:rPr>
        <w:t>. 92) and that this discernible timeframe “was also well within the temporal framework of the barriers to market entry” (</w:t>
      </w:r>
      <w:proofErr w:type="spellStart"/>
      <w:r w:rsidRPr="00CE21C4">
        <w:rPr>
          <w:rFonts w:cs="Times New Roman"/>
        </w:rPr>
        <w:t>para</w:t>
      </w:r>
      <w:proofErr w:type="spellEnd"/>
      <w:r w:rsidRPr="00CE21C4">
        <w:rPr>
          <w:rFonts w:cs="Times New Roman"/>
        </w:rPr>
        <w:t xml:space="preserve">. 94). </w:t>
      </w:r>
    </w:p>
    <w:p w:rsidR="00E35AE4" w:rsidRPr="00CE21C4" w:rsidRDefault="00E35AE4" w:rsidP="00154FA9">
      <w:pPr>
        <w:pStyle w:val="ParaNoNdepar-AltN"/>
        <w:rPr>
          <w:rFonts w:cs="Times New Roman"/>
        </w:rPr>
      </w:pPr>
      <w:r w:rsidRPr="00CE21C4">
        <w:rPr>
          <w:rFonts w:cs="Times New Roman"/>
        </w:rPr>
        <w:t>The Federal Court of Appeal upheld the Tribunal’s conclusion that the proposed merger would likely substantially prevent competition.</w:t>
      </w:r>
    </w:p>
    <w:p w:rsidR="00E35AE4" w:rsidRPr="00CE21C4" w:rsidRDefault="00E35AE4" w:rsidP="00154FA9">
      <w:pPr>
        <w:pStyle w:val="Title3LevelTitre3Niveau"/>
        <w:rPr>
          <w:rFonts w:cs="Times New Roman"/>
        </w:rPr>
      </w:pPr>
      <w:bookmarkStart w:id="37" w:name="_Toc396299529"/>
      <w:bookmarkStart w:id="38" w:name="_Toc397586760"/>
      <w:bookmarkStart w:id="39" w:name="_Toc397607000"/>
      <w:bookmarkStart w:id="40" w:name="_Toc404926109"/>
      <w:r w:rsidRPr="00CE21C4">
        <w:rPr>
          <w:rFonts w:cs="Times New Roman"/>
        </w:rPr>
        <w:t>Section 96</w:t>
      </w:r>
      <w:bookmarkEnd w:id="37"/>
      <w:bookmarkEnd w:id="38"/>
      <w:bookmarkEnd w:id="39"/>
      <w:bookmarkEnd w:id="40"/>
    </w:p>
    <w:p w:rsidR="00E35AE4" w:rsidRPr="00CE21C4" w:rsidRDefault="00E35AE4" w:rsidP="00154FA9">
      <w:pPr>
        <w:pStyle w:val="ParaNoNdepar-AltN"/>
        <w:rPr>
          <w:rFonts w:cs="Times New Roman"/>
        </w:rPr>
      </w:pPr>
      <w:r w:rsidRPr="00CE21C4">
        <w:rPr>
          <w:rFonts w:cs="Times New Roman"/>
        </w:rPr>
        <w:t>The Federal Court of Appeal found that the Tribunal had erred in allowing the Commissioner to discharge her burden of proving the quantifiable anti-competitive effects through a reply expert report setting out a “rough estimate” of the deadweight loss arising from the merger (</w:t>
      </w:r>
      <w:proofErr w:type="spellStart"/>
      <w:r w:rsidRPr="00CE21C4">
        <w:rPr>
          <w:rFonts w:cs="Times New Roman"/>
        </w:rPr>
        <w:t>para</w:t>
      </w:r>
      <w:proofErr w:type="spellEnd"/>
      <w:r w:rsidRPr="00CE21C4">
        <w:rPr>
          <w:rFonts w:cs="Times New Roman"/>
        </w:rPr>
        <w:t xml:space="preserve">. 128).  </w:t>
      </w:r>
      <w:proofErr w:type="spellStart"/>
      <w:r w:rsidRPr="00CE21C4">
        <w:rPr>
          <w:rFonts w:cs="Times New Roman"/>
        </w:rPr>
        <w:t>Tervita</w:t>
      </w:r>
      <w:proofErr w:type="spellEnd"/>
      <w:r w:rsidRPr="00CE21C4">
        <w:rPr>
          <w:rFonts w:cs="Times New Roman"/>
        </w:rPr>
        <w:t xml:space="preserve"> had suffered prejudice because the Tribunal had accepted the methodology of the Commissioner’s expert which was “clearly deficient” (</w:t>
      </w:r>
      <w:proofErr w:type="spellStart"/>
      <w:r w:rsidRPr="00CE21C4">
        <w:rPr>
          <w:rFonts w:cs="Times New Roman"/>
        </w:rPr>
        <w:t>para</w:t>
      </w:r>
      <w:proofErr w:type="spellEnd"/>
      <w:r w:rsidRPr="00CE21C4">
        <w:rPr>
          <w:rFonts w:cs="Times New Roman"/>
        </w:rPr>
        <w:t xml:space="preserve">. 124) as the methodology used was not capable of calculating the deadweight loss (paras. 123-25). Although </w:t>
      </w:r>
      <w:proofErr w:type="spellStart"/>
      <w:r w:rsidRPr="00CE21C4">
        <w:rPr>
          <w:rFonts w:cs="Times New Roman"/>
        </w:rPr>
        <w:t>Tervita</w:t>
      </w:r>
      <w:proofErr w:type="spellEnd"/>
      <w:r w:rsidRPr="00CE21C4">
        <w:rPr>
          <w:rFonts w:cs="Times New Roman"/>
        </w:rPr>
        <w:t xml:space="preserve"> has the ultimate </w:t>
      </w:r>
      <w:r w:rsidRPr="00CE21C4">
        <w:rPr>
          <w:rFonts w:cs="Times New Roman"/>
        </w:rPr>
        <w:lastRenderedPageBreak/>
        <w:t>burden of establishing that the efficiency gains are greater than and offset the anti-competitive effects, this “does not relieve the Commissioner of her burden to prove the anti-competitive effects and to quantify those effects where possible” (</w:t>
      </w:r>
      <w:proofErr w:type="spellStart"/>
      <w:r w:rsidRPr="00CE21C4">
        <w:rPr>
          <w:rFonts w:cs="Times New Roman"/>
        </w:rPr>
        <w:t>para</w:t>
      </w:r>
      <w:proofErr w:type="spellEnd"/>
      <w:r w:rsidRPr="00CE21C4">
        <w:rPr>
          <w:rFonts w:cs="Times New Roman"/>
        </w:rPr>
        <w:t xml:space="preserve">. 127).  </w:t>
      </w:r>
    </w:p>
    <w:p w:rsidR="00E35AE4" w:rsidRPr="00CE21C4" w:rsidRDefault="00E35AE4" w:rsidP="00154FA9">
      <w:pPr>
        <w:pStyle w:val="ParaNoNdepar-AltN"/>
        <w:rPr>
          <w:rFonts w:cs="Times New Roman"/>
        </w:rPr>
      </w:pPr>
      <w:r w:rsidRPr="00CE21C4">
        <w:rPr>
          <w:rFonts w:cs="Times New Roman"/>
        </w:rPr>
        <w:t>The Federal Court of Appeal agreed with the Tribunal that to recognize the OIEs would be contrary to the overall scheme of the Act (</w:t>
      </w:r>
      <w:proofErr w:type="spellStart"/>
      <w:r w:rsidRPr="00CE21C4">
        <w:rPr>
          <w:rFonts w:cs="Times New Roman"/>
        </w:rPr>
        <w:t>para</w:t>
      </w:r>
      <w:proofErr w:type="spellEnd"/>
      <w:r w:rsidRPr="00CE21C4">
        <w:rPr>
          <w:rFonts w:cs="Times New Roman"/>
        </w:rPr>
        <w:t xml:space="preserve">. 135).  Further, because </w:t>
      </w:r>
      <w:proofErr w:type="spellStart"/>
      <w:r w:rsidRPr="00CE21C4">
        <w:rPr>
          <w:rFonts w:cs="Times New Roman"/>
        </w:rPr>
        <w:t>Tervita</w:t>
      </w:r>
      <w:proofErr w:type="spellEnd"/>
      <w:r w:rsidRPr="00CE21C4">
        <w:rPr>
          <w:rFonts w:cs="Times New Roman"/>
        </w:rPr>
        <w:t xml:space="preserve"> had still not started to build or operate at the </w:t>
      </w:r>
      <w:proofErr w:type="spellStart"/>
      <w:r w:rsidRPr="00CE21C4">
        <w:rPr>
          <w:rFonts w:cs="Times New Roman"/>
        </w:rPr>
        <w:t>Babkirk</w:t>
      </w:r>
      <w:proofErr w:type="spellEnd"/>
      <w:r w:rsidRPr="00CE21C4">
        <w:rPr>
          <w:rFonts w:cs="Times New Roman"/>
        </w:rPr>
        <w:t xml:space="preserve"> site, those gains had not been and never would be realized (</w:t>
      </w:r>
      <w:proofErr w:type="spellStart"/>
      <w:r w:rsidRPr="00CE21C4">
        <w:rPr>
          <w:rFonts w:cs="Times New Roman"/>
        </w:rPr>
        <w:t>para</w:t>
      </w:r>
      <w:proofErr w:type="spellEnd"/>
      <w:r w:rsidRPr="00CE21C4">
        <w:rPr>
          <w:rFonts w:cs="Times New Roman"/>
        </w:rPr>
        <w:t xml:space="preserve">. 138). </w:t>
      </w:r>
    </w:p>
    <w:p w:rsidR="00E35AE4" w:rsidRPr="00CE21C4" w:rsidRDefault="00E35AE4" w:rsidP="00154FA9">
      <w:pPr>
        <w:pStyle w:val="ParaNoNdepar-AltN"/>
        <w:rPr>
          <w:rFonts w:cs="Times New Roman"/>
        </w:rPr>
      </w:pPr>
      <w:r w:rsidRPr="00CE21C4">
        <w:rPr>
          <w:rFonts w:cs="Times New Roman"/>
        </w:rPr>
        <w:t>Respecting the final balancing under s. 96, the Federal Court of Appeal found that the Tribunal had generally set out the right test (</w:t>
      </w:r>
      <w:proofErr w:type="spellStart"/>
      <w:r w:rsidRPr="00CE21C4">
        <w:rPr>
          <w:rFonts w:cs="Times New Roman"/>
        </w:rPr>
        <w:t>para</w:t>
      </w:r>
      <w:proofErr w:type="spellEnd"/>
      <w:r w:rsidRPr="00CE21C4">
        <w:rPr>
          <w:rFonts w:cs="Times New Roman"/>
        </w:rPr>
        <w:t>. 146), except that its methodology was overly subjective.  Efficiencies and anti-competitive effects should be quantified wherever reasonably possible, and the weight given to unquantifiable qualitative effects must be reasonable (</w:t>
      </w:r>
      <w:proofErr w:type="spellStart"/>
      <w:r w:rsidRPr="00CE21C4">
        <w:rPr>
          <w:rFonts w:cs="Times New Roman"/>
        </w:rPr>
        <w:t>para</w:t>
      </w:r>
      <w:proofErr w:type="spellEnd"/>
      <w:r w:rsidRPr="00CE21C4">
        <w:rPr>
          <w:rFonts w:cs="Times New Roman"/>
        </w:rPr>
        <w:t>. 148). The court held that the Tribunal erred in a number of respects, including considering qualitative environmental effects that were not cognizable under s. 96 (paras. 155-56), double-counting the reduced site clean-up as both a qualitative effect and as part of the deficient deadweight loss analysis (</w:t>
      </w:r>
      <w:proofErr w:type="spellStart"/>
      <w:r w:rsidRPr="00CE21C4">
        <w:rPr>
          <w:rFonts w:cs="Times New Roman"/>
        </w:rPr>
        <w:t>para</w:t>
      </w:r>
      <w:proofErr w:type="spellEnd"/>
      <w:r w:rsidRPr="00CE21C4">
        <w:rPr>
          <w:rFonts w:cs="Times New Roman"/>
        </w:rPr>
        <w:t xml:space="preserve">. 157) and considering </w:t>
      </w:r>
      <w:proofErr w:type="spellStart"/>
      <w:r w:rsidRPr="00CE21C4">
        <w:rPr>
          <w:rFonts w:cs="Times New Roman"/>
        </w:rPr>
        <w:t>Tervita</w:t>
      </w:r>
      <w:proofErr w:type="spellEnd"/>
      <w:r w:rsidRPr="00CE21C4">
        <w:rPr>
          <w:rFonts w:cs="Times New Roman"/>
        </w:rPr>
        <w:t xml:space="preserve"> Corp.’s monopoly as a distinct anti-competitive effect (paras. 159-61).</w:t>
      </w:r>
    </w:p>
    <w:p w:rsidR="00E35AE4" w:rsidRPr="00CE21C4" w:rsidRDefault="00E35AE4" w:rsidP="00154FA9">
      <w:pPr>
        <w:pStyle w:val="ParaNoNdepar-AltN"/>
        <w:rPr>
          <w:rFonts w:cs="Times New Roman"/>
        </w:rPr>
      </w:pPr>
      <w:r w:rsidRPr="00CE21C4">
        <w:rPr>
          <w:rFonts w:cs="Times New Roman"/>
        </w:rPr>
        <w:t xml:space="preserve">In the Federal Court of Appeal’s fresh assessment of the matter, it concluded that the quantitative anti-competitive effects of the merger which were not quantified by the Commissioner should be afforded an “undetermined” weight (paras. 167-68), as opposed to a weight of zero. In this case, the merger only provided marginal gains in efficiency while at the same time strengthening the market </w:t>
      </w:r>
      <w:r w:rsidRPr="00CE21C4">
        <w:rPr>
          <w:rFonts w:cs="Times New Roman"/>
        </w:rPr>
        <w:lastRenderedPageBreak/>
        <w:t>monopoly in the area (</w:t>
      </w:r>
      <w:proofErr w:type="spellStart"/>
      <w:r w:rsidRPr="00CE21C4">
        <w:rPr>
          <w:rFonts w:cs="Times New Roman"/>
        </w:rPr>
        <w:t>para</w:t>
      </w:r>
      <w:proofErr w:type="spellEnd"/>
      <w:r w:rsidRPr="00CE21C4">
        <w:rPr>
          <w:rFonts w:cs="Times New Roman"/>
        </w:rPr>
        <w:t>. 169). The court held that an anti-competitive merger cannot be approved under s. 96 if only marginal or insignificant gains in efficiency result from it (paras. 170-72). In this case, the conclusion was strengthened because “a pre-existing monopoly, such as is the case here, will usually magnify the anti-competitive effects of a merger” (</w:t>
      </w:r>
      <w:proofErr w:type="spellStart"/>
      <w:r w:rsidRPr="00CE21C4">
        <w:rPr>
          <w:rFonts w:cs="Times New Roman"/>
        </w:rPr>
        <w:t>para</w:t>
      </w:r>
      <w:proofErr w:type="spellEnd"/>
      <w:r w:rsidRPr="00CE21C4">
        <w:rPr>
          <w:rFonts w:cs="Times New Roman"/>
        </w:rPr>
        <w:t xml:space="preserve">. 173). </w:t>
      </w:r>
    </w:p>
    <w:p w:rsidR="00E35AE4" w:rsidRPr="00CE21C4" w:rsidRDefault="00E35AE4" w:rsidP="00154FA9">
      <w:pPr>
        <w:pStyle w:val="ParaNoNdepar-AltN"/>
        <w:rPr>
          <w:rFonts w:cs="Times New Roman"/>
        </w:rPr>
      </w:pPr>
      <w:r w:rsidRPr="00CE21C4">
        <w:rPr>
          <w:rFonts w:cs="Times New Roman"/>
        </w:rPr>
        <w:t xml:space="preserve">The Federal Court of Appeal dismissed </w:t>
      </w:r>
      <w:proofErr w:type="spellStart"/>
      <w:r w:rsidRPr="00CE21C4">
        <w:rPr>
          <w:rFonts w:cs="Times New Roman"/>
        </w:rPr>
        <w:t>Tervita’s</w:t>
      </w:r>
      <w:proofErr w:type="spellEnd"/>
      <w:r w:rsidRPr="00CE21C4">
        <w:rPr>
          <w:rFonts w:cs="Times New Roman"/>
        </w:rPr>
        <w:t xml:space="preserve"> appeal.</w:t>
      </w:r>
    </w:p>
    <w:p w:rsidR="00E35AE4" w:rsidRPr="00CE21C4" w:rsidRDefault="00E35AE4" w:rsidP="00154FA9">
      <w:pPr>
        <w:pStyle w:val="Title1LevelTitre1Niveau-AltL"/>
        <w:rPr>
          <w:rFonts w:cs="Times New Roman"/>
        </w:rPr>
      </w:pPr>
      <w:bookmarkStart w:id="41" w:name="_Toc396299530"/>
      <w:bookmarkStart w:id="42" w:name="_Toc397586761"/>
      <w:bookmarkStart w:id="43" w:name="_Toc397607001"/>
      <w:bookmarkStart w:id="44" w:name="_Toc404926110"/>
      <w:r w:rsidRPr="00CE21C4">
        <w:rPr>
          <w:rFonts w:cs="Times New Roman"/>
        </w:rPr>
        <w:t>Issues</w:t>
      </w:r>
      <w:bookmarkEnd w:id="41"/>
      <w:bookmarkEnd w:id="42"/>
      <w:bookmarkEnd w:id="43"/>
      <w:bookmarkEnd w:id="44"/>
    </w:p>
    <w:p w:rsidR="00E35AE4" w:rsidRPr="00CE21C4" w:rsidRDefault="00E35AE4" w:rsidP="00154FA9">
      <w:pPr>
        <w:pStyle w:val="ParaNoNdepar-AltN"/>
        <w:rPr>
          <w:rFonts w:cs="Times New Roman"/>
        </w:rPr>
      </w:pPr>
      <w:r w:rsidRPr="00CE21C4">
        <w:rPr>
          <w:rFonts w:cs="Times New Roman"/>
        </w:rPr>
        <w:t>This appeal raises three issues:</w:t>
      </w:r>
    </w:p>
    <w:p w:rsidR="00E35AE4" w:rsidRPr="00CE21C4" w:rsidRDefault="00E35AE4" w:rsidP="00154FA9">
      <w:pPr>
        <w:pStyle w:val="Citation-AltC"/>
        <w:numPr>
          <w:ilvl w:val="6"/>
          <w:numId w:val="6"/>
        </w:numPr>
        <w:spacing w:line="480" w:lineRule="auto"/>
        <w:ind w:left="720" w:hanging="720"/>
      </w:pPr>
      <w:r w:rsidRPr="00CE21C4">
        <w:t>What is the appropriate standard of review?</w:t>
      </w:r>
    </w:p>
    <w:p w:rsidR="00E35AE4" w:rsidRPr="00CE21C4" w:rsidRDefault="00E35AE4" w:rsidP="00154FA9">
      <w:pPr>
        <w:pStyle w:val="Citation-AltC"/>
        <w:spacing w:line="480" w:lineRule="auto"/>
        <w:ind w:left="1710"/>
      </w:pPr>
    </w:p>
    <w:p w:rsidR="00E35AE4" w:rsidRPr="00CE21C4" w:rsidRDefault="00E35AE4" w:rsidP="00154FA9">
      <w:pPr>
        <w:pStyle w:val="Citation-AltC"/>
        <w:numPr>
          <w:ilvl w:val="6"/>
          <w:numId w:val="6"/>
        </w:numPr>
        <w:spacing w:line="480" w:lineRule="auto"/>
        <w:ind w:left="720" w:hanging="720"/>
      </w:pPr>
      <w:r w:rsidRPr="00CE21C4">
        <w:t xml:space="preserve">What is the proper legal test to determine when a merger gives rise to a substantial prevention of competition under s. 92(1) of the Act? </w:t>
      </w:r>
    </w:p>
    <w:p w:rsidR="00E35AE4" w:rsidRPr="00CE21C4" w:rsidRDefault="00E35AE4" w:rsidP="00154FA9">
      <w:pPr>
        <w:pStyle w:val="Citation-AltC"/>
        <w:spacing w:line="480" w:lineRule="auto"/>
        <w:ind w:left="1710"/>
      </w:pPr>
    </w:p>
    <w:p w:rsidR="00E35AE4" w:rsidRPr="00CE21C4" w:rsidRDefault="00E35AE4" w:rsidP="00154FA9">
      <w:pPr>
        <w:pStyle w:val="Citation-AltC"/>
        <w:numPr>
          <w:ilvl w:val="6"/>
          <w:numId w:val="6"/>
        </w:numPr>
        <w:spacing w:line="480" w:lineRule="auto"/>
        <w:ind w:left="720" w:hanging="720"/>
      </w:pPr>
      <w:r w:rsidRPr="00CE21C4">
        <w:t>What is the proper approach to the efficiencies defence under s. 96 of the Act and, in this respect:</w:t>
      </w:r>
    </w:p>
    <w:p w:rsidR="00E35AE4" w:rsidRPr="00CE21C4" w:rsidRDefault="00E35AE4" w:rsidP="00154FA9">
      <w:pPr>
        <w:pStyle w:val="Citation-AltC"/>
        <w:spacing w:line="480" w:lineRule="auto"/>
        <w:ind w:left="0"/>
      </w:pPr>
    </w:p>
    <w:p w:rsidR="00E35AE4" w:rsidRPr="00CE21C4" w:rsidRDefault="00E35AE4" w:rsidP="00154FA9">
      <w:pPr>
        <w:pStyle w:val="Citation-AltC"/>
        <w:numPr>
          <w:ilvl w:val="7"/>
          <w:numId w:val="6"/>
        </w:numPr>
        <w:spacing w:line="480" w:lineRule="auto"/>
        <w:ind w:left="1440" w:hanging="720"/>
      </w:pPr>
      <w:r w:rsidRPr="00CE21C4">
        <w:t>Can order implementation efficiencies be included as efficiency gains in the balancing analysis?</w:t>
      </w:r>
    </w:p>
    <w:p w:rsidR="00E35AE4" w:rsidRPr="00CE21C4" w:rsidRDefault="00E35AE4" w:rsidP="00154FA9">
      <w:pPr>
        <w:pStyle w:val="Citation-AltC"/>
        <w:spacing w:line="480" w:lineRule="auto"/>
        <w:ind w:left="2160" w:hanging="360"/>
      </w:pPr>
    </w:p>
    <w:p w:rsidR="00E35AE4" w:rsidRPr="00CE21C4" w:rsidRDefault="00E35AE4" w:rsidP="00154FA9">
      <w:pPr>
        <w:pStyle w:val="Citation-AltC"/>
        <w:numPr>
          <w:ilvl w:val="7"/>
          <w:numId w:val="6"/>
        </w:numPr>
        <w:spacing w:line="480" w:lineRule="auto"/>
        <w:ind w:left="1440" w:hanging="720"/>
      </w:pPr>
      <w:r w:rsidRPr="00CE21C4">
        <w:t>What is the proper approach to the requirement that efficiency gains be greater than and offset the anti-competitive effects?</w:t>
      </w:r>
    </w:p>
    <w:p w:rsidR="00E35AE4" w:rsidRPr="00CE21C4" w:rsidRDefault="00E35AE4" w:rsidP="00154FA9">
      <w:pPr>
        <w:pStyle w:val="Title1LevelTitre1Niveau-AltL"/>
        <w:rPr>
          <w:rFonts w:cs="Times New Roman"/>
        </w:rPr>
      </w:pPr>
      <w:bookmarkStart w:id="45" w:name="_Toc396299531"/>
      <w:bookmarkStart w:id="46" w:name="_Toc397586762"/>
      <w:bookmarkStart w:id="47" w:name="_Toc397607002"/>
      <w:bookmarkStart w:id="48" w:name="_Toc404926111"/>
      <w:r w:rsidRPr="00CE21C4">
        <w:rPr>
          <w:rFonts w:cs="Times New Roman"/>
        </w:rPr>
        <w:lastRenderedPageBreak/>
        <w:t>Analysis</w:t>
      </w:r>
      <w:bookmarkEnd w:id="45"/>
      <w:bookmarkEnd w:id="46"/>
      <w:bookmarkEnd w:id="47"/>
      <w:bookmarkEnd w:id="48"/>
    </w:p>
    <w:p w:rsidR="00E35AE4" w:rsidRPr="00CE21C4" w:rsidRDefault="00E35AE4" w:rsidP="00154FA9">
      <w:pPr>
        <w:pStyle w:val="Title2LevelTitre2Niveau"/>
        <w:rPr>
          <w:rFonts w:cs="Times New Roman"/>
        </w:rPr>
      </w:pPr>
      <w:bookmarkStart w:id="49" w:name="_Toc396299532"/>
      <w:bookmarkStart w:id="50" w:name="_Toc397586763"/>
      <w:bookmarkStart w:id="51" w:name="_Toc397607003"/>
      <w:bookmarkStart w:id="52" w:name="_Toc404926112"/>
      <w:bookmarkStart w:id="53" w:name="_Toc396299533"/>
      <w:bookmarkStart w:id="54" w:name="_Toc397586764"/>
      <w:bookmarkStart w:id="55" w:name="_Toc397607004"/>
      <w:r w:rsidRPr="00CE21C4">
        <w:rPr>
          <w:rFonts w:cs="Times New Roman"/>
        </w:rPr>
        <w:t>Standard of Review</w:t>
      </w:r>
      <w:bookmarkEnd w:id="49"/>
      <w:bookmarkEnd w:id="50"/>
      <w:bookmarkEnd w:id="51"/>
      <w:bookmarkEnd w:id="52"/>
    </w:p>
    <w:p w:rsidR="00E35AE4" w:rsidRPr="00CE21C4" w:rsidRDefault="00E35AE4" w:rsidP="00154FA9">
      <w:pPr>
        <w:pStyle w:val="ParaNoNdepar-AltN"/>
        <w:rPr>
          <w:rFonts w:cs="Times New Roman"/>
        </w:rPr>
      </w:pPr>
      <w:r w:rsidRPr="00CE21C4">
        <w:rPr>
          <w:rFonts w:cs="Times New Roman"/>
        </w:rPr>
        <w:t xml:space="preserve">The parties agree that the Federal Court of Appeal properly applied a correctness standard of review to the Tribunal’s determinations of questions of law. I agree that correctness is the applicable standard in this case. </w:t>
      </w:r>
    </w:p>
    <w:p w:rsidR="00E35AE4" w:rsidRPr="00CE21C4" w:rsidRDefault="00E35AE4" w:rsidP="00154FA9">
      <w:pPr>
        <w:pStyle w:val="ParaNoNdepar-AltN"/>
        <w:rPr>
          <w:rFonts w:cs="Times New Roman"/>
        </w:rPr>
      </w:pPr>
      <w:r w:rsidRPr="00CE21C4">
        <w:rPr>
          <w:rFonts w:cs="Times New Roman"/>
        </w:rPr>
        <w:t>The questions at issue are questions of law arising under the Tribunal’s home statute and therefore a standard of reasonableness presumptively applies (</w:t>
      </w:r>
      <w:r w:rsidRPr="00CE21C4">
        <w:rPr>
          <w:rFonts w:cs="Times New Roman"/>
          <w:i/>
        </w:rPr>
        <w:t>Dunsmuir</w:t>
      </w:r>
      <w:r w:rsidRPr="00CE21C4">
        <w:rPr>
          <w:rFonts w:cs="Times New Roman"/>
        </w:rPr>
        <w:t xml:space="preserve"> </w:t>
      </w:r>
      <w:r w:rsidRPr="00CE21C4">
        <w:rPr>
          <w:rFonts w:cs="Times New Roman"/>
          <w:i/>
        </w:rPr>
        <w:t>v. New Brunswick</w:t>
      </w:r>
      <w:r w:rsidRPr="00CE21C4">
        <w:rPr>
          <w:rFonts w:cs="Times New Roman"/>
        </w:rPr>
        <w:t xml:space="preserve">, 2008 SCC 9, [2008] 1 S.C.R. 190, at </w:t>
      </w:r>
      <w:proofErr w:type="spellStart"/>
      <w:r w:rsidRPr="00CE21C4">
        <w:rPr>
          <w:rFonts w:cs="Times New Roman"/>
        </w:rPr>
        <w:t>para</w:t>
      </w:r>
      <w:proofErr w:type="spellEnd"/>
      <w:r w:rsidRPr="00CE21C4">
        <w:rPr>
          <w:rFonts w:cs="Times New Roman"/>
        </w:rPr>
        <w:t xml:space="preserve">. 54; </w:t>
      </w:r>
      <w:r w:rsidRPr="00CE21C4">
        <w:rPr>
          <w:rFonts w:cs="Times New Roman"/>
          <w:i/>
        </w:rPr>
        <w:t>Smith v. Alliance Pipeline Ltd.</w:t>
      </w:r>
      <w:r w:rsidRPr="00CE21C4">
        <w:rPr>
          <w:rFonts w:cs="Times New Roman"/>
        </w:rPr>
        <w:t xml:space="preserve">, 2011 SCC 7, [2011] 1 S.C.R. 160, at </w:t>
      </w:r>
      <w:proofErr w:type="spellStart"/>
      <w:r w:rsidRPr="00CE21C4">
        <w:rPr>
          <w:rFonts w:cs="Times New Roman"/>
        </w:rPr>
        <w:t>para</w:t>
      </w:r>
      <w:proofErr w:type="spellEnd"/>
      <w:r w:rsidRPr="00CE21C4">
        <w:rPr>
          <w:rFonts w:cs="Times New Roman"/>
        </w:rPr>
        <w:t xml:space="preserve">. 28, </w:t>
      </w:r>
      <w:r w:rsidRPr="002D7C39">
        <w:rPr>
          <w:rFonts w:cs="Times New Roman"/>
        </w:rPr>
        <w:t xml:space="preserve">per </w:t>
      </w:r>
      <w:r w:rsidRPr="00CE21C4">
        <w:rPr>
          <w:rFonts w:cs="Times New Roman"/>
        </w:rPr>
        <w:t xml:space="preserve">Fish J.; </w:t>
      </w:r>
      <w:r w:rsidRPr="00CE21C4">
        <w:rPr>
          <w:rFonts w:cs="Times New Roman"/>
          <w:i/>
        </w:rPr>
        <w:t>Alberta (Information and Privacy Commissioner) v. Alberta Teachers’ Association</w:t>
      </w:r>
      <w:r w:rsidRPr="00CE21C4">
        <w:rPr>
          <w:rFonts w:cs="Times New Roman"/>
        </w:rPr>
        <w:t xml:space="preserve">, 2011 SCC 61, [2011] 3 S.C.R. 654, at </w:t>
      </w:r>
      <w:proofErr w:type="spellStart"/>
      <w:r w:rsidRPr="00CE21C4">
        <w:rPr>
          <w:rFonts w:cs="Times New Roman"/>
        </w:rPr>
        <w:t>para</w:t>
      </w:r>
      <w:proofErr w:type="spellEnd"/>
      <w:r w:rsidRPr="00CE21C4">
        <w:rPr>
          <w:rFonts w:cs="Times New Roman"/>
        </w:rPr>
        <w:t xml:space="preserve">. 30). However, the presumption of reasonableness is rebutted in this case. </w:t>
      </w:r>
    </w:p>
    <w:p w:rsidR="00E35AE4" w:rsidRPr="00CE21C4" w:rsidRDefault="00E35AE4" w:rsidP="00154FA9">
      <w:pPr>
        <w:pStyle w:val="ParaNoNdepar-AltN"/>
        <w:rPr>
          <w:rFonts w:cs="Times New Roman"/>
        </w:rPr>
      </w:pPr>
      <w:r w:rsidRPr="00CE21C4">
        <w:rPr>
          <w:rFonts w:cs="Times New Roman"/>
        </w:rPr>
        <w:t>A decision or order of the Tribunal on a question of law is appealable as of right as if “it were a judgment of the Federal Court” with the proviso that leave is required for appeals on questions of fact (</w:t>
      </w:r>
      <w:r w:rsidRPr="00CE21C4">
        <w:rPr>
          <w:rFonts w:cs="Times New Roman"/>
          <w:i/>
        </w:rPr>
        <w:t>Competition Tribunal Act</w:t>
      </w:r>
      <w:r w:rsidRPr="00CE21C4">
        <w:rPr>
          <w:rFonts w:cs="Times New Roman"/>
        </w:rPr>
        <w:t xml:space="preserve">, R.S.C. 1985, c. 19 (2nd Supp.), s. 13(1)). The Federal Court of Appeal has consistently held that questions of law arising from decisions of the Tribunal should be reviewed on a correctness standard (see </w:t>
      </w:r>
      <w:r w:rsidRPr="00CE21C4">
        <w:rPr>
          <w:rFonts w:cs="Times New Roman"/>
          <w:i/>
        </w:rPr>
        <w:t>Canada (Commissioner of Competition) v. Superior Propane Inc.</w:t>
      </w:r>
      <w:r w:rsidRPr="00CE21C4">
        <w:rPr>
          <w:rFonts w:cs="Times New Roman"/>
        </w:rPr>
        <w:t>, 2001 FCA 104, [2001] 3 F.C. 185 (“</w:t>
      </w:r>
      <w:r w:rsidRPr="00CE21C4">
        <w:rPr>
          <w:rFonts w:cs="Times New Roman"/>
          <w:i/>
        </w:rPr>
        <w:t>Superior Propane II</w:t>
      </w:r>
      <w:r w:rsidRPr="00CE21C4">
        <w:rPr>
          <w:rFonts w:cs="Times New Roman"/>
        </w:rPr>
        <w:t xml:space="preserve">”), at paras. 59-91; </w:t>
      </w:r>
      <w:r w:rsidRPr="002D7C39">
        <w:rPr>
          <w:rFonts w:cs="Times New Roman"/>
        </w:rPr>
        <w:t>see also</w:t>
      </w:r>
      <w:r w:rsidRPr="00CE21C4">
        <w:rPr>
          <w:rFonts w:cs="Times New Roman"/>
          <w:i/>
        </w:rPr>
        <w:t xml:space="preserve"> Air Canada v. Canada (Commissioner of Competition)</w:t>
      </w:r>
      <w:r w:rsidRPr="00CE21C4">
        <w:rPr>
          <w:rFonts w:cs="Times New Roman"/>
        </w:rPr>
        <w:t xml:space="preserve">, 2002 FCA 121, [2002] 4 F.C. 598, at </w:t>
      </w:r>
      <w:proofErr w:type="spellStart"/>
      <w:r w:rsidRPr="00CE21C4">
        <w:rPr>
          <w:rFonts w:cs="Times New Roman"/>
        </w:rPr>
        <w:t>para</w:t>
      </w:r>
      <w:proofErr w:type="spellEnd"/>
      <w:r w:rsidRPr="00CE21C4">
        <w:rPr>
          <w:rFonts w:cs="Times New Roman"/>
        </w:rPr>
        <w:t xml:space="preserve">. 43; </w:t>
      </w:r>
      <w:r w:rsidRPr="00CE21C4">
        <w:rPr>
          <w:rFonts w:cs="Times New Roman"/>
          <w:i/>
        </w:rPr>
        <w:t xml:space="preserve">Canada (Commissioner of Competition) v. </w:t>
      </w:r>
      <w:r w:rsidRPr="00CE21C4">
        <w:rPr>
          <w:rFonts w:cs="Times New Roman"/>
          <w:i/>
        </w:rPr>
        <w:lastRenderedPageBreak/>
        <w:t>Canada Pipe Co.</w:t>
      </w:r>
      <w:r w:rsidRPr="00CE21C4">
        <w:rPr>
          <w:rFonts w:cs="Times New Roman"/>
        </w:rPr>
        <w:t xml:space="preserve">, 2006 FCA 233, [2007] 2 F.C.R. 3, at </w:t>
      </w:r>
      <w:proofErr w:type="spellStart"/>
      <w:r w:rsidRPr="00CE21C4">
        <w:rPr>
          <w:rFonts w:cs="Times New Roman"/>
        </w:rPr>
        <w:t>para</w:t>
      </w:r>
      <w:proofErr w:type="spellEnd"/>
      <w:r w:rsidRPr="00CE21C4">
        <w:rPr>
          <w:rFonts w:cs="Times New Roman"/>
        </w:rPr>
        <w:t xml:space="preserve">. 34; </w:t>
      </w:r>
      <w:r w:rsidRPr="00CE21C4">
        <w:rPr>
          <w:rFonts w:cs="Times New Roman"/>
          <w:i/>
        </w:rPr>
        <w:t>Canada (Commissioner of Competition) v. Labatt Brewing Co.</w:t>
      </w:r>
      <w:r w:rsidRPr="00CE21C4">
        <w:rPr>
          <w:rFonts w:cs="Times New Roman"/>
        </w:rPr>
        <w:t xml:space="preserve">, 2008 FCA 22, 64 C.P.R. (4th) 181, at </w:t>
      </w:r>
      <w:proofErr w:type="spellStart"/>
      <w:r w:rsidRPr="00CE21C4">
        <w:rPr>
          <w:rFonts w:cs="Times New Roman"/>
        </w:rPr>
        <w:t>para</w:t>
      </w:r>
      <w:proofErr w:type="spellEnd"/>
      <w:r w:rsidRPr="00CE21C4">
        <w:rPr>
          <w:rFonts w:cs="Times New Roman"/>
        </w:rPr>
        <w:t xml:space="preserve">. 5). </w:t>
      </w:r>
    </w:p>
    <w:p w:rsidR="00E35AE4" w:rsidRPr="00CE21C4" w:rsidRDefault="00E35AE4" w:rsidP="00154FA9">
      <w:pPr>
        <w:pStyle w:val="ParaNoNdepar-AltN"/>
        <w:rPr>
          <w:rFonts w:cs="Times New Roman"/>
        </w:rPr>
      </w:pPr>
      <w:r w:rsidRPr="00CE21C4">
        <w:rPr>
          <w:rFonts w:cs="Times New Roman"/>
        </w:rPr>
        <w:t xml:space="preserve">In finding that the presumption of reasonableness is not rebutted, Justice </w:t>
      </w:r>
      <w:proofErr w:type="spellStart"/>
      <w:r w:rsidRPr="00CE21C4">
        <w:rPr>
          <w:rFonts w:cs="Times New Roman"/>
        </w:rPr>
        <w:t>Abella</w:t>
      </w:r>
      <w:proofErr w:type="spellEnd"/>
      <w:r w:rsidRPr="00CE21C4">
        <w:rPr>
          <w:rFonts w:cs="Times New Roman"/>
        </w:rPr>
        <w:t xml:space="preserve"> acknowledges that the statutory language in the appeal provisions in </w:t>
      </w:r>
      <w:proofErr w:type="spellStart"/>
      <w:r w:rsidRPr="00CE21C4">
        <w:rPr>
          <w:rFonts w:cs="Times New Roman"/>
          <w:i/>
        </w:rPr>
        <w:t>Pezim</w:t>
      </w:r>
      <w:proofErr w:type="spellEnd"/>
      <w:r w:rsidRPr="00CE21C4">
        <w:rPr>
          <w:rFonts w:cs="Times New Roman"/>
          <w:i/>
        </w:rPr>
        <w:t xml:space="preserve"> v. British Columbia (Superintendent of Brokers)</w:t>
      </w:r>
      <w:r w:rsidRPr="00CE21C4">
        <w:rPr>
          <w:rFonts w:cs="Times New Roman"/>
        </w:rPr>
        <w:t>, [1994] 2 S.C.R. 557</w:t>
      </w:r>
      <w:r w:rsidR="002D7C39">
        <w:rPr>
          <w:rFonts w:cs="Times New Roman"/>
        </w:rPr>
        <w:t>;</w:t>
      </w:r>
      <w:r w:rsidRPr="00CE21C4">
        <w:rPr>
          <w:rFonts w:cs="Times New Roman"/>
        </w:rPr>
        <w:t xml:space="preserve"> </w:t>
      </w:r>
      <w:r w:rsidRPr="00CE21C4">
        <w:rPr>
          <w:rFonts w:cs="Times New Roman"/>
          <w:i/>
        </w:rPr>
        <w:t>McLean v. British Columbia (Securities Commission)</w:t>
      </w:r>
      <w:r w:rsidRPr="00CE21C4">
        <w:rPr>
          <w:rFonts w:cs="Times New Roman"/>
        </w:rPr>
        <w:t>, 2</w:t>
      </w:r>
      <w:r w:rsidR="004C6E09">
        <w:rPr>
          <w:rFonts w:cs="Times New Roman"/>
        </w:rPr>
        <w:t>013 SCC 67, [2013] 3 S.C.R. 895;</w:t>
      </w:r>
      <w:r w:rsidRPr="00CE21C4">
        <w:rPr>
          <w:rFonts w:cs="Times New Roman"/>
        </w:rPr>
        <w:t xml:space="preserve"> and </w:t>
      </w:r>
      <w:r w:rsidRPr="00CE21C4">
        <w:rPr>
          <w:rFonts w:cs="Times New Roman"/>
          <w:i/>
        </w:rPr>
        <w:t>Smith</w:t>
      </w:r>
      <w:r w:rsidRPr="00CE21C4">
        <w:rPr>
          <w:rFonts w:cs="Times New Roman"/>
        </w:rPr>
        <w:t xml:space="preserve"> differs from the language at issue here, but is of the opinion that “it is not sufficiently different to undermine the established principle of deference to tribunal expertise in the interpretation of the tribunal’s own statute” (</w:t>
      </w:r>
      <w:proofErr w:type="spellStart"/>
      <w:r w:rsidRPr="00CE21C4">
        <w:rPr>
          <w:rFonts w:cs="Times New Roman"/>
        </w:rPr>
        <w:t>para</w:t>
      </w:r>
      <w:proofErr w:type="spellEnd"/>
      <w:r w:rsidRPr="00CE21C4">
        <w:rPr>
          <w:rFonts w:cs="Times New Roman"/>
        </w:rPr>
        <w:t xml:space="preserve">. 179). </w:t>
      </w:r>
    </w:p>
    <w:p w:rsidR="00E35AE4" w:rsidRPr="00CE21C4" w:rsidRDefault="00E35AE4" w:rsidP="00154FA9">
      <w:pPr>
        <w:pStyle w:val="ParaNoNdepar-AltN"/>
        <w:rPr>
          <w:rFonts w:cs="Times New Roman"/>
        </w:rPr>
      </w:pPr>
      <w:r w:rsidRPr="00CE21C4">
        <w:rPr>
          <w:rFonts w:cs="Times New Roman"/>
        </w:rPr>
        <w:t xml:space="preserve">With respect, the difference in statutory language between the </w:t>
      </w:r>
      <w:r w:rsidRPr="00CE21C4">
        <w:rPr>
          <w:rFonts w:cs="Times New Roman"/>
          <w:i/>
        </w:rPr>
        <w:t>Competition Tribunal Act</w:t>
      </w:r>
      <w:r w:rsidRPr="00CE21C4">
        <w:rPr>
          <w:rFonts w:cs="Times New Roman"/>
        </w:rPr>
        <w:t xml:space="preserve"> and the legislation relied upon by Justice </w:t>
      </w:r>
      <w:proofErr w:type="spellStart"/>
      <w:r w:rsidRPr="00CE21C4">
        <w:rPr>
          <w:rFonts w:cs="Times New Roman"/>
        </w:rPr>
        <w:t>Abella</w:t>
      </w:r>
      <w:proofErr w:type="spellEnd"/>
      <w:r w:rsidRPr="00CE21C4">
        <w:rPr>
          <w:rFonts w:cs="Times New Roman"/>
        </w:rPr>
        <w:t xml:space="preserve"> is significant. The appeal provision at issue in </w:t>
      </w:r>
      <w:proofErr w:type="spellStart"/>
      <w:r w:rsidRPr="00CE21C4">
        <w:rPr>
          <w:rFonts w:cs="Times New Roman"/>
          <w:i/>
          <w:iCs/>
        </w:rPr>
        <w:t>Pezim</w:t>
      </w:r>
      <w:proofErr w:type="spellEnd"/>
      <w:r w:rsidRPr="00CE21C4">
        <w:rPr>
          <w:rFonts w:cs="Times New Roman"/>
        </w:rPr>
        <w:t xml:space="preserve"> and </w:t>
      </w:r>
      <w:r w:rsidRPr="00CE21C4">
        <w:rPr>
          <w:rFonts w:cs="Times New Roman"/>
          <w:i/>
          <w:iCs/>
        </w:rPr>
        <w:t>McLean</w:t>
      </w:r>
      <w:r w:rsidRPr="00CE21C4">
        <w:rPr>
          <w:rFonts w:cs="Times New Roman"/>
        </w:rPr>
        <w:t xml:space="preserve"> provided that individuals affected by decisions of the B.C. Securities Commission “may appeal to the Court of Appeal with leave of a justice of that court” (</w:t>
      </w:r>
      <w:r w:rsidRPr="00CE21C4">
        <w:rPr>
          <w:rFonts w:cs="Times New Roman"/>
          <w:i/>
          <w:iCs/>
          <w:lang w:val="en-GB"/>
        </w:rPr>
        <w:t>Securities Act</w:t>
      </w:r>
      <w:r w:rsidRPr="00CE21C4">
        <w:rPr>
          <w:rFonts w:cs="Times New Roman"/>
          <w:lang w:val="en-GB"/>
        </w:rPr>
        <w:t xml:space="preserve">, S.B.C. 1985, c. 83, s. 149(1), which later became </w:t>
      </w:r>
      <w:r w:rsidRPr="00CE21C4">
        <w:rPr>
          <w:rFonts w:cs="Times New Roman"/>
          <w:i/>
          <w:lang w:val="en-GB"/>
        </w:rPr>
        <w:t>Securities Act</w:t>
      </w:r>
      <w:r w:rsidRPr="00A11312">
        <w:rPr>
          <w:rFonts w:cs="Times New Roman"/>
          <w:lang w:val="en-GB"/>
        </w:rPr>
        <w:t>,</w:t>
      </w:r>
      <w:r w:rsidRPr="00CE21C4">
        <w:rPr>
          <w:rFonts w:cs="Times New Roman"/>
          <w:i/>
          <w:lang w:val="en-GB"/>
        </w:rPr>
        <w:t xml:space="preserve"> </w:t>
      </w:r>
      <w:r w:rsidR="00770A4B" w:rsidRPr="00770A4B">
        <w:rPr>
          <w:rFonts w:cs="Times New Roman"/>
          <w:lang w:val="en-GB"/>
        </w:rPr>
        <w:t>R.</w:t>
      </w:r>
      <w:r w:rsidRPr="00CE21C4">
        <w:rPr>
          <w:rFonts w:cs="Times New Roman"/>
          <w:lang w:val="en-GB"/>
        </w:rPr>
        <w:t xml:space="preserve">S.B.C. 1996, c. 418, s. 167(1)). The appeal provision in </w:t>
      </w:r>
      <w:r w:rsidRPr="00CE21C4">
        <w:rPr>
          <w:rFonts w:cs="Times New Roman"/>
          <w:i/>
          <w:iCs/>
          <w:lang w:val="en-GB"/>
        </w:rPr>
        <w:t>Smith</w:t>
      </w:r>
      <w:r w:rsidRPr="00CE21C4">
        <w:rPr>
          <w:rFonts w:cs="Times New Roman"/>
          <w:lang w:val="en-GB"/>
        </w:rPr>
        <w:t xml:space="preserve"> provided that, under the </w:t>
      </w:r>
      <w:r w:rsidRPr="00CE21C4">
        <w:rPr>
          <w:rFonts w:cs="Times New Roman"/>
          <w:i/>
          <w:iCs/>
          <w:lang w:val="en-GB"/>
        </w:rPr>
        <w:t>National Energy Board Act</w:t>
      </w:r>
      <w:r w:rsidRPr="00CE21C4">
        <w:rPr>
          <w:rFonts w:cs="Times New Roman"/>
          <w:lang w:val="en-GB"/>
        </w:rPr>
        <w:t>, R.S.C. 1985, c. N-7, “[a]</w:t>
      </w:r>
      <w:r w:rsidRPr="00CE21C4">
        <w:rPr>
          <w:rFonts w:cs="Times New Roman"/>
        </w:rPr>
        <w:t xml:space="preserve"> decision, order or direction of an Arbitration Committee may, on a question of law or a question of jurisdiction, be appealed to the Federal Court” (s. 101). By contrast, the </w:t>
      </w:r>
      <w:r w:rsidRPr="00CE21C4">
        <w:rPr>
          <w:rFonts w:cs="Times New Roman"/>
          <w:i/>
          <w:iCs/>
        </w:rPr>
        <w:t>Competition Tribunal Act</w:t>
      </w:r>
      <w:r w:rsidRPr="00CE21C4">
        <w:rPr>
          <w:rFonts w:cs="Times New Roman"/>
        </w:rPr>
        <w:t xml:space="preserve"> provides that “an appeal lies to the Federal Court of Appeal from any decision or order </w:t>
      </w:r>
      <w:r w:rsidR="00154FA9">
        <w:rPr>
          <w:rFonts w:cs="Times New Roman"/>
        </w:rPr>
        <w:t>. . .</w:t>
      </w:r>
      <w:r w:rsidRPr="00CE21C4">
        <w:rPr>
          <w:rFonts w:cs="Times New Roman"/>
        </w:rPr>
        <w:t xml:space="preserve"> of the Tribunal </w:t>
      </w:r>
      <w:r w:rsidRPr="00CE21C4">
        <w:rPr>
          <w:rFonts w:cs="Times New Roman"/>
          <w:iCs/>
          <w:u w:val="single"/>
        </w:rPr>
        <w:t>as if it were a judgment of the Federal Court</w:t>
      </w:r>
      <w:r w:rsidRPr="00CE21C4">
        <w:rPr>
          <w:rFonts w:cs="Times New Roman"/>
        </w:rPr>
        <w:t xml:space="preserve">” (s. 13(1)). </w:t>
      </w:r>
    </w:p>
    <w:p w:rsidR="00E35AE4" w:rsidRPr="00CE21C4" w:rsidRDefault="00E35AE4" w:rsidP="00154FA9">
      <w:pPr>
        <w:pStyle w:val="ParaNoNdepar-AltN"/>
        <w:rPr>
          <w:rFonts w:cs="Times New Roman"/>
        </w:rPr>
      </w:pPr>
      <w:r w:rsidRPr="00CE21C4">
        <w:rPr>
          <w:rFonts w:cs="Times New Roman"/>
        </w:rPr>
        <w:lastRenderedPageBreak/>
        <w:t xml:space="preserve">The statutes at issue in </w:t>
      </w:r>
      <w:proofErr w:type="spellStart"/>
      <w:r w:rsidRPr="00CE21C4">
        <w:rPr>
          <w:rFonts w:cs="Times New Roman"/>
          <w:i/>
          <w:iCs/>
        </w:rPr>
        <w:t>Pezim</w:t>
      </w:r>
      <w:proofErr w:type="spellEnd"/>
      <w:r w:rsidRPr="00CE21C4">
        <w:rPr>
          <w:rFonts w:cs="Times New Roman"/>
        </w:rPr>
        <w:t xml:space="preserve">, </w:t>
      </w:r>
      <w:r w:rsidRPr="00CE21C4">
        <w:rPr>
          <w:rFonts w:cs="Times New Roman"/>
          <w:i/>
          <w:iCs/>
        </w:rPr>
        <w:t>McLean</w:t>
      </w:r>
      <w:r w:rsidRPr="00CE21C4">
        <w:rPr>
          <w:rFonts w:cs="Times New Roman"/>
        </w:rPr>
        <w:t xml:space="preserve">, and </w:t>
      </w:r>
      <w:r w:rsidRPr="00CE21C4">
        <w:rPr>
          <w:rFonts w:cs="Times New Roman"/>
          <w:i/>
          <w:iCs/>
        </w:rPr>
        <w:t>Smith</w:t>
      </w:r>
      <w:r w:rsidRPr="00CE21C4">
        <w:rPr>
          <w:rFonts w:cs="Times New Roman"/>
        </w:rPr>
        <w:t xml:space="preserve"> did not contain statutory language directing that appeals of tribunal decisions were to be considered as though originating from a court and not an administrative source. The appeal provision in the </w:t>
      </w:r>
      <w:r w:rsidRPr="00CE21C4">
        <w:rPr>
          <w:rFonts w:cs="Times New Roman"/>
          <w:i/>
        </w:rPr>
        <w:t>Competition Tribunal Act</w:t>
      </w:r>
      <w:r w:rsidRPr="00CE21C4">
        <w:rPr>
          <w:rFonts w:cs="Times New Roman"/>
        </w:rPr>
        <w:t xml:space="preserve"> evidences a clear Parliamentary intention that decisions of the Tribunal be reviewed on a less than deferential standard, supporting the view that questions of law should be reviewed for correctness and questions of fact and mixed law and fact for reasonableness. The presumption that questions of law arising under the home statute should be reviewed for reasonableness is rebutted here. </w:t>
      </w:r>
    </w:p>
    <w:p w:rsidR="00E35AE4" w:rsidRPr="00CE21C4" w:rsidRDefault="00E35AE4" w:rsidP="00154FA9">
      <w:pPr>
        <w:pStyle w:val="ParaNoNdepar-AltN"/>
        <w:rPr>
          <w:rFonts w:cs="Times New Roman"/>
        </w:rPr>
      </w:pPr>
      <w:r w:rsidRPr="00CE21C4">
        <w:rPr>
          <w:rFonts w:cs="Times New Roman"/>
        </w:rPr>
        <w:t>I also agree with the Federal Court of Appeal that the standard of review for mixed questions of fact and law and questions of fact is reasonableness. Reasonableness is normally the “governing standard” for questions of fact or mixed fact and law (</w:t>
      </w:r>
      <w:r w:rsidRPr="00CE21C4">
        <w:rPr>
          <w:rFonts w:cs="Times New Roman"/>
          <w:i/>
        </w:rPr>
        <w:t>Smith</w:t>
      </w:r>
      <w:r w:rsidRPr="00CE21C4">
        <w:rPr>
          <w:rFonts w:cs="Times New Roman"/>
        </w:rPr>
        <w:t xml:space="preserve">, at </w:t>
      </w:r>
      <w:proofErr w:type="spellStart"/>
      <w:r w:rsidRPr="00CE21C4">
        <w:rPr>
          <w:rFonts w:cs="Times New Roman"/>
        </w:rPr>
        <w:t>para</w:t>
      </w:r>
      <w:proofErr w:type="spellEnd"/>
      <w:r w:rsidRPr="00CE21C4">
        <w:rPr>
          <w:rFonts w:cs="Times New Roman"/>
        </w:rPr>
        <w:t>. 26). In this case, there is nothing to indicate that this presumption should be rebutted.</w:t>
      </w:r>
    </w:p>
    <w:p w:rsidR="00E35AE4" w:rsidRPr="00CE21C4" w:rsidRDefault="00E35AE4" w:rsidP="00154FA9">
      <w:pPr>
        <w:pStyle w:val="Title2LevelTitre2Niveau"/>
        <w:rPr>
          <w:rFonts w:cs="Times New Roman"/>
        </w:rPr>
      </w:pPr>
      <w:bookmarkStart w:id="56" w:name="_Toc404926113"/>
      <w:r w:rsidRPr="00CE21C4">
        <w:rPr>
          <w:rFonts w:cs="Times New Roman"/>
        </w:rPr>
        <w:t xml:space="preserve">Merger Review Analysis Under Section 92 of </w:t>
      </w:r>
      <w:r w:rsidR="002E0FC1">
        <w:rPr>
          <w:rFonts w:cs="Times New Roman"/>
        </w:rPr>
        <w:t xml:space="preserve">the </w:t>
      </w:r>
      <w:r w:rsidRPr="00CE21C4">
        <w:rPr>
          <w:rFonts w:cs="Times New Roman"/>
        </w:rPr>
        <w:t>Act</w:t>
      </w:r>
      <w:bookmarkEnd w:id="53"/>
      <w:bookmarkEnd w:id="54"/>
      <w:bookmarkEnd w:id="55"/>
      <w:bookmarkEnd w:id="56"/>
    </w:p>
    <w:p w:rsidR="00E35AE4" w:rsidRPr="00CE21C4" w:rsidRDefault="00E35AE4" w:rsidP="00154FA9">
      <w:pPr>
        <w:pStyle w:val="ParaNoNdepar-AltN"/>
        <w:rPr>
          <w:rFonts w:cs="Times New Roman"/>
        </w:rPr>
      </w:pPr>
      <w:r w:rsidRPr="00CE21C4">
        <w:rPr>
          <w:rFonts w:cs="Times New Roman"/>
        </w:rPr>
        <w:t>At the outset, it will be helpful to provide a brief overview of the merger review process under the Act.</w:t>
      </w:r>
    </w:p>
    <w:p w:rsidR="00E35AE4" w:rsidRPr="00CE21C4" w:rsidRDefault="00E35AE4" w:rsidP="00154FA9">
      <w:pPr>
        <w:pStyle w:val="Title3LevelTitre3Niveau"/>
        <w:rPr>
          <w:rFonts w:cs="Times New Roman"/>
        </w:rPr>
      </w:pPr>
      <w:bookmarkStart w:id="57" w:name="_Toc396299534"/>
      <w:bookmarkStart w:id="58" w:name="_Toc397586765"/>
      <w:bookmarkStart w:id="59" w:name="_Toc397607005"/>
      <w:bookmarkStart w:id="60" w:name="_Toc404926114"/>
      <w:r w:rsidRPr="00CE21C4">
        <w:rPr>
          <w:rFonts w:cs="Times New Roman"/>
        </w:rPr>
        <w:t>Merger Review: An Overview</w:t>
      </w:r>
      <w:bookmarkEnd w:id="57"/>
      <w:bookmarkEnd w:id="58"/>
      <w:bookmarkEnd w:id="59"/>
      <w:bookmarkEnd w:id="60"/>
    </w:p>
    <w:p w:rsidR="00E35AE4" w:rsidRPr="00CE21C4" w:rsidRDefault="00E35AE4" w:rsidP="00154FA9">
      <w:pPr>
        <w:pStyle w:val="ParaNoNdepar-AltN"/>
        <w:rPr>
          <w:rFonts w:cs="Times New Roman"/>
        </w:rPr>
      </w:pPr>
      <w:r w:rsidRPr="00CE21C4">
        <w:rPr>
          <w:rFonts w:cs="Times New Roman"/>
        </w:rPr>
        <w:t xml:space="preserve">Merger review is conducted under s. 92 of the Act. A merger is “an acquisition of control or a significant interest in all or part of the business of another” </w:t>
      </w:r>
      <w:r w:rsidRPr="00CE21C4">
        <w:rPr>
          <w:rFonts w:cs="Times New Roman"/>
        </w:rPr>
        <w:lastRenderedPageBreak/>
        <w:t xml:space="preserve">(B. A. </w:t>
      </w:r>
      <w:proofErr w:type="spellStart"/>
      <w:r w:rsidRPr="00CE21C4">
        <w:rPr>
          <w:rFonts w:cs="Times New Roman"/>
        </w:rPr>
        <w:t>Facey</w:t>
      </w:r>
      <w:proofErr w:type="spellEnd"/>
      <w:r w:rsidRPr="00CE21C4">
        <w:rPr>
          <w:rFonts w:cs="Times New Roman"/>
        </w:rPr>
        <w:t xml:space="preserve"> and D. H. </w:t>
      </w:r>
      <w:proofErr w:type="spellStart"/>
      <w:r w:rsidRPr="00CE21C4">
        <w:rPr>
          <w:rFonts w:cs="Times New Roman"/>
        </w:rPr>
        <w:t>Assaf</w:t>
      </w:r>
      <w:proofErr w:type="spellEnd"/>
      <w:r w:rsidRPr="00CE21C4">
        <w:rPr>
          <w:rFonts w:cs="Times New Roman"/>
        </w:rPr>
        <w:t xml:space="preserve">, </w:t>
      </w:r>
      <w:r w:rsidRPr="00CE21C4">
        <w:rPr>
          <w:rFonts w:cs="Times New Roman"/>
          <w:i/>
        </w:rPr>
        <w:t>Competition and Antitrust Law: Canada and the United States</w:t>
      </w:r>
      <w:r w:rsidR="005453BE">
        <w:rPr>
          <w:rFonts w:cs="Times New Roman"/>
        </w:rPr>
        <w:t xml:space="preserve"> (4th ed.</w:t>
      </w:r>
      <w:r w:rsidRPr="00CE21C4">
        <w:rPr>
          <w:rFonts w:cs="Times New Roman"/>
        </w:rPr>
        <w:t xml:space="preserve"> 2014), at p. 205). Section 91 of the Act defines merger as follows:</w:t>
      </w:r>
    </w:p>
    <w:p w:rsidR="00E35AE4" w:rsidRPr="00CE21C4" w:rsidRDefault="00E35AE4" w:rsidP="00154FA9">
      <w:pPr>
        <w:pStyle w:val="Citation-AltC"/>
        <w:ind w:firstLine="274"/>
      </w:pPr>
      <w:r w:rsidRPr="00CE21C4">
        <w:rPr>
          <w:b/>
        </w:rPr>
        <w:t xml:space="preserve">91. </w:t>
      </w:r>
      <w:r w:rsidRPr="00CE21C4">
        <w:t>[Definition of “merger”] In sections 92 to 100, “merger” means the acquisition or establishment, direct or indirect, by one or more persons, whether by purchase or lease of shares or assets, by amalgamation or by combination or otherwise, of control over or significant interest in the whole or a part of a business of a competitor, supplier, customer or other person.</w:t>
      </w:r>
    </w:p>
    <w:p w:rsidR="00E35AE4" w:rsidRPr="00CE21C4" w:rsidRDefault="00E35AE4" w:rsidP="00154FA9">
      <w:pPr>
        <w:pStyle w:val="ParaNoNdepar-AltN"/>
        <w:rPr>
          <w:rFonts w:cs="Times New Roman"/>
        </w:rPr>
      </w:pPr>
      <w:r w:rsidRPr="00CE21C4">
        <w:rPr>
          <w:rFonts w:cs="Times New Roman"/>
        </w:rPr>
        <w:t>A merger review is designed to identify those mergers that will have anti-competitive effects (</w:t>
      </w:r>
      <w:proofErr w:type="spellStart"/>
      <w:r w:rsidRPr="00CE21C4">
        <w:rPr>
          <w:rFonts w:cs="Times New Roman"/>
        </w:rPr>
        <w:t>Facey</w:t>
      </w:r>
      <w:proofErr w:type="spellEnd"/>
      <w:r w:rsidRPr="00CE21C4">
        <w:rPr>
          <w:rFonts w:cs="Times New Roman"/>
        </w:rPr>
        <w:t xml:space="preserve"> and </w:t>
      </w:r>
      <w:proofErr w:type="spellStart"/>
      <w:r w:rsidRPr="00CE21C4">
        <w:rPr>
          <w:rFonts w:cs="Times New Roman"/>
        </w:rPr>
        <w:t>Assaf</w:t>
      </w:r>
      <w:proofErr w:type="spellEnd"/>
      <w:r w:rsidRPr="00CE21C4">
        <w:rPr>
          <w:rFonts w:cs="Times New Roman"/>
        </w:rPr>
        <w:t>, at p. 209). Section 92 identifies these anti-competitive effects as either substantially lessening competition or substantially preventing competition. Section 92(1) provides for remedial orders to be made when a merger is found to either lessen or prevent competition substantially.</w:t>
      </w:r>
    </w:p>
    <w:p w:rsidR="00E35AE4" w:rsidRPr="00CE21C4" w:rsidRDefault="00E35AE4" w:rsidP="00154FA9">
      <w:pPr>
        <w:pStyle w:val="ParaNoNdepar-AltN"/>
        <w:rPr>
          <w:rFonts w:cs="Times New Roman"/>
        </w:rPr>
      </w:pPr>
      <w:r w:rsidRPr="00CE21C4">
        <w:rPr>
          <w:rFonts w:cs="Times New Roman"/>
        </w:rPr>
        <w:t xml:space="preserve">Generally, a merger will only be found to meet the “lessen or prevent substantially” standard where it is “likely to create, maintain or enhance the ability of the merged entity to exercise market power, unilaterally or in coordination with other firms” (O. </w:t>
      </w:r>
      <w:proofErr w:type="spellStart"/>
      <w:r w:rsidRPr="00CE21C4">
        <w:rPr>
          <w:rFonts w:cs="Times New Roman"/>
        </w:rPr>
        <w:t>Wakil</w:t>
      </w:r>
      <w:proofErr w:type="spellEnd"/>
      <w:r w:rsidRPr="00CE21C4">
        <w:rPr>
          <w:rFonts w:cs="Times New Roman"/>
        </w:rPr>
        <w:t xml:space="preserve">, </w:t>
      </w:r>
      <w:r w:rsidRPr="00CE21C4">
        <w:rPr>
          <w:rFonts w:cs="Times New Roman"/>
          <w:i/>
        </w:rPr>
        <w:t>The 2014 Annotated Competition Act</w:t>
      </w:r>
      <w:r w:rsidRPr="00CE21C4">
        <w:rPr>
          <w:rFonts w:cs="Times New Roman"/>
        </w:rPr>
        <w:t xml:space="preserve"> (2013), at p. 246). Market power is the ability to “profitably influence price, quality, variety, service, advertising, innovation or other dimensions of competition” (</w:t>
      </w:r>
      <w:r w:rsidRPr="00CE21C4">
        <w:rPr>
          <w:rFonts w:cs="Times New Roman"/>
          <w:i/>
        </w:rPr>
        <w:t>Canada (Commissioner of Competition) v. Canadian Waste Services Holdings Inc.</w:t>
      </w:r>
      <w:r w:rsidR="0084021D">
        <w:rPr>
          <w:rFonts w:cs="Times New Roman"/>
        </w:rPr>
        <w:t xml:space="preserve">, </w:t>
      </w:r>
      <w:r w:rsidRPr="00CE21C4">
        <w:rPr>
          <w:rFonts w:cs="Times New Roman"/>
        </w:rPr>
        <w:t>2001</w:t>
      </w:r>
      <w:r w:rsidR="0084021D">
        <w:rPr>
          <w:rFonts w:cs="Times New Roman"/>
        </w:rPr>
        <w:t xml:space="preserve"> Comp. Trib. 3</w:t>
      </w:r>
      <w:r w:rsidRPr="00CE21C4">
        <w:rPr>
          <w:rFonts w:cs="Times New Roman"/>
        </w:rPr>
        <w:t xml:space="preserve">, 11 C.P.R. (4th) 425, at </w:t>
      </w:r>
      <w:proofErr w:type="spellStart"/>
      <w:r w:rsidRPr="00CE21C4">
        <w:rPr>
          <w:rFonts w:cs="Times New Roman"/>
        </w:rPr>
        <w:t>para</w:t>
      </w:r>
      <w:proofErr w:type="spellEnd"/>
      <w:r w:rsidRPr="00CE21C4">
        <w:rPr>
          <w:rFonts w:cs="Times New Roman"/>
        </w:rPr>
        <w:t xml:space="preserve">. 7, </w:t>
      </w:r>
      <w:proofErr w:type="spellStart"/>
      <w:r w:rsidRPr="00CE21C4">
        <w:rPr>
          <w:rFonts w:cs="Times New Roman"/>
        </w:rPr>
        <w:t>aff’d</w:t>
      </w:r>
      <w:proofErr w:type="spellEnd"/>
      <w:r w:rsidRPr="00CE21C4">
        <w:rPr>
          <w:rFonts w:cs="Times New Roman"/>
        </w:rPr>
        <w:t xml:space="preserve"> 2003 FCA 131, 24 C.P.R. (4th) 178, leave to appeal refused, [2004] 1 S.C.R. vii). Or, in other words, market power is “the ability to maintain prices above the competitive level for a considerable period of time without such action being unprofitable” (</w:t>
      </w:r>
      <w:r w:rsidRPr="00CE21C4">
        <w:rPr>
          <w:rFonts w:cs="Times New Roman"/>
          <w:i/>
        </w:rPr>
        <w:t xml:space="preserve">Canada (Director of Investigation and Research) v. </w:t>
      </w:r>
      <w:proofErr w:type="spellStart"/>
      <w:r w:rsidRPr="00CE21C4">
        <w:rPr>
          <w:rFonts w:cs="Times New Roman"/>
          <w:i/>
        </w:rPr>
        <w:lastRenderedPageBreak/>
        <w:t>Hillsdown</w:t>
      </w:r>
      <w:proofErr w:type="spellEnd"/>
      <w:r w:rsidRPr="00CE21C4">
        <w:rPr>
          <w:rFonts w:cs="Times New Roman"/>
          <w:i/>
        </w:rPr>
        <w:t xml:space="preserve"> Holdings (Canada) Ltd.</w:t>
      </w:r>
      <w:r w:rsidRPr="00CE21C4">
        <w:rPr>
          <w:rFonts w:cs="Times New Roman"/>
        </w:rPr>
        <w:t xml:space="preserve"> (1992), 41 C.P.R. (3d) 289 (Comp. Trib.), at p. 314); where “price” is “generally used as shorthand for all aspects of a firm’s actions that have an impact on buyers” (J. B. Musgrove, J. </w:t>
      </w:r>
      <w:proofErr w:type="spellStart"/>
      <w:r w:rsidRPr="00CE21C4">
        <w:rPr>
          <w:rFonts w:cs="Times New Roman"/>
        </w:rPr>
        <w:t>MacNeil</w:t>
      </w:r>
      <w:proofErr w:type="spellEnd"/>
      <w:r w:rsidRPr="00CE21C4">
        <w:rPr>
          <w:rFonts w:cs="Times New Roman"/>
        </w:rPr>
        <w:t xml:space="preserve"> and M. Osborne, eds., </w:t>
      </w:r>
      <w:r w:rsidRPr="00CE21C4">
        <w:rPr>
          <w:rFonts w:cs="Times New Roman"/>
          <w:i/>
        </w:rPr>
        <w:t>Fundamentals of Canadian Competition Law</w:t>
      </w:r>
      <w:r w:rsidRPr="00CE21C4">
        <w:rPr>
          <w:rFonts w:cs="Times New Roman"/>
        </w:rPr>
        <w:t xml:space="preserve"> (2nd ed. 2010), at p. 29). If a merger does not have or likely have market power effects, s. 92 will not generally be engaged (B. A. </w:t>
      </w:r>
      <w:proofErr w:type="spellStart"/>
      <w:r w:rsidRPr="00CE21C4">
        <w:rPr>
          <w:rFonts w:cs="Times New Roman"/>
        </w:rPr>
        <w:t>Facey</w:t>
      </w:r>
      <w:proofErr w:type="spellEnd"/>
      <w:r w:rsidRPr="00CE21C4">
        <w:rPr>
          <w:rFonts w:cs="Times New Roman"/>
        </w:rPr>
        <w:t xml:space="preserve"> and C. Brown, </w:t>
      </w:r>
      <w:r w:rsidRPr="00CE21C4">
        <w:rPr>
          <w:rFonts w:cs="Times New Roman"/>
          <w:i/>
        </w:rPr>
        <w:t>Competition and Antitrust Laws in Canada: Mergers, Joint Ventures and Competitor Collaborations</w:t>
      </w:r>
      <w:r w:rsidRPr="00CE21C4">
        <w:rPr>
          <w:rFonts w:cs="Times New Roman"/>
        </w:rPr>
        <w:t xml:space="preserve"> (2013), at p. 141). </w:t>
      </w:r>
    </w:p>
    <w:p w:rsidR="00E35AE4" w:rsidRPr="00CE21C4" w:rsidRDefault="00E35AE4" w:rsidP="00154FA9">
      <w:pPr>
        <w:pStyle w:val="ParaNoNdepar-AltN"/>
        <w:rPr>
          <w:rFonts w:cs="Times New Roman"/>
        </w:rPr>
      </w:pPr>
      <w:r w:rsidRPr="00CE21C4">
        <w:rPr>
          <w:rFonts w:cs="Times New Roman"/>
        </w:rPr>
        <w:t>The merger’s likely effect on market power is what determines whether its effect on competition is likely to be “substantial”. Two key components in assessing substantiality under the “lessening” branch are the degree and duration of the exercise of market power (</w:t>
      </w:r>
      <w:proofErr w:type="spellStart"/>
      <w:r w:rsidRPr="00CE21C4">
        <w:rPr>
          <w:rFonts w:cs="Times New Roman"/>
          <w:i/>
        </w:rPr>
        <w:t>Hillsdown</w:t>
      </w:r>
      <w:proofErr w:type="spellEnd"/>
      <w:r w:rsidR="005453BE" w:rsidRPr="005453BE">
        <w:rPr>
          <w:rFonts w:cs="Times New Roman"/>
        </w:rPr>
        <w:t>,</w:t>
      </w:r>
      <w:r w:rsidR="005453BE">
        <w:rPr>
          <w:rFonts w:cs="Times New Roman"/>
          <w:i/>
        </w:rPr>
        <w:t xml:space="preserve"> </w:t>
      </w:r>
      <w:r w:rsidRPr="00CE21C4">
        <w:rPr>
          <w:rFonts w:cs="Times New Roman"/>
        </w:rPr>
        <w:t xml:space="preserve">at pp. 328-29). There is no reason why degree and duration should not also be considered under the “prevention” branch. </w:t>
      </w:r>
    </w:p>
    <w:p w:rsidR="00E35AE4" w:rsidRPr="00CE21C4" w:rsidRDefault="00E35AE4" w:rsidP="00154FA9">
      <w:pPr>
        <w:pStyle w:val="ParaNoNdepar-AltN"/>
        <w:rPr>
          <w:rFonts w:cs="Times New Roman"/>
        </w:rPr>
      </w:pPr>
      <w:r w:rsidRPr="00CE21C4">
        <w:rPr>
          <w:rFonts w:cs="Times New Roman"/>
        </w:rPr>
        <w:t>What constitutes “substantial” will vary from case to case. The Tribunal has not found it useful to apply rigid numerical criteria:</w:t>
      </w:r>
    </w:p>
    <w:p w:rsidR="00E35AE4" w:rsidRPr="00CE21C4" w:rsidRDefault="00E35AE4" w:rsidP="00154FA9">
      <w:pPr>
        <w:pStyle w:val="Citation-AltC"/>
      </w:pPr>
      <w:r w:rsidRPr="00CE21C4">
        <w:t>What will constitute a likely “substantial” lessening will depend on the circumstances of each case</w:t>
      </w:r>
      <w:r w:rsidR="00154FA9">
        <w:t>. . . .</w:t>
      </w:r>
      <w:r w:rsidRPr="00CE21C4">
        <w:t xml:space="preserve">Various tests have been proposed: a likely 5% price rise sustainable for one year; a 5% price rise sustainable over two years; a small but significant and </w:t>
      </w:r>
      <w:r w:rsidR="002E0FC1">
        <w:t>non-transitory price rise. The T</w:t>
      </w:r>
      <w:r w:rsidRPr="00CE21C4">
        <w:t xml:space="preserve">ribunal does not find it useful to apply rigid numerical criteria although these may be useful for enforcement purposes. </w:t>
      </w:r>
    </w:p>
    <w:p w:rsidR="005453BE" w:rsidRDefault="005453BE" w:rsidP="00154FA9">
      <w:pPr>
        <w:pStyle w:val="Citation-AltC"/>
      </w:pPr>
    </w:p>
    <w:p w:rsidR="00E35AE4" w:rsidRPr="00CE21C4" w:rsidRDefault="00E35AE4" w:rsidP="00154FA9">
      <w:pPr>
        <w:pStyle w:val="Citation-AltC"/>
        <w:ind w:left="0"/>
      </w:pPr>
      <w:r w:rsidRPr="00CE21C4">
        <w:t>(</w:t>
      </w:r>
      <w:proofErr w:type="spellStart"/>
      <w:r w:rsidRPr="00CE21C4">
        <w:rPr>
          <w:i/>
        </w:rPr>
        <w:t>Hillsdown</w:t>
      </w:r>
      <w:proofErr w:type="spellEnd"/>
      <w:r w:rsidRPr="00CE21C4">
        <w:rPr>
          <w:i/>
        </w:rPr>
        <w:t xml:space="preserve">, </w:t>
      </w:r>
      <w:r w:rsidRPr="00CE21C4">
        <w:t>at</w:t>
      </w:r>
      <w:r w:rsidRPr="00CE21C4">
        <w:rPr>
          <w:i/>
        </w:rPr>
        <w:t xml:space="preserve"> </w:t>
      </w:r>
      <w:r w:rsidRPr="00CE21C4">
        <w:t>pp. 328-29)</w:t>
      </w:r>
    </w:p>
    <w:p w:rsidR="00E35AE4" w:rsidRPr="00CE21C4" w:rsidRDefault="00E35AE4" w:rsidP="00154FA9">
      <w:pPr>
        <w:pStyle w:val="ParaNoNdepar-AltN"/>
        <w:rPr>
          <w:rFonts w:cs="Times New Roman"/>
        </w:rPr>
      </w:pPr>
      <w:r w:rsidRPr="00CE21C4">
        <w:rPr>
          <w:rFonts w:cs="Times New Roman"/>
        </w:rPr>
        <w:t>If the Tribunal concludes that the merger substantially lessens or prevents or is likely to substantially lessen or prevent competition, the Tribunal is empowered to make a remedial order pursuant to s. 92(1</w:t>
      </w:r>
      <w:proofErr w:type="gramStart"/>
      <w:r w:rsidRPr="00CE21C4">
        <w:rPr>
          <w:rFonts w:cs="Times New Roman"/>
        </w:rPr>
        <w:t>)(</w:t>
      </w:r>
      <w:proofErr w:type="gramEnd"/>
      <w:r w:rsidRPr="00CE21C4">
        <w:rPr>
          <w:rFonts w:cs="Times New Roman"/>
          <w:i/>
        </w:rPr>
        <w:t>e</w:t>
      </w:r>
      <w:r w:rsidRPr="00CE21C4">
        <w:rPr>
          <w:rFonts w:cs="Times New Roman"/>
        </w:rPr>
        <w:t>) and (</w:t>
      </w:r>
      <w:r w:rsidRPr="00CE21C4">
        <w:rPr>
          <w:rFonts w:cs="Times New Roman"/>
          <w:i/>
        </w:rPr>
        <w:t>f</w:t>
      </w:r>
      <w:r w:rsidRPr="00CE21C4">
        <w:rPr>
          <w:rFonts w:cs="Times New Roman"/>
        </w:rPr>
        <w:t xml:space="preserve">). The Tribunal “may prohibit </w:t>
      </w:r>
      <w:r w:rsidRPr="00CE21C4">
        <w:rPr>
          <w:rFonts w:cs="Times New Roman"/>
        </w:rPr>
        <w:lastRenderedPageBreak/>
        <w:t xml:space="preserve">the parties from proceeding with all or part of the merger, or it may order the dissolution of a completed merger or divestiture of assets or shares” (Musgrove, </w:t>
      </w:r>
      <w:proofErr w:type="spellStart"/>
      <w:r w:rsidRPr="00CE21C4">
        <w:rPr>
          <w:rFonts w:cs="Times New Roman"/>
        </w:rPr>
        <w:t>MacNeil</w:t>
      </w:r>
      <w:proofErr w:type="spellEnd"/>
      <w:r w:rsidRPr="00CE21C4">
        <w:rPr>
          <w:rFonts w:cs="Times New Roman"/>
        </w:rPr>
        <w:t xml:space="preserve"> and Osborne, at p. 185). </w:t>
      </w:r>
    </w:p>
    <w:p w:rsidR="00E35AE4" w:rsidRPr="00CE21C4" w:rsidRDefault="00E35AE4" w:rsidP="00154FA9">
      <w:pPr>
        <w:pStyle w:val="ParaNoNdepar-AltN"/>
        <w:rPr>
          <w:rFonts w:cs="Times New Roman"/>
        </w:rPr>
      </w:pPr>
      <w:r w:rsidRPr="00CE21C4">
        <w:rPr>
          <w:rFonts w:cs="Times New Roman"/>
        </w:rPr>
        <w:t xml:space="preserve">The ability to make a remedial order is subject to exceptions (see ss. 94 to 96 of the Act). For the purposes of this appeal, only s. 96, the so-called efficiencies defence, is relevant. After a finding that a merger engages s. 92(1), s. 96 may be invoked by the parties to the merger to preclude </w:t>
      </w:r>
      <w:proofErr w:type="gramStart"/>
      <w:r w:rsidRPr="00CE21C4">
        <w:rPr>
          <w:rFonts w:cs="Times New Roman"/>
        </w:rPr>
        <w:t>a</w:t>
      </w:r>
      <w:proofErr w:type="gramEnd"/>
      <w:r w:rsidRPr="00CE21C4">
        <w:rPr>
          <w:rFonts w:cs="Times New Roman"/>
        </w:rPr>
        <w:t xml:space="preserve"> s. 92 remedial order. Section 96 will preclude such an order if it is found that the merger is likely to bring about efficiencies that are greater than and will offset the anti-competitive effects resulting from the merger. </w:t>
      </w:r>
    </w:p>
    <w:p w:rsidR="00E35AE4" w:rsidRPr="00CE21C4" w:rsidRDefault="00E35AE4" w:rsidP="00154FA9">
      <w:pPr>
        <w:pStyle w:val="Title3LevelTitre3Niveau"/>
        <w:rPr>
          <w:rFonts w:cs="Times New Roman"/>
        </w:rPr>
      </w:pPr>
      <w:bookmarkStart w:id="61" w:name="_Toc396299535"/>
      <w:bookmarkStart w:id="62" w:name="_Toc397586766"/>
      <w:bookmarkStart w:id="63" w:name="_Toc397607006"/>
      <w:bookmarkStart w:id="64" w:name="_Toc404926115"/>
      <w:r w:rsidRPr="00CE21C4">
        <w:rPr>
          <w:rFonts w:cs="Times New Roman"/>
        </w:rPr>
        <w:t>Determining Whether a Substantial Lessening or Prevention Will Likely Occur</w:t>
      </w:r>
      <w:bookmarkEnd w:id="61"/>
      <w:bookmarkEnd w:id="62"/>
      <w:bookmarkEnd w:id="63"/>
      <w:bookmarkEnd w:id="64"/>
    </w:p>
    <w:p w:rsidR="00E35AE4" w:rsidRPr="00CE21C4" w:rsidRDefault="00E35AE4" w:rsidP="00154FA9">
      <w:pPr>
        <w:pStyle w:val="Title4LevelTitre4Niveau"/>
        <w:rPr>
          <w:rFonts w:cs="Times New Roman"/>
        </w:rPr>
      </w:pPr>
      <w:bookmarkStart w:id="65" w:name="_Toc396299536"/>
      <w:bookmarkStart w:id="66" w:name="_Toc397586767"/>
      <w:bookmarkStart w:id="67" w:name="_Toc397607007"/>
      <w:bookmarkStart w:id="68" w:name="_Toc404926116"/>
      <w:r w:rsidRPr="00CE21C4">
        <w:rPr>
          <w:rFonts w:cs="Times New Roman"/>
        </w:rPr>
        <w:t>“But For” Analysis Should Be Used</w:t>
      </w:r>
      <w:bookmarkEnd w:id="65"/>
      <w:bookmarkEnd w:id="66"/>
      <w:bookmarkEnd w:id="67"/>
      <w:bookmarkEnd w:id="68"/>
    </w:p>
    <w:p w:rsidR="00E35AE4" w:rsidRPr="00CE21C4" w:rsidRDefault="00E35AE4" w:rsidP="00154FA9">
      <w:pPr>
        <w:pStyle w:val="ParaNoNdepar-AltN"/>
        <w:rPr>
          <w:rFonts w:cs="Times New Roman"/>
        </w:rPr>
      </w:pPr>
      <w:r w:rsidRPr="00CE21C4">
        <w:rPr>
          <w:rFonts w:cs="Times New Roman"/>
        </w:rPr>
        <w:t xml:space="preserve">The Tribunal, relying on </w:t>
      </w:r>
      <w:r w:rsidRPr="00CE21C4">
        <w:rPr>
          <w:rFonts w:cs="Times New Roman"/>
          <w:i/>
        </w:rPr>
        <w:t>Canada Pipe</w:t>
      </w:r>
      <w:r w:rsidRPr="00CE21C4">
        <w:rPr>
          <w:rFonts w:cs="Times New Roman"/>
        </w:rPr>
        <w:t xml:space="preserve">, used the “but for” test to assess the merger in this case. </w:t>
      </w:r>
    </w:p>
    <w:p w:rsidR="00E35AE4" w:rsidRPr="00CE21C4" w:rsidRDefault="00E35AE4" w:rsidP="00154FA9">
      <w:pPr>
        <w:pStyle w:val="ParaNoNdepar-AltN"/>
        <w:rPr>
          <w:rFonts w:cs="Times New Roman"/>
        </w:rPr>
      </w:pPr>
      <w:r w:rsidRPr="00CE21C4">
        <w:rPr>
          <w:rFonts w:cs="Times New Roman"/>
          <w:i/>
        </w:rPr>
        <w:t>Canada Pipe</w:t>
      </w:r>
      <w:r w:rsidRPr="00CE21C4">
        <w:rPr>
          <w:rFonts w:cs="Times New Roman"/>
        </w:rPr>
        <w:t xml:space="preserve"> was a case involving abuse of dominance under s. 79(1</w:t>
      </w:r>
      <w:proofErr w:type="gramStart"/>
      <w:r w:rsidRPr="00CE21C4">
        <w:rPr>
          <w:rFonts w:cs="Times New Roman"/>
        </w:rPr>
        <w:t>)(</w:t>
      </w:r>
      <w:proofErr w:type="gramEnd"/>
      <w:r w:rsidRPr="00CE21C4">
        <w:rPr>
          <w:rFonts w:cs="Times New Roman"/>
          <w:i/>
        </w:rPr>
        <w:t>c</w:t>
      </w:r>
      <w:r w:rsidRPr="00CE21C4">
        <w:rPr>
          <w:rFonts w:cs="Times New Roman"/>
        </w:rPr>
        <w:t>) of the Act. The words of s. 79(1)(</w:t>
      </w:r>
      <w:r w:rsidRPr="00CE21C4">
        <w:rPr>
          <w:rFonts w:cs="Times New Roman"/>
          <w:i/>
        </w:rPr>
        <w:t>c</w:t>
      </w:r>
      <w:r w:rsidRPr="00CE21C4">
        <w:rPr>
          <w:rFonts w:cs="Times New Roman"/>
        </w:rPr>
        <w:t xml:space="preserve">) — “is having or is likely to have the effect of preventing or lessening competition substantially in a market” — are very close to the words of s. 92(1) — “likely to prevent or lessen” — and convey the same ideas. In </w:t>
      </w:r>
      <w:r w:rsidRPr="00CE21C4">
        <w:rPr>
          <w:rFonts w:cs="Times New Roman"/>
          <w:i/>
        </w:rPr>
        <w:t>Canada Pipe</w:t>
      </w:r>
      <w:r w:rsidRPr="00CE21C4">
        <w:rPr>
          <w:rFonts w:cs="Times New Roman"/>
        </w:rPr>
        <w:t>,</w:t>
      </w:r>
      <w:r w:rsidRPr="00CE21C4">
        <w:rPr>
          <w:rFonts w:cs="Times New Roman"/>
          <w:i/>
        </w:rPr>
        <w:t xml:space="preserve"> </w:t>
      </w:r>
      <w:r w:rsidRPr="00CE21C4">
        <w:rPr>
          <w:rFonts w:cs="Times New Roman"/>
        </w:rPr>
        <w:t>the Federal Court of Appeal employed a “but for” test to conduct the inquiry:</w:t>
      </w:r>
    </w:p>
    <w:p w:rsidR="00E35AE4" w:rsidRPr="00CE21C4" w:rsidRDefault="00154FA9" w:rsidP="00154FA9">
      <w:pPr>
        <w:pStyle w:val="Citation-AltC"/>
      </w:pPr>
      <w:r>
        <w:lastRenderedPageBreak/>
        <w:t>. . .</w:t>
      </w:r>
      <w:r w:rsidR="00E35AE4" w:rsidRPr="00CE21C4">
        <w:t xml:space="preserve"> </w:t>
      </w:r>
      <w:proofErr w:type="gramStart"/>
      <w:r w:rsidR="00E35AE4" w:rsidRPr="00CE21C4">
        <w:t>the</w:t>
      </w:r>
      <w:proofErr w:type="gramEnd"/>
      <w:r w:rsidR="00E35AE4" w:rsidRPr="00CE21C4">
        <w:t xml:space="preserve"> Tribunal must compare the level of competitiveness in the presence of the impugned practice with that which would exist in the absence of the practice, and then determine whether the preventing or lessening of competition, if any, is “substantial”</w:t>
      </w:r>
      <w:r>
        <w:t>. . . .</w:t>
      </w:r>
      <w:r w:rsidR="00E35AE4" w:rsidRPr="00CE21C4">
        <w:t xml:space="preserve"> </w:t>
      </w:r>
    </w:p>
    <w:p w:rsidR="00E35AE4" w:rsidRPr="00CE21C4" w:rsidRDefault="00E35AE4" w:rsidP="00154FA9">
      <w:pPr>
        <w:pStyle w:val="Citation-AltC"/>
      </w:pPr>
    </w:p>
    <w:p w:rsidR="00E35AE4" w:rsidRPr="00CE21C4" w:rsidRDefault="00E35AE4" w:rsidP="00154FA9">
      <w:pPr>
        <w:pStyle w:val="Citation-AltC"/>
        <w:ind w:firstLine="274"/>
      </w:pPr>
      <w:r w:rsidRPr="00CE21C4">
        <w:t>The comparative interpretation described above is in my view equivalent to the “but for” test proposed by the appellant. [</w:t>
      </w:r>
      <w:proofErr w:type="gramStart"/>
      <w:r w:rsidRPr="00CE21C4">
        <w:t>paras</w:t>
      </w:r>
      <w:proofErr w:type="gramEnd"/>
      <w:r w:rsidRPr="00CE21C4">
        <w:t xml:space="preserve">. 37-38] </w:t>
      </w:r>
    </w:p>
    <w:p w:rsidR="00E35AE4" w:rsidRPr="00CE21C4" w:rsidRDefault="00E35AE4" w:rsidP="00154FA9">
      <w:pPr>
        <w:pStyle w:val="Citation-AltC"/>
      </w:pPr>
    </w:p>
    <w:p w:rsidR="00E35AE4" w:rsidRPr="00CE21C4" w:rsidRDefault="00E35AE4" w:rsidP="00154FA9">
      <w:pPr>
        <w:pStyle w:val="ParaNoNdepar-AltN"/>
        <w:rPr>
          <w:rFonts w:cs="Times New Roman"/>
        </w:rPr>
      </w:pPr>
      <w:r w:rsidRPr="00CE21C4">
        <w:rPr>
          <w:rFonts w:cs="Times New Roman"/>
        </w:rPr>
        <w:t>A similar comparative analysis is conducted under s. 92(1). A merger review, by its nature, requires examining a counterfactual scenario: “</w:t>
      </w:r>
      <w:r w:rsidR="00154FA9">
        <w:rPr>
          <w:rFonts w:cs="Times New Roman"/>
        </w:rPr>
        <w:t>. . .</w:t>
      </w:r>
      <w:r w:rsidRPr="00CE21C4">
        <w:rPr>
          <w:rFonts w:cs="Times New Roman"/>
        </w:rPr>
        <w:t xml:space="preserve"> whether the merger will give the merged entity the ability to prevent or lessen competition substantially compared to the pre-merger benchmark or ‘but for’ world” (</w:t>
      </w:r>
      <w:proofErr w:type="spellStart"/>
      <w:r w:rsidRPr="00CE21C4">
        <w:rPr>
          <w:rFonts w:cs="Times New Roman"/>
        </w:rPr>
        <w:t>Facey</w:t>
      </w:r>
      <w:proofErr w:type="spellEnd"/>
      <w:r w:rsidRPr="00CE21C4">
        <w:rPr>
          <w:rFonts w:cs="Times New Roman"/>
        </w:rPr>
        <w:t xml:space="preserve"> and Brown, at p. 205). The “but for” test is the appropriate analytical framework under s. 92. </w:t>
      </w:r>
    </w:p>
    <w:p w:rsidR="00E35AE4" w:rsidRPr="00CE21C4" w:rsidRDefault="00E35AE4" w:rsidP="00154FA9">
      <w:pPr>
        <w:pStyle w:val="Title4LevelTitre4Niveau"/>
        <w:rPr>
          <w:rFonts w:cs="Times New Roman"/>
        </w:rPr>
      </w:pPr>
      <w:bookmarkStart w:id="69" w:name="_Toc396299537"/>
      <w:bookmarkStart w:id="70" w:name="_Toc397586768"/>
      <w:bookmarkStart w:id="71" w:name="_Toc397607008"/>
      <w:bookmarkStart w:id="72" w:name="_Toc404926117"/>
      <w:r w:rsidRPr="00CE21C4">
        <w:rPr>
          <w:rFonts w:cs="Times New Roman"/>
        </w:rPr>
        <w:t>The “But For” Analysis Under Section 92(1) Is Forward-Looking</w:t>
      </w:r>
      <w:bookmarkEnd w:id="69"/>
      <w:bookmarkEnd w:id="70"/>
      <w:bookmarkEnd w:id="71"/>
      <w:bookmarkEnd w:id="72"/>
    </w:p>
    <w:p w:rsidR="00E35AE4" w:rsidRPr="00CE21C4" w:rsidRDefault="00E35AE4" w:rsidP="00154FA9">
      <w:pPr>
        <w:pStyle w:val="ParaNoNdepar-AltN"/>
        <w:rPr>
          <w:rFonts w:cs="Times New Roman"/>
        </w:rPr>
      </w:pPr>
      <w:r w:rsidRPr="00CE21C4">
        <w:rPr>
          <w:rFonts w:cs="Times New Roman"/>
        </w:rPr>
        <w:t>The words of the Act and the nature of the “but for” merger review analysis that must be conducted under s. 92 of the Act require that this analysis be forward-looking.</w:t>
      </w:r>
    </w:p>
    <w:p w:rsidR="00E35AE4" w:rsidRPr="00CE21C4" w:rsidRDefault="00E35AE4" w:rsidP="00154FA9">
      <w:pPr>
        <w:pStyle w:val="ParaNoNdepar-AltN"/>
        <w:rPr>
          <w:rFonts w:cs="Times New Roman"/>
        </w:rPr>
      </w:pPr>
      <w:r w:rsidRPr="00CE21C4">
        <w:rPr>
          <w:rFonts w:cs="Times New Roman"/>
        </w:rPr>
        <w:t xml:space="preserve">The Tribunal must determine whether “a merger or proposed merger prevents or lessens, </w:t>
      </w:r>
      <w:r w:rsidRPr="00CE21C4">
        <w:rPr>
          <w:rFonts w:cs="Times New Roman"/>
          <w:u w:val="single"/>
        </w:rPr>
        <w:t>or is likely to prevent or lessen</w:t>
      </w:r>
      <w:r w:rsidRPr="00CE21C4">
        <w:rPr>
          <w:rFonts w:cs="Times New Roman"/>
        </w:rPr>
        <w:t xml:space="preserve">, competition substantially”. While the tense of the words “prevents or lessens” indicates existing circumstances, the ordinary meaning of “is likely to prevent or lessen” points to events in the future. </w:t>
      </w:r>
      <w:r w:rsidRPr="00CE21C4">
        <w:rPr>
          <w:rFonts w:cs="Times New Roman"/>
          <w:lang w:val="fr-FR"/>
        </w:rPr>
        <w:t xml:space="preserve">To the </w:t>
      </w:r>
      <w:proofErr w:type="spellStart"/>
      <w:r w:rsidRPr="00CE21C4">
        <w:rPr>
          <w:rFonts w:cs="Times New Roman"/>
          <w:lang w:val="fr-FR"/>
        </w:rPr>
        <w:t>same</w:t>
      </w:r>
      <w:proofErr w:type="spellEnd"/>
      <w:r w:rsidRPr="00CE21C4">
        <w:rPr>
          <w:rFonts w:cs="Times New Roman"/>
          <w:lang w:val="fr-FR"/>
        </w:rPr>
        <w:t xml:space="preserve"> </w:t>
      </w:r>
      <w:proofErr w:type="spellStart"/>
      <w:r w:rsidRPr="00CE21C4">
        <w:rPr>
          <w:rFonts w:cs="Times New Roman"/>
          <w:lang w:val="fr-FR"/>
        </w:rPr>
        <w:t>effect</w:t>
      </w:r>
      <w:proofErr w:type="spellEnd"/>
      <w:r w:rsidRPr="00CE21C4">
        <w:rPr>
          <w:rFonts w:cs="Times New Roman"/>
          <w:lang w:val="fr-FR"/>
        </w:rPr>
        <w:t xml:space="preserve">, the French </w:t>
      </w:r>
      <w:proofErr w:type="spellStart"/>
      <w:r w:rsidRPr="00CE21C4">
        <w:rPr>
          <w:rFonts w:cs="Times New Roman"/>
          <w:lang w:val="fr-FR"/>
        </w:rPr>
        <w:t>text</w:t>
      </w:r>
      <w:proofErr w:type="spellEnd"/>
      <w:r w:rsidRPr="00CE21C4">
        <w:rPr>
          <w:rFonts w:cs="Times New Roman"/>
          <w:lang w:val="fr-FR"/>
        </w:rPr>
        <w:t xml:space="preserve"> of s. 92(1) states “</w:t>
      </w:r>
      <w:r w:rsidRPr="00CE21C4">
        <w:rPr>
          <w:rFonts w:cs="Times New Roman"/>
          <w:i/>
          <w:lang w:val="fr-FR"/>
        </w:rPr>
        <w:t xml:space="preserve">qu’un fusionnement réalisé ou proposé empêche ou diminue sensiblement la concurrence, </w:t>
      </w:r>
      <w:r w:rsidRPr="00CE21C4">
        <w:rPr>
          <w:rFonts w:cs="Times New Roman"/>
          <w:i/>
          <w:u w:val="single"/>
          <w:lang w:val="fr-FR"/>
        </w:rPr>
        <w:t>ou aura vraisemblablement cet effet</w:t>
      </w:r>
      <w:r w:rsidRPr="00CE21C4">
        <w:rPr>
          <w:rFonts w:cs="Times New Roman"/>
          <w:lang w:val="fr-FR"/>
        </w:rPr>
        <w:t xml:space="preserve">”. </w:t>
      </w:r>
      <w:r w:rsidRPr="00CE21C4">
        <w:rPr>
          <w:rFonts w:cs="Times New Roman"/>
        </w:rPr>
        <w:t>Both the English and French text allow for a forward-</w:t>
      </w:r>
      <w:r w:rsidRPr="00CE21C4">
        <w:rPr>
          <w:rFonts w:cs="Times New Roman"/>
        </w:rPr>
        <w:lastRenderedPageBreak/>
        <w:t xml:space="preserve">looking analysis. This proposition is not controversial. Both parties to this appeal agree that a forward-looking analysis is appropriate.  </w:t>
      </w:r>
    </w:p>
    <w:p w:rsidR="00E35AE4" w:rsidRPr="00CE21C4" w:rsidRDefault="00E35AE4" w:rsidP="00154FA9">
      <w:pPr>
        <w:pStyle w:val="Title4LevelTitre4Niveau"/>
        <w:rPr>
          <w:rFonts w:cs="Times New Roman"/>
        </w:rPr>
      </w:pPr>
      <w:bookmarkStart w:id="73" w:name="_Toc396299538"/>
      <w:bookmarkStart w:id="74" w:name="_Toc397586769"/>
      <w:bookmarkStart w:id="75" w:name="_Toc397607009"/>
      <w:bookmarkStart w:id="76" w:name="_Toc404926118"/>
      <w:r w:rsidRPr="00CE21C4">
        <w:rPr>
          <w:rFonts w:cs="Times New Roman"/>
        </w:rPr>
        <w:t>Similarities and Differences Between the “Lessening” and “Prevention” Branches of Section 92</w:t>
      </w:r>
      <w:bookmarkEnd w:id="73"/>
      <w:bookmarkEnd w:id="74"/>
      <w:bookmarkEnd w:id="75"/>
      <w:bookmarkEnd w:id="76"/>
    </w:p>
    <w:p w:rsidR="00E35AE4" w:rsidRPr="00CE21C4" w:rsidRDefault="00E35AE4" w:rsidP="00154FA9">
      <w:pPr>
        <w:pStyle w:val="ParaNoNdepar-AltN"/>
        <w:rPr>
          <w:rFonts w:cs="Times New Roman"/>
        </w:rPr>
      </w:pPr>
      <w:r w:rsidRPr="00CE21C4">
        <w:rPr>
          <w:rFonts w:cs="Times New Roman"/>
        </w:rPr>
        <w:t xml:space="preserve">In his concurring reasons at the Tribunal, </w:t>
      </w:r>
      <w:proofErr w:type="spellStart"/>
      <w:r w:rsidRPr="00CE21C4">
        <w:rPr>
          <w:rFonts w:cs="Times New Roman"/>
        </w:rPr>
        <w:t>Crampton</w:t>
      </w:r>
      <w:proofErr w:type="spellEnd"/>
      <w:r w:rsidRPr="00CE21C4">
        <w:rPr>
          <w:rFonts w:cs="Times New Roman"/>
        </w:rPr>
        <w:t xml:space="preserve"> C.J. found that the assessment of a merger review under either the </w:t>
      </w:r>
      <w:r w:rsidR="00111E07">
        <w:rPr>
          <w:rFonts w:cs="Times New Roman"/>
        </w:rPr>
        <w:t>“</w:t>
      </w:r>
      <w:r w:rsidRPr="00CE21C4">
        <w:rPr>
          <w:rFonts w:cs="Times New Roman"/>
        </w:rPr>
        <w:t>prevention</w:t>
      </w:r>
      <w:r w:rsidR="00111E07">
        <w:rPr>
          <w:rFonts w:cs="Times New Roman"/>
        </w:rPr>
        <w:t>”</w:t>
      </w:r>
      <w:r w:rsidRPr="00CE21C4">
        <w:rPr>
          <w:rFonts w:cs="Times New Roman"/>
        </w:rPr>
        <w:t xml:space="preserve"> or “lessening” branch is “essentially the same” (</w:t>
      </w:r>
      <w:proofErr w:type="spellStart"/>
      <w:r w:rsidRPr="00CE21C4">
        <w:rPr>
          <w:rFonts w:cs="Times New Roman"/>
        </w:rPr>
        <w:t>para</w:t>
      </w:r>
      <w:proofErr w:type="spellEnd"/>
      <w:r w:rsidRPr="00CE21C4">
        <w:rPr>
          <w:rFonts w:cs="Times New Roman"/>
        </w:rPr>
        <w:t>. 367). Both focus on “whether the merged entity is likely to be able to exercise materially greater market power than in the absence of the merger” (</w:t>
      </w:r>
      <w:r w:rsidRPr="00CE21C4">
        <w:rPr>
          <w:rFonts w:cs="Times New Roman"/>
          <w:i/>
        </w:rPr>
        <w:t>ibid.</w:t>
      </w:r>
      <w:r w:rsidRPr="00CE21C4">
        <w:rPr>
          <w:rFonts w:cs="Times New Roman"/>
        </w:rPr>
        <w:t>). Under both branches, the lessening or prevention in question must be “substantial” (</w:t>
      </w:r>
      <w:r w:rsidRPr="00CE21C4">
        <w:rPr>
          <w:rFonts w:cs="Times New Roman"/>
          <w:i/>
        </w:rPr>
        <w:t>Canada (Commissioner of Competition) v. Superior Propane Inc.</w:t>
      </w:r>
      <w:r w:rsidR="00ED3826">
        <w:rPr>
          <w:rFonts w:cs="Times New Roman"/>
        </w:rPr>
        <w:t xml:space="preserve">, </w:t>
      </w:r>
      <w:r w:rsidRPr="00CE21C4">
        <w:rPr>
          <w:rFonts w:cs="Times New Roman"/>
        </w:rPr>
        <w:t>2000</w:t>
      </w:r>
      <w:r w:rsidR="00ED3826">
        <w:rPr>
          <w:rFonts w:cs="Times New Roman"/>
        </w:rPr>
        <w:t xml:space="preserve"> Comp. Trib. 15</w:t>
      </w:r>
      <w:r w:rsidRPr="00CE21C4">
        <w:rPr>
          <w:rFonts w:cs="Times New Roman"/>
        </w:rPr>
        <w:t>, 7 C.P.R. (4th) 385 (“</w:t>
      </w:r>
      <w:r w:rsidRPr="00CE21C4">
        <w:rPr>
          <w:rFonts w:cs="Times New Roman"/>
          <w:i/>
        </w:rPr>
        <w:t>Superior Propane I</w:t>
      </w:r>
      <w:r w:rsidRPr="00CE21C4">
        <w:rPr>
          <w:rFonts w:cs="Times New Roman"/>
        </w:rPr>
        <w:t>”), at paras. 246 and 313). And the analysis under both the “lessening” and “prevention” branch</w:t>
      </w:r>
      <w:r w:rsidR="00111E07">
        <w:rPr>
          <w:rFonts w:cs="Times New Roman"/>
        </w:rPr>
        <w:t>es</w:t>
      </w:r>
      <w:r w:rsidRPr="00CE21C4">
        <w:rPr>
          <w:rFonts w:cs="Times New Roman"/>
        </w:rPr>
        <w:t xml:space="preserve"> is forward-looking. </w:t>
      </w:r>
    </w:p>
    <w:p w:rsidR="00E35AE4" w:rsidRPr="00CE21C4" w:rsidRDefault="00E35AE4" w:rsidP="00154FA9">
      <w:pPr>
        <w:pStyle w:val="ParaNoNdepar-AltN"/>
        <w:rPr>
          <w:rFonts w:cs="Times New Roman"/>
        </w:rPr>
      </w:pPr>
      <w:r w:rsidRPr="00CE21C4">
        <w:rPr>
          <w:rFonts w:cs="Times New Roman"/>
        </w:rPr>
        <w:t>However, there are some differences between the two branches. In determining whether competition is substantially lessened, the focus is on whether the merged entity would increase its market power. Under the “prevention” branch</w:t>
      </w:r>
      <w:r w:rsidR="005453BE">
        <w:rPr>
          <w:rFonts w:cs="Times New Roman"/>
        </w:rPr>
        <w:t>,</w:t>
      </w:r>
      <w:r w:rsidRPr="00CE21C4">
        <w:rPr>
          <w:rFonts w:cs="Times New Roman"/>
        </w:rPr>
        <w:t xml:space="preserve"> the focus is on whether the merged entity would retain its existing market power. As explained by Chief Justice </w:t>
      </w:r>
      <w:proofErr w:type="spellStart"/>
      <w:r w:rsidRPr="00CE21C4">
        <w:rPr>
          <w:rFonts w:cs="Times New Roman"/>
        </w:rPr>
        <w:t>Crampton</w:t>
      </w:r>
      <w:proofErr w:type="spellEnd"/>
      <w:r w:rsidRPr="00CE21C4">
        <w:rPr>
          <w:rFonts w:cs="Times New Roman"/>
        </w:rPr>
        <w:t xml:space="preserve"> in his concurring reasons:</w:t>
      </w:r>
    </w:p>
    <w:p w:rsidR="00E35AE4" w:rsidRPr="00CE21C4" w:rsidRDefault="00E35AE4" w:rsidP="00154FA9">
      <w:pPr>
        <w:pStyle w:val="Citation-AltC"/>
        <w:ind w:firstLine="274"/>
      </w:pPr>
      <w:r w:rsidRPr="00CE21C4">
        <w:t xml:space="preserve">In determining whether competition is likely to be </w:t>
      </w:r>
      <w:r w:rsidRPr="00CE21C4">
        <w:rPr>
          <w:i/>
        </w:rPr>
        <w:t>lessened</w:t>
      </w:r>
      <w:r w:rsidRPr="00CE21C4">
        <w:t xml:space="preserve">, the more particular focus of the assessment is upon whether the merger is likely to facilitate the exercise of new or increased market power by the merged entity, acting alone or interdependently with one or more rivals. In determining whether competition is likely to be </w:t>
      </w:r>
      <w:r w:rsidRPr="00CE21C4">
        <w:rPr>
          <w:i/>
        </w:rPr>
        <w:t>prevented</w:t>
      </w:r>
      <w:r w:rsidRPr="00CE21C4">
        <w:t xml:space="preserve">, that more particular focus is upon whether the merger is likely to preserve the existing market power of one or both of the merging parties, by </w:t>
      </w:r>
      <w:r w:rsidRPr="00CE21C4">
        <w:lastRenderedPageBreak/>
        <w:t xml:space="preserve">preventing the erosion of such market power that otherwise likely would have taken place if the merger did not occur. </w:t>
      </w:r>
      <w:proofErr w:type="gramStart"/>
      <w:r w:rsidRPr="00CE21C4">
        <w:t>[Emphasis in original.]</w:t>
      </w:r>
      <w:proofErr w:type="gramEnd"/>
      <w:r w:rsidRPr="00CE21C4">
        <w:t xml:space="preserve"> </w:t>
      </w:r>
    </w:p>
    <w:p w:rsidR="00E35AE4" w:rsidRPr="00CE21C4" w:rsidRDefault="00E35AE4" w:rsidP="00154FA9">
      <w:pPr>
        <w:pStyle w:val="Citation-AltC"/>
      </w:pPr>
    </w:p>
    <w:p w:rsidR="00E35AE4" w:rsidRPr="00CE21C4" w:rsidRDefault="00E35AE4" w:rsidP="00154FA9">
      <w:pPr>
        <w:pStyle w:val="Citation-AltC"/>
        <w:ind w:left="0"/>
      </w:pPr>
      <w:r w:rsidRPr="00CE21C4">
        <w:t xml:space="preserve">(Tribunal decision, at </w:t>
      </w:r>
      <w:proofErr w:type="spellStart"/>
      <w:r w:rsidRPr="00CE21C4">
        <w:t>para</w:t>
      </w:r>
      <w:proofErr w:type="spellEnd"/>
      <w:r w:rsidRPr="00CE21C4">
        <w:t xml:space="preserve">. 368) </w:t>
      </w:r>
    </w:p>
    <w:p w:rsidR="00E35AE4" w:rsidRPr="00CE21C4" w:rsidRDefault="00E35AE4" w:rsidP="00154FA9">
      <w:pPr>
        <w:pStyle w:val="Title2LevelTitre2Niveau"/>
        <w:rPr>
          <w:rFonts w:cs="Times New Roman"/>
        </w:rPr>
      </w:pPr>
      <w:bookmarkStart w:id="77" w:name="_Toc396299539"/>
      <w:bookmarkStart w:id="78" w:name="_Toc397586770"/>
      <w:bookmarkStart w:id="79" w:name="_Toc397607010"/>
      <w:bookmarkStart w:id="80" w:name="_Toc404926119"/>
      <w:r w:rsidRPr="00CE21C4">
        <w:rPr>
          <w:rFonts w:cs="Times New Roman"/>
        </w:rPr>
        <w:t>The “Prevention” Branch of Section 92(1)</w:t>
      </w:r>
      <w:bookmarkEnd w:id="77"/>
      <w:bookmarkEnd w:id="78"/>
      <w:bookmarkEnd w:id="79"/>
      <w:bookmarkEnd w:id="80"/>
    </w:p>
    <w:p w:rsidR="00E35AE4" w:rsidRPr="00CE21C4" w:rsidRDefault="00E35AE4" w:rsidP="00154FA9">
      <w:pPr>
        <w:pStyle w:val="ParaNoNdepar-AltN"/>
        <w:rPr>
          <w:rFonts w:cs="Times New Roman"/>
        </w:rPr>
      </w:pPr>
      <w:r w:rsidRPr="00CE21C4">
        <w:rPr>
          <w:rFonts w:cs="Times New Roman"/>
        </w:rPr>
        <w:t xml:space="preserve">While this Court has had occasion to consider the “lessening” branch of s. 92(1) in </w:t>
      </w:r>
      <w:r w:rsidRPr="00CE21C4">
        <w:rPr>
          <w:rFonts w:cs="Times New Roman"/>
          <w:i/>
        </w:rPr>
        <w:t xml:space="preserve">Canada (Director of Investigation and Research) v. </w:t>
      </w:r>
      <w:proofErr w:type="spellStart"/>
      <w:r w:rsidRPr="00CE21C4">
        <w:rPr>
          <w:rFonts w:cs="Times New Roman"/>
          <w:i/>
        </w:rPr>
        <w:t>Southam</w:t>
      </w:r>
      <w:proofErr w:type="spellEnd"/>
      <w:r w:rsidRPr="00CE21C4">
        <w:rPr>
          <w:rFonts w:cs="Times New Roman"/>
          <w:i/>
        </w:rPr>
        <w:t xml:space="preserve"> Inc.</w:t>
      </w:r>
      <w:r w:rsidRPr="00CE21C4">
        <w:rPr>
          <w:rFonts w:cs="Times New Roman"/>
        </w:rPr>
        <w:t>, [1997] 1 S.C.R. 748,</w:t>
      </w:r>
      <w:r w:rsidRPr="00CE21C4">
        <w:rPr>
          <w:rFonts w:cs="Times New Roman"/>
          <w:i/>
        </w:rPr>
        <w:t xml:space="preserve"> </w:t>
      </w:r>
      <w:r w:rsidRPr="00CE21C4">
        <w:rPr>
          <w:rFonts w:cs="Times New Roman"/>
        </w:rPr>
        <w:t xml:space="preserve">this is the first case in which we have had the opportunity to focus on the “prevention” branch of s. 92(1). </w:t>
      </w:r>
    </w:p>
    <w:p w:rsidR="00E35AE4" w:rsidRPr="00CE21C4" w:rsidRDefault="00E35AE4" w:rsidP="00154FA9">
      <w:pPr>
        <w:pStyle w:val="ParaNoNdepar-AltN"/>
        <w:rPr>
          <w:rFonts w:cs="Times New Roman"/>
        </w:rPr>
      </w:pPr>
      <w:proofErr w:type="spellStart"/>
      <w:r w:rsidRPr="00CE21C4">
        <w:rPr>
          <w:rFonts w:cs="Times New Roman"/>
        </w:rPr>
        <w:t>Tervita</w:t>
      </w:r>
      <w:proofErr w:type="spellEnd"/>
      <w:r w:rsidRPr="00CE21C4">
        <w:rPr>
          <w:rFonts w:cs="Times New Roman"/>
        </w:rPr>
        <w:t xml:space="preserve"> seeks clarity as to the appropriate legal test under the “prevention” branch. In </w:t>
      </w:r>
      <w:proofErr w:type="spellStart"/>
      <w:r w:rsidRPr="00CE21C4">
        <w:rPr>
          <w:rFonts w:cs="Times New Roman"/>
        </w:rPr>
        <w:t>Tervita’s</w:t>
      </w:r>
      <w:proofErr w:type="spellEnd"/>
      <w:r w:rsidRPr="00CE21C4">
        <w:rPr>
          <w:rFonts w:cs="Times New Roman"/>
        </w:rPr>
        <w:t xml:space="preserve"> view, the “Tribunal erred in its application of the legal test for a substantial prevention of competition” (A.F., at </w:t>
      </w:r>
      <w:proofErr w:type="spellStart"/>
      <w:r w:rsidRPr="00CE21C4">
        <w:rPr>
          <w:rFonts w:cs="Times New Roman"/>
        </w:rPr>
        <w:t>para</w:t>
      </w:r>
      <w:proofErr w:type="spellEnd"/>
      <w:r w:rsidRPr="00CE21C4">
        <w:rPr>
          <w:rFonts w:cs="Times New Roman"/>
        </w:rPr>
        <w:t xml:space="preserve">. 59). </w:t>
      </w:r>
      <w:proofErr w:type="spellStart"/>
      <w:r w:rsidRPr="00CE21C4">
        <w:rPr>
          <w:rFonts w:cs="Times New Roman"/>
        </w:rPr>
        <w:t>Tervita</w:t>
      </w:r>
      <w:proofErr w:type="spellEnd"/>
      <w:r w:rsidRPr="00CE21C4">
        <w:rPr>
          <w:rFonts w:cs="Times New Roman"/>
        </w:rPr>
        <w:t xml:space="preserve"> argues that “the Act requires that the Tribunal focus its analysis on the merger under review” (</w:t>
      </w:r>
      <w:r w:rsidRPr="00CE21C4">
        <w:rPr>
          <w:rFonts w:cs="Times New Roman"/>
          <w:i/>
        </w:rPr>
        <w:t>ibid.</w:t>
      </w:r>
      <w:r w:rsidRPr="00CE21C4">
        <w:rPr>
          <w:rFonts w:cs="Times New Roman"/>
        </w:rPr>
        <w:t xml:space="preserve">). </w:t>
      </w:r>
      <w:proofErr w:type="spellStart"/>
      <w:r w:rsidRPr="00CE21C4">
        <w:rPr>
          <w:rFonts w:cs="Times New Roman"/>
        </w:rPr>
        <w:t>Tervita</w:t>
      </w:r>
      <w:proofErr w:type="spellEnd"/>
      <w:r w:rsidRPr="00CE21C4">
        <w:rPr>
          <w:rFonts w:cs="Times New Roman"/>
        </w:rPr>
        <w:t xml:space="preserve"> acknowledges that s. 92 does involve a forward-looking approach, but submits that what should be projected into the future </w:t>
      </w:r>
      <w:proofErr w:type="gramStart"/>
      <w:r w:rsidRPr="00CE21C4">
        <w:rPr>
          <w:rFonts w:cs="Times New Roman"/>
        </w:rPr>
        <w:t>is the merging parties</w:t>
      </w:r>
      <w:proofErr w:type="gramEnd"/>
      <w:r w:rsidRPr="00CE21C4">
        <w:rPr>
          <w:rFonts w:cs="Times New Roman"/>
        </w:rPr>
        <w:t xml:space="preserve"> as they are, with their assets, plans and businesses at the time of the merger. </w:t>
      </w:r>
      <w:proofErr w:type="spellStart"/>
      <w:r w:rsidRPr="00CE21C4">
        <w:rPr>
          <w:rFonts w:cs="Times New Roman"/>
        </w:rPr>
        <w:t>Tervita</w:t>
      </w:r>
      <w:proofErr w:type="spellEnd"/>
      <w:r w:rsidRPr="00CE21C4">
        <w:rPr>
          <w:rFonts w:cs="Times New Roman"/>
        </w:rPr>
        <w:t xml:space="preserve"> argues that the Act does not permit the Tribunal to speculate, as it says it did in this case</w:t>
      </w:r>
      <w:r w:rsidR="001B42AC">
        <w:rPr>
          <w:rFonts w:cs="Times New Roman"/>
        </w:rPr>
        <w:t>,</w:t>
      </w:r>
      <w:r w:rsidRPr="00CE21C4">
        <w:rPr>
          <w:rFonts w:cs="Times New Roman"/>
        </w:rPr>
        <w:t xml:space="preserve"> and that its “fundamental error” is that it focused “not on the merger between </w:t>
      </w:r>
      <w:proofErr w:type="spellStart"/>
      <w:r w:rsidRPr="00CE21C4">
        <w:rPr>
          <w:rFonts w:cs="Times New Roman"/>
        </w:rPr>
        <w:t>Tervita</w:t>
      </w:r>
      <w:proofErr w:type="spellEnd"/>
      <w:r w:rsidRPr="00CE21C4">
        <w:rPr>
          <w:rFonts w:cs="Times New Roman"/>
        </w:rPr>
        <w:t xml:space="preserve"> and [the Vendors], but rather on how competition might have developed looking years into the future” (A.F., at </w:t>
      </w:r>
      <w:proofErr w:type="spellStart"/>
      <w:r w:rsidRPr="00CE21C4">
        <w:rPr>
          <w:rFonts w:cs="Times New Roman"/>
        </w:rPr>
        <w:t>para</w:t>
      </w:r>
      <w:proofErr w:type="spellEnd"/>
      <w:r w:rsidRPr="00CE21C4">
        <w:rPr>
          <w:rFonts w:cs="Times New Roman"/>
        </w:rPr>
        <w:t>. 71).</w:t>
      </w:r>
    </w:p>
    <w:p w:rsidR="00E35AE4" w:rsidRPr="00CE21C4" w:rsidRDefault="00E35AE4" w:rsidP="00154FA9">
      <w:pPr>
        <w:pStyle w:val="ParaNoNdepar-AltN"/>
        <w:rPr>
          <w:rFonts w:cs="Times New Roman"/>
        </w:rPr>
      </w:pPr>
      <w:r w:rsidRPr="00CE21C4">
        <w:rPr>
          <w:rFonts w:cs="Times New Roman"/>
        </w:rPr>
        <w:t xml:space="preserve">My understanding of </w:t>
      </w:r>
      <w:proofErr w:type="spellStart"/>
      <w:r w:rsidRPr="00CE21C4">
        <w:rPr>
          <w:rFonts w:cs="Times New Roman"/>
        </w:rPr>
        <w:t>Tervita’s</w:t>
      </w:r>
      <w:proofErr w:type="spellEnd"/>
      <w:r w:rsidRPr="00CE21C4">
        <w:rPr>
          <w:rFonts w:cs="Times New Roman"/>
        </w:rPr>
        <w:t xml:space="preserve"> argument is that the wording of s. 92 essentially limits the inquiry to whether the </w:t>
      </w:r>
      <w:proofErr w:type="spellStart"/>
      <w:r w:rsidRPr="00CE21C4">
        <w:rPr>
          <w:rFonts w:cs="Times New Roman"/>
        </w:rPr>
        <w:t>Babkirk</w:t>
      </w:r>
      <w:proofErr w:type="spellEnd"/>
      <w:r w:rsidRPr="00CE21C4">
        <w:rPr>
          <w:rFonts w:cs="Times New Roman"/>
        </w:rPr>
        <w:t xml:space="preserve"> site was a viable competitive entrant into the secure landfill market at the time it was acquired by </w:t>
      </w:r>
      <w:proofErr w:type="spellStart"/>
      <w:r w:rsidRPr="00CE21C4">
        <w:rPr>
          <w:rFonts w:cs="Times New Roman"/>
        </w:rPr>
        <w:t>Tervita</w:t>
      </w:r>
      <w:proofErr w:type="spellEnd"/>
      <w:r w:rsidRPr="00CE21C4">
        <w:rPr>
          <w:rFonts w:cs="Times New Roman"/>
        </w:rPr>
        <w:t xml:space="preserve">. That is, </w:t>
      </w:r>
      <w:r w:rsidRPr="00CE21C4">
        <w:rPr>
          <w:rFonts w:cs="Times New Roman"/>
        </w:rPr>
        <w:lastRenderedPageBreak/>
        <w:t xml:space="preserve">in order to establish that the merger is likely to substantially prevent competition, a party to the merger must be a potential competitor based on the assets, plans and businesses of the party at the time of the merger. </w:t>
      </w:r>
    </w:p>
    <w:p w:rsidR="00E35AE4" w:rsidRPr="00CE21C4" w:rsidRDefault="00E35AE4" w:rsidP="00154FA9">
      <w:pPr>
        <w:pStyle w:val="ParaNoNdepar-AltN"/>
        <w:rPr>
          <w:rFonts w:cs="Times New Roman"/>
        </w:rPr>
      </w:pPr>
      <w:r w:rsidRPr="00CE21C4">
        <w:rPr>
          <w:rFonts w:cs="Times New Roman"/>
        </w:rPr>
        <w:t xml:space="preserve">For the reasons that follow, I am unable to agree with </w:t>
      </w:r>
      <w:proofErr w:type="spellStart"/>
      <w:r w:rsidRPr="00CE21C4">
        <w:rPr>
          <w:rFonts w:cs="Times New Roman"/>
        </w:rPr>
        <w:t>Tervita</w:t>
      </w:r>
      <w:proofErr w:type="spellEnd"/>
      <w:r w:rsidRPr="00CE21C4">
        <w:rPr>
          <w:rFonts w:cs="Times New Roman"/>
        </w:rPr>
        <w:t xml:space="preserve">. Rather, I agree with the Commissioner that the wording of s. 92 generally supports the analysis and conclusions of the Tribunal and the Federal Court of Appeal with respect to s. 92. </w:t>
      </w:r>
    </w:p>
    <w:p w:rsidR="00E35AE4" w:rsidRPr="00CE21C4" w:rsidRDefault="00E35AE4" w:rsidP="00154FA9">
      <w:pPr>
        <w:pStyle w:val="Title3LevelTitre3Niveau"/>
        <w:rPr>
          <w:rFonts w:cs="Times New Roman"/>
        </w:rPr>
      </w:pPr>
      <w:bookmarkStart w:id="81" w:name="_Toc396299540"/>
      <w:bookmarkStart w:id="82" w:name="_Toc397586771"/>
      <w:bookmarkStart w:id="83" w:name="_Toc397607011"/>
      <w:bookmarkStart w:id="84" w:name="_Toc404926120"/>
      <w:r w:rsidRPr="00CE21C4">
        <w:rPr>
          <w:rFonts w:cs="Times New Roman"/>
        </w:rPr>
        <w:t>The Law</w:t>
      </w:r>
      <w:bookmarkEnd w:id="81"/>
      <w:bookmarkEnd w:id="82"/>
      <w:bookmarkEnd w:id="83"/>
      <w:bookmarkEnd w:id="84"/>
    </w:p>
    <w:p w:rsidR="00E35AE4" w:rsidRPr="00CE21C4" w:rsidRDefault="00E35AE4" w:rsidP="00154FA9">
      <w:pPr>
        <w:pStyle w:val="ParaNoNdepar-AltN"/>
        <w:rPr>
          <w:rFonts w:cs="Times New Roman"/>
        </w:rPr>
      </w:pPr>
      <w:r w:rsidRPr="00CE21C4">
        <w:rPr>
          <w:rFonts w:cs="Times New Roman"/>
        </w:rPr>
        <w:t xml:space="preserve">The concern under the “prevention” branch of s. 92 is that a firm with market power will use a merger to prevent competition that could otherwise arise in a contestable market. The analysis under this branch requires looking to the “but for” market condition to assess the competitive landscape that would likely exist if there was no merger. It is necessary to identify the potential competitor, assess whether but for the merger that potential competitor is likely to enter the market and determine whether its effect on the market would likely be substantial. </w:t>
      </w:r>
    </w:p>
    <w:p w:rsidR="00E35AE4" w:rsidRPr="00CE21C4" w:rsidRDefault="00E35AE4" w:rsidP="00154FA9">
      <w:pPr>
        <w:pStyle w:val="Title4LevelTitre4Niveau"/>
        <w:rPr>
          <w:rFonts w:cs="Times New Roman"/>
        </w:rPr>
      </w:pPr>
      <w:bookmarkStart w:id="85" w:name="_Toc396299541"/>
      <w:bookmarkStart w:id="86" w:name="_Toc397586772"/>
      <w:bookmarkStart w:id="87" w:name="_Toc397607012"/>
      <w:bookmarkStart w:id="88" w:name="_Toc404926121"/>
      <w:r w:rsidRPr="00CE21C4">
        <w:rPr>
          <w:rFonts w:cs="Times New Roman"/>
        </w:rPr>
        <w:t>Identify the Potential Competitor</w:t>
      </w:r>
      <w:bookmarkEnd w:id="85"/>
      <w:bookmarkEnd w:id="86"/>
      <w:bookmarkEnd w:id="87"/>
      <w:bookmarkEnd w:id="88"/>
    </w:p>
    <w:p w:rsidR="00E35AE4" w:rsidRPr="00CE21C4" w:rsidRDefault="00E35AE4" w:rsidP="00154FA9">
      <w:pPr>
        <w:pStyle w:val="ParaNoNdepar-AltN"/>
        <w:rPr>
          <w:rFonts w:cs="Times New Roman"/>
        </w:rPr>
      </w:pPr>
      <w:r w:rsidRPr="00CE21C4">
        <w:rPr>
          <w:rFonts w:cs="Times New Roman"/>
        </w:rPr>
        <w:t xml:space="preserve">The first step is to identify the firm or firms the merger would prevent from independently entering the market, i.e. identifying the potential competitor. In the competition law jurisprudence “entry” is considered “either the establishment of a new firm in the market whether entirely new to the industry or new to the geographic </w:t>
      </w:r>
      <w:r w:rsidRPr="00CE21C4">
        <w:rPr>
          <w:rFonts w:cs="Times New Roman"/>
        </w:rPr>
        <w:lastRenderedPageBreak/>
        <w:t xml:space="preserve">area </w:t>
      </w:r>
      <w:r w:rsidR="00154FA9">
        <w:rPr>
          <w:rFonts w:cs="Times New Roman"/>
        </w:rPr>
        <w:t>. . .</w:t>
      </w:r>
      <w:r w:rsidRPr="00CE21C4">
        <w:rPr>
          <w:rFonts w:cs="Times New Roman"/>
        </w:rPr>
        <w:t>, or local firms which previously did not offer the product in question commencing to do so” (</w:t>
      </w:r>
      <w:proofErr w:type="spellStart"/>
      <w:r w:rsidRPr="00CE21C4">
        <w:rPr>
          <w:rFonts w:cs="Times New Roman"/>
          <w:i/>
        </w:rPr>
        <w:t>Hillsdown</w:t>
      </w:r>
      <w:proofErr w:type="spellEnd"/>
      <w:r w:rsidRPr="00CE21C4">
        <w:rPr>
          <w:rFonts w:cs="Times New Roman"/>
        </w:rPr>
        <w:t>,</w:t>
      </w:r>
      <w:r w:rsidRPr="00CE21C4">
        <w:rPr>
          <w:rFonts w:cs="Times New Roman"/>
          <w:i/>
        </w:rPr>
        <w:t xml:space="preserve"> </w:t>
      </w:r>
      <w:r w:rsidRPr="00CE21C4">
        <w:rPr>
          <w:rFonts w:cs="Times New Roman"/>
        </w:rPr>
        <w:t xml:space="preserve">at p. 325). </w:t>
      </w:r>
    </w:p>
    <w:p w:rsidR="00E35AE4" w:rsidRPr="00CE21C4" w:rsidRDefault="00E35AE4" w:rsidP="00154FA9">
      <w:pPr>
        <w:pStyle w:val="ParaNoNdepar-AltN"/>
        <w:rPr>
          <w:rFonts w:cs="Times New Roman"/>
        </w:rPr>
      </w:pPr>
      <w:r w:rsidRPr="00CE21C4">
        <w:rPr>
          <w:rFonts w:cs="Times New Roman"/>
        </w:rPr>
        <w:t>Typically, the potential competitor will be one of the merged parties: the acquired firm or the acquiring firm. The potential entry of the acquired firm will be the focus of the analysis when, but for the merger, the acquired firm would likely have entered the relevant market. The potential entry of the acquiring firm will be the focus of the analysis when, but for the merger, the acquiring firm would have entered the relevant market independently or through the acquisition and expansion of a smaller firm, a so-called “toehold” entry.</w:t>
      </w:r>
    </w:p>
    <w:p w:rsidR="00E35AE4" w:rsidRPr="00CE21C4" w:rsidRDefault="00E35AE4" w:rsidP="00154FA9">
      <w:pPr>
        <w:pStyle w:val="ParaNoNdepar-AltN"/>
        <w:rPr>
          <w:rFonts w:cs="Times New Roman"/>
        </w:rPr>
      </w:pPr>
      <w:r w:rsidRPr="00CE21C4">
        <w:rPr>
          <w:rFonts w:cs="Times New Roman"/>
        </w:rPr>
        <w:t xml:space="preserve">I would also not rule out the possibility that, as suggested by Chief Justice </w:t>
      </w:r>
      <w:proofErr w:type="spellStart"/>
      <w:r w:rsidRPr="00CE21C4">
        <w:rPr>
          <w:rFonts w:cs="Times New Roman"/>
        </w:rPr>
        <w:t>Crampton</w:t>
      </w:r>
      <w:proofErr w:type="spellEnd"/>
      <w:r w:rsidRPr="00CE21C4">
        <w:rPr>
          <w:rFonts w:cs="Times New Roman"/>
        </w:rPr>
        <w:t xml:space="preserve"> in his concurring reasons, a likely substantial prevention of competition could stem from the merger preventing “another type of future competition” (</w:t>
      </w:r>
      <w:proofErr w:type="spellStart"/>
      <w:r w:rsidRPr="00CE21C4">
        <w:rPr>
          <w:rFonts w:cs="Times New Roman"/>
        </w:rPr>
        <w:t>para</w:t>
      </w:r>
      <w:proofErr w:type="spellEnd"/>
      <w:r w:rsidRPr="00CE21C4">
        <w:rPr>
          <w:rFonts w:cs="Times New Roman"/>
        </w:rPr>
        <w:t xml:space="preserve">. 386). I interpret this to mean that it is possible that a third party entrant, one not involved in the merger, may be prevented from entering the market as a result of the merger. </w:t>
      </w:r>
    </w:p>
    <w:p w:rsidR="00E35AE4" w:rsidRPr="00CE21C4" w:rsidRDefault="00E35AE4" w:rsidP="00154FA9">
      <w:pPr>
        <w:pStyle w:val="Title4LevelTitre4Niveau"/>
        <w:rPr>
          <w:rFonts w:cs="Times New Roman"/>
        </w:rPr>
      </w:pPr>
      <w:bookmarkStart w:id="89" w:name="_Toc396299542"/>
      <w:bookmarkStart w:id="90" w:name="_Toc397586773"/>
      <w:bookmarkStart w:id="91" w:name="_Toc397607013"/>
      <w:bookmarkStart w:id="92" w:name="_Toc404926122"/>
      <w:r w:rsidRPr="00CE21C4">
        <w:rPr>
          <w:rFonts w:cs="Times New Roman"/>
        </w:rPr>
        <w:t>Examine the “But For” Market Condition</w:t>
      </w:r>
      <w:bookmarkEnd w:id="89"/>
      <w:bookmarkEnd w:id="90"/>
      <w:bookmarkEnd w:id="91"/>
      <w:bookmarkEnd w:id="92"/>
    </w:p>
    <w:p w:rsidR="00E35AE4" w:rsidRPr="00CE21C4" w:rsidRDefault="00E35AE4" w:rsidP="00154FA9">
      <w:pPr>
        <w:pStyle w:val="ParaNoNdepar-AltN"/>
        <w:rPr>
          <w:rFonts w:cs="Times New Roman"/>
        </w:rPr>
      </w:pPr>
      <w:r w:rsidRPr="00CE21C4">
        <w:rPr>
          <w:rFonts w:cs="Times New Roman"/>
        </w:rPr>
        <w:t xml:space="preserve">The second step in determining whether a merger engages the “prevention” branch is to examine the “but for” market condition to see if, absent the merger, the potential competitor (usually one of the merging parties) would have likely entered the market and if so whether that entry would have decreased the market power of the acquiring firm. If the independent entry has no effect on the </w:t>
      </w:r>
      <w:r w:rsidRPr="00CE21C4">
        <w:rPr>
          <w:rFonts w:cs="Times New Roman"/>
        </w:rPr>
        <w:lastRenderedPageBreak/>
        <w:t>market power of the acquiring firm then the merger cannot be said to prevent competition substantially.</w:t>
      </w:r>
    </w:p>
    <w:p w:rsidR="00E35AE4" w:rsidRPr="00CE21C4" w:rsidRDefault="00E35AE4" w:rsidP="00154FA9">
      <w:pPr>
        <w:pStyle w:val="ParaNoNdepar-AltN"/>
        <w:rPr>
          <w:rFonts w:cs="Times New Roman"/>
        </w:rPr>
      </w:pPr>
      <w:proofErr w:type="spellStart"/>
      <w:r w:rsidRPr="00CE21C4">
        <w:rPr>
          <w:rFonts w:cs="Times New Roman"/>
        </w:rPr>
        <w:t>Tervita</w:t>
      </w:r>
      <w:proofErr w:type="spellEnd"/>
      <w:r w:rsidRPr="00CE21C4">
        <w:rPr>
          <w:rFonts w:cs="Times New Roman"/>
        </w:rPr>
        <w:t xml:space="preserve"> argues that the intention of s. 92 is “to establish a merger test that provides certainty to Canadian businesses” (A.F., at </w:t>
      </w:r>
      <w:proofErr w:type="spellStart"/>
      <w:r w:rsidRPr="00CE21C4">
        <w:rPr>
          <w:rFonts w:cs="Times New Roman"/>
        </w:rPr>
        <w:t>para</w:t>
      </w:r>
      <w:proofErr w:type="spellEnd"/>
      <w:r w:rsidRPr="00CE21C4">
        <w:rPr>
          <w:rFonts w:cs="Times New Roman"/>
        </w:rPr>
        <w:t>. 66). However, the term “likely” in s. 92 does not require certainty. “Likely” reflects the reality that merger review is an inherently predictive exercise, but it does not g</w:t>
      </w:r>
      <w:r w:rsidR="00111E07">
        <w:rPr>
          <w:rFonts w:cs="Times New Roman"/>
        </w:rPr>
        <w:t>ive the Tribunal licenc</w:t>
      </w:r>
      <w:r w:rsidRPr="00CE21C4">
        <w:rPr>
          <w:rFonts w:cs="Times New Roman"/>
        </w:rPr>
        <w:t xml:space="preserve">e to speculate; its findings must be based on evidence. </w:t>
      </w:r>
    </w:p>
    <w:p w:rsidR="00E35AE4" w:rsidRPr="00CE21C4" w:rsidRDefault="00E35AE4" w:rsidP="00154FA9">
      <w:pPr>
        <w:pStyle w:val="ParaNoNdepar-AltN"/>
        <w:rPr>
          <w:rFonts w:cs="Times New Roman"/>
        </w:rPr>
      </w:pPr>
      <w:r w:rsidRPr="00CE21C4">
        <w:rPr>
          <w:rFonts w:cs="Times New Roman"/>
        </w:rPr>
        <w:t>There is only one civil standard of proof: proof on a balance of probabilities (</w:t>
      </w:r>
      <w:r w:rsidRPr="00CE21C4">
        <w:rPr>
          <w:rFonts w:cs="Times New Roman"/>
          <w:i/>
        </w:rPr>
        <w:t>F.H. v. McDougall</w:t>
      </w:r>
      <w:r w:rsidRPr="00CE21C4">
        <w:rPr>
          <w:rFonts w:cs="Times New Roman"/>
        </w:rPr>
        <w:t>, 2008 SCC 53, [2008] 3 S.C.R. 41, at paras. 40 and 49). This means that in order for s. 92 of the Act to be engaged, the Tribunal must be of the view that it is more likely than not that the merger will result in a substantial prevention of competition. Mere possibilities are insufficient to meet this standard. And, as will be discussed, as events are projected further into the future, the risk of unreliability increases such that at some point the evidence will only be considered speculative.</w:t>
      </w:r>
    </w:p>
    <w:p w:rsidR="00E35AE4" w:rsidRPr="00CE21C4" w:rsidRDefault="00E35AE4" w:rsidP="00154FA9">
      <w:pPr>
        <w:pStyle w:val="Title5LevelTitre5Niveau"/>
        <w:rPr>
          <w:rFonts w:cs="Times New Roman"/>
        </w:rPr>
      </w:pPr>
      <w:bookmarkStart w:id="93" w:name="_Toc396299543"/>
      <w:bookmarkStart w:id="94" w:name="_Toc397586774"/>
      <w:bookmarkStart w:id="95" w:name="_Toc397607014"/>
      <w:bookmarkStart w:id="96" w:name="_Toc404926123"/>
      <w:r w:rsidRPr="00CE21C4">
        <w:rPr>
          <w:rFonts w:cs="Times New Roman"/>
        </w:rPr>
        <w:t>Likelihood of Entry by One of the Merging Parties</w:t>
      </w:r>
      <w:bookmarkEnd w:id="93"/>
      <w:bookmarkEnd w:id="94"/>
      <w:bookmarkEnd w:id="95"/>
      <w:bookmarkEnd w:id="96"/>
    </w:p>
    <w:p w:rsidR="00E35AE4" w:rsidRPr="00CE21C4" w:rsidRDefault="00E35AE4" w:rsidP="00154FA9">
      <w:pPr>
        <w:pStyle w:val="ParaNoNdepar-AltN"/>
        <w:rPr>
          <w:rFonts w:cs="Times New Roman"/>
        </w:rPr>
      </w:pPr>
      <w:r w:rsidRPr="00CE21C4">
        <w:rPr>
          <w:rFonts w:cs="Times New Roman"/>
        </w:rPr>
        <w:t xml:space="preserve">In determining whether one of the merging parties would, in the absence of the merger, be likely to enter the market independently, any factor that in the opinion of the Tribunal could influence entry upon which evidence has been adduced should be considered. This will include the plans and assets of that merging party, current and expected market conditions, and other factors listed in s. 93 of the Act. </w:t>
      </w:r>
    </w:p>
    <w:p w:rsidR="00E35AE4" w:rsidRPr="00CE21C4" w:rsidRDefault="00E35AE4" w:rsidP="00154FA9">
      <w:pPr>
        <w:pStyle w:val="ParaNoNdepar-AltN"/>
        <w:rPr>
          <w:rFonts w:cs="Times New Roman"/>
        </w:rPr>
      </w:pPr>
      <w:r w:rsidRPr="00CE21C4">
        <w:rPr>
          <w:rFonts w:cs="Times New Roman"/>
        </w:rPr>
        <w:lastRenderedPageBreak/>
        <w:t>Where the evidence does not support the conclusion that one of the merging parties or a third party would enter the market independently</w:t>
      </w:r>
      <w:r w:rsidR="005453BE">
        <w:rPr>
          <w:rFonts w:cs="Times New Roman"/>
        </w:rPr>
        <w:t>,</w:t>
      </w:r>
      <w:r w:rsidRPr="00CE21C4">
        <w:rPr>
          <w:rFonts w:cs="Times New Roman"/>
        </w:rPr>
        <w:t xml:space="preserve"> there cannot be a finding of likely prevention of competition by reason of the merger. To the same effect, where the evidence is only that there is a possibility of the merging party entering the market at some time in the future, a finding of likely prevention cannot be made. In this respect, I agree with Justice </w:t>
      </w:r>
      <w:proofErr w:type="spellStart"/>
      <w:r w:rsidRPr="00CE21C4">
        <w:rPr>
          <w:rFonts w:cs="Times New Roman"/>
        </w:rPr>
        <w:t>Mainville</w:t>
      </w:r>
      <w:proofErr w:type="spellEnd"/>
      <w:r w:rsidRPr="00CE21C4">
        <w:rPr>
          <w:rFonts w:cs="Times New Roman"/>
        </w:rPr>
        <w:t xml:space="preserve"> that the timeframe for entry must be discernible (F.C.A. decision, at </w:t>
      </w:r>
      <w:proofErr w:type="spellStart"/>
      <w:r w:rsidRPr="00CE21C4">
        <w:rPr>
          <w:rFonts w:cs="Times New Roman"/>
        </w:rPr>
        <w:t>para</w:t>
      </w:r>
      <w:proofErr w:type="spellEnd"/>
      <w:r w:rsidRPr="00CE21C4">
        <w:rPr>
          <w:rFonts w:cs="Times New Roman"/>
        </w:rPr>
        <w:t>. 90). While timing does not need to be a “precisely calibrated determination” (</w:t>
      </w:r>
      <w:r w:rsidRPr="00CE21C4">
        <w:rPr>
          <w:rFonts w:cs="Times New Roman"/>
          <w:i/>
        </w:rPr>
        <w:t>ibid.</w:t>
      </w:r>
      <w:r w:rsidRPr="00CE21C4">
        <w:rPr>
          <w:rFonts w:cs="Times New Roman"/>
        </w:rPr>
        <w:t xml:space="preserve">), there must be evidence of when the merging party is realistically expected to enter the market in absence of the merger. Otherwise the timing of entry is simply speculative and the test of likelihood of prevention of competition is not met. Even where there is evidence of a timeframe for independent entry, the farther into the future predictions are made, the less reliable they will be. The Tribunal must be cautious in declaring a lengthy timeframe to be discernible, especially when entry depends on a number of contingencies. </w:t>
      </w:r>
    </w:p>
    <w:p w:rsidR="00E35AE4" w:rsidRPr="00CE21C4" w:rsidRDefault="00E35AE4" w:rsidP="00154FA9">
      <w:pPr>
        <w:pStyle w:val="ParaNoNdepar-AltN"/>
        <w:rPr>
          <w:rFonts w:cs="Times New Roman"/>
        </w:rPr>
      </w:pPr>
      <w:r w:rsidRPr="00CE21C4">
        <w:rPr>
          <w:rFonts w:cs="Times New Roman"/>
        </w:rPr>
        <w:t xml:space="preserve">My understanding of </w:t>
      </w:r>
      <w:proofErr w:type="spellStart"/>
      <w:r w:rsidRPr="00CE21C4">
        <w:rPr>
          <w:rFonts w:cs="Times New Roman"/>
        </w:rPr>
        <w:t>Tervita’s</w:t>
      </w:r>
      <w:proofErr w:type="spellEnd"/>
      <w:r w:rsidRPr="00CE21C4">
        <w:rPr>
          <w:rFonts w:cs="Times New Roman"/>
        </w:rPr>
        <w:t xml:space="preserve"> argument is that it seeks to limit the Tribunal’s ability to look into the future to what can be discerned from the merging parties’ assets, plans and business at the time of the merger. However, in my view, there is no legal basis to restrict the evidence the Tribunal can look at in this way.</w:t>
      </w:r>
    </w:p>
    <w:p w:rsidR="00E35AE4" w:rsidRPr="00CE21C4" w:rsidRDefault="00E35AE4" w:rsidP="00154FA9">
      <w:pPr>
        <w:pStyle w:val="ParaNoNdepar-AltN"/>
        <w:rPr>
          <w:rFonts w:cs="Times New Roman"/>
        </w:rPr>
      </w:pPr>
      <w:r w:rsidRPr="00CE21C4">
        <w:rPr>
          <w:rFonts w:cs="Times New Roman"/>
        </w:rPr>
        <w:t xml:space="preserve">Justice </w:t>
      </w:r>
      <w:proofErr w:type="spellStart"/>
      <w:r w:rsidRPr="00CE21C4">
        <w:rPr>
          <w:rFonts w:cs="Times New Roman"/>
        </w:rPr>
        <w:t>Mainville</w:t>
      </w:r>
      <w:proofErr w:type="spellEnd"/>
      <w:r w:rsidRPr="00CE21C4">
        <w:rPr>
          <w:rFonts w:cs="Times New Roman"/>
        </w:rPr>
        <w:t xml:space="preserve"> held that how far into the future the Tribunal can look when assessing whether, but for the merger, the merging party would have entered the market should normally be determined by the lead time required to enter a market due to barriers to entry, which he referred to as the “temporal dimension” of the barriers to entry: “</w:t>
      </w:r>
      <w:r w:rsidR="00154FA9">
        <w:rPr>
          <w:rFonts w:cs="Times New Roman"/>
        </w:rPr>
        <w:t>. . .</w:t>
      </w:r>
      <w:r w:rsidRPr="00CE21C4">
        <w:rPr>
          <w:rFonts w:cs="Times New Roman"/>
        </w:rPr>
        <w:t xml:space="preserve"> the time</w:t>
      </w:r>
      <w:r w:rsidR="005453BE">
        <w:rPr>
          <w:rFonts w:cs="Times New Roman"/>
        </w:rPr>
        <w:t xml:space="preserve"> </w:t>
      </w:r>
      <w:r w:rsidRPr="00CE21C4">
        <w:rPr>
          <w:rFonts w:cs="Times New Roman"/>
        </w:rPr>
        <w:t xml:space="preserve">frame for market entry should normally fall within the </w:t>
      </w:r>
      <w:r w:rsidRPr="00CE21C4">
        <w:rPr>
          <w:rFonts w:cs="Times New Roman"/>
        </w:rPr>
        <w:lastRenderedPageBreak/>
        <w:t xml:space="preserve">temporal dimension of the barriers to entry into the market at issue” (F.C.A. decision, at </w:t>
      </w:r>
      <w:proofErr w:type="spellStart"/>
      <w:r w:rsidRPr="00CE21C4">
        <w:rPr>
          <w:rFonts w:cs="Times New Roman"/>
        </w:rPr>
        <w:t>para</w:t>
      </w:r>
      <w:proofErr w:type="spellEnd"/>
      <w:r w:rsidRPr="00CE21C4">
        <w:rPr>
          <w:rFonts w:cs="Times New Roman"/>
        </w:rPr>
        <w:t xml:space="preserve">. 91). </w:t>
      </w:r>
    </w:p>
    <w:p w:rsidR="00E35AE4" w:rsidRPr="00CE21C4" w:rsidRDefault="00E35AE4" w:rsidP="00154FA9">
      <w:pPr>
        <w:pStyle w:val="ParaNoNdepar-AltN"/>
        <w:rPr>
          <w:rFonts w:cs="Times New Roman"/>
        </w:rPr>
      </w:pPr>
      <w:r w:rsidRPr="00CE21C4">
        <w:rPr>
          <w:rFonts w:cs="Times New Roman"/>
        </w:rPr>
        <w:t>Barriers to entry relate to how easily a firm can commence business in the relevant market and establish itself as a viable competitor (</w:t>
      </w:r>
      <w:r w:rsidRPr="00CE21C4">
        <w:rPr>
          <w:rFonts w:cs="Times New Roman"/>
          <w:i/>
        </w:rPr>
        <w:t>Canada (Director of Investigation and Research) v. Laidlaw Waste Systems Ltd.</w:t>
      </w:r>
      <w:r w:rsidRPr="00CE21C4">
        <w:rPr>
          <w:rFonts w:cs="Times New Roman"/>
        </w:rPr>
        <w:t xml:space="preserve"> (1992), 40 C.P.R. (3d) 289, at p. 330). The lead time required to enter a market due to barriers to entry (“lead time”) refers to the inherent time delay that a new entrant, facing certain barriers and acting diligently to overcome them, could be expected to experience when trying to enter the market. </w:t>
      </w:r>
    </w:p>
    <w:p w:rsidR="00E35AE4" w:rsidRPr="00CE21C4" w:rsidRDefault="00E35AE4" w:rsidP="00154FA9">
      <w:pPr>
        <w:pStyle w:val="ParaNoNdepar-AltN"/>
        <w:rPr>
          <w:rFonts w:cs="Times New Roman"/>
        </w:rPr>
      </w:pPr>
      <w:r w:rsidRPr="00CE21C4">
        <w:rPr>
          <w:rFonts w:cs="Times New Roman"/>
        </w:rPr>
        <w:t xml:space="preserve">In setting lead time as the appropriate length of time to consider, Justice </w:t>
      </w:r>
      <w:proofErr w:type="spellStart"/>
      <w:r w:rsidRPr="00CE21C4">
        <w:rPr>
          <w:rFonts w:cs="Times New Roman"/>
        </w:rPr>
        <w:t>Mainville</w:t>
      </w:r>
      <w:proofErr w:type="spellEnd"/>
      <w:r w:rsidRPr="00CE21C4">
        <w:rPr>
          <w:rFonts w:cs="Times New Roman"/>
        </w:rPr>
        <w:t xml:space="preserve"> relied on the American case</w:t>
      </w:r>
      <w:r w:rsidRPr="00CE21C4">
        <w:rPr>
          <w:rFonts w:cs="Times New Roman"/>
          <w:i/>
        </w:rPr>
        <w:t xml:space="preserve"> BOC International Ltd. v. Federal Trade Commission</w:t>
      </w:r>
      <w:r w:rsidRPr="00CE21C4">
        <w:rPr>
          <w:rFonts w:cs="Times New Roman"/>
        </w:rPr>
        <w:t>, 557 F.2d 24 (2d Cir. 1977), which</w:t>
      </w:r>
      <w:r w:rsidRPr="00CE21C4">
        <w:rPr>
          <w:rFonts w:cs="Times New Roman"/>
          <w:i/>
        </w:rPr>
        <w:t xml:space="preserve"> </w:t>
      </w:r>
      <w:r w:rsidRPr="00CE21C4">
        <w:rPr>
          <w:rFonts w:cs="Times New Roman"/>
        </w:rPr>
        <w:t>considered whether a merger violated s. 7 of the</w:t>
      </w:r>
      <w:r w:rsidRPr="00CE21C4">
        <w:rPr>
          <w:rFonts w:cs="Times New Roman"/>
          <w:i/>
        </w:rPr>
        <w:t xml:space="preserve"> Clayton Act</w:t>
      </w:r>
      <w:r w:rsidRPr="00CE21C4">
        <w:rPr>
          <w:rFonts w:cs="Times New Roman"/>
        </w:rPr>
        <w:t>, 15 U.S.C. § 18,</w:t>
      </w:r>
      <w:r w:rsidRPr="00CE21C4">
        <w:rPr>
          <w:rFonts w:cs="Times New Roman"/>
          <w:i/>
        </w:rPr>
        <w:t xml:space="preserve"> </w:t>
      </w:r>
      <w:r w:rsidRPr="00CE21C4">
        <w:rPr>
          <w:rFonts w:cs="Times New Roman"/>
        </w:rPr>
        <w:t>under the “actual potential competition” doctrine, the U.S. equivalent of the “prevention” branch of s. 92 of the Act.</w:t>
      </w:r>
      <w:r w:rsidRPr="00CE21C4">
        <w:rPr>
          <w:rFonts w:cs="Times New Roman"/>
          <w:i/>
        </w:rPr>
        <w:t xml:space="preserve"> BOC International</w:t>
      </w:r>
      <w:r w:rsidRPr="00CE21C4">
        <w:rPr>
          <w:rFonts w:cs="Times New Roman"/>
        </w:rPr>
        <w:t xml:space="preserve"> turned on whether the evidence was sufficient to meet the requirements under the “actual potential competition” doctrine. The U.S. Federal Trade Commission found that there was a “reasonable probability” that the acquiring firm would have “eventually entered” the U.S. market but for its acquisition of the acquired company (</w:t>
      </w:r>
      <w:r w:rsidRPr="00CE21C4">
        <w:rPr>
          <w:rFonts w:cs="Times New Roman"/>
          <w:i/>
        </w:rPr>
        <w:t>BOC International</w:t>
      </w:r>
      <w:r w:rsidRPr="00CE21C4">
        <w:rPr>
          <w:rFonts w:cs="Times New Roman"/>
        </w:rPr>
        <w:t xml:space="preserve">, at p. 28). </w:t>
      </w:r>
    </w:p>
    <w:p w:rsidR="00E35AE4" w:rsidRPr="00CE21C4" w:rsidRDefault="00E35AE4" w:rsidP="00154FA9">
      <w:pPr>
        <w:pStyle w:val="ParaNoNdepar-AltN"/>
        <w:rPr>
          <w:rFonts w:cs="Times New Roman"/>
        </w:rPr>
      </w:pPr>
      <w:r w:rsidRPr="00CE21C4">
        <w:rPr>
          <w:rFonts w:cs="Times New Roman"/>
        </w:rPr>
        <w:t>The Second Circuit Court of Appeals held that the language “eventual entry” made the overall test based largely on “ephemeral possibilities” (</w:t>
      </w:r>
      <w:r w:rsidRPr="00CE21C4">
        <w:rPr>
          <w:rFonts w:cs="Times New Roman"/>
          <w:i/>
        </w:rPr>
        <w:t>BOC International</w:t>
      </w:r>
      <w:r w:rsidRPr="00CE21C4">
        <w:rPr>
          <w:rFonts w:cs="Times New Roman"/>
        </w:rPr>
        <w:t xml:space="preserve">, at pp. 28-29). An actual potential entrant should be expected to enter in </w:t>
      </w:r>
      <w:r w:rsidRPr="00CE21C4">
        <w:rPr>
          <w:rFonts w:cs="Times New Roman"/>
        </w:rPr>
        <w:lastRenderedPageBreak/>
        <w:t xml:space="preserve">the “near” future, with “near” being defined in relation to the barriers to entry relevant in that particular industry: </w:t>
      </w:r>
    </w:p>
    <w:p w:rsidR="00E35AE4" w:rsidRPr="00CE21C4" w:rsidRDefault="00154FA9" w:rsidP="00154FA9">
      <w:pPr>
        <w:pStyle w:val="Citation-AltC"/>
      </w:pPr>
      <w:r>
        <w:t>. . .</w:t>
      </w:r>
      <w:r w:rsidR="00E35AE4" w:rsidRPr="00CE21C4">
        <w:t xml:space="preserve"> it seems necessary under Section 7 that the finding of probable entry at least contain some reasonable temporal estimate relate</w:t>
      </w:r>
      <w:r w:rsidR="005453BE">
        <w:t>d to the near future, with “near”</w:t>
      </w:r>
      <w:r w:rsidR="00E35AE4" w:rsidRPr="00CE21C4">
        <w:t xml:space="preserve"> defined in terms of the entry barriers and lead time necessary for entry in the particular industry, and that the finding be supported by substantial evidence in the record.</w:t>
      </w:r>
    </w:p>
    <w:p w:rsidR="00E35AE4" w:rsidRPr="00CE21C4" w:rsidRDefault="00E35AE4" w:rsidP="00154FA9">
      <w:pPr>
        <w:pStyle w:val="Citation-AltC"/>
      </w:pPr>
    </w:p>
    <w:p w:rsidR="00E35AE4" w:rsidRPr="00CE21C4" w:rsidRDefault="00E35AE4" w:rsidP="00154FA9">
      <w:pPr>
        <w:pStyle w:val="Citation-AltC"/>
        <w:ind w:left="0"/>
      </w:pPr>
      <w:r w:rsidRPr="00CE21C4">
        <w:t>(</w:t>
      </w:r>
      <w:r w:rsidRPr="00CE21C4">
        <w:rPr>
          <w:i/>
        </w:rPr>
        <w:t>BOC International</w:t>
      </w:r>
      <w:r w:rsidRPr="00CE21C4">
        <w:t>,</w:t>
      </w:r>
      <w:r w:rsidRPr="00CE21C4">
        <w:rPr>
          <w:i/>
        </w:rPr>
        <w:t xml:space="preserve"> </w:t>
      </w:r>
      <w:r w:rsidRPr="00CE21C4">
        <w:t>at p. 29)</w:t>
      </w:r>
    </w:p>
    <w:p w:rsidR="00E35AE4" w:rsidRPr="00CE21C4" w:rsidRDefault="00E35AE4" w:rsidP="00154FA9">
      <w:pPr>
        <w:pStyle w:val="ParaNoNdepar-AltN"/>
        <w:rPr>
          <w:rFonts w:cs="Times New Roman"/>
        </w:rPr>
      </w:pPr>
      <w:r w:rsidRPr="00CE21C4">
        <w:rPr>
          <w:rFonts w:cs="Times New Roman"/>
        </w:rPr>
        <w:t xml:space="preserve">Neither Justice </w:t>
      </w:r>
      <w:proofErr w:type="spellStart"/>
      <w:r w:rsidRPr="00CE21C4">
        <w:rPr>
          <w:rFonts w:cs="Times New Roman"/>
        </w:rPr>
        <w:t>Mainville</w:t>
      </w:r>
      <w:proofErr w:type="spellEnd"/>
      <w:r w:rsidRPr="00CE21C4">
        <w:rPr>
          <w:rFonts w:cs="Times New Roman"/>
        </w:rPr>
        <w:t xml:space="preserve"> nor </w:t>
      </w:r>
      <w:r w:rsidRPr="00CE21C4">
        <w:rPr>
          <w:rFonts w:cs="Times New Roman"/>
          <w:i/>
        </w:rPr>
        <w:t>BOC International</w:t>
      </w:r>
      <w:r w:rsidRPr="00CE21C4">
        <w:rPr>
          <w:rFonts w:cs="Times New Roman"/>
        </w:rPr>
        <w:t xml:space="preserve"> expressly explain why the lead time should establish the length of time the Tribunal can look into the future when assessing whether, absent the merger, there would have been likely independent entry of one of the merging parties. Though Justice </w:t>
      </w:r>
      <w:proofErr w:type="spellStart"/>
      <w:r w:rsidRPr="00CE21C4">
        <w:rPr>
          <w:rFonts w:cs="Times New Roman"/>
        </w:rPr>
        <w:t>Mainville</w:t>
      </w:r>
      <w:proofErr w:type="spellEnd"/>
      <w:r w:rsidRPr="00CE21C4">
        <w:rPr>
          <w:rFonts w:cs="Times New Roman"/>
        </w:rPr>
        <w:t xml:space="preserve"> notes that lead time should be treated “as a guidepost and not as a fixed temporal rule” (</w:t>
      </w:r>
      <w:proofErr w:type="spellStart"/>
      <w:r w:rsidRPr="00CE21C4">
        <w:rPr>
          <w:rFonts w:cs="Times New Roman"/>
        </w:rPr>
        <w:t>para</w:t>
      </w:r>
      <w:proofErr w:type="spellEnd"/>
      <w:r w:rsidRPr="00CE21C4">
        <w:rPr>
          <w:rFonts w:cs="Times New Roman"/>
        </w:rPr>
        <w:t>. 91), it is important to emphasize that lead time should not be used to justify predictions about the distant future. In some contexts, relevant lead time may be short, and thus a determination of whether market entry is likely within that timeframe may be sufficiently definite to meet the “likely” test. However, in other contexts — for example, those where product development or regulatory approval processes may extend for some years — the lead time may be so lengthy that a determination of the probability of market entry at the far end of that timeframe would be influenced by so many unknown and unknowable contingencies as to render such a prediction largely speculative.</w:t>
      </w:r>
    </w:p>
    <w:p w:rsidR="00E35AE4" w:rsidRPr="00CE21C4" w:rsidRDefault="00E35AE4" w:rsidP="00154FA9">
      <w:pPr>
        <w:pStyle w:val="ParaNoNdepar-AltN"/>
        <w:rPr>
          <w:rFonts w:cs="Times New Roman"/>
        </w:rPr>
      </w:pPr>
      <w:r w:rsidRPr="00CE21C4">
        <w:rPr>
          <w:rFonts w:cs="Times New Roman"/>
        </w:rPr>
        <w:t xml:space="preserve">The timeframe that can be considered must of course be determined by the evidence in any given case. The evidence must be sufficient to meet the “likely” </w:t>
      </w:r>
      <w:r w:rsidRPr="00CE21C4">
        <w:rPr>
          <w:rFonts w:cs="Times New Roman"/>
        </w:rPr>
        <w:lastRenderedPageBreak/>
        <w:t>test on a balance of probabilities, keeping in mind that the further into the future the Tribunal looks the more difficult it will be to meet this test. Lead time is an important consideration, though this factor should not support an effort to look farther into the future than the evidence supports.</w:t>
      </w:r>
    </w:p>
    <w:p w:rsidR="00E35AE4" w:rsidRPr="00CE21C4" w:rsidRDefault="00E35AE4" w:rsidP="00154FA9">
      <w:pPr>
        <w:pStyle w:val="ParaNoNdepar-AltN"/>
        <w:rPr>
          <w:rFonts w:cs="Times New Roman"/>
        </w:rPr>
      </w:pPr>
      <w:r w:rsidRPr="00CE21C4">
        <w:rPr>
          <w:rFonts w:cs="Times New Roman"/>
        </w:rPr>
        <w:t>Business can be unpredictable and business decisions are not always based on objective facts and dispassionate logic; market conditions may change. In assessing whether a merger will likely prevent competition substantially, neither the Tribunal nor courts should claim to make future business decisions for companies. Factual findings about what a company may or may not do must be based on evidence of the decision the company itself would make; not the decision the Tribunal would make in the company’s circumstances.</w:t>
      </w:r>
    </w:p>
    <w:p w:rsidR="00E35AE4" w:rsidRPr="00CE21C4" w:rsidRDefault="00E35AE4" w:rsidP="00154FA9">
      <w:pPr>
        <w:pStyle w:val="ParaNoNdepar-AltN"/>
        <w:rPr>
          <w:rFonts w:cs="Times New Roman"/>
        </w:rPr>
      </w:pPr>
      <w:r w:rsidRPr="00CE21C4">
        <w:rPr>
          <w:rFonts w:cs="Times New Roman"/>
        </w:rPr>
        <w:t>If the Tribunal determines that the identified merging party would, absent the merger, be likely to enter within a discernible timeframe, the next question is whether this entry would likely result in a substantial effect on competition in the market.</w:t>
      </w:r>
    </w:p>
    <w:p w:rsidR="00E35AE4" w:rsidRPr="00CE21C4" w:rsidRDefault="00E35AE4" w:rsidP="00154FA9">
      <w:pPr>
        <w:pStyle w:val="Title5LevelTitre5Niveau"/>
        <w:rPr>
          <w:rFonts w:cs="Times New Roman"/>
        </w:rPr>
      </w:pPr>
      <w:bookmarkStart w:id="97" w:name="_Toc396299544"/>
      <w:bookmarkStart w:id="98" w:name="_Toc397586775"/>
      <w:bookmarkStart w:id="99" w:name="_Toc397607015"/>
      <w:bookmarkStart w:id="100" w:name="_Toc404926124"/>
      <w:r w:rsidRPr="00CE21C4">
        <w:rPr>
          <w:rFonts w:cs="Times New Roman"/>
        </w:rPr>
        <w:t>Likely to Have a Substantial Effect on the Market</w:t>
      </w:r>
      <w:bookmarkEnd w:id="97"/>
      <w:bookmarkEnd w:id="98"/>
      <w:bookmarkEnd w:id="99"/>
      <w:bookmarkEnd w:id="100"/>
    </w:p>
    <w:p w:rsidR="00E35AE4" w:rsidRPr="00CE21C4" w:rsidRDefault="00E35AE4" w:rsidP="00154FA9">
      <w:pPr>
        <w:pStyle w:val="ParaNoNdepar-AltN"/>
        <w:rPr>
          <w:rFonts w:cs="Times New Roman"/>
        </w:rPr>
      </w:pPr>
      <w:r w:rsidRPr="00CE21C4">
        <w:rPr>
          <w:rFonts w:cs="Times New Roman"/>
        </w:rPr>
        <w:t xml:space="preserve">It is not enough that a potential competitor must be likely to enter the market; this entry must be likely to have a substantial effect on the market. As discussed above, assessing substantiality requires assessing a variety of dimensions of competition including price and output. It also involves assessing the degree and duration of any effect it would have on the market.  </w:t>
      </w:r>
    </w:p>
    <w:p w:rsidR="00E35AE4" w:rsidRPr="00CE21C4" w:rsidRDefault="00E35AE4" w:rsidP="00154FA9">
      <w:pPr>
        <w:pStyle w:val="ParaNoNdepar-AltN"/>
        <w:rPr>
          <w:rFonts w:cs="Times New Roman"/>
        </w:rPr>
      </w:pPr>
      <w:r w:rsidRPr="00CE21C4">
        <w:rPr>
          <w:rFonts w:cs="Times New Roman"/>
        </w:rPr>
        <w:lastRenderedPageBreak/>
        <w:t xml:space="preserve">Section 93 provides a non-exhaustive list of factors that may be considered when assessing whether a merger substantially lessens or prevents competition or is likely to do so, including whether a party is a failing business, the availability of acceptable substitutes, barriers to entry into the relevant market, the extent to which effective competition remains or would remain after a merger, and whether the merger would result in the removal of a vigorous and effective competitor. </w:t>
      </w:r>
    </w:p>
    <w:p w:rsidR="00E35AE4" w:rsidRPr="00CE21C4" w:rsidRDefault="00E35AE4" w:rsidP="00154FA9">
      <w:pPr>
        <w:pStyle w:val="Title3LevelTitre3Niveau"/>
        <w:rPr>
          <w:rFonts w:cs="Times New Roman"/>
        </w:rPr>
      </w:pPr>
      <w:bookmarkStart w:id="101" w:name="_Toc396299545"/>
      <w:bookmarkStart w:id="102" w:name="_Toc397586776"/>
      <w:bookmarkStart w:id="103" w:name="_Toc397607016"/>
      <w:bookmarkStart w:id="104" w:name="_Toc404926125"/>
      <w:r w:rsidRPr="00CE21C4">
        <w:rPr>
          <w:rFonts w:cs="Times New Roman"/>
        </w:rPr>
        <w:t>Application to the Present Case</w:t>
      </w:r>
      <w:bookmarkEnd w:id="101"/>
      <w:bookmarkEnd w:id="102"/>
      <w:bookmarkEnd w:id="103"/>
      <w:bookmarkEnd w:id="104"/>
    </w:p>
    <w:p w:rsidR="00E35AE4" w:rsidRPr="00CE21C4" w:rsidRDefault="00E35AE4" w:rsidP="00154FA9">
      <w:pPr>
        <w:pStyle w:val="ParaNoNdepar-AltN"/>
        <w:rPr>
          <w:rFonts w:cs="Times New Roman"/>
        </w:rPr>
      </w:pPr>
      <w:r w:rsidRPr="00CE21C4">
        <w:rPr>
          <w:rFonts w:cs="Times New Roman"/>
        </w:rPr>
        <w:t xml:space="preserve">The Tribunal’s analytical framework and conclusion that the merger will likely substantially prevent competition are, in my view, correct. The Tribunal correctly applied the analytical framework set out above. It used a forward-looking “but for” analysis to determine whether the merger was likely to substantially prevent competition. The Tribunal identified the acquired party, the Vendors, as the focus of the analysis. The Tribunal then assessed whether, but for the merger, the Vendors would have likely entered the relevant product market in a manner sufficient to compete with </w:t>
      </w:r>
      <w:proofErr w:type="spellStart"/>
      <w:r w:rsidRPr="00CE21C4">
        <w:rPr>
          <w:rFonts w:cs="Times New Roman"/>
        </w:rPr>
        <w:t>Tervita</w:t>
      </w:r>
      <w:proofErr w:type="spellEnd"/>
      <w:r w:rsidRPr="00CE21C4">
        <w:rPr>
          <w:rFonts w:cs="Times New Roman"/>
        </w:rPr>
        <w:t xml:space="preserve">. </w:t>
      </w:r>
    </w:p>
    <w:p w:rsidR="00E35AE4" w:rsidRPr="00CE21C4" w:rsidRDefault="00E35AE4" w:rsidP="00154FA9">
      <w:pPr>
        <w:pStyle w:val="ParaNoNdepar-AltN"/>
        <w:rPr>
          <w:rFonts w:cs="Times New Roman"/>
        </w:rPr>
      </w:pPr>
      <w:r w:rsidRPr="00CE21C4">
        <w:rPr>
          <w:rFonts w:cs="Times New Roman"/>
        </w:rPr>
        <w:t>The Tribunal concluded that the merger “is more likely than not to maintain the ability of [</w:t>
      </w:r>
      <w:proofErr w:type="spellStart"/>
      <w:r w:rsidRPr="00CE21C4">
        <w:rPr>
          <w:rFonts w:cs="Times New Roman"/>
        </w:rPr>
        <w:t>Tervita</w:t>
      </w:r>
      <w:proofErr w:type="spellEnd"/>
      <w:r w:rsidRPr="00CE21C4">
        <w:rPr>
          <w:rFonts w:cs="Times New Roman"/>
        </w:rPr>
        <w:t>] to exercise materially greater market power than in the absence of the [m]</w:t>
      </w:r>
      <w:proofErr w:type="spellStart"/>
      <w:r w:rsidRPr="00CE21C4">
        <w:rPr>
          <w:rFonts w:cs="Times New Roman"/>
        </w:rPr>
        <w:t>erger</w:t>
      </w:r>
      <w:proofErr w:type="spellEnd"/>
      <w:r w:rsidRPr="00CE21C4">
        <w:rPr>
          <w:rFonts w:cs="Times New Roman"/>
        </w:rPr>
        <w:t>, and that the [m]</w:t>
      </w:r>
      <w:proofErr w:type="spellStart"/>
      <w:r w:rsidRPr="00CE21C4">
        <w:rPr>
          <w:rFonts w:cs="Times New Roman"/>
        </w:rPr>
        <w:t>erger</w:t>
      </w:r>
      <w:proofErr w:type="spellEnd"/>
      <w:r w:rsidRPr="00CE21C4">
        <w:rPr>
          <w:rFonts w:cs="Times New Roman"/>
        </w:rPr>
        <w:t xml:space="preserve"> is likely to prevent competition substantially” (</w:t>
      </w:r>
      <w:proofErr w:type="spellStart"/>
      <w:r w:rsidRPr="00CE21C4">
        <w:rPr>
          <w:rFonts w:cs="Times New Roman"/>
        </w:rPr>
        <w:t>para</w:t>
      </w:r>
      <w:proofErr w:type="spellEnd"/>
      <w:r w:rsidRPr="00CE21C4">
        <w:rPr>
          <w:rFonts w:cs="Times New Roman"/>
        </w:rPr>
        <w:t>. 229(iv)). In coming to this conclusion the Tribunal assessed a number of the s. 93 factors including the following:</w:t>
      </w:r>
    </w:p>
    <w:p w:rsidR="00E35AE4" w:rsidRPr="00CE21C4" w:rsidRDefault="00E35AE4" w:rsidP="00154FA9">
      <w:pPr>
        <w:pStyle w:val="Citation-AltC"/>
        <w:numPr>
          <w:ilvl w:val="0"/>
          <w:numId w:val="39"/>
        </w:numPr>
        <w:spacing w:line="480" w:lineRule="auto"/>
        <w:ind w:left="720" w:hanging="720"/>
      </w:pPr>
      <w:r w:rsidRPr="00CE21C4">
        <w:lastRenderedPageBreak/>
        <w:t>barriers to entry were “at least 30 months” and there was “no evidence of any proposed entry in the Contestable Area” (</w:t>
      </w:r>
      <w:proofErr w:type="spellStart"/>
      <w:r w:rsidRPr="00CE21C4">
        <w:t>para</w:t>
      </w:r>
      <w:proofErr w:type="spellEnd"/>
      <w:r w:rsidRPr="00CE21C4">
        <w:t>. 222; see s. 93(</w:t>
      </w:r>
      <w:r w:rsidRPr="00CE21C4">
        <w:rPr>
          <w:i/>
        </w:rPr>
        <w:t>d</w:t>
      </w:r>
      <w:r w:rsidRPr="00CE21C4">
        <w:t>));</w:t>
      </w:r>
    </w:p>
    <w:p w:rsidR="00E35AE4" w:rsidRPr="00CE21C4" w:rsidRDefault="00E35AE4" w:rsidP="00154FA9">
      <w:pPr>
        <w:pStyle w:val="Citation-AltC"/>
        <w:spacing w:line="480" w:lineRule="auto"/>
        <w:ind w:left="1935"/>
      </w:pPr>
    </w:p>
    <w:p w:rsidR="00E35AE4" w:rsidRDefault="00E35AE4" w:rsidP="00154FA9">
      <w:pPr>
        <w:pStyle w:val="Citation-AltC"/>
        <w:numPr>
          <w:ilvl w:val="0"/>
          <w:numId w:val="39"/>
        </w:numPr>
        <w:spacing w:line="480" w:lineRule="auto"/>
        <w:ind w:left="720" w:hanging="720"/>
      </w:pPr>
      <w:r w:rsidRPr="00CE21C4">
        <w:t>there is an absence of acceptable substitutes and effective remaining competition (</w:t>
      </w:r>
      <w:proofErr w:type="spellStart"/>
      <w:r w:rsidRPr="00CE21C4">
        <w:t>para</w:t>
      </w:r>
      <w:proofErr w:type="spellEnd"/>
      <w:r w:rsidRPr="00CE21C4">
        <w:t>. 223; see s. 93(</w:t>
      </w:r>
      <w:r w:rsidRPr="00CE21C4">
        <w:rPr>
          <w:i/>
        </w:rPr>
        <w:t>c</w:t>
      </w:r>
      <w:r w:rsidRPr="00CE21C4">
        <w:t xml:space="preserve">)); </w:t>
      </w:r>
    </w:p>
    <w:p w:rsidR="000300C9" w:rsidRPr="00CE21C4" w:rsidRDefault="000300C9" w:rsidP="00154FA9">
      <w:pPr>
        <w:pStyle w:val="Citation-AltC"/>
        <w:spacing w:line="480" w:lineRule="auto"/>
        <w:ind w:left="0"/>
      </w:pPr>
    </w:p>
    <w:p w:rsidR="00E35AE4" w:rsidRPr="00CE21C4" w:rsidRDefault="00E35AE4" w:rsidP="00154FA9">
      <w:pPr>
        <w:pStyle w:val="Citation-AltC"/>
        <w:numPr>
          <w:ilvl w:val="0"/>
          <w:numId w:val="39"/>
        </w:numPr>
        <w:spacing w:line="480" w:lineRule="auto"/>
        <w:ind w:left="720" w:hanging="720"/>
      </w:pPr>
      <w:r w:rsidRPr="00CE21C4">
        <w:t xml:space="preserve">there would be sufficient demand for secure landfill services to make transforming the </w:t>
      </w:r>
      <w:proofErr w:type="spellStart"/>
      <w:r w:rsidRPr="00CE21C4">
        <w:t>Babkirk</w:t>
      </w:r>
      <w:proofErr w:type="spellEnd"/>
      <w:r w:rsidRPr="00CE21C4">
        <w:t xml:space="preserve"> site to a secure landfill profitable as demand has “been projected to increase as new drilling is undertaken in the area north and west of </w:t>
      </w:r>
      <w:proofErr w:type="spellStart"/>
      <w:r w:rsidRPr="00CE21C4">
        <w:t>Babkirk</w:t>
      </w:r>
      <w:proofErr w:type="spellEnd"/>
      <w:r w:rsidRPr="00CE21C4">
        <w:t>” (</w:t>
      </w:r>
      <w:proofErr w:type="spellStart"/>
      <w:r w:rsidRPr="00CE21C4">
        <w:t>para</w:t>
      </w:r>
      <w:proofErr w:type="spellEnd"/>
      <w:r w:rsidRPr="00CE21C4">
        <w:t>. 207; see s. 93(</w:t>
      </w:r>
      <w:r w:rsidRPr="00CE21C4">
        <w:rPr>
          <w:i/>
        </w:rPr>
        <w:t>f</w:t>
      </w:r>
      <w:r w:rsidRPr="00CE21C4">
        <w:t>));</w:t>
      </w:r>
    </w:p>
    <w:p w:rsidR="00E35AE4" w:rsidRPr="00CE21C4" w:rsidRDefault="00E35AE4" w:rsidP="00154FA9">
      <w:pPr>
        <w:pStyle w:val="Citation-AltC"/>
        <w:spacing w:line="480" w:lineRule="auto"/>
        <w:ind w:left="1935"/>
      </w:pPr>
    </w:p>
    <w:p w:rsidR="00E35AE4" w:rsidRPr="00CE21C4" w:rsidRDefault="00E35AE4" w:rsidP="00154FA9">
      <w:pPr>
        <w:pStyle w:val="Citation-AltC"/>
        <w:numPr>
          <w:ilvl w:val="0"/>
          <w:numId w:val="39"/>
        </w:numPr>
        <w:spacing w:line="480" w:lineRule="auto"/>
        <w:ind w:left="720" w:hanging="720"/>
      </w:pPr>
      <w:r w:rsidRPr="00CE21C4">
        <w:t xml:space="preserve">the permitted capacity of the </w:t>
      </w:r>
      <w:proofErr w:type="spellStart"/>
      <w:r w:rsidRPr="00CE21C4">
        <w:t>Babkirk</w:t>
      </w:r>
      <w:proofErr w:type="spellEnd"/>
      <w:r w:rsidRPr="00CE21C4">
        <w:t xml:space="preserve"> site was sufficient to allow it to “compete effectively” with </w:t>
      </w:r>
      <w:proofErr w:type="spellStart"/>
      <w:r w:rsidRPr="00CE21C4">
        <w:t>Tervita</w:t>
      </w:r>
      <w:proofErr w:type="spellEnd"/>
      <w:r w:rsidRPr="00CE21C4">
        <w:t xml:space="preserve"> (</w:t>
      </w:r>
      <w:proofErr w:type="spellStart"/>
      <w:r w:rsidRPr="00CE21C4">
        <w:t>para</w:t>
      </w:r>
      <w:proofErr w:type="spellEnd"/>
      <w:r w:rsidRPr="00CE21C4">
        <w:t>. 208; see s. 93(</w:t>
      </w:r>
      <w:r w:rsidRPr="00CE21C4">
        <w:rPr>
          <w:i/>
        </w:rPr>
        <w:t>f</w:t>
      </w:r>
      <w:r w:rsidRPr="00CE21C4">
        <w:t>)); and</w:t>
      </w:r>
    </w:p>
    <w:p w:rsidR="00E35AE4" w:rsidRPr="00CE21C4" w:rsidRDefault="00E35AE4" w:rsidP="00154FA9">
      <w:pPr>
        <w:pStyle w:val="Citation-AltC"/>
        <w:spacing w:line="480" w:lineRule="auto"/>
        <w:ind w:left="1935"/>
      </w:pPr>
    </w:p>
    <w:p w:rsidR="00E35AE4" w:rsidRPr="00CE21C4" w:rsidRDefault="00932CC3" w:rsidP="00154FA9">
      <w:pPr>
        <w:pStyle w:val="Citation-AltC"/>
        <w:numPr>
          <w:ilvl w:val="0"/>
          <w:numId w:val="39"/>
        </w:numPr>
        <w:spacing w:line="480" w:lineRule="auto"/>
        <w:ind w:left="720" w:hanging="720"/>
      </w:pPr>
      <w:r>
        <w:t>“</w:t>
      </w:r>
      <w:proofErr w:type="gramStart"/>
      <w:r>
        <w:t>the</w:t>
      </w:r>
      <w:proofErr w:type="gramEnd"/>
      <w:r>
        <w:t xml:space="preserve"> [m]</w:t>
      </w:r>
      <w:proofErr w:type="spellStart"/>
      <w:r w:rsidR="00E35AE4" w:rsidRPr="00CE21C4">
        <w:t>erger</w:t>
      </w:r>
      <w:proofErr w:type="spellEnd"/>
      <w:r w:rsidR="00E35AE4" w:rsidRPr="00CE21C4">
        <w:t xml:space="preserve"> preserves a monopolistic market structure, and thereby prevents the emergence of potentially important competition” (</w:t>
      </w:r>
      <w:proofErr w:type="spellStart"/>
      <w:r w:rsidR="00E35AE4" w:rsidRPr="00CE21C4">
        <w:t>para</w:t>
      </w:r>
      <w:proofErr w:type="spellEnd"/>
      <w:r w:rsidR="00E35AE4" w:rsidRPr="00CE21C4">
        <w:t>. 297; see s. 93(</w:t>
      </w:r>
      <w:r w:rsidR="00E35AE4" w:rsidRPr="00CE21C4">
        <w:rPr>
          <w:i/>
        </w:rPr>
        <w:t>e</w:t>
      </w:r>
      <w:r w:rsidR="00E35AE4" w:rsidRPr="00CE21C4">
        <w:t>)).</w:t>
      </w:r>
    </w:p>
    <w:p w:rsidR="00E35AE4" w:rsidRPr="00CE21C4" w:rsidRDefault="00E35AE4" w:rsidP="00154FA9">
      <w:pPr>
        <w:pStyle w:val="ParaNoNdepar-AltN"/>
        <w:rPr>
          <w:rFonts w:cs="Times New Roman"/>
        </w:rPr>
      </w:pPr>
      <w:r w:rsidRPr="00CE21C4">
        <w:rPr>
          <w:rFonts w:cs="Times New Roman"/>
        </w:rPr>
        <w:t xml:space="preserve">I agree with the Commissioner that “the Tribunal did not speculate on what would happen to the </w:t>
      </w:r>
      <w:proofErr w:type="spellStart"/>
      <w:r w:rsidRPr="00CE21C4">
        <w:rPr>
          <w:rFonts w:cs="Times New Roman"/>
        </w:rPr>
        <w:t>Babkirk</w:t>
      </w:r>
      <w:proofErr w:type="spellEnd"/>
      <w:r w:rsidRPr="00CE21C4">
        <w:rPr>
          <w:rFonts w:cs="Times New Roman"/>
        </w:rPr>
        <w:t xml:space="preserve"> </w:t>
      </w:r>
      <w:proofErr w:type="gramStart"/>
      <w:r w:rsidRPr="00CE21C4">
        <w:rPr>
          <w:rFonts w:cs="Times New Roman"/>
        </w:rPr>
        <w:t xml:space="preserve">site </w:t>
      </w:r>
      <w:r w:rsidR="00154FA9">
        <w:rPr>
          <w:rFonts w:cs="Times New Roman"/>
        </w:rPr>
        <w:t>.</w:t>
      </w:r>
      <w:proofErr w:type="gramEnd"/>
      <w:r w:rsidR="00154FA9">
        <w:rPr>
          <w:rFonts w:cs="Times New Roman"/>
        </w:rPr>
        <w:t> . . .</w:t>
      </w:r>
      <w:r w:rsidRPr="00CE21C4">
        <w:rPr>
          <w:rFonts w:cs="Times New Roman"/>
        </w:rPr>
        <w:t xml:space="preserve"> It made findings of fact based on the abundant evidence before it” (R.F., at </w:t>
      </w:r>
      <w:proofErr w:type="spellStart"/>
      <w:r w:rsidRPr="00CE21C4">
        <w:rPr>
          <w:rFonts w:cs="Times New Roman"/>
        </w:rPr>
        <w:t>para</w:t>
      </w:r>
      <w:proofErr w:type="spellEnd"/>
      <w:r w:rsidRPr="00CE21C4">
        <w:rPr>
          <w:rFonts w:cs="Times New Roman"/>
        </w:rPr>
        <w:t>. 61). The reasonableness of the factual findings were reviewed by the Federal Court of Appeal and found to be supported by sufficient evidence. While, as will be discussed, I question the Tribunal’s treatment of the asserted 10 percent reduction in prices that would allegedly have been realized in the absence of a merger (</w:t>
      </w:r>
      <w:proofErr w:type="spellStart"/>
      <w:r w:rsidRPr="00CE21C4">
        <w:rPr>
          <w:rFonts w:cs="Times New Roman"/>
        </w:rPr>
        <w:t>para</w:t>
      </w:r>
      <w:proofErr w:type="spellEnd"/>
      <w:r w:rsidRPr="00CE21C4">
        <w:rPr>
          <w:rFonts w:cs="Times New Roman"/>
        </w:rPr>
        <w:t xml:space="preserve">. 229(iii)), it is evident that there was sufficient other </w:t>
      </w:r>
      <w:r w:rsidRPr="00CE21C4">
        <w:rPr>
          <w:rFonts w:cs="Times New Roman"/>
        </w:rPr>
        <w:lastRenderedPageBreak/>
        <w:t>evidence upon which the Tribunal could find a substantial prevention of competition as a result of the merger.</w:t>
      </w:r>
    </w:p>
    <w:p w:rsidR="00E35AE4" w:rsidRPr="00CE21C4" w:rsidRDefault="00E35AE4" w:rsidP="00154FA9">
      <w:pPr>
        <w:pStyle w:val="ParaNoNdepar-AltN"/>
        <w:rPr>
          <w:rFonts w:cs="Times New Roman"/>
        </w:rPr>
      </w:pPr>
      <w:r w:rsidRPr="00CE21C4">
        <w:rPr>
          <w:rFonts w:cs="Times New Roman"/>
        </w:rPr>
        <w:t>Accordingly, the Tribunal’s conclusion that the merger is likely to substantially prevent competition was correct. As s. 92 is engaged, it is necessary to determine whether the s. 96 defence applies to prevent the making of an order under s. 92.</w:t>
      </w:r>
    </w:p>
    <w:p w:rsidR="00E35AE4" w:rsidRPr="00CE21C4" w:rsidRDefault="00E35AE4" w:rsidP="00154FA9">
      <w:pPr>
        <w:pStyle w:val="Title2LevelTitre2Niveau"/>
        <w:rPr>
          <w:rFonts w:cs="Times New Roman"/>
        </w:rPr>
      </w:pPr>
      <w:bookmarkStart w:id="105" w:name="_Toc396299546"/>
      <w:bookmarkStart w:id="106" w:name="_Toc397586777"/>
      <w:bookmarkStart w:id="107" w:name="_Toc397607017"/>
      <w:bookmarkStart w:id="108" w:name="_Toc404926126"/>
      <w:r w:rsidRPr="00CE21C4">
        <w:rPr>
          <w:rFonts w:cs="Times New Roman"/>
        </w:rPr>
        <w:t>The Efficiencies Defence</w:t>
      </w:r>
      <w:bookmarkEnd w:id="105"/>
      <w:bookmarkEnd w:id="106"/>
      <w:bookmarkEnd w:id="107"/>
      <w:bookmarkEnd w:id="108"/>
    </w:p>
    <w:p w:rsidR="00E35AE4" w:rsidRPr="00CE21C4" w:rsidRDefault="00E35AE4" w:rsidP="00154FA9">
      <w:pPr>
        <w:pStyle w:val="ParaNoNdepar-AltN"/>
        <w:rPr>
          <w:rFonts w:cs="Times New Roman"/>
        </w:rPr>
      </w:pPr>
      <w:r w:rsidRPr="00CE21C4">
        <w:rPr>
          <w:rFonts w:cs="Times New Roman"/>
        </w:rPr>
        <w:t xml:space="preserve">   </w:t>
      </w:r>
      <w:proofErr w:type="spellStart"/>
      <w:r w:rsidRPr="00CE21C4">
        <w:rPr>
          <w:rFonts w:cs="Times New Roman"/>
        </w:rPr>
        <w:t>Tervita</w:t>
      </w:r>
      <w:proofErr w:type="spellEnd"/>
      <w:r w:rsidRPr="00CE21C4">
        <w:rPr>
          <w:rFonts w:cs="Times New Roman"/>
        </w:rPr>
        <w:t xml:space="preserve"> raises two issues with respect to the Tribunal’s assessment of the s. 96 efficiencies defence. First, should OIEs, or efficiencies that would arise because of the time necessary to implement the Tribunal’s divestiture order under s. 92, be taken into account in the balancing test under s. 96? Second, what is the proper approach to the balancing analysis under s. 96? Before addressing the issues raised on appeal, it will be useful to review the history of the statutory efficiencies defence and the adjudicative treatment of the defence prior to this case. </w:t>
      </w:r>
    </w:p>
    <w:p w:rsidR="00E35AE4" w:rsidRPr="00CE21C4" w:rsidRDefault="00E35AE4" w:rsidP="00154FA9">
      <w:pPr>
        <w:pStyle w:val="Title3LevelTitre3Niveau"/>
        <w:rPr>
          <w:rFonts w:cs="Times New Roman"/>
        </w:rPr>
      </w:pPr>
      <w:bookmarkStart w:id="109" w:name="_Toc396299547"/>
      <w:bookmarkStart w:id="110" w:name="_Toc397586778"/>
      <w:bookmarkStart w:id="111" w:name="_Toc397607018"/>
      <w:bookmarkStart w:id="112" w:name="_Toc404926127"/>
      <w:r w:rsidRPr="00CE21C4">
        <w:rPr>
          <w:rFonts w:cs="Times New Roman"/>
        </w:rPr>
        <w:t>History of the Efficiencies Defence</w:t>
      </w:r>
      <w:bookmarkEnd w:id="109"/>
      <w:bookmarkEnd w:id="110"/>
      <w:bookmarkEnd w:id="111"/>
      <w:bookmarkEnd w:id="112"/>
    </w:p>
    <w:p w:rsidR="00E35AE4" w:rsidRPr="00CE21C4" w:rsidRDefault="00E35AE4" w:rsidP="00154FA9">
      <w:pPr>
        <w:pStyle w:val="ParaNoNdepar-AltN"/>
        <w:rPr>
          <w:rFonts w:cs="Times New Roman"/>
        </w:rPr>
      </w:pPr>
      <w:r w:rsidRPr="00CE21C4">
        <w:rPr>
          <w:rFonts w:cs="Times New Roman"/>
        </w:rPr>
        <w:t xml:space="preserve">Section 96 was included as part of the new </w:t>
      </w:r>
      <w:r w:rsidRPr="00CE21C4">
        <w:rPr>
          <w:rFonts w:cs="Times New Roman"/>
          <w:i/>
        </w:rPr>
        <w:t>Competition Act</w:t>
      </w:r>
      <w:r w:rsidRPr="00CE21C4">
        <w:rPr>
          <w:rFonts w:cs="Times New Roman"/>
        </w:rPr>
        <w:t xml:space="preserve">, proclaimed into force on June 19, 1986. The process of reforming Canada’s competition laws began in 1966 when the federal government requested a study from the Economic Council of Canada. The Council’s 1969 report “identified economic efficiency as the overriding policy objective” of legislative reform (A. N. Campbell, </w:t>
      </w:r>
      <w:r w:rsidRPr="00CE21C4">
        <w:rPr>
          <w:rFonts w:cs="Times New Roman"/>
          <w:i/>
        </w:rPr>
        <w:t xml:space="preserve">Merger Law and </w:t>
      </w:r>
      <w:r w:rsidRPr="00CE21C4">
        <w:rPr>
          <w:rFonts w:cs="Times New Roman"/>
          <w:i/>
        </w:rPr>
        <w:lastRenderedPageBreak/>
        <w:t>Practice: The Regulation of Mergers Under the Competition Act</w:t>
      </w:r>
      <w:r w:rsidRPr="00CE21C4">
        <w:rPr>
          <w:rFonts w:cs="Times New Roman"/>
        </w:rPr>
        <w:t xml:space="preserve"> (1997), at p. 21). After a number of attempts to amend the legislation and following a lengthy and extensive consultative process, the new </w:t>
      </w:r>
      <w:r w:rsidRPr="00CE21C4">
        <w:rPr>
          <w:rFonts w:cs="Times New Roman"/>
          <w:i/>
        </w:rPr>
        <w:t xml:space="preserve">Competition Act </w:t>
      </w:r>
      <w:r w:rsidRPr="00CE21C4">
        <w:rPr>
          <w:rFonts w:cs="Times New Roman"/>
        </w:rPr>
        <w:t xml:space="preserve">was introduced. This amendment process reflected concerns </w:t>
      </w:r>
      <w:proofErr w:type="gramStart"/>
      <w:r w:rsidRPr="00CE21C4">
        <w:rPr>
          <w:rFonts w:cs="Times New Roman"/>
        </w:rPr>
        <w:t>raised</w:t>
      </w:r>
      <w:proofErr w:type="gramEnd"/>
      <w:r w:rsidRPr="00CE21C4">
        <w:rPr>
          <w:rFonts w:cs="Times New Roman"/>
        </w:rPr>
        <w:t xml:space="preserve"> about the number of significant mergers taking place in Canada (</w:t>
      </w:r>
      <w:proofErr w:type="spellStart"/>
      <w:r w:rsidRPr="00CE21C4">
        <w:rPr>
          <w:rFonts w:cs="Times New Roman"/>
        </w:rPr>
        <w:t>Facey</w:t>
      </w:r>
      <w:proofErr w:type="spellEnd"/>
      <w:r w:rsidRPr="00CE21C4">
        <w:rPr>
          <w:rFonts w:cs="Times New Roman"/>
        </w:rPr>
        <w:t xml:space="preserve"> and </w:t>
      </w:r>
      <w:proofErr w:type="spellStart"/>
      <w:r w:rsidRPr="00CE21C4">
        <w:rPr>
          <w:rFonts w:cs="Times New Roman"/>
        </w:rPr>
        <w:t>Assaf</w:t>
      </w:r>
      <w:proofErr w:type="spellEnd"/>
      <w:r w:rsidRPr="00CE21C4">
        <w:rPr>
          <w:rFonts w:cs="Times New Roman"/>
        </w:rPr>
        <w:t xml:space="preserve">, at p. 9; see also W. T. </w:t>
      </w:r>
      <w:proofErr w:type="spellStart"/>
      <w:r w:rsidRPr="00CE21C4">
        <w:rPr>
          <w:rFonts w:cs="Times New Roman"/>
        </w:rPr>
        <w:t>Stanbury</w:t>
      </w:r>
      <w:proofErr w:type="spellEnd"/>
      <w:r w:rsidRPr="00CE21C4">
        <w:rPr>
          <w:rFonts w:cs="Times New Roman"/>
        </w:rPr>
        <w:t xml:space="preserve"> and G. B. </w:t>
      </w:r>
      <w:proofErr w:type="spellStart"/>
      <w:r w:rsidRPr="00CE21C4">
        <w:rPr>
          <w:rFonts w:cs="Times New Roman"/>
        </w:rPr>
        <w:t>Reschenthaler</w:t>
      </w:r>
      <w:proofErr w:type="spellEnd"/>
      <w:r w:rsidRPr="00CE21C4">
        <w:rPr>
          <w:rFonts w:cs="Times New Roman"/>
        </w:rPr>
        <w:t xml:space="preserve">, “Reforming Canadian Competition Policy: Once More Unto the Breach” (1981), 5 </w:t>
      </w:r>
      <w:r w:rsidRPr="00CE21C4">
        <w:rPr>
          <w:rFonts w:cs="Times New Roman"/>
          <w:i/>
        </w:rPr>
        <w:t>Can. Bus. L.J.</w:t>
      </w:r>
      <w:r w:rsidRPr="00CE21C4">
        <w:rPr>
          <w:rFonts w:cs="Times New Roman"/>
        </w:rPr>
        <w:t xml:space="preserve"> 381, at p. 388). In early 1981, the federal Minister of Consumer and Corporate Affairs solicited the views of his provincial counterparts, trade associations, consumer groups and academics with respect to proposals for amending the </w:t>
      </w:r>
      <w:r w:rsidRPr="00CE21C4">
        <w:rPr>
          <w:rFonts w:cs="Times New Roman"/>
          <w:i/>
        </w:rPr>
        <w:t>Combines Investigation Act</w:t>
      </w:r>
      <w:r w:rsidRPr="00CE21C4">
        <w:rPr>
          <w:rFonts w:cs="Times New Roman"/>
        </w:rPr>
        <w:t>, R.S.C. 1970, c. C-23 (</w:t>
      </w:r>
      <w:r w:rsidRPr="00CE21C4">
        <w:rPr>
          <w:rFonts w:cs="Times New Roman"/>
          <w:i/>
        </w:rPr>
        <w:t>ibid.</w:t>
      </w:r>
      <w:r w:rsidRPr="00CE21C4">
        <w:rPr>
          <w:rFonts w:cs="Times New Roman"/>
        </w:rPr>
        <w:t>,</w:t>
      </w:r>
      <w:r w:rsidRPr="00CE21C4">
        <w:rPr>
          <w:rFonts w:cs="Times New Roman"/>
          <w:i/>
        </w:rPr>
        <w:t xml:space="preserve"> </w:t>
      </w:r>
      <w:r w:rsidR="00DB3358" w:rsidRPr="00DB3358">
        <w:rPr>
          <w:rFonts w:cs="Times New Roman"/>
        </w:rPr>
        <w:t xml:space="preserve">at </w:t>
      </w:r>
      <w:r w:rsidRPr="00CE21C4">
        <w:rPr>
          <w:rFonts w:cs="Times New Roman"/>
        </w:rPr>
        <w:t xml:space="preserve">p. 381).  This process “yielded valuable experience laying the groundwork for what was to become the </w:t>
      </w:r>
      <w:r w:rsidRPr="00CE21C4">
        <w:rPr>
          <w:rFonts w:cs="Times New Roman"/>
          <w:i/>
        </w:rPr>
        <w:t>Competition Act</w:t>
      </w:r>
      <w:r w:rsidRPr="00CE21C4">
        <w:rPr>
          <w:rFonts w:cs="Times New Roman"/>
        </w:rPr>
        <w:t>” (</w:t>
      </w:r>
      <w:proofErr w:type="spellStart"/>
      <w:r w:rsidRPr="00CE21C4">
        <w:rPr>
          <w:rFonts w:cs="Times New Roman"/>
        </w:rPr>
        <w:t>Facey</w:t>
      </w:r>
      <w:proofErr w:type="spellEnd"/>
      <w:r w:rsidRPr="00CE21C4">
        <w:rPr>
          <w:rFonts w:cs="Times New Roman"/>
        </w:rPr>
        <w:t xml:space="preserve"> and </w:t>
      </w:r>
      <w:proofErr w:type="spellStart"/>
      <w:r w:rsidRPr="00CE21C4">
        <w:rPr>
          <w:rFonts w:cs="Times New Roman"/>
        </w:rPr>
        <w:t>Assaf</w:t>
      </w:r>
      <w:proofErr w:type="spellEnd"/>
      <w:r w:rsidRPr="00CE21C4">
        <w:rPr>
          <w:rFonts w:cs="Times New Roman"/>
        </w:rPr>
        <w:t>, at p. 10).</w:t>
      </w:r>
    </w:p>
    <w:p w:rsidR="00E35AE4" w:rsidRPr="00CE21C4" w:rsidRDefault="00E35AE4" w:rsidP="00154FA9">
      <w:pPr>
        <w:pStyle w:val="ParaNoNdepar-AltN"/>
        <w:rPr>
          <w:rFonts w:cs="Times New Roman"/>
        </w:rPr>
      </w:pPr>
      <w:r w:rsidRPr="00CE21C4">
        <w:rPr>
          <w:rFonts w:cs="Times New Roman"/>
        </w:rPr>
        <w:t xml:space="preserve">Bill C-91, </w:t>
      </w:r>
      <w:r w:rsidR="00DB3358">
        <w:rPr>
          <w:rFonts w:cs="Times New Roman"/>
          <w:i/>
        </w:rPr>
        <w:t>An A</w:t>
      </w:r>
      <w:r w:rsidRPr="00CE21C4">
        <w:rPr>
          <w:rFonts w:cs="Times New Roman"/>
          <w:i/>
        </w:rPr>
        <w:t>ct to establish the Competition Tribunal and to amend the Combines Investigation Act and the Bank Act and other Acts in consequence thereof</w:t>
      </w:r>
      <w:r w:rsidR="001649F8" w:rsidRPr="001649F8">
        <w:rPr>
          <w:rFonts w:cs="Times New Roman"/>
        </w:rPr>
        <w:t>,</w:t>
      </w:r>
      <w:r w:rsidRPr="00CE21C4">
        <w:rPr>
          <w:rFonts w:cs="Times New Roman"/>
        </w:rPr>
        <w:t xml:space="preserve"> was introduced in the House of Commons in 1985 (1st Sess., 33rd</w:t>
      </w:r>
      <w:r w:rsidRPr="00CE21C4">
        <w:rPr>
          <w:rFonts w:cs="Times New Roman"/>
          <w:vertAlign w:val="superscript"/>
        </w:rPr>
        <w:t xml:space="preserve"> </w:t>
      </w:r>
      <w:r w:rsidRPr="00CE21C4">
        <w:rPr>
          <w:rFonts w:cs="Times New Roman"/>
        </w:rPr>
        <w:t xml:space="preserve">Parl., first reading Dec. 17, 1985, assented to June 17, 1986, </w:t>
      </w:r>
      <w:r w:rsidR="000300C9">
        <w:rPr>
          <w:rFonts w:cs="Times New Roman"/>
        </w:rPr>
        <w:t xml:space="preserve">S.C. </w:t>
      </w:r>
      <w:r w:rsidRPr="00CE21C4">
        <w:rPr>
          <w:rFonts w:cs="Times New Roman"/>
        </w:rPr>
        <w:t xml:space="preserve">1986, c. 26). This bill included comprehensive amendments to the </w:t>
      </w:r>
      <w:r w:rsidRPr="00CE21C4">
        <w:rPr>
          <w:rFonts w:cs="Times New Roman"/>
          <w:i/>
        </w:rPr>
        <w:t>Combines Investigation Act</w:t>
      </w:r>
      <w:r w:rsidRPr="00CE21C4">
        <w:rPr>
          <w:rFonts w:cs="Times New Roman"/>
        </w:rPr>
        <w:t>, including the creation of a new expert adjudicative body, the Competition Tribunal, and the inclusion of the efficiencies defence (</w:t>
      </w:r>
      <w:proofErr w:type="spellStart"/>
      <w:r w:rsidRPr="00CE21C4">
        <w:rPr>
          <w:rFonts w:cs="Times New Roman"/>
        </w:rPr>
        <w:t>Facey</w:t>
      </w:r>
      <w:proofErr w:type="spellEnd"/>
      <w:r w:rsidRPr="00CE21C4">
        <w:rPr>
          <w:rFonts w:cs="Times New Roman"/>
        </w:rPr>
        <w:t xml:space="preserve"> and </w:t>
      </w:r>
      <w:proofErr w:type="spellStart"/>
      <w:r w:rsidRPr="00CE21C4">
        <w:rPr>
          <w:rFonts w:cs="Times New Roman"/>
        </w:rPr>
        <w:t>Assaf</w:t>
      </w:r>
      <w:proofErr w:type="spellEnd"/>
      <w:r w:rsidRPr="00CE21C4">
        <w:rPr>
          <w:rFonts w:cs="Times New Roman"/>
        </w:rPr>
        <w:t xml:space="preserve">, at pp. 9-10). </w:t>
      </w:r>
    </w:p>
    <w:p w:rsidR="00E35AE4" w:rsidRPr="00CE21C4" w:rsidRDefault="00E35AE4" w:rsidP="00154FA9">
      <w:pPr>
        <w:pStyle w:val="ParaNoNdepar-AltN"/>
        <w:rPr>
          <w:rFonts w:cs="Times New Roman"/>
        </w:rPr>
      </w:pPr>
      <w:r w:rsidRPr="00CE21C4">
        <w:rPr>
          <w:rFonts w:cs="Times New Roman"/>
        </w:rPr>
        <w:t xml:space="preserve">A stand-alone statutory efficiencies defence was considered “particularly appropriate for Canada because a small domestic market often precludes more than a few firms from operating at efficient levels of production and because Canadian firms need to be able to exploit scale economies to remain competitive internationally” </w:t>
      </w:r>
      <w:r w:rsidRPr="00CE21C4">
        <w:rPr>
          <w:rFonts w:cs="Times New Roman"/>
        </w:rPr>
        <w:lastRenderedPageBreak/>
        <w:t xml:space="preserve">(Campbell, at p. 152; see also </w:t>
      </w:r>
      <w:r w:rsidRPr="00CE21C4">
        <w:rPr>
          <w:rFonts w:cs="Times New Roman"/>
          <w:i/>
        </w:rPr>
        <w:t>House of Commons Debates</w:t>
      </w:r>
      <w:r w:rsidRPr="00CE21C4">
        <w:rPr>
          <w:rFonts w:cs="Times New Roman"/>
        </w:rPr>
        <w:t xml:space="preserve">, vol. VIII, 1st Sess., 33rd Parl., April 7, 1986, at p. 11962; Minister of Consumer and Corporate Affairs, </w:t>
      </w:r>
      <w:r w:rsidRPr="00CE21C4">
        <w:rPr>
          <w:rFonts w:cs="Times New Roman"/>
          <w:i/>
        </w:rPr>
        <w:t>Competition Law Amendments: A Guide</w:t>
      </w:r>
      <w:r w:rsidRPr="00CE21C4">
        <w:rPr>
          <w:rFonts w:cs="Times New Roman"/>
        </w:rPr>
        <w:t xml:space="preserve"> (1985), at p. 4). In the context of the relatively small Canadian economy, to which international trade is important, the efficiencies defence is Parliamentary recognition that, in some cases, consolidation is more beneficial than competition (</w:t>
      </w:r>
      <w:r w:rsidRPr="00CE21C4">
        <w:rPr>
          <w:rFonts w:cs="Times New Roman"/>
          <w:i/>
        </w:rPr>
        <w:t>ibid.</w:t>
      </w:r>
      <w:r w:rsidRPr="00CE21C4">
        <w:rPr>
          <w:rFonts w:cs="Times New Roman"/>
        </w:rPr>
        <w:t xml:space="preserve">, at pp. 15-17). </w:t>
      </w:r>
    </w:p>
    <w:p w:rsidR="00E35AE4" w:rsidRPr="00CE21C4" w:rsidRDefault="00E35AE4" w:rsidP="00154FA9">
      <w:pPr>
        <w:pStyle w:val="Title3LevelTitre3Niveau"/>
        <w:rPr>
          <w:rFonts w:cs="Times New Roman"/>
        </w:rPr>
      </w:pPr>
      <w:bookmarkStart w:id="113" w:name="_Toc396299548"/>
      <w:bookmarkStart w:id="114" w:name="_Toc397586779"/>
      <w:bookmarkStart w:id="115" w:name="_Toc397607019"/>
      <w:bookmarkStart w:id="116" w:name="_Toc404926128"/>
      <w:r w:rsidRPr="00CE21C4">
        <w:rPr>
          <w:rFonts w:cs="Times New Roman"/>
        </w:rPr>
        <w:t>Jurisprudential History of Section 96</w:t>
      </w:r>
      <w:bookmarkEnd w:id="113"/>
      <w:bookmarkEnd w:id="114"/>
      <w:bookmarkEnd w:id="115"/>
      <w:bookmarkEnd w:id="116"/>
    </w:p>
    <w:p w:rsidR="00E35AE4" w:rsidRPr="00CE21C4" w:rsidRDefault="00E35AE4" w:rsidP="00154FA9">
      <w:pPr>
        <w:pStyle w:val="ParaNoNdepar-AltN"/>
        <w:rPr>
          <w:rFonts w:cs="Times New Roman"/>
        </w:rPr>
      </w:pPr>
      <w:r w:rsidRPr="00CE21C4">
        <w:rPr>
          <w:rFonts w:cs="Times New Roman"/>
        </w:rPr>
        <w:t xml:space="preserve">The leading case law on the interpretation of the efficiencies defence remains the </w:t>
      </w:r>
      <w:r w:rsidRPr="00CE21C4">
        <w:rPr>
          <w:rFonts w:cs="Times New Roman"/>
          <w:i/>
        </w:rPr>
        <w:t>Superior Propane</w:t>
      </w:r>
      <w:r w:rsidRPr="00CE21C4">
        <w:rPr>
          <w:rFonts w:cs="Times New Roman"/>
        </w:rPr>
        <w:t xml:space="preserve"> series of cases, which began when the Commissioner applied to the Tribunal seeking an order to prevent a merger between the two largest national distributors of propane (</w:t>
      </w:r>
      <w:r w:rsidRPr="00CE21C4">
        <w:rPr>
          <w:rFonts w:cs="Times New Roman"/>
          <w:i/>
        </w:rPr>
        <w:t>Superior Propane I</w:t>
      </w:r>
      <w:r w:rsidRPr="00CE21C4">
        <w:rPr>
          <w:rFonts w:cs="Times New Roman"/>
        </w:rPr>
        <w:t xml:space="preserve">, </w:t>
      </w:r>
      <w:proofErr w:type="spellStart"/>
      <w:r w:rsidRPr="00CE21C4">
        <w:rPr>
          <w:rFonts w:cs="Times New Roman"/>
        </w:rPr>
        <w:t>rev’d</w:t>
      </w:r>
      <w:proofErr w:type="spellEnd"/>
      <w:r w:rsidRPr="00CE21C4">
        <w:rPr>
          <w:rFonts w:cs="Times New Roman"/>
        </w:rPr>
        <w:t xml:space="preserve"> on other grounds in </w:t>
      </w:r>
      <w:r w:rsidRPr="00CE21C4">
        <w:rPr>
          <w:rFonts w:cs="Times New Roman"/>
          <w:i/>
        </w:rPr>
        <w:t>Superior Propane II</w:t>
      </w:r>
      <w:r w:rsidRPr="00CE21C4">
        <w:rPr>
          <w:rFonts w:cs="Times New Roman"/>
        </w:rPr>
        <w:t xml:space="preserve">, leave to appeal </w:t>
      </w:r>
      <w:r w:rsidR="00D6667F">
        <w:rPr>
          <w:rFonts w:cs="Times New Roman"/>
        </w:rPr>
        <w:t>dismiss</w:t>
      </w:r>
      <w:r w:rsidRPr="00CE21C4">
        <w:rPr>
          <w:rFonts w:cs="Times New Roman"/>
        </w:rPr>
        <w:t xml:space="preserve">ed, [2001] 2 S.C.R. xiii; redetermination in </w:t>
      </w:r>
      <w:r w:rsidRPr="00CE21C4">
        <w:rPr>
          <w:rFonts w:cs="Times New Roman"/>
          <w:i/>
        </w:rPr>
        <w:t>Canada (Commissioner of Competition) v. Superior Propane Inc.</w:t>
      </w:r>
      <w:r w:rsidR="00ED3826">
        <w:rPr>
          <w:rFonts w:cs="Times New Roman"/>
        </w:rPr>
        <w:t xml:space="preserve">, </w:t>
      </w:r>
      <w:r w:rsidRPr="00CE21C4">
        <w:rPr>
          <w:rFonts w:cs="Times New Roman"/>
        </w:rPr>
        <w:t>2002</w:t>
      </w:r>
      <w:r w:rsidR="00ED3826">
        <w:rPr>
          <w:rFonts w:cs="Times New Roman"/>
        </w:rPr>
        <w:t xml:space="preserve"> Comp. Trib. 16</w:t>
      </w:r>
      <w:r w:rsidRPr="00CE21C4">
        <w:rPr>
          <w:rFonts w:cs="Times New Roman"/>
        </w:rPr>
        <w:t>, 18 C.P.R. (4th) 417 (“</w:t>
      </w:r>
      <w:r w:rsidRPr="00CE21C4">
        <w:rPr>
          <w:rFonts w:cs="Times New Roman"/>
          <w:i/>
        </w:rPr>
        <w:t>Superior Propane III</w:t>
      </w:r>
      <w:r w:rsidRPr="00CE21C4">
        <w:rPr>
          <w:rFonts w:cs="Times New Roman"/>
        </w:rPr>
        <w:t xml:space="preserve">”), </w:t>
      </w:r>
      <w:proofErr w:type="spellStart"/>
      <w:r w:rsidRPr="00CE21C4">
        <w:rPr>
          <w:rFonts w:cs="Times New Roman"/>
        </w:rPr>
        <w:t>aff’d</w:t>
      </w:r>
      <w:proofErr w:type="spellEnd"/>
      <w:r w:rsidRPr="00CE21C4">
        <w:rPr>
          <w:rFonts w:cs="Times New Roman"/>
        </w:rPr>
        <w:t xml:space="preserve"> 2003 FCA 53, [2003] 3 F.C. 529 (“</w:t>
      </w:r>
      <w:r w:rsidRPr="00CE21C4">
        <w:rPr>
          <w:rFonts w:cs="Times New Roman"/>
          <w:i/>
        </w:rPr>
        <w:t>Superior Propane IV</w:t>
      </w:r>
      <w:r w:rsidRPr="00CE21C4">
        <w:rPr>
          <w:rFonts w:cs="Times New Roman"/>
        </w:rPr>
        <w:t>”)</w:t>
      </w:r>
      <w:r w:rsidR="001649F8">
        <w:rPr>
          <w:rFonts w:cs="Times New Roman"/>
        </w:rPr>
        <w:t>)</w:t>
      </w:r>
      <w:r w:rsidRPr="00CE21C4">
        <w:rPr>
          <w:rFonts w:cs="Times New Roman"/>
        </w:rPr>
        <w:t xml:space="preserve">. Although this Court is not bound by these decisions, the </w:t>
      </w:r>
      <w:r w:rsidRPr="00CE21C4">
        <w:rPr>
          <w:rFonts w:cs="Times New Roman"/>
          <w:i/>
        </w:rPr>
        <w:t xml:space="preserve">Superior Propane </w:t>
      </w:r>
      <w:r w:rsidRPr="00CE21C4">
        <w:rPr>
          <w:rFonts w:cs="Times New Roman"/>
        </w:rPr>
        <w:t>cases considered a number of factors relevant to the efficiencies defence and its application.</w:t>
      </w:r>
    </w:p>
    <w:p w:rsidR="00E35AE4" w:rsidRPr="00CE21C4" w:rsidRDefault="008452F6" w:rsidP="00154FA9">
      <w:pPr>
        <w:pStyle w:val="ParaNoNdepar-AltN"/>
        <w:rPr>
          <w:rFonts w:cs="Times New Roman"/>
        </w:rPr>
      </w:pPr>
      <w:r>
        <w:rPr>
          <w:rFonts w:cs="Times New Roman"/>
        </w:rPr>
        <w:t xml:space="preserve">The </w:t>
      </w:r>
      <w:r w:rsidR="00E35AE4" w:rsidRPr="00CE21C4">
        <w:rPr>
          <w:rFonts w:cs="Times New Roman"/>
          <w:i/>
        </w:rPr>
        <w:t>Superior Propane</w:t>
      </w:r>
      <w:r w:rsidR="002D4755">
        <w:rPr>
          <w:rFonts w:cs="Times New Roman"/>
          <w:i/>
        </w:rPr>
        <w:t xml:space="preserve"> I</w:t>
      </w:r>
      <w:r w:rsidR="00E35AE4" w:rsidRPr="00CE21C4">
        <w:rPr>
          <w:rFonts w:cs="Times New Roman"/>
          <w:i/>
        </w:rPr>
        <w:t xml:space="preserve"> </w:t>
      </w:r>
      <w:r w:rsidR="00E35AE4" w:rsidRPr="00CE21C4">
        <w:rPr>
          <w:rFonts w:cs="Times New Roman"/>
        </w:rPr>
        <w:t xml:space="preserve">case confirmed that s. 96 is a defence to the application of s. 92 (paras. 398-99). As such, the onus of alleging and proving that efficiency gains from the merger will be greater than and will offset the effects of any prevention or lessening of competition resulting from the merger falls upon the </w:t>
      </w:r>
      <w:r w:rsidR="00E35AE4" w:rsidRPr="00CE21C4">
        <w:rPr>
          <w:rFonts w:cs="Times New Roman"/>
        </w:rPr>
        <w:lastRenderedPageBreak/>
        <w:t>merging parties (</w:t>
      </w:r>
      <w:r w:rsidR="00E35AE4" w:rsidRPr="00CE21C4">
        <w:rPr>
          <w:rFonts w:cs="Times New Roman"/>
          <w:i/>
        </w:rPr>
        <w:t>Superior Propane I</w:t>
      </w:r>
      <w:r w:rsidR="00E35AE4" w:rsidRPr="00CE21C4">
        <w:rPr>
          <w:rFonts w:cs="Times New Roman"/>
        </w:rPr>
        <w:t xml:space="preserve">, at </w:t>
      </w:r>
      <w:proofErr w:type="spellStart"/>
      <w:r w:rsidR="00E35AE4" w:rsidRPr="00CE21C4">
        <w:rPr>
          <w:rFonts w:cs="Times New Roman"/>
        </w:rPr>
        <w:t>para</w:t>
      </w:r>
      <w:proofErr w:type="spellEnd"/>
      <w:r w:rsidR="00E35AE4" w:rsidRPr="00CE21C4">
        <w:rPr>
          <w:rFonts w:cs="Times New Roman"/>
        </w:rPr>
        <w:t xml:space="preserve">. 399; </w:t>
      </w:r>
      <w:r w:rsidR="00E35AE4" w:rsidRPr="00CE21C4">
        <w:rPr>
          <w:rFonts w:cs="Times New Roman"/>
          <w:i/>
        </w:rPr>
        <w:t>Superior Propane II</w:t>
      </w:r>
      <w:r w:rsidR="00E35AE4" w:rsidRPr="00CE21C4">
        <w:rPr>
          <w:rFonts w:cs="Times New Roman"/>
        </w:rPr>
        <w:t xml:space="preserve">, at </w:t>
      </w:r>
      <w:proofErr w:type="spellStart"/>
      <w:r w:rsidR="00E35AE4" w:rsidRPr="00CE21C4">
        <w:rPr>
          <w:rFonts w:cs="Times New Roman"/>
        </w:rPr>
        <w:t>para</w:t>
      </w:r>
      <w:proofErr w:type="spellEnd"/>
      <w:r w:rsidR="00E35AE4" w:rsidRPr="00CE21C4">
        <w:rPr>
          <w:rFonts w:cs="Times New Roman"/>
        </w:rPr>
        <w:t>. 154;</w:t>
      </w:r>
      <w:r w:rsidR="00E35AE4" w:rsidRPr="00CE21C4">
        <w:rPr>
          <w:rFonts w:cs="Times New Roman"/>
          <w:i/>
        </w:rPr>
        <w:t xml:space="preserve"> Superior Propane IV</w:t>
      </w:r>
      <w:r w:rsidR="00E35AE4" w:rsidRPr="00CE21C4">
        <w:rPr>
          <w:rFonts w:cs="Times New Roman"/>
        </w:rPr>
        <w:t xml:space="preserve">, at </w:t>
      </w:r>
      <w:proofErr w:type="spellStart"/>
      <w:r w:rsidR="00E35AE4" w:rsidRPr="00CE21C4">
        <w:rPr>
          <w:rFonts w:cs="Times New Roman"/>
        </w:rPr>
        <w:t>para</w:t>
      </w:r>
      <w:proofErr w:type="spellEnd"/>
      <w:r w:rsidR="00E35AE4" w:rsidRPr="00CE21C4">
        <w:rPr>
          <w:rFonts w:cs="Times New Roman"/>
        </w:rPr>
        <w:t xml:space="preserve">. 64). </w:t>
      </w:r>
    </w:p>
    <w:p w:rsidR="00E35AE4" w:rsidRPr="00CE21C4" w:rsidRDefault="00E35AE4" w:rsidP="00154FA9">
      <w:pPr>
        <w:pStyle w:val="ParaNoNdepar-AltN"/>
        <w:rPr>
          <w:rFonts w:cs="Times New Roman"/>
        </w:rPr>
      </w:pPr>
      <w:r w:rsidRPr="00CE21C4">
        <w:rPr>
          <w:rFonts w:cs="Times New Roman"/>
        </w:rPr>
        <w:t xml:space="preserve">The s. 96 efficiencies defence requires an analysis of whether the efficiency gains of the merger, which result from the integration of resources, outweigh the anti-competitive effects, which result from the decrease in or absence of competition in the relevant geographic and product market.  As the Federal Court of Appeal explained in </w:t>
      </w:r>
      <w:r w:rsidRPr="00CE21C4">
        <w:rPr>
          <w:rFonts w:cs="Times New Roman"/>
          <w:i/>
        </w:rPr>
        <w:t>Superior Propane II</w:t>
      </w:r>
      <w:r w:rsidRPr="00CE21C4">
        <w:rPr>
          <w:rFonts w:cs="Times New Roman"/>
        </w:rPr>
        <w:t>, “This is, in substance, a balancing test that weighs efficiencies on one hand, against anti-competitive effects on the other” (</w:t>
      </w:r>
      <w:proofErr w:type="spellStart"/>
      <w:r w:rsidRPr="00CE21C4">
        <w:rPr>
          <w:rFonts w:cs="Times New Roman"/>
        </w:rPr>
        <w:t>para</w:t>
      </w:r>
      <w:proofErr w:type="spellEnd"/>
      <w:r w:rsidRPr="00CE21C4">
        <w:rPr>
          <w:rFonts w:cs="Times New Roman"/>
        </w:rPr>
        <w:t>. 95).</w:t>
      </w:r>
      <w:r w:rsidRPr="00CE21C4">
        <w:rPr>
          <w:rFonts w:cs="Times New Roman"/>
          <w:i/>
        </w:rPr>
        <w:t xml:space="preserve"> </w:t>
      </w:r>
      <w:r w:rsidRPr="00CE21C4">
        <w:rPr>
          <w:rFonts w:cs="Times New Roman"/>
        </w:rPr>
        <w:t xml:space="preserve"> </w:t>
      </w:r>
    </w:p>
    <w:p w:rsidR="00E35AE4" w:rsidRPr="00CE21C4" w:rsidRDefault="00E35AE4" w:rsidP="00154FA9">
      <w:pPr>
        <w:pStyle w:val="Title3LevelTitre3Niveau"/>
        <w:rPr>
          <w:rFonts w:cs="Times New Roman"/>
        </w:rPr>
      </w:pPr>
      <w:bookmarkStart w:id="117" w:name="_Toc397586780"/>
      <w:bookmarkStart w:id="118" w:name="_Toc397607020"/>
      <w:bookmarkStart w:id="119" w:name="_Toc404926129"/>
      <w:r w:rsidRPr="00CE21C4">
        <w:rPr>
          <w:rFonts w:cs="Times New Roman"/>
        </w:rPr>
        <w:t>Methodological Approaches to Section 96</w:t>
      </w:r>
      <w:bookmarkEnd w:id="117"/>
      <w:bookmarkEnd w:id="118"/>
      <w:bookmarkEnd w:id="119"/>
      <w:r w:rsidRPr="00CE21C4">
        <w:rPr>
          <w:rFonts w:cs="Times New Roman"/>
        </w:rPr>
        <w:t xml:space="preserve"> </w:t>
      </w:r>
    </w:p>
    <w:p w:rsidR="00E35AE4" w:rsidRPr="00CE21C4" w:rsidRDefault="00E35AE4" w:rsidP="00154FA9">
      <w:pPr>
        <w:pStyle w:val="ParaNoNdepar-AltN"/>
        <w:rPr>
          <w:rFonts w:cs="Times New Roman"/>
        </w:rPr>
      </w:pPr>
      <w:r w:rsidRPr="00CE21C4">
        <w:rPr>
          <w:rFonts w:cs="Times New Roman"/>
        </w:rPr>
        <w:t>There are different possible methodologies for the comparative exercise under s. 96 (</w:t>
      </w:r>
      <w:proofErr w:type="spellStart"/>
      <w:r w:rsidRPr="00CE21C4">
        <w:rPr>
          <w:rFonts w:cs="Times New Roman"/>
        </w:rPr>
        <w:t>Facey</w:t>
      </w:r>
      <w:proofErr w:type="spellEnd"/>
      <w:r w:rsidRPr="00CE21C4">
        <w:rPr>
          <w:rFonts w:cs="Times New Roman"/>
        </w:rPr>
        <w:t xml:space="preserve"> and Brown, at pp. 256-57). In Canada, two main standards have been the subject of judicial consideration: the “total surplus standard” and the “balancing weights standard”.  For both standards, two types of economic surplus are relevant: producer surplus and consumer surplus. </w:t>
      </w:r>
    </w:p>
    <w:p w:rsidR="00E35AE4" w:rsidRPr="00CE21C4" w:rsidRDefault="00E35AE4" w:rsidP="00154FA9">
      <w:pPr>
        <w:pStyle w:val="ParaNoNdepar-AltN"/>
        <w:rPr>
          <w:rFonts w:cs="Times New Roman"/>
        </w:rPr>
      </w:pPr>
      <w:r w:rsidRPr="00CE21C4">
        <w:rPr>
          <w:rFonts w:cs="Times New Roman"/>
        </w:rPr>
        <w:t>Producer surplus “measures how much more producers are able to collect in revenue for a product than their cost of producing it</w:t>
      </w:r>
      <w:r w:rsidR="00562C15">
        <w:rPr>
          <w:rFonts w:cs="Times New Roman"/>
        </w:rPr>
        <w:t>”</w:t>
      </w:r>
      <w:r w:rsidRPr="00CE21C4">
        <w:rPr>
          <w:rFonts w:cs="Times New Roman"/>
        </w:rPr>
        <w:t xml:space="preserve"> (</w:t>
      </w:r>
      <w:proofErr w:type="spellStart"/>
      <w:r w:rsidRPr="00CE21C4">
        <w:rPr>
          <w:rFonts w:cs="Times New Roman"/>
        </w:rPr>
        <w:t>Facey</w:t>
      </w:r>
      <w:proofErr w:type="spellEnd"/>
      <w:r w:rsidRPr="00CE21C4">
        <w:rPr>
          <w:rFonts w:cs="Times New Roman"/>
        </w:rPr>
        <w:t xml:space="preserve"> and Brown, at p. 256). Producer surplus therefore represents the wealth that accrues to producers. Consumer surplus is “a measure of how much more the consumers of a product would have been willing to pay to purchase the product compared to the prevailing market price” </w:t>
      </w:r>
      <w:r w:rsidRPr="00CE21C4">
        <w:rPr>
          <w:rFonts w:cs="Times New Roman"/>
        </w:rPr>
        <w:lastRenderedPageBreak/>
        <w:t>(</w:t>
      </w:r>
      <w:r w:rsidR="00562C15" w:rsidRPr="00562C15">
        <w:rPr>
          <w:rFonts w:cs="Times New Roman"/>
          <w:i/>
        </w:rPr>
        <w:t>ibid.</w:t>
      </w:r>
      <w:r w:rsidRPr="00CE21C4">
        <w:rPr>
          <w:rFonts w:cs="Times New Roman"/>
        </w:rPr>
        <w:t xml:space="preserve">). Consumer surplus therefore represents the savings that accrue to consumers from what they would have been willing to pay. </w:t>
      </w:r>
    </w:p>
    <w:p w:rsidR="00E35AE4" w:rsidRPr="00CE21C4" w:rsidRDefault="00E35AE4" w:rsidP="00154FA9">
      <w:pPr>
        <w:pStyle w:val="ParaNoNdepar-AltN"/>
        <w:rPr>
          <w:rFonts w:cs="Times New Roman"/>
        </w:rPr>
      </w:pPr>
      <w:r w:rsidRPr="00CE21C4">
        <w:rPr>
          <w:rFonts w:cs="Times New Roman"/>
        </w:rPr>
        <w:t xml:space="preserve">The term “total surplus” refers to the sum of producer and consumer surplus (see </w:t>
      </w:r>
      <w:proofErr w:type="spellStart"/>
      <w:r w:rsidRPr="00CE21C4">
        <w:rPr>
          <w:rFonts w:cs="Times New Roman"/>
        </w:rPr>
        <w:t>Facey</w:t>
      </w:r>
      <w:proofErr w:type="spellEnd"/>
      <w:r w:rsidRPr="00CE21C4">
        <w:rPr>
          <w:rFonts w:cs="Times New Roman"/>
        </w:rPr>
        <w:t xml:space="preserve"> and Brown, at p. 256). If a producer covers its costs, including its cost of capital, by selling a unit of a product at $20 and a consumer is willing to buy the unit for $40, then the total surplus created by the unit is $20. If the eventual sale price is $30, for example, then each of producer and consumer </w:t>
      </w:r>
      <w:proofErr w:type="gramStart"/>
      <w:r w:rsidRPr="00CE21C4">
        <w:rPr>
          <w:rFonts w:cs="Times New Roman"/>
        </w:rPr>
        <w:t>surplus</w:t>
      </w:r>
      <w:proofErr w:type="gramEnd"/>
      <w:r w:rsidRPr="00CE21C4">
        <w:rPr>
          <w:rFonts w:cs="Times New Roman"/>
        </w:rPr>
        <w:t xml:space="preserve"> </w:t>
      </w:r>
      <w:r w:rsidR="00AF4C42">
        <w:rPr>
          <w:rFonts w:cs="Times New Roman"/>
        </w:rPr>
        <w:t>is</w:t>
      </w:r>
      <w:r w:rsidRPr="00CE21C4">
        <w:rPr>
          <w:rFonts w:cs="Times New Roman"/>
        </w:rPr>
        <w:t xml:space="preserve"> increased by $10 as a result of the transaction. The total surplus in the economy represents the aggregate of the total surplus created by each unit produced. </w:t>
      </w:r>
    </w:p>
    <w:p w:rsidR="00E35AE4" w:rsidRPr="00CE21C4" w:rsidRDefault="00E35AE4" w:rsidP="00154FA9">
      <w:pPr>
        <w:pStyle w:val="ParaNoNdepar-AltN"/>
        <w:rPr>
          <w:rFonts w:cs="Times New Roman"/>
        </w:rPr>
      </w:pPr>
      <w:r w:rsidRPr="00CE21C4">
        <w:rPr>
          <w:rFonts w:cs="Times New Roman"/>
        </w:rPr>
        <w:t>The total surplus standard involves quantifying the deadweight loss which will result from a merger — “the amount by which total surplus is reduced under certain market conditions that reduce the quantity of a good that is supplied” (</w:t>
      </w:r>
      <w:proofErr w:type="spellStart"/>
      <w:r w:rsidRPr="00CE21C4">
        <w:rPr>
          <w:rFonts w:cs="Times New Roman"/>
        </w:rPr>
        <w:t>Facey</w:t>
      </w:r>
      <w:proofErr w:type="spellEnd"/>
      <w:r w:rsidRPr="00CE21C4">
        <w:rPr>
          <w:rFonts w:cs="Times New Roman"/>
        </w:rPr>
        <w:t xml:space="preserve"> and Brown, at pp. 256-57). Deadweight loss “results from the fall in demand for the merged entities’ products following a post-merger increase in price, and the inefficient allocation of resources that occurs when, as prices rise, consumers purchase a less suitable substitute” (</w:t>
      </w:r>
      <w:r w:rsidRPr="00CE21C4">
        <w:rPr>
          <w:rFonts w:cs="Times New Roman"/>
          <w:i/>
        </w:rPr>
        <w:t>Superior Propane IV</w:t>
      </w:r>
      <w:r w:rsidRPr="00CE21C4">
        <w:rPr>
          <w:rFonts w:cs="Times New Roman"/>
        </w:rPr>
        <w:t>,</w:t>
      </w:r>
      <w:r w:rsidRPr="00CE21C4">
        <w:rPr>
          <w:rFonts w:cs="Times New Roman"/>
          <w:i/>
        </w:rPr>
        <w:t xml:space="preserve"> </w:t>
      </w:r>
      <w:r w:rsidRPr="00CE21C4">
        <w:rPr>
          <w:rFonts w:cs="Times New Roman"/>
        </w:rPr>
        <w:t xml:space="preserve">at </w:t>
      </w:r>
      <w:proofErr w:type="spellStart"/>
      <w:r w:rsidRPr="00CE21C4">
        <w:rPr>
          <w:rFonts w:cs="Times New Roman"/>
        </w:rPr>
        <w:t>para</w:t>
      </w:r>
      <w:proofErr w:type="spellEnd"/>
      <w:r w:rsidRPr="00CE21C4">
        <w:rPr>
          <w:rFonts w:cs="Times New Roman"/>
        </w:rPr>
        <w:t xml:space="preserve">. 13). Estimates of the elasticity of demand — or the degree to which demand for a product varies with its price — are necessary to calculate the deadweight loss (Tribunal decision, at </w:t>
      </w:r>
      <w:proofErr w:type="spellStart"/>
      <w:r w:rsidRPr="00CE21C4">
        <w:rPr>
          <w:rFonts w:cs="Times New Roman"/>
        </w:rPr>
        <w:t>para</w:t>
      </w:r>
      <w:proofErr w:type="spellEnd"/>
      <w:r w:rsidRPr="00CE21C4">
        <w:rPr>
          <w:rFonts w:cs="Times New Roman"/>
        </w:rPr>
        <w:t xml:space="preserve">. 244). </w:t>
      </w:r>
    </w:p>
    <w:p w:rsidR="00E35AE4" w:rsidRPr="00CE21C4" w:rsidRDefault="00E35AE4" w:rsidP="00154FA9">
      <w:pPr>
        <w:pStyle w:val="ParaNoNdepar-AltN"/>
        <w:rPr>
          <w:rFonts w:cs="Times New Roman"/>
        </w:rPr>
      </w:pPr>
      <w:r w:rsidRPr="00CE21C4">
        <w:rPr>
          <w:rFonts w:cs="Times New Roman"/>
        </w:rPr>
        <w:t>Under the total surplus standard, equal weight is given from a welfare perspective to changes in producer and consumer surplus (</w:t>
      </w:r>
      <w:proofErr w:type="spellStart"/>
      <w:r w:rsidRPr="00CE21C4">
        <w:rPr>
          <w:rFonts w:cs="Times New Roman"/>
        </w:rPr>
        <w:t>Facey</w:t>
      </w:r>
      <w:proofErr w:type="spellEnd"/>
      <w:r w:rsidRPr="00CE21C4">
        <w:rPr>
          <w:rFonts w:cs="Times New Roman"/>
        </w:rPr>
        <w:t xml:space="preserve"> and Brown, at p. 257). The decrease in total surplus resulting from decreased competition is balanced </w:t>
      </w:r>
      <w:r w:rsidRPr="00CE21C4">
        <w:rPr>
          <w:rFonts w:cs="Times New Roman"/>
        </w:rPr>
        <w:lastRenderedPageBreak/>
        <w:t xml:space="preserve">against any offsetting increase in total surplus resulting from more efficient production. The focus of this method is purely on the magnitude of the total surplus: the degree to which total surplus is allocated between producers and </w:t>
      </w:r>
      <w:proofErr w:type="gramStart"/>
      <w:r w:rsidRPr="00CE21C4">
        <w:rPr>
          <w:rFonts w:cs="Times New Roman"/>
        </w:rPr>
        <w:t>consumers is</w:t>
      </w:r>
      <w:proofErr w:type="gramEnd"/>
      <w:r w:rsidRPr="00CE21C4">
        <w:rPr>
          <w:rFonts w:cs="Times New Roman"/>
        </w:rPr>
        <w:t xml:space="preserve"> not considered. In other words, the total surplus standard measures only the total benefit flowing to the economy and is not concerned with to whom the benefits flow; the analysis of the relevant effects is limited to the deadweight loss (</w:t>
      </w:r>
      <w:r w:rsidRPr="00CE21C4">
        <w:rPr>
          <w:rFonts w:cs="Times New Roman"/>
          <w:i/>
        </w:rPr>
        <w:t>Superior Propane IV</w:t>
      </w:r>
      <w:r w:rsidRPr="00CE21C4">
        <w:rPr>
          <w:rFonts w:cs="Times New Roman"/>
        </w:rPr>
        <w:t>,</w:t>
      </w:r>
      <w:r w:rsidRPr="00CE21C4">
        <w:rPr>
          <w:rFonts w:cs="Times New Roman"/>
          <w:i/>
        </w:rPr>
        <w:t xml:space="preserve"> </w:t>
      </w:r>
      <w:r w:rsidRPr="00CE21C4">
        <w:rPr>
          <w:rFonts w:cs="Times New Roman"/>
        </w:rPr>
        <w:t xml:space="preserve">at </w:t>
      </w:r>
      <w:proofErr w:type="spellStart"/>
      <w:r w:rsidRPr="00CE21C4">
        <w:rPr>
          <w:rFonts w:cs="Times New Roman"/>
        </w:rPr>
        <w:t>para</w:t>
      </w:r>
      <w:proofErr w:type="spellEnd"/>
      <w:r w:rsidRPr="00CE21C4">
        <w:rPr>
          <w:rFonts w:cs="Times New Roman"/>
        </w:rPr>
        <w:t>. 16). Therefore, the total surplus standard “does not consider the effect of the wealth likely to be transferred from consumers to the shareholders of the merged entity as a result of the anti-competitive merger and the consequent increase of prices. This ‘wealth transfer’ or ‘redistributive effect’ is considered to be neutral” (</w:t>
      </w:r>
      <w:r w:rsidRPr="00CE21C4">
        <w:rPr>
          <w:rFonts w:cs="Times New Roman"/>
          <w:i/>
        </w:rPr>
        <w:t>Superior Propane IV</w:t>
      </w:r>
      <w:r w:rsidRPr="00CE21C4">
        <w:rPr>
          <w:rFonts w:cs="Times New Roman"/>
        </w:rPr>
        <w:t xml:space="preserve">, at </w:t>
      </w:r>
      <w:proofErr w:type="spellStart"/>
      <w:r w:rsidRPr="00CE21C4">
        <w:rPr>
          <w:rFonts w:cs="Times New Roman"/>
        </w:rPr>
        <w:t>para</w:t>
      </w:r>
      <w:proofErr w:type="spellEnd"/>
      <w:r w:rsidRPr="00CE21C4">
        <w:rPr>
          <w:rFonts w:cs="Times New Roman"/>
        </w:rPr>
        <w:t>. 14). As such, under the total surplus standard approach, an anti-competitive merger will proceed when efficiency gains to producer surplus are greater than the decrease in consumer surplus.</w:t>
      </w:r>
    </w:p>
    <w:p w:rsidR="00E35AE4" w:rsidRPr="00CE21C4" w:rsidRDefault="00E35AE4" w:rsidP="00154FA9">
      <w:pPr>
        <w:pStyle w:val="ParaNoNdepar-AltN"/>
        <w:rPr>
          <w:rFonts w:cs="Times New Roman"/>
        </w:rPr>
      </w:pPr>
      <w:r w:rsidRPr="00CE21C4">
        <w:rPr>
          <w:rFonts w:cs="Times New Roman"/>
        </w:rPr>
        <w:t xml:space="preserve">In the </w:t>
      </w:r>
      <w:r w:rsidRPr="00CE21C4">
        <w:rPr>
          <w:rFonts w:cs="Times New Roman"/>
          <w:i/>
        </w:rPr>
        <w:t>Superior Propane</w:t>
      </w:r>
      <w:r w:rsidRPr="00CE21C4">
        <w:rPr>
          <w:rFonts w:cs="Times New Roman"/>
        </w:rPr>
        <w:t xml:space="preserve"> cases, the Tribunal and the Federal Court of Appeal recognized another methodology called the “balancing weights” approach. This approach enables Tribunal members to “use their individual judgment and discretion to evaluate whether the gains to shareholders are more or less important to society than the losses of surplus imposed on consumers by the exercise of market power</w:t>
      </w:r>
      <w:r w:rsidR="00AF4C42">
        <w:rPr>
          <w:rFonts w:cs="Times New Roman"/>
        </w:rPr>
        <w:t>”</w:t>
      </w:r>
      <w:r w:rsidRPr="00CE21C4">
        <w:rPr>
          <w:rFonts w:cs="Times New Roman"/>
        </w:rPr>
        <w:t xml:space="preserve"> (</w:t>
      </w:r>
      <w:r w:rsidRPr="00CE21C4">
        <w:rPr>
          <w:rFonts w:cs="Times New Roman"/>
          <w:i/>
        </w:rPr>
        <w:t>Superior Propane I</w:t>
      </w:r>
      <w:r w:rsidRPr="00CE21C4">
        <w:rPr>
          <w:rFonts w:cs="Times New Roman"/>
        </w:rPr>
        <w:t xml:space="preserve">, at </w:t>
      </w:r>
      <w:proofErr w:type="spellStart"/>
      <w:r w:rsidRPr="00CE21C4">
        <w:rPr>
          <w:rFonts w:cs="Times New Roman"/>
        </w:rPr>
        <w:t>para</w:t>
      </w:r>
      <w:proofErr w:type="spellEnd"/>
      <w:r w:rsidRPr="00CE21C4">
        <w:rPr>
          <w:rFonts w:cs="Times New Roman"/>
        </w:rPr>
        <w:t>. 431).</w:t>
      </w:r>
    </w:p>
    <w:p w:rsidR="00E35AE4" w:rsidRPr="00CE21C4" w:rsidRDefault="00E35AE4" w:rsidP="00154FA9">
      <w:pPr>
        <w:pStyle w:val="ParaNoNdepar-AltN"/>
        <w:rPr>
          <w:rFonts w:cs="Times New Roman"/>
        </w:rPr>
      </w:pPr>
      <w:r w:rsidRPr="00CE21C4">
        <w:rPr>
          <w:rFonts w:cs="Times New Roman"/>
        </w:rPr>
        <w:t xml:space="preserve">As explained in </w:t>
      </w:r>
      <w:r w:rsidRPr="00CE21C4">
        <w:rPr>
          <w:rFonts w:cs="Times New Roman"/>
          <w:i/>
        </w:rPr>
        <w:t>Superior Propane IV</w:t>
      </w:r>
      <w:r w:rsidRPr="00CE21C4">
        <w:rPr>
          <w:rFonts w:cs="Times New Roman"/>
        </w:rPr>
        <w:t xml:space="preserve">, under the balancing weights approach, the Tribunal weighs the effects of the merger on consumers against the effects of the merger on the shareholders of the merged entity. The Tribunal first determines the relative weights to be assigned to producer gains and consumer losses, </w:t>
      </w:r>
      <w:r w:rsidRPr="00CE21C4">
        <w:rPr>
          <w:rFonts w:cs="Times New Roman"/>
        </w:rPr>
        <w:lastRenderedPageBreak/>
        <w:t>to equate them, or to make the wealth transfer neutral in effect. Then, the Tribunal engages in a value judgment process to conclude whether the assigned weights are reasonable in light of any disparity between the incomes of the relevant consumers and shareholders of the merged entity (</w:t>
      </w:r>
      <w:r w:rsidRPr="00CE21C4">
        <w:rPr>
          <w:rFonts w:cs="Times New Roman"/>
          <w:i/>
        </w:rPr>
        <w:t>Superior Propane IV</w:t>
      </w:r>
      <w:r w:rsidRPr="00CE21C4">
        <w:rPr>
          <w:rFonts w:cs="Times New Roman"/>
        </w:rPr>
        <w:t>,</w:t>
      </w:r>
      <w:r w:rsidRPr="00CE21C4">
        <w:rPr>
          <w:rFonts w:cs="Times New Roman"/>
          <w:i/>
        </w:rPr>
        <w:t xml:space="preserve"> </w:t>
      </w:r>
      <w:r w:rsidRPr="00CE21C4">
        <w:rPr>
          <w:rFonts w:cs="Times New Roman"/>
        </w:rPr>
        <w:t xml:space="preserve">at </w:t>
      </w:r>
      <w:proofErr w:type="spellStart"/>
      <w:r w:rsidRPr="00CE21C4">
        <w:rPr>
          <w:rFonts w:cs="Times New Roman"/>
        </w:rPr>
        <w:t>para</w:t>
      </w:r>
      <w:proofErr w:type="spellEnd"/>
      <w:r w:rsidRPr="00CE21C4">
        <w:rPr>
          <w:rFonts w:cs="Times New Roman"/>
        </w:rPr>
        <w:t>. 20).</w:t>
      </w:r>
    </w:p>
    <w:p w:rsidR="00E35AE4" w:rsidRPr="00CE21C4" w:rsidRDefault="00E35AE4" w:rsidP="00154FA9">
      <w:pPr>
        <w:pStyle w:val="ParaNoNdepar-AltN"/>
        <w:rPr>
          <w:rFonts w:cs="Times New Roman"/>
        </w:rPr>
      </w:pPr>
      <w:r w:rsidRPr="00CE21C4">
        <w:rPr>
          <w:rFonts w:cs="Times New Roman"/>
        </w:rPr>
        <w:t xml:space="preserve">The Tribunal may also adopt a modified version of the balancing weights approach (see </w:t>
      </w:r>
      <w:r w:rsidRPr="00CE21C4">
        <w:rPr>
          <w:rFonts w:cs="Times New Roman"/>
          <w:i/>
        </w:rPr>
        <w:t>Superior Propane IV</w:t>
      </w:r>
      <w:r w:rsidRPr="00CE21C4">
        <w:rPr>
          <w:rFonts w:cs="Times New Roman"/>
        </w:rPr>
        <w:t>, at paras. 21 and 26). Under this modified approach, socially adverse redistribution effects, or the portion of the wealth transfer that is attributable to higher prices paid by low-income households, may be taken into account as an anti-competitive effect, while components of the wealth transfer that are not socially adverse may be treated as neutral (</w:t>
      </w:r>
      <w:r w:rsidRPr="00CE21C4">
        <w:rPr>
          <w:rFonts w:cs="Times New Roman"/>
          <w:i/>
        </w:rPr>
        <w:t>Superior Propane III</w:t>
      </w:r>
      <w:r w:rsidRPr="00CE21C4">
        <w:rPr>
          <w:rFonts w:cs="Times New Roman"/>
        </w:rPr>
        <w:t>,</w:t>
      </w:r>
      <w:r w:rsidRPr="00CE21C4">
        <w:rPr>
          <w:rFonts w:cs="Times New Roman"/>
          <w:i/>
        </w:rPr>
        <w:t xml:space="preserve"> </w:t>
      </w:r>
      <w:r w:rsidRPr="00CE21C4">
        <w:rPr>
          <w:rFonts w:cs="Times New Roman"/>
        </w:rPr>
        <w:t xml:space="preserve">at </w:t>
      </w:r>
      <w:proofErr w:type="spellStart"/>
      <w:r w:rsidRPr="00CE21C4">
        <w:rPr>
          <w:rFonts w:cs="Times New Roman"/>
        </w:rPr>
        <w:t>para</w:t>
      </w:r>
      <w:proofErr w:type="spellEnd"/>
      <w:r w:rsidRPr="00CE21C4">
        <w:rPr>
          <w:rFonts w:cs="Times New Roman"/>
        </w:rPr>
        <w:t xml:space="preserve">. 333). </w:t>
      </w:r>
    </w:p>
    <w:p w:rsidR="00E35AE4" w:rsidRPr="00CE21C4" w:rsidRDefault="00E35AE4" w:rsidP="00154FA9">
      <w:pPr>
        <w:pStyle w:val="ParaNoNdepar-AltN"/>
        <w:rPr>
          <w:rFonts w:cs="Times New Roman"/>
        </w:rPr>
      </w:pPr>
      <w:r w:rsidRPr="00CE21C4">
        <w:rPr>
          <w:rFonts w:cs="Times New Roman"/>
        </w:rPr>
        <w:t>However, there is no mandated “correct” methodology for the s. 96 analysis (</w:t>
      </w:r>
      <w:r w:rsidRPr="00CE21C4">
        <w:rPr>
          <w:rFonts w:cs="Times New Roman"/>
          <w:i/>
        </w:rPr>
        <w:t>Superior Propane II</w:t>
      </w:r>
      <w:r w:rsidRPr="00CE21C4">
        <w:rPr>
          <w:rFonts w:cs="Times New Roman"/>
        </w:rPr>
        <w:t xml:space="preserve">, at paras. 139-42). The statute does not set out which standard should be used. From an economic perspective, there are arguments in favour of the total surplus standard (see M. </w:t>
      </w:r>
      <w:proofErr w:type="spellStart"/>
      <w:r w:rsidRPr="00CE21C4">
        <w:rPr>
          <w:rFonts w:cs="Times New Roman"/>
        </w:rPr>
        <w:t>Trebilcock</w:t>
      </w:r>
      <w:proofErr w:type="spellEnd"/>
      <w:r w:rsidRPr="00CE21C4">
        <w:rPr>
          <w:rFonts w:cs="Times New Roman"/>
        </w:rPr>
        <w:t xml:space="preserve"> et al., </w:t>
      </w:r>
      <w:r w:rsidRPr="00CE21C4">
        <w:rPr>
          <w:rFonts w:cs="Times New Roman"/>
          <w:i/>
        </w:rPr>
        <w:t xml:space="preserve">The Law and Economics of Canadian Competition Policy </w:t>
      </w:r>
      <w:r w:rsidR="00AF4C42">
        <w:rPr>
          <w:rFonts w:cs="Times New Roman"/>
        </w:rPr>
        <w:t>(2002),</w:t>
      </w:r>
      <w:r w:rsidRPr="00CE21C4">
        <w:rPr>
          <w:rFonts w:cs="Times New Roman"/>
        </w:rPr>
        <w:t xml:space="preserve"> at pp. 146-51). However, that is not the issue before this Court and, for the purpose of this </w:t>
      </w:r>
      <w:proofErr w:type="gramStart"/>
      <w:r w:rsidRPr="00CE21C4">
        <w:rPr>
          <w:rFonts w:cs="Times New Roman"/>
        </w:rPr>
        <w:t>case,</w:t>
      </w:r>
      <w:proofErr w:type="gramEnd"/>
      <w:r w:rsidRPr="00CE21C4">
        <w:rPr>
          <w:rFonts w:cs="Times New Roman"/>
        </w:rPr>
        <w:t xml:space="preserve"> it suffices to say that </w:t>
      </w:r>
      <w:r w:rsidRPr="00CE21C4">
        <w:rPr>
          <w:rFonts w:cs="Times New Roman"/>
          <w:i/>
        </w:rPr>
        <w:t xml:space="preserve">Superior Propane II </w:t>
      </w:r>
      <w:r w:rsidRPr="00CE21C4">
        <w:rPr>
          <w:rFonts w:cs="Times New Roman"/>
        </w:rPr>
        <w:t xml:space="preserve">established that the Tribunal has the flexibility to make the ultimate choice of methodology in view of the particular circumstances of each merger.  </w:t>
      </w:r>
    </w:p>
    <w:p w:rsidR="00E35AE4" w:rsidRPr="00CE21C4" w:rsidRDefault="00E35AE4" w:rsidP="00154FA9">
      <w:pPr>
        <w:pStyle w:val="ParaNoNdepar-AltN"/>
        <w:rPr>
          <w:rFonts w:cs="Times New Roman"/>
        </w:rPr>
      </w:pPr>
      <w:r w:rsidRPr="00CE21C4">
        <w:rPr>
          <w:rFonts w:cs="Times New Roman"/>
        </w:rPr>
        <w:t>The Tribunal should consider all available quantitative and qualitative evidence (</w:t>
      </w:r>
      <w:r w:rsidRPr="00CE21C4">
        <w:rPr>
          <w:rFonts w:cs="Times New Roman"/>
          <w:i/>
        </w:rPr>
        <w:t>Superior Propane I</w:t>
      </w:r>
      <w:r w:rsidRPr="00CE21C4">
        <w:rPr>
          <w:rFonts w:cs="Times New Roman"/>
        </w:rPr>
        <w:t>,</w:t>
      </w:r>
      <w:r w:rsidRPr="00CE21C4">
        <w:rPr>
          <w:rFonts w:cs="Times New Roman"/>
          <w:i/>
        </w:rPr>
        <w:t xml:space="preserve"> </w:t>
      </w:r>
      <w:r w:rsidRPr="00CE21C4">
        <w:rPr>
          <w:rFonts w:cs="Times New Roman"/>
        </w:rPr>
        <w:t xml:space="preserve">at </w:t>
      </w:r>
      <w:proofErr w:type="spellStart"/>
      <w:r w:rsidRPr="00CE21C4">
        <w:rPr>
          <w:rFonts w:cs="Times New Roman"/>
        </w:rPr>
        <w:t>para</w:t>
      </w:r>
      <w:proofErr w:type="spellEnd"/>
      <w:r w:rsidRPr="00CE21C4">
        <w:rPr>
          <w:rFonts w:cs="Times New Roman"/>
        </w:rPr>
        <w:t xml:space="preserve">. 461; </w:t>
      </w:r>
      <w:r w:rsidRPr="00CE21C4">
        <w:rPr>
          <w:rFonts w:cs="Times New Roman"/>
          <w:i/>
        </w:rPr>
        <w:t>Superior Propane III</w:t>
      </w:r>
      <w:r w:rsidRPr="00CE21C4">
        <w:rPr>
          <w:rFonts w:cs="Times New Roman"/>
        </w:rPr>
        <w:t xml:space="preserve">, at </w:t>
      </w:r>
      <w:proofErr w:type="spellStart"/>
      <w:r w:rsidRPr="00CE21C4">
        <w:rPr>
          <w:rFonts w:cs="Times New Roman"/>
        </w:rPr>
        <w:t>para</w:t>
      </w:r>
      <w:proofErr w:type="spellEnd"/>
      <w:r w:rsidRPr="00CE21C4">
        <w:rPr>
          <w:rFonts w:cs="Times New Roman"/>
        </w:rPr>
        <w:t xml:space="preserve">. 335).  While quantitative aspects of a merger are those which can be measured and reduced to dollar amounts, qualitative elements of a merger, including in some cases such </w:t>
      </w:r>
      <w:r w:rsidRPr="00CE21C4">
        <w:rPr>
          <w:rFonts w:cs="Times New Roman"/>
        </w:rPr>
        <w:lastRenderedPageBreak/>
        <w:t xml:space="preserve">things as better or worse service or lower or higher quality, may not be measurable as they are dependent on individual preferences in the market (see </w:t>
      </w:r>
      <w:r w:rsidRPr="00CE21C4">
        <w:rPr>
          <w:rFonts w:cs="Times New Roman"/>
          <w:i/>
        </w:rPr>
        <w:t>Superior Propane I</w:t>
      </w:r>
      <w:r w:rsidRPr="00CE21C4">
        <w:rPr>
          <w:rFonts w:cs="Times New Roman"/>
        </w:rPr>
        <w:t>, at paras. 459-60). Effects that can be quantified should be quantified, even as estimates. If effects are realistically measurable, failure to at least estimate the quantification of those effects will not result in the effects being assessed on a qualitative basis (</w:t>
      </w:r>
      <w:r w:rsidRPr="00CE21C4">
        <w:rPr>
          <w:rFonts w:cs="Times New Roman"/>
          <w:i/>
        </w:rPr>
        <w:t>Superior Propane III</w:t>
      </w:r>
      <w:r w:rsidRPr="00CE21C4">
        <w:rPr>
          <w:rFonts w:cs="Times New Roman"/>
        </w:rPr>
        <w:t xml:space="preserve">, at </w:t>
      </w:r>
      <w:proofErr w:type="spellStart"/>
      <w:r w:rsidRPr="00CE21C4">
        <w:rPr>
          <w:rFonts w:cs="Times New Roman"/>
        </w:rPr>
        <w:t>para</w:t>
      </w:r>
      <w:proofErr w:type="spellEnd"/>
      <w:r w:rsidRPr="00CE21C4">
        <w:rPr>
          <w:rFonts w:cs="Times New Roman"/>
        </w:rPr>
        <w:t xml:space="preserve">. 233; </w:t>
      </w:r>
      <w:r w:rsidRPr="00CE21C4">
        <w:rPr>
          <w:rFonts w:cs="Times New Roman"/>
          <w:i/>
        </w:rPr>
        <w:t>Superior Propane IV</w:t>
      </w:r>
      <w:r w:rsidRPr="00CE21C4">
        <w:rPr>
          <w:rFonts w:cs="Times New Roman"/>
        </w:rPr>
        <w:t xml:space="preserve">, at </w:t>
      </w:r>
      <w:proofErr w:type="spellStart"/>
      <w:r w:rsidRPr="00CE21C4">
        <w:rPr>
          <w:rFonts w:cs="Times New Roman"/>
        </w:rPr>
        <w:t>para</w:t>
      </w:r>
      <w:proofErr w:type="spellEnd"/>
      <w:r w:rsidRPr="00CE21C4">
        <w:rPr>
          <w:rFonts w:cs="Times New Roman"/>
        </w:rPr>
        <w:t>. 35).</w:t>
      </w:r>
    </w:p>
    <w:p w:rsidR="00E35AE4" w:rsidRPr="00CE21C4" w:rsidRDefault="00E35AE4" w:rsidP="00154FA9">
      <w:pPr>
        <w:pStyle w:val="ParaNoNdepar-AltN"/>
        <w:rPr>
          <w:rFonts w:cs="Times New Roman"/>
        </w:rPr>
      </w:pPr>
      <w:r w:rsidRPr="00CE21C4">
        <w:rPr>
          <w:rFonts w:cs="Times New Roman"/>
        </w:rPr>
        <w:t xml:space="preserve">The above principles developed in the </w:t>
      </w:r>
      <w:r w:rsidRPr="00CE21C4">
        <w:rPr>
          <w:rFonts w:cs="Times New Roman"/>
          <w:i/>
        </w:rPr>
        <w:t>Superior Propane</w:t>
      </w:r>
      <w:r w:rsidRPr="00CE21C4">
        <w:rPr>
          <w:rFonts w:cs="Times New Roman"/>
        </w:rPr>
        <w:t xml:space="preserve"> series of cases provide the foundation for the analysis of the s. 96 efficiencies defence. These principles serve as the backdrop to the legal issues in the present case: consideration of whether specific efficiencies are valid efficiencies for the purposes of the defence and the proper approach to the balancing exercise under s. 96. </w:t>
      </w:r>
    </w:p>
    <w:p w:rsidR="00E35AE4" w:rsidRPr="00CE21C4" w:rsidRDefault="00E35AE4" w:rsidP="00154FA9">
      <w:pPr>
        <w:pStyle w:val="Title3LevelTitre3Niveau"/>
        <w:jc w:val="both"/>
        <w:rPr>
          <w:rFonts w:cs="Times New Roman"/>
        </w:rPr>
      </w:pPr>
      <w:bookmarkStart w:id="120" w:name="_Toc396299549"/>
      <w:bookmarkStart w:id="121" w:name="_Toc397586781"/>
      <w:bookmarkStart w:id="122" w:name="_Toc397607021"/>
      <w:bookmarkStart w:id="123" w:name="_Toc404926130"/>
      <w:r w:rsidRPr="00CE21C4">
        <w:rPr>
          <w:rFonts w:cs="Times New Roman"/>
        </w:rPr>
        <w:t>Order Implementation Efficiencies Are Not Valid Efficiencies Under Section 96</w:t>
      </w:r>
      <w:bookmarkEnd w:id="120"/>
      <w:bookmarkEnd w:id="121"/>
      <w:bookmarkEnd w:id="122"/>
      <w:bookmarkEnd w:id="123"/>
    </w:p>
    <w:p w:rsidR="00E35AE4" w:rsidRPr="00CE21C4" w:rsidRDefault="00E35AE4" w:rsidP="00154FA9">
      <w:pPr>
        <w:pStyle w:val="ParaNoNdepar-AltN"/>
        <w:rPr>
          <w:rFonts w:cs="Times New Roman"/>
        </w:rPr>
      </w:pPr>
      <w:r w:rsidRPr="00CE21C4">
        <w:rPr>
          <w:rFonts w:cs="Times New Roman"/>
        </w:rPr>
        <w:t xml:space="preserve">In the context of a merger, efficiencies are pro-competitive benefits. As Brian A. </w:t>
      </w:r>
      <w:proofErr w:type="spellStart"/>
      <w:r w:rsidRPr="00CE21C4">
        <w:rPr>
          <w:rFonts w:cs="Times New Roman"/>
        </w:rPr>
        <w:t>Facey</w:t>
      </w:r>
      <w:proofErr w:type="spellEnd"/>
      <w:r w:rsidRPr="00CE21C4">
        <w:rPr>
          <w:rFonts w:cs="Times New Roman"/>
        </w:rPr>
        <w:t xml:space="preserve"> and Cassandra Brown explain, “Economists’ conception of efficiency revolves around the benefit, value or satisfaction that accrues to society due to the actions and choices of its members” (p. 253). There are three components: (1) production efficiency, which “is achieved when output is produced using the most cost-effective combination of productive resources available under existing technology”; (2) innovation or dynamic efficiency, which “is achieved through the invention, development and diffusion of new products and production processes”; and (3) </w:t>
      </w:r>
      <w:proofErr w:type="spellStart"/>
      <w:r w:rsidRPr="00CE21C4">
        <w:rPr>
          <w:rFonts w:cs="Times New Roman"/>
        </w:rPr>
        <w:t>allocative</w:t>
      </w:r>
      <w:proofErr w:type="spellEnd"/>
      <w:r w:rsidRPr="00CE21C4">
        <w:rPr>
          <w:rFonts w:cs="Times New Roman"/>
        </w:rPr>
        <w:t xml:space="preserve"> efficiency, which “is achieved when the existing stock of goods and </w:t>
      </w:r>
      <w:r w:rsidRPr="00CE21C4">
        <w:rPr>
          <w:rFonts w:cs="Times New Roman"/>
        </w:rPr>
        <w:lastRenderedPageBreak/>
        <w:t>productive output is allocated throughout the price system to those buyers who value them most in terms of willingness to pay, such that ‘resources available to society are allocated to their most valuable use’” (</w:t>
      </w:r>
      <w:proofErr w:type="spellStart"/>
      <w:r w:rsidRPr="00CE21C4">
        <w:rPr>
          <w:rFonts w:cs="Times New Roman"/>
        </w:rPr>
        <w:t>Facey</w:t>
      </w:r>
      <w:proofErr w:type="spellEnd"/>
      <w:r w:rsidRPr="00CE21C4">
        <w:rPr>
          <w:rFonts w:cs="Times New Roman"/>
        </w:rPr>
        <w:t xml:space="preserve"> and Brown, at pp. 253-55, quoting Competition Bureau, </w:t>
      </w:r>
      <w:r w:rsidRPr="00CE21C4">
        <w:rPr>
          <w:rFonts w:cs="Times New Roman"/>
          <w:i/>
        </w:rPr>
        <w:t>Merger Enforcement Guidelines</w:t>
      </w:r>
      <w:r w:rsidRPr="00CE21C4">
        <w:rPr>
          <w:rFonts w:cs="Times New Roman"/>
        </w:rPr>
        <w:t xml:space="preserve"> (2011), at </w:t>
      </w:r>
      <w:proofErr w:type="spellStart"/>
      <w:r w:rsidRPr="00CE21C4">
        <w:rPr>
          <w:rFonts w:cs="Times New Roman"/>
        </w:rPr>
        <w:t>para</w:t>
      </w:r>
      <w:proofErr w:type="spellEnd"/>
      <w:r w:rsidRPr="00CE21C4">
        <w:rPr>
          <w:rFonts w:cs="Times New Roman"/>
        </w:rPr>
        <w:t>. 12.4).</w:t>
      </w:r>
    </w:p>
    <w:p w:rsidR="00E35AE4" w:rsidRPr="00CE21C4" w:rsidRDefault="00E35AE4" w:rsidP="00154FA9">
      <w:pPr>
        <w:pStyle w:val="ParaNoNdepar-AltN"/>
        <w:rPr>
          <w:rFonts w:cs="Times New Roman"/>
        </w:rPr>
      </w:pPr>
      <w:proofErr w:type="spellStart"/>
      <w:r w:rsidRPr="00CE21C4">
        <w:rPr>
          <w:rFonts w:cs="Times New Roman"/>
        </w:rPr>
        <w:t>Tervita</w:t>
      </w:r>
      <w:proofErr w:type="spellEnd"/>
      <w:r w:rsidRPr="00CE21C4">
        <w:rPr>
          <w:rFonts w:cs="Times New Roman"/>
        </w:rPr>
        <w:t xml:space="preserve"> argues that the Tribunal erred in rejecting valid efficiencies from its consideration of the efficiency gains, namely those referred to by the Tribunal as OIEs. </w:t>
      </w:r>
      <w:proofErr w:type="spellStart"/>
      <w:r w:rsidRPr="00CE21C4">
        <w:rPr>
          <w:rFonts w:cs="Times New Roman"/>
        </w:rPr>
        <w:t>Tervita</w:t>
      </w:r>
      <w:proofErr w:type="spellEnd"/>
      <w:r w:rsidRPr="00CE21C4">
        <w:rPr>
          <w:rFonts w:cs="Times New Roman"/>
        </w:rPr>
        <w:t xml:space="preserve"> submits that all economic efficiencies, however arising, should be considered. </w:t>
      </w:r>
    </w:p>
    <w:p w:rsidR="00E35AE4" w:rsidRPr="00CE21C4" w:rsidRDefault="00E35AE4" w:rsidP="00154FA9">
      <w:pPr>
        <w:pStyle w:val="ParaNoNdepar-AltN"/>
        <w:rPr>
          <w:rFonts w:cs="Times New Roman"/>
        </w:rPr>
      </w:pPr>
      <w:proofErr w:type="spellStart"/>
      <w:r w:rsidRPr="00CE21C4">
        <w:rPr>
          <w:rFonts w:cs="Times New Roman"/>
        </w:rPr>
        <w:t>Tervita</w:t>
      </w:r>
      <w:proofErr w:type="spellEnd"/>
      <w:r w:rsidRPr="00CE21C4">
        <w:rPr>
          <w:rFonts w:cs="Times New Roman"/>
        </w:rPr>
        <w:t xml:space="preserve"> claimed certain transportation and market expansion efficiencies which </w:t>
      </w:r>
      <w:proofErr w:type="spellStart"/>
      <w:r w:rsidRPr="00CE21C4">
        <w:rPr>
          <w:rFonts w:cs="Times New Roman"/>
        </w:rPr>
        <w:t>Tervita</w:t>
      </w:r>
      <w:proofErr w:type="spellEnd"/>
      <w:r w:rsidRPr="00CE21C4">
        <w:rPr>
          <w:rFonts w:cs="Times New Roman"/>
        </w:rPr>
        <w:t xml:space="preserve"> could have attained more quickly than a third party purchaser of the </w:t>
      </w:r>
      <w:proofErr w:type="spellStart"/>
      <w:r w:rsidRPr="00CE21C4">
        <w:rPr>
          <w:rFonts w:cs="Times New Roman"/>
        </w:rPr>
        <w:t>Babkirk</w:t>
      </w:r>
      <w:proofErr w:type="spellEnd"/>
      <w:r w:rsidRPr="00CE21C4">
        <w:rPr>
          <w:rFonts w:cs="Times New Roman"/>
        </w:rPr>
        <w:t xml:space="preserve"> site (A.F., at </w:t>
      </w:r>
      <w:proofErr w:type="spellStart"/>
      <w:r w:rsidRPr="00CE21C4">
        <w:rPr>
          <w:rFonts w:cs="Times New Roman"/>
        </w:rPr>
        <w:t>para</w:t>
      </w:r>
      <w:proofErr w:type="spellEnd"/>
      <w:r w:rsidRPr="00CE21C4">
        <w:rPr>
          <w:rFonts w:cs="Times New Roman"/>
        </w:rPr>
        <w:t xml:space="preserve">. 100). As the Federal Court of Appeal explained, the </w:t>
      </w:r>
      <w:r w:rsidRPr="00CE21C4">
        <w:rPr>
          <w:rFonts w:cs="Times New Roman"/>
          <w:i/>
        </w:rPr>
        <w:t>transportation</w:t>
      </w:r>
      <w:r w:rsidRPr="00CE21C4">
        <w:rPr>
          <w:rFonts w:cs="Times New Roman"/>
        </w:rPr>
        <w:t xml:space="preserve"> gains in efficiency are “productive gains in efficiency realized by the c</w:t>
      </w:r>
      <w:r w:rsidR="00AF4C42">
        <w:rPr>
          <w:rFonts w:cs="Times New Roman"/>
        </w:rPr>
        <w:t xml:space="preserve">ustomers who are closer to the </w:t>
      </w:r>
      <w:proofErr w:type="spellStart"/>
      <w:r w:rsidRPr="00CE21C4">
        <w:rPr>
          <w:rFonts w:cs="Times New Roman"/>
        </w:rPr>
        <w:t>Babkirk</w:t>
      </w:r>
      <w:proofErr w:type="spellEnd"/>
      <w:r w:rsidR="00AF4C42">
        <w:rPr>
          <w:rFonts w:cs="Times New Roman"/>
        </w:rPr>
        <w:t xml:space="preserve"> s</w:t>
      </w:r>
      <w:r w:rsidRPr="00CE21C4">
        <w:rPr>
          <w:rFonts w:cs="Times New Roman"/>
        </w:rPr>
        <w:t xml:space="preserve">ite, than to </w:t>
      </w:r>
      <w:proofErr w:type="spellStart"/>
      <w:r w:rsidRPr="00CE21C4">
        <w:rPr>
          <w:rFonts w:cs="Times New Roman"/>
        </w:rPr>
        <w:t>Tervita’s</w:t>
      </w:r>
      <w:proofErr w:type="spellEnd"/>
      <w:r w:rsidRPr="00CE21C4">
        <w:rPr>
          <w:rFonts w:cs="Times New Roman"/>
        </w:rPr>
        <w:t xml:space="preserve"> Silverberry secure landfill. Since </w:t>
      </w:r>
      <w:proofErr w:type="spellStart"/>
      <w:r w:rsidRPr="00CE21C4">
        <w:rPr>
          <w:rFonts w:cs="Times New Roman"/>
        </w:rPr>
        <w:t>Tervita</w:t>
      </w:r>
      <w:proofErr w:type="spellEnd"/>
      <w:r w:rsidRPr="00CE21C4">
        <w:rPr>
          <w:rFonts w:cs="Times New Roman"/>
        </w:rPr>
        <w:t xml:space="preserve"> acquired the site</w:t>
      </w:r>
      <w:r w:rsidR="00AF4C42">
        <w:rPr>
          <w:rFonts w:cs="Times New Roman"/>
        </w:rPr>
        <w:t xml:space="preserve"> allegedly to open a full-</w:t>
      </w:r>
      <w:r w:rsidRPr="00CE21C4">
        <w:rPr>
          <w:rFonts w:cs="Times New Roman"/>
        </w:rPr>
        <w:t>service secure landfill operation there, customers located closer to that site would achieve transportation cost savings” (</w:t>
      </w:r>
      <w:proofErr w:type="spellStart"/>
      <w:r w:rsidRPr="00CE21C4">
        <w:rPr>
          <w:rFonts w:cs="Times New Roman"/>
        </w:rPr>
        <w:t>para</w:t>
      </w:r>
      <w:proofErr w:type="spellEnd"/>
      <w:r w:rsidRPr="00CE21C4">
        <w:rPr>
          <w:rFonts w:cs="Times New Roman"/>
        </w:rPr>
        <w:t xml:space="preserve">. 131). </w:t>
      </w:r>
      <w:proofErr w:type="spellStart"/>
      <w:r w:rsidRPr="00CE21C4">
        <w:rPr>
          <w:rFonts w:cs="Times New Roman"/>
        </w:rPr>
        <w:t>Tervita</w:t>
      </w:r>
      <w:proofErr w:type="spellEnd"/>
      <w:r w:rsidRPr="00CE21C4">
        <w:rPr>
          <w:rFonts w:cs="Times New Roman"/>
        </w:rPr>
        <w:t xml:space="preserve"> asserted before the Tribunal that, had the Commissioner not intervened, it would have already been operating a secure landfill at the </w:t>
      </w:r>
      <w:proofErr w:type="spellStart"/>
      <w:r w:rsidRPr="00CE21C4">
        <w:rPr>
          <w:rFonts w:cs="Times New Roman"/>
        </w:rPr>
        <w:t>Babkirk</w:t>
      </w:r>
      <w:proofErr w:type="spellEnd"/>
      <w:r w:rsidRPr="00CE21C4">
        <w:rPr>
          <w:rFonts w:cs="Times New Roman"/>
        </w:rPr>
        <w:t xml:space="preserve"> site by the spring of 2012 (Tribunal decision, at </w:t>
      </w:r>
      <w:proofErr w:type="spellStart"/>
      <w:r w:rsidRPr="00CE21C4">
        <w:rPr>
          <w:rFonts w:cs="Times New Roman"/>
        </w:rPr>
        <w:t>para</w:t>
      </w:r>
      <w:proofErr w:type="spellEnd"/>
      <w:r w:rsidRPr="00CE21C4">
        <w:rPr>
          <w:rFonts w:cs="Times New Roman"/>
        </w:rPr>
        <w:t xml:space="preserve">. 269). However, a third party purchaser would have been unlikely to have a secure landfill in operation before the spring of 2013. Only </w:t>
      </w:r>
      <w:proofErr w:type="spellStart"/>
      <w:r w:rsidRPr="00CE21C4">
        <w:rPr>
          <w:rFonts w:cs="Times New Roman"/>
        </w:rPr>
        <w:t>Tervita</w:t>
      </w:r>
      <w:proofErr w:type="spellEnd"/>
      <w:r w:rsidRPr="00CE21C4">
        <w:rPr>
          <w:rFonts w:cs="Times New Roman"/>
        </w:rPr>
        <w:t xml:space="preserve"> therefore could have enabled customers to achieve these additional transportation efficiencies for that one-year period.</w:t>
      </w:r>
    </w:p>
    <w:p w:rsidR="00E35AE4" w:rsidRPr="00CE21C4" w:rsidRDefault="00E35AE4" w:rsidP="00154FA9">
      <w:pPr>
        <w:pStyle w:val="ParaNoNdepar-AltN"/>
        <w:rPr>
          <w:rFonts w:cs="Times New Roman"/>
        </w:rPr>
      </w:pPr>
      <w:r w:rsidRPr="00CE21C4">
        <w:rPr>
          <w:rFonts w:cs="Times New Roman"/>
        </w:rPr>
        <w:lastRenderedPageBreak/>
        <w:t xml:space="preserve">The </w:t>
      </w:r>
      <w:r w:rsidRPr="00CE21C4">
        <w:rPr>
          <w:rFonts w:cs="Times New Roman"/>
          <w:i/>
        </w:rPr>
        <w:t xml:space="preserve">market </w:t>
      </w:r>
      <w:r w:rsidRPr="00CE21C4">
        <w:rPr>
          <w:rFonts w:cs="Times New Roman"/>
        </w:rPr>
        <w:t xml:space="preserve">gains in efficiency are the result of additional hazardous waste which would be disposed at the </w:t>
      </w:r>
      <w:proofErr w:type="spellStart"/>
      <w:r w:rsidRPr="00CE21C4">
        <w:rPr>
          <w:rFonts w:cs="Times New Roman"/>
        </w:rPr>
        <w:t>Babkirk</w:t>
      </w:r>
      <w:proofErr w:type="spellEnd"/>
      <w:r w:rsidRPr="00CE21C4">
        <w:rPr>
          <w:rFonts w:cs="Times New Roman"/>
        </w:rPr>
        <w:t xml:space="preserve"> site secure landfill: “Since there are significant costs and risks associated with transporting such waste over long distances to the Silverberry secure landfill, a site requiring a shorter transportat</w:t>
      </w:r>
      <w:r w:rsidR="00AF4C42">
        <w:rPr>
          <w:rFonts w:cs="Times New Roman"/>
        </w:rPr>
        <w:t xml:space="preserve">ion route (such as the </w:t>
      </w:r>
      <w:proofErr w:type="spellStart"/>
      <w:r w:rsidR="00AF4C42">
        <w:rPr>
          <w:rFonts w:cs="Times New Roman"/>
        </w:rPr>
        <w:t>Babkirk</w:t>
      </w:r>
      <w:proofErr w:type="spellEnd"/>
      <w:r w:rsidR="00AF4C42">
        <w:rPr>
          <w:rFonts w:cs="Times New Roman"/>
        </w:rPr>
        <w:t xml:space="preserve"> s</w:t>
      </w:r>
      <w:r w:rsidRPr="00CE21C4">
        <w:rPr>
          <w:rFonts w:cs="Times New Roman"/>
        </w:rPr>
        <w:t xml:space="preserve">ite) would attract more hazardous waste than would otherwise have been disposed of at </w:t>
      </w:r>
      <w:proofErr w:type="gramStart"/>
      <w:r w:rsidRPr="00CE21C4">
        <w:rPr>
          <w:rFonts w:cs="Times New Roman"/>
        </w:rPr>
        <w:t xml:space="preserve">Silverberry </w:t>
      </w:r>
      <w:r w:rsidR="00154FA9">
        <w:rPr>
          <w:rFonts w:cs="Times New Roman"/>
        </w:rPr>
        <w:t>.</w:t>
      </w:r>
      <w:proofErr w:type="gramEnd"/>
      <w:r w:rsidR="00154FA9">
        <w:rPr>
          <w:rFonts w:cs="Times New Roman"/>
        </w:rPr>
        <w:t> . .</w:t>
      </w:r>
      <w:r w:rsidRPr="00CE21C4">
        <w:rPr>
          <w:rFonts w:cs="Times New Roman"/>
        </w:rPr>
        <w:t xml:space="preserve">” (F.C.A. decision, at </w:t>
      </w:r>
      <w:proofErr w:type="spellStart"/>
      <w:r w:rsidRPr="00CE21C4">
        <w:rPr>
          <w:rFonts w:cs="Times New Roman"/>
        </w:rPr>
        <w:t>para</w:t>
      </w:r>
      <w:proofErr w:type="spellEnd"/>
      <w:r w:rsidRPr="00CE21C4">
        <w:rPr>
          <w:rFonts w:cs="Times New Roman"/>
        </w:rPr>
        <w:t xml:space="preserve">. 132). As with the transportation gains in efficiency, </w:t>
      </w:r>
      <w:proofErr w:type="spellStart"/>
      <w:r w:rsidRPr="00CE21C4">
        <w:rPr>
          <w:rFonts w:cs="Times New Roman"/>
        </w:rPr>
        <w:t>Tervita</w:t>
      </w:r>
      <w:proofErr w:type="spellEnd"/>
      <w:r w:rsidRPr="00CE21C4">
        <w:rPr>
          <w:rFonts w:cs="Times New Roman"/>
        </w:rPr>
        <w:t xml:space="preserve"> would have been able to achieve the market gains one year earlier than a third party purchaser — from the spring of 2012 to the spring of 2013. </w:t>
      </w:r>
    </w:p>
    <w:p w:rsidR="00E35AE4" w:rsidRPr="00CE21C4" w:rsidRDefault="00E35AE4" w:rsidP="00154FA9">
      <w:pPr>
        <w:pStyle w:val="ParaNoNdepar-AltN"/>
        <w:rPr>
          <w:rFonts w:cs="Times New Roman"/>
        </w:rPr>
      </w:pPr>
      <w:r w:rsidRPr="00CE21C4">
        <w:rPr>
          <w:rFonts w:cs="Times New Roman"/>
        </w:rPr>
        <w:t xml:space="preserve">The Tribunal held that these one-year transportation and market efficiency gains were a result of the time associated with the implementation of its divestiture order, including the time required to effect the actual sale of the shares or assets of </w:t>
      </w:r>
      <w:proofErr w:type="spellStart"/>
      <w:r w:rsidRPr="00CE21C4">
        <w:rPr>
          <w:rFonts w:cs="Times New Roman"/>
        </w:rPr>
        <w:t>Babkirk</w:t>
      </w:r>
      <w:proofErr w:type="spellEnd"/>
      <w:r w:rsidRPr="00CE21C4">
        <w:rPr>
          <w:rFonts w:cs="Times New Roman"/>
        </w:rPr>
        <w:t xml:space="preserve"> (estimated to take at least six months including the due diligence process), to modify or prepare an operations plan for the landfill, for the B.C. Ministry of the Environment (“MOE”) to approve the operations plan, and for the purchaser to construct the landfill, which can only be undertaken between June and September (</w:t>
      </w:r>
      <w:proofErr w:type="spellStart"/>
      <w:r w:rsidRPr="00CE21C4">
        <w:rPr>
          <w:rFonts w:cs="Times New Roman"/>
        </w:rPr>
        <w:t>para</w:t>
      </w:r>
      <w:proofErr w:type="spellEnd"/>
      <w:r w:rsidRPr="00CE21C4">
        <w:rPr>
          <w:rFonts w:cs="Times New Roman"/>
        </w:rPr>
        <w:t xml:space="preserve">. 269).  As such, the Tribunal held that the OIEs were not cognizable efficiencies under the Act (paras. 269-70). </w:t>
      </w:r>
    </w:p>
    <w:p w:rsidR="00E35AE4" w:rsidRPr="00CE21C4" w:rsidRDefault="00E35AE4" w:rsidP="00154FA9">
      <w:pPr>
        <w:pStyle w:val="ParaNoNdepar-AltN"/>
        <w:rPr>
          <w:rFonts w:cs="Times New Roman"/>
        </w:rPr>
      </w:pPr>
      <w:r w:rsidRPr="00CE21C4">
        <w:rPr>
          <w:rFonts w:cs="Times New Roman"/>
        </w:rPr>
        <w:t xml:space="preserve">A distinction should be drawn between efficiencies claimed because a merging party would be able to bring those efficiencies into being faster than would be the case but for the merger (what could be called “early-mover” efficiencies), and efficiencies that a merging party could realize sooner than a competitor only because the competitor would be delayed in implementing those efficiencies because of legal </w:t>
      </w:r>
      <w:r w:rsidRPr="00CE21C4">
        <w:rPr>
          <w:rFonts w:cs="Times New Roman"/>
        </w:rPr>
        <w:lastRenderedPageBreak/>
        <w:t>proceedings associated with a divestiture order (what the Tribunal identified as OIEs). While, as will be discussed, OIEs are not cognizable efficiencies under s. 96, early-mover efficiencies are real economic efficiencies that are caused by the merger, and not by delays associated with legal proceedings; were it not for the merger, the economy would not gain the benefit of those efficiencies that would have accrued in the time period between the merger and the actions of a future competitor.</w:t>
      </w:r>
    </w:p>
    <w:p w:rsidR="00E35AE4" w:rsidRPr="00CE21C4" w:rsidRDefault="00E35AE4" w:rsidP="00154FA9">
      <w:pPr>
        <w:pStyle w:val="ParaNoNdepar-AltN"/>
        <w:rPr>
          <w:rFonts w:cs="Times New Roman"/>
        </w:rPr>
      </w:pPr>
      <w:r w:rsidRPr="00CE21C4">
        <w:rPr>
          <w:rFonts w:cs="Times New Roman"/>
        </w:rPr>
        <w:t xml:space="preserve">Though the Tribunal held that the one-year efficiencies claimed by </w:t>
      </w:r>
      <w:proofErr w:type="spellStart"/>
      <w:r w:rsidRPr="00CE21C4">
        <w:rPr>
          <w:rFonts w:cs="Times New Roman"/>
        </w:rPr>
        <w:t>Tervita</w:t>
      </w:r>
      <w:proofErr w:type="spellEnd"/>
      <w:r w:rsidRPr="00CE21C4">
        <w:rPr>
          <w:rFonts w:cs="Times New Roman"/>
        </w:rPr>
        <w:t xml:space="preserve"> were OIEs, the Tribunal’s reasons also appear to suggest that those efficiencies could have been classified as early-mover efficiencies. The Tribunal noted that </w:t>
      </w:r>
      <w:proofErr w:type="spellStart"/>
      <w:r w:rsidRPr="00CE21C4">
        <w:rPr>
          <w:rFonts w:cs="Times New Roman"/>
        </w:rPr>
        <w:t>Tervita</w:t>
      </w:r>
      <w:proofErr w:type="spellEnd"/>
      <w:r w:rsidRPr="00CE21C4">
        <w:rPr>
          <w:rFonts w:cs="Times New Roman"/>
        </w:rPr>
        <w:t xml:space="preserve"> would have been prepared to operate the </w:t>
      </w:r>
      <w:proofErr w:type="spellStart"/>
      <w:r w:rsidRPr="00CE21C4">
        <w:rPr>
          <w:rFonts w:cs="Times New Roman"/>
        </w:rPr>
        <w:t>Babkirk</w:t>
      </w:r>
      <w:proofErr w:type="spellEnd"/>
      <w:r w:rsidRPr="00CE21C4">
        <w:rPr>
          <w:rFonts w:cs="Times New Roman"/>
        </w:rPr>
        <w:t xml:space="preserve"> site as a secure landfill by the summer of 2012 (</w:t>
      </w:r>
      <w:proofErr w:type="spellStart"/>
      <w:r w:rsidRPr="00CE21C4">
        <w:rPr>
          <w:rFonts w:cs="Times New Roman"/>
        </w:rPr>
        <w:t>para</w:t>
      </w:r>
      <w:proofErr w:type="spellEnd"/>
      <w:r w:rsidRPr="00CE21C4">
        <w:rPr>
          <w:rFonts w:cs="Times New Roman"/>
        </w:rPr>
        <w:t xml:space="preserve">. 269), and also found that, under its “but for” analysis in which the merger would not have occurred, the site would not have been operated as a secure landfill accepting significant quantities of waste until </w:t>
      </w:r>
      <w:r w:rsidR="006F411A">
        <w:rPr>
          <w:rFonts w:cs="Times New Roman"/>
        </w:rPr>
        <w:t xml:space="preserve">the </w:t>
      </w:r>
      <w:r w:rsidRPr="00CE21C4">
        <w:rPr>
          <w:rFonts w:cs="Times New Roman"/>
        </w:rPr>
        <w:t>spring of 2013 (</w:t>
      </w:r>
      <w:proofErr w:type="spellStart"/>
      <w:r w:rsidRPr="00CE21C4">
        <w:rPr>
          <w:rFonts w:cs="Times New Roman"/>
        </w:rPr>
        <w:t>para</w:t>
      </w:r>
      <w:proofErr w:type="spellEnd"/>
      <w:r w:rsidRPr="00CE21C4">
        <w:rPr>
          <w:rFonts w:cs="Times New Roman"/>
        </w:rPr>
        <w:t xml:space="preserve">. 207). Thus, it would appear that any transportation and market expansion efficiencies arising from the operation of the </w:t>
      </w:r>
      <w:proofErr w:type="spellStart"/>
      <w:r w:rsidRPr="00CE21C4">
        <w:rPr>
          <w:rFonts w:cs="Times New Roman"/>
        </w:rPr>
        <w:t>Babkirk</w:t>
      </w:r>
      <w:proofErr w:type="spellEnd"/>
      <w:r w:rsidRPr="00CE21C4">
        <w:rPr>
          <w:rFonts w:cs="Times New Roman"/>
        </w:rPr>
        <w:t xml:space="preserve"> site as a secure landfill from 2012 to 2013 under </w:t>
      </w:r>
      <w:proofErr w:type="spellStart"/>
      <w:r w:rsidRPr="00CE21C4">
        <w:rPr>
          <w:rFonts w:cs="Times New Roman"/>
        </w:rPr>
        <w:t>Tervita’s</w:t>
      </w:r>
      <w:proofErr w:type="spellEnd"/>
      <w:r w:rsidRPr="00CE21C4">
        <w:rPr>
          <w:rFonts w:cs="Times New Roman"/>
        </w:rPr>
        <w:t xml:space="preserve"> plans could have arisen not due to delays caused by legal proceedings, but by </w:t>
      </w:r>
      <w:proofErr w:type="spellStart"/>
      <w:r w:rsidRPr="00CE21C4">
        <w:rPr>
          <w:rFonts w:cs="Times New Roman"/>
        </w:rPr>
        <w:t>Tervita’s</w:t>
      </w:r>
      <w:proofErr w:type="spellEnd"/>
      <w:r w:rsidRPr="00CE21C4">
        <w:rPr>
          <w:rFonts w:cs="Times New Roman"/>
        </w:rPr>
        <w:t xml:space="preserve"> ability to bring the site into operation sooner than a potential competitor.</w:t>
      </w:r>
    </w:p>
    <w:p w:rsidR="00E35AE4" w:rsidRPr="00CE21C4" w:rsidRDefault="00E35AE4" w:rsidP="00154FA9">
      <w:pPr>
        <w:pStyle w:val="ParaNoNdepar-AltN"/>
        <w:rPr>
          <w:rFonts w:cs="Times New Roman"/>
        </w:rPr>
      </w:pPr>
      <w:r w:rsidRPr="00CE21C4">
        <w:rPr>
          <w:rFonts w:cs="Times New Roman"/>
        </w:rPr>
        <w:t xml:space="preserve">The Tribunal’s reasons appear inconsistent on whether the facts as found by the Tribunal would properly support the classification of the one-year efficiencies at issue as early-mover efficiencies or as OIEs. However, as will be discussed below, the classification of these efficiencies in this case would not be dispositive because the efficiencies were not ultimately realized by </w:t>
      </w:r>
      <w:proofErr w:type="spellStart"/>
      <w:r w:rsidRPr="00CE21C4">
        <w:rPr>
          <w:rFonts w:cs="Times New Roman"/>
        </w:rPr>
        <w:t>Tervita</w:t>
      </w:r>
      <w:proofErr w:type="spellEnd"/>
      <w:r w:rsidRPr="00CE21C4">
        <w:rPr>
          <w:rFonts w:cs="Times New Roman"/>
        </w:rPr>
        <w:t xml:space="preserve">. Nevertheless, in light of the </w:t>
      </w:r>
      <w:r w:rsidRPr="00CE21C4">
        <w:rPr>
          <w:rFonts w:cs="Times New Roman"/>
        </w:rPr>
        <w:lastRenderedPageBreak/>
        <w:t>importance of the issue of whether OIEs should be cognizable in future cases, I turn now to an examination of that issue.</w:t>
      </w:r>
    </w:p>
    <w:p w:rsidR="00E35AE4" w:rsidRPr="00CE21C4" w:rsidRDefault="00E35AE4" w:rsidP="00154FA9">
      <w:pPr>
        <w:pStyle w:val="ParaNoNdepar-AltN"/>
        <w:rPr>
          <w:rFonts w:cs="Times New Roman"/>
        </w:rPr>
      </w:pPr>
      <w:r w:rsidRPr="00CE21C4">
        <w:rPr>
          <w:rFonts w:cs="Times New Roman"/>
        </w:rPr>
        <w:t xml:space="preserve">In </w:t>
      </w:r>
      <w:proofErr w:type="spellStart"/>
      <w:r w:rsidRPr="00CE21C4">
        <w:rPr>
          <w:rFonts w:cs="Times New Roman"/>
        </w:rPr>
        <w:t>Tervita’s</w:t>
      </w:r>
      <w:proofErr w:type="spellEnd"/>
      <w:r w:rsidRPr="00CE21C4">
        <w:rPr>
          <w:rFonts w:cs="Times New Roman"/>
        </w:rPr>
        <w:t xml:space="preserve"> submission, OIEs must be considered because s. 96 affords </w:t>
      </w:r>
      <w:proofErr w:type="spellStart"/>
      <w:r w:rsidRPr="00CE21C4">
        <w:rPr>
          <w:rFonts w:cs="Times New Roman"/>
        </w:rPr>
        <w:t>paramountcy</w:t>
      </w:r>
      <w:proofErr w:type="spellEnd"/>
      <w:r w:rsidRPr="00CE21C4">
        <w:rPr>
          <w:rFonts w:cs="Times New Roman"/>
        </w:rPr>
        <w:t xml:space="preserve"> to the statutory objective of economic efficiency such that all efficiencies, however arising, must be considered. I am unable to agree with </w:t>
      </w:r>
      <w:proofErr w:type="spellStart"/>
      <w:r w:rsidRPr="00CE21C4">
        <w:rPr>
          <w:rFonts w:cs="Times New Roman"/>
        </w:rPr>
        <w:t>Tervita</w:t>
      </w:r>
      <w:proofErr w:type="spellEnd"/>
      <w:r w:rsidRPr="00CE21C4">
        <w:rPr>
          <w:rFonts w:cs="Times New Roman"/>
        </w:rPr>
        <w:t xml:space="preserve"> on this point.</w:t>
      </w:r>
    </w:p>
    <w:p w:rsidR="00E35AE4" w:rsidRPr="00CE21C4" w:rsidRDefault="00E35AE4" w:rsidP="00154FA9">
      <w:pPr>
        <w:pStyle w:val="ParaNoNdepar-AltN"/>
        <w:rPr>
          <w:rFonts w:cs="Times New Roman"/>
        </w:rPr>
      </w:pPr>
      <w:r w:rsidRPr="00CE21C4">
        <w:rPr>
          <w:rFonts w:cs="Times New Roman"/>
        </w:rPr>
        <w:t xml:space="preserve">Section 96 does give primacy to economic efficiency. </w:t>
      </w:r>
      <w:r w:rsidRPr="00CE21C4">
        <w:rPr>
          <w:rFonts w:eastAsia="Times New Roman" w:cs="Times New Roman"/>
        </w:rPr>
        <w:t xml:space="preserve">However, s. 96 is not without limitation. </w:t>
      </w:r>
    </w:p>
    <w:p w:rsidR="00E35AE4" w:rsidRPr="00CE21C4" w:rsidRDefault="00E35AE4" w:rsidP="00154FA9">
      <w:pPr>
        <w:pStyle w:val="ParaNoNdepar-AltN"/>
        <w:rPr>
          <w:rFonts w:cs="Times New Roman"/>
        </w:rPr>
      </w:pPr>
      <w:r w:rsidRPr="00CE21C4">
        <w:rPr>
          <w:rFonts w:cs="Times New Roman"/>
        </w:rPr>
        <w:t>For ease of reference, I produce s. 96</w:t>
      </w:r>
      <w:r w:rsidR="000C179A">
        <w:rPr>
          <w:rFonts w:cs="Times New Roman"/>
        </w:rPr>
        <w:t>(1)</w:t>
      </w:r>
      <w:r w:rsidRPr="00CE21C4">
        <w:rPr>
          <w:rFonts w:cs="Times New Roman"/>
        </w:rPr>
        <w:t xml:space="preserve"> here:</w:t>
      </w:r>
    </w:p>
    <w:p w:rsidR="00E35AE4" w:rsidRPr="00CE21C4" w:rsidRDefault="00E35AE4" w:rsidP="00154FA9">
      <w:pPr>
        <w:pStyle w:val="Citation-AltC"/>
        <w:ind w:firstLine="274"/>
      </w:pPr>
      <w:r w:rsidRPr="00CE21C4">
        <w:rPr>
          <w:b/>
        </w:rPr>
        <w:t>96</w:t>
      </w:r>
      <w:r w:rsidR="00AF4C42">
        <w:rPr>
          <w:b/>
        </w:rPr>
        <w:t>.</w:t>
      </w:r>
      <w:r w:rsidRPr="00CE21C4">
        <w:rPr>
          <w:b/>
        </w:rPr>
        <w:t xml:space="preserve"> </w:t>
      </w:r>
      <w:r w:rsidRPr="00AF4C42">
        <w:t>(1)</w:t>
      </w:r>
      <w:r w:rsidRPr="00CE21C4">
        <w:t xml:space="preserve"> The Tribunal shall not make an order under section 92 if it finds that the merger or proposed merger in respect of which the application is made has brought about or is likely to bring about gains in efficiency that will be greater than, and will offset, the effects of any prevention or lessening of competition that will result or is likely to result from the merger or proposed merger and that the gains in efficiency would not likely be attained if the order were made.</w:t>
      </w:r>
    </w:p>
    <w:p w:rsidR="00E35AE4" w:rsidRPr="00CE21C4" w:rsidRDefault="00E35AE4" w:rsidP="00154FA9">
      <w:pPr>
        <w:pStyle w:val="ParaNoNdepar-AltN"/>
        <w:rPr>
          <w:rFonts w:cs="Times New Roman"/>
        </w:rPr>
      </w:pPr>
      <w:r w:rsidRPr="00CE21C4">
        <w:rPr>
          <w:rFonts w:cs="Times New Roman"/>
        </w:rPr>
        <w:t xml:space="preserve">In order for a party to gain the benefit of the s. 96 defence, the Tribunal must be satisfied that the merger or proposed merger has brought about or is likely to bring about gains in efficiency.  The Tribunal must also find that the gains in efficiency would not likely be attained if </w:t>
      </w:r>
      <w:proofErr w:type="gramStart"/>
      <w:r w:rsidRPr="00CE21C4">
        <w:rPr>
          <w:rFonts w:cs="Times New Roman"/>
        </w:rPr>
        <w:t>a</w:t>
      </w:r>
      <w:proofErr w:type="gramEnd"/>
      <w:r w:rsidRPr="00CE21C4">
        <w:rPr>
          <w:rFonts w:cs="Times New Roman"/>
        </w:rPr>
        <w:t xml:space="preserve"> s. 92 order were made.  In addition, and despite the </w:t>
      </w:r>
      <w:proofErr w:type="spellStart"/>
      <w:r w:rsidRPr="00CE21C4">
        <w:rPr>
          <w:rFonts w:cs="Times New Roman"/>
        </w:rPr>
        <w:t>paramountcy</w:t>
      </w:r>
      <w:proofErr w:type="spellEnd"/>
      <w:r w:rsidRPr="00CE21C4">
        <w:rPr>
          <w:rFonts w:cs="Times New Roman"/>
        </w:rPr>
        <w:t xml:space="preserve"> given to economic efficiencies in s. 96, s. 96(3) prohibits the Tribunal from considering a “redistribution of income between two or more persons” as an offsetting efficiency gain. The limitation in s. 96(3) demonstrates that </w:t>
      </w:r>
      <w:r w:rsidRPr="00CE21C4">
        <w:rPr>
          <w:rFonts w:cs="Times New Roman"/>
        </w:rPr>
        <w:lastRenderedPageBreak/>
        <w:t>Parliament does not intend for all efficiency gains, however arising, to be taken into account under s. 96.</w:t>
      </w:r>
    </w:p>
    <w:p w:rsidR="00E35AE4" w:rsidRPr="00CE21C4" w:rsidRDefault="00E35AE4" w:rsidP="00154FA9">
      <w:pPr>
        <w:pStyle w:val="ParaNoNdepar-AltN"/>
        <w:rPr>
          <w:rFonts w:cs="Times New Roman"/>
        </w:rPr>
      </w:pPr>
      <w:r w:rsidRPr="00CE21C4">
        <w:rPr>
          <w:rFonts w:cs="Times New Roman"/>
        </w:rPr>
        <w:t xml:space="preserve">The transportation and market efficiencies at issue in this case are efficiency gains resulting from the operation of a secure landfill facility at a location closer to some customers. However, subject to the above discussion as to the proper classification of these efficiencies in this case, the OIEs specifically are efficiency gains resulting not from the merger itself, but from the implementation time associated with a divestiture order (F.C.A. decision, at </w:t>
      </w:r>
      <w:proofErr w:type="spellStart"/>
      <w:r w:rsidRPr="00CE21C4">
        <w:rPr>
          <w:rFonts w:cs="Times New Roman"/>
        </w:rPr>
        <w:t>para</w:t>
      </w:r>
      <w:proofErr w:type="spellEnd"/>
      <w:r w:rsidRPr="00CE21C4">
        <w:rPr>
          <w:rFonts w:cs="Times New Roman"/>
        </w:rPr>
        <w:t xml:space="preserve">. 135). Put simply, if these efficiencies are properly classified as OIEs, they would be achieved by </w:t>
      </w:r>
      <w:proofErr w:type="spellStart"/>
      <w:r w:rsidRPr="00CE21C4">
        <w:rPr>
          <w:rFonts w:cs="Times New Roman"/>
        </w:rPr>
        <w:t>Tervita</w:t>
      </w:r>
      <w:proofErr w:type="spellEnd"/>
      <w:r w:rsidRPr="00CE21C4">
        <w:rPr>
          <w:rFonts w:cs="Times New Roman"/>
        </w:rPr>
        <w:t xml:space="preserve">, and not by a third party, only by virtue of </w:t>
      </w:r>
      <w:proofErr w:type="spellStart"/>
      <w:r w:rsidRPr="00CE21C4">
        <w:rPr>
          <w:rFonts w:cs="Times New Roman"/>
        </w:rPr>
        <w:t>Tervita</w:t>
      </w:r>
      <w:proofErr w:type="spellEnd"/>
      <w:r w:rsidRPr="00CE21C4">
        <w:rPr>
          <w:rFonts w:cs="Times New Roman"/>
        </w:rPr>
        <w:t xml:space="preserve"> being in operation one year earlier than a third party purchaser following a divestiture order, and only because of the time that it would take for the Tribunal’s order to be implemented. </w:t>
      </w:r>
    </w:p>
    <w:p w:rsidR="00E35AE4" w:rsidRPr="00CE21C4" w:rsidRDefault="00E35AE4" w:rsidP="00154FA9">
      <w:pPr>
        <w:pStyle w:val="ParaNoNdepar-AltN"/>
        <w:rPr>
          <w:rFonts w:cs="Times New Roman"/>
        </w:rPr>
      </w:pPr>
      <w:r w:rsidRPr="00CE21C4">
        <w:rPr>
          <w:rFonts w:cs="Times New Roman"/>
        </w:rPr>
        <w:t xml:space="preserve">Efficiencies that are the result of the regulatory processes of the Act are not cognizable efficiencies under s. 96. </w:t>
      </w:r>
      <w:r w:rsidRPr="00CE21C4">
        <w:rPr>
          <w:rFonts w:eastAsia="Times New Roman" w:cs="Times New Roman"/>
        </w:rPr>
        <w:t xml:space="preserve">The OIEs result from the operation and application of the legal framework regulating competition law in Canada. </w:t>
      </w:r>
      <w:r w:rsidRPr="00CE21C4">
        <w:rPr>
          <w:rFonts w:cs="Times New Roman"/>
        </w:rPr>
        <w:t xml:space="preserve">The provision states that the </w:t>
      </w:r>
      <w:r w:rsidRPr="00CE21C4">
        <w:rPr>
          <w:rFonts w:cs="Times New Roman"/>
          <w:i/>
        </w:rPr>
        <w:t>merger</w:t>
      </w:r>
      <w:r w:rsidRPr="00CE21C4">
        <w:rPr>
          <w:rFonts w:cs="Times New Roman"/>
        </w:rPr>
        <w:t xml:space="preserve"> or </w:t>
      </w:r>
      <w:r w:rsidRPr="00CE21C4">
        <w:rPr>
          <w:rFonts w:cs="Times New Roman"/>
          <w:i/>
        </w:rPr>
        <w:t>proposed merger</w:t>
      </w:r>
      <w:r w:rsidRPr="00CE21C4">
        <w:rPr>
          <w:rFonts w:cs="Times New Roman"/>
        </w:rPr>
        <w:t xml:space="preserve"> must bring about or be likely to bring about gains in efficiency. The OIEs are efficiencies which are not attributable to the merger. They are attributable to the time associated with the implementation of the divestiture order.</w:t>
      </w:r>
    </w:p>
    <w:p w:rsidR="00E35AE4" w:rsidRPr="00CE21C4" w:rsidRDefault="00E35AE4" w:rsidP="00154FA9">
      <w:pPr>
        <w:pStyle w:val="ParaNoNdepar-AltN"/>
        <w:rPr>
          <w:rFonts w:cs="Times New Roman"/>
        </w:rPr>
      </w:pPr>
      <w:r w:rsidRPr="00CE21C4">
        <w:rPr>
          <w:rFonts w:cs="Times New Roman"/>
        </w:rPr>
        <w:t xml:space="preserve">Finally, regardless of whether the efficiencies are classified as early-mover efficiencies or OIEs, and as the Federal Court of Appeal explained, the efficiencies were nevertheless not realized in this case because </w:t>
      </w:r>
      <w:proofErr w:type="spellStart"/>
      <w:r w:rsidRPr="00CE21C4">
        <w:rPr>
          <w:rFonts w:cs="Times New Roman"/>
        </w:rPr>
        <w:t>Tervita</w:t>
      </w:r>
      <w:proofErr w:type="spellEnd"/>
      <w:r w:rsidRPr="00CE21C4">
        <w:rPr>
          <w:rFonts w:cs="Times New Roman"/>
        </w:rPr>
        <w:t xml:space="preserve"> did not </w:t>
      </w:r>
      <w:r w:rsidRPr="00CE21C4">
        <w:rPr>
          <w:rFonts w:cs="Times New Roman"/>
        </w:rPr>
        <w:lastRenderedPageBreak/>
        <w:t xml:space="preserve">actually construct and operate a landfill at the </w:t>
      </w:r>
      <w:proofErr w:type="spellStart"/>
      <w:r w:rsidRPr="00CE21C4">
        <w:rPr>
          <w:rFonts w:cs="Times New Roman"/>
        </w:rPr>
        <w:t>Babkirk</w:t>
      </w:r>
      <w:proofErr w:type="spellEnd"/>
      <w:r w:rsidRPr="00CE21C4">
        <w:rPr>
          <w:rFonts w:cs="Times New Roman"/>
        </w:rPr>
        <w:t xml:space="preserve"> site before the merger review, or indeed before the date of the Tribunal’s order. </w:t>
      </w:r>
      <w:proofErr w:type="spellStart"/>
      <w:r w:rsidRPr="00CE21C4">
        <w:rPr>
          <w:rFonts w:cs="Times New Roman"/>
        </w:rPr>
        <w:t>Tervita</w:t>
      </w:r>
      <w:proofErr w:type="spellEnd"/>
      <w:r w:rsidRPr="00CE21C4">
        <w:rPr>
          <w:rFonts w:cs="Times New Roman"/>
        </w:rPr>
        <w:t xml:space="preserve"> argues that this reasoning does not withstand scrutiny. In this case, </w:t>
      </w:r>
      <w:proofErr w:type="spellStart"/>
      <w:r w:rsidRPr="00CE21C4">
        <w:rPr>
          <w:rFonts w:cs="Times New Roman"/>
        </w:rPr>
        <w:t>Tervita</w:t>
      </w:r>
      <w:proofErr w:type="spellEnd"/>
      <w:r w:rsidRPr="00CE21C4">
        <w:rPr>
          <w:rFonts w:cs="Times New Roman"/>
        </w:rPr>
        <w:t xml:space="preserve"> undertook to preserve and maintain all provincial MOE approvals, permits and authorizations for the establishment and operation of a proposed secure landfill at the </w:t>
      </w:r>
      <w:proofErr w:type="spellStart"/>
      <w:r w:rsidRPr="00CE21C4">
        <w:rPr>
          <w:rFonts w:cs="Times New Roman"/>
        </w:rPr>
        <w:t>Babkirk</w:t>
      </w:r>
      <w:proofErr w:type="spellEnd"/>
      <w:r w:rsidRPr="00CE21C4">
        <w:rPr>
          <w:rFonts w:cs="Times New Roman"/>
        </w:rPr>
        <w:t xml:space="preserve"> site pending the proceedings before the Tribunal. </w:t>
      </w:r>
      <w:proofErr w:type="spellStart"/>
      <w:r w:rsidRPr="00CE21C4">
        <w:rPr>
          <w:rFonts w:cs="Times New Roman"/>
        </w:rPr>
        <w:t>Tervita</w:t>
      </w:r>
      <w:proofErr w:type="spellEnd"/>
      <w:r w:rsidRPr="00CE21C4">
        <w:rPr>
          <w:rFonts w:cs="Times New Roman"/>
        </w:rPr>
        <w:t xml:space="preserve"> argues that, as a result of this “hold separate undertaking”, it could not have constructed its planned secure landfill. Again, I cannot agree.</w:t>
      </w:r>
    </w:p>
    <w:p w:rsidR="00E35AE4" w:rsidRPr="00CE21C4" w:rsidRDefault="00E35AE4" w:rsidP="00154FA9">
      <w:pPr>
        <w:pStyle w:val="ParaNoNdepar-AltN"/>
        <w:rPr>
          <w:rFonts w:cs="Times New Roman"/>
        </w:rPr>
      </w:pPr>
      <w:r w:rsidRPr="00CE21C4">
        <w:rPr>
          <w:rFonts w:cs="Times New Roman"/>
        </w:rPr>
        <w:t xml:space="preserve"> “Hold separate” orders are typically issued to prevent the intermingling of assets or businesses that would otherwise occur through the merger (B. A. </w:t>
      </w:r>
      <w:proofErr w:type="spellStart"/>
      <w:r w:rsidRPr="00CE21C4">
        <w:rPr>
          <w:rFonts w:cs="Times New Roman"/>
        </w:rPr>
        <w:t>Facey</w:t>
      </w:r>
      <w:proofErr w:type="spellEnd"/>
      <w:r w:rsidRPr="00CE21C4">
        <w:rPr>
          <w:rFonts w:cs="Times New Roman"/>
        </w:rPr>
        <w:t xml:space="preserve">, G. Hilton-Sullivan and M. Graham, “The Reinvigoration of Canadian Antitrust Law — Canada’s New Approach to Merger Review” (2010), 6 </w:t>
      </w:r>
      <w:r w:rsidRPr="00CE21C4">
        <w:rPr>
          <w:rFonts w:cs="Times New Roman"/>
          <w:i/>
        </w:rPr>
        <w:t xml:space="preserve">C.L.I. </w:t>
      </w:r>
      <w:r w:rsidRPr="00CE21C4">
        <w:rPr>
          <w:rFonts w:cs="Times New Roman"/>
        </w:rPr>
        <w:t>28, at p. 33). These orders aim at avoiding the difficulties that would arise in attempting to “unscramble the egg” if an order was issued after a merger proceeded in full. In this case, the hold separate undertaking was not the typical “unscramble the egg” undertaking concerned with the intermingling of assets.</w:t>
      </w:r>
    </w:p>
    <w:p w:rsidR="00E35AE4" w:rsidRPr="00CE21C4" w:rsidRDefault="00E35AE4" w:rsidP="00154FA9">
      <w:pPr>
        <w:pStyle w:val="ParaNoNdepar-AltN"/>
        <w:rPr>
          <w:rFonts w:cs="Times New Roman"/>
        </w:rPr>
      </w:pPr>
      <w:r w:rsidRPr="00CE21C4">
        <w:rPr>
          <w:rFonts w:cs="Times New Roman"/>
        </w:rPr>
        <w:t xml:space="preserve">The evidence in this case does not support </w:t>
      </w:r>
      <w:proofErr w:type="spellStart"/>
      <w:r w:rsidRPr="00CE21C4">
        <w:rPr>
          <w:rFonts w:cs="Times New Roman"/>
        </w:rPr>
        <w:t>Tervita’s</w:t>
      </w:r>
      <w:proofErr w:type="spellEnd"/>
      <w:r w:rsidRPr="00CE21C4">
        <w:rPr>
          <w:rFonts w:cs="Times New Roman"/>
        </w:rPr>
        <w:t xml:space="preserve"> claim that the undertaking prevented it from operating the landfill. The undertaking merely required </w:t>
      </w:r>
      <w:proofErr w:type="spellStart"/>
      <w:r w:rsidRPr="00CE21C4">
        <w:rPr>
          <w:rFonts w:cs="Times New Roman"/>
        </w:rPr>
        <w:t>Tervita</w:t>
      </w:r>
      <w:proofErr w:type="spellEnd"/>
      <w:r w:rsidRPr="00CE21C4">
        <w:rPr>
          <w:rFonts w:cs="Times New Roman"/>
        </w:rPr>
        <w:t xml:space="preserve"> to preserve and maintain the necessary provincial environmental approvals for establishing and operating the proposed secure landfill at the </w:t>
      </w:r>
      <w:proofErr w:type="spellStart"/>
      <w:r w:rsidRPr="00CE21C4">
        <w:rPr>
          <w:rFonts w:cs="Times New Roman"/>
        </w:rPr>
        <w:t>Babkirk</w:t>
      </w:r>
      <w:proofErr w:type="spellEnd"/>
      <w:r w:rsidRPr="00CE21C4">
        <w:rPr>
          <w:rFonts w:cs="Times New Roman"/>
        </w:rPr>
        <w:t xml:space="preserve"> site. The evidence before the Tribunal was that </w:t>
      </w:r>
      <w:proofErr w:type="spellStart"/>
      <w:r w:rsidRPr="00CE21C4">
        <w:rPr>
          <w:rFonts w:cs="Times New Roman"/>
        </w:rPr>
        <w:t>Tervita</w:t>
      </w:r>
      <w:proofErr w:type="spellEnd"/>
      <w:r w:rsidRPr="00CE21C4">
        <w:rPr>
          <w:rFonts w:cs="Times New Roman"/>
        </w:rPr>
        <w:t xml:space="preserve"> wanted to increase the capacity of the secure landfill and doing so would require an amendment to the approval for the site — a process </w:t>
      </w:r>
      <w:proofErr w:type="spellStart"/>
      <w:r w:rsidRPr="00CE21C4">
        <w:rPr>
          <w:rFonts w:cs="Times New Roman"/>
        </w:rPr>
        <w:t>Tervita</w:t>
      </w:r>
      <w:proofErr w:type="spellEnd"/>
      <w:r w:rsidRPr="00CE21C4">
        <w:rPr>
          <w:rFonts w:cs="Times New Roman"/>
        </w:rPr>
        <w:t xml:space="preserve"> understood to be contrary to the undertaking. However, nothing </w:t>
      </w:r>
      <w:r w:rsidRPr="00CE21C4">
        <w:rPr>
          <w:rFonts w:cs="Times New Roman"/>
        </w:rPr>
        <w:lastRenderedPageBreak/>
        <w:t xml:space="preserve">prevented </w:t>
      </w:r>
      <w:proofErr w:type="spellStart"/>
      <w:r w:rsidRPr="00CE21C4">
        <w:rPr>
          <w:rFonts w:cs="Times New Roman"/>
        </w:rPr>
        <w:t>Tervita</w:t>
      </w:r>
      <w:proofErr w:type="spellEnd"/>
      <w:r w:rsidRPr="00CE21C4">
        <w:rPr>
          <w:rFonts w:cs="Times New Roman"/>
        </w:rPr>
        <w:t xml:space="preserve"> from establishing and operating the landfill at the capacity allowed for under the existing approval.   </w:t>
      </w:r>
    </w:p>
    <w:p w:rsidR="00E35AE4" w:rsidRPr="00CE21C4" w:rsidRDefault="00E35AE4" w:rsidP="00154FA9">
      <w:pPr>
        <w:pStyle w:val="ParaNoNdepar-AltN"/>
        <w:rPr>
          <w:rFonts w:cs="Times New Roman"/>
        </w:rPr>
      </w:pPr>
      <w:r w:rsidRPr="00CE21C4">
        <w:rPr>
          <w:rFonts w:cs="Times New Roman"/>
        </w:rPr>
        <w:t xml:space="preserve">The evidence is that </w:t>
      </w:r>
      <w:proofErr w:type="spellStart"/>
      <w:r w:rsidRPr="00CE21C4">
        <w:rPr>
          <w:rFonts w:cs="Times New Roman"/>
        </w:rPr>
        <w:t>Tervita</w:t>
      </w:r>
      <w:proofErr w:type="spellEnd"/>
      <w:r w:rsidRPr="00CE21C4">
        <w:rPr>
          <w:rFonts w:cs="Times New Roman"/>
        </w:rPr>
        <w:t xml:space="preserve"> had not taken the steps to commence operating the landfill. Even assuming no divestiture </w:t>
      </w:r>
      <w:proofErr w:type="gramStart"/>
      <w:r w:rsidRPr="00CE21C4">
        <w:rPr>
          <w:rFonts w:cs="Times New Roman"/>
        </w:rPr>
        <w:t>order were</w:t>
      </w:r>
      <w:proofErr w:type="gramEnd"/>
      <w:r w:rsidRPr="00CE21C4">
        <w:rPr>
          <w:rFonts w:cs="Times New Roman"/>
        </w:rPr>
        <w:t xml:space="preserve"> made, </w:t>
      </w:r>
      <w:proofErr w:type="spellStart"/>
      <w:r w:rsidRPr="00CE21C4">
        <w:rPr>
          <w:rFonts w:cs="Times New Roman"/>
        </w:rPr>
        <w:t>Tervita</w:t>
      </w:r>
      <w:proofErr w:type="spellEnd"/>
      <w:r w:rsidRPr="00CE21C4">
        <w:rPr>
          <w:rFonts w:cs="Times New Roman"/>
        </w:rPr>
        <w:t xml:space="preserve"> would not have been in a position to begin operating the secure landfill at the conclusion of the proceedings.   </w:t>
      </w:r>
    </w:p>
    <w:p w:rsidR="00E35AE4" w:rsidRPr="00CE21C4" w:rsidRDefault="00E35AE4" w:rsidP="00154FA9">
      <w:pPr>
        <w:pStyle w:val="ParaNoNdepar-AltN"/>
        <w:rPr>
          <w:rFonts w:cs="Times New Roman"/>
        </w:rPr>
      </w:pPr>
      <w:r w:rsidRPr="00CE21C4">
        <w:rPr>
          <w:rFonts w:cs="Times New Roman"/>
        </w:rPr>
        <w:t>For these reasons, both the Tribunal and the Federal Court of Appeal were correct that the OIEs are not cognizable efficiencies und</w:t>
      </w:r>
      <w:r w:rsidR="00D319FE">
        <w:rPr>
          <w:rFonts w:cs="Times New Roman"/>
        </w:rPr>
        <w:t xml:space="preserve">er s. 96 (see Tribunal decision, at </w:t>
      </w:r>
      <w:proofErr w:type="spellStart"/>
      <w:r w:rsidR="00D319FE">
        <w:rPr>
          <w:rFonts w:cs="Times New Roman"/>
        </w:rPr>
        <w:t>para</w:t>
      </w:r>
      <w:proofErr w:type="spellEnd"/>
      <w:r w:rsidR="00D319FE">
        <w:rPr>
          <w:rFonts w:cs="Times New Roman"/>
        </w:rPr>
        <w:t>. 270; F.C.A. decision</w:t>
      </w:r>
      <w:r w:rsidRPr="00CE21C4">
        <w:rPr>
          <w:rFonts w:cs="Times New Roman"/>
        </w:rPr>
        <w:t xml:space="preserve">, at </w:t>
      </w:r>
      <w:proofErr w:type="spellStart"/>
      <w:r w:rsidRPr="00CE21C4">
        <w:rPr>
          <w:rFonts w:cs="Times New Roman"/>
        </w:rPr>
        <w:t>para</w:t>
      </w:r>
      <w:proofErr w:type="spellEnd"/>
      <w:r w:rsidRPr="00CE21C4">
        <w:rPr>
          <w:rFonts w:cs="Times New Roman"/>
        </w:rPr>
        <w:t xml:space="preserve">. 135). </w:t>
      </w:r>
    </w:p>
    <w:p w:rsidR="00E35AE4" w:rsidRPr="00CE21C4" w:rsidRDefault="00E35AE4" w:rsidP="00154FA9">
      <w:pPr>
        <w:pStyle w:val="Title3LevelTitre3Niveau"/>
        <w:rPr>
          <w:rFonts w:cs="Times New Roman"/>
        </w:rPr>
      </w:pPr>
      <w:bookmarkStart w:id="124" w:name="_Toc396299550"/>
      <w:bookmarkStart w:id="125" w:name="_Toc397586782"/>
      <w:bookmarkStart w:id="126" w:name="_Toc397607022"/>
      <w:bookmarkStart w:id="127" w:name="_Toc404926131"/>
      <w:r w:rsidRPr="00CE21C4">
        <w:rPr>
          <w:rFonts w:cs="Times New Roman"/>
        </w:rPr>
        <w:t>The Balancing Test Under Section 96</w:t>
      </w:r>
      <w:bookmarkEnd w:id="124"/>
      <w:bookmarkEnd w:id="125"/>
      <w:bookmarkEnd w:id="126"/>
      <w:bookmarkEnd w:id="127"/>
    </w:p>
    <w:p w:rsidR="00E35AE4" w:rsidRPr="00CE21C4" w:rsidRDefault="00E35AE4" w:rsidP="00154FA9">
      <w:pPr>
        <w:pStyle w:val="ParaNoNdepar-AltN"/>
        <w:rPr>
          <w:rFonts w:cs="Times New Roman"/>
        </w:rPr>
      </w:pPr>
      <w:proofErr w:type="spellStart"/>
      <w:r w:rsidRPr="00CE21C4">
        <w:rPr>
          <w:rFonts w:cs="Times New Roman"/>
        </w:rPr>
        <w:t>Tervita</w:t>
      </w:r>
      <w:proofErr w:type="spellEnd"/>
      <w:r w:rsidRPr="00CE21C4">
        <w:rPr>
          <w:rFonts w:cs="Times New Roman"/>
        </w:rPr>
        <w:t xml:space="preserve"> argues that the Federal Court of Appeal took an overly subjective approach to the offset analysis under s. 96. This argument is based on the Commissioner’s failure to quantify the quantifiable anti-competitive effects — specifically, the failure to quantify the deadweight loss. This raises the specific questions of what content there is to the Commissioner’s burden under s. 96 and what consequences flow from a failure to meet the burden. More generally, </w:t>
      </w:r>
      <w:proofErr w:type="spellStart"/>
      <w:r w:rsidRPr="00CE21C4">
        <w:rPr>
          <w:rFonts w:cs="Times New Roman"/>
        </w:rPr>
        <w:t>Tervita’s</w:t>
      </w:r>
      <w:proofErr w:type="spellEnd"/>
      <w:r w:rsidRPr="00CE21C4">
        <w:rPr>
          <w:rFonts w:cs="Times New Roman"/>
        </w:rPr>
        <w:t xml:space="preserve"> argument requires consideration of the overall balancing approach under s. 96.</w:t>
      </w:r>
    </w:p>
    <w:p w:rsidR="00E35AE4" w:rsidRPr="00CE21C4" w:rsidRDefault="00E35AE4" w:rsidP="00154FA9">
      <w:pPr>
        <w:pStyle w:val="Title4LevelTitre4Niveau"/>
        <w:rPr>
          <w:rFonts w:cs="Times New Roman"/>
        </w:rPr>
      </w:pPr>
      <w:bookmarkStart w:id="128" w:name="_Toc396299551"/>
      <w:bookmarkStart w:id="129" w:name="_Toc397586783"/>
      <w:bookmarkStart w:id="130" w:name="_Toc397607023"/>
      <w:bookmarkStart w:id="131" w:name="_Toc404926132"/>
      <w:r w:rsidRPr="00CE21C4">
        <w:rPr>
          <w:rFonts w:cs="Times New Roman"/>
        </w:rPr>
        <w:t>The Commissioner’s Burden</w:t>
      </w:r>
      <w:bookmarkEnd w:id="128"/>
      <w:bookmarkEnd w:id="129"/>
      <w:bookmarkEnd w:id="130"/>
      <w:bookmarkEnd w:id="131"/>
    </w:p>
    <w:p w:rsidR="00E35AE4" w:rsidRPr="00CE21C4" w:rsidRDefault="00E35AE4" w:rsidP="00154FA9">
      <w:pPr>
        <w:pStyle w:val="ParaNoNdepar-AltN"/>
        <w:rPr>
          <w:rFonts w:cs="Times New Roman"/>
        </w:rPr>
      </w:pPr>
      <w:r w:rsidRPr="00CE21C4">
        <w:rPr>
          <w:rFonts w:cs="Times New Roman"/>
        </w:rPr>
        <w:t xml:space="preserve">As explained above, the </w:t>
      </w:r>
      <w:r w:rsidRPr="00CE21C4">
        <w:rPr>
          <w:rFonts w:cs="Times New Roman"/>
          <w:i/>
        </w:rPr>
        <w:t>Superior Propane</w:t>
      </w:r>
      <w:r w:rsidRPr="00CE21C4">
        <w:rPr>
          <w:rFonts w:cs="Times New Roman"/>
        </w:rPr>
        <w:t xml:space="preserve"> series established that the Commissioner has the burden under s. 96 to prove the anti-competitive effects. The </w:t>
      </w:r>
      <w:r w:rsidRPr="00CE21C4">
        <w:rPr>
          <w:rFonts w:cs="Times New Roman"/>
        </w:rPr>
        <w:lastRenderedPageBreak/>
        <w:t xml:space="preserve">merging parties bear the onus of establishing all other elements of the defence, including the extent of the efficiency gains and whether the gains are greater than and offset the anti-competitive effects (see </w:t>
      </w:r>
      <w:r w:rsidRPr="00CE21C4">
        <w:rPr>
          <w:rFonts w:cs="Times New Roman"/>
          <w:i/>
        </w:rPr>
        <w:t>Superior Propane I</w:t>
      </w:r>
      <w:r w:rsidRPr="00CE21C4">
        <w:rPr>
          <w:rFonts w:cs="Times New Roman"/>
        </w:rPr>
        <w:t xml:space="preserve">, at paras. 399 and 403; </w:t>
      </w:r>
      <w:r w:rsidRPr="00CE21C4">
        <w:rPr>
          <w:rFonts w:cs="Times New Roman"/>
          <w:i/>
        </w:rPr>
        <w:t>Superior Propane II</w:t>
      </w:r>
      <w:r w:rsidRPr="00CE21C4">
        <w:rPr>
          <w:rFonts w:cs="Times New Roman"/>
        </w:rPr>
        <w:t xml:space="preserve">, at </w:t>
      </w:r>
      <w:proofErr w:type="spellStart"/>
      <w:r w:rsidRPr="00CE21C4">
        <w:rPr>
          <w:rFonts w:cs="Times New Roman"/>
        </w:rPr>
        <w:t>para</w:t>
      </w:r>
      <w:proofErr w:type="spellEnd"/>
      <w:r w:rsidRPr="00CE21C4">
        <w:rPr>
          <w:rFonts w:cs="Times New Roman"/>
        </w:rPr>
        <w:t xml:space="preserve">. 154; and </w:t>
      </w:r>
      <w:r w:rsidRPr="00CE21C4">
        <w:rPr>
          <w:rFonts w:cs="Times New Roman"/>
          <w:i/>
        </w:rPr>
        <w:t>Superior Propane IV</w:t>
      </w:r>
      <w:r w:rsidRPr="00CE21C4">
        <w:rPr>
          <w:rFonts w:cs="Times New Roman"/>
        </w:rPr>
        <w:t>,</w:t>
      </w:r>
      <w:r w:rsidRPr="00CE21C4">
        <w:rPr>
          <w:rFonts w:cs="Times New Roman"/>
          <w:i/>
        </w:rPr>
        <w:t xml:space="preserve"> </w:t>
      </w:r>
      <w:r w:rsidRPr="00CE21C4">
        <w:rPr>
          <w:rFonts w:cs="Times New Roman"/>
        </w:rPr>
        <w:t xml:space="preserve">at </w:t>
      </w:r>
      <w:proofErr w:type="spellStart"/>
      <w:r w:rsidRPr="00CE21C4">
        <w:rPr>
          <w:rFonts w:cs="Times New Roman"/>
        </w:rPr>
        <w:t>para</w:t>
      </w:r>
      <w:proofErr w:type="spellEnd"/>
      <w:r w:rsidRPr="00CE21C4">
        <w:rPr>
          <w:rFonts w:cs="Times New Roman"/>
        </w:rPr>
        <w:t xml:space="preserve">. 64). The parties do not take issue with this allocation of onus. </w:t>
      </w:r>
    </w:p>
    <w:p w:rsidR="00E35AE4" w:rsidRPr="00CE21C4" w:rsidRDefault="00E35AE4" w:rsidP="00154FA9">
      <w:pPr>
        <w:pStyle w:val="Title5LevelTitre5Niveau"/>
        <w:rPr>
          <w:rFonts w:cs="Times New Roman"/>
        </w:rPr>
      </w:pPr>
      <w:bookmarkStart w:id="132" w:name="_Toc396299552"/>
      <w:bookmarkStart w:id="133" w:name="_Toc397586784"/>
      <w:bookmarkStart w:id="134" w:name="_Toc397607024"/>
      <w:bookmarkStart w:id="135" w:name="_Toc404926133"/>
      <w:r w:rsidRPr="00CE21C4">
        <w:rPr>
          <w:rFonts w:cs="Times New Roman"/>
        </w:rPr>
        <w:t>The Content of the Commissioner’s Burden</w:t>
      </w:r>
      <w:bookmarkEnd w:id="132"/>
      <w:bookmarkEnd w:id="133"/>
      <w:bookmarkEnd w:id="134"/>
      <w:bookmarkEnd w:id="135"/>
    </w:p>
    <w:p w:rsidR="00E35AE4" w:rsidRPr="00CE21C4" w:rsidRDefault="00E35AE4" w:rsidP="00154FA9">
      <w:pPr>
        <w:pStyle w:val="ParaNoNdepar-AltN"/>
        <w:rPr>
          <w:rFonts w:cs="Times New Roman"/>
        </w:rPr>
      </w:pPr>
      <w:proofErr w:type="spellStart"/>
      <w:r w:rsidRPr="00CE21C4">
        <w:rPr>
          <w:rFonts w:cs="Times New Roman"/>
        </w:rPr>
        <w:t>Tervita</w:t>
      </w:r>
      <w:proofErr w:type="spellEnd"/>
      <w:r w:rsidRPr="00CE21C4">
        <w:rPr>
          <w:rFonts w:cs="Times New Roman"/>
        </w:rPr>
        <w:t xml:space="preserve"> argues that the Commissioner’s onus is to quantify all anti-competitive effects which can be quantified. In this case, the Commissioner did not do so.</w:t>
      </w:r>
    </w:p>
    <w:p w:rsidR="00E35AE4" w:rsidRPr="00CE21C4" w:rsidRDefault="00E35AE4" w:rsidP="00154FA9">
      <w:pPr>
        <w:pStyle w:val="ParaNoNdepar-AltN"/>
        <w:rPr>
          <w:rFonts w:cs="Times New Roman"/>
        </w:rPr>
      </w:pPr>
      <w:r w:rsidRPr="00CE21C4">
        <w:rPr>
          <w:rFonts w:cs="Times New Roman"/>
        </w:rPr>
        <w:t xml:space="preserve">The Commissioner argues that quantification is not a legal prerequisite to considering anti-competitive effects (R.F., </w:t>
      </w:r>
      <w:r w:rsidR="00D74ABB">
        <w:rPr>
          <w:rFonts w:cs="Times New Roman"/>
        </w:rPr>
        <w:t xml:space="preserve">at </w:t>
      </w:r>
      <w:r w:rsidRPr="00CE21C4">
        <w:rPr>
          <w:rFonts w:cs="Times New Roman"/>
        </w:rPr>
        <w:t>paras. 84 and 88). On the contrary, the Commissioner’s legal burden is to quantify the quantifiable anti-competitive effects upon which reliance is placed.  Where effects are measurable, they must be estimated. Effects will only be considered qualitatively if they cannot be quantitatively estimated. A failure to quantify quantifiable effects will not result in such effects being considered qualitatively (</w:t>
      </w:r>
      <w:r w:rsidRPr="00CE21C4">
        <w:rPr>
          <w:rFonts w:cs="Times New Roman"/>
          <w:i/>
        </w:rPr>
        <w:t>Superior Propane IV</w:t>
      </w:r>
      <w:r w:rsidRPr="00CE21C4">
        <w:rPr>
          <w:rFonts w:cs="Times New Roman"/>
        </w:rPr>
        <w:t xml:space="preserve">, at </w:t>
      </w:r>
      <w:proofErr w:type="spellStart"/>
      <w:r w:rsidRPr="00CE21C4">
        <w:rPr>
          <w:rFonts w:cs="Times New Roman"/>
        </w:rPr>
        <w:t>para</w:t>
      </w:r>
      <w:proofErr w:type="spellEnd"/>
      <w:r w:rsidRPr="00CE21C4">
        <w:rPr>
          <w:rFonts w:cs="Times New Roman"/>
        </w:rPr>
        <w:t>. 35). This approach minimizes the degree of subjective judgment necessary in the analysis and enables the Tribunal to make the most objective assessment possible in the circumstances (</w:t>
      </w:r>
      <w:r w:rsidRPr="00CE21C4">
        <w:rPr>
          <w:rFonts w:cs="Times New Roman"/>
          <w:i/>
        </w:rPr>
        <w:t>Superior Propane IV</w:t>
      </w:r>
      <w:r w:rsidRPr="00CE21C4">
        <w:rPr>
          <w:rFonts w:cs="Times New Roman"/>
        </w:rPr>
        <w:t xml:space="preserve">, at </w:t>
      </w:r>
      <w:proofErr w:type="spellStart"/>
      <w:r w:rsidRPr="00CE21C4">
        <w:rPr>
          <w:rFonts w:cs="Times New Roman"/>
        </w:rPr>
        <w:t>para</w:t>
      </w:r>
      <w:proofErr w:type="spellEnd"/>
      <w:r w:rsidRPr="00CE21C4">
        <w:rPr>
          <w:rFonts w:cs="Times New Roman"/>
        </w:rPr>
        <w:t>. 38).  An approach that would permit the Commissioner to meet her burden without at least establishing estimates of the quantifiable anti-competitive effects fails to provide the merging parties with the information they need to know the case they have to meet.</w:t>
      </w:r>
    </w:p>
    <w:p w:rsidR="00E35AE4" w:rsidRPr="00CE21C4" w:rsidRDefault="00E35AE4" w:rsidP="00154FA9">
      <w:pPr>
        <w:pStyle w:val="ParaNoNdepar-AltN"/>
        <w:rPr>
          <w:rFonts w:cs="Times New Roman"/>
        </w:rPr>
      </w:pPr>
      <w:r w:rsidRPr="00CE21C4">
        <w:rPr>
          <w:rFonts w:cs="Times New Roman"/>
        </w:rPr>
        <w:lastRenderedPageBreak/>
        <w:t xml:space="preserve"> The Commissioner’s burden is to quantify by estimation all quantifiable anti-competitive effects. Estimates are acceptable as the analysis is forward-looking and looks to anti-competitive effects that will or are likely to result from the merger. The Tribunal accepts estimates because calculations of anti-competitive effects for the purposes of s. 96 do not have the precision of history. However, to meet her burden, the Commissioner must ground the estimates in evidence that can be challenged and weighed. Qualitative anti-competitive effects, including lessening of service or quality reduction, are only assessed on a subjective basis because this analysis involves a weighing of considerations that cannot be quantified because they have no common unit of measure (that is, they are “incommensurable”). Due to the uncertainty inherent in economic prediction, the analysis must be as analytically rigorous as possible in order to enable the Tribunal to rely on a forward-looking approach to make a finding on a balance of probabilities.</w:t>
      </w:r>
    </w:p>
    <w:p w:rsidR="00E35AE4" w:rsidRPr="00CE21C4" w:rsidRDefault="00E35AE4" w:rsidP="00154FA9">
      <w:pPr>
        <w:pStyle w:val="ParaNoNdepar-AltN"/>
        <w:rPr>
          <w:rFonts w:cs="Times New Roman"/>
        </w:rPr>
      </w:pPr>
      <w:r w:rsidRPr="00CE21C4">
        <w:rPr>
          <w:rFonts w:cs="Times New Roman"/>
        </w:rPr>
        <w:t>In this case, the Commissioner did not quantify quantifiable anti-competitive effects and therefore failed to meet her burden under s. 96.</w:t>
      </w:r>
    </w:p>
    <w:p w:rsidR="00E35AE4" w:rsidRPr="00CE21C4" w:rsidRDefault="00E35AE4" w:rsidP="00154FA9">
      <w:pPr>
        <w:pStyle w:val="Title5LevelTitre5Niveau"/>
        <w:rPr>
          <w:rFonts w:cs="Times New Roman"/>
        </w:rPr>
      </w:pPr>
      <w:bookmarkStart w:id="136" w:name="_Toc396299553"/>
      <w:bookmarkStart w:id="137" w:name="_Toc397586785"/>
      <w:bookmarkStart w:id="138" w:name="_Toc397607025"/>
      <w:bookmarkStart w:id="139" w:name="_Toc404926134"/>
      <w:r w:rsidRPr="00CE21C4">
        <w:rPr>
          <w:rFonts w:cs="Times New Roman"/>
        </w:rPr>
        <w:t>What Consequences Flow From a Failure to Meet the Burden?</w:t>
      </w:r>
      <w:bookmarkEnd w:id="136"/>
      <w:bookmarkEnd w:id="137"/>
      <w:bookmarkEnd w:id="138"/>
      <w:bookmarkEnd w:id="139"/>
    </w:p>
    <w:p w:rsidR="00E35AE4" w:rsidRPr="00CE21C4" w:rsidRDefault="00E35AE4" w:rsidP="00154FA9">
      <w:pPr>
        <w:pStyle w:val="ParaNoNdepar-AltN"/>
        <w:rPr>
          <w:rFonts w:cs="Times New Roman"/>
        </w:rPr>
      </w:pPr>
      <w:r w:rsidRPr="00CE21C4">
        <w:rPr>
          <w:rFonts w:cs="Times New Roman"/>
        </w:rPr>
        <w:t>The question concerns the legal implications of a failure by the Commissioner to quantify quantifiable anti-competitive effects. The Federal Court of Appeal recognized that “[a] quantitative effect which has not in fact been quantified should not be considered as a qualitative effect” (</w:t>
      </w:r>
      <w:proofErr w:type="spellStart"/>
      <w:r w:rsidRPr="00CE21C4">
        <w:rPr>
          <w:rFonts w:cs="Times New Roman"/>
        </w:rPr>
        <w:t>para</w:t>
      </w:r>
      <w:proofErr w:type="spellEnd"/>
      <w:r w:rsidRPr="00CE21C4">
        <w:rPr>
          <w:rFonts w:cs="Times New Roman"/>
        </w:rPr>
        <w:t>. 1</w:t>
      </w:r>
      <w:r w:rsidR="00D319FE">
        <w:rPr>
          <w:rFonts w:cs="Times New Roman"/>
        </w:rPr>
        <w:t>58</w:t>
      </w:r>
      <w:r w:rsidRPr="00CE21C4">
        <w:rPr>
          <w:rFonts w:cs="Times New Roman"/>
        </w:rPr>
        <w:t xml:space="preserve">) but went on to hold that the non-quantified deadweight loss should be assigned a weight of “undetermined” (paras. 130 and 167). </w:t>
      </w:r>
    </w:p>
    <w:p w:rsidR="00E35AE4" w:rsidRPr="00CE21C4" w:rsidRDefault="00E35AE4" w:rsidP="00154FA9">
      <w:pPr>
        <w:pStyle w:val="ParaNoNdepar-AltN"/>
        <w:rPr>
          <w:rFonts w:cs="Times New Roman"/>
        </w:rPr>
      </w:pPr>
      <w:r w:rsidRPr="00CE21C4">
        <w:rPr>
          <w:rFonts w:cs="Times New Roman"/>
        </w:rPr>
        <w:lastRenderedPageBreak/>
        <w:t xml:space="preserve">With respect, I cannot agree. As explained above, the Commissioner’s burden is to quantify all quantifiable anti-competitive effects. The failure to do so is a failure to meet this legal burden and, as a result, the quantifiable anti-competitive effects should be fixed at zero. Quite simply, where the burden is not met, there are no proven quantifiable anti-competitive effects. </w:t>
      </w:r>
    </w:p>
    <w:p w:rsidR="00E35AE4" w:rsidRPr="00CE21C4" w:rsidRDefault="00E35AE4" w:rsidP="00154FA9">
      <w:pPr>
        <w:pStyle w:val="ParaNoNdepar-AltN"/>
        <w:rPr>
          <w:rFonts w:cs="Times New Roman"/>
        </w:rPr>
      </w:pPr>
      <w:r w:rsidRPr="00CE21C4">
        <w:rPr>
          <w:rFonts w:cs="Times New Roman"/>
        </w:rPr>
        <w:t xml:space="preserve">As </w:t>
      </w:r>
      <w:proofErr w:type="spellStart"/>
      <w:r w:rsidRPr="00CE21C4">
        <w:rPr>
          <w:rFonts w:cs="Times New Roman"/>
        </w:rPr>
        <w:t>Tervita</w:t>
      </w:r>
      <w:proofErr w:type="spellEnd"/>
      <w:r w:rsidRPr="00CE21C4">
        <w:rPr>
          <w:rFonts w:cs="Times New Roman"/>
        </w:rPr>
        <w:t xml:space="preserve"> submits, this approach is consistent with that in civil proceedings where a party has failed to discharge its burden of proof with respect to loss (see S. M. </w:t>
      </w:r>
      <w:proofErr w:type="spellStart"/>
      <w:r w:rsidRPr="00CE21C4">
        <w:rPr>
          <w:rFonts w:cs="Times New Roman"/>
        </w:rPr>
        <w:t>Waddams</w:t>
      </w:r>
      <w:proofErr w:type="spellEnd"/>
      <w:r w:rsidRPr="00CE21C4">
        <w:rPr>
          <w:rFonts w:cs="Times New Roman"/>
        </w:rPr>
        <w:t xml:space="preserve">, </w:t>
      </w:r>
      <w:r w:rsidRPr="00CE21C4">
        <w:rPr>
          <w:rFonts w:cs="Times New Roman"/>
          <w:i/>
        </w:rPr>
        <w:t>The Law of Damages</w:t>
      </w:r>
      <w:r w:rsidR="002340B2">
        <w:rPr>
          <w:rFonts w:cs="Times New Roman"/>
        </w:rPr>
        <w:t xml:space="preserve"> (</w:t>
      </w:r>
      <w:r w:rsidRPr="00CE21C4">
        <w:rPr>
          <w:rFonts w:cs="Times New Roman"/>
        </w:rPr>
        <w:t>5th ed. 2012), at paras. 10.10 to 10.30). In addition, setting the effects at zero where the Commissioner has failed to meet her legal burden is consistent with taking an approach to the balancing analysis that is objectively reasonable. In setting the weight at undetermined, the Federal Court of Appeal allowed for subjective judgment to overtake the analysis. Undetermined effects were weighed against the proven overhead gains in efficiency, which were described by the court as “marginal” and “insignificant” (</w:t>
      </w:r>
      <w:proofErr w:type="spellStart"/>
      <w:r w:rsidRPr="00CE21C4">
        <w:rPr>
          <w:rFonts w:cs="Times New Roman"/>
        </w:rPr>
        <w:t>para</w:t>
      </w:r>
      <w:proofErr w:type="spellEnd"/>
      <w:r w:rsidRPr="00CE21C4">
        <w:rPr>
          <w:rFonts w:cs="Times New Roman"/>
        </w:rPr>
        <w:t xml:space="preserve">. 174).  Nonetheless, it is not clear how the Federal Court of Appeal — or any court — could weigh undetermined effects. </w:t>
      </w:r>
    </w:p>
    <w:p w:rsidR="00E35AE4" w:rsidRPr="00CE21C4" w:rsidRDefault="00E35AE4" w:rsidP="00154FA9">
      <w:pPr>
        <w:pStyle w:val="ParaNoNdepar-AltN"/>
        <w:rPr>
          <w:rFonts w:cs="Times New Roman"/>
        </w:rPr>
      </w:pPr>
      <w:r w:rsidRPr="00CE21C4">
        <w:rPr>
          <w:rFonts w:cs="Times New Roman"/>
        </w:rPr>
        <w:t xml:space="preserve">The jurisprudence has consistently recognized the importance of an objective approach to the balancing analysis (see </w:t>
      </w:r>
      <w:r w:rsidRPr="00CE21C4">
        <w:rPr>
          <w:rFonts w:cs="Times New Roman"/>
          <w:i/>
        </w:rPr>
        <w:t>Superior Propane IV</w:t>
      </w:r>
      <w:r w:rsidRPr="00CE21C4">
        <w:rPr>
          <w:rFonts w:cs="Times New Roman"/>
        </w:rPr>
        <w:t>,</w:t>
      </w:r>
      <w:r w:rsidRPr="00CE21C4">
        <w:rPr>
          <w:rFonts w:cs="Times New Roman"/>
          <w:i/>
        </w:rPr>
        <w:t xml:space="preserve"> </w:t>
      </w:r>
      <w:r w:rsidRPr="00CE21C4">
        <w:rPr>
          <w:rFonts w:cs="Times New Roman"/>
        </w:rPr>
        <w:t xml:space="preserve">at </w:t>
      </w:r>
      <w:proofErr w:type="spellStart"/>
      <w:r w:rsidRPr="00CE21C4">
        <w:rPr>
          <w:rFonts w:cs="Times New Roman"/>
        </w:rPr>
        <w:t>para</w:t>
      </w:r>
      <w:proofErr w:type="spellEnd"/>
      <w:r w:rsidRPr="00CE21C4">
        <w:rPr>
          <w:rFonts w:cs="Times New Roman"/>
        </w:rPr>
        <w:t>. 38).  As the Federal Court of Appeal recognized in this case:</w:t>
      </w:r>
    </w:p>
    <w:p w:rsidR="00E35AE4" w:rsidRPr="00CE21C4" w:rsidRDefault="00E35AE4" w:rsidP="00154FA9">
      <w:pPr>
        <w:pStyle w:val="Citation-AltC"/>
      </w:pPr>
      <w:r w:rsidRPr="00CE21C4">
        <w:t xml:space="preserve">Objective determinations are better suited for ensuring predictability in the application of the </w:t>
      </w:r>
      <w:r w:rsidRPr="00CE21C4">
        <w:rPr>
          <w:i/>
        </w:rPr>
        <w:t>Competition Act</w:t>
      </w:r>
      <w:r w:rsidRPr="00CE21C4">
        <w:t xml:space="preserve"> and avoiding arbitrary decisions. Predictability is particularly important in merger reviews since most merger transactions are reviewed only by the Commissioner and rarely reach the Tribunal. A methodology which favours objective </w:t>
      </w:r>
      <w:r w:rsidRPr="00CE21C4">
        <w:lastRenderedPageBreak/>
        <w:t>determinations whenever possible allows the parties to merger transactions and the Commissioner to more readily predict the impacts of a merger, discourages the use of arbitrary judgment in the process, and reduces overall uncertainty in the Canadian business community. [</w:t>
      </w:r>
      <w:proofErr w:type="spellStart"/>
      <w:r w:rsidRPr="00CE21C4">
        <w:t>para</w:t>
      </w:r>
      <w:proofErr w:type="spellEnd"/>
      <w:r w:rsidR="004812D1">
        <w:t>.</w:t>
      </w:r>
      <w:r w:rsidRPr="00CE21C4">
        <w:t xml:space="preserve"> 152]</w:t>
      </w:r>
    </w:p>
    <w:p w:rsidR="00E35AE4" w:rsidRPr="00CE21C4" w:rsidRDefault="00E35AE4" w:rsidP="00154FA9">
      <w:pPr>
        <w:pStyle w:val="ContinueParaSuitedupar-AltP"/>
        <w:rPr>
          <w:rFonts w:cs="Times New Roman"/>
        </w:rPr>
      </w:pPr>
      <w:r w:rsidRPr="00CE21C4">
        <w:rPr>
          <w:rFonts w:cs="Times New Roman"/>
        </w:rPr>
        <w:t xml:space="preserve">I agree with these reasons for favouring an objective approach. Although the Federal Court of Appeal recognized the importance of an objective analysis, in assigning the quantifiable but non-quantified effects a weight of “undetermined”, its analysis did not meet the necessary objective standard. </w:t>
      </w:r>
    </w:p>
    <w:p w:rsidR="00E35AE4" w:rsidRPr="00CE21C4" w:rsidRDefault="00E35AE4" w:rsidP="00154FA9">
      <w:pPr>
        <w:pStyle w:val="ParaNoNdepar-AltN"/>
        <w:rPr>
          <w:rFonts w:cs="Times New Roman"/>
        </w:rPr>
      </w:pPr>
      <w:r w:rsidRPr="00CE21C4">
        <w:rPr>
          <w:rFonts w:cs="Times New Roman"/>
        </w:rPr>
        <w:t>The Federal Court of Appeal’s “undetermined” approach also raises concerns of fairness to the merging parties. The court recognized that</w:t>
      </w:r>
      <w:r w:rsidR="004812D1">
        <w:rPr>
          <w:rFonts w:cs="Times New Roman"/>
        </w:rPr>
        <w:t xml:space="preserve"> a “proper interpretation of section</w:t>
      </w:r>
      <w:r w:rsidRPr="00CE21C4">
        <w:rPr>
          <w:rFonts w:cs="Times New Roman"/>
        </w:rPr>
        <w:t xml:space="preserve"> 96 of the </w:t>
      </w:r>
      <w:r w:rsidRPr="00CE21C4">
        <w:rPr>
          <w:rFonts w:cs="Times New Roman"/>
          <w:i/>
        </w:rPr>
        <w:t>Competition Act</w:t>
      </w:r>
      <w:r w:rsidRPr="00CE21C4">
        <w:rPr>
          <w:rFonts w:cs="Times New Roman"/>
        </w:rPr>
        <w:t xml:space="preserve"> requires that the [merging parties] must still demonstrate on a balance of probabilities that the gains in efficiency offset the anti-competitive effects” (</w:t>
      </w:r>
      <w:proofErr w:type="spellStart"/>
      <w:r w:rsidRPr="00CE21C4">
        <w:rPr>
          <w:rFonts w:cs="Times New Roman"/>
        </w:rPr>
        <w:t>para</w:t>
      </w:r>
      <w:proofErr w:type="spellEnd"/>
      <w:r w:rsidRPr="00CE21C4">
        <w:rPr>
          <w:rFonts w:cs="Times New Roman"/>
        </w:rPr>
        <w:t xml:space="preserve">. 167). The difficulty with assigning non-quantified quantifiable effects a weight of “undetermined” is that it places the merging parties in the impossible position of having to demonstrate that the efficiency gains exceed and offset an amount that is undetermined. Under this approach, to prove the remaining elements of the defence on a balance of probabilities becomes an unfair exercise as the merging parties do not know the case they have to meet. </w:t>
      </w:r>
    </w:p>
    <w:p w:rsidR="00E35AE4" w:rsidRPr="00CE21C4" w:rsidRDefault="00E35AE4" w:rsidP="00154FA9">
      <w:pPr>
        <w:pStyle w:val="ParaNoNdepar-AltN"/>
        <w:rPr>
          <w:rFonts w:cs="Times New Roman"/>
        </w:rPr>
      </w:pPr>
      <w:r w:rsidRPr="00CE21C4">
        <w:rPr>
          <w:rFonts w:cs="Times New Roman"/>
        </w:rPr>
        <w:t xml:space="preserve">The Commissioner argues that, although the anti-competitive effects in this case were not quantified, they could be inferred as a result of the Tribunal’s finding that competition from the </w:t>
      </w:r>
      <w:proofErr w:type="spellStart"/>
      <w:r w:rsidRPr="00CE21C4">
        <w:rPr>
          <w:rFonts w:cs="Times New Roman"/>
        </w:rPr>
        <w:t>Babkirk</w:t>
      </w:r>
      <w:proofErr w:type="spellEnd"/>
      <w:r w:rsidRPr="00CE21C4">
        <w:rPr>
          <w:rFonts w:cs="Times New Roman"/>
        </w:rPr>
        <w:t xml:space="preserve"> site would have led to an average price decrease of at least 10 percent (Tribunal decision, at </w:t>
      </w:r>
      <w:proofErr w:type="spellStart"/>
      <w:r w:rsidRPr="00CE21C4">
        <w:rPr>
          <w:rFonts w:cs="Times New Roman"/>
        </w:rPr>
        <w:t>para</w:t>
      </w:r>
      <w:proofErr w:type="spellEnd"/>
      <w:r w:rsidRPr="00CE21C4">
        <w:rPr>
          <w:rFonts w:cs="Times New Roman"/>
        </w:rPr>
        <w:t xml:space="preserve">. 297; R.F., at paras. 89-91). However, the 10 percent amount is not enough to calculate the deadweight loss as the </w:t>
      </w:r>
      <w:r w:rsidRPr="00CE21C4">
        <w:rPr>
          <w:rFonts w:cs="Times New Roman"/>
        </w:rPr>
        <w:lastRenderedPageBreak/>
        <w:t>Commissioner did not establish the price elasticity of demand. The proven fact</w:t>
      </w:r>
      <w:r w:rsidR="00756D3B">
        <w:rPr>
          <w:rFonts w:cs="Times New Roman"/>
        </w:rPr>
        <w:t>s demonstrated the size of the Contestable A</w:t>
      </w:r>
      <w:r w:rsidRPr="00CE21C4">
        <w:rPr>
          <w:rFonts w:cs="Times New Roman"/>
        </w:rPr>
        <w:t xml:space="preserve">rea and the potential tonnes of waste per year. Without a calculation of the actual </w:t>
      </w:r>
      <w:proofErr w:type="gramStart"/>
      <w:r w:rsidRPr="00CE21C4">
        <w:rPr>
          <w:rFonts w:cs="Times New Roman"/>
        </w:rPr>
        <w:t>loss, all that</w:t>
      </w:r>
      <w:proofErr w:type="gramEnd"/>
      <w:r w:rsidRPr="00CE21C4">
        <w:rPr>
          <w:rFonts w:cs="Times New Roman"/>
        </w:rPr>
        <w:t xml:space="preserve"> is known is that there was a certain amount of potential waste subject to the effect of the elasticity. In other words, the 10 percent calculation is not enough to determine the extent of any anti-competitive effect. As the Federal Court of Appeal noted: </w:t>
      </w:r>
    </w:p>
    <w:p w:rsidR="00E35AE4" w:rsidRPr="00CE21C4" w:rsidRDefault="00E35AE4" w:rsidP="00154FA9">
      <w:pPr>
        <w:pStyle w:val="Citation-AltC"/>
      </w:pPr>
      <w:r w:rsidRPr="00CE21C4">
        <w:t xml:space="preserve">In this case, the Tribunal itself found that estimates of market elasticity [the change over the market as a whole] and the merged entity’s own-price elasticity of demand [the degree to which demand is effected by a change in price by the merged entity] are necessary in order to calculate the “deadweight loss”. The Tribunal also recognized that a range of plausible </w:t>
      </w:r>
      <w:proofErr w:type="spellStart"/>
      <w:r w:rsidRPr="00CE21C4">
        <w:t>elasticities</w:t>
      </w:r>
      <w:proofErr w:type="spellEnd"/>
      <w:r w:rsidRPr="00CE21C4">
        <w:t xml:space="preserve"> are required in order to understand the sensitivity of the Commissioner’s estimates. Without those estimates, the “deadweight loss” could not be properly calculated by the Commissioner, and </w:t>
      </w:r>
      <w:proofErr w:type="spellStart"/>
      <w:r w:rsidRPr="00CE21C4">
        <w:t>Tervita</w:t>
      </w:r>
      <w:proofErr w:type="spellEnd"/>
      <w:r w:rsidRPr="00CE21C4">
        <w:t xml:space="preserve"> could not adequately challenge the calculations. [Emphasis deleted; </w:t>
      </w:r>
      <w:proofErr w:type="spellStart"/>
      <w:r w:rsidRPr="00CE21C4">
        <w:t>para</w:t>
      </w:r>
      <w:proofErr w:type="spellEnd"/>
      <w:r w:rsidRPr="00CE21C4">
        <w:t>. 124.]</w:t>
      </w:r>
    </w:p>
    <w:p w:rsidR="00E35AE4" w:rsidRPr="00CE21C4" w:rsidRDefault="00E35AE4" w:rsidP="00154FA9">
      <w:pPr>
        <w:pStyle w:val="ParaNoNdepar-AltN"/>
        <w:rPr>
          <w:rFonts w:cs="Times New Roman"/>
        </w:rPr>
      </w:pPr>
      <w:r w:rsidRPr="00CE21C4">
        <w:rPr>
          <w:rFonts w:cs="Times New Roman"/>
        </w:rPr>
        <w:t xml:space="preserve">In his reply expert report, the Commissioner’s expert did submit estimates of potential market expansion. However, these estimates were based on </w:t>
      </w:r>
      <w:proofErr w:type="spellStart"/>
      <w:r w:rsidRPr="00CE21C4">
        <w:rPr>
          <w:rFonts w:cs="Times New Roman"/>
        </w:rPr>
        <w:t>Tervita’s</w:t>
      </w:r>
      <w:proofErr w:type="spellEnd"/>
      <w:r w:rsidRPr="00CE21C4">
        <w:rPr>
          <w:rFonts w:cs="Times New Roman"/>
        </w:rPr>
        <w:t xml:space="preserve"> expert’s calculations of </w:t>
      </w:r>
      <w:proofErr w:type="spellStart"/>
      <w:r w:rsidRPr="00CE21C4">
        <w:rPr>
          <w:rFonts w:cs="Times New Roman"/>
        </w:rPr>
        <w:t>Tervita’s</w:t>
      </w:r>
      <w:proofErr w:type="spellEnd"/>
      <w:r w:rsidRPr="00CE21C4">
        <w:rPr>
          <w:rFonts w:cs="Times New Roman"/>
        </w:rPr>
        <w:t xml:space="preserve"> claimed market expansion efficiencies, which were </w:t>
      </w:r>
      <w:proofErr w:type="gramStart"/>
      <w:r w:rsidRPr="00CE21C4">
        <w:rPr>
          <w:rFonts w:cs="Times New Roman"/>
        </w:rPr>
        <w:t>themselves</w:t>
      </w:r>
      <w:proofErr w:type="gramEnd"/>
      <w:r w:rsidRPr="00CE21C4">
        <w:rPr>
          <w:rFonts w:cs="Times New Roman"/>
        </w:rPr>
        <w:t xml:space="preserve"> based on unsupported assumptions. As </w:t>
      </w:r>
      <w:proofErr w:type="spellStart"/>
      <w:r w:rsidRPr="00CE21C4">
        <w:rPr>
          <w:rFonts w:cs="Times New Roman"/>
        </w:rPr>
        <w:t>Tervita’s</w:t>
      </w:r>
      <w:proofErr w:type="spellEnd"/>
      <w:r w:rsidRPr="00CE21C4">
        <w:rPr>
          <w:rFonts w:cs="Times New Roman"/>
        </w:rPr>
        <w:t xml:space="preserve"> expert testified before the Tribunal, these calculations could not be used to calculate the deadweight loss in the absence of an adequate market demand elasticity study. In response to questioning from the Tribunal, </w:t>
      </w:r>
      <w:proofErr w:type="spellStart"/>
      <w:r w:rsidRPr="00CE21C4">
        <w:rPr>
          <w:rFonts w:cs="Times New Roman"/>
        </w:rPr>
        <w:t>Tervita’s</w:t>
      </w:r>
      <w:proofErr w:type="spellEnd"/>
      <w:r w:rsidRPr="00CE21C4">
        <w:rPr>
          <w:rFonts w:cs="Times New Roman"/>
        </w:rPr>
        <w:t xml:space="preserve"> expert testified that it is not possible to calculate the deadweight loss without customer-specific elasticity or market elasticity numbers: “You need the shape of the demand curve to figure out dead</w:t>
      </w:r>
      <w:r w:rsidR="004812D1">
        <w:rPr>
          <w:rFonts w:cs="Times New Roman"/>
        </w:rPr>
        <w:t xml:space="preserve"> </w:t>
      </w:r>
      <w:r w:rsidRPr="00CE21C4">
        <w:rPr>
          <w:rFonts w:cs="Times New Roman"/>
        </w:rPr>
        <w:t xml:space="preserve">weight loss” (testimony of Dr. </w:t>
      </w:r>
      <w:proofErr w:type="spellStart"/>
      <w:r w:rsidRPr="00CE21C4">
        <w:rPr>
          <w:rFonts w:cs="Times New Roman"/>
        </w:rPr>
        <w:t>Kahwaty</w:t>
      </w:r>
      <w:proofErr w:type="spellEnd"/>
      <w:r w:rsidRPr="00CE21C4">
        <w:rPr>
          <w:rFonts w:cs="Times New Roman"/>
        </w:rPr>
        <w:t>,</w:t>
      </w:r>
      <w:r w:rsidR="00756D3B">
        <w:rPr>
          <w:rFonts w:cs="Times New Roman"/>
        </w:rPr>
        <w:t xml:space="preserve"> F.C.A. decision, at </w:t>
      </w:r>
      <w:proofErr w:type="spellStart"/>
      <w:r w:rsidR="00756D3B">
        <w:rPr>
          <w:rFonts w:cs="Times New Roman"/>
        </w:rPr>
        <w:t>para</w:t>
      </w:r>
      <w:proofErr w:type="spellEnd"/>
      <w:r w:rsidR="00756D3B">
        <w:rPr>
          <w:rFonts w:cs="Times New Roman"/>
        </w:rPr>
        <w:t>. 125</w:t>
      </w:r>
      <w:r w:rsidRPr="00CE21C4">
        <w:rPr>
          <w:rFonts w:cs="Times New Roman"/>
        </w:rPr>
        <w:t>).</w:t>
      </w:r>
    </w:p>
    <w:p w:rsidR="00E35AE4" w:rsidRPr="00CE21C4" w:rsidRDefault="00E35AE4" w:rsidP="00154FA9">
      <w:pPr>
        <w:pStyle w:val="ParaNoNdepar-AltN"/>
        <w:rPr>
          <w:rFonts w:cs="Times New Roman"/>
        </w:rPr>
      </w:pPr>
      <w:r w:rsidRPr="00CE21C4">
        <w:rPr>
          <w:rFonts w:cs="Times New Roman"/>
        </w:rPr>
        <w:lastRenderedPageBreak/>
        <w:t xml:space="preserve">Without estimates of elasticity, the “deadweight loss” could not be properly calculated by the Commissioner, and </w:t>
      </w:r>
      <w:proofErr w:type="spellStart"/>
      <w:r w:rsidRPr="00CE21C4">
        <w:rPr>
          <w:rFonts w:cs="Times New Roman"/>
        </w:rPr>
        <w:t>Tervita</w:t>
      </w:r>
      <w:proofErr w:type="spellEnd"/>
      <w:r w:rsidRPr="00CE21C4">
        <w:rPr>
          <w:rFonts w:cs="Times New Roman"/>
        </w:rPr>
        <w:t xml:space="preserve"> could not adequately challenge the calculations (F.C.A. decision, at </w:t>
      </w:r>
      <w:proofErr w:type="spellStart"/>
      <w:r w:rsidRPr="00CE21C4">
        <w:rPr>
          <w:rFonts w:cs="Times New Roman"/>
        </w:rPr>
        <w:t>para</w:t>
      </w:r>
      <w:proofErr w:type="spellEnd"/>
      <w:r w:rsidRPr="00CE21C4">
        <w:rPr>
          <w:rFonts w:cs="Times New Roman"/>
        </w:rPr>
        <w:t xml:space="preserve">. 124). Indeed, the proven facts serve to demonstrate that the anti-competitive effects might well have been estimated, but were not estimated due to the absence of the critical component of elasticity measure. An inference based on the 10 percent finding and the unknown potential elasticity is not a substitution for quantification. </w:t>
      </w:r>
    </w:p>
    <w:p w:rsidR="00E35AE4" w:rsidRPr="00CE21C4" w:rsidRDefault="00E35AE4" w:rsidP="00154FA9">
      <w:pPr>
        <w:pStyle w:val="ParaNoNdepar-AltN"/>
        <w:rPr>
          <w:rFonts w:cs="Times New Roman"/>
        </w:rPr>
      </w:pPr>
      <w:r w:rsidRPr="00CE21C4">
        <w:rPr>
          <w:rFonts w:cs="Times New Roman"/>
        </w:rPr>
        <w:t xml:space="preserve">The Commissioner submits in the alternative that the Tribunal did not breach procedural fairness in relying upon the rough estimate of the Commissioner’s expert of the deadweight loss flowing from the 10 percent price reduction (R.F., at </w:t>
      </w:r>
      <w:proofErr w:type="spellStart"/>
      <w:r w:rsidRPr="00CE21C4">
        <w:rPr>
          <w:rFonts w:cs="Times New Roman"/>
        </w:rPr>
        <w:t>para</w:t>
      </w:r>
      <w:proofErr w:type="spellEnd"/>
      <w:r w:rsidRPr="00CE21C4">
        <w:rPr>
          <w:rFonts w:cs="Times New Roman"/>
        </w:rPr>
        <w:t xml:space="preserve">. 107). I cannot agree. As the Federal Court of Appeal found, the Commissioner’s failure to quantify the quantifiable anti-competitive effects combined with the Tribunal’s decision to allow the Commissioner to discharge her burden through a reply expert report setting out the rough estimate resulted in prejudice to </w:t>
      </w:r>
      <w:proofErr w:type="spellStart"/>
      <w:r w:rsidRPr="00CE21C4">
        <w:rPr>
          <w:rFonts w:cs="Times New Roman"/>
        </w:rPr>
        <w:t>Tervita</w:t>
      </w:r>
      <w:proofErr w:type="spellEnd"/>
      <w:r w:rsidRPr="00CE21C4">
        <w:rPr>
          <w:rFonts w:cs="Times New Roman"/>
        </w:rPr>
        <w:t xml:space="preserve">. </w:t>
      </w:r>
      <w:proofErr w:type="spellStart"/>
      <w:r w:rsidRPr="00CE21C4">
        <w:rPr>
          <w:rFonts w:cs="Times New Roman"/>
        </w:rPr>
        <w:t>Tervita</w:t>
      </w:r>
      <w:proofErr w:type="spellEnd"/>
      <w:r w:rsidRPr="00CE21C4">
        <w:rPr>
          <w:rFonts w:cs="Times New Roman"/>
        </w:rPr>
        <w:t xml:space="preserve"> was unable to adequately challenge the Commissioner’s calculations due to the failure to quantify the anti-competitive effects and as a result of the insufficient time for </w:t>
      </w:r>
      <w:proofErr w:type="spellStart"/>
      <w:r w:rsidRPr="00CE21C4">
        <w:rPr>
          <w:rFonts w:cs="Times New Roman"/>
        </w:rPr>
        <w:t>Tervita</w:t>
      </w:r>
      <w:proofErr w:type="spellEnd"/>
      <w:r w:rsidRPr="00CE21C4">
        <w:rPr>
          <w:rFonts w:cs="Times New Roman"/>
        </w:rPr>
        <w:t xml:space="preserve"> to formally respond to the reply expert report (see F.C.A. decision, at paras. 121-30). </w:t>
      </w:r>
    </w:p>
    <w:p w:rsidR="00E35AE4" w:rsidRPr="00CE21C4" w:rsidRDefault="00E35AE4" w:rsidP="00154FA9">
      <w:pPr>
        <w:pStyle w:val="ParaNoNdepar-AltN"/>
        <w:rPr>
          <w:rFonts w:cs="Times New Roman"/>
        </w:rPr>
      </w:pPr>
      <w:r w:rsidRPr="00CE21C4">
        <w:rPr>
          <w:rFonts w:cs="Times New Roman"/>
        </w:rPr>
        <w:t xml:space="preserve">While the Commissioner has the burden to prove the anti-competitive effects, the merging parties bear the onus of proving the remaining elements of the defence. To allow for these kinds of procedural deficiencies would be to leave the merging parties in an untenable position where they are expected to prove that efficiencies are greater than and offset the anti-competitive effects, despite not </w:t>
      </w:r>
      <w:r w:rsidRPr="00CE21C4">
        <w:rPr>
          <w:rFonts w:cs="Times New Roman"/>
        </w:rPr>
        <w:lastRenderedPageBreak/>
        <w:t xml:space="preserve">knowing what those effects are. I cannot accept the Commissioner’s arguments that there was no unfairness in this case because the calculation was “not complex” or because </w:t>
      </w:r>
      <w:proofErr w:type="spellStart"/>
      <w:r w:rsidRPr="00CE21C4">
        <w:rPr>
          <w:rFonts w:cs="Times New Roman"/>
        </w:rPr>
        <w:t>Tervita’s</w:t>
      </w:r>
      <w:proofErr w:type="spellEnd"/>
      <w:r w:rsidRPr="00CE21C4">
        <w:rPr>
          <w:rFonts w:cs="Times New Roman"/>
        </w:rPr>
        <w:t xml:space="preserve"> expert had the opportunity to respond “briefly in direct examination”, in cross-examination and on questioning from the Tribunal (R.F., at </w:t>
      </w:r>
      <w:proofErr w:type="spellStart"/>
      <w:r w:rsidRPr="00CE21C4">
        <w:rPr>
          <w:rFonts w:cs="Times New Roman"/>
        </w:rPr>
        <w:t>para</w:t>
      </w:r>
      <w:proofErr w:type="spellEnd"/>
      <w:r w:rsidRPr="00CE21C4">
        <w:rPr>
          <w:rFonts w:cs="Times New Roman"/>
        </w:rPr>
        <w:t xml:space="preserve">. 108). The reply expert report was only made available to </w:t>
      </w:r>
      <w:proofErr w:type="spellStart"/>
      <w:r w:rsidRPr="00CE21C4">
        <w:rPr>
          <w:rFonts w:cs="Times New Roman"/>
        </w:rPr>
        <w:t>Tervita</w:t>
      </w:r>
      <w:proofErr w:type="spellEnd"/>
      <w:r w:rsidRPr="00CE21C4">
        <w:rPr>
          <w:rFonts w:cs="Times New Roman"/>
        </w:rPr>
        <w:t xml:space="preserve"> two weeks before the Tribunal’s hearing (Tribunal decision, at </w:t>
      </w:r>
      <w:proofErr w:type="spellStart"/>
      <w:r w:rsidRPr="00CE21C4">
        <w:rPr>
          <w:rFonts w:cs="Times New Roman"/>
        </w:rPr>
        <w:t>para</w:t>
      </w:r>
      <w:proofErr w:type="spellEnd"/>
      <w:r w:rsidRPr="00CE21C4">
        <w:rPr>
          <w:rFonts w:cs="Times New Roman"/>
        </w:rPr>
        <w:t>. 235). As the Tribunal noted: “By then, the Tribunal’s Scheduling Order did not permit [</w:t>
      </w:r>
      <w:proofErr w:type="spellStart"/>
      <w:r w:rsidRPr="00CE21C4">
        <w:rPr>
          <w:rFonts w:cs="Times New Roman"/>
        </w:rPr>
        <w:t>Tervita</w:t>
      </w:r>
      <w:proofErr w:type="spellEnd"/>
      <w:r w:rsidRPr="00CE21C4">
        <w:rPr>
          <w:rFonts w:cs="Times New Roman"/>
        </w:rPr>
        <w:t xml:space="preserve">] to bring a motion or file a further expert report. In </w:t>
      </w:r>
      <w:proofErr w:type="gramStart"/>
      <w:r w:rsidRPr="00CE21C4">
        <w:rPr>
          <w:rFonts w:cs="Times New Roman"/>
        </w:rPr>
        <w:t xml:space="preserve">addition </w:t>
      </w:r>
      <w:r w:rsidR="00154FA9">
        <w:rPr>
          <w:rFonts w:cs="Times New Roman"/>
        </w:rPr>
        <w:t>.</w:t>
      </w:r>
      <w:proofErr w:type="gramEnd"/>
      <w:r w:rsidR="00154FA9">
        <w:rPr>
          <w:rFonts w:cs="Times New Roman"/>
        </w:rPr>
        <w:t> . .</w:t>
      </w:r>
      <w:r w:rsidRPr="00CE21C4">
        <w:rPr>
          <w:rFonts w:cs="Times New Roman"/>
        </w:rPr>
        <w:t xml:space="preserve"> there was insufficient time before the hearing to permit [</w:t>
      </w:r>
      <w:proofErr w:type="spellStart"/>
      <w:r w:rsidRPr="00CE21C4">
        <w:rPr>
          <w:rFonts w:cs="Times New Roman"/>
        </w:rPr>
        <w:t>Tervita</w:t>
      </w:r>
      <w:proofErr w:type="spellEnd"/>
      <w:r w:rsidRPr="00CE21C4">
        <w:rPr>
          <w:rFonts w:cs="Times New Roman"/>
        </w:rPr>
        <w:t xml:space="preserve">] to move to strike [the Commissioner’s expert] report or to seek leave to file a further report in response </w:t>
      </w:r>
      <w:r w:rsidR="00154FA9">
        <w:rPr>
          <w:rFonts w:cs="Times New Roman"/>
        </w:rPr>
        <w:t>. . .</w:t>
      </w:r>
      <w:r w:rsidRPr="00CE21C4">
        <w:rPr>
          <w:rFonts w:cs="Times New Roman"/>
        </w:rPr>
        <w:t>” (</w:t>
      </w:r>
      <w:r w:rsidR="004812D1" w:rsidRPr="004812D1">
        <w:rPr>
          <w:rFonts w:cs="Times New Roman"/>
          <w:i/>
        </w:rPr>
        <w:t>ibid.</w:t>
      </w:r>
      <w:r w:rsidRPr="00CE21C4">
        <w:rPr>
          <w:rFonts w:cs="Times New Roman"/>
        </w:rPr>
        <w:t xml:space="preserve">). The Tribunal found that the procedural deficiencies meant that </w:t>
      </w:r>
      <w:proofErr w:type="spellStart"/>
      <w:r w:rsidRPr="00CE21C4">
        <w:rPr>
          <w:rFonts w:cs="Times New Roman"/>
        </w:rPr>
        <w:t>Tervita</w:t>
      </w:r>
      <w:proofErr w:type="spellEnd"/>
      <w:r w:rsidRPr="00CE21C4">
        <w:rPr>
          <w:rFonts w:cs="Times New Roman"/>
        </w:rPr>
        <w:t xml:space="preserve"> could not prepare a proper response to the case presented by the Commissioner and that </w:t>
      </w:r>
      <w:proofErr w:type="spellStart"/>
      <w:r w:rsidRPr="00CE21C4">
        <w:rPr>
          <w:rFonts w:cs="Times New Roman"/>
        </w:rPr>
        <w:t>Tervita</w:t>
      </w:r>
      <w:proofErr w:type="spellEnd"/>
      <w:r w:rsidRPr="00CE21C4">
        <w:rPr>
          <w:rFonts w:cs="Times New Roman"/>
        </w:rPr>
        <w:t xml:space="preserve"> could not effectively challenge the Commissioner’s evidence. </w:t>
      </w:r>
    </w:p>
    <w:p w:rsidR="00E35AE4" w:rsidRPr="00CE21C4" w:rsidRDefault="00E35AE4" w:rsidP="00154FA9">
      <w:pPr>
        <w:pStyle w:val="ParaNoNdepar-AltN"/>
        <w:rPr>
          <w:rFonts w:cs="Times New Roman"/>
        </w:rPr>
      </w:pPr>
      <w:r w:rsidRPr="00CE21C4">
        <w:rPr>
          <w:rFonts w:cs="Times New Roman"/>
        </w:rPr>
        <w:t xml:space="preserve">In this case, the Commissioner failed to meet her burden to quantify the quantifiable anti-competitive effects. As a result, the Tribunal should have assigned zero weight to the quantifiable anti-competitive effects. </w:t>
      </w:r>
    </w:p>
    <w:p w:rsidR="00E35AE4" w:rsidRPr="00CE21C4" w:rsidRDefault="00E35AE4" w:rsidP="00154FA9">
      <w:pPr>
        <w:pStyle w:val="ParaNoNdepar-AltN"/>
        <w:rPr>
          <w:rFonts w:cs="Times New Roman"/>
        </w:rPr>
      </w:pPr>
      <w:r w:rsidRPr="00CE21C4">
        <w:rPr>
          <w:rFonts w:cs="Times New Roman"/>
        </w:rPr>
        <w:t xml:space="preserve">Justice </w:t>
      </w:r>
      <w:proofErr w:type="spellStart"/>
      <w:r w:rsidRPr="00CE21C4">
        <w:rPr>
          <w:rFonts w:cs="Times New Roman"/>
        </w:rPr>
        <w:t>Karakatsanis</w:t>
      </w:r>
      <w:proofErr w:type="spellEnd"/>
      <w:r w:rsidRPr="00CE21C4">
        <w:rPr>
          <w:rFonts w:cs="Times New Roman"/>
        </w:rPr>
        <w:t xml:space="preserve"> would permit quantitative but </w:t>
      </w:r>
      <w:proofErr w:type="spellStart"/>
      <w:r w:rsidRPr="00CE21C4">
        <w:rPr>
          <w:rFonts w:cs="Times New Roman"/>
        </w:rPr>
        <w:t>unquantified</w:t>
      </w:r>
      <w:proofErr w:type="spellEnd"/>
      <w:r w:rsidRPr="00CE21C4">
        <w:rPr>
          <w:rFonts w:cs="Times New Roman"/>
        </w:rPr>
        <w:t xml:space="preserve"> effects to be considered with “undetermined” weight, on the argument that such information is nonetheless probative on the question of efficiency (</w:t>
      </w:r>
      <w:proofErr w:type="spellStart"/>
      <w:r w:rsidRPr="00CE21C4">
        <w:rPr>
          <w:rFonts w:cs="Times New Roman"/>
        </w:rPr>
        <w:t>para</w:t>
      </w:r>
      <w:proofErr w:type="spellEnd"/>
      <w:r w:rsidRPr="00CE21C4">
        <w:rPr>
          <w:rFonts w:cs="Times New Roman"/>
        </w:rPr>
        <w:t xml:space="preserve">. 194). I cannot agree. As discussed above, there are sound reasons to require that the s. 96 analysis be as objective as possible. This argument concerns evidence for which quantification is entirely possible, but has not been done. To consider such evidence is to conduct an analysis that is less objective than is possible with more complete estimation. The </w:t>
      </w:r>
      <w:r w:rsidRPr="00CE21C4">
        <w:rPr>
          <w:rFonts w:cs="Times New Roman"/>
        </w:rPr>
        <w:lastRenderedPageBreak/>
        <w:t xml:space="preserve">Tribunal should not sacrifice the objectivity of its analysis because a party has failed to conduct a complete quantitative estimate of the magnitude of an effect. </w:t>
      </w:r>
    </w:p>
    <w:p w:rsidR="00E35AE4" w:rsidRPr="00CE21C4" w:rsidRDefault="00E35AE4" w:rsidP="00154FA9">
      <w:pPr>
        <w:pStyle w:val="ParaNoNdepar-AltN"/>
        <w:rPr>
          <w:rFonts w:cs="Times New Roman"/>
        </w:rPr>
      </w:pPr>
      <w:r w:rsidRPr="00CE21C4">
        <w:rPr>
          <w:rFonts w:cs="Times New Roman"/>
        </w:rPr>
        <w:t>In this case, the absence of price elasticity information means that the possible range of deadweight loss resulting from the merger is unknown. All else being equal, high price elasticity would likely result in significant deadweight loss, while low price elasticity could result in minimal deadweight loss. To permit the Tribunal to consider the price decrease evidence without the rest of the information necessary to quantify deadweight loss admits far too much subjectivity into the analysis, with no guarantee that the Tribunal will have enough information to ensure that a subjective assessment would align with what would actually be observed if the effect were properly quantified. Holding parties to account for the quantification of the quantitative effects they wish to adduce by assigning zero weight to undetermined quantitative effects acts to ensure that the Tribunal will be presented with information on all of the parameters necessary to estimate the magnitude of quantitative effects. To do otherwise invites speculation into the analysis.</w:t>
      </w:r>
    </w:p>
    <w:p w:rsidR="00E35AE4" w:rsidRPr="00CE21C4" w:rsidRDefault="00E35AE4" w:rsidP="00154FA9">
      <w:pPr>
        <w:pStyle w:val="ParaNoNdepar-AltN"/>
        <w:rPr>
          <w:rFonts w:cs="Times New Roman"/>
        </w:rPr>
      </w:pPr>
      <w:r w:rsidRPr="00CE21C4">
        <w:rPr>
          <w:rFonts w:cs="Times New Roman"/>
        </w:rPr>
        <w:t xml:space="preserve">Justice </w:t>
      </w:r>
      <w:proofErr w:type="spellStart"/>
      <w:r w:rsidRPr="00CE21C4">
        <w:rPr>
          <w:rFonts w:cs="Times New Roman"/>
        </w:rPr>
        <w:t>Karakatsanis</w:t>
      </w:r>
      <w:proofErr w:type="spellEnd"/>
      <w:r w:rsidRPr="00CE21C4">
        <w:rPr>
          <w:rFonts w:cs="Times New Roman"/>
        </w:rPr>
        <w:t xml:space="preserve"> agrees that “[o]</w:t>
      </w:r>
      <w:proofErr w:type="spellStart"/>
      <w:r w:rsidRPr="00CE21C4">
        <w:rPr>
          <w:rFonts w:cs="Times New Roman"/>
        </w:rPr>
        <w:t>bviously</w:t>
      </w:r>
      <w:proofErr w:type="spellEnd"/>
      <w:r w:rsidRPr="00CE21C4">
        <w:rPr>
          <w:rFonts w:cs="Times New Roman"/>
        </w:rPr>
        <w:t>, the Tribunal must apply the test in s. 96 to the evidence before it in a way that is fair to the parties” (</w:t>
      </w:r>
      <w:proofErr w:type="spellStart"/>
      <w:r w:rsidRPr="00CE21C4">
        <w:rPr>
          <w:rFonts w:cs="Times New Roman"/>
        </w:rPr>
        <w:t>para</w:t>
      </w:r>
      <w:proofErr w:type="spellEnd"/>
      <w:r w:rsidRPr="00CE21C4">
        <w:rPr>
          <w:rFonts w:cs="Times New Roman"/>
        </w:rPr>
        <w:t xml:space="preserve">. 196), but she does not explain how the party opposed to such incomplete evidence may fairly determine the quantitative case they must meet, or challenge the methodological details related to the undetermined quantitative effects. These concerns reinforce the appropriateness of assigning “undetermined” quantitative effects a weight of zero in the s. 96 analysis. </w:t>
      </w:r>
    </w:p>
    <w:p w:rsidR="00E35AE4" w:rsidRPr="00CE21C4" w:rsidRDefault="00E35AE4" w:rsidP="00154FA9">
      <w:pPr>
        <w:pStyle w:val="Title4LevelTitre4Niveau"/>
        <w:rPr>
          <w:rFonts w:cs="Times New Roman"/>
        </w:rPr>
      </w:pPr>
      <w:bookmarkStart w:id="140" w:name="_Toc396299554"/>
      <w:bookmarkStart w:id="141" w:name="_Toc397586786"/>
      <w:bookmarkStart w:id="142" w:name="_Toc397607026"/>
      <w:bookmarkStart w:id="143" w:name="_Toc404926135"/>
      <w:r w:rsidRPr="00CE21C4">
        <w:rPr>
          <w:rFonts w:cs="Times New Roman"/>
        </w:rPr>
        <w:lastRenderedPageBreak/>
        <w:t>The Approach to the Section 96 Balancing</w:t>
      </w:r>
      <w:bookmarkEnd w:id="140"/>
      <w:bookmarkEnd w:id="141"/>
      <w:bookmarkEnd w:id="142"/>
      <w:bookmarkEnd w:id="143"/>
    </w:p>
    <w:p w:rsidR="00E35AE4" w:rsidRPr="00CE21C4" w:rsidRDefault="00E35AE4" w:rsidP="00154FA9">
      <w:pPr>
        <w:pStyle w:val="ParaNoNdepar-AltN"/>
        <w:rPr>
          <w:rFonts w:cs="Times New Roman"/>
        </w:rPr>
      </w:pPr>
      <w:r w:rsidRPr="00CE21C4">
        <w:rPr>
          <w:rFonts w:cs="Times New Roman"/>
        </w:rPr>
        <w:t>The Federal Court of Appeal found that the Tribunal erred in law in its s. 96 analysis by “accepting a defective ‘deadweight’ loss calculation, by using an overly subjective offset methodology, by treating as qualitative effects certain quantitative effects which the Commissioner had failed to quantify, and by referring to qualitative environmental effects that are not cogni</w:t>
      </w:r>
      <w:r w:rsidR="004812D1">
        <w:rPr>
          <w:rFonts w:cs="Times New Roman"/>
        </w:rPr>
        <w:t>z</w:t>
      </w:r>
      <w:r w:rsidRPr="00CE21C4">
        <w:rPr>
          <w:rFonts w:cs="Times New Roman"/>
        </w:rPr>
        <w:t xml:space="preserve">able under the </w:t>
      </w:r>
      <w:r w:rsidRPr="00CE21C4">
        <w:rPr>
          <w:rFonts w:cs="Times New Roman"/>
          <w:i/>
        </w:rPr>
        <w:t>Competition Act</w:t>
      </w:r>
      <w:r w:rsidRPr="00CE21C4">
        <w:rPr>
          <w:rFonts w:cs="Times New Roman"/>
        </w:rPr>
        <w:t>” (</w:t>
      </w:r>
      <w:proofErr w:type="spellStart"/>
      <w:r w:rsidRPr="00CE21C4">
        <w:rPr>
          <w:rFonts w:cs="Times New Roman"/>
        </w:rPr>
        <w:t>para</w:t>
      </w:r>
      <w:proofErr w:type="spellEnd"/>
      <w:r w:rsidRPr="00CE21C4">
        <w:rPr>
          <w:rFonts w:cs="Times New Roman"/>
        </w:rPr>
        <w:t>. 163). Rather than remitting the matter to the Tribunal for a new determination, the court, satisfied that there was a complete record on which to carry out a new determination, engaged in a fresh assessment of the offset analysis. The court found that the efficiencies defence did not apply for two primary reasons. First, “marginal and insignificant gains in efficiency cannot offset known anti-competitive effects even where the weight to be afforded to such effects is undetermined” (</w:t>
      </w:r>
      <w:proofErr w:type="spellStart"/>
      <w:r w:rsidRPr="00CE21C4">
        <w:rPr>
          <w:rFonts w:cs="Times New Roman"/>
        </w:rPr>
        <w:t>para</w:t>
      </w:r>
      <w:proofErr w:type="spellEnd"/>
      <w:r w:rsidRPr="00CE21C4">
        <w:rPr>
          <w:rFonts w:cs="Times New Roman"/>
        </w:rPr>
        <w:t>. 174). Second, the present case was one of a pre-existing monopoly, which the Federal Court of Appeal held magnified the anti-competitive effects of the merger (</w:t>
      </w:r>
      <w:proofErr w:type="spellStart"/>
      <w:r w:rsidRPr="00CE21C4">
        <w:rPr>
          <w:rFonts w:cs="Times New Roman"/>
        </w:rPr>
        <w:t>para</w:t>
      </w:r>
      <w:proofErr w:type="spellEnd"/>
      <w:r w:rsidRPr="00CE21C4">
        <w:rPr>
          <w:rFonts w:cs="Times New Roman"/>
        </w:rPr>
        <w:t xml:space="preserve">. 173). </w:t>
      </w:r>
    </w:p>
    <w:p w:rsidR="00E35AE4" w:rsidRPr="00CE21C4" w:rsidRDefault="00E35AE4" w:rsidP="00154FA9">
      <w:pPr>
        <w:pStyle w:val="Title5LevelTitre5Niveau"/>
        <w:rPr>
          <w:rFonts w:cs="Times New Roman"/>
        </w:rPr>
      </w:pPr>
      <w:bookmarkStart w:id="144" w:name="_Toc396299555"/>
      <w:bookmarkStart w:id="145" w:name="_Toc397586787"/>
      <w:bookmarkStart w:id="146" w:name="_Toc397607027"/>
      <w:bookmarkStart w:id="147" w:name="_Toc404926136"/>
      <w:r w:rsidRPr="00CE21C4">
        <w:rPr>
          <w:rFonts w:cs="Times New Roman"/>
        </w:rPr>
        <w:t>The Requirement That the Efficiency Gains Be “Greater Than” and “Offset” the Anti-competitive Effects</w:t>
      </w:r>
      <w:bookmarkEnd w:id="144"/>
      <w:bookmarkEnd w:id="145"/>
      <w:bookmarkEnd w:id="146"/>
      <w:bookmarkEnd w:id="147"/>
    </w:p>
    <w:p w:rsidR="00E35AE4" w:rsidRPr="00CE21C4" w:rsidRDefault="00E35AE4" w:rsidP="00154FA9">
      <w:pPr>
        <w:pStyle w:val="ParaNoNdepar-AltN"/>
        <w:rPr>
          <w:rFonts w:cs="Times New Roman"/>
        </w:rPr>
      </w:pPr>
      <w:r w:rsidRPr="00CE21C4">
        <w:rPr>
          <w:rFonts w:cs="Times New Roman"/>
        </w:rPr>
        <w:t>The Federal Court of Appeal held that the efficiency gains did not meet the “greater than” and “offset” requirement under s. 96. The gains were “marginal” (paras. 34, 169-71 and 174), “negligible” (</w:t>
      </w:r>
      <w:proofErr w:type="spellStart"/>
      <w:r w:rsidRPr="00CE21C4">
        <w:rPr>
          <w:rFonts w:cs="Times New Roman"/>
        </w:rPr>
        <w:t>para</w:t>
      </w:r>
      <w:proofErr w:type="spellEnd"/>
      <w:r w:rsidRPr="00CE21C4">
        <w:rPr>
          <w:rFonts w:cs="Times New Roman"/>
        </w:rPr>
        <w:t>. 169) and “insignificant” (paras. 170 and 174) and therefore were not enough to outweigh the anti-competitive effects.  In addition, the Tribunal found that “</w:t>
      </w:r>
      <w:r w:rsidRPr="00CE21C4">
        <w:rPr>
          <w:rFonts w:cs="Times New Roman"/>
          <w:u w:val="single"/>
        </w:rPr>
        <w:t>even if a zero weighting is given to the quantifiable Effects</w:t>
      </w:r>
      <w:r w:rsidRPr="00CE21C4">
        <w:rPr>
          <w:rFonts w:cs="Times New Roman"/>
        </w:rPr>
        <w:t>, as [</w:t>
      </w:r>
      <w:proofErr w:type="spellStart"/>
      <w:r w:rsidRPr="00CE21C4">
        <w:rPr>
          <w:rFonts w:cs="Times New Roman"/>
        </w:rPr>
        <w:t>Tervita</w:t>
      </w:r>
      <w:proofErr w:type="spellEnd"/>
      <w:r w:rsidRPr="00CE21C4">
        <w:rPr>
          <w:rFonts w:cs="Times New Roman"/>
        </w:rPr>
        <w:t>] submitted should be done, [</w:t>
      </w:r>
      <w:proofErr w:type="spellStart"/>
      <w:r w:rsidR="00D336E6">
        <w:rPr>
          <w:rFonts w:cs="Times New Roman"/>
        </w:rPr>
        <w:t>Tervita</w:t>
      </w:r>
      <w:proofErr w:type="spellEnd"/>
      <w:r w:rsidR="00D336E6">
        <w:rPr>
          <w:rFonts w:cs="Times New Roman"/>
        </w:rPr>
        <w:t xml:space="preserve">] has not satisfied the ‘offset’ </w:t>
      </w:r>
      <w:r w:rsidRPr="00CE21C4">
        <w:rPr>
          <w:rFonts w:cs="Times New Roman"/>
        </w:rPr>
        <w:t>element of section 96” (</w:t>
      </w:r>
      <w:proofErr w:type="spellStart"/>
      <w:r w:rsidRPr="00CE21C4">
        <w:rPr>
          <w:rFonts w:cs="Times New Roman"/>
        </w:rPr>
        <w:t>para</w:t>
      </w:r>
      <w:proofErr w:type="spellEnd"/>
      <w:r w:rsidRPr="00CE21C4">
        <w:rPr>
          <w:rFonts w:cs="Times New Roman"/>
        </w:rPr>
        <w:t>. 314 (emphasis added; emphasis in original deleted</w:t>
      </w:r>
      <w:r w:rsidR="00D336E6">
        <w:rPr>
          <w:rFonts w:cs="Times New Roman"/>
        </w:rPr>
        <w:t>)</w:t>
      </w:r>
      <w:r w:rsidRPr="00CE21C4">
        <w:rPr>
          <w:rFonts w:cs="Times New Roman"/>
        </w:rPr>
        <w:t xml:space="preserve">). </w:t>
      </w:r>
      <w:r w:rsidRPr="00CE21C4">
        <w:rPr>
          <w:rFonts w:cs="Times New Roman"/>
        </w:rPr>
        <w:lastRenderedPageBreak/>
        <w:t xml:space="preserve">Although I have determined that the anti-competitive effects should be assigned zero weight, I nonetheless consider the interpretation of the “greater than and offset” requirement due to the importance of this question in the overall s. 96 assessment. </w:t>
      </w:r>
    </w:p>
    <w:p w:rsidR="00E35AE4" w:rsidRPr="00CE21C4" w:rsidRDefault="00E35AE4" w:rsidP="00154FA9">
      <w:pPr>
        <w:pStyle w:val="ParaNoNdepar-AltN"/>
        <w:rPr>
          <w:rFonts w:cs="Times New Roman"/>
        </w:rPr>
      </w:pPr>
      <w:r w:rsidRPr="00CE21C4">
        <w:rPr>
          <w:rFonts w:cs="Times New Roman"/>
        </w:rPr>
        <w:t>The issue to be determined is whether the statutory standard of “greater than, and will offset” requires that the merging parties demonstrate that the efficiencies not only merely exceed the anti-competitive effects, but in addition offset them. As I understand it, the Commissioner’s argument in this regard is that the statutory language mandates a threshold level of “more than marginal” efficiency gains in order for the efficiencies defence to succeed (transcript, at p. 60). With respect, I cannot agree.</w:t>
      </w:r>
    </w:p>
    <w:p w:rsidR="00E35AE4" w:rsidRPr="00CE21C4" w:rsidRDefault="00E35AE4" w:rsidP="00154FA9">
      <w:pPr>
        <w:pStyle w:val="ParaNoNdepar-AltN"/>
        <w:rPr>
          <w:rFonts w:cs="Times New Roman"/>
        </w:rPr>
      </w:pPr>
      <w:r w:rsidRPr="00CE21C4">
        <w:rPr>
          <w:rFonts w:cs="Times New Roman"/>
        </w:rPr>
        <w:t xml:space="preserve">The statutory requirement that the efficiency gains be “greater than” and “offset” the anti-competitive </w:t>
      </w:r>
      <w:proofErr w:type="gramStart"/>
      <w:r w:rsidRPr="00CE21C4">
        <w:rPr>
          <w:rFonts w:cs="Times New Roman"/>
        </w:rPr>
        <w:t>effects imports</w:t>
      </w:r>
      <w:proofErr w:type="gramEnd"/>
      <w:r w:rsidRPr="00CE21C4">
        <w:rPr>
          <w:rFonts w:cs="Times New Roman"/>
        </w:rPr>
        <w:t xml:space="preserve"> a weighing of both quantitative and qualitative aspects. The term “greater than” suggests a numerical comparison of the magnitude of the efficiencies versus the extent of the anti-competitive effects.  The use of the term “offset” implies a subjective analysis related to the “balancing of incommensurables (e.g., apples and oranges)” (Tribunal decision, at </w:t>
      </w:r>
      <w:proofErr w:type="spellStart"/>
      <w:r w:rsidRPr="00CE21C4">
        <w:rPr>
          <w:rFonts w:cs="Times New Roman"/>
        </w:rPr>
        <w:t>para</w:t>
      </w:r>
      <w:proofErr w:type="spellEnd"/>
      <w:r w:rsidRPr="00CE21C4">
        <w:rPr>
          <w:rFonts w:cs="Times New Roman"/>
        </w:rPr>
        <w:t xml:space="preserve">. 309) — considerations that cannot be quantitatively compared because they have no common measure. The statutory use of the language of “offset” suggests that there is a more judgmental component to the analysis (see </w:t>
      </w:r>
      <w:r w:rsidRPr="00CE21C4">
        <w:rPr>
          <w:rFonts w:cs="Times New Roman"/>
          <w:i/>
        </w:rPr>
        <w:t>Superior Propane II</w:t>
      </w:r>
      <w:r w:rsidRPr="00CE21C4">
        <w:rPr>
          <w:rFonts w:cs="Times New Roman"/>
        </w:rPr>
        <w:t xml:space="preserve">, at </w:t>
      </w:r>
      <w:proofErr w:type="spellStart"/>
      <w:r w:rsidRPr="00CE21C4">
        <w:rPr>
          <w:rFonts w:cs="Times New Roman"/>
        </w:rPr>
        <w:t>para</w:t>
      </w:r>
      <w:proofErr w:type="spellEnd"/>
      <w:r w:rsidRPr="00CE21C4">
        <w:rPr>
          <w:rFonts w:cs="Times New Roman"/>
        </w:rPr>
        <w:t>. 100). As indicated by the use of the term “</w:t>
      </w:r>
      <w:proofErr w:type="spellStart"/>
      <w:r w:rsidRPr="00CE21C4">
        <w:rPr>
          <w:rFonts w:cs="Times New Roman"/>
          <w:i/>
        </w:rPr>
        <w:t>neutraliseront</w:t>
      </w:r>
      <w:proofErr w:type="spellEnd"/>
      <w:r w:rsidRPr="00CE21C4">
        <w:rPr>
          <w:rFonts w:cs="Times New Roman"/>
        </w:rPr>
        <w:t>” in the French version of s. 96, this requires a subjective assessment of whether the efficiency gains neutralize or counterbalance the anti-competitive effects.</w:t>
      </w:r>
    </w:p>
    <w:p w:rsidR="00E35AE4" w:rsidRPr="00CE21C4" w:rsidRDefault="00E35AE4" w:rsidP="00154FA9">
      <w:pPr>
        <w:pStyle w:val="ParaNoNdepar-AltN"/>
        <w:rPr>
          <w:rFonts w:cs="Times New Roman"/>
        </w:rPr>
      </w:pPr>
      <w:r w:rsidRPr="00CE21C4">
        <w:rPr>
          <w:rFonts w:cs="Times New Roman"/>
        </w:rPr>
        <w:lastRenderedPageBreak/>
        <w:t xml:space="preserve">Together, the terms “greater than” and “offset” mandate that the Tribunal determine both quantitative and qualitative aspects of the merger, and then weigh and balance these aspects. This approach is supported by the common understanding of the word “offset”. </w:t>
      </w:r>
      <w:r w:rsidRPr="00CE21C4">
        <w:rPr>
          <w:rFonts w:cs="Times New Roman"/>
          <w:i/>
        </w:rPr>
        <w:t>The</w:t>
      </w:r>
      <w:r w:rsidRPr="00CE21C4">
        <w:rPr>
          <w:rFonts w:cs="Times New Roman"/>
        </w:rPr>
        <w:t xml:space="preserve"> </w:t>
      </w:r>
      <w:r w:rsidRPr="00CE21C4">
        <w:rPr>
          <w:rFonts w:cs="Times New Roman"/>
          <w:i/>
        </w:rPr>
        <w:t>Oxford English Dictionary</w:t>
      </w:r>
      <w:r w:rsidRPr="00CE21C4">
        <w:rPr>
          <w:rFonts w:cs="Times New Roman"/>
        </w:rPr>
        <w:t xml:space="preserve"> (2nd ed. 1989) defines the verb “offset” to mean “[t]o set off as an equivalent against something else </w:t>
      </w:r>
      <w:r w:rsidR="00154FA9">
        <w:rPr>
          <w:rFonts w:cs="Times New Roman"/>
        </w:rPr>
        <w:t>. . .</w:t>
      </w:r>
      <w:r w:rsidRPr="00CE21C4">
        <w:rPr>
          <w:rFonts w:cs="Times New Roman"/>
        </w:rPr>
        <w:t xml:space="preserve">; to balance by something on the other side or of contrary nature” (p. 738). Similarly, the </w:t>
      </w:r>
      <w:r w:rsidRPr="00CE21C4">
        <w:rPr>
          <w:rFonts w:cs="Times New Roman"/>
          <w:i/>
        </w:rPr>
        <w:t>Merriam-Webster’s Collegiate Dictionary</w:t>
      </w:r>
      <w:r w:rsidRPr="00CE21C4">
        <w:rPr>
          <w:rFonts w:cs="Times New Roman"/>
        </w:rPr>
        <w:t xml:space="preserve"> (11th ed. 2003) entry defines it to mean “to serve as a counterbalance for” (p. 862). This understanding supports the interpretation of the “offset” requirement in s. 96 as imposing a consideration of the qualitative aspects of the merger and a balancing of those qualitative aspects against the quantitative effects of the merger.</w:t>
      </w:r>
    </w:p>
    <w:p w:rsidR="00E35AE4" w:rsidRPr="00CE21C4" w:rsidRDefault="00E35AE4" w:rsidP="00154FA9">
      <w:pPr>
        <w:pStyle w:val="ParaNoNdepar-AltN"/>
        <w:rPr>
          <w:rFonts w:cs="Times New Roman"/>
        </w:rPr>
      </w:pPr>
      <w:r w:rsidRPr="00CE21C4">
        <w:rPr>
          <w:rFonts w:cs="Times New Roman"/>
        </w:rPr>
        <w:t xml:space="preserve">This is a flexible balancing approach, but the Tribunal’s conclusions must be objectively reasonable. As the Federal Court of Appeal held, the overall analysis “must be as </w:t>
      </w:r>
      <w:r w:rsidRPr="00CE21C4">
        <w:rPr>
          <w:rFonts w:cs="Times New Roman"/>
          <w:i/>
        </w:rPr>
        <w:t>objective</w:t>
      </w:r>
      <w:r w:rsidRPr="00CE21C4">
        <w:rPr>
          <w:rFonts w:cs="Times New Roman"/>
        </w:rPr>
        <w:t xml:space="preserve"> as is reasonably possible, and where an objective determination cannot be made, it must be </w:t>
      </w:r>
      <w:r w:rsidRPr="00CE21C4">
        <w:rPr>
          <w:rFonts w:cs="Times New Roman"/>
          <w:i/>
        </w:rPr>
        <w:t>reasonable</w:t>
      </w:r>
      <w:r w:rsidRPr="00CE21C4">
        <w:rPr>
          <w:rFonts w:cs="Times New Roman"/>
        </w:rPr>
        <w:t>” (</w:t>
      </w:r>
      <w:proofErr w:type="spellStart"/>
      <w:r w:rsidRPr="00CE21C4">
        <w:rPr>
          <w:rFonts w:cs="Times New Roman"/>
        </w:rPr>
        <w:t>para</w:t>
      </w:r>
      <w:proofErr w:type="spellEnd"/>
      <w:r w:rsidRPr="00CE21C4">
        <w:rPr>
          <w:rFonts w:cs="Times New Roman"/>
        </w:rPr>
        <w:t>. 147</w:t>
      </w:r>
      <w:r w:rsidR="00750312">
        <w:rPr>
          <w:rFonts w:cs="Times New Roman"/>
        </w:rPr>
        <w:t xml:space="preserve"> (</w:t>
      </w:r>
      <w:r w:rsidRPr="00CE21C4">
        <w:rPr>
          <w:rFonts w:cs="Times New Roman"/>
        </w:rPr>
        <w:t>emphasis in original)</w:t>
      </w:r>
      <w:r w:rsidR="00750312">
        <w:rPr>
          <w:rFonts w:cs="Times New Roman"/>
        </w:rPr>
        <w:t>)</w:t>
      </w:r>
      <w:r w:rsidRPr="00CE21C4">
        <w:rPr>
          <w:rFonts w:cs="Times New Roman"/>
        </w:rPr>
        <w:t xml:space="preserve">. As such, in most cases the qualitative effects will be of lesser importance. In addition, the statutory requirement that efficiencies be greater than </w:t>
      </w:r>
      <w:r w:rsidRPr="00CE21C4">
        <w:rPr>
          <w:rFonts w:cs="Times New Roman"/>
          <w:i/>
        </w:rPr>
        <w:t>and</w:t>
      </w:r>
      <w:r w:rsidRPr="00CE21C4">
        <w:rPr>
          <w:rFonts w:cs="Times New Roman"/>
        </w:rPr>
        <w:t xml:space="preserve"> offset the anti-competitive effects would in most cases require a showing that the quantitative efficiencies exceed the quantitative anti-competitive effects as a necessary element of the defence.</w:t>
      </w:r>
    </w:p>
    <w:p w:rsidR="00E35AE4" w:rsidRPr="00CE21C4" w:rsidRDefault="00E35AE4" w:rsidP="00154FA9">
      <w:pPr>
        <w:pStyle w:val="ParaNoNdepar-AltN"/>
        <w:rPr>
          <w:rFonts w:cs="Times New Roman"/>
        </w:rPr>
      </w:pPr>
      <w:r w:rsidRPr="00CE21C4">
        <w:rPr>
          <w:rFonts w:cs="Times New Roman"/>
        </w:rPr>
        <w:t xml:space="preserve">In light of this recognition, the balancing test under s. 96 may be framed as a two-step inquiry. First, the quantitative efficiencies of the merger at issue should be compared against the quantitative anti-competitive effects (the “greater than” prong of the s. 96 inquiry). Where the quantitative anti-competitive effects outweigh </w:t>
      </w:r>
      <w:r w:rsidRPr="00CE21C4">
        <w:rPr>
          <w:rFonts w:cs="Times New Roman"/>
        </w:rPr>
        <w:lastRenderedPageBreak/>
        <w:t xml:space="preserve">the quantitative efficiencies, this step will in most cases be dispositive, and the defence will not apply. There may be unusual situations in which there are relatively few quantified efficiencies, yet where truly significant qualitative efficiencies would support the application of the defence. However, such cases would likely be rare in view of the emphasis of the analysis on objectivity and the impermissibility of asserting </w:t>
      </w:r>
      <w:proofErr w:type="spellStart"/>
      <w:r w:rsidRPr="00CE21C4">
        <w:rPr>
          <w:rFonts w:cs="Times New Roman"/>
        </w:rPr>
        <w:t>unquantified</w:t>
      </w:r>
      <w:proofErr w:type="spellEnd"/>
      <w:r w:rsidRPr="00CE21C4">
        <w:rPr>
          <w:rFonts w:cs="Times New Roman"/>
        </w:rPr>
        <w:t>-but-quantifiable efficiencies as qualitative efficiencies.  Qualitative considerations must next be weighed. Under the second step, the qualitative efficiencies should be balanced against the qualitative anti-competitive effects, and a final determination must be made as to whether the total efficiencies offset the total anti-competitive effects of the merger at issue (the “offset” prong of the inquiry). For the Tribunal to give qualitative elements weight in the analysis, they must be supported by the evidence</w:t>
      </w:r>
      <w:r w:rsidR="00750312">
        <w:rPr>
          <w:rFonts w:cs="Times New Roman"/>
        </w:rPr>
        <w:t>,</w:t>
      </w:r>
      <w:r w:rsidRPr="00CE21C4">
        <w:rPr>
          <w:rFonts w:cs="Times New Roman"/>
        </w:rPr>
        <w:t xml:space="preserve"> and the reasoning for the reliance on the qualitative aspects must be clearly articulated.</w:t>
      </w:r>
    </w:p>
    <w:p w:rsidR="00E35AE4" w:rsidRPr="00CE21C4" w:rsidRDefault="00E35AE4" w:rsidP="00154FA9">
      <w:pPr>
        <w:pStyle w:val="ParaNoNdepar-AltN"/>
        <w:rPr>
          <w:rFonts w:cs="Times New Roman"/>
        </w:rPr>
      </w:pPr>
      <w:r w:rsidRPr="00CE21C4">
        <w:rPr>
          <w:rFonts w:cs="Times New Roman"/>
        </w:rPr>
        <w:t xml:space="preserve">It should be noted that this two-step analysis does not seek to define the methodological details of how quantitative efficiencies and anti-competitive effects are to be identified and compared. Instead, the two-step analysis preserves the ability of the Tribunal to select the quantitative methodology to be employed, provided this quantitative comparison is conducted within step one of the </w:t>
      </w:r>
      <w:proofErr w:type="gramStart"/>
      <w:r w:rsidRPr="00CE21C4">
        <w:rPr>
          <w:rFonts w:cs="Times New Roman"/>
        </w:rPr>
        <w:t>framework</w:t>
      </w:r>
      <w:proofErr w:type="gramEnd"/>
      <w:r w:rsidRPr="00CE21C4">
        <w:rPr>
          <w:rFonts w:cs="Times New Roman"/>
        </w:rPr>
        <w:t xml:space="preserve"> described above.</w:t>
      </w:r>
    </w:p>
    <w:p w:rsidR="00E35AE4" w:rsidRPr="00CE21C4" w:rsidRDefault="00E35AE4" w:rsidP="00154FA9">
      <w:pPr>
        <w:pStyle w:val="ParaNoNdepar-AltN"/>
        <w:rPr>
          <w:rFonts w:cs="Times New Roman"/>
        </w:rPr>
      </w:pPr>
      <w:r w:rsidRPr="00CE21C4">
        <w:rPr>
          <w:rFonts w:cs="Times New Roman"/>
        </w:rPr>
        <w:t xml:space="preserve">Justice </w:t>
      </w:r>
      <w:proofErr w:type="spellStart"/>
      <w:r w:rsidRPr="00CE21C4">
        <w:rPr>
          <w:rFonts w:cs="Times New Roman"/>
        </w:rPr>
        <w:t>Karakatsanis</w:t>
      </w:r>
      <w:proofErr w:type="spellEnd"/>
      <w:r w:rsidRPr="00CE21C4">
        <w:rPr>
          <w:rFonts w:cs="Times New Roman"/>
        </w:rPr>
        <w:t xml:space="preserve"> raises concerns that this framework unnaturally separates quantitative and qualitative considerations, and that doing so is “superfluous” in light of the final offset determination which considers both quantitative and qualitative factors (</w:t>
      </w:r>
      <w:proofErr w:type="spellStart"/>
      <w:r w:rsidRPr="00CE21C4">
        <w:rPr>
          <w:rFonts w:cs="Times New Roman"/>
        </w:rPr>
        <w:t>para</w:t>
      </w:r>
      <w:proofErr w:type="spellEnd"/>
      <w:r w:rsidRPr="00CE21C4">
        <w:rPr>
          <w:rFonts w:cs="Times New Roman"/>
        </w:rPr>
        <w:t xml:space="preserve">. 189). Instead, she would instruct the </w:t>
      </w:r>
      <w:r w:rsidRPr="00CE21C4">
        <w:rPr>
          <w:rFonts w:cs="Times New Roman"/>
        </w:rPr>
        <w:lastRenderedPageBreak/>
        <w:t xml:space="preserve">Tribunal to weigh whether the quantitative and qualitative efficiencies, taken as a whole, outweigh the quantitative and qualitative anti-competitive effects, taken as a whole. I would emphasize that the above framework does not require the Tribunal to isolate quantitative and qualitative considerations such that they are never compared. The ultimate offset analysis does allow for consideration of both quantitative and qualitative effects. However, I would think that the Tribunal, even proceeding under Justice </w:t>
      </w:r>
      <w:proofErr w:type="spellStart"/>
      <w:r w:rsidRPr="00CE21C4">
        <w:rPr>
          <w:rFonts w:cs="Times New Roman"/>
        </w:rPr>
        <w:t>Karakatsanis’s</w:t>
      </w:r>
      <w:proofErr w:type="spellEnd"/>
      <w:r w:rsidRPr="00CE21C4">
        <w:rPr>
          <w:rFonts w:cs="Times New Roman"/>
        </w:rPr>
        <w:t xml:space="preserve"> proposed single-step weighing</w:t>
      </w:r>
      <w:r w:rsidR="003B37D4">
        <w:rPr>
          <w:rFonts w:cs="Times New Roman"/>
        </w:rPr>
        <w:t>,</w:t>
      </w:r>
      <w:r w:rsidRPr="00CE21C4">
        <w:rPr>
          <w:rFonts w:cs="Times New Roman"/>
        </w:rPr>
        <w:t xml:space="preserve"> would at some point in that consideration ask how the quantitative factors lined up relative to each other, and would also examine how the qualitative factors compared to each other, before attempting to reconcile the whole universe of factors into an ultimate determination. The above framework merely guides the structure of that inquiry to ensure that the Tribunal’s reasoning is as explicit and transparent as possible.</w:t>
      </w:r>
    </w:p>
    <w:p w:rsidR="00E35AE4" w:rsidRPr="00CE21C4" w:rsidRDefault="00E35AE4" w:rsidP="00154FA9">
      <w:pPr>
        <w:pStyle w:val="ParaNoNdepar-AltN"/>
        <w:rPr>
          <w:rFonts w:cs="Times New Roman"/>
        </w:rPr>
      </w:pPr>
      <w:r w:rsidRPr="00CE21C4">
        <w:rPr>
          <w:rFonts w:cs="Times New Roman"/>
        </w:rPr>
        <w:t>Respectfully, the assertion in the dissenting reasons that “simply tallying up ‘mathematical quantifications’, while important, cannot provide a complete answer” (</w:t>
      </w:r>
      <w:proofErr w:type="spellStart"/>
      <w:r w:rsidRPr="00CE21C4">
        <w:rPr>
          <w:rFonts w:cs="Times New Roman"/>
        </w:rPr>
        <w:t>para</w:t>
      </w:r>
      <w:proofErr w:type="spellEnd"/>
      <w:r w:rsidRPr="00CE21C4">
        <w:rPr>
          <w:rFonts w:cs="Times New Roman"/>
        </w:rPr>
        <w:t xml:space="preserve">. 190) misreads these reasons. They do not say that quantitative considerations are in all cases a sufficient and “complete answer”. Rather, they emphasize that the nature of economic efficiencies, the language of s. 96, and the Federal Court of Appeal’s apt observation that the s. 96 analysis “must be as </w:t>
      </w:r>
      <w:r w:rsidRPr="00CE21C4">
        <w:rPr>
          <w:rFonts w:cs="Times New Roman"/>
          <w:i/>
        </w:rPr>
        <w:t>objective</w:t>
      </w:r>
      <w:r w:rsidRPr="00CE21C4">
        <w:rPr>
          <w:rFonts w:cs="Times New Roman"/>
        </w:rPr>
        <w:t xml:space="preserve"> as is reasonably possible” support the notion that quantitative considerations will, in most cases, be of greater importance than qualitative considerations.</w:t>
      </w:r>
    </w:p>
    <w:p w:rsidR="00E35AE4" w:rsidRPr="00CE21C4" w:rsidRDefault="00E35AE4" w:rsidP="00154FA9">
      <w:pPr>
        <w:pStyle w:val="ParaNoNdepar-AltN"/>
        <w:rPr>
          <w:rFonts w:cs="Times New Roman"/>
        </w:rPr>
      </w:pPr>
      <w:r w:rsidRPr="00CE21C4">
        <w:rPr>
          <w:rFonts w:cs="Times New Roman"/>
        </w:rPr>
        <w:t xml:space="preserve">However, and despite the flexibility the Tribunal has in applying this balancing approach, I cannot accept that more than marginal efficiency gains are required for the defence to apply. Had Parliament intended for there to be a threshold </w:t>
      </w:r>
      <w:r w:rsidRPr="00CE21C4">
        <w:rPr>
          <w:rFonts w:cs="Times New Roman"/>
        </w:rPr>
        <w:lastRenderedPageBreak/>
        <w:t xml:space="preserve">level of efficiencies, qualifying language could have been used to express this intention. The Commissioner’s argument essentially asks this Court to read into the statute a threshold significance requirement where the statute does not provide a basis for doing so. In addition, it is not clear to me when efficiency gains become more than marginal. Determining when proven efficiency gains meet a more than marginal threshold would require overly subjective analysis.  Although there is some subjectivity in the ultimate weighing of the efficiency gains and anti-competitive effects, in a case such as this where the Commissioner has not established either quantitative or qualitative anti-competitive effects, the weight given to those effects is zero. Proven efficiency gains of any magnitude will therefore outweigh the anti-competitive effects. Moreover, and as discussed above, because of the importance of employing an objective approach, the qualitative effects will assume a lesser role in the analysis in most cases. As such, it is possible that, where proven quantitative efficiency gains exceed the proven quantitative anti-competitive effects to only a small degree, the Tribunal may still find that the s. 96 defence applies. </w:t>
      </w:r>
    </w:p>
    <w:p w:rsidR="00E35AE4" w:rsidRPr="00CE21C4" w:rsidRDefault="00E35AE4" w:rsidP="00154FA9">
      <w:pPr>
        <w:pStyle w:val="ParaNoNdepar-AltN"/>
        <w:rPr>
          <w:rFonts w:cs="Times New Roman"/>
        </w:rPr>
      </w:pPr>
      <w:r w:rsidRPr="00CE21C4">
        <w:rPr>
          <w:rFonts w:cs="Times New Roman"/>
        </w:rPr>
        <w:t xml:space="preserve">Nor does the statutory context of s. 96(1) indicate that it should be read to include a threshold significance requirement. While s. 96(2) prompts the Tribunal to consider whether the merger will generate “a significant increase in the real value of exports” or “a significant substitution of domestic products for imported products”, this significance requirement should not be read back into s. 96(1). Given that the issue of significance was contemplated in s. 96(2), Parliament could just as easily have drafted s. 96(1) to require that efficiencies be “significantly greater than and offset” the anti-competitive effects. Instead, “significance” language appears only in </w:t>
      </w:r>
      <w:r w:rsidRPr="00CE21C4">
        <w:rPr>
          <w:rFonts w:cs="Times New Roman"/>
        </w:rPr>
        <w:lastRenderedPageBreak/>
        <w:t>s. 96(2), which is logically subservient to s. 96(1): by its terms, the text of s. 96(2) does not apply the significance threshold to the entire s. 96(1) analysis.</w:t>
      </w:r>
    </w:p>
    <w:p w:rsidR="00E35AE4" w:rsidRPr="00CE21C4" w:rsidRDefault="00E35AE4" w:rsidP="00154FA9">
      <w:pPr>
        <w:pStyle w:val="ParaNoNdepar-AltN"/>
        <w:rPr>
          <w:rFonts w:cs="Times New Roman"/>
        </w:rPr>
      </w:pPr>
      <w:r w:rsidRPr="00CE21C4">
        <w:rPr>
          <w:rFonts w:cs="Times New Roman"/>
        </w:rPr>
        <w:t>With respect, the Federal Court of Appeal’s conclusion that marginal efficiency gains cannot meet the requirements for the s. 96 defence to apply does not take into account the fact that the analysis under s. 96 is a balancing exercise. Proven efficiency gains must be assessed relative to any proven anti-competitive effects. Efficiency gains of a smaller scale may not be “marginal” when compared to and weighed against anti-competitive effects of an even smaller degree.</w:t>
      </w:r>
    </w:p>
    <w:p w:rsidR="00E35AE4" w:rsidRPr="00CE21C4" w:rsidRDefault="00E35AE4" w:rsidP="00154FA9">
      <w:pPr>
        <w:pStyle w:val="ParaNoNdepar-AltN"/>
        <w:rPr>
          <w:rFonts w:cs="Times New Roman"/>
        </w:rPr>
      </w:pPr>
      <w:r w:rsidRPr="00CE21C4">
        <w:rPr>
          <w:rFonts w:cs="Times New Roman"/>
        </w:rPr>
        <w:t>Though it is necessary to re</w:t>
      </w:r>
      <w:r w:rsidR="007956BE">
        <w:rPr>
          <w:rFonts w:cs="Times New Roman"/>
        </w:rPr>
        <w:t>-</w:t>
      </w:r>
      <w:r w:rsidRPr="00CE21C4">
        <w:rPr>
          <w:rFonts w:cs="Times New Roman"/>
        </w:rPr>
        <w:t>emphasize that there is no requirement that efficiencies cross some formal “significance” threshold, this is not to ignore the truth that economic models are inherently probabilistic and will always carry some associated margin of uncertainty. Where the outcome of quantitative balancing under the first step of the s. 96 analysis shows positive but small net efficiencies relative to the uncertainty of the associated estimates, the Tribunal should be cognizant of this uncertainty in weighing the relevant considerations. This is not to suggest that quantitative efficiencies should be discounted in these situations, but merely to highlight that close cases will require careful consideration of the assumptions underlying the quantitative analysis. In such cases, the Tribunal retains the discretion to reject the efficiencies defence, but must clearly explain the reasons for its decision. The reasons must be seen to be rational even though they reject what the quantitative analysis would otherwise strictly indicate.</w:t>
      </w:r>
    </w:p>
    <w:p w:rsidR="00E35AE4" w:rsidRPr="00CE21C4" w:rsidRDefault="00E35AE4" w:rsidP="00154FA9">
      <w:pPr>
        <w:pStyle w:val="ParaNoNdepar-AltN"/>
        <w:rPr>
          <w:rFonts w:cs="Times New Roman"/>
        </w:rPr>
      </w:pPr>
      <w:r w:rsidRPr="00CE21C4">
        <w:rPr>
          <w:rFonts w:cs="Times New Roman"/>
        </w:rPr>
        <w:lastRenderedPageBreak/>
        <w:t>For these reasons, the Federal Court of Appeal erred in holding that an anti-competitive merger cannot be approved under s. 96 if only marginal or insignificant gains in efficiency result from that merger.</w:t>
      </w:r>
    </w:p>
    <w:p w:rsidR="00E35AE4" w:rsidRPr="00CE21C4" w:rsidRDefault="00E35AE4" w:rsidP="00154FA9">
      <w:pPr>
        <w:pStyle w:val="Title5LevelTitre5Niveau"/>
        <w:rPr>
          <w:rFonts w:cs="Times New Roman"/>
        </w:rPr>
      </w:pPr>
      <w:bookmarkStart w:id="148" w:name="_Toc396299556"/>
      <w:bookmarkStart w:id="149" w:name="_Toc397586788"/>
      <w:bookmarkStart w:id="150" w:name="_Toc397607028"/>
      <w:bookmarkStart w:id="151" w:name="_Toc404926137"/>
      <w:r w:rsidRPr="00CE21C4">
        <w:rPr>
          <w:rFonts w:cs="Times New Roman"/>
        </w:rPr>
        <w:t>Pre-existing Monopoly</w:t>
      </w:r>
      <w:bookmarkEnd w:id="148"/>
      <w:bookmarkEnd w:id="149"/>
      <w:bookmarkEnd w:id="150"/>
      <w:bookmarkEnd w:id="151"/>
    </w:p>
    <w:p w:rsidR="00E35AE4" w:rsidRPr="00CE21C4" w:rsidRDefault="00E35AE4" w:rsidP="00154FA9">
      <w:pPr>
        <w:pStyle w:val="ParaNoNdepar-AltN"/>
        <w:rPr>
          <w:rFonts w:cs="Times New Roman"/>
        </w:rPr>
      </w:pPr>
      <w:r w:rsidRPr="00CE21C4">
        <w:rPr>
          <w:rFonts w:cs="Times New Roman"/>
        </w:rPr>
        <w:t xml:space="preserve">The Federal Court of Appeal held that the Tribunal erred in “taking into account the monopoly position of </w:t>
      </w:r>
      <w:proofErr w:type="spellStart"/>
      <w:r w:rsidRPr="00CE21C4">
        <w:rPr>
          <w:rFonts w:cs="Times New Roman"/>
        </w:rPr>
        <w:t>Tervita</w:t>
      </w:r>
      <w:proofErr w:type="spellEnd"/>
      <w:r w:rsidRPr="00CE21C4">
        <w:rPr>
          <w:rFonts w:cs="Times New Roman"/>
        </w:rPr>
        <w:t xml:space="preserve"> resulting from the merger without any evidence from the Commissioner of additional anti-competitive effects resulting from that monopoly” (</w:t>
      </w:r>
      <w:proofErr w:type="spellStart"/>
      <w:r w:rsidRPr="00CE21C4">
        <w:rPr>
          <w:rFonts w:cs="Times New Roman"/>
        </w:rPr>
        <w:t>para</w:t>
      </w:r>
      <w:proofErr w:type="spellEnd"/>
      <w:r w:rsidRPr="00CE21C4">
        <w:rPr>
          <w:rFonts w:cs="Times New Roman"/>
        </w:rPr>
        <w:t>. 161), but concluded that a “pre-existing monopoly, such as is the case here, will usually magnify the anti-competitive effects of a merger” (</w:t>
      </w:r>
      <w:proofErr w:type="spellStart"/>
      <w:r w:rsidRPr="00CE21C4">
        <w:rPr>
          <w:rFonts w:cs="Times New Roman"/>
        </w:rPr>
        <w:t>para</w:t>
      </w:r>
      <w:proofErr w:type="spellEnd"/>
      <w:r w:rsidRPr="00CE21C4">
        <w:rPr>
          <w:rFonts w:cs="Times New Roman"/>
        </w:rPr>
        <w:t xml:space="preserve">. 173). The Commissioner submits that the court did not rely on the presence of monopoly as an effect </w:t>
      </w:r>
      <w:r w:rsidRPr="00CE21C4">
        <w:rPr>
          <w:rFonts w:cs="Times New Roman"/>
          <w:i/>
        </w:rPr>
        <w:t>per se</w:t>
      </w:r>
      <w:r w:rsidRPr="00CE21C4">
        <w:rPr>
          <w:rFonts w:cs="Times New Roman"/>
        </w:rPr>
        <w:t xml:space="preserve">, but rather simply concluded that this was a factor likely to </w:t>
      </w:r>
      <w:r w:rsidRPr="00CE21C4">
        <w:rPr>
          <w:rFonts w:cs="Times New Roman"/>
          <w:i/>
        </w:rPr>
        <w:t>magnify</w:t>
      </w:r>
      <w:r w:rsidRPr="00CE21C4">
        <w:rPr>
          <w:rFonts w:cs="Times New Roman"/>
        </w:rPr>
        <w:t xml:space="preserve"> the merger’s anti-competitive effect. There are two problems with this argument.</w:t>
      </w:r>
    </w:p>
    <w:p w:rsidR="00E35AE4" w:rsidRPr="00CE21C4" w:rsidRDefault="00E35AE4" w:rsidP="00154FA9">
      <w:pPr>
        <w:pStyle w:val="ParaNoNdepar-AltN"/>
        <w:rPr>
          <w:rFonts w:cs="Times New Roman"/>
        </w:rPr>
      </w:pPr>
      <w:r w:rsidRPr="00CE21C4">
        <w:rPr>
          <w:rFonts w:cs="Times New Roman"/>
        </w:rPr>
        <w:t xml:space="preserve">First, to accept that the existence of a monopoly was likely to magnify the anti-competitive effect requires accepting that there are proven anti-competitive effects. In this case, the Commissioner did not establish the impact of </w:t>
      </w:r>
      <w:proofErr w:type="spellStart"/>
      <w:r w:rsidRPr="00CE21C4">
        <w:rPr>
          <w:rFonts w:cs="Times New Roman"/>
        </w:rPr>
        <w:t>Tervita’s</w:t>
      </w:r>
      <w:proofErr w:type="spellEnd"/>
      <w:r w:rsidRPr="00CE21C4">
        <w:rPr>
          <w:rFonts w:cs="Times New Roman"/>
        </w:rPr>
        <w:t xml:space="preserve"> superior market power and as a result of the Commissioner’s failure to quantify the quantifiable anti-competitive </w:t>
      </w:r>
      <w:proofErr w:type="gramStart"/>
      <w:r w:rsidRPr="00CE21C4">
        <w:rPr>
          <w:rFonts w:cs="Times New Roman"/>
        </w:rPr>
        <w:t>effects,</w:t>
      </w:r>
      <w:proofErr w:type="gramEnd"/>
      <w:r w:rsidRPr="00CE21C4">
        <w:rPr>
          <w:rFonts w:cs="Times New Roman"/>
        </w:rPr>
        <w:t xml:space="preserve"> zero weight has been assigned to those effects. It is not possible to “magnify” a factor which has zero weight. This equation still results in zero.</w:t>
      </w:r>
    </w:p>
    <w:p w:rsidR="00E35AE4" w:rsidRPr="00CE21C4" w:rsidRDefault="00E35AE4" w:rsidP="00154FA9">
      <w:pPr>
        <w:pStyle w:val="ParaNoNdepar-AltN"/>
        <w:rPr>
          <w:rFonts w:cs="Times New Roman"/>
        </w:rPr>
      </w:pPr>
      <w:r w:rsidRPr="00CE21C4">
        <w:rPr>
          <w:rFonts w:cs="Times New Roman"/>
        </w:rPr>
        <w:lastRenderedPageBreak/>
        <w:t xml:space="preserve">Second, in my respectful view, the Federal Court of Appeal considered the existence of a monopoly </w:t>
      </w:r>
      <w:r w:rsidRPr="00CE21C4">
        <w:rPr>
          <w:rFonts w:cs="Times New Roman"/>
          <w:i/>
        </w:rPr>
        <w:t>per se</w:t>
      </w:r>
      <w:r w:rsidRPr="00CE21C4">
        <w:rPr>
          <w:rFonts w:cs="Times New Roman"/>
        </w:rPr>
        <w:t xml:space="preserve"> as opposed to its effects.  As the court held in </w:t>
      </w:r>
      <w:r w:rsidRPr="00CE21C4">
        <w:rPr>
          <w:rFonts w:cs="Times New Roman"/>
          <w:i/>
        </w:rPr>
        <w:t>Superior Propane IV</w:t>
      </w:r>
      <w:r w:rsidRPr="00CE21C4">
        <w:rPr>
          <w:rFonts w:cs="Times New Roman"/>
        </w:rPr>
        <w:t>:</w:t>
      </w:r>
    </w:p>
    <w:p w:rsidR="00E35AE4" w:rsidRPr="00CE21C4" w:rsidRDefault="00E35AE4" w:rsidP="00154FA9">
      <w:pPr>
        <w:pStyle w:val="Citation-AltC"/>
      </w:pPr>
      <w:r w:rsidRPr="00CE21C4">
        <w:t xml:space="preserve">Monopoly, however it might be defined (e.g. 95 percent market share, 100 percent market share, high barriers to entry), is a description of a market condition, not the effect of that market condition. If monopoly is to be taken into account for purposes of subsection 96(1), it is the effects of the monopoly that must be considered, not the existence of the monopoly </w:t>
      </w:r>
      <w:r w:rsidRPr="00CE21C4">
        <w:rPr>
          <w:i/>
        </w:rPr>
        <w:t>per se</w:t>
      </w:r>
      <w:r w:rsidRPr="00CE21C4">
        <w:t>. [</w:t>
      </w:r>
      <w:proofErr w:type="spellStart"/>
      <w:r w:rsidRPr="00CE21C4">
        <w:t>para</w:t>
      </w:r>
      <w:proofErr w:type="spellEnd"/>
      <w:r w:rsidRPr="00CE21C4">
        <w:t>. 49]</w:t>
      </w:r>
    </w:p>
    <w:p w:rsidR="00E35AE4" w:rsidRPr="00CE21C4" w:rsidRDefault="00E35AE4" w:rsidP="00154FA9">
      <w:pPr>
        <w:pStyle w:val="ContinueParaSuitedupar-AltP"/>
        <w:rPr>
          <w:rFonts w:cs="Times New Roman"/>
        </w:rPr>
      </w:pPr>
      <w:r w:rsidRPr="00CE21C4">
        <w:rPr>
          <w:rFonts w:cs="Times New Roman"/>
        </w:rPr>
        <w:t xml:space="preserve">Here, where no effects have been proven, it is not possible to say that such effects have been magnified. Inevitably, that approach reverts to relying on the existence of a monopoly </w:t>
      </w:r>
      <w:r w:rsidRPr="00CE21C4">
        <w:rPr>
          <w:rFonts w:cs="Times New Roman"/>
          <w:i/>
        </w:rPr>
        <w:t>per se</w:t>
      </w:r>
      <w:r w:rsidRPr="00CE21C4">
        <w:rPr>
          <w:rFonts w:cs="Times New Roman"/>
        </w:rPr>
        <w:t>.</w:t>
      </w:r>
    </w:p>
    <w:p w:rsidR="00E35AE4" w:rsidRPr="00CE21C4" w:rsidRDefault="00E35AE4" w:rsidP="00154FA9">
      <w:pPr>
        <w:pStyle w:val="Title5LevelTitre5Niveau"/>
        <w:rPr>
          <w:rFonts w:cs="Times New Roman"/>
        </w:rPr>
      </w:pPr>
      <w:bookmarkStart w:id="152" w:name="_Toc396299557"/>
      <w:bookmarkStart w:id="153" w:name="_Toc397586789"/>
      <w:bookmarkStart w:id="154" w:name="_Toc397607029"/>
      <w:bookmarkStart w:id="155" w:name="_Toc404926138"/>
      <w:r w:rsidRPr="00CE21C4">
        <w:rPr>
          <w:rFonts w:cs="Times New Roman"/>
        </w:rPr>
        <w:t>Application to This Case</w:t>
      </w:r>
      <w:bookmarkEnd w:id="152"/>
      <w:bookmarkEnd w:id="153"/>
      <w:bookmarkEnd w:id="154"/>
      <w:bookmarkEnd w:id="155"/>
    </w:p>
    <w:p w:rsidR="00E35AE4" w:rsidRPr="00CE21C4" w:rsidRDefault="00E35AE4" w:rsidP="00154FA9">
      <w:pPr>
        <w:pStyle w:val="ParaNoNdepar-AltN"/>
        <w:rPr>
          <w:rFonts w:cs="Times New Roman"/>
        </w:rPr>
      </w:pPr>
      <w:r w:rsidRPr="00CE21C4">
        <w:rPr>
          <w:rFonts w:cs="Times New Roman"/>
        </w:rPr>
        <w:t xml:space="preserve">In this case, the Commissioner did not meet her burden to prove the anti-competitive effects. As such, the weight given to the quantifiable effects is zero. The Tribunal did not accept any of </w:t>
      </w:r>
      <w:proofErr w:type="spellStart"/>
      <w:r w:rsidRPr="00CE21C4">
        <w:rPr>
          <w:rFonts w:cs="Times New Roman"/>
        </w:rPr>
        <w:t>Te</w:t>
      </w:r>
      <w:r w:rsidR="003B37D4">
        <w:rPr>
          <w:rFonts w:cs="Times New Roman"/>
        </w:rPr>
        <w:t>r</w:t>
      </w:r>
      <w:r w:rsidRPr="00CE21C4">
        <w:rPr>
          <w:rFonts w:cs="Times New Roman"/>
        </w:rPr>
        <w:t>vita’s</w:t>
      </w:r>
      <w:proofErr w:type="spellEnd"/>
      <w:r w:rsidRPr="00CE21C4">
        <w:rPr>
          <w:rFonts w:cs="Times New Roman"/>
        </w:rPr>
        <w:t xml:space="preserve"> claimed qualitative efficiencies and </w:t>
      </w:r>
      <w:proofErr w:type="spellStart"/>
      <w:r w:rsidRPr="00CE21C4">
        <w:rPr>
          <w:rFonts w:cs="Times New Roman"/>
        </w:rPr>
        <w:t>Tervita</w:t>
      </w:r>
      <w:proofErr w:type="spellEnd"/>
      <w:r w:rsidRPr="00CE21C4">
        <w:rPr>
          <w:rFonts w:cs="Times New Roman"/>
        </w:rPr>
        <w:t xml:space="preserve"> does not challenge this on appeal. </w:t>
      </w:r>
      <w:proofErr w:type="spellStart"/>
      <w:r w:rsidRPr="00CE21C4">
        <w:rPr>
          <w:rFonts w:cs="Times New Roman"/>
        </w:rPr>
        <w:t>Tervita</w:t>
      </w:r>
      <w:proofErr w:type="spellEnd"/>
      <w:r w:rsidRPr="00CE21C4">
        <w:rPr>
          <w:rFonts w:cs="Times New Roman"/>
        </w:rPr>
        <w:t xml:space="preserve"> established “overhead” efficiency gains resulting from </w:t>
      </w:r>
      <w:proofErr w:type="spellStart"/>
      <w:r w:rsidRPr="00CE21C4">
        <w:rPr>
          <w:rFonts w:cs="Times New Roman"/>
        </w:rPr>
        <w:t>Babkirk</w:t>
      </w:r>
      <w:proofErr w:type="spellEnd"/>
      <w:r w:rsidRPr="00CE21C4">
        <w:rPr>
          <w:rFonts w:cs="Times New Roman"/>
        </w:rPr>
        <w:t xml:space="preserve"> obtaining access to </w:t>
      </w:r>
      <w:proofErr w:type="spellStart"/>
      <w:r w:rsidRPr="00CE21C4">
        <w:rPr>
          <w:rFonts w:cs="Times New Roman"/>
        </w:rPr>
        <w:t>Tervita’s</w:t>
      </w:r>
      <w:proofErr w:type="spellEnd"/>
      <w:r w:rsidRPr="00CE21C4">
        <w:rPr>
          <w:rFonts w:cs="Times New Roman"/>
        </w:rPr>
        <w:t xml:space="preserve"> administrative and operating functions. These gains meet the “greater than” requirement in this case. </w:t>
      </w:r>
    </w:p>
    <w:p w:rsidR="00E35AE4" w:rsidRPr="00CE21C4" w:rsidRDefault="00E35AE4" w:rsidP="00154FA9">
      <w:pPr>
        <w:pStyle w:val="ParaNoNdepar-AltN"/>
        <w:rPr>
          <w:rFonts w:cs="Times New Roman"/>
        </w:rPr>
      </w:pPr>
      <w:r w:rsidRPr="00CE21C4">
        <w:rPr>
          <w:rFonts w:cs="Times New Roman"/>
        </w:rPr>
        <w:t>Turning to qualitative considerations, the Federal Court of Appeal rejected the qualitative effects accepted by the Tribunal — environmental effects with re</w:t>
      </w:r>
      <w:r w:rsidR="007956BE">
        <w:rPr>
          <w:rFonts w:cs="Times New Roman"/>
        </w:rPr>
        <w:t>spect to the price reduction on-</w:t>
      </w:r>
      <w:r w:rsidRPr="00CE21C4">
        <w:rPr>
          <w:rFonts w:cs="Times New Roman"/>
        </w:rPr>
        <w:t xml:space="preserve">site clean-up. This issue is raised by the Commissioner as an alternative to rejecting the efficiencies defence on the basis of </w:t>
      </w:r>
      <w:r w:rsidRPr="00CE21C4">
        <w:rPr>
          <w:rFonts w:cs="Times New Roman"/>
        </w:rPr>
        <w:lastRenderedPageBreak/>
        <w:t xml:space="preserve">quantitative factors. As I have found that the court’s rejection of the efficiencies defence was in error, I now turn to whether the evidence of environmental effects was cognizable for the purposes of s. 96. </w:t>
      </w:r>
    </w:p>
    <w:p w:rsidR="00E35AE4" w:rsidRPr="00CE21C4" w:rsidRDefault="00E35AE4" w:rsidP="00154FA9">
      <w:pPr>
        <w:pStyle w:val="Title4LevelTitre4Niveau"/>
        <w:rPr>
          <w:rFonts w:cs="Times New Roman"/>
        </w:rPr>
      </w:pPr>
      <w:bookmarkStart w:id="156" w:name="_Toc396299558"/>
      <w:bookmarkStart w:id="157" w:name="_Toc397586790"/>
      <w:bookmarkStart w:id="158" w:name="_Toc397607030"/>
      <w:bookmarkStart w:id="159" w:name="_Toc404926139"/>
      <w:r w:rsidRPr="00CE21C4">
        <w:rPr>
          <w:rFonts w:cs="Times New Roman"/>
        </w:rPr>
        <w:t>The Commissioner’s Alternative Argument</w:t>
      </w:r>
      <w:bookmarkEnd w:id="156"/>
      <w:bookmarkEnd w:id="157"/>
      <w:bookmarkEnd w:id="158"/>
      <w:bookmarkEnd w:id="159"/>
    </w:p>
    <w:p w:rsidR="00E35AE4" w:rsidRPr="00CE21C4" w:rsidRDefault="00E35AE4" w:rsidP="00154FA9">
      <w:pPr>
        <w:pStyle w:val="ParaNoNdepar-AltN"/>
        <w:rPr>
          <w:rFonts w:cs="Times New Roman"/>
        </w:rPr>
      </w:pPr>
      <w:r w:rsidRPr="00CE21C4">
        <w:rPr>
          <w:rFonts w:cs="Times New Roman"/>
        </w:rPr>
        <w:t xml:space="preserve">The Commissioner argues that the Federal Court of Appeal erred in rejecting price reduction on potential customers’ site clean-up and the resulting environmental benefits which the Tribunal had accepted as qualitative effects of the merger. In rejecting these effects, the court first questioned whether “the environmental effects of a merger, where no economic effect is ascribed to them, can be taken into account in a merger review under the </w:t>
      </w:r>
      <w:r w:rsidRPr="00CE21C4">
        <w:rPr>
          <w:rFonts w:cs="Times New Roman"/>
          <w:i/>
        </w:rPr>
        <w:t>Competition Act</w:t>
      </w:r>
      <w:r w:rsidRPr="00CE21C4">
        <w:rPr>
          <w:rFonts w:cs="Times New Roman"/>
        </w:rPr>
        <w:t>” (</w:t>
      </w:r>
      <w:proofErr w:type="spellStart"/>
      <w:r w:rsidRPr="00CE21C4">
        <w:rPr>
          <w:rFonts w:cs="Times New Roman"/>
        </w:rPr>
        <w:t>para</w:t>
      </w:r>
      <w:proofErr w:type="spellEnd"/>
      <w:r w:rsidRPr="00CE21C4">
        <w:rPr>
          <w:rFonts w:cs="Times New Roman"/>
        </w:rPr>
        <w:t>. 155). The court then went on to hold that, nonet</w:t>
      </w:r>
      <w:r w:rsidR="007956BE">
        <w:rPr>
          <w:rFonts w:cs="Times New Roman"/>
        </w:rPr>
        <w:t>heless, the Tribunal had double-</w:t>
      </w:r>
      <w:r w:rsidRPr="00CE21C4">
        <w:rPr>
          <w:rFonts w:cs="Times New Roman"/>
        </w:rPr>
        <w:t>counted this effect as it had already addressed the 10 percent drop in tipping fees which would be brought about by competition and which would result in the disposal of additional tonnes of hazardous waste as part of the “deadweight loss” analysis. The court held that this effect should only have been considered once “as a quantitative anti-competitive effect that had not been appropriately quantified by the Commissioner” (</w:t>
      </w:r>
      <w:proofErr w:type="spellStart"/>
      <w:r w:rsidRPr="00CE21C4">
        <w:rPr>
          <w:rFonts w:cs="Times New Roman"/>
        </w:rPr>
        <w:t>para</w:t>
      </w:r>
      <w:proofErr w:type="spellEnd"/>
      <w:r w:rsidRPr="00CE21C4">
        <w:rPr>
          <w:rFonts w:cs="Times New Roman"/>
        </w:rPr>
        <w:t>. 157).</w:t>
      </w:r>
    </w:p>
    <w:p w:rsidR="00E35AE4" w:rsidRPr="00CE21C4" w:rsidRDefault="00E35AE4" w:rsidP="00154FA9">
      <w:pPr>
        <w:pStyle w:val="ParaNoNdepar-AltN"/>
        <w:rPr>
          <w:rFonts w:cs="Times New Roman"/>
        </w:rPr>
      </w:pPr>
      <w:r w:rsidRPr="00CE21C4">
        <w:rPr>
          <w:rFonts w:cs="Times New Roman"/>
        </w:rPr>
        <w:t>The Commissioner’s arguments centre on her position that the environmental impacts did have an economic effect. However, while the Federal Court of Appeal questioned whether non-economic environmental effects could be considered under the s. 96 analysis</w:t>
      </w:r>
      <w:r w:rsidR="003B37D4">
        <w:rPr>
          <w:rFonts w:cs="Times New Roman"/>
        </w:rPr>
        <w:t>,</w:t>
      </w:r>
      <w:r w:rsidRPr="00CE21C4">
        <w:rPr>
          <w:rFonts w:cs="Times New Roman"/>
        </w:rPr>
        <w:t xml:space="preserve"> the effects in this case had an economic aspect. </w:t>
      </w:r>
      <w:r w:rsidRPr="00CE21C4">
        <w:rPr>
          <w:rFonts w:cs="Times New Roman"/>
        </w:rPr>
        <w:lastRenderedPageBreak/>
        <w:t>The court ultimately rejected these effects on the basis that the enviro</w:t>
      </w:r>
      <w:r w:rsidR="00882259">
        <w:rPr>
          <w:rFonts w:cs="Times New Roman"/>
        </w:rPr>
        <w:t>nmental effects had been double-</w:t>
      </w:r>
      <w:r w:rsidRPr="00CE21C4">
        <w:rPr>
          <w:rFonts w:cs="Times New Roman"/>
        </w:rPr>
        <w:t xml:space="preserve">counted by the Tribunal.  </w:t>
      </w:r>
    </w:p>
    <w:p w:rsidR="00E35AE4" w:rsidRPr="00CE21C4" w:rsidRDefault="00E35AE4" w:rsidP="00154FA9">
      <w:pPr>
        <w:pStyle w:val="ParaNoNdepar-AltN"/>
        <w:rPr>
          <w:rFonts w:cs="Times New Roman"/>
        </w:rPr>
      </w:pPr>
      <w:r w:rsidRPr="00CE21C4">
        <w:rPr>
          <w:rFonts w:cs="Times New Roman"/>
        </w:rPr>
        <w:t xml:space="preserve">I agree with the Commissioner that where environmental effects have economic dimensions, these effects may properly be considered under the s. 96 analysis. Indeed, I do not read the Federal Court of Appeal as saying otherwise. The issue raised by the Commissioner is whether the environmental effects put into evidence by the Commissioner did have an economic dimension. I agree that an effect such as a contingent liability on the books of a company which has to remediate a site is an economic aspect of an environmental effect. However, while there was evidence before the Tribunal with respect to this kind of contingent liability, this evidence cannot be considered in this case. </w:t>
      </w:r>
    </w:p>
    <w:p w:rsidR="00E35AE4" w:rsidRPr="00CE21C4" w:rsidRDefault="00E35AE4" w:rsidP="00154FA9">
      <w:pPr>
        <w:pStyle w:val="ParaNoNdepar-AltN"/>
        <w:rPr>
          <w:rFonts w:cs="Times New Roman"/>
        </w:rPr>
      </w:pPr>
      <w:r w:rsidRPr="00CE21C4">
        <w:rPr>
          <w:rFonts w:cs="Times New Roman"/>
        </w:rPr>
        <w:t>First, there is no evidence as to whether the waste covered by the contingent liabili</w:t>
      </w:r>
      <w:r w:rsidR="00604FCB">
        <w:rPr>
          <w:rFonts w:cs="Times New Roman"/>
        </w:rPr>
        <w:t>ty in question fell within the Contestable A</w:t>
      </w:r>
      <w:r w:rsidRPr="00CE21C4">
        <w:rPr>
          <w:rFonts w:cs="Times New Roman"/>
        </w:rPr>
        <w:t>rea. Second, there is no evidence as to the price elasticity of demand of the customer in question. Finally, and as the Federal Court of Appeal found, if t</w:t>
      </w:r>
      <w:r w:rsidR="00604FCB">
        <w:rPr>
          <w:rFonts w:cs="Times New Roman"/>
        </w:rPr>
        <w:t>his effect did fall within the Contestable A</w:t>
      </w:r>
      <w:r w:rsidRPr="00CE21C4">
        <w:rPr>
          <w:rFonts w:cs="Times New Roman"/>
        </w:rPr>
        <w:t>rea, it was quantifiable and therefore should have been quantified by the Commissioner. As explained above, anti-competitive effects which are quantifiable will not be treated qualitatively as a result of a failure to quantify.  Therefore, and although the environmental effects in this case had an economic dimension, the Tribunal erred in assessing these effects qualitatively.</w:t>
      </w:r>
    </w:p>
    <w:p w:rsidR="00E35AE4" w:rsidRPr="00CE21C4" w:rsidRDefault="00E35AE4" w:rsidP="00154FA9">
      <w:pPr>
        <w:pStyle w:val="Title4LevelTitre4Niveau"/>
        <w:rPr>
          <w:rFonts w:cs="Times New Roman"/>
        </w:rPr>
      </w:pPr>
      <w:bookmarkStart w:id="160" w:name="_Toc396299559"/>
      <w:bookmarkStart w:id="161" w:name="_Toc397586791"/>
      <w:bookmarkStart w:id="162" w:name="_Toc397607031"/>
      <w:bookmarkStart w:id="163" w:name="_Toc404926140"/>
      <w:r w:rsidRPr="00CE21C4">
        <w:rPr>
          <w:rFonts w:cs="Times New Roman"/>
        </w:rPr>
        <w:t>Conclusion on the Balancing Under Section 96</w:t>
      </w:r>
      <w:bookmarkEnd w:id="160"/>
      <w:bookmarkEnd w:id="161"/>
      <w:bookmarkEnd w:id="162"/>
      <w:bookmarkEnd w:id="163"/>
    </w:p>
    <w:p w:rsidR="00E35AE4" w:rsidRPr="00CE21C4" w:rsidRDefault="00E35AE4" w:rsidP="00154FA9">
      <w:pPr>
        <w:pStyle w:val="ParaNoNdepar-AltN"/>
        <w:rPr>
          <w:rFonts w:cs="Times New Roman"/>
        </w:rPr>
      </w:pPr>
      <w:r w:rsidRPr="00CE21C4">
        <w:rPr>
          <w:rFonts w:cs="Times New Roman"/>
        </w:rPr>
        <w:lastRenderedPageBreak/>
        <w:t xml:space="preserve">The Commissioner failed to meet her burden, resulting in the quantifiable anti-competitive effects being assigned a weight of zero. The Federal Court of Appeal properly rejected the environmental effects. There are therefore no proven qualitative anti-competitive effects.  </w:t>
      </w:r>
      <w:proofErr w:type="spellStart"/>
      <w:r w:rsidRPr="00CE21C4">
        <w:rPr>
          <w:rFonts w:cs="Times New Roman"/>
        </w:rPr>
        <w:t>Tervita</w:t>
      </w:r>
      <w:proofErr w:type="spellEnd"/>
      <w:r w:rsidRPr="00CE21C4">
        <w:rPr>
          <w:rFonts w:cs="Times New Roman"/>
        </w:rPr>
        <w:t xml:space="preserve"> successfully proved quantifiable “overhead” efficiency gains resulting from </w:t>
      </w:r>
      <w:proofErr w:type="spellStart"/>
      <w:r w:rsidRPr="00CE21C4">
        <w:rPr>
          <w:rFonts w:cs="Times New Roman"/>
        </w:rPr>
        <w:t>Babkirk</w:t>
      </w:r>
      <w:proofErr w:type="spellEnd"/>
      <w:r w:rsidRPr="00CE21C4">
        <w:rPr>
          <w:rFonts w:cs="Times New Roman"/>
        </w:rPr>
        <w:t xml:space="preserve"> obtaining access to </w:t>
      </w:r>
      <w:proofErr w:type="spellStart"/>
      <w:r w:rsidRPr="00CE21C4">
        <w:rPr>
          <w:rFonts w:cs="Times New Roman"/>
        </w:rPr>
        <w:t>Tervita’s</w:t>
      </w:r>
      <w:proofErr w:type="spellEnd"/>
      <w:r w:rsidRPr="00CE21C4">
        <w:rPr>
          <w:rFonts w:cs="Times New Roman"/>
        </w:rPr>
        <w:t xml:space="preserve"> administrative and operating functions.  In this case, these proven gains met the “greater than and offset” requirement.  As there were no quantifiable or qualitative anti-competitive effects proven by the Commissioner, the efficiencies defence applies, and the Federal Court of Appeal was incorrect to conclude otherwise. </w:t>
      </w:r>
    </w:p>
    <w:p w:rsidR="00E35AE4" w:rsidRPr="00CE21C4" w:rsidRDefault="00E35AE4" w:rsidP="00154FA9">
      <w:pPr>
        <w:pStyle w:val="ParaNoNdepar-AltN"/>
        <w:rPr>
          <w:rFonts w:cs="Times New Roman"/>
        </w:rPr>
      </w:pPr>
      <w:r w:rsidRPr="00CE21C4">
        <w:rPr>
          <w:rFonts w:cs="Times New Roman"/>
        </w:rPr>
        <w:t xml:space="preserve">It may seem paradoxical to hold that the Tribunal was correct in finding a likely substantial prevention of competition, only to then conduct the s. 96 balancing test and find zero anti-competitive effects. However, this result merely appears paradoxical in view of the particular facts of this case. Here, as discussed above, the Tribunal was able to consider evidence as to the effect on the market of the emergence of likely competitors, whether acceptable substitutes existed, and so on. Section 93 expressly permits the consideration of these factors in and of themselves. Ordinarily, the Commissioner would also use the evidence bearing on those factors to quantify the net effect of those factors on the economy in the form of deadweight loss. However, the statutory scheme does not bar a finding of likely substantial prevention where there has been a failure to quantify deadweight loss, and thus the Commissioner’s failure to do so in this case was not fatal to the s. 92 </w:t>
      </w:r>
      <w:proofErr w:type="gramStart"/>
      <w:r w:rsidRPr="00CE21C4">
        <w:rPr>
          <w:rFonts w:cs="Times New Roman"/>
        </w:rPr>
        <w:t>determination</w:t>
      </w:r>
      <w:proofErr w:type="gramEnd"/>
      <w:r w:rsidRPr="00CE21C4">
        <w:rPr>
          <w:rFonts w:cs="Times New Roman"/>
        </w:rPr>
        <w:t xml:space="preserve">. By contrast, the balancing test under s. 96 does require that quantifiable anti-competitive effects be quantified in order to be considered. As such, the failure to quantify deadweight loss in this case barred consideration, under s. 96, of the </w:t>
      </w:r>
      <w:r w:rsidRPr="00CE21C4">
        <w:rPr>
          <w:rFonts w:cs="Times New Roman"/>
        </w:rPr>
        <w:lastRenderedPageBreak/>
        <w:t>quantifiable effects that supported a finding of likely substantial prevention under s. 92. In circumstances where quantifiable effects were in fact quantified, a finding of likely substantial prevention under s. 92 would be accompanied by the consideration of quantified anti-competitive effects under the s. 96 analysis.</w:t>
      </w:r>
    </w:p>
    <w:p w:rsidR="00E35AE4" w:rsidRPr="00CE21C4" w:rsidRDefault="00E35AE4" w:rsidP="00154FA9">
      <w:pPr>
        <w:pStyle w:val="Title3LevelTitre3Niveau"/>
        <w:rPr>
          <w:rFonts w:cs="Times New Roman"/>
        </w:rPr>
      </w:pPr>
      <w:bookmarkStart w:id="164" w:name="_Toc397586792"/>
      <w:bookmarkStart w:id="165" w:name="_Toc397607032"/>
      <w:bookmarkStart w:id="166" w:name="_Toc404926141"/>
      <w:r w:rsidRPr="00CE21C4">
        <w:rPr>
          <w:rFonts w:cs="Times New Roman"/>
        </w:rPr>
        <w:t>Postscript</w:t>
      </w:r>
      <w:bookmarkEnd w:id="164"/>
      <w:bookmarkEnd w:id="165"/>
      <w:bookmarkEnd w:id="166"/>
    </w:p>
    <w:p w:rsidR="00E35AE4" w:rsidRPr="00CE21C4" w:rsidRDefault="00E35AE4" w:rsidP="00154FA9">
      <w:pPr>
        <w:pStyle w:val="ParaNoNdepar-AltN"/>
        <w:rPr>
          <w:rFonts w:cs="Times New Roman"/>
        </w:rPr>
      </w:pPr>
      <w:r w:rsidRPr="00CE21C4">
        <w:rPr>
          <w:rFonts w:cs="Times New Roman"/>
        </w:rPr>
        <w:t xml:space="preserve">While the efficiencies defence applies in this case under the terms of s. 96 as written, this case does not appear to me to reflect the policy considerations that Parliament likely had in mind in creating an exception to the general ban on anti-competitive mergers. As discussed above at </w:t>
      </w:r>
      <w:proofErr w:type="spellStart"/>
      <w:r w:rsidRPr="00CE21C4">
        <w:rPr>
          <w:rFonts w:cs="Times New Roman"/>
        </w:rPr>
        <w:t>para</w:t>
      </w:r>
      <w:proofErr w:type="spellEnd"/>
      <w:r w:rsidRPr="00CE21C4">
        <w:rPr>
          <w:rFonts w:cs="Times New Roman"/>
        </w:rPr>
        <w:t>. 84 in the historical examination of s. 96, the evidence suggests that the efficiencies defence was created in recognition of the size of Canada’s domestic market and with an eye toward supporting operation at efficient levels of production and the realization of economies of scale, particularly with reference to international competition. By contrast, this case deals with competition on a local scale and where the operational efficiencies obtained do not appear to have been central to the acquiring party’s ability to realize economies of scale to compete in the relevant market. Although I tend to think that this case may not represent one that Parliament had in mind in creating the efficiencies defence, I nonetheless find that the statute as currently drafted supports a finding that the defence is available in this case.</w:t>
      </w:r>
    </w:p>
    <w:p w:rsidR="00E35AE4" w:rsidRPr="00CE21C4" w:rsidRDefault="00E35AE4" w:rsidP="00154FA9">
      <w:pPr>
        <w:pStyle w:val="Title1LevelTitre1Niveau-AltL"/>
        <w:rPr>
          <w:rFonts w:cs="Times New Roman"/>
        </w:rPr>
      </w:pPr>
      <w:bookmarkStart w:id="167" w:name="_Toc396299560"/>
      <w:bookmarkStart w:id="168" w:name="_Toc397586793"/>
      <w:bookmarkStart w:id="169" w:name="_Toc397607033"/>
      <w:bookmarkStart w:id="170" w:name="_Toc404926142"/>
      <w:r w:rsidRPr="00CE21C4">
        <w:rPr>
          <w:rFonts w:cs="Times New Roman"/>
        </w:rPr>
        <w:t>Conclusion</w:t>
      </w:r>
      <w:bookmarkEnd w:id="167"/>
      <w:bookmarkEnd w:id="168"/>
      <w:bookmarkEnd w:id="169"/>
      <w:bookmarkEnd w:id="170"/>
    </w:p>
    <w:p w:rsidR="00882259" w:rsidRPr="00882259" w:rsidRDefault="00E35AE4" w:rsidP="00154FA9">
      <w:pPr>
        <w:pStyle w:val="ParaNoNdepar-AltN"/>
      </w:pPr>
      <w:r w:rsidRPr="00CE21C4">
        <w:rPr>
          <w:rFonts w:cs="Times New Roman"/>
        </w:rPr>
        <w:lastRenderedPageBreak/>
        <w:t xml:space="preserve">I would allow the appeal. I would set aside the divestiture order of the Tribunal and dismiss the Commissioner’s s. 92 application.  The appellants are entitled to costs in this Court and in the Federal Court of Appeal.  </w:t>
      </w:r>
    </w:p>
    <w:p w:rsidR="00E35AE4" w:rsidRPr="00B728EF" w:rsidRDefault="00882259" w:rsidP="00154FA9">
      <w:pPr>
        <w:pStyle w:val="ParaNoNdepar-AltN"/>
        <w:numPr>
          <w:ilvl w:val="0"/>
          <w:numId w:val="0"/>
        </w:numPr>
        <w:tabs>
          <w:tab w:val="left" w:pos="1166"/>
        </w:tabs>
      </w:pPr>
      <w:r>
        <w:tab/>
        <w:t>The following are the reasons delivered by</w:t>
      </w:r>
    </w:p>
    <w:p w:rsidR="00E35AE4" w:rsidRPr="00B728EF" w:rsidRDefault="00882259" w:rsidP="00154FA9">
      <w:pPr>
        <w:pStyle w:val="ParaNoNdepar-AltN"/>
        <w:tabs>
          <w:tab w:val="clear" w:pos="1166"/>
          <w:tab w:val="num" w:pos="1152"/>
        </w:tabs>
        <w:rPr>
          <w:b/>
        </w:rPr>
      </w:pPr>
      <w:proofErr w:type="spellStart"/>
      <w:r w:rsidRPr="00882259">
        <w:rPr>
          <w:smallCaps/>
        </w:rPr>
        <w:t>Abella</w:t>
      </w:r>
      <w:proofErr w:type="spellEnd"/>
      <w:r w:rsidRPr="00882259">
        <w:rPr>
          <w:smallCaps/>
        </w:rPr>
        <w:t xml:space="preserve"> J.</w:t>
      </w:r>
      <w:r w:rsidRPr="00B728EF">
        <w:t xml:space="preserve"> </w:t>
      </w:r>
      <w:r>
        <w:rPr>
          <w:rFonts w:cs="Times New Roman"/>
        </w:rPr>
        <w:t>—</w:t>
      </w:r>
      <w:r>
        <w:t xml:space="preserve"> </w:t>
      </w:r>
      <w:r w:rsidR="00E35AE4" w:rsidRPr="00B728EF">
        <w:t xml:space="preserve">In </w:t>
      </w:r>
      <w:proofErr w:type="spellStart"/>
      <w:r w:rsidR="00E35AE4" w:rsidRPr="00B728EF">
        <w:rPr>
          <w:i/>
        </w:rPr>
        <w:t>Pezim</w:t>
      </w:r>
      <w:proofErr w:type="spellEnd"/>
      <w:r w:rsidR="00E35AE4" w:rsidRPr="00B728EF">
        <w:rPr>
          <w:i/>
        </w:rPr>
        <w:t xml:space="preserve"> v. British Columbia (Superintendent of Brokers)</w:t>
      </w:r>
      <w:r w:rsidR="00E35AE4" w:rsidRPr="00B728EF">
        <w:t xml:space="preserve">, [1994] 2 S.C.R. 557, which predates </w:t>
      </w:r>
      <w:r w:rsidR="00E35AE4" w:rsidRPr="00B728EF">
        <w:rPr>
          <w:i/>
        </w:rPr>
        <w:t>Dunsmuir v. New Brunswick</w:t>
      </w:r>
      <w:r w:rsidR="00E35AE4" w:rsidRPr="00B728EF">
        <w:t>, [2008] 1 S.C.R. 190,</w:t>
      </w:r>
      <w:r w:rsidR="00E35AE4" w:rsidRPr="00B728EF">
        <w:rPr>
          <w:b/>
        </w:rPr>
        <w:t xml:space="preserve"> </w:t>
      </w:r>
      <w:r w:rsidR="00E35AE4" w:rsidRPr="00B728EF">
        <w:t>the Court deferred to the</w:t>
      </w:r>
      <w:r w:rsidR="00E35AE4" w:rsidRPr="00B728EF">
        <w:rPr>
          <w:b/>
        </w:rPr>
        <w:t xml:space="preserve"> </w:t>
      </w:r>
      <w:r w:rsidR="00E35AE4" w:rsidRPr="00B728EF">
        <w:t xml:space="preserve">British Columbia Securities Commission’s specialized expertise in the interpretation of provisions of the </w:t>
      </w:r>
      <w:r w:rsidR="00E35AE4" w:rsidRPr="00B728EF">
        <w:rPr>
          <w:i/>
        </w:rPr>
        <w:t>Securities Act</w:t>
      </w:r>
      <w:r w:rsidR="00E35AE4" w:rsidRPr="00B728EF">
        <w:t xml:space="preserve">, S.B.C. 1985, c. 83, and applied a reasonableness standard despite the presence of a right of appeal and the absence of a privative clause.  In other words, the specialized nature of the tribunal was seen to be more determinative of the legislature’s true intent to make the tribunal master of its mandate.  More recently, notwithstanding the same right of appeal in </w:t>
      </w:r>
      <w:r w:rsidR="00E35AE4" w:rsidRPr="00B728EF">
        <w:rPr>
          <w:i/>
        </w:rPr>
        <w:t>McLean v. British Columbia (Securities Commission)</w:t>
      </w:r>
      <w:r w:rsidR="00E35AE4" w:rsidRPr="00B728EF">
        <w:t>, [2013] 3 S.C.R. 895,</w:t>
      </w:r>
      <w:r w:rsidR="00E35AE4" w:rsidRPr="00B728EF">
        <w:rPr>
          <w:b/>
        </w:rPr>
        <w:t xml:space="preserve"> </w:t>
      </w:r>
      <w:r w:rsidR="00E35AE4" w:rsidRPr="00B728EF">
        <w:t xml:space="preserve">this Court once again applied a reasonableness standard based on the British Columbia Securities Commission’s specialized expertise: see </w:t>
      </w:r>
      <w:r w:rsidR="00E35AE4" w:rsidRPr="00B728EF">
        <w:rPr>
          <w:i/>
        </w:rPr>
        <w:t>Securities Act</w:t>
      </w:r>
      <w:r w:rsidR="00E35AE4" w:rsidRPr="00B728EF">
        <w:t>, R.S.B.C. 1996, c. 418, s. 167.</w:t>
      </w:r>
    </w:p>
    <w:p w:rsidR="00E35AE4" w:rsidRPr="00B728EF" w:rsidRDefault="00E35AE4" w:rsidP="00154FA9">
      <w:pPr>
        <w:pStyle w:val="ParaNoNdepar-AltN"/>
        <w:tabs>
          <w:tab w:val="clear" w:pos="1166"/>
          <w:tab w:val="num" w:pos="1152"/>
        </w:tabs>
        <w:rPr>
          <w:rFonts w:cs="Times New Roman"/>
        </w:rPr>
      </w:pPr>
      <w:r w:rsidRPr="00B728EF">
        <w:rPr>
          <w:rFonts w:cs="Times New Roman"/>
        </w:rPr>
        <w:t xml:space="preserve">The cornerstone laid in </w:t>
      </w:r>
      <w:proofErr w:type="spellStart"/>
      <w:r w:rsidRPr="00B728EF">
        <w:rPr>
          <w:rFonts w:cs="Times New Roman"/>
          <w:i/>
        </w:rPr>
        <w:t>Pezim</w:t>
      </w:r>
      <w:proofErr w:type="spellEnd"/>
      <w:r w:rsidRPr="00B728EF">
        <w:rPr>
          <w:rFonts w:cs="Times New Roman"/>
        </w:rPr>
        <w:t xml:space="preserve"> introduced a new edifice for the review of specialized tribunals.  Through cases like </w:t>
      </w:r>
      <w:r w:rsidRPr="00B728EF">
        <w:rPr>
          <w:rFonts w:cs="Times New Roman"/>
          <w:i/>
        </w:rPr>
        <w:t>McLean</w:t>
      </w:r>
      <w:r w:rsidRPr="00B728EF">
        <w:rPr>
          <w:rFonts w:cs="Times New Roman"/>
        </w:rPr>
        <w:t>,</w:t>
      </w:r>
      <w:r w:rsidRPr="00B728EF">
        <w:rPr>
          <w:rFonts w:cs="Times New Roman"/>
          <w:i/>
        </w:rPr>
        <w:t xml:space="preserve"> Smith v. Alliance Pipeline Ltd.</w:t>
      </w:r>
      <w:r w:rsidRPr="00B728EF">
        <w:rPr>
          <w:rFonts w:cs="Times New Roman"/>
        </w:rPr>
        <w:t xml:space="preserve">, [2011] 1 S.C.R. 160, and </w:t>
      </w:r>
      <w:r w:rsidRPr="00B728EF">
        <w:rPr>
          <w:rFonts w:cs="Times New Roman"/>
          <w:i/>
        </w:rPr>
        <w:t>Alberta (Information and Privacy Commissioner) v. Alberta Teachers’ Association</w:t>
      </w:r>
      <w:r w:rsidRPr="00B728EF">
        <w:rPr>
          <w:rFonts w:cs="Times New Roman"/>
        </w:rPr>
        <w:t>, [2011] 3 S.C.R. 654,</w:t>
      </w:r>
      <w:r w:rsidRPr="00B728EF">
        <w:rPr>
          <w:rFonts w:cs="Times New Roman"/>
          <w:b/>
        </w:rPr>
        <w:t xml:space="preserve"> </w:t>
      </w:r>
      <w:r w:rsidRPr="00B728EF">
        <w:rPr>
          <w:rFonts w:cs="Times New Roman"/>
        </w:rPr>
        <w:t xml:space="preserve">judges and lawyers engaging in judicial review proceedings came to believe, rightly and reasonably, that the jurisprudence of this Court had developed into a presumption that regardless of the presence or </w:t>
      </w:r>
      <w:r w:rsidRPr="00B728EF">
        <w:rPr>
          <w:rFonts w:cs="Times New Roman"/>
        </w:rPr>
        <w:lastRenderedPageBreak/>
        <w:t>absence of either a right of appeal or a privative clause — that is notwithstanding legislative wording — when a tribunal is interpreting its home statute, reasonableness applies.  I am at a loss to see why we would chip away — again</w:t>
      </w:r>
      <w:r w:rsidRPr="00B728EF">
        <w:rPr>
          <w:rStyle w:val="FootnoteReference"/>
          <w:rFonts w:cs="Times New Roman"/>
        </w:rPr>
        <w:footnoteReference w:id="2"/>
      </w:r>
      <w:r w:rsidRPr="00B728EF">
        <w:rPr>
          <w:rFonts w:cs="Times New Roman"/>
        </w:rPr>
        <w:t xml:space="preserve"> — at this precedential certainty.  It seems to me that what we should be doing instead is confirming, not undermining, the reasonableness presumption and our jurisprudence that statutory language alone is not determinative of the applicable standard of review.</w:t>
      </w:r>
    </w:p>
    <w:p w:rsidR="00E35AE4" w:rsidRPr="00B728EF" w:rsidRDefault="00E35AE4" w:rsidP="00154FA9">
      <w:pPr>
        <w:pStyle w:val="ParaNoNdepar-AltN"/>
        <w:tabs>
          <w:tab w:val="clear" w:pos="1166"/>
          <w:tab w:val="num" w:pos="1152"/>
        </w:tabs>
        <w:rPr>
          <w:rFonts w:cs="Times New Roman"/>
        </w:rPr>
      </w:pPr>
      <w:r w:rsidRPr="00B728EF">
        <w:rPr>
          <w:rFonts w:cs="Times New Roman"/>
        </w:rPr>
        <w:t>That is why, with respect, although I otherwise agree with the reasons of the majority, I think the applicable standard is reasonableness, not correctness.  I am aware that it is increasingly difficult to discern the demarcations between a reasonableness and correctness analysis, but until those lines are completely erased, I think it is worth protecting the existing principles as much as possible.  To apply correctness in this case represents a reversion to the pre-</w:t>
      </w:r>
      <w:proofErr w:type="spellStart"/>
      <w:r w:rsidRPr="00B728EF">
        <w:rPr>
          <w:rFonts w:cs="Times New Roman"/>
          <w:i/>
        </w:rPr>
        <w:t>Pezim</w:t>
      </w:r>
      <w:proofErr w:type="spellEnd"/>
      <w:r w:rsidRPr="00B728EF">
        <w:rPr>
          <w:rFonts w:cs="Times New Roman"/>
        </w:rPr>
        <w:t xml:space="preserve"> era.  Creating yet another exception by relying on the statutory language in this case which sets out a right of appeal, undermines the expertise the statute recognizes.  This new exception is also, in my respectful view, an inexplicable variation from our jurisprudence that i</w:t>
      </w:r>
      <w:r w:rsidR="00882259">
        <w:rPr>
          <w:rFonts w:cs="Times New Roman"/>
        </w:rPr>
        <w:t>s certain to engender the very “standard of review”</w:t>
      </w:r>
      <w:r w:rsidRPr="00B728EF">
        <w:rPr>
          <w:rFonts w:cs="Times New Roman"/>
        </w:rPr>
        <w:t xml:space="preserve"> confusion that inspired this Court to try to weave the strands together in the first place. </w:t>
      </w:r>
    </w:p>
    <w:p w:rsidR="00E35AE4" w:rsidRPr="00B728EF" w:rsidRDefault="00E35AE4" w:rsidP="00154FA9">
      <w:pPr>
        <w:pStyle w:val="ParaNoNdepar-AltN"/>
        <w:tabs>
          <w:tab w:val="clear" w:pos="1166"/>
          <w:tab w:val="num" w:pos="1152"/>
        </w:tabs>
        <w:rPr>
          <w:rFonts w:cs="Times New Roman"/>
        </w:rPr>
      </w:pPr>
      <w:r w:rsidRPr="00B728EF">
        <w:rPr>
          <w:rFonts w:cs="Times New Roman"/>
        </w:rPr>
        <w:t xml:space="preserve">The building blocks in our jurisprudence were carefully constructed. Binnie J. explained in </w:t>
      </w:r>
      <w:r w:rsidRPr="00B728EF">
        <w:rPr>
          <w:rFonts w:cs="Times New Roman"/>
          <w:i/>
          <w:iCs/>
        </w:rPr>
        <w:t xml:space="preserve">Canada (Citizenship and Immigration) v. </w:t>
      </w:r>
      <w:proofErr w:type="spellStart"/>
      <w:r w:rsidRPr="00B728EF">
        <w:rPr>
          <w:rFonts w:cs="Times New Roman"/>
          <w:i/>
          <w:iCs/>
        </w:rPr>
        <w:t>Khosa</w:t>
      </w:r>
      <w:proofErr w:type="spellEnd"/>
      <w:r w:rsidRPr="00B728EF">
        <w:rPr>
          <w:rFonts w:cs="Times New Roman"/>
        </w:rPr>
        <w:t xml:space="preserve">, [2009] 1 S.C.R. 339, at </w:t>
      </w:r>
      <w:proofErr w:type="spellStart"/>
      <w:r w:rsidRPr="00B728EF">
        <w:rPr>
          <w:rFonts w:cs="Times New Roman"/>
        </w:rPr>
        <w:t>para</w:t>
      </w:r>
      <w:proofErr w:type="spellEnd"/>
      <w:r w:rsidRPr="00B728EF">
        <w:rPr>
          <w:rFonts w:cs="Times New Roman"/>
        </w:rPr>
        <w:t xml:space="preserve">. 25, that </w:t>
      </w:r>
    </w:p>
    <w:p w:rsidR="00E35AE4" w:rsidRPr="00B728EF" w:rsidRDefault="00E35AE4" w:rsidP="00154FA9">
      <w:pPr>
        <w:pStyle w:val="Citation-AltC"/>
      </w:pPr>
      <w:r w:rsidRPr="00B728EF">
        <w:rPr>
          <w:i/>
          <w:iCs/>
        </w:rPr>
        <w:lastRenderedPageBreak/>
        <w:t>Dunsmuir</w:t>
      </w:r>
      <w:r w:rsidRPr="00B728EF">
        <w:t xml:space="preserve"> recognized that </w:t>
      </w:r>
      <w:r w:rsidRPr="00B728EF">
        <w:rPr>
          <w:i/>
        </w:rPr>
        <w:t>with or without a privative clause</w:t>
      </w:r>
      <w:r w:rsidRPr="00B728EF">
        <w:t>, a measure of deference has come to be accepted as appropriate where a particular decision had been allocated to an administrative decision-maker rather than to the courts.</w:t>
      </w:r>
      <w:r w:rsidR="00154FA9">
        <w:t xml:space="preserve"> </w:t>
      </w:r>
      <w:r w:rsidRPr="00B728EF">
        <w:t xml:space="preserve"> This deference extended not only to facts and policy but to a tribunal’s interpretation of its constitutive statute and related enactments because “there might be multiple valid interpretations of a statutory provision or answers to a legal dispute and that courts ought not to interfere where the tribunal’s decision is rationally supported” (</w:t>
      </w:r>
      <w:r w:rsidRPr="00B728EF">
        <w:rPr>
          <w:i/>
          <w:iCs/>
        </w:rPr>
        <w:t>Dunsmuir</w:t>
      </w:r>
      <w:r w:rsidRPr="00B728EF">
        <w:t xml:space="preserve">, at </w:t>
      </w:r>
      <w:proofErr w:type="spellStart"/>
      <w:r w:rsidRPr="00B728EF">
        <w:t>para</w:t>
      </w:r>
      <w:proofErr w:type="spellEnd"/>
      <w:r w:rsidRPr="00B728EF">
        <w:t>. 41).</w:t>
      </w:r>
      <w:r w:rsidR="00154FA9">
        <w:t xml:space="preserve"> </w:t>
      </w:r>
      <w:r w:rsidRPr="00B728EF">
        <w:t xml:space="preserve"> A policy of deference “recognizes the reality that, in many instances, those working day to day in the implementation of frequently complex administrative schemes have or will develop a considerable degree of expertise or field sensitivity to the imperatives and nuances of the legislative regime” (</w:t>
      </w:r>
      <w:r w:rsidRPr="00B728EF">
        <w:rPr>
          <w:i/>
          <w:iCs/>
        </w:rPr>
        <w:t>Dunsmuir</w:t>
      </w:r>
      <w:r w:rsidRPr="00B728EF">
        <w:t xml:space="preserve">, at </w:t>
      </w:r>
      <w:proofErr w:type="spellStart"/>
      <w:r w:rsidRPr="00B728EF">
        <w:t>para</w:t>
      </w:r>
      <w:proofErr w:type="spellEnd"/>
      <w:r w:rsidRPr="00B728EF">
        <w:t xml:space="preserve">. 49, quoting Professor David J. </w:t>
      </w:r>
      <w:proofErr w:type="spellStart"/>
      <w:r w:rsidRPr="00B728EF">
        <w:t>Mullan</w:t>
      </w:r>
      <w:proofErr w:type="spellEnd"/>
      <w:r w:rsidRPr="00B728EF">
        <w:t xml:space="preserve">, “Establishing the Standard of Review: The Struggle for Complexity?” (2004), 17 </w:t>
      </w:r>
      <w:r w:rsidRPr="00B728EF">
        <w:rPr>
          <w:i/>
        </w:rPr>
        <w:t>C.J.A.L.P.</w:t>
      </w:r>
      <w:r w:rsidRPr="00B728EF">
        <w:t xml:space="preserve"> 59, at p. 93).</w:t>
      </w:r>
      <w:r w:rsidR="00154FA9">
        <w:t xml:space="preserve"> </w:t>
      </w:r>
      <w:r w:rsidRPr="00B728EF">
        <w:t xml:space="preserve"> Moreover, “[d]</w:t>
      </w:r>
      <w:proofErr w:type="spellStart"/>
      <w:r w:rsidRPr="00B728EF">
        <w:t>eference</w:t>
      </w:r>
      <w:proofErr w:type="spellEnd"/>
      <w:r w:rsidRPr="00B728EF">
        <w:t xml:space="preserve"> may also be warranted where an administrative tribunal has developed particular expertise in the application of a general common law or civil law rule in relation to a specific statutory context” (</w:t>
      </w:r>
      <w:r w:rsidRPr="00B728EF">
        <w:rPr>
          <w:i/>
          <w:iCs/>
        </w:rPr>
        <w:t>Dunsmuir</w:t>
      </w:r>
      <w:r w:rsidRPr="00B728EF">
        <w:t xml:space="preserve">, at </w:t>
      </w:r>
      <w:proofErr w:type="spellStart"/>
      <w:r w:rsidRPr="00B728EF">
        <w:t>para</w:t>
      </w:r>
      <w:proofErr w:type="spellEnd"/>
      <w:r w:rsidRPr="00B728EF">
        <w:t>. 54). [Emphasis added.]</w:t>
      </w:r>
    </w:p>
    <w:p w:rsidR="00E35AE4" w:rsidRPr="00B728EF" w:rsidRDefault="00E35AE4" w:rsidP="00154FA9">
      <w:pPr>
        <w:pStyle w:val="ParaNoNdepar-AltN"/>
        <w:tabs>
          <w:tab w:val="clear" w:pos="1166"/>
          <w:tab w:val="num" w:pos="1152"/>
        </w:tabs>
        <w:rPr>
          <w:rFonts w:cs="Times New Roman"/>
        </w:rPr>
      </w:pPr>
      <w:r w:rsidRPr="00B728EF">
        <w:rPr>
          <w:rFonts w:cs="Times New Roman"/>
        </w:rPr>
        <w:t xml:space="preserve">This was further explained in </w:t>
      </w:r>
      <w:r w:rsidRPr="00B728EF">
        <w:rPr>
          <w:rFonts w:cs="Times New Roman"/>
          <w:i/>
          <w:iCs/>
        </w:rPr>
        <w:t>Alberta Teachers’ Association</w:t>
      </w:r>
      <w:r w:rsidRPr="00B728EF">
        <w:rPr>
          <w:rFonts w:cs="Times New Roman"/>
          <w:iCs/>
        </w:rPr>
        <w:t xml:space="preserve"> in its first paragraph</w:t>
      </w:r>
      <w:r w:rsidRPr="00B728EF">
        <w:rPr>
          <w:rFonts w:cs="Times New Roman"/>
        </w:rPr>
        <w:t xml:space="preserve">: “Through the creation of administrative tribunals, legislatures confer decision-making authority on certain matters to decision makers who are assumed to have specialized expertise with the assigned subject matter.  Courts owe deference to administrative decisions within the area of decision-making authority conferred to such tribunals.”  </w:t>
      </w:r>
    </w:p>
    <w:p w:rsidR="00E35AE4" w:rsidRPr="00B728EF" w:rsidRDefault="00E35AE4" w:rsidP="00154FA9">
      <w:pPr>
        <w:pStyle w:val="ParaNoNdepar-AltN"/>
        <w:tabs>
          <w:tab w:val="clear" w:pos="1166"/>
          <w:tab w:val="num" w:pos="1152"/>
        </w:tabs>
        <w:rPr>
          <w:rFonts w:cs="Times New Roman"/>
        </w:rPr>
      </w:pPr>
      <w:r w:rsidRPr="00B728EF">
        <w:rPr>
          <w:rFonts w:cs="Times New Roman"/>
        </w:rPr>
        <w:t xml:space="preserve">In </w:t>
      </w:r>
      <w:r w:rsidRPr="00B728EF">
        <w:rPr>
          <w:rFonts w:cs="Times New Roman"/>
          <w:i/>
          <w:iCs/>
        </w:rPr>
        <w:t>Smith</w:t>
      </w:r>
      <w:r w:rsidRPr="00B728EF">
        <w:rPr>
          <w:rFonts w:cs="Times New Roman"/>
        </w:rPr>
        <w:t xml:space="preserve">, this Court applied a reasonableness standard of review to an arbitration committee’s interpretation of its home statute, even though that statute provided that decisions of the arbitration committee on questions of law or jurisdiction </w:t>
      </w:r>
      <w:r w:rsidRPr="00B728EF">
        <w:rPr>
          <w:rFonts w:cs="Times New Roman"/>
          <w:i/>
        </w:rPr>
        <w:t>could be appealed to the Federal Court</w:t>
      </w:r>
      <w:r w:rsidRPr="00B728EF">
        <w:rPr>
          <w:rFonts w:cs="Times New Roman"/>
        </w:rPr>
        <w:t xml:space="preserve"> (</w:t>
      </w:r>
      <w:proofErr w:type="spellStart"/>
      <w:r w:rsidRPr="00B728EF">
        <w:rPr>
          <w:rFonts w:cs="Times New Roman"/>
        </w:rPr>
        <w:t>para</w:t>
      </w:r>
      <w:proofErr w:type="spellEnd"/>
      <w:r w:rsidRPr="00B728EF">
        <w:rPr>
          <w:rFonts w:cs="Times New Roman"/>
        </w:rPr>
        <w:t xml:space="preserve">. 40; </w:t>
      </w:r>
      <w:r w:rsidRPr="00B728EF">
        <w:rPr>
          <w:rFonts w:cs="Times New Roman"/>
          <w:iCs/>
        </w:rPr>
        <w:t>see</w:t>
      </w:r>
      <w:r w:rsidRPr="00B728EF">
        <w:rPr>
          <w:rFonts w:cs="Times New Roman"/>
        </w:rPr>
        <w:t xml:space="preserve"> </w:t>
      </w:r>
      <w:r w:rsidRPr="00B728EF">
        <w:rPr>
          <w:rFonts w:cs="Times New Roman"/>
          <w:i/>
          <w:iCs/>
        </w:rPr>
        <w:t>National Energy Board Act</w:t>
      </w:r>
      <w:r w:rsidRPr="00B728EF">
        <w:rPr>
          <w:rFonts w:cs="Times New Roman"/>
        </w:rPr>
        <w:t>, R.S.C. 1985, c. N</w:t>
      </w:r>
      <w:r w:rsidR="00154FA9">
        <w:rPr>
          <w:rFonts w:eastAsia="MS Mincho" w:cs="Times New Roman" w:hint="eastAsia"/>
        </w:rPr>
        <w:t>-</w:t>
      </w:r>
      <w:r w:rsidRPr="00B728EF">
        <w:rPr>
          <w:rFonts w:cs="Times New Roman"/>
        </w:rPr>
        <w:t>7, s. 101).</w:t>
      </w:r>
      <w:r w:rsidR="00154FA9">
        <w:rPr>
          <w:rFonts w:cs="Times New Roman"/>
        </w:rPr>
        <w:t xml:space="preserve"> </w:t>
      </w:r>
      <w:r w:rsidRPr="00B728EF">
        <w:rPr>
          <w:rFonts w:cs="Times New Roman"/>
        </w:rPr>
        <w:t xml:space="preserve"> And, as previously noted, in </w:t>
      </w:r>
      <w:r w:rsidRPr="00B728EF">
        <w:rPr>
          <w:rFonts w:cs="Times New Roman"/>
          <w:i/>
          <w:iCs/>
        </w:rPr>
        <w:t xml:space="preserve">McLean </w:t>
      </w:r>
      <w:r w:rsidRPr="00B728EF">
        <w:rPr>
          <w:rFonts w:cs="Times New Roman"/>
        </w:rPr>
        <w:t xml:space="preserve">the Court held that a reasonableness standard applied to the British Columbia Securities Commission’s interpretation of its home statute despite the fact that the statute </w:t>
      </w:r>
      <w:r w:rsidRPr="00B728EF">
        <w:rPr>
          <w:rFonts w:cs="Times New Roman"/>
        </w:rPr>
        <w:lastRenderedPageBreak/>
        <w:t xml:space="preserve">contained a statutory right of appeal with leave to the British Columbia Court of Appeal: paras. 23-24; </w:t>
      </w:r>
      <w:r w:rsidRPr="00B728EF">
        <w:rPr>
          <w:rFonts w:cs="Times New Roman"/>
          <w:i/>
          <w:iCs/>
        </w:rPr>
        <w:t>Securities Act</w:t>
      </w:r>
      <w:r w:rsidRPr="00B728EF">
        <w:rPr>
          <w:rFonts w:cs="Times New Roman"/>
        </w:rPr>
        <w:t>, s. 167.</w:t>
      </w:r>
    </w:p>
    <w:p w:rsidR="00E35AE4" w:rsidRPr="00B728EF" w:rsidRDefault="00E35AE4" w:rsidP="00154FA9">
      <w:pPr>
        <w:pStyle w:val="ParaNoNdepar-AltN"/>
        <w:tabs>
          <w:tab w:val="clear" w:pos="1166"/>
          <w:tab w:val="num" w:pos="1152"/>
        </w:tabs>
        <w:rPr>
          <w:rFonts w:cs="Times New Roman"/>
        </w:rPr>
      </w:pPr>
      <w:r w:rsidRPr="00B728EF">
        <w:rPr>
          <w:rFonts w:cs="Times New Roman"/>
        </w:rPr>
        <w:t xml:space="preserve">In </w:t>
      </w:r>
      <w:r w:rsidRPr="00B728EF">
        <w:rPr>
          <w:rFonts w:cs="Times New Roman"/>
          <w:i/>
        </w:rPr>
        <w:t>Canada (Canadian Human Rights Commission) v. Canada (Attorney General)</w:t>
      </w:r>
      <w:r w:rsidRPr="00B728EF">
        <w:rPr>
          <w:rFonts w:cs="Times New Roman"/>
        </w:rPr>
        <w:t xml:space="preserve">, [2011] 3 S.C.R. 471, the Court recognized that the fact that little deference had traditionally been extended to human rights tribunals in respect of their decisions on legal questions, was in tension with the deferential approach to judicial review espoused in </w:t>
      </w:r>
      <w:r w:rsidRPr="00B728EF">
        <w:rPr>
          <w:rFonts w:cs="Times New Roman"/>
          <w:i/>
          <w:iCs/>
        </w:rPr>
        <w:t>Dunsmuir</w:t>
      </w:r>
      <w:r w:rsidRPr="00B728EF">
        <w:rPr>
          <w:rFonts w:cs="Times New Roman"/>
        </w:rPr>
        <w:t>.</w:t>
      </w:r>
      <w:r w:rsidR="00154FA9">
        <w:rPr>
          <w:rFonts w:cs="Times New Roman"/>
        </w:rPr>
        <w:t xml:space="preserve"> </w:t>
      </w:r>
      <w:r w:rsidRPr="00B728EF">
        <w:rPr>
          <w:rFonts w:cs="Times New Roman"/>
        </w:rPr>
        <w:t xml:space="preserve"> The Court ultimately held that because the question of costs was located within the Canadian Human Rights Tribunal’s core function and expertise relating to its interpretation and application of its enabling statute, a reasonableness standard of review applied.</w:t>
      </w:r>
      <w:r w:rsidR="00154FA9">
        <w:rPr>
          <w:rFonts w:cs="Times New Roman"/>
        </w:rPr>
        <w:t xml:space="preserve"> </w:t>
      </w:r>
      <w:r w:rsidRPr="00B728EF">
        <w:rPr>
          <w:rFonts w:cs="Times New Roman"/>
        </w:rPr>
        <w:t xml:space="preserve"> As </w:t>
      </w:r>
      <w:proofErr w:type="spellStart"/>
      <w:r w:rsidRPr="00B728EF">
        <w:rPr>
          <w:rFonts w:cs="Times New Roman"/>
        </w:rPr>
        <w:t>LeBel</w:t>
      </w:r>
      <w:proofErr w:type="spellEnd"/>
      <w:r w:rsidRPr="00B728EF">
        <w:rPr>
          <w:rFonts w:cs="Times New Roman"/>
        </w:rPr>
        <w:t xml:space="preserve"> and Cromwell JJ. noted, “[</w:t>
      </w:r>
      <w:proofErr w:type="spellStart"/>
      <w:r w:rsidRPr="00B728EF">
        <w:rPr>
          <w:rFonts w:cs="Times New Roman"/>
        </w:rPr>
        <w:t>i</w:t>
      </w:r>
      <w:proofErr w:type="spellEnd"/>
      <w:r w:rsidRPr="00B728EF">
        <w:rPr>
          <w:rFonts w:cs="Times New Roman"/>
        </w:rPr>
        <w:t xml:space="preserve">]n the context of judicial review, deference can shield administrative decision makers from excessive judicial intervention even on certain questions of law as long as these questions are located within the decision makers’ core function and expertise”: </w:t>
      </w:r>
      <w:proofErr w:type="spellStart"/>
      <w:r w:rsidRPr="00B728EF">
        <w:rPr>
          <w:rFonts w:cs="Times New Roman"/>
        </w:rPr>
        <w:t>para</w:t>
      </w:r>
      <w:proofErr w:type="spellEnd"/>
      <w:r w:rsidRPr="00B728EF">
        <w:rPr>
          <w:rFonts w:cs="Times New Roman"/>
        </w:rPr>
        <w:t xml:space="preserve">. 30. </w:t>
      </w:r>
    </w:p>
    <w:p w:rsidR="00E35AE4" w:rsidRPr="00B728EF" w:rsidRDefault="00E35AE4" w:rsidP="00154FA9">
      <w:pPr>
        <w:pStyle w:val="ParaNoNdepar-AltN"/>
        <w:tabs>
          <w:tab w:val="clear" w:pos="1166"/>
          <w:tab w:val="num" w:pos="1152"/>
        </w:tabs>
        <w:rPr>
          <w:rFonts w:cs="Times New Roman"/>
        </w:rPr>
      </w:pPr>
      <w:r w:rsidRPr="00B728EF">
        <w:rPr>
          <w:rFonts w:cs="Times New Roman"/>
        </w:rPr>
        <w:t xml:space="preserve">The presumption of reasonableness to an administrative decision maker’s interpretation of its home statute or closely related legislation, even on questions of law, is therefore well established in this Court’s jurisprudence: see also </w:t>
      </w:r>
      <w:r w:rsidRPr="00B728EF">
        <w:rPr>
          <w:rFonts w:cs="Times New Roman"/>
          <w:i/>
        </w:rPr>
        <w:t>Canadian National Railway Co. v. Canada (Attorney General)</w:t>
      </w:r>
      <w:r w:rsidR="00882259">
        <w:rPr>
          <w:rFonts w:cs="Times New Roman"/>
        </w:rPr>
        <w:t>, [2014] 2 S.C.R. 135;</w:t>
      </w:r>
      <w:r w:rsidRPr="00B728EF">
        <w:rPr>
          <w:rFonts w:cs="Times New Roman"/>
        </w:rPr>
        <w:t xml:space="preserve"> </w:t>
      </w:r>
      <w:proofErr w:type="spellStart"/>
      <w:r w:rsidRPr="00B728EF">
        <w:rPr>
          <w:rFonts w:cs="Times New Roman"/>
          <w:i/>
        </w:rPr>
        <w:t>Agraira</w:t>
      </w:r>
      <w:proofErr w:type="spellEnd"/>
      <w:r w:rsidRPr="00B728EF">
        <w:rPr>
          <w:rFonts w:cs="Times New Roman"/>
          <w:i/>
        </w:rPr>
        <w:t xml:space="preserve"> v. Canada (Public Safety and Emergency Preparedness)</w:t>
      </w:r>
      <w:r w:rsidRPr="00B728EF">
        <w:rPr>
          <w:rFonts w:cs="Times New Roman"/>
        </w:rPr>
        <w:t xml:space="preserve">, [2013] 2 S.C.R. 559; </w:t>
      </w:r>
      <w:r w:rsidRPr="00B728EF">
        <w:rPr>
          <w:rFonts w:cs="Times New Roman"/>
          <w:i/>
        </w:rPr>
        <w:t>Nor-Man Regional Health Authority Inc. v. Manitoba Association of Health Care Professionals</w:t>
      </w:r>
      <w:r w:rsidRPr="00B728EF">
        <w:rPr>
          <w:rFonts w:cs="Times New Roman"/>
        </w:rPr>
        <w:t xml:space="preserve">, [2011] 3 S.C.R. 616; </w:t>
      </w:r>
      <w:proofErr w:type="spellStart"/>
      <w:r w:rsidRPr="00B728EF">
        <w:rPr>
          <w:rFonts w:cs="Times New Roman"/>
          <w:i/>
        </w:rPr>
        <w:t>Celgene</w:t>
      </w:r>
      <w:proofErr w:type="spellEnd"/>
      <w:r w:rsidRPr="00B728EF">
        <w:rPr>
          <w:rFonts w:cs="Times New Roman"/>
          <w:i/>
        </w:rPr>
        <w:t xml:space="preserve"> Corp. v. Canada (Attorney General)</w:t>
      </w:r>
      <w:r w:rsidRPr="00B728EF">
        <w:rPr>
          <w:rFonts w:cs="Times New Roman"/>
        </w:rPr>
        <w:t xml:space="preserve">, [2011] 1 S.C.R. 3; </w:t>
      </w:r>
      <w:r w:rsidRPr="00B728EF">
        <w:rPr>
          <w:rFonts w:cs="Times New Roman"/>
          <w:i/>
        </w:rPr>
        <w:t>Nolan v. Kerry (Canada) Inc.</w:t>
      </w:r>
      <w:r w:rsidRPr="00B728EF">
        <w:rPr>
          <w:rFonts w:cs="Times New Roman"/>
        </w:rPr>
        <w:t>, [2009] 2 S.C.R. 678</w:t>
      </w:r>
      <w:r w:rsidRPr="00B728EF">
        <w:rPr>
          <w:rFonts w:cs="Times New Roman"/>
          <w:i/>
        </w:rPr>
        <w:t>.</w:t>
      </w:r>
    </w:p>
    <w:p w:rsidR="00E35AE4" w:rsidRPr="00B728EF" w:rsidRDefault="00E35AE4" w:rsidP="00154FA9">
      <w:pPr>
        <w:pStyle w:val="ParaNoNdepar-AltN"/>
        <w:tabs>
          <w:tab w:val="clear" w:pos="1166"/>
          <w:tab w:val="num" w:pos="1152"/>
        </w:tabs>
        <w:rPr>
          <w:rFonts w:cs="Times New Roman"/>
        </w:rPr>
      </w:pPr>
      <w:r w:rsidRPr="00B728EF">
        <w:rPr>
          <w:rFonts w:cs="Times New Roman"/>
        </w:rPr>
        <w:lastRenderedPageBreak/>
        <w:t xml:space="preserve">It is true that this Court has recognized that certain categories of questions warrant a correctness review.  Rothstein J. set them out in </w:t>
      </w:r>
      <w:r w:rsidRPr="00B728EF">
        <w:rPr>
          <w:rFonts w:cs="Times New Roman"/>
          <w:i/>
        </w:rPr>
        <w:t>Alberta Teachers’</w:t>
      </w:r>
      <w:r>
        <w:rPr>
          <w:rFonts w:cs="Times New Roman"/>
          <w:i/>
        </w:rPr>
        <w:t xml:space="preserve"> </w:t>
      </w:r>
      <w:r w:rsidRPr="00B728EF">
        <w:rPr>
          <w:rFonts w:cs="Times New Roman"/>
          <w:i/>
        </w:rPr>
        <w:t>Association</w:t>
      </w:r>
      <w:r w:rsidRPr="00B728EF">
        <w:rPr>
          <w:rFonts w:cs="Times New Roman"/>
        </w:rPr>
        <w:t xml:space="preserve">, at </w:t>
      </w:r>
      <w:proofErr w:type="spellStart"/>
      <w:r w:rsidRPr="00B728EF">
        <w:rPr>
          <w:rFonts w:cs="Times New Roman"/>
        </w:rPr>
        <w:t>para</w:t>
      </w:r>
      <w:proofErr w:type="spellEnd"/>
      <w:r w:rsidRPr="00B728EF">
        <w:rPr>
          <w:rFonts w:cs="Times New Roman"/>
        </w:rPr>
        <w:t xml:space="preserve">. 30: </w:t>
      </w:r>
    </w:p>
    <w:p w:rsidR="00E35AE4" w:rsidRPr="00B728EF" w:rsidRDefault="00E35AE4" w:rsidP="00154FA9">
      <w:pPr>
        <w:pStyle w:val="Citation-AltC"/>
      </w:pPr>
      <w:r w:rsidRPr="00B728EF">
        <w:t>There is authority that “[d]</w:t>
      </w:r>
      <w:proofErr w:type="spellStart"/>
      <w:r w:rsidRPr="00B728EF">
        <w:t>eference</w:t>
      </w:r>
      <w:proofErr w:type="spellEnd"/>
      <w:r w:rsidRPr="00B728EF">
        <w:t xml:space="preserve"> will usually result where a tribunal is interpreting its own statute or statutes closely connected to its function, with which it will have particular familiarity” (</w:t>
      </w:r>
      <w:r w:rsidRPr="00B728EF">
        <w:rPr>
          <w:i/>
          <w:iCs/>
        </w:rPr>
        <w:t>Dunsmuir</w:t>
      </w:r>
      <w:r w:rsidRPr="00B728EF">
        <w:t xml:space="preserve">, at </w:t>
      </w:r>
      <w:proofErr w:type="spellStart"/>
      <w:r w:rsidRPr="00B728EF">
        <w:t>para</w:t>
      </w:r>
      <w:proofErr w:type="spellEnd"/>
      <w:r w:rsidRPr="00B728EF">
        <w:t xml:space="preserve">. 54; </w:t>
      </w:r>
      <w:r w:rsidRPr="00B728EF">
        <w:rPr>
          <w:i/>
          <w:iCs/>
        </w:rPr>
        <w:t>Smith v. Alliance Pipeline Ltd.</w:t>
      </w:r>
      <w:r w:rsidRPr="00B728EF">
        <w:t xml:space="preserve">, 2011 SCC 7, [2011] 1 S.C.R. 160, at </w:t>
      </w:r>
      <w:proofErr w:type="spellStart"/>
      <w:r w:rsidRPr="00B728EF">
        <w:t>para</w:t>
      </w:r>
      <w:proofErr w:type="spellEnd"/>
      <w:r w:rsidRPr="00B728EF">
        <w:t xml:space="preserve">. 28, </w:t>
      </w:r>
      <w:r w:rsidRPr="00B728EF">
        <w:rPr>
          <w:i/>
          <w:iCs/>
        </w:rPr>
        <w:t xml:space="preserve">per </w:t>
      </w:r>
      <w:r w:rsidRPr="00B728EF">
        <w:t xml:space="preserve">Fish J.). This principle applies unless the interpretation of the home statute falls into one of the categories of questions to which the correctness standard continues to apply, i.e., “constitutional questions, questions of law that are of central importance to the legal system as a whole and that are outside the adjudicator’s expertise, </w:t>
      </w:r>
      <w:r w:rsidR="00154FA9">
        <w:t>. . .</w:t>
      </w:r>
      <w:r w:rsidRPr="00B728EF">
        <w:t xml:space="preserve"> ‘[q]</w:t>
      </w:r>
      <w:proofErr w:type="spellStart"/>
      <w:r w:rsidRPr="00B728EF">
        <w:t>uestions</w:t>
      </w:r>
      <w:proofErr w:type="spellEnd"/>
      <w:r w:rsidRPr="00B728EF">
        <w:t xml:space="preserve"> regarding the jurisdictional lines between two or more competing specialized tribunals’ [and] true questions of jurisdiction or</w:t>
      </w:r>
      <w:r w:rsidRPr="00B728EF">
        <w:rPr>
          <w:i/>
          <w:iCs/>
        </w:rPr>
        <w:t xml:space="preserve"> </w:t>
      </w:r>
      <w:proofErr w:type="spellStart"/>
      <w:r w:rsidRPr="00B728EF">
        <w:rPr>
          <w:i/>
          <w:iCs/>
        </w:rPr>
        <w:t>vires</w:t>
      </w:r>
      <w:proofErr w:type="spellEnd"/>
      <w:r w:rsidRPr="00B728EF">
        <w:t>” (</w:t>
      </w:r>
      <w:r w:rsidRPr="00B728EF">
        <w:rPr>
          <w:i/>
          <w:iCs/>
        </w:rPr>
        <w:t>Canada (Canadian Human Rights Commission) v. Canada (Attorney General)</w:t>
      </w:r>
      <w:r w:rsidRPr="00B728EF">
        <w:t xml:space="preserve">,  2011 SCC 53, [2011] 3 S.C.R. 471, at </w:t>
      </w:r>
      <w:proofErr w:type="spellStart"/>
      <w:r w:rsidRPr="00B728EF">
        <w:t>para</w:t>
      </w:r>
      <w:proofErr w:type="spellEnd"/>
      <w:r w:rsidRPr="00B728EF">
        <w:t xml:space="preserve">. 18, </w:t>
      </w:r>
      <w:r w:rsidRPr="00B728EF">
        <w:rPr>
          <w:i/>
          <w:iCs/>
        </w:rPr>
        <w:t xml:space="preserve">per </w:t>
      </w:r>
      <w:proofErr w:type="spellStart"/>
      <w:r w:rsidRPr="00B728EF">
        <w:t>LeBel</w:t>
      </w:r>
      <w:proofErr w:type="spellEnd"/>
      <w:r w:rsidRPr="00B728EF">
        <w:t xml:space="preserve"> and Cromwell JJ., citing </w:t>
      </w:r>
      <w:r w:rsidRPr="00B728EF">
        <w:rPr>
          <w:i/>
          <w:iCs/>
        </w:rPr>
        <w:t>Dunsmuir</w:t>
      </w:r>
      <w:r w:rsidRPr="00B728EF">
        <w:t>,</w:t>
      </w:r>
      <w:r w:rsidRPr="00B728EF">
        <w:rPr>
          <w:i/>
          <w:iCs/>
        </w:rPr>
        <w:t xml:space="preserve"> </w:t>
      </w:r>
      <w:r w:rsidRPr="00B728EF">
        <w:t xml:space="preserve">at paras. 58, 60-61). </w:t>
      </w:r>
    </w:p>
    <w:p w:rsidR="00E35AE4" w:rsidRPr="00B728EF" w:rsidRDefault="00E35AE4" w:rsidP="00154FA9">
      <w:pPr>
        <w:pStyle w:val="ParaNoNdepar-AltN"/>
        <w:tabs>
          <w:tab w:val="clear" w:pos="1166"/>
          <w:tab w:val="num" w:pos="1152"/>
        </w:tabs>
        <w:rPr>
          <w:rFonts w:cs="Times New Roman"/>
        </w:rPr>
      </w:pPr>
      <w:r w:rsidRPr="00B728EF">
        <w:rPr>
          <w:rFonts w:cs="Times New Roman"/>
        </w:rPr>
        <w:t xml:space="preserve">Notably, a statutory right of appeal is not one of them. </w:t>
      </w:r>
    </w:p>
    <w:p w:rsidR="00E35AE4" w:rsidRPr="00B728EF" w:rsidRDefault="00E35AE4" w:rsidP="00154FA9">
      <w:pPr>
        <w:pStyle w:val="ParaNoNdepar-AltN"/>
        <w:tabs>
          <w:tab w:val="clear" w:pos="1166"/>
          <w:tab w:val="num" w:pos="1152"/>
        </w:tabs>
        <w:rPr>
          <w:rFonts w:cs="Times New Roman"/>
        </w:rPr>
      </w:pPr>
      <w:r w:rsidRPr="00B728EF">
        <w:rPr>
          <w:rFonts w:cs="Times New Roman"/>
        </w:rPr>
        <w:t xml:space="preserve">While the statutory language granting the right of appeal in this case may be different from the language in </w:t>
      </w:r>
      <w:proofErr w:type="spellStart"/>
      <w:r w:rsidRPr="00B728EF">
        <w:rPr>
          <w:rFonts w:cs="Times New Roman"/>
          <w:i/>
        </w:rPr>
        <w:t>Pezim</w:t>
      </w:r>
      <w:proofErr w:type="spellEnd"/>
      <w:r w:rsidRPr="00B728EF">
        <w:rPr>
          <w:rFonts w:cs="Times New Roman"/>
        </w:rPr>
        <w:t xml:space="preserve">, </w:t>
      </w:r>
      <w:r w:rsidRPr="00B728EF">
        <w:rPr>
          <w:rFonts w:cs="Times New Roman"/>
          <w:i/>
        </w:rPr>
        <w:t>McLean</w:t>
      </w:r>
      <w:r w:rsidRPr="00B728EF">
        <w:rPr>
          <w:rFonts w:cs="Times New Roman"/>
        </w:rPr>
        <w:t xml:space="preserve"> and </w:t>
      </w:r>
      <w:r w:rsidRPr="00B728EF">
        <w:rPr>
          <w:rFonts w:cs="Times New Roman"/>
          <w:i/>
        </w:rPr>
        <w:t>Smith</w:t>
      </w:r>
      <w:r w:rsidRPr="00B728EF">
        <w:rPr>
          <w:rFonts w:cs="Times New Roman"/>
        </w:rPr>
        <w:t>, it is not sufficiently different to undermine the established principle of deference to tribunal expertise in the interpretation of the tribunal’s own statute. Using such language to trump the deference owed to tribunal expertise, elevates the factor of statutory language to a pre</w:t>
      </w:r>
      <w:r w:rsidR="00536AF5">
        <w:rPr>
          <w:rFonts w:cs="Times New Roman"/>
        </w:rPr>
        <w:t>-</w:t>
      </w:r>
      <w:r w:rsidRPr="00B728EF">
        <w:rPr>
          <w:rFonts w:cs="Times New Roman"/>
        </w:rPr>
        <w:t>eminent and determinative status we have long denied it.</w:t>
      </w:r>
      <w:r w:rsidR="00154FA9">
        <w:rPr>
          <w:rFonts w:cs="Times New Roman"/>
        </w:rPr>
        <w:t xml:space="preserve"> </w:t>
      </w:r>
      <w:r w:rsidRPr="00B728EF">
        <w:rPr>
          <w:rFonts w:cs="Times New Roman"/>
        </w:rPr>
        <w:t xml:space="preserve"> I see nothing, in other words, that warrants departing from what the legal profession has come to see as our governing template for reviewing the decisions of specialized expert tribunals on a reasonableness standard, most recently on muscular display in </w:t>
      </w:r>
      <w:proofErr w:type="spellStart"/>
      <w:r w:rsidRPr="00B728EF">
        <w:rPr>
          <w:rFonts w:cs="Times New Roman"/>
          <w:i/>
        </w:rPr>
        <w:t>Sattva</w:t>
      </w:r>
      <w:proofErr w:type="spellEnd"/>
      <w:r w:rsidRPr="00B728EF">
        <w:rPr>
          <w:rFonts w:cs="Times New Roman"/>
          <w:i/>
        </w:rPr>
        <w:t xml:space="preserve"> Capital Corp. v. Creston </w:t>
      </w:r>
      <w:proofErr w:type="spellStart"/>
      <w:r w:rsidRPr="00B728EF">
        <w:rPr>
          <w:rFonts w:cs="Times New Roman"/>
          <w:i/>
        </w:rPr>
        <w:t>Moly</w:t>
      </w:r>
      <w:proofErr w:type="spellEnd"/>
      <w:r w:rsidRPr="00B728EF">
        <w:rPr>
          <w:rFonts w:cs="Times New Roman"/>
          <w:i/>
        </w:rPr>
        <w:t xml:space="preserve"> Corp.</w:t>
      </w:r>
      <w:r w:rsidRPr="00B728EF">
        <w:rPr>
          <w:rFonts w:cs="Times New Roman"/>
        </w:rPr>
        <w:t xml:space="preserve">, [2014] 2 S.C.R. 633.  </w:t>
      </w:r>
    </w:p>
    <w:p w:rsidR="00E35AE4" w:rsidRDefault="00E35AE4" w:rsidP="00154FA9">
      <w:pPr>
        <w:pStyle w:val="ParaNoNdepar-AltN"/>
        <w:tabs>
          <w:tab w:val="clear" w:pos="1166"/>
          <w:tab w:val="num" w:pos="1152"/>
        </w:tabs>
      </w:pPr>
      <w:r w:rsidRPr="00B728EF">
        <w:rPr>
          <w:rFonts w:cs="Times New Roman"/>
        </w:rPr>
        <w:lastRenderedPageBreak/>
        <w:t xml:space="preserve">In this case, applying that template leads to the conclusion that the Competition Tribunal’s interpretation of s. 96 of the </w:t>
      </w:r>
      <w:r w:rsidRPr="00B728EF">
        <w:rPr>
          <w:rFonts w:cs="Times New Roman"/>
          <w:i/>
        </w:rPr>
        <w:t>Competition Act</w:t>
      </w:r>
      <w:r w:rsidRPr="00B728EF">
        <w:rPr>
          <w:rFonts w:cs="Times New Roman"/>
        </w:rPr>
        <w:t>,</w:t>
      </w:r>
      <w:r w:rsidRPr="00B728EF">
        <w:rPr>
          <w:rFonts w:cs="Times New Roman"/>
          <w:i/>
        </w:rPr>
        <w:t xml:space="preserve"> </w:t>
      </w:r>
      <w:r w:rsidRPr="00B728EF">
        <w:rPr>
          <w:rFonts w:cs="Times New Roman"/>
        </w:rPr>
        <w:t>R.S.C. 1985, c. C-34, was unreasonable. I would allow the appeal.</w:t>
      </w:r>
      <w:r w:rsidRPr="0046285A">
        <w:t xml:space="preserve"> </w:t>
      </w:r>
    </w:p>
    <w:p w:rsidR="00536AF5" w:rsidRPr="00536AF5" w:rsidRDefault="00536AF5" w:rsidP="00154FA9">
      <w:pPr>
        <w:pStyle w:val="JudgeJuge"/>
        <w:outlineLvl w:val="0"/>
        <w:rPr>
          <w:smallCaps w:val="0"/>
        </w:rPr>
      </w:pPr>
      <w:r>
        <w:rPr>
          <w:smallCaps w:val="0"/>
        </w:rPr>
        <w:tab/>
      </w:r>
      <w:r w:rsidRPr="00536AF5">
        <w:rPr>
          <w:smallCaps w:val="0"/>
        </w:rPr>
        <w:t>The following are the reasons delivered by</w:t>
      </w:r>
    </w:p>
    <w:p w:rsidR="00E35AE4" w:rsidRPr="0046285A" w:rsidRDefault="00536AF5" w:rsidP="00154FA9">
      <w:pPr>
        <w:pStyle w:val="ParaNoNdepar-AltN"/>
        <w:tabs>
          <w:tab w:val="clear" w:pos="1166"/>
          <w:tab w:val="num" w:pos="1152"/>
        </w:tabs>
      </w:pPr>
      <w:proofErr w:type="spellStart"/>
      <w:r w:rsidRPr="00536AF5">
        <w:rPr>
          <w:smallCaps/>
        </w:rPr>
        <w:t>Karakatsanis</w:t>
      </w:r>
      <w:proofErr w:type="spellEnd"/>
      <w:r w:rsidRPr="00536AF5">
        <w:rPr>
          <w:smallCaps/>
        </w:rPr>
        <w:t xml:space="preserve"> J.</w:t>
      </w:r>
      <w:r w:rsidR="00B70EBB" w:rsidRPr="00B70EBB">
        <w:t xml:space="preserve"> (dissenting)</w:t>
      </w:r>
      <w:r w:rsidRPr="00B70EBB">
        <w:t xml:space="preserve"> </w:t>
      </w:r>
      <w:r>
        <w:rPr>
          <w:rFonts w:cs="Times New Roman"/>
        </w:rPr>
        <w:t>—</w:t>
      </w:r>
      <w:r>
        <w:t xml:space="preserve"> </w:t>
      </w:r>
      <w:r w:rsidR="00E35AE4" w:rsidRPr="0046285A">
        <w:t xml:space="preserve">I agree with the reasons of my colleague Justice Rothstein as they concern the proper analytical approach to s. 92(1) of the </w:t>
      </w:r>
      <w:r w:rsidR="00E35AE4" w:rsidRPr="0046285A">
        <w:rPr>
          <w:i/>
        </w:rPr>
        <w:t>Competition Act</w:t>
      </w:r>
      <w:r w:rsidR="00E35AE4" w:rsidRPr="0046285A">
        <w:t>, R.S.C. 1985, c. C-34.  I further agree with his conclusion that it was open to the Competition Tribunal to find that the merger in this case was likely to substantially prevent competition contrary to s. 92(1).</w:t>
      </w:r>
    </w:p>
    <w:p w:rsidR="00E35AE4" w:rsidRPr="0046285A" w:rsidRDefault="00E35AE4" w:rsidP="00154FA9">
      <w:pPr>
        <w:pStyle w:val="ParaNoNdepar-AltN"/>
        <w:tabs>
          <w:tab w:val="clear" w:pos="1166"/>
          <w:tab w:val="num" w:pos="1152"/>
        </w:tabs>
        <w:spacing w:before="240"/>
        <w:rPr>
          <w:rFonts w:cs="Times New Roman"/>
        </w:rPr>
      </w:pPr>
      <w:r w:rsidRPr="0046285A">
        <w:rPr>
          <w:rFonts w:cs="Times New Roman"/>
        </w:rPr>
        <w:t xml:space="preserve">However, I cannot agree with my colleague’s approach to the s. 96 efficiencies defence and his conclusion that </w:t>
      </w:r>
      <w:proofErr w:type="spellStart"/>
      <w:r w:rsidRPr="0046285A">
        <w:rPr>
          <w:rFonts w:cs="Times New Roman"/>
        </w:rPr>
        <w:t>Tervita</w:t>
      </w:r>
      <w:proofErr w:type="spellEnd"/>
      <w:r w:rsidRPr="0046285A">
        <w:rPr>
          <w:rFonts w:cs="Times New Roman"/>
        </w:rPr>
        <w:t xml:space="preserve"> was entitled to the benefit of that defence in this case.  I would affirm the decision and the analysis of the Federal Court of Appeal</w:t>
      </w:r>
      <w:r>
        <w:rPr>
          <w:rFonts w:cs="Times New Roman"/>
        </w:rPr>
        <w:t xml:space="preserve">, 2013 FCA 28, </w:t>
      </w:r>
      <w:r w:rsidR="00536AF5">
        <w:rPr>
          <w:rFonts w:cs="Times New Roman"/>
        </w:rPr>
        <w:t>[2014] 2 F.C.R. 352</w:t>
      </w:r>
      <w:r>
        <w:rPr>
          <w:rFonts w:cs="Times New Roman"/>
        </w:rPr>
        <w:t xml:space="preserve">, </w:t>
      </w:r>
      <w:r w:rsidRPr="0046285A">
        <w:rPr>
          <w:rFonts w:cs="Times New Roman"/>
        </w:rPr>
        <w:t>in that regard.</w:t>
      </w:r>
    </w:p>
    <w:p w:rsidR="00E35AE4" w:rsidRPr="0046285A" w:rsidRDefault="00E35AE4" w:rsidP="00154FA9">
      <w:pPr>
        <w:pStyle w:val="ParaNoNdepar-AltN"/>
        <w:tabs>
          <w:tab w:val="clear" w:pos="1166"/>
          <w:tab w:val="num" w:pos="1152"/>
        </w:tabs>
        <w:spacing w:before="240"/>
        <w:rPr>
          <w:rFonts w:cs="Times New Roman"/>
        </w:rPr>
      </w:pPr>
      <w:r w:rsidRPr="0046285A">
        <w:rPr>
          <w:rFonts w:cs="Times New Roman"/>
          <w:bCs/>
        </w:rPr>
        <w:t>The efficiencies defence set out in s</w:t>
      </w:r>
      <w:r>
        <w:rPr>
          <w:rFonts w:cs="Times New Roman"/>
          <w:bCs/>
        </w:rPr>
        <w:t xml:space="preserve">. </w:t>
      </w:r>
      <w:r w:rsidRPr="0046285A">
        <w:rPr>
          <w:rFonts w:cs="Times New Roman"/>
          <w:bCs/>
        </w:rPr>
        <w:t xml:space="preserve">96(1) of the </w:t>
      </w:r>
      <w:r w:rsidRPr="0046285A">
        <w:rPr>
          <w:rFonts w:cs="Times New Roman"/>
          <w:bCs/>
          <w:i/>
        </w:rPr>
        <w:t xml:space="preserve">Competition Act </w:t>
      </w:r>
      <w:r w:rsidRPr="0046285A">
        <w:rPr>
          <w:rFonts w:cs="Times New Roman"/>
          <w:bCs/>
        </w:rPr>
        <w:t>requires the Tribunal to balance the efficiencies of the merger against its anti-competitive effects:</w:t>
      </w:r>
    </w:p>
    <w:p w:rsidR="00E35AE4" w:rsidRPr="0046285A" w:rsidRDefault="00E35AE4" w:rsidP="00154FA9">
      <w:pPr>
        <w:pStyle w:val="Citation-AltC"/>
        <w:ind w:firstLine="274"/>
      </w:pPr>
      <w:r w:rsidRPr="0046285A">
        <w:rPr>
          <w:b/>
          <w:bCs/>
        </w:rPr>
        <w:t xml:space="preserve">96. </w:t>
      </w:r>
      <w:r w:rsidRPr="0046285A">
        <w:t xml:space="preserve">(1) The Tribunal shall not make an order under section 92 if it finds that the merger or proposed merger in respect of which the application is made has brought about or is likely to bring about </w:t>
      </w:r>
      <w:r w:rsidRPr="0046285A">
        <w:rPr>
          <w:u w:val="single"/>
        </w:rPr>
        <w:t>gains in efficiency that will be greater than, and will offset, the effects of any prevention or lessening of competition</w:t>
      </w:r>
      <w:r w:rsidRPr="0046285A">
        <w:t xml:space="preserve"> that will result or is likely to result from the merger or proposed merger and that the gains in efficiency would not likely be attained if the order were made.</w:t>
      </w:r>
    </w:p>
    <w:p w:rsidR="00E35AE4" w:rsidRPr="0046285A" w:rsidRDefault="00E35AE4" w:rsidP="00154FA9">
      <w:pPr>
        <w:pStyle w:val="ParaNoNdepar-AltN"/>
        <w:tabs>
          <w:tab w:val="clear" w:pos="1166"/>
          <w:tab w:val="num" w:pos="1152"/>
        </w:tabs>
        <w:rPr>
          <w:rFonts w:cs="Times New Roman"/>
        </w:rPr>
      </w:pPr>
      <w:r w:rsidRPr="0046285A">
        <w:rPr>
          <w:rFonts w:cs="Times New Roman"/>
        </w:rPr>
        <w:lastRenderedPageBreak/>
        <w:t xml:space="preserve">The </w:t>
      </w:r>
      <w:r>
        <w:rPr>
          <w:rFonts w:cs="Times New Roman"/>
        </w:rPr>
        <w:t xml:space="preserve">Federal </w:t>
      </w:r>
      <w:r w:rsidRPr="0046285A">
        <w:rPr>
          <w:rFonts w:cs="Times New Roman"/>
        </w:rPr>
        <w:t xml:space="preserve">Court of Appeal and Justice Rothstein concluded, rightly in my view, that the statutory requirement that efficiency gains be “greater than” and “offset” the anti-competitive effects imports a weighing of quantitative and qualitative aspects.  The Tribunal has the discretion to decide what methodology to apply on a case-by-case basis, so long as the various objectives of the </w:t>
      </w:r>
      <w:r w:rsidRPr="007A77C9">
        <w:rPr>
          <w:rFonts w:cs="Times New Roman"/>
        </w:rPr>
        <w:t>Act</w:t>
      </w:r>
      <w:r w:rsidRPr="0046285A">
        <w:rPr>
          <w:rFonts w:cs="Times New Roman"/>
        </w:rPr>
        <w:t xml:space="preserve"> are taken into account.  Section 96 provides for flexible trade-off analysis, in order to meet the various objectives of the </w:t>
      </w:r>
      <w:r w:rsidRPr="007A77C9">
        <w:rPr>
          <w:rFonts w:cs="Times New Roman"/>
        </w:rPr>
        <w:t>Act</w:t>
      </w:r>
      <w:r w:rsidRPr="0046285A">
        <w:rPr>
          <w:rFonts w:cs="Times New Roman"/>
        </w:rPr>
        <w:t>.  Efficiencies and effects should be quantified wherever reasonably possible; rough estimates should be provided where precise quantification is not possible</w:t>
      </w:r>
      <w:r>
        <w:rPr>
          <w:rFonts w:cs="Times New Roman"/>
        </w:rPr>
        <w:t>;</w:t>
      </w:r>
      <w:r w:rsidRPr="0046285A">
        <w:rPr>
          <w:rFonts w:cs="Times New Roman"/>
        </w:rPr>
        <w:t xml:space="preserve"> and the assessment of qualitative effects should be objectively reasonable, supported by evidence and clear reasoning.  (See Rothstein J.</w:t>
      </w:r>
      <w:r>
        <w:rPr>
          <w:rFonts w:cs="Times New Roman"/>
        </w:rPr>
        <w:t>’s</w:t>
      </w:r>
      <w:r w:rsidRPr="0046285A">
        <w:rPr>
          <w:rFonts w:cs="Times New Roman"/>
        </w:rPr>
        <w:t xml:space="preserve"> reasons</w:t>
      </w:r>
      <w:r>
        <w:rPr>
          <w:rFonts w:cs="Times New Roman"/>
        </w:rPr>
        <w:t>,</w:t>
      </w:r>
      <w:r w:rsidRPr="0046285A">
        <w:rPr>
          <w:rFonts w:cs="Times New Roman"/>
        </w:rPr>
        <w:t xml:space="preserve"> at paras. 14</w:t>
      </w:r>
      <w:r>
        <w:rPr>
          <w:rFonts w:cs="Times New Roman"/>
        </w:rPr>
        <w:t>4</w:t>
      </w:r>
      <w:r w:rsidR="00F72ECB">
        <w:rPr>
          <w:rFonts w:cs="Times New Roman"/>
        </w:rPr>
        <w:t>-</w:t>
      </w:r>
      <w:r w:rsidRPr="0046285A">
        <w:rPr>
          <w:rFonts w:cs="Times New Roman"/>
        </w:rPr>
        <w:t>4</w:t>
      </w:r>
      <w:r>
        <w:rPr>
          <w:rFonts w:cs="Times New Roman"/>
        </w:rPr>
        <w:t>5 and 148</w:t>
      </w:r>
      <w:r w:rsidRPr="0046285A">
        <w:rPr>
          <w:rFonts w:cs="Times New Roman"/>
        </w:rPr>
        <w:t>; F.C.A.</w:t>
      </w:r>
      <w:r>
        <w:rPr>
          <w:rFonts w:cs="Times New Roman"/>
        </w:rPr>
        <w:t xml:space="preserve"> reasons</w:t>
      </w:r>
      <w:r w:rsidRPr="0046285A">
        <w:rPr>
          <w:rFonts w:cs="Times New Roman"/>
        </w:rPr>
        <w:t>, at paras. 146</w:t>
      </w:r>
      <w:r>
        <w:rPr>
          <w:rFonts w:cs="Times New Roman"/>
        </w:rPr>
        <w:t xml:space="preserve"> and</w:t>
      </w:r>
      <w:r w:rsidRPr="0046285A">
        <w:rPr>
          <w:rFonts w:cs="Times New Roman"/>
        </w:rPr>
        <w:t xml:space="preserve"> 148.)</w:t>
      </w:r>
    </w:p>
    <w:p w:rsidR="00E35AE4" w:rsidRPr="0046285A" w:rsidRDefault="00E35AE4" w:rsidP="00154FA9">
      <w:pPr>
        <w:pStyle w:val="ParaNoNdepar-AltN"/>
        <w:tabs>
          <w:tab w:val="clear" w:pos="1166"/>
          <w:tab w:val="num" w:pos="1152"/>
        </w:tabs>
        <w:rPr>
          <w:rFonts w:cs="Times New Roman"/>
        </w:rPr>
      </w:pPr>
      <w:r w:rsidRPr="0046285A">
        <w:rPr>
          <w:rFonts w:cs="Times New Roman"/>
        </w:rPr>
        <w:t xml:space="preserve">However, I do not agree that the need for </w:t>
      </w:r>
      <w:r>
        <w:rPr>
          <w:rFonts w:cs="Times New Roman"/>
        </w:rPr>
        <w:t>“</w:t>
      </w:r>
      <w:r w:rsidRPr="0046285A">
        <w:rPr>
          <w:rFonts w:cs="Times New Roman"/>
        </w:rPr>
        <w:t>reasonable objectivity</w:t>
      </w:r>
      <w:r>
        <w:rPr>
          <w:rFonts w:cs="Times New Roman"/>
        </w:rPr>
        <w:t>”</w:t>
      </w:r>
      <w:r w:rsidRPr="0046285A">
        <w:rPr>
          <w:rFonts w:cs="Times New Roman"/>
        </w:rPr>
        <w:t xml:space="preserve"> justifies Justice Rothstein’s hierarchical approach to quantitative and qualitative aspects under the efficiencies defence.  Nor do I accept his assessment that “qualitative effects will be of lesser importance” (</w:t>
      </w:r>
      <w:proofErr w:type="spellStart"/>
      <w:r w:rsidRPr="0046285A">
        <w:rPr>
          <w:rFonts w:cs="Times New Roman"/>
        </w:rPr>
        <w:t>para</w:t>
      </w:r>
      <w:proofErr w:type="spellEnd"/>
      <w:r w:rsidRPr="0046285A">
        <w:rPr>
          <w:rFonts w:cs="Times New Roman"/>
        </w:rPr>
        <w:t>. 14</w:t>
      </w:r>
      <w:r>
        <w:rPr>
          <w:rFonts w:cs="Times New Roman"/>
        </w:rPr>
        <w:t>6</w:t>
      </w:r>
      <w:r w:rsidRPr="0046285A">
        <w:rPr>
          <w:rFonts w:cs="Times New Roman"/>
        </w:rPr>
        <w:t>; see also paras. 14</w:t>
      </w:r>
      <w:r>
        <w:rPr>
          <w:rFonts w:cs="Times New Roman"/>
        </w:rPr>
        <w:t>7</w:t>
      </w:r>
      <w:r w:rsidRPr="0046285A">
        <w:rPr>
          <w:rFonts w:cs="Times New Roman"/>
        </w:rPr>
        <w:t>-4</w:t>
      </w:r>
      <w:r>
        <w:rPr>
          <w:rFonts w:cs="Times New Roman"/>
        </w:rPr>
        <w:t>8</w:t>
      </w:r>
      <w:r w:rsidRPr="0046285A">
        <w:rPr>
          <w:rFonts w:cs="Times New Roman"/>
        </w:rPr>
        <w:t>).  I see no value in prioritizing quantitative over qualitative efficiencies.  Both are relevant to the statutory test, and their significance depends on the circumstances of the case.</w:t>
      </w:r>
    </w:p>
    <w:p w:rsidR="00E35AE4" w:rsidRPr="0046285A" w:rsidRDefault="00E35AE4" w:rsidP="00154FA9">
      <w:pPr>
        <w:pStyle w:val="ParaNoNdepar-AltN"/>
        <w:tabs>
          <w:tab w:val="clear" w:pos="1166"/>
          <w:tab w:val="num" w:pos="1152"/>
        </w:tabs>
        <w:rPr>
          <w:rFonts w:cs="Times New Roman"/>
        </w:rPr>
      </w:pPr>
      <w:r w:rsidRPr="0046285A">
        <w:rPr>
          <w:rFonts w:cs="Times New Roman"/>
        </w:rPr>
        <w:t xml:space="preserve">The statutory language makes no such distinction.  Moreover, many of the purposes set out in </w:t>
      </w:r>
      <w:r>
        <w:rPr>
          <w:rFonts w:cs="Times New Roman"/>
        </w:rPr>
        <w:t>s.</w:t>
      </w:r>
      <w:r w:rsidRPr="0046285A">
        <w:rPr>
          <w:rFonts w:cs="Times New Roman"/>
        </w:rPr>
        <w:t xml:space="preserve"> 1.1 of the </w:t>
      </w:r>
      <w:r w:rsidRPr="00AE6163">
        <w:rPr>
          <w:rFonts w:cs="Times New Roman"/>
        </w:rPr>
        <w:t>Act</w:t>
      </w:r>
      <w:r w:rsidRPr="0046285A">
        <w:rPr>
          <w:rFonts w:cs="Times New Roman"/>
        </w:rPr>
        <w:t xml:space="preserve"> may not be quantifiable.  These purposes include not only providing consumers with competitive prices and products, but also promoting adaptability of the Canadian economy, expanding opportunities for Canadian businesses abroad, recognizing the value of foreign competition in Canada, </w:t>
      </w:r>
      <w:r w:rsidRPr="0046285A">
        <w:rPr>
          <w:rFonts w:cs="Times New Roman"/>
        </w:rPr>
        <w:lastRenderedPageBreak/>
        <w:t>and ensuring that businesses of all sizes are able to participate fully in the Canadian economy.</w:t>
      </w:r>
    </w:p>
    <w:p w:rsidR="00E35AE4" w:rsidRPr="0046285A" w:rsidRDefault="00E35AE4" w:rsidP="00154FA9">
      <w:pPr>
        <w:pStyle w:val="ParaNoNdepar-AltN"/>
        <w:tabs>
          <w:tab w:val="clear" w:pos="1166"/>
          <w:tab w:val="num" w:pos="1152"/>
        </w:tabs>
        <w:rPr>
          <w:rFonts w:cs="Times New Roman"/>
        </w:rPr>
      </w:pPr>
      <w:r w:rsidRPr="0046285A">
        <w:rPr>
          <w:rFonts w:cs="Times New Roman"/>
        </w:rPr>
        <w:t xml:space="preserve">These wide-ranging purposes illustrate that important anti-competitive effects of a merger may be qualitative in nature.  In some cases, such qualitative effects may be determinative in the s. 96 analysis.  Thus, the flexible analytical approach mandated by this provision reflects the wide range of objectives the </w:t>
      </w:r>
      <w:r w:rsidRPr="006C3E65">
        <w:rPr>
          <w:rFonts w:cs="Times New Roman"/>
        </w:rPr>
        <w:t>Act</w:t>
      </w:r>
      <w:r w:rsidRPr="0046285A">
        <w:rPr>
          <w:rFonts w:cs="Times New Roman"/>
        </w:rPr>
        <w:t xml:space="preserve"> serves.  Where the legislation mandates such a purposive analysis, the relative significance of qualitative and quantitative gains or effects can only be determined in the circumstances of each case.  It is neither helpful nor necessary to </w:t>
      </w:r>
      <w:r>
        <w:rPr>
          <w:rFonts w:cs="Times New Roman"/>
        </w:rPr>
        <w:t>predetermine</w:t>
      </w:r>
      <w:r w:rsidRPr="0046285A">
        <w:rPr>
          <w:rFonts w:cs="Times New Roman"/>
        </w:rPr>
        <w:t xml:space="preserve"> their relative role and importance in the s. 96 defence.</w:t>
      </w:r>
    </w:p>
    <w:p w:rsidR="00E35AE4" w:rsidRPr="0046285A" w:rsidRDefault="00E35AE4" w:rsidP="00154FA9">
      <w:pPr>
        <w:pStyle w:val="ParaNoNdepar-AltN"/>
        <w:tabs>
          <w:tab w:val="clear" w:pos="1166"/>
          <w:tab w:val="num" w:pos="1152"/>
        </w:tabs>
        <w:rPr>
          <w:rFonts w:cs="Times New Roman"/>
        </w:rPr>
      </w:pPr>
      <w:r w:rsidRPr="0046285A">
        <w:rPr>
          <w:rFonts w:cs="Times New Roman"/>
        </w:rPr>
        <w:t>Justice Rothstein, however, frames the balancing test in s.</w:t>
      </w:r>
      <w:r>
        <w:rPr>
          <w:rFonts w:cs="Times New Roman"/>
        </w:rPr>
        <w:t xml:space="preserve"> </w:t>
      </w:r>
      <w:r w:rsidRPr="0046285A">
        <w:rPr>
          <w:rFonts w:cs="Times New Roman"/>
        </w:rPr>
        <w:t xml:space="preserve">96 as a two-step inquiry.  First, he says, the quantitative efficiencies of the merger at issue should be compared against the quantitative anti-competitive effects (the </w:t>
      </w:r>
      <w:r>
        <w:rPr>
          <w:rFonts w:cs="Times New Roman"/>
        </w:rPr>
        <w:t>“</w:t>
      </w:r>
      <w:r w:rsidRPr="0046285A">
        <w:rPr>
          <w:rFonts w:cs="Times New Roman"/>
        </w:rPr>
        <w:t>greater than</w:t>
      </w:r>
      <w:r>
        <w:rPr>
          <w:rFonts w:cs="Times New Roman"/>
        </w:rPr>
        <w:t>”</w:t>
      </w:r>
      <w:r w:rsidRPr="0046285A">
        <w:rPr>
          <w:rFonts w:cs="Times New Roman"/>
        </w:rPr>
        <w:t xml:space="preserve"> prong of the s. 96 inquiry).  Second, qualitative efficiencies should be balanced against the qualitative anti-competitive effects, and a final determination must be made as to whether the total efficiencies offset the total anti-competitive effects of the merger at issue (the </w:t>
      </w:r>
      <w:r>
        <w:rPr>
          <w:rFonts w:cs="Times New Roman"/>
        </w:rPr>
        <w:t>“</w:t>
      </w:r>
      <w:r w:rsidRPr="0046285A">
        <w:rPr>
          <w:rFonts w:cs="Times New Roman"/>
        </w:rPr>
        <w:t>offset</w:t>
      </w:r>
      <w:r>
        <w:rPr>
          <w:rFonts w:cs="Times New Roman"/>
        </w:rPr>
        <w:t>”</w:t>
      </w:r>
      <w:r w:rsidRPr="0046285A">
        <w:rPr>
          <w:rFonts w:cs="Times New Roman"/>
        </w:rPr>
        <w:t xml:space="preserve"> prong of the inquiry) (paras. 14</w:t>
      </w:r>
      <w:r>
        <w:rPr>
          <w:rFonts w:cs="Times New Roman"/>
        </w:rPr>
        <w:t>7</w:t>
      </w:r>
      <w:r w:rsidR="002529A8">
        <w:rPr>
          <w:rFonts w:cs="Times New Roman"/>
        </w:rPr>
        <w:t>-</w:t>
      </w:r>
      <w:r w:rsidRPr="0046285A">
        <w:rPr>
          <w:rFonts w:cs="Times New Roman"/>
        </w:rPr>
        <w:t>4</w:t>
      </w:r>
      <w:r>
        <w:rPr>
          <w:rFonts w:cs="Times New Roman"/>
        </w:rPr>
        <w:t>8</w:t>
      </w:r>
      <w:r w:rsidRPr="0046285A">
        <w:rPr>
          <w:rFonts w:cs="Times New Roman"/>
        </w:rPr>
        <w:t>).</w:t>
      </w:r>
    </w:p>
    <w:p w:rsidR="00E35AE4" w:rsidRPr="0046285A" w:rsidRDefault="00E35AE4" w:rsidP="00154FA9">
      <w:pPr>
        <w:pStyle w:val="ParaNoNdepar-AltN"/>
        <w:tabs>
          <w:tab w:val="clear" w:pos="1166"/>
          <w:tab w:val="num" w:pos="1152"/>
        </w:tabs>
        <w:rPr>
          <w:rFonts w:cs="Times New Roman"/>
        </w:rPr>
      </w:pPr>
      <w:r w:rsidRPr="0046285A">
        <w:rPr>
          <w:rFonts w:cs="Times New Roman"/>
        </w:rPr>
        <w:t>I do not read s. 96 as mandating a two-step framework that separates quantitative and qualitative efficiencies and anti-competitive effects.  Such an approach is unnecessarily artificial and not required by the statutory language or context.</w:t>
      </w:r>
      <w:r>
        <w:rPr>
          <w:rFonts w:cs="Times New Roman"/>
        </w:rPr>
        <w:t xml:space="preserve"> </w:t>
      </w:r>
      <w:r w:rsidRPr="0046285A">
        <w:rPr>
          <w:rFonts w:cs="Times New Roman"/>
        </w:rPr>
        <w:t xml:space="preserve"> Presumably Justice Rothstein’s “final determination” assesses whether the (quantitative and qualitative) gains in efficiencies will be </w:t>
      </w:r>
      <w:r w:rsidRPr="00196F84">
        <w:rPr>
          <w:rFonts w:cs="Times New Roman"/>
          <w:i/>
        </w:rPr>
        <w:t>greater than</w:t>
      </w:r>
      <w:r w:rsidRPr="0046285A">
        <w:rPr>
          <w:rFonts w:cs="Times New Roman"/>
        </w:rPr>
        <w:t xml:space="preserve">, and will </w:t>
      </w:r>
      <w:r w:rsidRPr="00196F84">
        <w:rPr>
          <w:rFonts w:cs="Times New Roman"/>
          <w:i/>
        </w:rPr>
        <w:t>offset</w:t>
      </w:r>
      <w:r w:rsidRPr="0046285A">
        <w:rPr>
          <w:rFonts w:cs="Times New Roman"/>
        </w:rPr>
        <w:t xml:space="preserve">, </w:t>
      </w:r>
      <w:r w:rsidRPr="0046285A">
        <w:rPr>
          <w:rFonts w:cs="Times New Roman"/>
        </w:rPr>
        <w:lastRenderedPageBreak/>
        <w:t>the (quantitative and qualitative) anti-competitive effects of the merger.  This is precisely what is required by the language of s. 96.  The first two steps are superfluous.  In any event, the expert Tribunal is best positioned to identify instances where like factors should be compared, as well as circumstances where this would not be as effective.</w:t>
      </w:r>
    </w:p>
    <w:p w:rsidR="00E35AE4" w:rsidRPr="0046285A" w:rsidRDefault="00E35AE4" w:rsidP="00154FA9">
      <w:pPr>
        <w:pStyle w:val="ParaNoNdepar-AltN"/>
        <w:tabs>
          <w:tab w:val="clear" w:pos="1166"/>
          <w:tab w:val="num" w:pos="1152"/>
        </w:tabs>
        <w:rPr>
          <w:rFonts w:cs="Times New Roman"/>
        </w:rPr>
      </w:pPr>
      <w:r w:rsidRPr="0046285A">
        <w:rPr>
          <w:rFonts w:cs="Times New Roman"/>
        </w:rPr>
        <w:t xml:space="preserve">The </w:t>
      </w:r>
      <w:r>
        <w:rPr>
          <w:rFonts w:cs="Times New Roman"/>
        </w:rPr>
        <w:t xml:space="preserve">Federal </w:t>
      </w:r>
      <w:r w:rsidRPr="0046285A">
        <w:rPr>
          <w:rFonts w:cs="Times New Roman"/>
        </w:rPr>
        <w:t xml:space="preserve">Court of Appeal agreed with the Tribunal’s articulation of this aspect of the efficiencies defence test.  Writing for the </w:t>
      </w:r>
      <w:r>
        <w:rPr>
          <w:rFonts w:cs="Times New Roman"/>
        </w:rPr>
        <w:t>c</w:t>
      </w:r>
      <w:r w:rsidRPr="0046285A">
        <w:rPr>
          <w:rFonts w:cs="Times New Roman"/>
        </w:rPr>
        <w:t xml:space="preserve">ourt, </w:t>
      </w:r>
      <w:proofErr w:type="spellStart"/>
      <w:r w:rsidRPr="0046285A">
        <w:rPr>
          <w:rFonts w:cs="Times New Roman"/>
        </w:rPr>
        <w:t>Mainville</w:t>
      </w:r>
      <w:proofErr w:type="spellEnd"/>
      <w:r w:rsidRPr="0046285A">
        <w:rPr>
          <w:rFonts w:cs="Times New Roman"/>
        </w:rPr>
        <w:t xml:space="preserve"> J.A. found that “the offset called for under section 96 </w:t>
      </w:r>
      <w:r w:rsidR="00154FA9">
        <w:rPr>
          <w:rFonts w:cs="Times New Roman"/>
        </w:rPr>
        <w:t>. . .</w:t>
      </w:r>
      <w:r>
        <w:rPr>
          <w:rFonts w:cs="Times New Roman"/>
        </w:rPr>
        <w:t xml:space="preserve"> </w:t>
      </w:r>
      <w:r w:rsidRPr="0046285A">
        <w:rPr>
          <w:rFonts w:cs="Times New Roman"/>
        </w:rPr>
        <w:t>requires the Tribunal to balance both quantitative and non-quantitative (</w:t>
      </w:r>
      <w:r w:rsidRPr="00E83C53">
        <w:rPr>
          <w:rFonts w:cs="Times New Roman"/>
        </w:rPr>
        <w:t>i.e.</w:t>
      </w:r>
      <w:r w:rsidRPr="0046285A">
        <w:rPr>
          <w:rFonts w:cs="Times New Roman"/>
        </w:rPr>
        <w:t xml:space="preserve"> qualitative) gains in efficiency against both the quantitative and non-quantitative (</w:t>
      </w:r>
      <w:r w:rsidRPr="00E83C53">
        <w:rPr>
          <w:rFonts w:cs="Times New Roman"/>
        </w:rPr>
        <w:t>i.e.</w:t>
      </w:r>
      <w:r w:rsidRPr="0046285A">
        <w:rPr>
          <w:rFonts w:cs="Times New Roman"/>
        </w:rPr>
        <w:t xml:space="preserve"> qualitative) effects of any prevention or lessening of competition” flowing from the merger (</w:t>
      </w:r>
      <w:proofErr w:type="spellStart"/>
      <w:r w:rsidRPr="0046285A">
        <w:rPr>
          <w:rFonts w:cs="Times New Roman"/>
        </w:rPr>
        <w:t>para</w:t>
      </w:r>
      <w:proofErr w:type="spellEnd"/>
      <w:r w:rsidRPr="0046285A">
        <w:rPr>
          <w:rFonts w:cs="Times New Roman"/>
        </w:rPr>
        <w:t xml:space="preserve">. 146).  In the </w:t>
      </w:r>
      <w:r>
        <w:rPr>
          <w:rFonts w:cs="Times New Roman"/>
        </w:rPr>
        <w:t>c</w:t>
      </w:r>
      <w:r w:rsidRPr="0046285A">
        <w:rPr>
          <w:rFonts w:cs="Times New Roman"/>
        </w:rPr>
        <w:t>ourt’s view, the analysis is at heart about balancing overall efficiency gains against overall anti-competitive effects, and simply tallying up “mathematical quantifications”, while important, cannot provide a complete answer</w:t>
      </w:r>
      <w:r>
        <w:rPr>
          <w:rFonts w:cs="Times New Roman"/>
        </w:rPr>
        <w:t xml:space="preserve"> (</w:t>
      </w:r>
      <w:r>
        <w:rPr>
          <w:rFonts w:cs="Times New Roman"/>
          <w:i/>
        </w:rPr>
        <w:t>ibid</w:t>
      </w:r>
      <w:r w:rsidRPr="004E06F7">
        <w:rPr>
          <w:rFonts w:cs="Times New Roman"/>
          <w:i/>
        </w:rPr>
        <w:t>.</w:t>
      </w:r>
      <w:r>
        <w:rPr>
          <w:rFonts w:cs="Times New Roman"/>
        </w:rPr>
        <w:t>)</w:t>
      </w:r>
      <w:r w:rsidRPr="0046285A">
        <w:rPr>
          <w:rFonts w:cs="Times New Roman"/>
        </w:rPr>
        <w:t>.  Of course, quantification is very important in order to ensure, whenever possible, that proper weight is attributed to any given efficiency or anti-competitive effect.</w:t>
      </w:r>
    </w:p>
    <w:p w:rsidR="00E35AE4" w:rsidRPr="0046285A" w:rsidRDefault="00E35AE4" w:rsidP="00154FA9">
      <w:pPr>
        <w:pStyle w:val="ParaNoNdepar-AltN"/>
        <w:tabs>
          <w:tab w:val="clear" w:pos="1166"/>
          <w:tab w:val="num" w:pos="1152"/>
        </w:tabs>
        <w:rPr>
          <w:rFonts w:cs="Times New Roman"/>
        </w:rPr>
      </w:pPr>
      <w:r w:rsidRPr="0046285A">
        <w:rPr>
          <w:rFonts w:cs="Times New Roman"/>
        </w:rPr>
        <w:t xml:space="preserve">The </w:t>
      </w:r>
      <w:r>
        <w:rPr>
          <w:rFonts w:cs="Times New Roman"/>
        </w:rPr>
        <w:t xml:space="preserve">Federal </w:t>
      </w:r>
      <w:r w:rsidRPr="0046285A">
        <w:rPr>
          <w:rFonts w:cs="Times New Roman"/>
        </w:rPr>
        <w:t xml:space="preserve">Court of Appeal’s approach to the s. 96 analysis provides an appropriate level of flexibility, given that efficiencies and anti-competitive effects will not always be easy to measure.  For instance, there may be circumstances where a given quantitative factor is closely linked to a qualitative factor.  The s. 96 framework enables the expert Tribunal to holistically assess the entirety of the evidence before it, rather than artificially </w:t>
      </w:r>
      <w:proofErr w:type="gramStart"/>
      <w:r w:rsidRPr="0046285A">
        <w:rPr>
          <w:rFonts w:cs="Times New Roman"/>
        </w:rPr>
        <w:t>bifurcating</w:t>
      </w:r>
      <w:proofErr w:type="gramEnd"/>
      <w:r w:rsidRPr="0046285A">
        <w:rPr>
          <w:rFonts w:cs="Times New Roman"/>
        </w:rPr>
        <w:t xml:space="preserve"> the analysis of qualitative and quantitative effects that may, in some cases, more helpfully be analyzed together.  </w:t>
      </w:r>
      <w:r w:rsidRPr="0046285A">
        <w:rPr>
          <w:rFonts w:cs="Times New Roman"/>
        </w:rPr>
        <w:lastRenderedPageBreak/>
        <w:t xml:space="preserve">Such a test allows the Tribunal to reach an objective and reasonable determination regarding the s. 96 </w:t>
      </w:r>
      <w:proofErr w:type="gramStart"/>
      <w:r w:rsidRPr="0046285A">
        <w:rPr>
          <w:rFonts w:cs="Times New Roman"/>
        </w:rPr>
        <w:t>defence</w:t>
      </w:r>
      <w:proofErr w:type="gramEnd"/>
      <w:r w:rsidRPr="0046285A">
        <w:rPr>
          <w:rFonts w:cs="Times New Roman"/>
        </w:rPr>
        <w:t xml:space="preserve"> by minimizing subjective considerations, but without limiting itself to solely mathematical considerations.  This approach provides more flexibility to achieve the purposes of the </w:t>
      </w:r>
      <w:r w:rsidRPr="00E44036">
        <w:rPr>
          <w:rFonts w:cs="Times New Roman"/>
        </w:rPr>
        <w:t>Act</w:t>
      </w:r>
      <w:r w:rsidRPr="0046285A">
        <w:rPr>
          <w:rFonts w:cs="Times New Roman"/>
        </w:rPr>
        <w:t>.</w:t>
      </w:r>
    </w:p>
    <w:p w:rsidR="00E35AE4" w:rsidRPr="0046285A" w:rsidRDefault="00E35AE4" w:rsidP="00154FA9">
      <w:pPr>
        <w:pStyle w:val="ParaNoNdepar-AltN"/>
        <w:tabs>
          <w:tab w:val="clear" w:pos="1166"/>
          <w:tab w:val="num" w:pos="1152"/>
        </w:tabs>
        <w:rPr>
          <w:rFonts w:cs="Times New Roman"/>
        </w:rPr>
      </w:pPr>
      <w:r w:rsidRPr="0046285A">
        <w:rPr>
          <w:rFonts w:cs="Times New Roman"/>
        </w:rPr>
        <w:t xml:space="preserve">Further, I disagree with my colleague that the Tribunal (and in this case the </w:t>
      </w:r>
      <w:r>
        <w:rPr>
          <w:rFonts w:cs="Times New Roman"/>
        </w:rPr>
        <w:t xml:space="preserve">Federal </w:t>
      </w:r>
      <w:r w:rsidRPr="0046285A">
        <w:rPr>
          <w:rFonts w:cs="Times New Roman"/>
        </w:rPr>
        <w:t xml:space="preserve">Court of Appeal) is precluded from considering any evidence of a quantifiable anti-competitive effect because the Commissioner of Competition failed to fully quantify it.  I agree with the </w:t>
      </w:r>
      <w:r>
        <w:rPr>
          <w:rFonts w:cs="Times New Roman"/>
        </w:rPr>
        <w:t xml:space="preserve">Federal </w:t>
      </w:r>
      <w:r w:rsidRPr="0046285A">
        <w:rPr>
          <w:rFonts w:cs="Times New Roman"/>
        </w:rPr>
        <w:t>Court of Appeal that while the Commissioner should quantify when possible, the failure to do so does not invalidate the evidence that established there was a known anti-competitive effect of undetermined extent.</w:t>
      </w:r>
    </w:p>
    <w:p w:rsidR="00E35AE4" w:rsidRPr="0046285A" w:rsidRDefault="00E35AE4" w:rsidP="00154FA9">
      <w:pPr>
        <w:pStyle w:val="ParaNoNdepar-AltN"/>
        <w:tabs>
          <w:tab w:val="clear" w:pos="1166"/>
          <w:tab w:val="num" w:pos="1152"/>
        </w:tabs>
        <w:rPr>
          <w:rFonts w:cs="Times New Roman"/>
        </w:rPr>
      </w:pPr>
      <w:r w:rsidRPr="0046285A">
        <w:rPr>
          <w:rFonts w:cs="Times New Roman"/>
        </w:rPr>
        <w:t xml:space="preserve">The Commissioner bears the onus to prove “that a merger or proposed merger prevents or lessens, or is likely to prevent or lessen, competition substantially” under s. 92. She met that onus in this case.  Section 96 is a defence.  It is the appellants who must demonstrate on a balance of probabilities that the gains in efficiency offset the anti-competitive effects in order for the s. 96 defence to apply. The Commissioner bears the evidentiary burden to lead evidence of the anti-competitive effects of </w:t>
      </w:r>
      <w:r>
        <w:rPr>
          <w:rFonts w:cs="Times New Roman"/>
        </w:rPr>
        <w:t xml:space="preserve">a </w:t>
      </w:r>
      <w:r w:rsidRPr="0046285A">
        <w:rPr>
          <w:rFonts w:cs="Times New Roman"/>
        </w:rPr>
        <w:t>merger, and bears the risk that the failure to fully quantify such effects where possible may render the evidence insufficient to counter the evidence of efficiency gains.</w:t>
      </w:r>
    </w:p>
    <w:p w:rsidR="00E35AE4" w:rsidRPr="0046285A" w:rsidRDefault="00E35AE4" w:rsidP="00154FA9">
      <w:pPr>
        <w:pStyle w:val="ParaNoNdepar-AltN"/>
        <w:tabs>
          <w:tab w:val="clear" w:pos="1166"/>
          <w:tab w:val="num" w:pos="1152"/>
        </w:tabs>
        <w:rPr>
          <w:rFonts w:cs="Times New Roman"/>
        </w:rPr>
      </w:pPr>
      <w:r w:rsidRPr="0046285A">
        <w:rPr>
          <w:rFonts w:cs="Times New Roman"/>
        </w:rPr>
        <w:t xml:space="preserve">However, where the expert evidence does not fully provide a quantification of the anti-competitive effects, I do not agree with my colleague that </w:t>
      </w:r>
      <w:r w:rsidRPr="0046285A">
        <w:rPr>
          <w:rFonts w:cs="Times New Roman"/>
        </w:rPr>
        <w:lastRenderedPageBreak/>
        <w:t>the evidence has no probative value whatsoever and must be ignored.  Relevant evidence is generally admissible, and the failure to lead the best evidence available goes to weight, not admissibility.  Clearly, the evidence will</w:t>
      </w:r>
      <w:r>
        <w:rPr>
          <w:rFonts w:cs="Times New Roman"/>
        </w:rPr>
        <w:t xml:space="preserve"> </w:t>
      </w:r>
      <w:r w:rsidRPr="0046285A">
        <w:rPr>
          <w:rFonts w:cs="Times New Roman"/>
        </w:rPr>
        <w:t>have less probative value without an estimate or quantification.  No doubt it would be more difficult for an undetermined anti-competitive effect to outweigh any significant efficiency gains.  However, it does not become irrelevant or inadmissible.  The statutory language does not require such a result.  Nor does the purpose or context of the legislation.</w:t>
      </w:r>
    </w:p>
    <w:p w:rsidR="00E35AE4" w:rsidRPr="0046285A" w:rsidRDefault="00E35AE4" w:rsidP="00154FA9">
      <w:pPr>
        <w:pStyle w:val="ParaNoNdepar-AltN"/>
        <w:tabs>
          <w:tab w:val="clear" w:pos="1166"/>
          <w:tab w:val="num" w:pos="1152"/>
        </w:tabs>
        <w:rPr>
          <w:rFonts w:cs="Times New Roman"/>
        </w:rPr>
      </w:pPr>
      <w:r w:rsidRPr="0046285A">
        <w:rPr>
          <w:rFonts w:cs="Times New Roman"/>
        </w:rPr>
        <w:t>Although Justice Rothstein recognizes that this exclusionary rule may lead to a “paradoxical” result in this case, he justifies his restrictive approach on the basis that it promotes objective assessment and discourages subjectivity and speculation (paras. 1</w:t>
      </w:r>
      <w:r>
        <w:rPr>
          <w:rFonts w:cs="Times New Roman"/>
        </w:rPr>
        <w:t xml:space="preserve">51 </w:t>
      </w:r>
      <w:r w:rsidRPr="0046285A">
        <w:rPr>
          <w:rFonts w:cs="Times New Roman"/>
        </w:rPr>
        <w:t>and 1</w:t>
      </w:r>
      <w:r>
        <w:rPr>
          <w:rFonts w:cs="Times New Roman"/>
        </w:rPr>
        <w:t>6</w:t>
      </w:r>
      <w:r w:rsidRPr="0046285A">
        <w:rPr>
          <w:rFonts w:cs="Times New Roman"/>
        </w:rPr>
        <w:t>6).  In my view, such an approach unduly limits the ability of the Tribunal to fulfill its statutory mandate.  Section 96 gives th</w:t>
      </w:r>
      <w:r>
        <w:rPr>
          <w:rFonts w:cs="Times New Roman"/>
        </w:rPr>
        <w:t>e</w:t>
      </w:r>
      <w:r w:rsidRPr="0046285A">
        <w:rPr>
          <w:rFonts w:cs="Times New Roman"/>
        </w:rPr>
        <w:t xml:space="preserve"> Tribunal the flexibility to meet all the purposes of </w:t>
      </w:r>
      <w:r w:rsidRPr="0046285A">
        <w:rPr>
          <w:rFonts w:cs="Times New Roman"/>
          <w:lang w:val="en-US"/>
        </w:rPr>
        <w:t xml:space="preserve">the </w:t>
      </w:r>
      <w:r w:rsidRPr="00891005">
        <w:rPr>
          <w:rFonts w:cs="Times New Roman"/>
          <w:lang w:val="en-US"/>
        </w:rPr>
        <w:t>Act</w:t>
      </w:r>
      <w:r w:rsidRPr="0046285A">
        <w:rPr>
          <w:rFonts w:cs="Times New Roman"/>
        </w:rPr>
        <w:t xml:space="preserve">, including </w:t>
      </w:r>
      <w:r w:rsidRPr="0046285A">
        <w:rPr>
          <w:rFonts w:cs="Times New Roman"/>
          <w:lang w:val="en-US"/>
        </w:rPr>
        <w:t>the primary purpose “to maintain and encourage competition in Canada” (s. 1.1)</w:t>
      </w:r>
      <w:r w:rsidRPr="0046285A">
        <w:rPr>
          <w:rFonts w:cs="Times New Roman"/>
        </w:rPr>
        <w:t>.  The balancing exercise under s. 96 necessarily requires the Tribunal to use its expert assessment and judgment.  It must also provide explicit and transparent reasons for its conclusions.</w:t>
      </w:r>
    </w:p>
    <w:p w:rsidR="00E35AE4" w:rsidRPr="0046285A" w:rsidRDefault="00E35AE4" w:rsidP="00154FA9">
      <w:pPr>
        <w:pStyle w:val="ParaNoNdepar-AltN"/>
        <w:tabs>
          <w:tab w:val="clear" w:pos="1166"/>
          <w:tab w:val="num" w:pos="1152"/>
        </w:tabs>
        <w:rPr>
          <w:rFonts w:cs="Times New Roman"/>
        </w:rPr>
      </w:pPr>
      <w:r w:rsidRPr="0046285A">
        <w:rPr>
          <w:rFonts w:cs="Times New Roman"/>
        </w:rPr>
        <w:t>Obviously, the Tribunal must apply the test in s. 96 to the evidence before it in a way that is fair to the parties.  Expert decision makers routinely assess evidence that is not the best evidence available, and they are attuned to when the particular circumstances of the case could result in procedural unfairness.</w:t>
      </w:r>
    </w:p>
    <w:p w:rsidR="00E35AE4" w:rsidRPr="0046285A" w:rsidRDefault="00E35AE4" w:rsidP="00154FA9">
      <w:pPr>
        <w:pStyle w:val="ParaNoNdepar-AltN"/>
        <w:tabs>
          <w:tab w:val="clear" w:pos="1166"/>
          <w:tab w:val="num" w:pos="1152"/>
        </w:tabs>
        <w:rPr>
          <w:rFonts w:cs="Times New Roman"/>
        </w:rPr>
      </w:pPr>
      <w:r w:rsidRPr="0046285A">
        <w:rPr>
          <w:rFonts w:cs="Times New Roman"/>
        </w:rPr>
        <w:t xml:space="preserve">Here, the </w:t>
      </w:r>
      <w:r>
        <w:rPr>
          <w:rFonts w:cs="Times New Roman"/>
        </w:rPr>
        <w:t xml:space="preserve">Federal </w:t>
      </w:r>
      <w:r w:rsidRPr="0046285A">
        <w:rPr>
          <w:rFonts w:cs="Times New Roman"/>
        </w:rPr>
        <w:t>Court of Appeal determined that there was some value to the Tribunal’s finding that prices would have been 10</w:t>
      </w:r>
      <w:r>
        <w:rPr>
          <w:rFonts w:cs="Times New Roman"/>
        </w:rPr>
        <w:t xml:space="preserve"> percent </w:t>
      </w:r>
      <w:r w:rsidRPr="0046285A">
        <w:rPr>
          <w:rFonts w:cs="Times New Roman"/>
        </w:rPr>
        <w:t xml:space="preserve">lower in the </w:t>
      </w:r>
      <w:r w:rsidRPr="0046285A">
        <w:rPr>
          <w:rFonts w:cs="Times New Roman"/>
        </w:rPr>
        <w:lastRenderedPageBreak/>
        <w:t xml:space="preserve">Contestable Area in the absence of a merger.  While the evidence did not permit a calculation of the deadweight loss in the absence of estimates of market elasticity and the merged entity’s own price elasticity of demand, in my view the </w:t>
      </w:r>
      <w:r>
        <w:rPr>
          <w:rFonts w:cs="Times New Roman"/>
        </w:rPr>
        <w:t>c</w:t>
      </w:r>
      <w:r w:rsidRPr="0046285A">
        <w:rPr>
          <w:rFonts w:cs="Times New Roman"/>
        </w:rPr>
        <w:t>ourt was entitled to conclude that this amounted to evidence of a known anti-competitive effect, although its extent was undetermined.</w:t>
      </w:r>
    </w:p>
    <w:p w:rsidR="00E35AE4" w:rsidRPr="0046285A" w:rsidRDefault="00E35AE4" w:rsidP="00154FA9">
      <w:pPr>
        <w:pStyle w:val="ParaNoNdepar-AltN"/>
        <w:tabs>
          <w:tab w:val="clear" w:pos="1166"/>
          <w:tab w:val="num" w:pos="1152"/>
        </w:tabs>
        <w:rPr>
          <w:rFonts w:cs="Times New Roman"/>
        </w:rPr>
      </w:pPr>
      <w:r w:rsidRPr="0046285A">
        <w:rPr>
          <w:rFonts w:cs="Times New Roman"/>
        </w:rPr>
        <w:t>Since it was</w:t>
      </w:r>
      <w:r>
        <w:rPr>
          <w:rFonts w:cs="Times New Roman"/>
        </w:rPr>
        <w:t xml:space="preserve"> </w:t>
      </w:r>
      <w:r w:rsidRPr="0046285A">
        <w:rPr>
          <w:rFonts w:cs="Times New Roman"/>
        </w:rPr>
        <w:t xml:space="preserve">open to the </w:t>
      </w:r>
      <w:r>
        <w:rPr>
          <w:rFonts w:cs="Times New Roman"/>
        </w:rPr>
        <w:t xml:space="preserve">Federal </w:t>
      </w:r>
      <w:r w:rsidRPr="0046285A">
        <w:rPr>
          <w:rFonts w:cs="Times New Roman"/>
        </w:rPr>
        <w:t>Court of Appeal to consider</w:t>
      </w:r>
      <w:r>
        <w:rPr>
          <w:rFonts w:cs="Times New Roman"/>
        </w:rPr>
        <w:t xml:space="preserve"> </w:t>
      </w:r>
      <w:r w:rsidRPr="0046285A">
        <w:rPr>
          <w:rFonts w:cs="Times New Roman"/>
        </w:rPr>
        <w:t xml:space="preserve">the anti-competitive effects in its analysis, it follows that the </w:t>
      </w:r>
      <w:r>
        <w:rPr>
          <w:rFonts w:cs="Times New Roman"/>
        </w:rPr>
        <w:t>c</w:t>
      </w:r>
      <w:r w:rsidRPr="0046285A">
        <w:rPr>
          <w:rFonts w:cs="Times New Roman"/>
        </w:rPr>
        <w:t xml:space="preserve">ourt was also in a position to accept that </w:t>
      </w:r>
      <w:proofErr w:type="spellStart"/>
      <w:r w:rsidRPr="0046285A">
        <w:rPr>
          <w:rFonts w:cs="Times New Roman"/>
        </w:rPr>
        <w:t>Tervita’s</w:t>
      </w:r>
      <w:proofErr w:type="spellEnd"/>
      <w:r w:rsidRPr="0046285A">
        <w:rPr>
          <w:rFonts w:cs="Times New Roman"/>
        </w:rPr>
        <w:t xml:space="preserve"> pre-existing monopoly was likely to magnify the anti</w:t>
      </w:r>
      <w:r w:rsidR="00154FA9">
        <w:rPr>
          <w:rFonts w:cs="Times New Roman"/>
        </w:rPr>
        <w:t>-</w:t>
      </w:r>
      <w:r w:rsidRPr="0046285A">
        <w:rPr>
          <w:rFonts w:cs="Times New Roman"/>
        </w:rPr>
        <w:t>competitive effects of the merger (F.C.A.</w:t>
      </w:r>
      <w:r>
        <w:rPr>
          <w:rFonts w:cs="Times New Roman"/>
        </w:rPr>
        <w:t xml:space="preserve"> reasons</w:t>
      </w:r>
      <w:r w:rsidRPr="0046285A">
        <w:rPr>
          <w:rFonts w:cs="Times New Roman"/>
        </w:rPr>
        <w:t xml:space="preserve">, at </w:t>
      </w:r>
      <w:proofErr w:type="spellStart"/>
      <w:r w:rsidRPr="0046285A">
        <w:rPr>
          <w:rFonts w:cs="Times New Roman"/>
        </w:rPr>
        <w:t>para</w:t>
      </w:r>
      <w:proofErr w:type="spellEnd"/>
      <w:r w:rsidRPr="0046285A">
        <w:rPr>
          <w:rFonts w:cs="Times New Roman"/>
        </w:rPr>
        <w:t xml:space="preserve">. 173).  Ultimately, the </w:t>
      </w:r>
      <w:r>
        <w:rPr>
          <w:rFonts w:cs="Times New Roman"/>
        </w:rPr>
        <w:t>c</w:t>
      </w:r>
      <w:r w:rsidRPr="0046285A">
        <w:rPr>
          <w:rFonts w:cs="Times New Roman"/>
        </w:rPr>
        <w:t>ourt was entitled to find that the proven efficiency gains</w:t>
      </w:r>
      <w:r>
        <w:rPr>
          <w:rFonts w:cs="Times New Roman"/>
        </w:rPr>
        <w:t xml:space="preserve"> </w:t>
      </w:r>
      <w:r w:rsidRPr="0046285A">
        <w:rPr>
          <w:rFonts w:cs="Times New Roman"/>
        </w:rPr>
        <w:t xml:space="preserve">were “marginal to the point of being negligible” and did not likely exceed the known (but undetermined) </w:t>
      </w:r>
      <w:r>
        <w:rPr>
          <w:rFonts w:cs="Times New Roman"/>
        </w:rPr>
        <w:t>anti-</w:t>
      </w:r>
      <w:r w:rsidRPr="0046285A">
        <w:rPr>
          <w:rFonts w:cs="Times New Roman"/>
        </w:rPr>
        <w:t>competitive effects (</w:t>
      </w:r>
      <w:proofErr w:type="spellStart"/>
      <w:r w:rsidRPr="0046285A">
        <w:rPr>
          <w:rFonts w:cs="Times New Roman"/>
        </w:rPr>
        <w:t>para</w:t>
      </w:r>
      <w:proofErr w:type="spellEnd"/>
      <w:r w:rsidRPr="0046285A">
        <w:rPr>
          <w:rFonts w:cs="Times New Roman"/>
        </w:rPr>
        <w:t>. 169).</w:t>
      </w:r>
    </w:p>
    <w:p w:rsidR="00E35AE4" w:rsidRPr="0046285A" w:rsidRDefault="00E35AE4" w:rsidP="00154FA9">
      <w:pPr>
        <w:pStyle w:val="ParaNoNdepar-AltN"/>
        <w:tabs>
          <w:tab w:val="clear" w:pos="1166"/>
          <w:tab w:val="num" w:pos="1152"/>
        </w:tabs>
        <w:rPr>
          <w:rFonts w:cs="Times New Roman"/>
        </w:rPr>
      </w:pPr>
      <w:r w:rsidRPr="0046285A">
        <w:rPr>
          <w:rFonts w:cs="Times New Roman"/>
        </w:rPr>
        <w:t xml:space="preserve">As noted above, the overall analysis under s. 96 must be as </w:t>
      </w:r>
      <w:r w:rsidRPr="0046285A">
        <w:rPr>
          <w:rFonts w:cs="Times New Roman"/>
          <w:iCs/>
        </w:rPr>
        <w:t>objective</w:t>
      </w:r>
      <w:r w:rsidRPr="0046285A">
        <w:rPr>
          <w:rFonts w:cs="Times New Roman"/>
          <w:i/>
          <w:iCs/>
        </w:rPr>
        <w:t xml:space="preserve"> </w:t>
      </w:r>
      <w:r w:rsidRPr="0046285A">
        <w:rPr>
          <w:rFonts w:cs="Times New Roman"/>
        </w:rPr>
        <w:t xml:space="preserve">and reasonable as possible.  Effects that can be quantified should be quantified.  However, within this framework, negligible gains in efficiency will not necessarily outweigh and offset known anti-competitive effects, even if they are assigned an “undetermined” weight.  This approach is in keeping with past jurisprudence of the Tribunal:  </w:t>
      </w:r>
      <w:r w:rsidRPr="0046285A">
        <w:rPr>
          <w:rFonts w:cs="Times New Roman"/>
          <w:i/>
        </w:rPr>
        <w:t>C</w:t>
      </w:r>
      <w:r>
        <w:rPr>
          <w:rFonts w:cs="Times New Roman"/>
          <w:i/>
        </w:rPr>
        <w:t>anada (C</w:t>
      </w:r>
      <w:r w:rsidRPr="0046285A">
        <w:rPr>
          <w:rFonts w:cs="Times New Roman"/>
          <w:i/>
        </w:rPr>
        <w:t>ommissioner of Competition</w:t>
      </w:r>
      <w:r>
        <w:rPr>
          <w:rFonts w:cs="Times New Roman"/>
          <w:i/>
        </w:rPr>
        <w:t>)</w:t>
      </w:r>
      <w:r w:rsidRPr="0046285A">
        <w:rPr>
          <w:rFonts w:cs="Times New Roman"/>
          <w:i/>
        </w:rPr>
        <w:t xml:space="preserve"> v. Superior Propane Inc.</w:t>
      </w:r>
      <w:r w:rsidR="00D44969">
        <w:rPr>
          <w:rFonts w:cs="Times New Roman"/>
        </w:rPr>
        <w:t xml:space="preserve">, </w:t>
      </w:r>
      <w:r w:rsidRPr="0046285A">
        <w:rPr>
          <w:rFonts w:cs="Times New Roman"/>
          <w:spacing w:val="-3"/>
        </w:rPr>
        <w:t>2002</w:t>
      </w:r>
      <w:r w:rsidR="00D44969">
        <w:rPr>
          <w:rFonts w:cs="Times New Roman"/>
          <w:spacing w:val="-3"/>
        </w:rPr>
        <w:t xml:space="preserve"> Comp. Trib. 16</w:t>
      </w:r>
      <w:r>
        <w:rPr>
          <w:rFonts w:cs="Times New Roman"/>
          <w:spacing w:val="-3"/>
        </w:rPr>
        <w:t>,</w:t>
      </w:r>
      <w:r w:rsidRPr="0046285A">
        <w:rPr>
          <w:rFonts w:cs="Times New Roman"/>
          <w:spacing w:val="-3"/>
        </w:rPr>
        <w:t xml:space="preserve"> 18 C.P.R. (4th) 417,</w:t>
      </w:r>
      <w:r w:rsidRPr="0046285A">
        <w:rPr>
          <w:rFonts w:cs="Times New Roman"/>
        </w:rPr>
        <w:t xml:space="preserve"> at paras. 171-72</w:t>
      </w:r>
      <w:proofErr w:type="gramStart"/>
      <w:r w:rsidRPr="0046285A">
        <w:rPr>
          <w:rFonts w:cs="Times New Roman"/>
        </w:rPr>
        <w:t>.  Such</w:t>
      </w:r>
      <w:proofErr w:type="gramEnd"/>
      <w:r w:rsidRPr="0046285A">
        <w:rPr>
          <w:rFonts w:cs="Times New Roman"/>
        </w:rPr>
        <w:t xml:space="preserve"> an approach also accurately reflects the primary purpose of the </w:t>
      </w:r>
      <w:r w:rsidRPr="00891005">
        <w:rPr>
          <w:rFonts w:cs="Times New Roman"/>
        </w:rPr>
        <w:t>Act</w:t>
      </w:r>
      <w:r w:rsidRPr="0046285A">
        <w:rPr>
          <w:rFonts w:cs="Times New Roman"/>
        </w:rPr>
        <w:t>, which is “</w:t>
      </w:r>
      <w:r>
        <w:rPr>
          <w:rFonts w:cs="Times New Roman"/>
        </w:rPr>
        <w:t xml:space="preserve">to </w:t>
      </w:r>
      <w:r w:rsidRPr="0046285A">
        <w:rPr>
          <w:rFonts w:cs="Times New Roman"/>
        </w:rPr>
        <w:t>maintain and encourage competition in Canada” (s. 1.1).</w:t>
      </w:r>
    </w:p>
    <w:p w:rsidR="00E35AE4" w:rsidRPr="0046285A" w:rsidRDefault="00E35AE4" w:rsidP="00154FA9">
      <w:pPr>
        <w:pStyle w:val="ParaNoNdepar-AltN"/>
        <w:tabs>
          <w:tab w:val="clear" w:pos="1166"/>
          <w:tab w:val="num" w:pos="1152"/>
        </w:tabs>
        <w:rPr>
          <w:rFonts w:cs="Times New Roman"/>
        </w:rPr>
      </w:pPr>
      <w:r w:rsidRPr="0046285A">
        <w:rPr>
          <w:rFonts w:cs="Times New Roman"/>
        </w:rPr>
        <w:lastRenderedPageBreak/>
        <w:t xml:space="preserve">The </w:t>
      </w:r>
      <w:r>
        <w:rPr>
          <w:rFonts w:cs="Times New Roman"/>
        </w:rPr>
        <w:t xml:space="preserve">Federal </w:t>
      </w:r>
      <w:r w:rsidRPr="0046285A">
        <w:rPr>
          <w:rFonts w:cs="Times New Roman"/>
        </w:rPr>
        <w:t>Court of Appeal was accordingly entitled to conclude that the s. 96 efficiencies defence was not available.  I would dismiss the appeal, and award costs to the respondent.</w:t>
      </w:r>
    </w:p>
    <w:p w:rsidR="00E35AE4" w:rsidRPr="00CE21C4" w:rsidRDefault="00E35AE4" w:rsidP="00154FA9">
      <w:pPr>
        <w:pStyle w:val="Title1LevelTitre1Niveau-AltL"/>
        <w:numPr>
          <w:ilvl w:val="0"/>
          <w:numId w:val="0"/>
        </w:numPr>
        <w:tabs>
          <w:tab w:val="clear" w:pos="576"/>
          <w:tab w:val="left" w:pos="720"/>
        </w:tabs>
        <w:jc w:val="center"/>
        <w:rPr>
          <w:rFonts w:cs="Times New Roman"/>
          <w:b/>
          <w:szCs w:val="24"/>
          <w:u w:val="none"/>
        </w:rPr>
      </w:pPr>
      <w:bookmarkStart w:id="171" w:name="_Toc397607034"/>
      <w:bookmarkStart w:id="172" w:name="_Toc397586794"/>
      <w:bookmarkStart w:id="173" w:name="_Toc396299561"/>
      <w:r w:rsidRPr="00CE21C4">
        <w:rPr>
          <w:rFonts w:cs="Times New Roman"/>
          <w:b/>
          <w:szCs w:val="24"/>
          <w:u w:val="none"/>
        </w:rPr>
        <w:t>APPENDIX</w:t>
      </w:r>
    </w:p>
    <w:bookmarkEnd w:id="171"/>
    <w:bookmarkEnd w:id="172"/>
    <w:bookmarkEnd w:id="173"/>
    <w:p w:rsidR="00E35AE4" w:rsidRPr="00CE21C4" w:rsidRDefault="00E35AE4" w:rsidP="00154FA9">
      <w:pPr>
        <w:jc w:val="both"/>
      </w:pPr>
      <w:r w:rsidRPr="00CE21C4">
        <w:rPr>
          <w:i/>
        </w:rPr>
        <w:t>Competition Act</w:t>
      </w:r>
      <w:r w:rsidRPr="00CE21C4">
        <w:t>, R.S.C. 1985, c. C-34</w:t>
      </w:r>
    </w:p>
    <w:p w:rsidR="00E35AE4" w:rsidRPr="00CE21C4" w:rsidRDefault="00E35AE4" w:rsidP="00154FA9">
      <w:pPr>
        <w:jc w:val="both"/>
      </w:pPr>
    </w:p>
    <w:p w:rsidR="00E35AE4" w:rsidRPr="00CE21C4" w:rsidRDefault="00E35AE4" w:rsidP="00154FA9">
      <w:pPr>
        <w:jc w:val="both"/>
        <w:rPr>
          <w:i/>
        </w:rPr>
      </w:pPr>
    </w:p>
    <w:p w:rsidR="00E35AE4" w:rsidRPr="00CE21C4" w:rsidRDefault="00E35AE4" w:rsidP="00154FA9">
      <w:pPr>
        <w:tabs>
          <w:tab w:val="left" w:pos="1530"/>
        </w:tabs>
        <w:ind w:left="1080"/>
        <w:jc w:val="both"/>
        <w:rPr>
          <w:bCs/>
        </w:rPr>
      </w:pPr>
      <w:r w:rsidRPr="00CE21C4">
        <w:rPr>
          <w:b/>
          <w:bCs/>
        </w:rPr>
        <w:tab/>
        <w:t>1.1</w:t>
      </w:r>
      <w:r w:rsidRPr="00CE21C4">
        <w:rPr>
          <w:bCs/>
        </w:rPr>
        <w:t xml:space="preserve"> The purpose of this Act is to maintain and encourage competition in Canada in order to promote the efficiency and adaptability of the Canadian economy, in order to expand opportunities for Canadian participation in world markets while at the same time recognizing the role of foreign competition in Canada, in order to ensure that small and medium-sized enterprises have an equitable opportunity to participate in the Canadian economy and in order to provide consumers with competitive prices and product choices.</w:t>
      </w:r>
    </w:p>
    <w:p w:rsidR="00E35AE4" w:rsidRPr="00CE21C4" w:rsidRDefault="00E35AE4" w:rsidP="00154FA9">
      <w:pPr>
        <w:tabs>
          <w:tab w:val="center" w:pos="1620"/>
        </w:tabs>
        <w:ind w:left="1080"/>
        <w:jc w:val="both"/>
        <w:rPr>
          <w:bCs/>
        </w:rPr>
      </w:pPr>
    </w:p>
    <w:p w:rsidR="00E35AE4" w:rsidRPr="00CE21C4" w:rsidRDefault="00E35AE4" w:rsidP="00154FA9">
      <w:pPr>
        <w:tabs>
          <w:tab w:val="left" w:pos="1530"/>
        </w:tabs>
        <w:ind w:left="1080"/>
        <w:jc w:val="both"/>
        <w:rPr>
          <w:bCs/>
        </w:rPr>
      </w:pPr>
      <w:r w:rsidRPr="00CE21C4">
        <w:rPr>
          <w:b/>
          <w:bCs/>
        </w:rPr>
        <w:tab/>
        <w:t xml:space="preserve">79. </w:t>
      </w:r>
      <w:r w:rsidRPr="00CE21C4">
        <w:rPr>
          <w:bCs/>
        </w:rPr>
        <w:t>(1) Where, on application by the Commissioner, the Tribunal finds that</w:t>
      </w:r>
    </w:p>
    <w:p w:rsidR="00E35AE4" w:rsidRPr="00CE21C4" w:rsidRDefault="00E35AE4" w:rsidP="00154FA9">
      <w:pPr>
        <w:jc w:val="both"/>
        <w:rPr>
          <w:bCs/>
        </w:rPr>
      </w:pPr>
    </w:p>
    <w:p w:rsidR="00E35AE4" w:rsidRPr="00CE21C4" w:rsidRDefault="00E35AE4" w:rsidP="00154FA9">
      <w:pPr>
        <w:ind w:left="1530"/>
        <w:jc w:val="both"/>
        <w:rPr>
          <w:bCs/>
        </w:rPr>
      </w:pPr>
      <w:r w:rsidRPr="00CE21C4">
        <w:rPr>
          <w:bCs/>
        </w:rPr>
        <w:t>(</w:t>
      </w:r>
      <w:r w:rsidRPr="00CE21C4">
        <w:rPr>
          <w:bCs/>
          <w:i/>
        </w:rPr>
        <w:t>a</w:t>
      </w:r>
      <w:r w:rsidRPr="00CE21C4">
        <w:rPr>
          <w:bCs/>
        </w:rPr>
        <w:t xml:space="preserve">) </w:t>
      </w:r>
      <w:proofErr w:type="gramStart"/>
      <w:r w:rsidRPr="00CE21C4">
        <w:rPr>
          <w:bCs/>
        </w:rPr>
        <w:t>one</w:t>
      </w:r>
      <w:proofErr w:type="gramEnd"/>
      <w:r w:rsidRPr="00CE21C4">
        <w:rPr>
          <w:bCs/>
        </w:rPr>
        <w:t xml:space="preserve"> or more persons substantially or completely control, throughout Canada or any area thereof, a class or species of business,</w:t>
      </w:r>
    </w:p>
    <w:p w:rsidR="00E35AE4" w:rsidRPr="00CE21C4" w:rsidRDefault="00E35AE4" w:rsidP="00154FA9">
      <w:pPr>
        <w:ind w:left="450"/>
        <w:jc w:val="both"/>
        <w:rPr>
          <w:bCs/>
        </w:rPr>
      </w:pPr>
    </w:p>
    <w:p w:rsidR="00E35AE4" w:rsidRPr="00CE21C4" w:rsidRDefault="00E35AE4" w:rsidP="00154FA9">
      <w:pPr>
        <w:ind w:left="1530"/>
        <w:jc w:val="both"/>
        <w:rPr>
          <w:bCs/>
        </w:rPr>
      </w:pPr>
      <w:r w:rsidRPr="00CE21C4">
        <w:rPr>
          <w:bCs/>
        </w:rPr>
        <w:t>(</w:t>
      </w:r>
      <w:r w:rsidRPr="00CE21C4">
        <w:rPr>
          <w:bCs/>
          <w:i/>
        </w:rPr>
        <w:t>b</w:t>
      </w:r>
      <w:r w:rsidRPr="00CE21C4">
        <w:rPr>
          <w:bCs/>
        </w:rPr>
        <w:t xml:space="preserve">) </w:t>
      </w:r>
      <w:proofErr w:type="gramStart"/>
      <w:r w:rsidRPr="00CE21C4">
        <w:rPr>
          <w:bCs/>
        </w:rPr>
        <w:t>that</w:t>
      </w:r>
      <w:proofErr w:type="gramEnd"/>
      <w:r w:rsidRPr="00CE21C4">
        <w:rPr>
          <w:bCs/>
        </w:rPr>
        <w:t xml:space="preserve"> person or those persons have engaged in or are engaging in a practice of anti-competitive acts, and</w:t>
      </w:r>
    </w:p>
    <w:p w:rsidR="00E35AE4" w:rsidRPr="00CE21C4" w:rsidRDefault="00E35AE4" w:rsidP="00154FA9">
      <w:pPr>
        <w:ind w:left="450"/>
        <w:jc w:val="both"/>
        <w:rPr>
          <w:bCs/>
        </w:rPr>
      </w:pPr>
    </w:p>
    <w:p w:rsidR="00E35AE4" w:rsidRPr="00CE21C4" w:rsidRDefault="00E35AE4" w:rsidP="00154FA9">
      <w:pPr>
        <w:ind w:left="1530"/>
        <w:jc w:val="both"/>
        <w:rPr>
          <w:bCs/>
        </w:rPr>
      </w:pPr>
      <w:r w:rsidRPr="00CE21C4">
        <w:rPr>
          <w:bCs/>
        </w:rPr>
        <w:t>(</w:t>
      </w:r>
      <w:r w:rsidRPr="00CE21C4">
        <w:rPr>
          <w:bCs/>
          <w:i/>
        </w:rPr>
        <w:t>c</w:t>
      </w:r>
      <w:r w:rsidRPr="00CE21C4">
        <w:rPr>
          <w:bCs/>
        </w:rPr>
        <w:t xml:space="preserve">) </w:t>
      </w:r>
      <w:proofErr w:type="gramStart"/>
      <w:r w:rsidRPr="00CE21C4">
        <w:rPr>
          <w:bCs/>
        </w:rPr>
        <w:t>the</w:t>
      </w:r>
      <w:proofErr w:type="gramEnd"/>
      <w:r w:rsidRPr="00CE21C4">
        <w:rPr>
          <w:bCs/>
        </w:rPr>
        <w:t xml:space="preserve"> practice has had, is having or is likely to have the effect of preventing or lessening competition substantially in a market,</w:t>
      </w:r>
    </w:p>
    <w:p w:rsidR="00E35AE4" w:rsidRPr="00CE21C4" w:rsidRDefault="00E35AE4" w:rsidP="00154FA9">
      <w:pPr>
        <w:jc w:val="both"/>
        <w:rPr>
          <w:bCs/>
        </w:rPr>
      </w:pPr>
    </w:p>
    <w:p w:rsidR="00E35AE4" w:rsidRPr="00CE21C4" w:rsidRDefault="00E35AE4" w:rsidP="00154FA9">
      <w:pPr>
        <w:ind w:left="1080"/>
        <w:jc w:val="both"/>
        <w:rPr>
          <w:bCs/>
        </w:rPr>
      </w:pPr>
      <w:proofErr w:type="gramStart"/>
      <w:r w:rsidRPr="00CE21C4">
        <w:rPr>
          <w:bCs/>
        </w:rPr>
        <w:t>the</w:t>
      </w:r>
      <w:proofErr w:type="gramEnd"/>
      <w:r w:rsidRPr="00CE21C4">
        <w:rPr>
          <w:bCs/>
        </w:rPr>
        <w:t xml:space="preserve"> Tribunal may make an order prohibiting all or any of those persons from engaging in that practice.</w:t>
      </w:r>
    </w:p>
    <w:p w:rsidR="00E35AE4" w:rsidRPr="00CE21C4" w:rsidRDefault="00E35AE4" w:rsidP="00154FA9">
      <w:pPr>
        <w:jc w:val="both"/>
        <w:rPr>
          <w:bCs/>
        </w:rPr>
      </w:pPr>
    </w:p>
    <w:p w:rsidR="00E35AE4" w:rsidRPr="00CE21C4" w:rsidRDefault="00154FA9" w:rsidP="00154FA9">
      <w:pPr>
        <w:jc w:val="center"/>
        <w:rPr>
          <w:bCs/>
        </w:rPr>
      </w:pPr>
      <w:r>
        <w:rPr>
          <w:bCs/>
        </w:rPr>
        <w:t>. . .</w:t>
      </w:r>
    </w:p>
    <w:p w:rsidR="00E35AE4" w:rsidRPr="00CE21C4" w:rsidRDefault="00E35AE4" w:rsidP="00154FA9">
      <w:pPr>
        <w:jc w:val="both"/>
        <w:rPr>
          <w:bCs/>
        </w:rPr>
      </w:pPr>
    </w:p>
    <w:p w:rsidR="00E35AE4" w:rsidRPr="00CE21C4" w:rsidRDefault="00E35AE4" w:rsidP="00154FA9">
      <w:pPr>
        <w:tabs>
          <w:tab w:val="left" w:pos="1530"/>
        </w:tabs>
        <w:ind w:left="1080"/>
        <w:jc w:val="both"/>
      </w:pPr>
      <w:r w:rsidRPr="00CE21C4">
        <w:rPr>
          <w:b/>
          <w:bCs/>
        </w:rPr>
        <w:tab/>
        <w:t>92.</w:t>
      </w:r>
      <w:r w:rsidRPr="00CE21C4">
        <w:t xml:space="preserve"> (1) Where, on </w:t>
      </w:r>
      <w:r w:rsidRPr="00E83C53">
        <w:rPr>
          <w:bCs/>
        </w:rPr>
        <w:t>application</w:t>
      </w:r>
      <w:r w:rsidRPr="00CE21C4">
        <w:t xml:space="preserve"> by the Commissioner, the Tribunal finds that a merger or proposed merger prevents or lessens, or is likely to prevent or lessen, competition substantially</w:t>
      </w:r>
    </w:p>
    <w:p w:rsidR="00E35AE4" w:rsidRPr="00CE21C4" w:rsidRDefault="00E35AE4" w:rsidP="00154FA9">
      <w:pPr>
        <w:jc w:val="both"/>
      </w:pPr>
    </w:p>
    <w:p w:rsidR="00E35AE4" w:rsidRPr="00CE21C4" w:rsidRDefault="00E35AE4" w:rsidP="00154FA9">
      <w:pPr>
        <w:ind w:left="1530"/>
        <w:jc w:val="both"/>
      </w:pPr>
      <w:r w:rsidRPr="00CE21C4">
        <w:t>(</w:t>
      </w:r>
      <w:r w:rsidRPr="00CE21C4">
        <w:rPr>
          <w:i/>
        </w:rPr>
        <w:t>a</w:t>
      </w:r>
      <w:r w:rsidRPr="00CE21C4">
        <w:t xml:space="preserve">) </w:t>
      </w:r>
      <w:proofErr w:type="gramStart"/>
      <w:r w:rsidRPr="00CE21C4">
        <w:t>in</w:t>
      </w:r>
      <w:proofErr w:type="gramEnd"/>
      <w:r w:rsidRPr="00CE21C4">
        <w:t xml:space="preserve"> a </w:t>
      </w:r>
      <w:r w:rsidRPr="00CE21C4">
        <w:rPr>
          <w:bCs/>
        </w:rPr>
        <w:t>trade</w:t>
      </w:r>
      <w:r w:rsidRPr="00CE21C4">
        <w:t>, industry or profession,</w:t>
      </w:r>
    </w:p>
    <w:p w:rsidR="00E35AE4" w:rsidRPr="00CE21C4" w:rsidRDefault="00E35AE4" w:rsidP="00154FA9">
      <w:pPr>
        <w:ind w:left="450"/>
        <w:jc w:val="both"/>
      </w:pPr>
    </w:p>
    <w:p w:rsidR="00E35AE4" w:rsidRPr="00CE21C4" w:rsidRDefault="00E35AE4" w:rsidP="00154FA9">
      <w:pPr>
        <w:ind w:left="1530"/>
        <w:jc w:val="both"/>
      </w:pPr>
      <w:r w:rsidRPr="00CE21C4">
        <w:rPr>
          <w:bCs/>
        </w:rPr>
        <w:t>(</w:t>
      </w:r>
      <w:r w:rsidRPr="00CE21C4">
        <w:rPr>
          <w:bCs/>
          <w:i/>
        </w:rPr>
        <w:t>b</w:t>
      </w:r>
      <w:r w:rsidRPr="00CE21C4">
        <w:rPr>
          <w:bCs/>
        </w:rPr>
        <w:t xml:space="preserve">) </w:t>
      </w:r>
      <w:proofErr w:type="gramStart"/>
      <w:r w:rsidRPr="00CE21C4">
        <w:rPr>
          <w:bCs/>
        </w:rPr>
        <w:t>among</w:t>
      </w:r>
      <w:proofErr w:type="gramEnd"/>
      <w:r w:rsidRPr="00CE21C4">
        <w:t xml:space="preserve"> the sources from which a trade, industry or profession obtains a product,</w:t>
      </w:r>
    </w:p>
    <w:p w:rsidR="00E35AE4" w:rsidRPr="00CE21C4" w:rsidRDefault="00E35AE4" w:rsidP="00154FA9">
      <w:pPr>
        <w:tabs>
          <w:tab w:val="num" w:pos="1440"/>
        </w:tabs>
        <w:ind w:left="450"/>
        <w:jc w:val="both"/>
      </w:pPr>
    </w:p>
    <w:p w:rsidR="00E35AE4" w:rsidRPr="00CE21C4" w:rsidRDefault="00E35AE4" w:rsidP="00154FA9">
      <w:pPr>
        <w:ind w:left="1530"/>
        <w:jc w:val="both"/>
      </w:pPr>
      <w:r w:rsidRPr="00CE21C4">
        <w:t>(</w:t>
      </w:r>
      <w:r w:rsidRPr="00CE21C4">
        <w:rPr>
          <w:i/>
        </w:rPr>
        <w:t>c</w:t>
      </w:r>
      <w:r w:rsidRPr="00CE21C4">
        <w:t xml:space="preserve">) </w:t>
      </w:r>
      <w:proofErr w:type="gramStart"/>
      <w:r w:rsidRPr="00CE21C4">
        <w:t>among</w:t>
      </w:r>
      <w:proofErr w:type="gramEnd"/>
      <w:r w:rsidRPr="00CE21C4">
        <w:t xml:space="preserve"> </w:t>
      </w:r>
      <w:r w:rsidRPr="00CE21C4">
        <w:rPr>
          <w:bCs/>
        </w:rPr>
        <w:t>the</w:t>
      </w:r>
      <w:r w:rsidRPr="00CE21C4">
        <w:t xml:space="preserve"> outlets through which a trade, industry or profession disposes of a product, or</w:t>
      </w:r>
    </w:p>
    <w:p w:rsidR="00E35AE4" w:rsidRPr="00CE21C4" w:rsidRDefault="00E35AE4" w:rsidP="00154FA9">
      <w:pPr>
        <w:tabs>
          <w:tab w:val="num" w:pos="1440"/>
        </w:tabs>
        <w:ind w:left="450"/>
        <w:jc w:val="both"/>
      </w:pPr>
    </w:p>
    <w:p w:rsidR="00E35AE4" w:rsidRPr="00CE21C4" w:rsidRDefault="00E35AE4" w:rsidP="00154FA9">
      <w:pPr>
        <w:ind w:left="1530"/>
        <w:jc w:val="both"/>
      </w:pPr>
      <w:r w:rsidRPr="00CE21C4">
        <w:rPr>
          <w:bCs/>
        </w:rPr>
        <w:t>(</w:t>
      </w:r>
      <w:r w:rsidRPr="00CE21C4">
        <w:rPr>
          <w:bCs/>
          <w:i/>
        </w:rPr>
        <w:t>d</w:t>
      </w:r>
      <w:r w:rsidRPr="00CE21C4">
        <w:rPr>
          <w:bCs/>
        </w:rPr>
        <w:t xml:space="preserve">) </w:t>
      </w:r>
      <w:proofErr w:type="gramStart"/>
      <w:r w:rsidRPr="00CE21C4">
        <w:rPr>
          <w:bCs/>
        </w:rPr>
        <w:t>otherwise</w:t>
      </w:r>
      <w:proofErr w:type="gramEnd"/>
      <w:r w:rsidRPr="00CE21C4">
        <w:t xml:space="preserve"> than as </w:t>
      </w:r>
      <w:r w:rsidRPr="00E83C53">
        <w:rPr>
          <w:bCs/>
        </w:rPr>
        <w:t>described</w:t>
      </w:r>
      <w:r w:rsidRPr="00CE21C4">
        <w:t xml:space="preserve"> in paragraphs (</w:t>
      </w:r>
      <w:r w:rsidRPr="00CE21C4">
        <w:rPr>
          <w:i/>
          <w:iCs/>
        </w:rPr>
        <w:t>a</w:t>
      </w:r>
      <w:r w:rsidRPr="00CE21C4">
        <w:t>) to (</w:t>
      </w:r>
      <w:r w:rsidRPr="00CE21C4">
        <w:rPr>
          <w:i/>
          <w:iCs/>
        </w:rPr>
        <w:t>c</w:t>
      </w:r>
      <w:r w:rsidRPr="00CE21C4">
        <w:t>),</w:t>
      </w:r>
    </w:p>
    <w:p w:rsidR="00E35AE4" w:rsidRPr="00CE21C4" w:rsidRDefault="00E35AE4" w:rsidP="00154FA9">
      <w:pPr>
        <w:tabs>
          <w:tab w:val="num" w:pos="1440"/>
        </w:tabs>
        <w:jc w:val="both"/>
      </w:pPr>
    </w:p>
    <w:p w:rsidR="00E35AE4" w:rsidRPr="00CE21C4" w:rsidRDefault="00E35AE4" w:rsidP="00154FA9">
      <w:pPr>
        <w:ind w:left="1080"/>
        <w:jc w:val="both"/>
      </w:pPr>
      <w:proofErr w:type="gramStart"/>
      <w:r w:rsidRPr="00CE21C4">
        <w:t>the</w:t>
      </w:r>
      <w:proofErr w:type="gramEnd"/>
      <w:r w:rsidRPr="00CE21C4">
        <w:t xml:space="preserve"> </w:t>
      </w:r>
      <w:r w:rsidRPr="00CB1BCA">
        <w:rPr>
          <w:bCs/>
        </w:rPr>
        <w:t>Tribunal</w:t>
      </w:r>
      <w:r w:rsidRPr="00CE21C4">
        <w:t xml:space="preserve"> may, subject to sections 94 to 96,</w:t>
      </w:r>
    </w:p>
    <w:p w:rsidR="00E35AE4" w:rsidRPr="00CE21C4" w:rsidRDefault="00E35AE4" w:rsidP="00154FA9">
      <w:pPr>
        <w:jc w:val="both"/>
      </w:pPr>
    </w:p>
    <w:p w:rsidR="00E35AE4" w:rsidRPr="00CE21C4" w:rsidRDefault="00E35AE4" w:rsidP="00154FA9">
      <w:pPr>
        <w:ind w:left="1530"/>
        <w:jc w:val="both"/>
      </w:pPr>
      <w:r w:rsidRPr="00CE21C4">
        <w:t>(</w:t>
      </w:r>
      <w:r w:rsidRPr="00CE21C4">
        <w:rPr>
          <w:i/>
        </w:rPr>
        <w:t>e</w:t>
      </w:r>
      <w:r w:rsidRPr="00CE21C4">
        <w:t xml:space="preserve">) </w:t>
      </w:r>
      <w:proofErr w:type="gramStart"/>
      <w:r w:rsidRPr="00CE21C4">
        <w:t>in</w:t>
      </w:r>
      <w:proofErr w:type="gramEnd"/>
      <w:r w:rsidRPr="00CE21C4">
        <w:t xml:space="preserve"> the case of a completed merger, order any party to the merger or any other person</w:t>
      </w:r>
    </w:p>
    <w:p w:rsidR="00E35AE4" w:rsidRPr="00CE21C4" w:rsidRDefault="00E35AE4" w:rsidP="00154FA9">
      <w:pPr>
        <w:tabs>
          <w:tab w:val="num" w:pos="1440"/>
        </w:tabs>
        <w:ind w:left="450"/>
        <w:jc w:val="both"/>
      </w:pPr>
    </w:p>
    <w:p w:rsidR="00E35AE4" w:rsidRPr="00CE21C4" w:rsidRDefault="00E35AE4" w:rsidP="00154FA9">
      <w:pPr>
        <w:ind w:left="1890"/>
        <w:contextualSpacing/>
        <w:jc w:val="both"/>
      </w:pPr>
      <w:r w:rsidRPr="00CE21C4">
        <w:t>(</w:t>
      </w:r>
      <w:proofErr w:type="spellStart"/>
      <w:r w:rsidRPr="00CE21C4">
        <w:t>i</w:t>
      </w:r>
      <w:proofErr w:type="spellEnd"/>
      <w:r w:rsidRPr="00CE21C4">
        <w:t xml:space="preserve">) </w:t>
      </w:r>
      <w:proofErr w:type="gramStart"/>
      <w:r w:rsidRPr="00CE21C4">
        <w:t>to</w:t>
      </w:r>
      <w:proofErr w:type="gramEnd"/>
      <w:r w:rsidRPr="00CE21C4">
        <w:t xml:space="preserve"> dissolve the merger in such manner as the Tribunal directs,</w:t>
      </w:r>
    </w:p>
    <w:p w:rsidR="00E35AE4" w:rsidRPr="00CE21C4" w:rsidRDefault="00E35AE4" w:rsidP="00154FA9">
      <w:pPr>
        <w:ind w:left="900"/>
        <w:contextualSpacing/>
        <w:jc w:val="both"/>
      </w:pPr>
    </w:p>
    <w:p w:rsidR="00E35AE4" w:rsidRPr="00CE21C4" w:rsidRDefault="00E35AE4" w:rsidP="00154FA9">
      <w:pPr>
        <w:ind w:left="1890"/>
        <w:contextualSpacing/>
        <w:jc w:val="both"/>
      </w:pPr>
      <w:r w:rsidRPr="00CE21C4">
        <w:t xml:space="preserve">(ii) </w:t>
      </w:r>
      <w:proofErr w:type="gramStart"/>
      <w:r w:rsidRPr="00CE21C4">
        <w:t>to</w:t>
      </w:r>
      <w:proofErr w:type="gramEnd"/>
      <w:r w:rsidRPr="00CE21C4">
        <w:t xml:space="preserve"> dispose of assets or shares designated by the Tribunal in such manner as the Tribunal directs, or</w:t>
      </w:r>
    </w:p>
    <w:p w:rsidR="00E35AE4" w:rsidRPr="00CE21C4" w:rsidRDefault="00E35AE4" w:rsidP="00154FA9">
      <w:pPr>
        <w:ind w:left="900"/>
        <w:contextualSpacing/>
        <w:jc w:val="both"/>
      </w:pPr>
    </w:p>
    <w:p w:rsidR="00E35AE4" w:rsidRPr="00CE21C4" w:rsidRDefault="00E35AE4" w:rsidP="00154FA9">
      <w:pPr>
        <w:ind w:left="1890"/>
        <w:contextualSpacing/>
        <w:jc w:val="both"/>
      </w:pPr>
      <w:r w:rsidRPr="00CE21C4">
        <w:t>(iii) in addition to or in lieu of the action referred to in subparagraph (</w:t>
      </w:r>
      <w:proofErr w:type="spellStart"/>
      <w:r w:rsidRPr="00CE21C4">
        <w:t>i</w:t>
      </w:r>
      <w:proofErr w:type="spellEnd"/>
      <w:r w:rsidRPr="00CE21C4">
        <w:t>) or (ii), with the consent of the person against whom the order is directed and the Commissioner, to take any other action, or</w:t>
      </w:r>
    </w:p>
    <w:p w:rsidR="00E35AE4" w:rsidRPr="00CE21C4" w:rsidRDefault="00E35AE4" w:rsidP="00154FA9">
      <w:pPr>
        <w:jc w:val="both"/>
      </w:pPr>
    </w:p>
    <w:p w:rsidR="00E35AE4" w:rsidRPr="00CE21C4" w:rsidRDefault="00E35AE4" w:rsidP="00154FA9">
      <w:pPr>
        <w:ind w:left="1530"/>
        <w:jc w:val="both"/>
      </w:pPr>
      <w:r w:rsidRPr="00CE21C4">
        <w:t>(</w:t>
      </w:r>
      <w:r w:rsidRPr="00CE21C4">
        <w:rPr>
          <w:i/>
        </w:rPr>
        <w:t>f</w:t>
      </w:r>
      <w:r w:rsidRPr="00CE21C4">
        <w:t xml:space="preserve">) </w:t>
      </w:r>
      <w:proofErr w:type="gramStart"/>
      <w:r w:rsidRPr="00CE21C4">
        <w:t>in</w:t>
      </w:r>
      <w:proofErr w:type="gramEnd"/>
      <w:r w:rsidRPr="00CE21C4">
        <w:t xml:space="preserve"> the case of a proposed merger, make an order directed against any party to the proposed merger or any other person</w:t>
      </w:r>
    </w:p>
    <w:p w:rsidR="00E35AE4" w:rsidRPr="00CE21C4" w:rsidRDefault="00E35AE4" w:rsidP="00154FA9">
      <w:pPr>
        <w:ind w:left="720"/>
        <w:jc w:val="both"/>
      </w:pPr>
    </w:p>
    <w:p w:rsidR="00E35AE4" w:rsidRPr="00CE21C4" w:rsidRDefault="00E35AE4" w:rsidP="00154FA9">
      <w:pPr>
        <w:ind w:left="1890"/>
        <w:contextualSpacing/>
        <w:jc w:val="both"/>
      </w:pPr>
      <w:r w:rsidRPr="00CE21C4">
        <w:t>(</w:t>
      </w:r>
      <w:proofErr w:type="spellStart"/>
      <w:r w:rsidRPr="00CE21C4">
        <w:t>i</w:t>
      </w:r>
      <w:proofErr w:type="spellEnd"/>
      <w:r w:rsidRPr="00CE21C4">
        <w:t xml:space="preserve">) </w:t>
      </w:r>
      <w:proofErr w:type="gramStart"/>
      <w:r w:rsidRPr="00CE21C4">
        <w:t>ordering</w:t>
      </w:r>
      <w:proofErr w:type="gramEnd"/>
      <w:r w:rsidRPr="00CE21C4">
        <w:t xml:space="preserve"> the person against whom the order is directed not to proceed with the merger,</w:t>
      </w:r>
    </w:p>
    <w:p w:rsidR="00E35AE4" w:rsidRPr="00CE21C4" w:rsidRDefault="00E35AE4" w:rsidP="00154FA9">
      <w:pPr>
        <w:ind w:left="900"/>
        <w:contextualSpacing/>
        <w:jc w:val="both"/>
      </w:pPr>
    </w:p>
    <w:p w:rsidR="00E35AE4" w:rsidRPr="00CE21C4" w:rsidRDefault="00E35AE4" w:rsidP="00154FA9">
      <w:pPr>
        <w:ind w:left="1890"/>
        <w:contextualSpacing/>
        <w:jc w:val="both"/>
      </w:pPr>
      <w:r w:rsidRPr="00CE21C4">
        <w:t xml:space="preserve">(ii) </w:t>
      </w:r>
      <w:proofErr w:type="gramStart"/>
      <w:r w:rsidRPr="00CE21C4">
        <w:t>ordering</w:t>
      </w:r>
      <w:proofErr w:type="gramEnd"/>
      <w:r w:rsidRPr="00CE21C4">
        <w:t xml:space="preserve"> the person against whom the order is directed not to proceed with a part of the merger, or</w:t>
      </w:r>
    </w:p>
    <w:p w:rsidR="00E35AE4" w:rsidRPr="00CE21C4" w:rsidRDefault="00E35AE4" w:rsidP="00154FA9">
      <w:pPr>
        <w:ind w:left="900"/>
        <w:contextualSpacing/>
        <w:jc w:val="both"/>
      </w:pPr>
    </w:p>
    <w:p w:rsidR="00E35AE4" w:rsidRPr="00CE21C4" w:rsidRDefault="00E35AE4" w:rsidP="00154FA9">
      <w:pPr>
        <w:ind w:left="1890"/>
        <w:contextualSpacing/>
        <w:jc w:val="both"/>
      </w:pPr>
      <w:r w:rsidRPr="00CE21C4">
        <w:t xml:space="preserve">(iii) </w:t>
      </w:r>
      <w:proofErr w:type="gramStart"/>
      <w:r w:rsidRPr="00CE21C4">
        <w:t>in</w:t>
      </w:r>
      <w:proofErr w:type="gramEnd"/>
      <w:r w:rsidRPr="00CE21C4">
        <w:t xml:space="preserve"> addition to or in lieu of the order referred to in subparagraph (ii), either or both</w:t>
      </w:r>
    </w:p>
    <w:p w:rsidR="00E35AE4" w:rsidRPr="00CE21C4" w:rsidRDefault="00E35AE4" w:rsidP="00154FA9">
      <w:pPr>
        <w:ind w:left="720"/>
        <w:contextualSpacing/>
        <w:jc w:val="both"/>
      </w:pPr>
    </w:p>
    <w:p w:rsidR="00E35AE4" w:rsidRPr="00CE21C4" w:rsidRDefault="00E35AE4" w:rsidP="00154FA9">
      <w:pPr>
        <w:ind w:left="2430"/>
        <w:contextualSpacing/>
        <w:jc w:val="both"/>
      </w:pPr>
      <w:r w:rsidRPr="00CE21C4">
        <w:t>(A) prohibiting the person against whom the order is directed, should the merger or part thereof be completed, from doing any act or thing the prohibition of which the Tribunal determines to be necessary to ensure that the merger or part thereof does not prevent or lessen competition substantially, or</w:t>
      </w:r>
    </w:p>
    <w:p w:rsidR="00E35AE4" w:rsidRPr="00CE21C4" w:rsidRDefault="00E35AE4" w:rsidP="00154FA9">
      <w:pPr>
        <w:ind w:left="1530"/>
        <w:contextualSpacing/>
        <w:jc w:val="both"/>
      </w:pPr>
    </w:p>
    <w:p w:rsidR="00E35AE4" w:rsidRPr="00CE21C4" w:rsidRDefault="00E35AE4" w:rsidP="00154FA9">
      <w:pPr>
        <w:ind w:left="2430"/>
        <w:contextualSpacing/>
        <w:jc w:val="both"/>
      </w:pPr>
      <w:r w:rsidRPr="00CE21C4">
        <w:t xml:space="preserve">(B) </w:t>
      </w:r>
      <w:proofErr w:type="gramStart"/>
      <w:r w:rsidRPr="00CE21C4">
        <w:t>with</w:t>
      </w:r>
      <w:proofErr w:type="gramEnd"/>
      <w:r w:rsidRPr="00CE21C4">
        <w:t xml:space="preserve"> the consent of the person against whom the order is directed and the Commissioner, ordering the person to take any other action.</w:t>
      </w:r>
    </w:p>
    <w:p w:rsidR="00E35AE4" w:rsidRPr="00CE21C4" w:rsidRDefault="00E35AE4" w:rsidP="00154FA9">
      <w:pPr>
        <w:jc w:val="both"/>
      </w:pPr>
    </w:p>
    <w:p w:rsidR="00E35AE4" w:rsidRPr="00CE21C4" w:rsidRDefault="00E35AE4" w:rsidP="00154FA9">
      <w:pPr>
        <w:tabs>
          <w:tab w:val="left" w:pos="1530"/>
        </w:tabs>
        <w:ind w:left="1080"/>
        <w:jc w:val="both"/>
      </w:pPr>
      <w:bookmarkStart w:id="174" w:name="sec92subsec2"/>
      <w:bookmarkEnd w:id="174"/>
      <w:r w:rsidRPr="00CE21C4">
        <w:tab/>
        <w:t xml:space="preserve">(2) For the purpose of this section, the Tribunal shall not find that a merger or proposed merger </w:t>
      </w:r>
      <w:r w:rsidRPr="00CB1BCA">
        <w:rPr>
          <w:bCs/>
        </w:rPr>
        <w:t>prevents</w:t>
      </w:r>
      <w:r w:rsidRPr="00CE21C4">
        <w:t xml:space="preserve"> or lessens, or is likely to prevent or lessen, competition substantially solely on the basis of evidence of concentration or market share.</w:t>
      </w:r>
    </w:p>
    <w:p w:rsidR="00E35AE4" w:rsidRPr="00CE21C4" w:rsidRDefault="00E35AE4" w:rsidP="00154FA9">
      <w:pPr>
        <w:jc w:val="both"/>
      </w:pPr>
    </w:p>
    <w:p w:rsidR="00E35AE4" w:rsidRPr="00CE21C4" w:rsidRDefault="00E35AE4" w:rsidP="00154FA9">
      <w:pPr>
        <w:jc w:val="both"/>
      </w:pPr>
    </w:p>
    <w:p w:rsidR="00E35AE4" w:rsidRPr="00CE21C4" w:rsidRDefault="00E35AE4" w:rsidP="00154FA9">
      <w:pPr>
        <w:tabs>
          <w:tab w:val="left" w:pos="1530"/>
        </w:tabs>
        <w:ind w:left="1080"/>
        <w:jc w:val="both"/>
      </w:pPr>
      <w:r w:rsidRPr="00CE21C4">
        <w:rPr>
          <w:b/>
          <w:bCs/>
        </w:rPr>
        <w:tab/>
        <w:t>93.</w:t>
      </w:r>
      <w:r w:rsidRPr="00CE21C4">
        <w:t xml:space="preserve"> In determining, for the purpose of section 92, whether or not a merger or proposed merger prevents or lessens, or is likely to prevent or lessen, competition substantially, the Tribunal may have regard to the following factors:</w:t>
      </w:r>
    </w:p>
    <w:p w:rsidR="00E35AE4" w:rsidRPr="00CE21C4" w:rsidRDefault="00E35AE4" w:rsidP="00154FA9">
      <w:pPr>
        <w:jc w:val="both"/>
      </w:pPr>
    </w:p>
    <w:p w:rsidR="00E35AE4" w:rsidRPr="00CE21C4" w:rsidRDefault="00E35AE4" w:rsidP="00154FA9">
      <w:pPr>
        <w:ind w:left="1530"/>
        <w:jc w:val="both"/>
      </w:pPr>
      <w:r w:rsidRPr="00CE21C4">
        <w:t>(</w:t>
      </w:r>
      <w:r w:rsidRPr="00CE21C4">
        <w:rPr>
          <w:i/>
        </w:rPr>
        <w:t>a</w:t>
      </w:r>
      <w:r w:rsidRPr="00CE21C4">
        <w:t xml:space="preserve">) </w:t>
      </w:r>
      <w:proofErr w:type="gramStart"/>
      <w:r w:rsidRPr="00CE21C4">
        <w:t>the</w:t>
      </w:r>
      <w:proofErr w:type="gramEnd"/>
      <w:r w:rsidRPr="00CE21C4">
        <w:t xml:space="preserve"> extent to which foreign products or foreign competitors provide or are likely to provide effective competition to the businesses of the parties to the merger or proposed merger;</w:t>
      </w:r>
    </w:p>
    <w:p w:rsidR="00E35AE4" w:rsidRPr="00CE21C4" w:rsidRDefault="00E35AE4" w:rsidP="00154FA9">
      <w:pPr>
        <w:ind w:left="360"/>
        <w:contextualSpacing/>
        <w:jc w:val="both"/>
      </w:pPr>
    </w:p>
    <w:p w:rsidR="00E35AE4" w:rsidRPr="00CE21C4" w:rsidRDefault="00E35AE4" w:rsidP="00154FA9">
      <w:pPr>
        <w:ind w:left="1530"/>
        <w:jc w:val="both"/>
      </w:pPr>
      <w:r w:rsidRPr="00CE21C4">
        <w:t>(</w:t>
      </w:r>
      <w:r w:rsidRPr="00CE21C4">
        <w:rPr>
          <w:i/>
        </w:rPr>
        <w:t>b</w:t>
      </w:r>
      <w:r w:rsidRPr="00CE21C4">
        <w:t xml:space="preserve">) </w:t>
      </w:r>
      <w:proofErr w:type="gramStart"/>
      <w:r w:rsidRPr="00CE21C4">
        <w:t>whether</w:t>
      </w:r>
      <w:proofErr w:type="gramEnd"/>
      <w:r w:rsidRPr="00CE21C4">
        <w:t xml:space="preserve"> the business, or a part of the business, of a party to the merger or proposed merger has failed or is likely to fail;</w:t>
      </w:r>
    </w:p>
    <w:p w:rsidR="00E35AE4" w:rsidRPr="00CE21C4" w:rsidRDefault="00E35AE4" w:rsidP="00154FA9">
      <w:pPr>
        <w:ind w:left="360"/>
        <w:contextualSpacing/>
        <w:jc w:val="both"/>
      </w:pPr>
    </w:p>
    <w:p w:rsidR="00E35AE4" w:rsidRPr="00CE21C4" w:rsidRDefault="00E35AE4" w:rsidP="00154FA9">
      <w:pPr>
        <w:ind w:left="1530"/>
        <w:jc w:val="both"/>
      </w:pPr>
      <w:r w:rsidRPr="00CE21C4">
        <w:t>(</w:t>
      </w:r>
      <w:r w:rsidRPr="00CE21C4">
        <w:rPr>
          <w:i/>
        </w:rPr>
        <w:t>c</w:t>
      </w:r>
      <w:r w:rsidRPr="00CE21C4">
        <w:t>) the extent to which acceptable substitutes for products supplied by the parties to the merger or proposed merger are or are likely to be available;</w:t>
      </w:r>
    </w:p>
    <w:p w:rsidR="00E35AE4" w:rsidRPr="00CE21C4" w:rsidRDefault="00E35AE4" w:rsidP="00154FA9">
      <w:pPr>
        <w:ind w:left="360"/>
        <w:contextualSpacing/>
        <w:jc w:val="both"/>
      </w:pPr>
    </w:p>
    <w:p w:rsidR="00E35AE4" w:rsidRPr="00CE21C4" w:rsidRDefault="00E35AE4" w:rsidP="00154FA9">
      <w:pPr>
        <w:ind w:left="1530"/>
        <w:jc w:val="both"/>
      </w:pPr>
      <w:r w:rsidRPr="00CE21C4">
        <w:t>(</w:t>
      </w:r>
      <w:r w:rsidRPr="00CE21C4">
        <w:rPr>
          <w:i/>
        </w:rPr>
        <w:t>d</w:t>
      </w:r>
      <w:r w:rsidRPr="00CE21C4">
        <w:t xml:space="preserve">) </w:t>
      </w:r>
      <w:proofErr w:type="gramStart"/>
      <w:r w:rsidRPr="00CE21C4">
        <w:t>any</w:t>
      </w:r>
      <w:proofErr w:type="gramEnd"/>
      <w:r w:rsidRPr="00CE21C4">
        <w:t xml:space="preserve"> barriers to entry into a market, including</w:t>
      </w:r>
    </w:p>
    <w:p w:rsidR="00E35AE4" w:rsidRPr="00CE21C4" w:rsidRDefault="00E35AE4" w:rsidP="00154FA9">
      <w:pPr>
        <w:jc w:val="both"/>
      </w:pPr>
    </w:p>
    <w:p w:rsidR="00E35AE4" w:rsidRPr="00CE21C4" w:rsidRDefault="00E35AE4" w:rsidP="00154FA9">
      <w:pPr>
        <w:ind w:left="1890"/>
        <w:contextualSpacing/>
        <w:jc w:val="both"/>
      </w:pPr>
      <w:r w:rsidRPr="00CE21C4">
        <w:t>(</w:t>
      </w:r>
      <w:proofErr w:type="spellStart"/>
      <w:r w:rsidRPr="00CE21C4">
        <w:t>i</w:t>
      </w:r>
      <w:proofErr w:type="spellEnd"/>
      <w:r w:rsidRPr="00CE21C4">
        <w:t xml:space="preserve">) </w:t>
      </w:r>
      <w:proofErr w:type="gramStart"/>
      <w:r w:rsidRPr="00CE21C4">
        <w:t>tariff</w:t>
      </w:r>
      <w:proofErr w:type="gramEnd"/>
      <w:r w:rsidRPr="00CE21C4">
        <w:t xml:space="preserve"> and non-tariff barriers to international trade,</w:t>
      </w:r>
    </w:p>
    <w:p w:rsidR="00E35AE4" w:rsidRPr="00CE21C4" w:rsidRDefault="00E35AE4" w:rsidP="00154FA9">
      <w:pPr>
        <w:ind w:left="720"/>
        <w:contextualSpacing/>
        <w:jc w:val="both"/>
      </w:pPr>
    </w:p>
    <w:p w:rsidR="00E35AE4" w:rsidRPr="00CE21C4" w:rsidRDefault="00E35AE4" w:rsidP="00154FA9">
      <w:pPr>
        <w:ind w:left="1890"/>
        <w:contextualSpacing/>
        <w:jc w:val="both"/>
      </w:pPr>
      <w:r w:rsidRPr="00CE21C4">
        <w:t xml:space="preserve">(ii) </w:t>
      </w:r>
      <w:proofErr w:type="gramStart"/>
      <w:r w:rsidRPr="00CE21C4">
        <w:t>interprovincial</w:t>
      </w:r>
      <w:proofErr w:type="gramEnd"/>
      <w:r w:rsidRPr="00CE21C4">
        <w:t xml:space="preserve"> barriers to trade, and</w:t>
      </w:r>
    </w:p>
    <w:p w:rsidR="00E35AE4" w:rsidRPr="00CE21C4" w:rsidRDefault="00E35AE4" w:rsidP="00154FA9">
      <w:pPr>
        <w:ind w:left="720"/>
        <w:contextualSpacing/>
        <w:jc w:val="both"/>
      </w:pPr>
    </w:p>
    <w:p w:rsidR="00E35AE4" w:rsidRPr="00CE21C4" w:rsidRDefault="00E35AE4" w:rsidP="00154FA9">
      <w:pPr>
        <w:ind w:left="1890"/>
        <w:contextualSpacing/>
        <w:jc w:val="both"/>
      </w:pPr>
      <w:r w:rsidRPr="00CE21C4">
        <w:t xml:space="preserve">(iii) </w:t>
      </w:r>
      <w:proofErr w:type="gramStart"/>
      <w:r w:rsidRPr="00CE21C4">
        <w:t>regulatory</w:t>
      </w:r>
      <w:proofErr w:type="gramEnd"/>
      <w:r w:rsidRPr="00CE21C4">
        <w:t xml:space="preserve"> control over entry,</w:t>
      </w:r>
    </w:p>
    <w:p w:rsidR="00E35AE4" w:rsidRPr="00CE21C4" w:rsidRDefault="00E35AE4" w:rsidP="00154FA9">
      <w:pPr>
        <w:ind w:left="1440"/>
        <w:jc w:val="both"/>
      </w:pPr>
    </w:p>
    <w:p w:rsidR="00E35AE4" w:rsidRPr="00CE21C4" w:rsidRDefault="00E35AE4" w:rsidP="00154FA9">
      <w:pPr>
        <w:tabs>
          <w:tab w:val="num" w:pos="1440"/>
        </w:tabs>
        <w:ind w:left="1530"/>
        <w:jc w:val="both"/>
      </w:pPr>
      <w:proofErr w:type="gramStart"/>
      <w:r w:rsidRPr="00CE21C4">
        <w:t>and</w:t>
      </w:r>
      <w:proofErr w:type="gramEnd"/>
      <w:r w:rsidRPr="00CE21C4">
        <w:t xml:space="preserve"> any effect of the merger or proposed merger on such barriers;</w:t>
      </w:r>
    </w:p>
    <w:p w:rsidR="00E35AE4" w:rsidRPr="00CE21C4" w:rsidRDefault="00E35AE4" w:rsidP="00154FA9">
      <w:pPr>
        <w:jc w:val="both"/>
      </w:pPr>
    </w:p>
    <w:p w:rsidR="00E35AE4" w:rsidRPr="00CE21C4" w:rsidRDefault="00E35AE4" w:rsidP="00154FA9">
      <w:pPr>
        <w:ind w:left="1530"/>
        <w:jc w:val="both"/>
      </w:pPr>
      <w:r w:rsidRPr="00CE21C4">
        <w:t>(</w:t>
      </w:r>
      <w:r w:rsidRPr="00CE21C4">
        <w:rPr>
          <w:i/>
        </w:rPr>
        <w:t>e</w:t>
      </w:r>
      <w:r w:rsidRPr="00CE21C4">
        <w:t xml:space="preserve">) </w:t>
      </w:r>
      <w:proofErr w:type="gramStart"/>
      <w:r w:rsidRPr="00CE21C4">
        <w:t>the</w:t>
      </w:r>
      <w:proofErr w:type="gramEnd"/>
      <w:r w:rsidRPr="00CE21C4">
        <w:t xml:space="preserve"> extent to which effective competition remains or would remain in a market that is or would be affected by the merger or proposed merger;</w:t>
      </w:r>
    </w:p>
    <w:p w:rsidR="00E35AE4" w:rsidRPr="00CE21C4" w:rsidRDefault="00E35AE4" w:rsidP="00154FA9">
      <w:pPr>
        <w:ind w:left="360"/>
        <w:contextualSpacing/>
        <w:jc w:val="both"/>
      </w:pPr>
    </w:p>
    <w:p w:rsidR="00E35AE4" w:rsidRPr="00CE21C4" w:rsidRDefault="00E35AE4" w:rsidP="00154FA9">
      <w:pPr>
        <w:ind w:left="1530"/>
        <w:jc w:val="both"/>
      </w:pPr>
      <w:r w:rsidRPr="00CE21C4">
        <w:t>(</w:t>
      </w:r>
      <w:r w:rsidRPr="00CE21C4">
        <w:rPr>
          <w:i/>
        </w:rPr>
        <w:t>f</w:t>
      </w:r>
      <w:r w:rsidRPr="00CE21C4">
        <w:t xml:space="preserve">) </w:t>
      </w:r>
      <w:proofErr w:type="gramStart"/>
      <w:r w:rsidRPr="00CE21C4">
        <w:t>any</w:t>
      </w:r>
      <w:proofErr w:type="gramEnd"/>
      <w:r w:rsidRPr="00CE21C4">
        <w:t xml:space="preserve"> likelihood that the merger or proposed merger will or would result in the removal of a vigorous and effective competitor;</w:t>
      </w:r>
    </w:p>
    <w:p w:rsidR="00E35AE4" w:rsidRPr="00CE21C4" w:rsidRDefault="00E35AE4" w:rsidP="00154FA9">
      <w:pPr>
        <w:ind w:left="360"/>
        <w:contextualSpacing/>
        <w:jc w:val="both"/>
      </w:pPr>
    </w:p>
    <w:p w:rsidR="00E35AE4" w:rsidRPr="00CE21C4" w:rsidRDefault="00E35AE4" w:rsidP="00154FA9">
      <w:pPr>
        <w:ind w:left="1530"/>
        <w:jc w:val="both"/>
      </w:pPr>
      <w:r w:rsidRPr="00CE21C4">
        <w:t>(</w:t>
      </w:r>
      <w:r w:rsidRPr="00CE21C4">
        <w:rPr>
          <w:i/>
        </w:rPr>
        <w:t>g</w:t>
      </w:r>
      <w:r w:rsidRPr="00CE21C4">
        <w:t xml:space="preserve">) </w:t>
      </w:r>
      <w:proofErr w:type="gramStart"/>
      <w:r w:rsidRPr="00CE21C4">
        <w:t>the</w:t>
      </w:r>
      <w:proofErr w:type="gramEnd"/>
      <w:r w:rsidRPr="00CE21C4">
        <w:t xml:space="preserve"> nature and extent of change and innovation in a relevant market; and</w:t>
      </w:r>
    </w:p>
    <w:p w:rsidR="00E35AE4" w:rsidRPr="00CE21C4" w:rsidRDefault="00E35AE4" w:rsidP="00154FA9">
      <w:pPr>
        <w:ind w:left="360"/>
        <w:contextualSpacing/>
        <w:jc w:val="both"/>
      </w:pPr>
    </w:p>
    <w:p w:rsidR="00E35AE4" w:rsidRPr="00CE21C4" w:rsidRDefault="00E35AE4" w:rsidP="00154FA9">
      <w:pPr>
        <w:ind w:left="1530"/>
        <w:jc w:val="both"/>
      </w:pPr>
      <w:r w:rsidRPr="00CE21C4">
        <w:t>(</w:t>
      </w:r>
      <w:r w:rsidRPr="00CE21C4">
        <w:rPr>
          <w:i/>
        </w:rPr>
        <w:t>h</w:t>
      </w:r>
      <w:r w:rsidRPr="00CE21C4">
        <w:t xml:space="preserve">) </w:t>
      </w:r>
      <w:proofErr w:type="gramStart"/>
      <w:r w:rsidRPr="00CE21C4">
        <w:t>any</w:t>
      </w:r>
      <w:proofErr w:type="gramEnd"/>
      <w:r w:rsidRPr="00CE21C4">
        <w:t xml:space="preserve"> other factor that is relevant to competition in a market that is or would be affected by the merger or proposed merger.</w:t>
      </w:r>
    </w:p>
    <w:p w:rsidR="00E35AE4" w:rsidRPr="00CE21C4" w:rsidRDefault="00E35AE4" w:rsidP="00154FA9">
      <w:pPr>
        <w:jc w:val="both"/>
      </w:pPr>
    </w:p>
    <w:p w:rsidR="00E35AE4" w:rsidRPr="00CE21C4" w:rsidRDefault="00E35AE4" w:rsidP="00154FA9">
      <w:pPr>
        <w:tabs>
          <w:tab w:val="left" w:pos="1530"/>
        </w:tabs>
        <w:ind w:left="1080"/>
        <w:jc w:val="both"/>
      </w:pPr>
      <w:r w:rsidRPr="00CE21C4">
        <w:rPr>
          <w:b/>
          <w:bCs/>
        </w:rPr>
        <w:tab/>
        <w:t xml:space="preserve">96. </w:t>
      </w:r>
      <w:r w:rsidRPr="00CE21C4">
        <w:t>(1) The Tribunal shall not make an order under section 92 if it finds that the merger or proposed merger in respect of which the application is made has brought about or is likely to bring about gains in efficiency that will be greater than, and will offset, the effects of any prevention or lessening of competition that will result or is likely to result from the merger or proposed merger and that the gains in efficiency would not likely be attained if the order were made.</w:t>
      </w:r>
    </w:p>
    <w:p w:rsidR="00E35AE4" w:rsidRPr="00CE21C4" w:rsidRDefault="00E35AE4" w:rsidP="00154FA9">
      <w:pPr>
        <w:jc w:val="both"/>
      </w:pPr>
      <w:bookmarkStart w:id="175" w:name="sec96subsec2"/>
      <w:bookmarkEnd w:id="175"/>
    </w:p>
    <w:p w:rsidR="00E35AE4" w:rsidRPr="00CE21C4" w:rsidRDefault="00E35AE4" w:rsidP="00154FA9">
      <w:pPr>
        <w:tabs>
          <w:tab w:val="left" w:pos="1530"/>
        </w:tabs>
        <w:ind w:left="1080"/>
        <w:jc w:val="both"/>
      </w:pPr>
      <w:r w:rsidRPr="00CE21C4">
        <w:lastRenderedPageBreak/>
        <w:tab/>
        <w:t xml:space="preserve">(2) In considering whether a merger or proposed merger is likely to bring about gains in efficiency </w:t>
      </w:r>
      <w:r w:rsidRPr="00CB1BCA">
        <w:rPr>
          <w:bCs/>
        </w:rPr>
        <w:t>described</w:t>
      </w:r>
      <w:r w:rsidRPr="00CE21C4">
        <w:t xml:space="preserve"> in subsection (1), the Tribunal shall consider whether such gains will result in</w:t>
      </w:r>
    </w:p>
    <w:p w:rsidR="00E35AE4" w:rsidRPr="00CE21C4" w:rsidRDefault="00E35AE4" w:rsidP="00154FA9">
      <w:pPr>
        <w:jc w:val="both"/>
      </w:pPr>
    </w:p>
    <w:p w:rsidR="00E35AE4" w:rsidRPr="00CE21C4" w:rsidRDefault="00E35AE4" w:rsidP="00154FA9">
      <w:pPr>
        <w:ind w:left="1530"/>
        <w:jc w:val="both"/>
      </w:pPr>
      <w:r w:rsidRPr="00CE21C4">
        <w:t>(</w:t>
      </w:r>
      <w:r w:rsidRPr="00CE21C4">
        <w:rPr>
          <w:i/>
        </w:rPr>
        <w:t>a</w:t>
      </w:r>
      <w:r w:rsidRPr="00CE21C4">
        <w:t xml:space="preserve">) </w:t>
      </w:r>
      <w:proofErr w:type="gramStart"/>
      <w:r w:rsidRPr="00CE21C4">
        <w:t>a</w:t>
      </w:r>
      <w:proofErr w:type="gramEnd"/>
      <w:r w:rsidRPr="00CE21C4">
        <w:t xml:space="preserve"> significant increase in the real value of exports; or</w:t>
      </w:r>
    </w:p>
    <w:p w:rsidR="00E35AE4" w:rsidRPr="00CE21C4" w:rsidRDefault="00E35AE4" w:rsidP="00154FA9">
      <w:pPr>
        <w:jc w:val="both"/>
      </w:pPr>
    </w:p>
    <w:p w:rsidR="00E35AE4" w:rsidRPr="00CE21C4" w:rsidRDefault="00E35AE4" w:rsidP="00154FA9">
      <w:pPr>
        <w:ind w:left="1530"/>
        <w:jc w:val="both"/>
      </w:pPr>
      <w:r w:rsidRPr="00CE21C4">
        <w:t>(</w:t>
      </w:r>
      <w:r w:rsidRPr="00CE21C4">
        <w:rPr>
          <w:i/>
        </w:rPr>
        <w:t>b</w:t>
      </w:r>
      <w:r w:rsidRPr="00CE21C4">
        <w:t xml:space="preserve">) </w:t>
      </w:r>
      <w:proofErr w:type="gramStart"/>
      <w:r w:rsidRPr="00CE21C4">
        <w:t>a</w:t>
      </w:r>
      <w:proofErr w:type="gramEnd"/>
      <w:r w:rsidRPr="00CE21C4">
        <w:t xml:space="preserve"> significant substitution of domestic products for imported products.</w:t>
      </w:r>
    </w:p>
    <w:p w:rsidR="00E35AE4" w:rsidRPr="00CE21C4" w:rsidRDefault="00E35AE4" w:rsidP="00154FA9">
      <w:pPr>
        <w:ind w:left="720"/>
        <w:jc w:val="both"/>
      </w:pPr>
    </w:p>
    <w:p w:rsidR="00E35AE4" w:rsidRPr="00CE21C4" w:rsidRDefault="00E35AE4" w:rsidP="00154FA9">
      <w:pPr>
        <w:tabs>
          <w:tab w:val="left" w:pos="1530"/>
        </w:tabs>
        <w:spacing w:after="720"/>
        <w:ind w:left="1080"/>
        <w:jc w:val="both"/>
      </w:pPr>
      <w:bookmarkStart w:id="176" w:name="sec96subsec3"/>
      <w:bookmarkEnd w:id="176"/>
      <w:r w:rsidRPr="00CE21C4">
        <w:tab/>
        <w:t xml:space="preserve">(3) For the purposes of this section, the Tribunal shall not find that a merger or proposed merger has brought </w:t>
      </w:r>
      <w:r w:rsidRPr="00CB1BCA">
        <w:rPr>
          <w:bCs/>
        </w:rPr>
        <w:t>about</w:t>
      </w:r>
      <w:r w:rsidRPr="00CE21C4">
        <w:t xml:space="preserve"> or is likely to bring about gains in efficiency by reason only of a redistribution of income between two or more persons.</w:t>
      </w:r>
    </w:p>
    <w:p w:rsidR="00E35AE4" w:rsidRPr="00201EC9" w:rsidRDefault="00E35AE4" w:rsidP="00154FA9">
      <w:pPr>
        <w:pStyle w:val="SCCNormalDoubleSpacing"/>
        <w:spacing w:before="480" w:after="480"/>
      </w:pPr>
      <w:r w:rsidRPr="00201EC9">
        <w:tab/>
      </w:r>
      <w:r w:rsidRPr="00201EC9">
        <w:rPr>
          <w:i/>
        </w:rPr>
        <w:t xml:space="preserve">Appeal allowed with costs, </w:t>
      </w:r>
      <w:proofErr w:type="spellStart"/>
      <w:r w:rsidRPr="00201EC9">
        <w:rPr>
          <w:smallCaps/>
        </w:rPr>
        <w:t>Karakatsanis</w:t>
      </w:r>
      <w:proofErr w:type="spellEnd"/>
      <w:r w:rsidR="00154FA9">
        <w:rPr>
          <w:smallCaps/>
        </w:rPr>
        <w:t xml:space="preserve"> </w:t>
      </w:r>
      <w:r w:rsidRPr="00201EC9">
        <w:rPr>
          <w:smallCaps/>
        </w:rPr>
        <w:t>J.</w:t>
      </w:r>
      <w:r w:rsidRPr="00201EC9">
        <w:rPr>
          <w:i/>
        </w:rPr>
        <w:t xml:space="preserve"> dissenting.</w:t>
      </w:r>
    </w:p>
    <w:p w:rsidR="00E35AE4" w:rsidRPr="00201EC9" w:rsidRDefault="00E35AE4" w:rsidP="00154FA9">
      <w:pPr>
        <w:pStyle w:val="SCCLawFirm"/>
        <w:spacing w:before="480" w:after="480"/>
      </w:pPr>
      <w:r w:rsidRPr="00201EC9">
        <w:tab/>
        <w:t>Solicitors for the appellants:</w:t>
      </w:r>
      <w:r w:rsidR="00154FA9">
        <w:t xml:space="preserve">  </w:t>
      </w:r>
      <w:proofErr w:type="spellStart"/>
      <w:r w:rsidRPr="00201EC9">
        <w:t>Torys</w:t>
      </w:r>
      <w:proofErr w:type="spellEnd"/>
      <w:r w:rsidRPr="00201EC9">
        <w:t>, Toronto.</w:t>
      </w:r>
    </w:p>
    <w:p w:rsidR="00E35AE4" w:rsidRDefault="00E35AE4" w:rsidP="00154FA9">
      <w:pPr>
        <w:pStyle w:val="SCCLawFirm"/>
      </w:pPr>
      <w:r w:rsidRPr="00201EC9">
        <w:tab/>
        <w:t>Solicitor for the respondent:</w:t>
      </w:r>
      <w:r w:rsidR="00154FA9">
        <w:t xml:space="preserve">  </w:t>
      </w:r>
      <w:r w:rsidRPr="00201EC9">
        <w:t>Attorney General of Canada, Ottawa.</w:t>
      </w:r>
    </w:p>
    <w:p w:rsidR="00E35AE4" w:rsidRDefault="00E35AE4" w:rsidP="00154FA9">
      <w:pPr>
        <w:pStyle w:val="SCCNormalDoubleSpacing"/>
      </w:pPr>
    </w:p>
    <w:p w:rsidR="00E35AE4" w:rsidRPr="00CE21C4" w:rsidRDefault="00E35AE4" w:rsidP="00154FA9">
      <w:pPr>
        <w:pStyle w:val="Title1LevelTitre1Niveau-AltL"/>
        <w:numPr>
          <w:ilvl w:val="0"/>
          <w:numId w:val="0"/>
        </w:numPr>
        <w:ind w:left="576" w:hanging="576"/>
        <w:rPr>
          <w:rFonts w:cs="Times New Roman"/>
        </w:rPr>
      </w:pPr>
    </w:p>
    <w:p w:rsidR="00E35AE4" w:rsidRDefault="00E35AE4" w:rsidP="00154FA9"/>
    <w:p w:rsidR="00E35AE4" w:rsidRPr="00E35AE4" w:rsidRDefault="00E35AE4" w:rsidP="00154FA9">
      <w:pPr>
        <w:pStyle w:val="SCCNormalDoubleSpacing"/>
      </w:pPr>
    </w:p>
    <w:sectPr w:rsidR="00E35AE4" w:rsidRPr="00E35AE4" w:rsidSect="005C3395">
      <w:headerReference w:type="even" r:id="rId10"/>
      <w:footerReference w:type="even" r:id="rId11"/>
      <w:footerReference w:type="default" r:id="rId12"/>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2AC" w:rsidRDefault="001B42AC" w:rsidP="00E30FE7">
      <w:r>
        <w:separator/>
      </w:r>
    </w:p>
  </w:endnote>
  <w:endnote w:type="continuationSeparator" w:id="0">
    <w:p w:rsidR="001B42AC" w:rsidRDefault="001B42AC" w:rsidP="00E30F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2AC" w:rsidRDefault="001B42AC">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2AC" w:rsidRDefault="001B42AC">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2AC" w:rsidRDefault="001B42AC" w:rsidP="00E30FE7">
      <w:r>
        <w:separator/>
      </w:r>
    </w:p>
  </w:footnote>
  <w:footnote w:type="continuationSeparator" w:id="0">
    <w:p w:rsidR="001B42AC" w:rsidRDefault="001B42AC" w:rsidP="00E30FE7">
      <w:r>
        <w:continuationSeparator/>
      </w:r>
    </w:p>
  </w:footnote>
  <w:footnote w:id="1">
    <w:p w:rsidR="001B42AC" w:rsidRDefault="001B42AC" w:rsidP="00D10E51">
      <w:pPr>
        <w:pStyle w:val="FootnoteText"/>
        <w:ind w:left="180" w:hanging="180"/>
      </w:pPr>
      <w:r>
        <w:rPr>
          <w:rStyle w:val="FootnoteReference"/>
        </w:rPr>
        <w:footnoteRef/>
      </w:r>
      <w:r>
        <w:t xml:space="preserve"> </w:t>
      </w:r>
      <w:r>
        <w:tab/>
      </w:r>
      <w:proofErr w:type="spellStart"/>
      <w:r>
        <w:t>Crampton</w:t>
      </w:r>
      <w:proofErr w:type="spellEnd"/>
      <w:r>
        <w:t xml:space="preserve"> C.J. is a judicial member of the Competition Tribunal as well as the Chief Justice of the Federal Court. </w:t>
      </w:r>
    </w:p>
  </w:footnote>
  <w:footnote w:id="2">
    <w:p w:rsidR="001B42AC" w:rsidRPr="000D6F00" w:rsidRDefault="001B42AC" w:rsidP="002529A8">
      <w:pPr>
        <w:pStyle w:val="FootnoteText"/>
        <w:ind w:left="270" w:hanging="270"/>
        <w:jc w:val="both"/>
      </w:pPr>
      <w:r>
        <w:rPr>
          <w:rStyle w:val="FootnoteReference"/>
        </w:rPr>
        <w:footnoteRef/>
      </w:r>
      <w:r>
        <w:t xml:space="preserve"> </w:t>
      </w:r>
      <w:r>
        <w:tab/>
      </w:r>
      <w:proofErr w:type="gramStart"/>
      <w:r w:rsidRPr="002A7106">
        <w:t xml:space="preserve">See </w:t>
      </w:r>
      <w:r w:rsidRPr="002A7106">
        <w:rPr>
          <w:i/>
          <w:iCs/>
        </w:rPr>
        <w:t>Rogers Communications Inc. v. Society of Composers, Authors and Music Publishers of Canada</w:t>
      </w:r>
      <w:r>
        <w:t>, [2012] 2 S.C.R. 283</w:t>
      </w:r>
      <w:r w:rsidRPr="002A7106">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2AC" w:rsidRDefault="001B42AC">
    <w:pPr>
      <w:tabs>
        <w:tab w:val="left" w:pos="-1440"/>
        <w:tab w:val="left" w:pos="-720"/>
        <w:tab w:val="left" w:pos="0"/>
        <w:tab w:val="left" w:pos="1152"/>
        <w:tab w:val="left" w:pos="1570"/>
        <w:tab w:val="left" w:pos="1843"/>
        <w:tab w:val="left" w:pos="2261"/>
        <w:tab w:val="left" w:pos="64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1EDF"/>
    <w:multiLevelType w:val="hybridMultilevel"/>
    <w:tmpl w:val="2F1003AA"/>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1">
    <w:nsid w:val="03DD51CC"/>
    <w:multiLevelType w:val="hybridMultilevel"/>
    <w:tmpl w:val="8BE66F6E"/>
    <w:lvl w:ilvl="0" w:tplc="6F207EE2">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07F03C30"/>
    <w:multiLevelType w:val="hybridMultilevel"/>
    <w:tmpl w:val="621C37B8"/>
    <w:lvl w:ilvl="0" w:tplc="CA90A28C">
      <w:start w:val="1"/>
      <w:numFmt w:val="lowerRoman"/>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097A353A"/>
    <w:multiLevelType w:val="hybridMultilevel"/>
    <w:tmpl w:val="50E0F4DE"/>
    <w:lvl w:ilvl="0" w:tplc="10090001">
      <w:start w:val="1"/>
      <w:numFmt w:val="bullet"/>
      <w:lvlText w:val=""/>
      <w:lvlJc w:val="left"/>
      <w:pPr>
        <w:ind w:left="1935" w:hanging="360"/>
      </w:pPr>
      <w:rPr>
        <w:rFonts w:ascii="Symbol" w:hAnsi="Symbol" w:hint="default"/>
      </w:rPr>
    </w:lvl>
    <w:lvl w:ilvl="1" w:tplc="10090003" w:tentative="1">
      <w:start w:val="1"/>
      <w:numFmt w:val="bullet"/>
      <w:lvlText w:val="o"/>
      <w:lvlJc w:val="left"/>
      <w:pPr>
        <w:ind w:left="2655" w:hanging="360"/>
      </w:pPr>
      <w:rPr>
        <w:rFonts w:ascii="Courier New" w:hAnsi="Courier New" w:cs="Courier New" w:hint="default"/>
      </w:rPr>
    </w:lvl>
    <w:lvl w:ilvl="2" w:tplc="10090005" w:tentative="1">
      <w:start w:val="1"/>
      <w:numFmt w:val="bullet"/>
      <w:lvlText w:val=""/>
      <w:lvlJc w:val="left"/>
      <w:pPr>
        <w:ind w:left="3375" w:hanging="360"/>
      </w:pPr>
      <w:rPr>
        <w:rFonts w:ascii="Wingdings" w:hAnsi="Wingdings" w:hint="default"/>
      </w:rPr>
    </w:lvl>
    <w:lvl w:ilvl="3" w:tplc="10090001" w:tentative="1">
      <w:start w:val="1"/>
      <w:numFmt w:val="bullet"/>
      <w:lvlText w:val=""/>
      <w:lvlJc w:val="left"/>
      <w:pPr>
        <w:ind w:left="4095" w:hanging="360"/>
      </w:pPr>
      <w:rPr>
        <w:rFonts w:ascii="Symbol" w:hAnsi="Symbol" w:hint="default"/>
      </w:rPr>
    </w:lvl>
    <w:lvl w:ilvl="4" w:tplc="10090003" w:tentative="1">
      <w:start w:val="1"/>
      <w:numFmt w:val="bullet"/>
      <w:lvlText w:val="o"/>
      <w:lvlJc w:val="left"/>
      <w:pPr>
        <w:ind w:left="4815" w:hanging="360"/>
      </w:pPr>
      <w:rPr>
        <w:rFonts w:ascii="Courier New" w:hAnsi="Courier New" w:cs="Courier New" w:hint="default"/>
      </w:rPr>
    </w:lvl>
    <w:lvl w:ilvl="5" w:tplc="10090005" w:tentative="1">
      <w:start w:val="1"/>
      <w:numFmt w:val="bullet"/>
      <w:lvlText w:val=""/>
      <w:lvlJc w:val="left"/>
      <w:pPr>
        <w:ind w:left="5535" w:hanging="360"/>
      </w:pPr>
      <w:rPr>
        <w:rFonts w:ascii="Wingdings" w:hAnsi="Wingdings" w:hint="default"/>
      </w:rPr>
    </w:lvl>
    <w:lvl w:ilvl="6" w:tplc="10090001" w:tentative="1">
      <w:start w:val="1"/>
      <w:numFmt w:val="bullet"/>
      <w:lvlText w:val=""/>
      <w:lvlJc w:val="left"/>
      <w:pPr>
        <w:ind w:left="6255" w:hanging="360"/>
      </w:pPr>
      <w:rPr>
        <w:rFonts w:ascii="Symbol" w:hAnsi="Symbol" w:hint="default"/>
      </w:rPr>
    </w:lvl>
    <w:lvl w:ilvl="7" w:tplc="10090003" w:tentative="1">
      <w:start w:val="1"/>
      <w:numFmt w:val="bullet"/>
      <w:lvlText w:val="o"/>
      <w:lvlJc w:val="left"/>
      <w:pPr>
        <w:ind w:left="6975" w:hanging="360"/>
      </w:pPr>
      <w:rPr>
        <w:rFonts w:ascii="Courier New" w:hAnsi="Courier New" w:cs="Courier New" w:hint="default"/>
      </w:rPr>
    </w:lvl>
    <w:lvl w:ilvl="8" w:tplc="10090005" w:tentative="1">
      <w:start w:val="1"/>
      <w:numFmt w:val="bullet"/>
      <w:lvlText w:val=""/>
      <w:lvlJc w:val="left"/>
      <w:pPr>
        <w:ind w:left="7695" w:hanging="360"/>
      </w:pPr>
      <w:rPr>
        <w:rFonts w:ascii="Wingdings" w:hAnsi="Wingdings" w:hint="default"/>
      </w:rPr>
    </w:lvl>
  </w:abstractNum>
  <w:abstractNum w:abstractNumId="4">
    <w:nsid w:val="0B8B72B3"/>
    <w:multiLevelType w:val="hybridMultilevel"/>
    <w:tmpl w:val="16F2C050"/>
    <w:lvl w:ilvl="0" w:tplc="CA90A28C">
      <w:start w:val="1"/>
      <w:numFmt w:val="lowerRoman"/>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E1739AA"/>
    <w:multiLevelType w:val="hybridMultilevel"/>
    <w:tmpl w:val="BFD28628"/>
    <w:lvl w:ilvl="0" w:tplc="CA90A28C">
      <w:start w:val="1"/>
      <w:numFmt w:val="lowerRoman"/>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0ED774D5"/>
    <w:multiLevelType w:val="hybridMultilevel"/>
    <w:tmpl w:val="BDC6EB2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151C7D95"/>
    <w:multiLevelType w:val="hybridMultilevel"/>
    <w:tmpl w:val="AEF21636"/>
    <w:lvl w:ilvl="0" w:tplc="6F207EE2">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163F20E1"/>
    <w:multiLevelType w:val="hybridMultilevel"/>
    <w:tmpl w:val="06CE7A28"/>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10">
    <w:nsid w:val="178F0AF1"/>
    <w:multiLevelType w:val="hybridMultilevel"/>
    <w:tmpl w:val="EC88BA8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1A2D5942"/>
    <w:multiLevelType w:val="multilevel"/>
    <w:tmpl w:val="F7841FD8"/>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nsid w:val="1CC90BF2"/>
    <w:multiLevelType w:val="hybridMultilevel"/>
    <w:tmpl w:val="038ECE4C"/>
    <w:lvl w:ilvl="0" w:tplc="1660BC0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7872B94"/>
    <w:multiLevelType w:val="hybridMultilevel"/>
    <w:tmpl w:val="1BEC8704"/>
    <w:lvl w:ilvl="0" w:tplc="CA90A28C">
      <w:start w:val="1"/>
      <w:numFmt w:val="lowerRoman"/>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2A8A2DCB"/>
    <w:multiLevelType w:val="hybridMultilevel"/>
    <w:tmpl w:val="F2AAFB50"/>
    <w:lvl w:ilvl="0" w:tplc="1660BC0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nsid w:val="2F5B6E28"/>
    <w:multiLevelType w:val="hybridMultilevel"/>
    <w:tmpl w:val="ACF6D62E"/>
    <w:lvl w:ilvl="0" w:tplc="1009001B">
      <w:start w:val="1"/>
      <w:numFmt w:val="lowerRoman"/>
      <w:lvlText w:val="%1."/>
      <w:lvlJc w:val="right"/>
      <w:pPr>
        <w:ind w:left="1886" w:hanging="360"/>
      </w:pPr>
    </w:lvl>
    <w:lvl w:ilvl="1" w:tplc="10090019" w:tentative="1">
      <w:start w:val="1"/>
      <w:numFmt w:val="lowerLetter"/>
      <w:lvlText w:val="%2."/>
      <w:lvlJc w:val="left"/>
      <w:pPr>
        <w:ind w:left="2606" w:hanging="360"/>
      </w:pPr>
    </w:lvl>
    <w:lvl w:ilvl="2" w:tplc="1009001B" w:tentative="1">
      <w:start w:val="1"/>
      <w:numFmt w:val="lowerRoman"/>
      <w:lvlText w:val="%3."/>
      <w:lvlJc w:val="right"/>
      <w:pPr>
        <w:ind w:left="3326" w:hanging="180"/>
      </w:pPr>
    </w:lvl>
    <w:lvl w:ilvl="3" w:tplc="1009000F" w:tentative="1">
      <w:start w:val="1"/>
      <w:numFmt w:val="decimal"/>
      <w:lvlText w:val="%4."/>
      <w:lvlJc w:val="left"/>
      <w:pPr>
        <w:ind w:left="4046" w:hanging="360"/>
      </w:pPr>
    </w:lvl>
    <w:lvl w:ilvl="4" w:tplc="10090019" w:tentative="1">
      <w:start w:val="1"/>
      <w:numFmt w:val="lowerLetter"/>
      <w:lvlText w:val="%5."/>
      <w:lvlJc w:val="left"/>
      <w:pPr>
        <w:ind w:left="4766" w:hanging="360"/>
      </w:pPr>
    </w:lvl>
    <w:lvl w:ilvl="5" w:tplc="1009001B" w:tentative="1">
      <w:start w:val="1"/>
      <w:numFmt w:val="lowerRoman"/>
      <w:lvlText w:val="%6."/>
      <w:lvlJc w:val="right"/>
      <w:pPr>
        <w:ind w:left="5486" w:hanging="180"/>
      </w:pPr>
    </w:lvl>
    <w:lvl w:ilvl="6" w:tplc="1009000F" w:tentative="1">
      <w:start w:val="1"/>
      <w:numFmt w:val="decimal"/>
      <w:lvlText w:val="%7."/>
      <w:lvlJc w:val="left"/>
      <w:pPr>
        <w:ind w:left="6206" w:hanging="360"/>
      </w:pPr>
    </w:lvl>
    <w:lvl w:ilvl="7" w:tplc="10090019" w:tentative="1">
      <w:start w:val="1"/>
      <w:numFmt w:val="lowerLetter"/>
      <w:lvlText w:val="%8."/>
      <w:lvlJc w:val="left"/>
      <w:pPr>
        <w:ind w:left="6926" w:hanging="360"/>
      </w:pPr>
    </w:lvl>
    <w:lvl w:ilvl="8" w:tplc="1009001B" w:tentative="1">
      <w:start w:val="1"/>
      <w:numFmt w:val="lowerRoman"/>
      <w:lvlText w:val="%9."/>
      <w:lvlJc w:val="right"/>
      <w:pPr>
        <w:ind w:left="7646" w:hanging="180"/>
      </w:pPr>
    </w:lvl>
  </w:abstractNum>
  <w:abstractNum w:abstractNumId="17">
    <w:nsid w:val="335D36E2"/>
    <w:multiLevelType w:val="hybridMultilevel"/>
    <w:tmpl w:val="0540A694"/>
    <w:lvl w:ilvl="0" w:tplc="50A089C0">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ADE26F6"/>
    <w:multiLevelType w:val="hybridMultilevel"/>
    <w:tmpl w:val="AF62F678"/>
    <w:lvl w:ilvl="0" w:tplc="6F207EE2">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3C7A4D49"/>
    <w:multiLevelType w:val="hybridMultilevel"/>
    <w:tmpl w:val="42E6E272"/>
    <w:lvl w:ilvl="0" w:tplc="CA90A28C">
      <w:start w:val="1"/>
      <w:numFmt w:val="lowerRoman"/>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41215893"/>
    <w:multiLevelType w:val="hybridMultilevel"/>
    <w:tmpl w:val="7D500B8A"/>
    <w:lvl w:ilvl="0" w:tplc="6F207EE2">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451874CB"/>
    <w:multiLevelType w:val="hybridMultilevel"/>
    <w:tmpl w:val="E49CE822"/>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4603130A"/>
    <w:multiLevelType w:val="multilevel"/>
    <w:tmpl w:val="C698593A"/>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2LevelTitre2Niveau"/>
      <w:lvlText w:val="%2."/>
      <w:lvlJc w:val="left"/>
      <w:pPr>
        <w:tabs>
          <w:tab w:val="num" w:pos="5616"/>
        </w:tabs>
        <w:ind w:left="5616" w:hanging="432"/>
      </w:pPr>
      <w:rPr>
        <w:rFonts w:ascii="Times New Roman" w:hAnsi="Times New Roman" w:hint="default"/>
        <w:b w:val="0"/>
        <w:i w:val="0"/>
        <w:sz w:val="24"/>
      </w:rPr>
    </w:lvl>
    <w:lvl w:ilvl="2">
      <w:start w:val="1"/>
      <w:numFmt w:val="decimal"/>
      <w:pStyle w:val="Title3LevelTitre3Niveau"/>
      <w:lvlText w:val="(%3)"/>
      <w:lvlJc w:val="left"/>
      <w:pPr>
        <w:tabs>
          <w:tab w:val="num" w:pos="6048"/>
        </w:tabs>
        <w:ind w:left="6048" w:hanging="432"/>
      </w:pPr>
      <w:rPr>
        <w:rFonts w:ascii="Times New Roman" w:hAnsi="Times New Roman" w:hint="default"/>
        <w:b w:val="0"/>
        <w:i w:val="0"/>
        <w:sz w:val="24"/>
      </w:rPr>
    </w:lvl>
    <w:lvl w:ilvl="3">
      <w:start w:val="1"/>
      <w:numFmt w:val="lowerLetter"/>
      <w:pStyle w:val="Title4LevelTitre4Niveau"/>
      <w:lvlText w:val="(%4)"/>
      <w:lvlJc w:val="left"/>
      <w:pPr>
        <w:tabs>
          <w:tab w:val="num" w:pos="6480"/>
        </w:tabs>
        <w:ind w:left="6480" w:hanging="432"/>
      </w:pPr>
      <w:rPr>
        <w:rFonts w:hint="default"/>
        <w:b w:val="0"/>
        <w:i w:val="0"/>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3">
    <w:nsid w:val="48C91881"/>
    <w:multiLevelType w:val="hybridMultilevel"/>
    <w:tmpl w:val="F234766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561CE7A8">
      <w:numFmt w:val="bullet"/>
      <w:lvlText w:val="-"/>
      <w:lvlJc w:val="left"/>
      <w:pPr>
        <w:ind w:left="2340" w:hanging="360"/>
      </w:pPr>
      <w:rPr>
        <w:rFonts w:ascii="Times New Roman" w:eastAsia="Times New Roman" w:hAnsi="Times New Roman" w:cs="Times New Roman"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5">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2957018"/>
    <w:multiLevelType w:val="hybridMultilevel"/>
    <w:tmpl w:val="236E861A"/>
    <w:lvl w:ilvl="0" w:tplc="1009000F">
      <w:start w:val="1"/>
      <w:numFmt w:val="decimal"/>
      <w:lvlText w:val="%1."/>
      <w:lvlJc w:val="left"/>
      <w:pPr>
        <w:ind w:left="1886" w:hanging="360"/>
      </w:pPr>
    </w:lvl>
    <w:lvl w:ilvl="1" w:tplc="10090019" w:tentative="1">
      <w:start w:val="1"/>
      <w:numFmt w:val="lowerLetter"/>
      <w:lvlText w:val="%2."/>
      <w:lvlJc w:val="left"/>
      <w:pPr>
        <w:ind w:left="2606" w:hanging="360"/>
      </w:pPr>
    </w:lvl>
    <w:lvl w:ilvl="2" w:tplc="1009001B" w:tentative="1">
      <w:start w:val="1"/>
      <w:numFmt w:val="lowerRoman"/>
      <w:lvlText w:val="%3."/>
      <w:lvlJc w:val="right"/>
      <w:pPr>
        <w:ind w:left="3326" w:hanging="180"/>
      </w:pPr>
    </w:lvl>
    <w:lvl w:ilvl="3" w:tplc="1009000F" w:tentative="1">
      <w:start w:val="1"/>
      <w:numFmt w:val="decimal"/>
      <w:lvlText w:val="%4."/>
      <w:lvlJc w:val="left"/>
      <w:pPr>
        <w:ind w:left="4046" w:hanging="360"/>
      </w:pPr>
    </w:lvl>
    <w:lvl w:ilvl="4" w:tplc="10090019" w:tentative="1">
      <w:start w:val="1"/>
      <w:numFmt w:val="lowerLetter"/>
      <w:lvlText w:val="%5."/>
      <w:lvlJc w:val="left"/>
      <w:pPr>
        <w:ind w:left="4766" w:hanging="360"/>
      </w:pPr>
    </w:lvl>
    <w:lvl w:ilvl="5" w:tplc="1009001B" w:tentative="1">
      <w:start w:val="1"/>
      <w:numFmt w:val="lowerRoman"/>
      <w:lvlText w:val="%6."/>
      <w:lvlJc w:val="right"/>
      <w:pPr>
        <w:ind w:left="5486" w:hanging="180"/>
      </w:pPr>
    </w:lvl>
    <w:lvl w:ilvl="6" w:tplc="1009000F" w:tentative="1">
      <w:start w:val="1"/>
      <w:numFmt w:val="decimal"/>
      <w:lvlText w:val="%7."/>
      <w:lvlJc w:val="left"/>
      <w:pPr>
        <w:ind w:left="6206" w:hanging="360"/>
      </w:pPr>
    </w:lvl>
    <w:lvl w:ilvl="7" w:tplc="10090019" w:tentative="1">
      <w:start w:val="1"/>
      <w:numFmt w:val="lowerLetter"/>
      <w:lvlText w:val="%8."/>
      <w:lvlJc w:val="left"/>
      <w:pPr>
        <w:ind w:left="6926" w:hanging="360"/>
      </w:pPr>
    </w:lvl>
    <w:lvl w:ilvl="8" w:tplc="1009001B" w:tentative="1">
      <w:start w:val="1"/>
      <w:numFmt w:val="lowerRoman"/>
      <w:lvlText w:val="%9."/>
      <w:lvlJc w:val="right"/>
      <w:pPr>
        <w:ind w:left="7646" w:hanging="180"/>
      </w:pPr>
    </w:lvl>
  </w:abstractNum>
  <w:abstractNum w:abstractNumId="27">
    <w:nsid w:val="52E67B9C"/>
    <w:multiLevelType w:val="hybridMultilevel"/>
    <w:tmpl w:val="B5D66626"/>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nsid w:val="54283EE8"/>
    <w:multiLevelType w:val="multilevel"/>
    <w:tmpl w:val="879CDF38"/>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97B00C4"/>
    <w:multiLevelType w:val="hybridMultilevel"/>
    <w:tmpl w:val="16F06BE4"/>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nsid w:val="5BC676FD"/>
    <w:multiLevelType w:val="hybridMultilevel"/>
    <w:tmpl w:val="306E67BC"/>
    <w:lvl w:ilvl="0" w:tplc="370E7F68">
      <w:numFmt w:val="bullet"/>
      <w:lvlText w:val="-"/>
      <w:lvlJc w:val="left"/>
      <w:pPr>
        <w:ind w:left="720" w:hanging="360"/>
      </w:pPr>
      <w:rPr>
        <w:rFonts w:ascii="Times New Roman" w:eastAsiaTheme="minorHAnsi" w:hAnsi="Times New Roman" w:cs="Times New Roman" w:hint="default"/>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D3A52C4"/>
    <w:multiLevelType w:val="hybridMultilevel"/>
    <w:tmpl w:val="D80265A4"/>
    <w:lvl w:ilvl="0" w:tplc="6F207EE2">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nsid w:val="5FD705B2"/>
    <w:multiLevelType w:val="hybridMultilevel"/>
    <w:tmpl w:val="12104096"/>
    <w:lvl w:ilvl="0" w:tplc="BE1248D8">
      <w:start w:val="2"/>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55D757E"/>
    <w:multiLevelType w:val="hybridMultilevel"/>
    <w:tmpl w:val="4DDEC604"/>
    <w:lvl w:ilvl="0" w:tplc="CA90A28C">
      <w:start w:val="1"/>
      <w:numFmt w:val="lowerRoman"/>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02759A8"/>
    <w:multiLevelType w:val="hybridMultilevel"/>
    <w:tmpl w:val="8ACE8018"/>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nsid w:val="721143A9"/>
    <w:multiLevelType w:val="hybridMultilevel"/>
    <w:tmpl w:val="F500B5B8"/>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37">
    <w:nsid w:val="7EAD0A55"/>
    <w:multiLevelType w:val="hybridMultilevel"/>
    <w:tmpl w:val="28B05B80"/>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num w:numId="1">
    <w:abstractNumId w:val="34"/>
  </w:num>
  <w:num w:numId="2">
    <w:abstractNumId w:val="13"/>
  </w:num>
  <w:num w:numId="3">
    <w:abstractNumId w:val="5"/>
  </w:num>
  <w:num w:numId="4">
    <w:abstractNumId w:val="24"/>
  </w:num>
  <w:num w:numId="5">
    <w:abstractNumId w:val="25"/>
  </w:num>
  <w:num w:numId="6">
    <w:abstractNumId w:val="28"/>
  </w:num>
  <w:num w:numId="7">
    <w:abstractNumId w:val="22"/>
  </w:num>
  <w:num w:numId="8">
    <w:abstractNumId w:val="26"/>
  </w:num>
  <w:num w:numId="9">
    <w:abstractNumId w:val="23"/>
  </w:num>
  <w:num w:numId="10">
    <w:abstractNumId w:val="16"/>
  </w:num>
  <w:num w:numId="11">
    <w:abstractNumId w:val="30"/>
  </w:num>
  <w:num w:numId="12">
    <w:abstractNumId w:val="10"/>
  </w:num>
  <w:num w:numId="13">
    <w:abstractNumId w:val="0"/>
  </w:num>
  <w:num w:numId="14">
    <w:abstractNumId w:val="32"/>
  </w:num>
  <w:num w:numId="15">
    <w:abstractNumId w:val="17"/>
  </w:num>
  <w:num w:numId="16">
    <w:abstractNumId w:val="3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7"/>
  </w:num>
  <w:num w:numId="20">
    <w:abstractNumId w:val="4"/>
  </w:num>
  <w:num w:numId="21">
    <w:abstractNumId w:val="6"/>
  </w:num>
  <w:num w:numId="22">
    <w:abstractNumId w:val="14"/>
  </w:num>
  <w:num w:numId="23">
    <w:abstractNumId w:val="33"/>
  </w:num>
  <w:num w:numId="24">
    <w:abstractNumId w:val="15"/>
  </w:num>
  <w:num w:numId="25">
    <w:abstractNumId w:val="12"/>
  </w:num>
  <w:num w:numId="26">
    <w:abstractNumId w:val="1"/>
  </w:num>
  <w:num w:numId="27">
    <w:abstractNumId w:val="35"/>
  </w:num>
  <w:num w:numId="28">
    <w:abstractNumId w:val="19"/>
  </w:num>
  <w:num w:numId="29">
    <w:abstractNumId w:val="2"/>
  </w:num>
  <w:num w:numId="30">
    <w:abstractNumId w:val="18"/>
  </w:num>
  <w:num w:numId="31">
    <w:abstractNumId w:val="7"/>
  </w:num>
  <w:num w:numId="32">
    <w:abstractNumId w:val="20"/>
  </w:num>
  <w:num w:numId="33">
    <w:abstractNumId w:val="21"/>
  </w:num>
  <w:num w:numId="34">
    <w:abstractNumId w:val="31"/>
  </w:num>
  <w:num w:numId="35">
    <w:abstractNumId w:val="29"/>
  </w:num>
  <w:num w:numId="36">
    <w:abstractNumId w:val="9"/>
  </w:num>
  <w:num w:numId="37">
    <w:abstractNumId w:val="37"/>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00735"/>
    <w:rsid w:val="00000E1C"/>
    <w:rsid w:val="000017E9"/>
    <w:rsid w:val="00004BE5"/>
    <w:rsid w:val="00010080"/>
    <w:rsid w:val="00010E93"/>
    <w:rsid w:val="00011371"/>
    <w:rsid w:val="00011C46"/>
    <w:rsid w:val="00013F1C"/>
    <w:rsid w:val="00015F6D"/>
    <w:rsid w:val="00016078"/>
    <w:rsid w:val="00017094"/>
    <w:rsid w:val="00020CC2"/>
    <w:rsid w:val="0002338B"/>
    <w:rsid w:val="00025FF1"/>
    <w:rsid w:val="00027773"/>
    <w:rsid w:val="000300C9"/>
    <w:rsid w:val="00032600"/>
    <w:rsid w:val="00032A3E"/>
    <w:rsid w:val="000366C8"/>
    <w:rsid w:val="00036A7E"/>
    <w:rsid w:val="00036FBC"/>
    <w:rsid w:val="00040D63"/>
    <w:rsid w:val="00044BFC"/>
    <w:rsid w:val="00047190"/>
    <w:rsid w:val="00047295"/>
    <w:rsid w:val="0004737D"/>
    <w:rsid w:val="00047BED"/>
    <w:rsid w:val="00050A6A"/>
    <w:rsid w:val="000518E8"/>
    <w:rsid w:val="000520DD"/>
    <w:rsid w:val="00053847"/>
    <w:rsid w:val="00053DC8"/>
    <w:rsid w:val="00054267"/>
    <w:rsid w:val="000579B2"/>
    <w:rsid w:val="000614F0"/>
    <w:rsid w:val="00062B92"/>
    <w:rsid w:val="00066011"/>
    <w:rsid w:val="000679A8"/>
    <w:rsid w:val="000724A8"/>
    <w:rsid w:val="00073921"/>
    <w:rsid w:val="0007393A"/>
    <w:rsid w:val="0007509A"/>
    <w:rsid w:val="000750F5"/>
    <w:rsid w:val="00076992"/>
    <w:rsid w:val="00077843"/>
    <w:rsid w:val="000816A4"/>
    <w:rsid w:val="00083144"/>
    <w:rsid w:val="00083A63"/>
    <w:rsid w:val="0008592D"/>
    <w:rsid w:val="000864DC"/>
    <w:rsid w:val="00087ABC"/>
    <w:rsid w:val="00091D31"/>
    <w:rsid w:val="000952C5"/>
    <w:rsid w:val="00095A2E"/>
    <w:rsid w:val="00096CF2"/>
    <w:rsid w:val="000A6131"/>
    <w:rsid w:val="000A69D0"/>
    <w:rsid w:val="000B0046"/>
    <w:rsid w:val="000B3033"/>
    <w:rsid w:val="000B421C"/>
    <w:rsid w:val="000B42EA"/>
    <w:rsid w:val="000B54F7"/>
    <w:rsid w:val="000B625B"/>
    <w:rsid w:val="000C0097"/>
    <w:rsid w:val="000C02A5"/>
    <w:rsid w:val="000C179A"/>
    <w:rsid w:val="000C5209"/>
    <w:rsid w:val="000D0302"/>
    <w:rsid w:val="000D2356"/>
    <w:rsid w:val="000D3034"/>
    <w:rsid w:val="000D57F5"/>
    <w:rsid w:val="000E3543"/>
    <w:rsid w:val="000E4936"/>
    <w:rsid w:val="000F0AFE"/>
    <w:rsid w:val="000F0C3E"/>
    <w:rsid w:val="000F330E"/>
    <w:rsid w:val="000F3B8D"/>
    <w:rsid w:val="000F4124"/>
    <w:rsid w:val="000F695E"/>
    <w:rsid w:val="0010174D"/>
    <w:rsid w:val="00101AB5"/>
    <w:rsid w:val="00102052"/>
    <w:rsid w:val="00103879"/>
    <w:rsid w:val="001057E1"/>
    <w:rsid w:val="001061E3"/>
    <w:rsid w:val="00107160"/>
    <w:rsid w:val="0011033D"/>
    <w:rsid w:val="0011058C"/>
    <w:rsid w:val="001106D4"/>
    <w:rsid w:val="00111E07"/>
    <w:rsid w:val="001122B2"/>
    <w:rsid w:val="00112464"/>
    <w:rsid w:val="00115C4C"/>
    <w:rsid w:val="00116D00"/>
    <w:rsid w:val="00116FCF"/>
    <w:rsid w:val="001209A5"/>
    <w:rsid w:val="00125351"/>
    <w:rsid w:val="0013030C"/>
    <w:rsid w:val="001342FB"/>
    <w:rsid w:val="0013481D"/>
    <w:rsid w:val="001355B2"/>
    <w:rsid w:val="001355D0"/>
    <w:rsid w:val="00137C6B"/>
    <w:rsid w:val="00137D6A"/>
    <w:rsid w:val="00142BB0"/>
    <w:rsid w:val="00142DDD"/>
    <w:rsid w:val="00145655"/>
    <w:rsid w:val="00147A8C"/>
    <w:rsid w:val="00150E8F"/>
    <w:rsid w:val="001511E2"/>
    <w:rsid w:val="00154FA9"/>
    <w:rsid w:val="001576C5"/>
    <w:rsid w:val="00157E8B"/>
    <w:rsid w:val="00160E84"/>
    <w:rsid w:val="001626F9"/>
    <w:rsid w:val="001649F8"/>
    <w:rsid w:val="00165A08"/>
    <w:rsid w:val="001678A2"/>
    <w:rsid w:val="00172B8D"/>
    <w:rsid w:val="00173CCE"/>
    <w:rsid w:val="00174EF2"/>
    <w:rsid w:val="00176EB1"/>
    <w:rsid w:val="00180FAE"/>
    <w:rsid w:val="00183AB5"/>
    <w:rsid w:val="00183E5B"/>
    <w:rsid w:val="001845B0"/>
    <w:rsid w:val="00185D8F"/>
    <w:rsid w:val="00190376"/>
    <w:rsid w:val="00190422"/>
    <w:rsid w:val="001917C7"/>
    <w:rsid w:val="0019691E"/>
    <w:rsid w:val="001A0567"/>
    <w:rsid w:val="001A0FB5"/>
    <w:rsid w:val="001A104F"/>
    <w:rsid w:val="001A10BC"/>
    <w:rsid w:val="001A3EB6"/>
    <w:rsid w:val="001A5745"/>
    <w:rsid w:val="001A5BA6"/>
    <w:rsid w:val="001A6FB9"/>
    <w:rsid w:val="001A7D84"/>
    <w:rsid w:val="001A7E33"/>
    <w:rsid w:val="001B0310"/>
    <w:rsid w:val="001B2197"/>
    <w:rsid w:val="001B2ABF"/>
    <w:rsid w:val="001B31ED"/>
    <w:rsid w:val="001B36BF"/>
    <w:rsid w:val="001B42AC"/>
    <w:rsid w:val="001B63FE"/>
    <w:rsid w:val="001C05C3"/>
    <w:rsid w:val="001C0BD8"/>
    <w:rsid w:val="001C25DA"/>
    <w:rsid w:val="001C28D4"/>
    <w:rsid w:val="001C3097"/>
    <w:rsid w:val="001C50A0"/>
    <w:rsid w:val="001C58F9"/>
    <w:rsid w:val="001C7ECC"/>
    <w:rsid w:val="001D0004"/>
    <w:rsid w:val="001D02BE"/>
    <w:rsid w:val="001D0922"/>
    <w:rsid w:val="001D16C5"/>
    <w:rsid w:val="001D1DC4"/>
    <w:rsid w:val="001D2135"/>
    <w:rsid w:val="001D2625"/>
    <w:rsid w:val="001D27D7"/>
    <w:rsid w:val="001D5BA5"/>
    <w:rsid w:val="001D62FA"/>
    <w:rsid w:val="001E0C3D"/>
    <w:rsid w:val="001E0D98"/>
    <w:rsid w:val="001E2ADB"/>
    <w:rsid w:val="001E47AB"/>
    <w:rsid w:val="001E60CF"/>
    <w:rsid w:val="001E625E"/>
    <w:rsid w:val="001E71AF"/>
    <w:rsid w:val="001F0621"/>
    <w:rsid w:val="001F6648"/>
    <w:rsid w:val="001F7BB3"/>
    <w:rsid w:val="002002C3"/>
    <w:rsid w:val="00200735"/>
    <w:rsid w:val="002012C2"/>
    <w:rsid w:val="00203707"/>
    <w:rsid w:val="0020509A"/>
    <w:rsid w:val="002059BB"/>
    <w:rsid w:val="00210C59"/>
    <w:rsid w:val="002139BB"/>
    <w:rsid w:val="0021458C"/>
    <w:rsid w:val="00215BE5"/>
    <w:rsid w:val="00216A94"/>
    <w:rsid w:val="00217496"/>
    <w:rsid w:val="00220A6F"/>
    <w:rsid w:val="00221677"/>
    <w:rsid w:val="00222145"/>
    <w:rsid w:val="00222398"/>
    <w:rsid w:val="0022535E"/>
    <w:rsid w:val="00225857"/>
    <w:rsid w:val="002260DF"/>
    <w:rsid w:val="002260FF"/>
    <w:rsid w:val="00230459"/>
    <w:rsid w:val="002308F9"/>
    <w:rsid w:val="00231842"/>
    <w:rsid w:val="002340B2"/>
    <w:rsid w:val="00234EB1"/>
    <w:rsid w:val="00236FF5"/>
    <w:rsid w:val="00241BB8"/>
    <w:rsid w:val="00242E70"/>
    <w:rsid w:val="00243822"/>
    <w:rsid w:val="00243BDC"/>
    <w:rsid w:val="00243C2B"/>
    <w:rsid w:val="00245402"/>
    <w:rsid w:val="00246469"/>
    <w:rsid w:val="00246A7F"/>
    <w:rsid w:val="00247ECF"/>
    <w:rsid w:val="00251886"/>
    <w:rsid w:val="0025221F"/>
    <w:rsid w:val="002529A8"/>
    <w:rsid w:val="002537C9"/>
    <w:rsid w:val="00254121"/>
    <w:rsid w:val="00256F50"/>
    <w:rsid w:val="002600A7"/>
    <w:rsid w:val="002610A3"/>
    <w:rsid w:val="002634C5"/>
    <w:rsid w:val="00263AEA"/>
    <w:rsid w:val="00265E5A"/>
    <w:rsid w:val="00267A87"/>
    <w:rsid w:val="00271494"/>
    <w:rsid w:val="00272DED"/>
    <w:rsid w:val="00274C6A"/>
    <w:rsid w:val="00275325"/>
    <w:rsid w:val="002768AE"/>
    <w:rsid w:val="002816D5"/>
    <w:rsid w:val="002820B3"/>
    <w:rsid w:val="00282135"/>
    <w:rsid w:val="00283CDB"/>
    <w:rsid w:val="00286BCA"/>
    <w:rsid w:val="00291A1E"/>
    <w:rsid w:val="0029248B"/>
    <w:rsid w:val="00292ED2"/>
    <w:rsid w:val="00293A64"/>
    <w:rsid w:val="00295F78"/>
    <w:rsid w:val="00297115"/>
    <w:rsid w:val="002A0198"/>
    <w:rsid w:val="002A29A7"/>
    <w:rsid w:val="002B267D"/>
    <w:rsid w:val="002B2A90"/>
    <w:rsid w:val="002B41E5"/>
    <w:rsid w:val="002B77DB"/>
    <w:rsid w:val="002C118A"/>
    <w:rsid w:val="002C2E91"/>
    <w:rsid w:val="002C59D4"/>
    <w:rsid w:val="002C6123"/>
    <w:rsid w:val="002C645F"/>
    <w:rsid w:val="002C6AE9"/>
    <w:rsid w:val="002C6F04"/>
    <w:rsid w:val="002D1513"/>
    <w:rsid w:val="002D3A95"/>
    <w:rsid w:val="002D4755"/>
    <w:rsid w:val="002D670E"/>
    <w:rsid w:val="002D7C39"/>
    <w:rsid w:val="002D7C83"/>
    <w:rsid w:val="002E03D4"/>
    <w:rsid w:val="002E06A7"/>
    <w:rsid w:val="002E0BD3"/>
    <w:rsid w:val="002E0FC1"/>
    <w:rsid w:val="002E13D0"/>
    <w:rsid w:val="002E2088"/>
    <w:rsid w:val="002E2584"/>
    <w:rsid w:val="002E37E4"/>
    <w:rsid w:val="002E4630"/>
    <w:rsid w:val="002E7345"/>
    <w:rsid w:val="002E7CE1"/>
    <w:rsid w:val="002F0FBA"/>
    <w:rsid w:val="002F3A4D"/>
    <w:rsid w:val="002F6C5E"/>
    <w:rsid w:val="00303A1D"/>
    <w:rsid w:val="00303B3E"/>
    <w:rsid w:val="003045AC"/>
    <w:rsid w:val="003049C5"/>
    <w:rsid w:val="0030585A"/>
    <w:rsid w:val="00311F36"/>
    <w:rsid w:val="00315EDD"/>
    <w:rsid w:val="0031641C"/>
    <w:rsid w:val="003206C7"/>
    <w:rsid w:val="00325595"/>
    <w:rsid w:val="003265A2"/>
    <w:rsid w:val="00330696"/>
    <w:rsid w:val="00331CA2"/>
    <w:rsid w:val="003329BF"/>
    <w:rsid w:val="003335F5"/>
    <w:rsid w:val="003341EE"/>
    <w:rsid w:val="003351A0"/>
    <w:rsid w:val="00337B0C"/>
    <w:rsid w:val="00337DC3"/>
    <w:rsid w:val="00337DDF"/>
    <w:rsid w:val="003400A7"/>
    <w:rsid w:val="0034057A"/>
    <w:rsid w:val="00341D2F"/>
    <w:rsid w:val="00343DC0"/>
    <w:rsid w:val="00351456"/>
    <w:rsid w:val="00351681"/>
    <w:rsid w:val="00352090"/>
    <w:rsid w:val="003567F8"/>
    <w:rsid w:val="00361CDA"/>
    <w:rsid w:val="00362D88"/>
    <w:rsid w:val="00363FC8"/>
    <w:rsid w:val="00367D99"/>
    <w:rsid w:val="00370F3D"/>
    <w:rsid w:val="003730D0"/>
    <w:rsid w:val="003731FC"/>
    <w:rsid w:val="0037718E"/>
    <w:rsid w:val="00381C38"/>
    <w:rsid w:val="0038377D"/>
    <w:rsid w:val="00384EC5"/>
    <w:rsid w:val="00386975"/>
    <w:rsid w:val="00387120"/>
    <w:rsid w:val="0038746D"/>
    <w:rsid w:val="00392B95"/>
    <w:rsid w:val="0039338C"/>
    <w:rsid w:val="00393B08"/>
    <w:rsid w:val="00393D37"/>
    <w:rsid w:val="00394DEC"/>
    <w:rsid w:val="00395606"/>
    <w:rsid w:val="003A031B"/>
    <w:rsid w:val="003A11AE"/>
    <w:rsid w:val="003A453B"/>
    <w:rsid w:val="003B37D4"/>
    <w:rsid w:val="003B3F96"/>
    <w:rsid w:val="003C0894"/>
    <w:rsid w:val="003C0F67"/>
    <w:rsid w:val="003C2F3E"/>
    <w:rsid w:val="003C39D4"/>
    <w:rsid w:val="003C40E2"/>
    <w:rsid w:val="003C4114"/>
    <w:rsid w:val="003C4FB0"/>
    <w:rsid w:val="003C605E"/>
    <w:rsid w:val="003D13F6"/>
    <w:rsid w:val="003D18FC"/>
    <w:rsid w:val="003D3381"/>
    <w:rsid w:val="003D3DFA"/>
    <w:rsid w:val="003D4040"/>
    <w:rsid w:val="003D4523"/>
    <w:rsid w:val="003D4D8D"/>
    <w:rsid w:val="003E1AB8"/>
    <w:rsid w:val="003E2234"/>
    <w:rsid w:val="003E539C"/>
    <w:rsid w:val="003E773E"/>
    <w:rsid w:val="003E7C73"/>
    <w:rsid w:val="003F02C5"/>
    <w:rsid w:val="003F05DD"/>
    <w:rsid w:val="003F1399"/>
    <w:rsid w:val="003F1B95"/>
    <w:rsid w:val="003F432F"/>
    <w:rsid w:val="003F4503"/>
    <w:rsid w:val="003F480B"/>
    <w:rsid w:val="003F4C92"/>
    <w:rsid w:val="00400CA7"/>
    <w:rsid w:val="004010F5"/>
    <w:rsid w:val="00403290"/>
    <w:rsid w:val="00403F4E"/>
    <w:rsid w:val="0040475F"/>
    <w:rsid w:val="004048B5"/>
    <w:rsid w:val="00406986"/>
    <w:rsid w:val="004100D6"/>
    <w:rsid w:val="00411876"/>
    <w:rsid w:val="00414829"/>
    <w:rsid w:val="00420E40"/>
    <w:rsid w:val="00423CB9"/>
    <w:rsid w:val="00425992"/>
    <w:rsid w:val="00431207"/>
    <w:rsid w:val="00433028"/>
    <w:rsid w:val="00433184"/>
    <w:rsid w:val="0043463B"/>
    <w:rsid w:val="00434C0D"/>
    <w:rsid w:val="0043528E"/>
    <w:rsid w:val="0043578A"/>
    <w:rsid w:val="004377EF"/>
    <w:rsid w:val="0044162C"/>
    <w:rsid w:val="00441A0A"/>
    <w:rsid w:val="00441AEE"/>
    <w:rsid w:val="0044284C"/>
    <w:rsid w:val="00442F96"/>
    <w:rsid w:val="004448C1"/>
    <w:rsid w:val="0044535A"/>
    <w:rsid w:val="004456CC"/>
    <w:rsid w:val="00445811"/>
    <w:rsid w:val="004463F7"/>
    <w:rsid w:val="00454B53"/>
    <w:rsid w:val="00455A8F"/>
    <w:rsid w:val="00455C02"/>
    <w:rsid w:val="004601E8"/>
    <w:rsid w:val="00460465"/>
    <w:rsid w:val="004624BF"/>
    <w:rsid w:val="00464F12"/>
    <w:rsid w:val="0046504D"/>
    <w:rsid w:val="00466D0D"/>
    <w:rsid w:val="00471418"/>
    <w:rsid w:val="00472AAD"/>
    <w:rsid w:val="00475EA5"/>
    <w:rsid w:val="004762ED"/>
    <w:rsid w:val="0047768F"/>
    <w:rsid w:val="00480C18"/>
    <w:rsid w:val="00481065"/>
    <w:rsid w:val="004812D1"/>
    <w:rsid w:val="00483027"/>
    <w:rsid w:val="00487A40"/>
    <w:rsid w:val="004907C0"/>
    <w:rsid w:val="00491B25"/>
    <w:rsid w:val="004940AE"/>
    <w:rsid w:val="00494390"/>
    <w:rsid w:val="0049648E"/>
    <w:rsid w:val="00497AB8"/>
    <w:rsid w:val="004A048D"/>
    <w:rsid w:val="004A1A66"/>
    <w:rsid w:val="004A1CFF"/>
    <w:rsid w:val="004A2198"/>
    <w:rsid w:val="004A289F"/>
    <w:rsid w:val="004A44F0"/>
    <w:rsid w:val="004A476E"/>
    <w:rsid w:val="004A5BC3"/>
    <w:rsid w:val="004A7FE4"/>
    <w:rsid w:val="004B0358"/>
    <w:rsid w:val="004B302C"/>
    <w:rsid w:val="004B408D"/>
    <w:rsid w:val="004B469A"/>
    <w:rsid w:val="004B51F6"/>
    <w:rsid w:val="004C034B"/>
    <w:rsid w:val="004C0954"/>
    <w:rsid w:val="004C0F77"/>
    <w:rsid w:val="004C3CDE"/>
    <w:rsid w:val="004C4E46"/>
    <w:rsid w:val="004C69F1"/>
    <w:rsid w:val="004C6E09"/>
    <w:rsid w:val="004D114F"/>
    <w:rsid w:val="004D19F5"/>
    <w:rsid w:val="004D1A5B"/>
    <w:rsid w:val="004D22BD"/>
    <w:rsid w:val="004D4C6A"/>
    <w:rsid w:val="004D6D56"/>
    <w:rsid w:val="004D70AA"/>
    <w:rsid w:val="004D7F4E"/>
    <w:rsid w:val="004E16AA"/>
    <w:rsid w:val="004E1AF7"/>
    <w:rsid w:val="004F336E"/>
    <w:rsid w:val="004F60E6"/>
    <w:rsid w:val="004F6C4F"/>
    <w:rsid w:val="00502A82"/>
    <w:rsid w:val="00503630"/>
    <w:rsid w:val="005107F8"/>
    <w:rsid w:val="005114A1"/>
    <w:rsid w:val="00515365"/>
    <w:rsid w:val="00515C41"/>
    <w:rsid w:val="00516227"/>
    <w:rsid w:val="00517C6F"/>
    <w:rsid w:val="005220EB"/>
    <w:rsid w:val="00524663"/>
    <w:rsid w:val="0052526D"/>
    <w:rsid w:val="005268ED"/>
    <w:rsid w:val="00527EA1"/>
    <w:rsid w:val="00531778"/>
    <w:rsid w:val="0053271E"/>
    <w:rsid w:val="00532C67"/>
    <w:rsid w:val="00532E9A"/>
    <w:rsid w:val="00536AF5"/>
    <w:rsid w:val="0053738C"/>
    <w:rsid w:val="005377FB"/>
    <w:rsid w:val="0054256C"/>
    <w:rsid w:val="00543F4D"/>
    <w:rsid w:val="005453BE"/>
    <w:rsid w:val="00545432"/>
    <w:rsid w:val="005469A0"/>
    <w:rsid w:val="00550AEF"/>
    <w:rsid w:val="00551192"/>
    <w:rsid w:val="0055201F"/>
    <w:rsid w:val="005521B4"/>
    <w:rsid w:val="0055276C"/>
    <w:rsid w:val="0055292C"/>
    <w:rsid w:val="00553462"/>
    <w:rsid w:val="0055613D"/>
    <w:rsid w:val="005564BE"/>
    <w:rsid w:val="00562189"/>
    <w:rsid w:val="00562A35"/>
    <w:rsid w:val="00562A79"/>
    <w:rsid w:val="00562B55"/>
    <w:rsid w:val="00562C15"/>
    <w:rsid w:val="00563042"/>
    <w:rsid w:val="00565DAE"/>
    <w:rsid w:val="00567803"/>
    <w:rsid w:val="00567C0D"/>
    <w:rsid w:val="005719A5"/>
    <w:rsid w:val="005728CE"/>
    <w:rsid w:val="00575838"/>
    <w:rsid w:val="00580D7D"/>
    <w:rsid w:val="00581AAB"/>
    <w:rsid w:val="00582F50"/>
    <w:rsid w:val="00583349"/>
    <w:rsid w:val="00583A1A"/>
    <w:rsid w:val="00585625"/>
    <w:rsid w:val="0058758F"/>
    <w:rsid w:val="00591668"/>
    <w:rsid w:val="00593AB0"/>
    <w:rsid w:val="005951EE"/>
    <w:rsid w:val="00595BCC"/>
    <w:rsid w:val="0059654B"/>
    <w:rsid w:val="0059658D"/>
    <w:rsid w:val="00596946"/>
    <w:rsid w:val="00596C8C"/>
    <w:rsid w:val="00597BB8"/>
    <w:rsid w:val="005A029B"/>
    <w:rsid w:val="005A1AEF"/>
    <w:rsid w:val="005B02F6"/>
    <w:rsid w:val="005B0889"/>
    <w:rsid w:val="005B1A95"/>
    <w:rsid w:val="005B2EC3"/>
    <w:rsid w:val="005B41A6"/>
    <w:rsid w:val="005B48D8"/>
    <w:rsid w:val="005B6230"/>
    <w:rsid w:val="005B652A"/>
    <w:rsid w:val="005B7361"/>
    <w:rsid w:val="005C12F9"/>
    <w:rsid w:val="005C3395"/>
    <w:rsid w:val="005C34EF"/>
    <w:rsid w:val="005C3C54"/>
    <w:rsid w:val="005C432D"/>
    <w:rsid w:val="005C4F76"/>
    <w:rsid w:val="005C5511"/>
    <w:rsid w:val="005C5B93"/>
    <w:rsid w:val="005C5BAD"/>
    <w:rsid w:val="005C681B"/>
    <w:rsid w:val="005C73DF"/>
    <w:rsid w:val="005C74BC"/>
    <w:rsid w:val="005D11F3"/>
    <w:rsid w:val="005D217E"/>
    <w:rsid w:val="005D279C"/>
    <w:rsid w:val="005D2B39"/>
    <w:rsid w:val="005D32D2"/>
    <w:rsid w:val="005D3F49"/>
    <w:rsid w:val="005D442D"/>
    <w:rsid w:val="005D782C"/>
    <w:rsid w:val="005E30A3"/>
    <w:rsid w:val="005E5420"/>
    <w:rsid w:val="005E59AA"/>
    <w:rsid w:val="005E61B0"/>
    <w:rsid w:val="005E66E6"/>
    <w:rsid w:val="005F24CF"/>
    <w:rsid w:val="005F2DE4"/>
    <w:rsid w:val="005F30CA"/>
    <w:rsid w:val="005F7259"/>
    <w:rsid w:val="006022EA"/>
    <w:rsid w:val="00603395"/>
    <w:rsid w:val="00604FCB"/>
    <w:rsid w:val="006104EB"/>
    <w:rsid w:val="006113F6"/>
    <w:rsid w:val="0061144E"/>
    <w:rsid w:val="006118DB"/>
    <w:rsid w:val="00614CD8"/>
    <w:rsid w:val="006155CE"/>
    <w:rsid w:val="0061564F"/>
    <w:rsid w:val="006173C1"/>
    <w:rsid w:val="00622BE7"/>
    <w:rsid w:val="00623E1D"/>
    <w:rsid w:val="00626229"/>
    <w:rsid w:val="00630162"/>
    <w:rsid w:val="00630971"/>
    <w:rsid w:val="00632D8A"/>
    <w:rsid w:val="00633654"/>
    <w:rsid w:val="00634FD8"/>
    <w:rsid w:val="00636F6A"/>
    <w:rsid w:val="0064014A"/>
    <w:rsid w:val="00641583"/>
    <w:rsid w:val="0064190F"/>
    <w:rsid w:val="00643DDF"/>
    <w:rsid w:val="00645B6F"/>
    <w:rsid w:val="006467ED"/>
    <w:rsid w:val="006470B3"/>
    <w:rsid w:val="006473C0"/>
    <w:rsid w:val="006506A7"/>
    <w:rsid w:val="006518EF"/>
    <w:rsid w:val="00652DCC"/>
    <w:rsid w:val="006537A6"/>
    <w:rsid w:val="00654C8A"/>
    <w:rsid w:val="0065623D"/>
    <w:rsid w:val="00657CCE"/>
    <w:rsid w:val="0066159F"/>
    <w:rsid w:val="00661F7E"/>
    <w:rsid w:val="0066375F"/>
    <w:rsid w:val="00663D8D"/>
    <w:rsid w:val="00663DBC"/>
    <w:rsid w:val="00664D36"/>
    <w:rsid w:val="006653E7"/>
    <w:rsid w:val="006672BA"/>
    <w:rsid w:val="00667F9B"/>
    <w:rsid w:val="00672C76"/>
    <w:rsid w:val="00673510"/>
    <w:rsid w:val="00673D25"/>
    <w:rsid w:val="00674499"/>
    <w:rsid w:val="00675EEC"/>
    <w:rsid w:val="006772F5"/>
    <w:rsid w:val="00681DBF"/>
    <w:rsid w:val="00681E96"/>
    <w:rsid w:val="00682C16"/>
    <w:rsid w:val="00682E6A"/>
    <w:rsid w:val="0068388B"/>
    <w:rsid w:val="00686BCD"/>
    <w:rsid w:val="00686FCE"/>
    <w:rsid w:val="0068784B"/>
    <w:rsid w:val="006907A3"/>
    <w:rsid w:val="00690DE1"/>
    <w:rsid w:val="006955EE"/>
    <w:rsid w:val="0069588E"/>
    <w:rsid w:val="00695DA2"/>
    <w:rsid w:val="00697D41"/>
    <w:rsid w:val="006A111C"/>
    <w:rsid w:val="006A289B"/>
    <w:rsid w:val="006A4151"/>
    <w:rsid w:val="006A41D6"/>
    <w:rsid w:val="006A584F"/>
    <w:rsid w:val="006A739A"/>
    <w:rsid w:val="006A7DC6"/>
    <w:rsid w:val="006B20A1"/>
    <w:rsid w:val="006B29BE"/>
    <w:rsid w:val="006B3695"/>
    <w:rsid w:val="006B5AF5"/>
    <w:rsid w:val="006B5AF7"/>
    <w:rsid w:val="006B5BFC"/>
    <w:rsid w:val="006C232D"/>
    <w:rsid w:val="006C272D"/>
    <w:rsid w:val="006C3204"/>
    <w:rsid w:val="006C3734"/>
    <w:rsid w:val="006C4517"/>
    <w:rsid w:val="006C6666"/>
    <w:rsid w:val="006D0BF7"/>
    <w:rsid w:val="006D2438"/>
    <w:rsid w:val="006D3DC6"/>
    <w:rsid w:val="006D40D3"/>
    <w:rsid w:val="006D42D6"/>
    <w:rsid w:val="006D6ED9"/>
    <w:rsid w:val="006E0D55"/>
    <w:rsid w:val="006E1D73"/>
    <w:rsid w:val="006E24C0"/>
    <w:rsid w:val="006E57F0"/>
    <w:rsid w:val="006E58E2"/>
    <w:rsid w:val="006E64AA"/>
    <w:rsid w:val="006E72BF"/>
    <w:rsid w:val="006E76C7"/>
    <w:rsid w:val="006E77F2"/>
    <w:rsid w:val="006F1AF9"/>
    <w:rsid w:val="006F411A"/>
    <w:rsid w:val="006F5A46"/>
    <w:rsid w:val="006F5C21"/>
    <w:rsid w:val="006F5EC3"/>
    <w:rsid w:val="006F643E"/>
    <w:rsid w:val="006F6C0C"/>
    <w:rsid w:val="00700FF1"/>
    <w:rsid w:val="007020EC"/>
    <w:rsid w:val="007113F1"/>
    <w:rsid w:val="0071141C"/>
    <w:rsid w:val="00711618"/>
    <w:rsid w:val="007127DF"/>
    <w:rsid w:val="007153CF"/>
    <w:rsid w:val="00717BE3"/>
    <w:rsid w:val="0072204A"/>
    <w:rsid w:val="007230AA"/>
    <w:rsid w:val="0072443B"/>
    <w:rsid w:val="00727CB8"/>
    <w:rsid w:val="00730566"/>
    <w:rsid w:val="00733713"/>
    <w:rsid w:val="00733960"/>
    <w:rsid w:val="007374BF"/>
    <w:rsid w:val="00737FF3"/>
    <w:rsid w:val="00737FF6"/>
    <w:rsid w:val="007410F3"/>
    <w:rsid w:val="00741250"/>
    <w:rsid w:val="0074146A"/>
    <w:rsid w:val="00741BEC"/>
    <w:rsid w:val="00741C37"/>
    <w:rsid w:val="007469F8"/>
    <w:rsid w:val="0075021C"/>
    <w:rsid w:val="00750312"/>
    <w:rsid w:val="00750DAC"/>
    <w:rsid w:val="00750F8A"/>
    <w:rsid w:val="00755A0E"/>
    <w:rsid w:val="00756D3B"/>
    <w:rsid w:val="00757E4E"/>
    <w:rsid w:val="00760ECD"/>
    <w:rsid w:val="00761EF6"/>
    <w:rsid w:val="00763C18"/>
    <w:rsid w:val="00765806"/>
    <w:rsid w:val="007659CE"/>
    <w:rsid w:val="00766A2E"/>
    <w:rsid w:val="0076730A"/>
    <w:rsid w:val="00767F17"/>
    <w:rsid w:val="007709A6"/>
    <w:rsid w:val="00770A4B"/>
    <w:rsid w:val="00772D38"/>
    <w:rsid w:val="007735E0"/>
    <w:rsid w:val="00776379"/>
    <w:rsid w:val="00776BB9"/>
    <w:rsid w:val="00777D2D"/>
    <w:rsid w:val="0078001C"/>
    <w:rsid w:val="007918F1"/>
    <w:rsid w:val="007929D6"/>
    <w:rsid w:val="007956BE"/>
    <w:rsid w:val="00795999"/>
    <w:rsid w:val="007A0D1B"/>
    <w:rsid w:val="007A1AEE"/>
    <w:rsid w:val="007A32E3"/>
    <w:rsid w:val="007A4C00"/>
    <w:rsid w:val="007A66CE"/>
    <w:rsid w:val="007A66D5"/>
    <w:rsid w:val="007A72E4"/>
    <w:rsid w:val="007B07AD"/>
    <w:rsid w:val="007B1965"/>
    <w:rsid w:val="007B2C5E"/>
    <w:rsid w:val="007B55CF"/>
    <w:rsid w:val="007B5A8E"/>
    <w:rsid w:val="007B5BEB"/>
    <w:rsid w:val="007C0205"/>
    <w:rsid w:val="007C027D"/>
    <w:rsid w:val="007C0353"/>
    <w:rsid w:val="007C0634"/>
    <w:rsid w:val="007C1052"/>
    <w:rsid w:val="007C3E0A"/>
    <w:rsid w:val="007C4957"/>
    <w:rsid w:val="007C4B60"/>
    <w:rsid w:val="007C6236"/>
    <w:rsid w:val="007C64F2"/>
    <w:rsid w:val="007D1212"/>
    <w:rsid w:val="007D28B6"/>
    <w:rsid w:val="007D28CC"/>
    <w:rsid w:val="007D43C3"/>
    <w:rsid w:val="007D5909"/>
    <w:rsid w:val="007D7276"/>
    <w:rsid w:val="007D7534"/>
    <w:rsid w:val="007D7973"/>
    <w:rsid w:val="007E316C"/>
    <w:rsid w:val="007E4605"/>
    <w:rsid w:val="007E531F"/>
    <w:rsid w:val="007E570F"/>
    <w:rsid w:val="007E5B48"/>
    <w:rsid w:val="007E793A"/>
    <w:rsid w:val="007F1652"/>
    <w:rsid w:val="007F3416"/>
    <w:rsid w:val="007F3451"/>
    <w:rsid w:val="007F49C7"/>
    <w:rsid w:val="007F5715"/>
    <w:rsid w:val="007F68ED"/>
    <w:rsid w:val="00800A10"/>
    <w:rsid w:val="008043F1"/>
    <w:rsid w:val="00805AD8"/>
    <w:rsid w:val="008065A5"/>
    <w:rsid w:val="008076EA"/>
    <w:rsid w:val="008111D7"/>
    <w:rsid w:val="00811418"/>
    <w:rsid w:val="00811888"/>
    <w:rsid w:val="00814A81"/>
    <w:rsid w:val="008151D9"/>
    <w:rsid w:val="00815824"/>
    <w:rsid w:val="00816B8D"/>
    <w:rsid w:val="00822136"/>
    <w:rsid w:val="00824C09"/>
    <w:rsid w:val="00825940"/>
    <w:rsid w:val="00827A48"/>
    <w:rsid w:val="00827B06"/>
    <w:rsid w:val="0083003D"/>
    <w:rsid w:val="008308F9"/>
    <w:rsid w:val="008317F8"/>
    <w:rsid w:val="0083407C"/>
    <w:rsid w:val="00834B21"/>
    <w:rsid w:val="0084021D"/>
    <w:rsid w:val="008428A2"/>
    <w:rsid w:val="008452F6"/>
    <w:rsid w:val="00846CA3"/>
    <w:rsid w:val="008477F5"/>
    <w:rsid w:val="00850921"/>
    <w:rsid w:val="0085229E"/>
    <w:rsid w:val="008628E3"/>
    <w:rsid w:val="0086323A"/>
    <w:rsid w:val="008642E1"/>
    <w:rsid w:val="00866BAB"/>
    <w:rsid w:val="00867AF5"/>
    <w:rsid w:val="00870F90"/>
    <w:rsid w:val="00871314"/>
    <w:rsid w:val="008747C9"/>
    <w:rsid w:val="00876E4B"/>
    <w:rsid w:val="00882259"/>
    <w:rsid w:val="00882760"/>
    <w:rsid w:val="00882A9F"/>
    <w:rsid w:val="00883964"/>
    <w:rsid w:val="00883AC8"/>
    <w:rsid w:val="008869EE"/>
    <w:rsid w:val="00890CBB"/>
    <w:rsid w:val="008912B1"/>
    <w:rsid w:val="008914A6"/>
    <w:rsid w:val="00891AB7"/>
    <w:rsid w:val="008925B4"/>
    <w:rsid w:val="008926BB"/>
    <w:rsid w:val="00893856"/>
    <w:rsid w:val="00893EA4"/>
    <w:rsid w:val="00894CAA"/>
    <w:rsid w:val="00897B4C"/>
    <w:rsid w:val="008A03B7"/>
    <w:rsid w:val="008A050D"/>
    <w:rsid w:val="008A0E9B"/>
    <w:rsid w:val="008A180B"/>
    <w:rsid w:val="008A183B"/>
    <w:rsid w:val="008A1FE9"/>
    <w:rsid w:val="008A480B"/>
    <w:rsid w:val="008A4E8A"/>
    <w:rsid w:val="008A660E"/>
    <w:rsid w:val="008A7B8C"/>
    <w:rsid w:val="008B1B12"/>
    <w:rsid w:val="008B1EDF"/>
    <w:rsid w:val="008B45A0"/>
    <w:rsid w:val="008C0E24"/>
    <w:rsid w:val="008C1957"/>
    <w:rsid w:val="008C2F2C"/>
    <w:rsid w:val="008D14C5"/>
    <w:rsid w:val="008D3BA5"/>
    <w:rsid w:val="008D52C2"/>
    <w:rsid w:val="008D5660"/>
    <w:rsid w:val="008E0BD8"/>
    <w:rsid w:val="008E0DAF"/>
    <w:rsid w:val="008E1015"/>
    <w:rsid w:val="008E1178"/>
    <w:rsid w:val="008E4183"/>
    <w:rsid w:val="008E53BD"/>
    <w:rsid w:val="008E63A0"/>
    <w:rsid w:val="008E6CDD"/>
    <w:rsid w:val="008E6D14"/>
    <w:rsid w:val="008F026F"/>
    <w:rsid w:val="008F0F93"/>
    <w:rsid w:val="008F3253"/>
    <w:rsid w:val="008F3A1F"/>
    <w:rsid w:val="008F3CA4"/>
    <w:rsid w:val="00900247"/>
    <w:rsid w:val="00900F2F"/>
    <w:rsid w:val="009014C6"/>
    <w:rsid w:val="009016B4"/>
    <w:rsid w:val="009029D6"/>
    <w:rsid w:val="00903705"/>
    <w:rsid w:val="009039B9"/>
    <w:rsid w:val="00904FCC"/>
    <w:rsid w:val="00905689"/>
    <w:rsid w:val="0090572B"/>
    <w:rsid w:val="00906DFB"/>
    <w:rsid w:val="00912A37"/>
    <w:rsid w:val="0091368B"/>
    <w:rsid w:val="009149DE"/>
    <w:rsid w:val="0091746A"/>
    <w:rsid w:val="00923233"/>
    <w:rsid w:val="00923F56"/>
    <w:rsid w:val="0092452F"/>
    <w:rsid w:val="009263C2"/>
    <w:rsid w:val="00926A72"/>
    <w:rsid w:val="00927FF6"/>
    <w:rsid w:val="009304C4"/>
    <w:rsid w:val="0093299C"/>
    <w:rsid w:val="00932CC3"/>
    <w:rsid w:val="0093309D"/>
    <w:rsid w:val="009342E4"/>
    <w:rsid w:val="00934586"/>
    <w:rsid w:val="00934CFB"/>
    <w:rsid w:val="00935508"/>
    <w:rsid w:val="00935FBE"/>
    <w:rsid w:val="00942018"/>
    <w:rsid w:val="00942EC3"/>
    <w:rsid w:val="00947F74"/>
    <w:rsid w:val="00955D3C"/>
    <w:rsid w:val="00956F38"/>
    <w:rsid w:val="0096206F"/>
    <w:rsid w:val="009624C1"/>
    <w:rsid w:val="00963DA4"/>
    <w:rsid w:val="00964E69"/>
    <w:rsid w:val="0096582F"/>
    <w:rsid w:val="009658D0"/>
    <w:rsid w:val="00966957"/>
    <w:rsid w:val="00966D87"/>
    <w:rsid w:val="009676AD"/>
    <w:rsid w:val="00967857"/>
    <w:rsid w:val="00970907"/>
    <w:rsid w:val="00973C42"/>
    <w:rsid w:val="009762C4"/>
    <w:rsid w:val="0097710B"/>
    <w:rsid w:val="009778DD"/>
    <w:rsid w:val="009817AC"/>
    <w:rsid w:val="00981ECD"/>
    <w:rsid w:val="00985963"/>
    <w:rsid w:val="00986F2A"/>
    <w:rsid w:val="00991D82"/>
    <w:rsid w:val="00991F58"/>
    <w:rsid w:val="00995B0B"/>
    <w:rsid w:val="00997996"/>
    <w:rsid w:val="00997D44"/>
    <w:rsid w:val="009A0258"/>
    <w:rsid w:val="009A3EA6"/>
    <w:rsid w:val="009A46B8"/>
    <w:rsid w:val="009A5AE1"/>
    <w:rsid w:val="009A738E"/>
    <w:rsid w:val="009B072C"/>
    <w:rsid w:val="009B31BD"/>
    <w:rsid w:val="009B3DCE"/>
    <w:rsid w:val="009B4AE8"/>
    <w:rsid w:val="009B70C6"/>
    <w:rsid w:val="009B7388"/>
    <w:rsid w:val="009C0675"/>
    <w:rsid w:val="009C0942"/>
    <w:rsid w:val="009C462A"/>
    <w:rsid w:val="009D246A"/>
    <w:rsid w:val="009D576B"/>
    <w:rsid w:val="009D6571"/>
    <w:rsid w:val="009D6FA0"/>
    <w:rsid w:val="009E3461"/>
    <w:rsid w:val="009E3D1C"/>
    <w:rsid w:val="009F36FF"/>
    <w:rsid w:val="009F392E"/>
    <w:rsid w:val="009F4934"/>
    <w:rsid w:val="00A019D6"/>
    <w:rsid w:val="00A051B2"/>
    <w:rsid w:val="00A0520D"/>
    <w:rsid w:val="00A06CF2"/>
    <w:rsid w:val="00A108D1"/>
    <w:rsid w:val="00A11312"/>
    <w:rsid w:val="00A12583"/>
    <w:rsid w:val="00A16E81"/>
    <w:rsid w:val="00A17E0F"/>
    <w:rsid w:val="00A208C3"/>
    <w:rsid w:val="00A22228"/>
    <w:rsid w:val="00A222DC"/>
    <w:rsid w:val="00A238B4"/>
    <w:rsid w:val="00A25751"/>
    <w:rsid w:val="00A25900"/>
    <w:rsid w:val="00A274AA"/>
    <w:rsid w:val="00A27E18"/>
    <w:rsid w:val="00A30392"/>
    <w:rsid w:val="00A311F8"/>
    <w:rsid w:val="00A32307"/>
    <w:rsid w:val="00A34676"/>
    <w:rsid w:val="00A358F4"/>
    <w:rsid w:val="00A404F9"/>
    <w:rsid w:val="00A40FFA"/>
    <w:rsid w:val="00A428F3"/>
    <w:rsid w:val="00A448AE"/>
    <w:rsid w:val="00A449EB"/>
    <w:rsid w:val="00A45231"/>
    <w:rsid w:val="00A453B2"/>
    <w:rsid w:val="00A50A81"/>
    <w:rsid w:val="00A5186F"/>
    <w:rsid w:val="00A51AE0"/>
    <w:rsid w:val="00A52742"/>
    <w:rsid w:val="00A53B9C"/>
    <w:rsid w:val="00A56078"/>
    <w:rsid w:val="00A566E6"/>
    <w:rsid w:val="00A601E6"/>
    <w:rsid w:val="00A60D90"/>
    <w:rsid w:val="00A6285D"/>
    <w:rsid w:val="00A62FFC"/>
    <w:rsid w:val="00A643D4"/>
    <w:rsid w:val="00A64E7C"/>
    <w:rsid w:val="00A716E8"/>
    <w:rsid w:val="00A72612"/>
    <w:rsid w:val="00A72E33"/>
    <w:rsid w:val="00A748AA"/>
    <w:rsid w:val="00A749A0"/>
    <w:rsid w:val="00A825D8"/>
    <w:rsid w:val="00A82A9B"/>
    <w:rsid w:val="00A83774"/>
    <w:rsid w:val="00A83DB5"/>
    <w:rsid w:val="00A85452"/>
    <w:rsid w:val="00A85FCF"/>
    <w:rsid w:val="00A877B8"/>
    <w:rsid w:val="00A91D49"/>
    <w:rsid w:val="00A91D9B"/>
    <w:rsid w:val="00A92925"/>
    <w:rsid w:val="00A92D63"/>
    <w:rsid w:val="00A93099"/>
    <w:rsid w:val="00A936AE"/>
    <w:rsid w:val="00A939C6"/>
    <w:rsid w:val="00A95C77"/>
    <w:rsid w:val="00A9652C"/>
    <w:rsid w:val="00A967B0"/>
    <w:rsid w:val="00A97777"/>
    <w:rsid w:val="00AA048E"/>
    <w:rsid w:val="00AA0770"/>
    <w:rsid w:val="00AA0DD5"/>
    <w:rsid w:val="00AA1268"/>
    <w:rsid w:val="00AA2878"/>
    <w:rsid w:val="00AA319E"/>
    <w:rsid w:val="00AA4B7A"/>
    <w:rsid w:val="00AA4CD7"/>
    <w:rsid w:val="00AA5439"/>
    <w:rsid w:val="00AA63AD"/>
    <w:rsid w:val="00AB0BE1"/>
    <w:rsid w:val="00AB338B"/>
    <w:rsid w:val="00AB3B64"/>
    <w:rsid w:val="00AB4D99"/>
    <w:rsid w:val="00AC1F0A"/>
    <w:rsid w:val="00AC228C"/>
    <w:rsid w:val="00AC44D2"/>
    <w:rsid w:val="00AD01EA"/>
    <w:rsid w:val="00AD1865"/>
    <w:rsid w:val="00AD246B"/>
    <w:rsid w:val="00AD4783"/>
    <w:rsid w:val="00AD6C78"/>
    <w:rsid w:val="00AE15BA"/>
    <w:rsid w:val="00AE355D"/>
    <w:rsid w:val="00AE41F5"/>
    <w:rsid w:val="00AE4900"/>
    <w:rsid w:val="00AE498A"/>
    <w:rsid w:val="00AE4FDE"/>
    <w:rsid w:val="00AE57F1"/>
    <w:rsid w:val="00AE701A"/>
    <w:rsid w:val="00AF163C"/>
    <w:rsid w:val="00AF22C2"/>
    <w:rsid w:val="00AF3D50"/>
    <w:rsid w:val="00AF491F"/>
    <w:rsid w:val="00AF4C42"/>
    <w:rsid w:val="00B0023F"/>
    <w:rsid w:val="00B01201"/>
    <w:rsid w:val="00B045AA"/>
    <w:rsid w:val="00B046A5"/>
    <w:rsid w:val="00B105EE"/>
    <w:rsid w:val="00B12769"/>
    <w:rsid w:val="00B1360C"/>
    <w:rsid w:val="00B142B1"/>
    <w:rsid w:val="00B14F1C"/>
    <w:rsid w:val="00B2301D"/>
    <w:rsid w:val="00B30591"/>
    <w:rsid w:val="00B31F43"/>
    <w:rsid w:val="00B325E1"/>
    <w:rsid w:val="00B32807"/>
    <w:rsid w:val="00B3280C"/>
    <w:rsid w:val="00B34BCC"/>
    <w:rsid w:val="00B35E2E"/>
    <w:rsid w:val="00B35EAF"/>
    <w:rsid w:val="00B3625E"/>
    <w:rsid w:val="00B36DED"/>
    <w:rsid w:val="00B423C9"/>
    <w:rsid w:val="00B46682"/>
    <w:rsid w:val="00B46E74"/>
    <w:rsid w:val="00B52ED2"/>
    <w:rsid w:val="00B567CB"/>
    <w:rsid w:val="00B56C1D"/>
    <w:rsid w:val="00B60F6B"/>
    <w:rsid w:val="00B662F8"/>
    <w:rsid w:val="00B66750"/>
    <w:rsid w:val="00B66C19"/>
    <w:rsid w:val="00B6782F"/>
    <w:rsid w:val="00B702FF"/>
    <w:rsid w:val="00B70EBB"/>
    <w:rsid w:val="00B710D7"/>
    <w:rsid w:val="00B71B15"/>
    <w:rsid w:val="00B73594"/>
    <w:rsid w:val="00B7509B"/>
    <w:rsid w:val="00B810E0"/>
    <w:rsid w:val="00B81170"/>
    <w:rsid w:val="00B8402E"/>
    <w:rsid w:val="00B85B7F"/>
    <w:rsid w:val="00B85E48"/>
    <w:rsid w:val="00B90F42"/>
    <w:rsid w:val="00B9182F"/>
    <w:rsid w:val="00B94415"/>
    <w:rsid w:val="00BA00CE"/>
    <w:rsid w:val="00BA05FF"/>
    <w:rsid w:val="00BA0741"/>
    <w:rsid w:val="00BA18AC"/>
    <w:rsid w:val="00BA29A4"/>
    <w:rsid w:val="00BA2AB4"/>
    <w:rsid w:val="00BA2C24"/>
    <w:rsid w:val="00BA4A5E"/>
    <w:rsid w:val="00BA626A"/>
    <w:rsid w:val="00BB03C9"/>
    <w:rsid w:val="00BB177A"/>
    <w:rsid w:val="00BB1A6B"/>
    <w:rsid w:val="00BB3258"/>
    <w:rsid w:val="00BB3C8C"/>
    <w:rsid w:val="00BB439B"/>
    <w:rsid w:val="00BB5064"/>
    <w:rsid w:val="00BB696F"/>
    <w:rsid w:val="00BC53ED"/>
    <w:rsid w:val="00BC6FFE"/>
    <w:rsid w:val="00BC74D6"/>
    <w:rsid w:val="00BD0D71"/>
    <w:rsid w:val="00BD3307"/>
    <w:rsid w:val="00BD3D1B"/>
    <w:rsid w:val="00BD5CA2"/>
    <w:rsid w:val="00BD6699"/>
    <w:rsid w:val="00BE1432"/>
    <w:rsid w:val="00BE2E8D"/>
    <w:rsid w:val="00BE4D26"/>
    <w:rsid w:val="00BE5E74"/>
    <w:rsid w:val="00BF284A"/>
    <w:rsid w:val="00BF48BC"/>
    <w:rsid w:val="00BF7395"/>
    <w:rsid w:val="00C00EE5"/>
    <w:rsid w:val="00C01DCA"/>
    <w:rsid w:val="00C02784"/>
    <w:rsid w:val="00C044FA"/>
    <w:rsid w:val="00C04786"/>
    <w:rsid w:val="00C04995"/>
    <w:rsid w:val="00C06F9F"/>
    <w:rsid w:val="00C072B7"/>
    <w:rsid w:val="00C078BF"/>
    <w:rsid w:val="00C11009"/>
    <w:rsid w:val="00C119EC"/>
    <w:rsid w:val="00C130BA"/>
    <w:rsid w:val="00C156C6"/>
    <w:rsid w:val="00C16141"/>
    <w:rsid w:val="00C169F4"/>
    <w:rsid w:val="00C17AA9"/>
    <w:rsid w:val="00C24272"/>
    <w:rsid w:val="00C2435E"/>
    <w:rsid w:val="00C244E4"/>
    <w:rsid w:val="00C2522A"/>
    <w:rsid w:val="00C262ED"/>
    <w:rsid w:val="00C26F35"/>
    <w:rsid w:val="00C334D8"/>
    <w:rsid w:val="00C3519D"/>
    <w:rsid w:val="00C40F18"/>
    <w:rsid w:val="00C424B5"/>
    <w:rsid w:val="00C4441B"/>
    <w:rsid w:val="00C47650"/>
    <w:rsid w:val="00C509D8"/>
    <w:rsid w:val="00C50FB4"/>
    <w:rsid w:val="00C51A0F"/>
    <w:rsid w:val="00C52D1F"/>
    <w:rsid w:val="00C53B8C"/>
    <w:rsid w:val="00C53BDE"/>
    <w:rsid w:val="00C544DC"/>
    <w:rsid w:val="00C564BF"/>
    <w:rsid w:val="00C57D74"/>
    <w:rsid w:val="00C61416"/>
    <w:rsid w:val="00C6173D"/>
    <w:rsid w:val="00C62823"/>
    <w:rsid w:val="00C62C1A"/>
    <w:rsid w:val="00C64485"/>
    <w:rsid w:val="00C66B2C"/>
    <w:rsid w:val="00C673C6"/>
    <w:rsid w:val="00C73BE3"/>
    <w:rsid w:val="00C74158"/>
    <w:rsid w:val="00C77F9A"/>
    <w:rsid w:val="00C8108C"/>
    <w:rsid w:val="00C81DC0"/>
    <w:rsid w:val="00C82388"/>
    <w:rsid w:val="00C8398B"/>
    <w:rsid w:val="00C86402"/>
    <w:rsid w:val="00C87502"/>
    <w:rsid w:val="00C902B0"/>
    <w:rsid w:val="00C90CF5"/>
    <w:rsid w:val="00C92B27"/>
    <w:rsid w:val="00C93003"/>
    <w:rsid w:val="00C9356A"/>
    <w:rsid w:val="00C939C7"/>
    <w:rsid w:val="00C96792"/>
    <w:rsid w:val="00C96F49"/>
    <w:rsid w:val="00C97CA7"/>
    <w:rsid w:val="00CA0FCF"/>
    <w:rsid w:val="00CA2C85"/>
    <w:rsid w:val="00CA47EE"/>
    <w:rsid w:val="00CA5435"/>
    <w:rsid w:val="00CA5718"/>
    <w:rsid w:val="00CB1BCA"/>
    <w:rsid w:val="00CB212C"/>
    <w:rsid w:val="00CB2742"/>
    <w:rsid w:val="00CB2C35"/>
    <w:rsid w:val="00CB54FB"/>
    <w:rsid w:val="00CB6CC5"/>
    <w:rsid w:val="00CC07D8"/>
    <w:rsid w:val="00CC557F"/>
    <w:rsid w:val="00CD00F8"/>
    <w:rsid w:val="00CD0B8C"/>
    <w:rsid w:val="00CD107C"/>
    <w:rsid w:val="00CD1BAF"/>
    <w:rsid w:val="00CE0BD0"/>
    <w:rsid w:val="00CE29BF"/>
    <w:rsid w:val="00CE5CD6"/>
    <w:rsid w:val="00CE7EC6"/>
    <w:rsid w:val="00CF3E73"/>
    <w:rsid w:val="00CF4AFB"/>
    <w:rsid w:val="00CF69F2"/>
    <w:rsid w:val="00CF6E36"/>
    <w:rsid w:val="00CF6E6C"/>
    <w:rsid w:val="00CF7456"/>
    <w:rsid w:val="00CF7A17"/>
    <w:rsid w:val="00D022EC"/>
    <w:rsid w:val="00D04D1F"/>
    <w:rsid w:val="00D060B9"/>
    <w:rsid w:val="00D07750"/>
    <w:rsid w:val="00D10E51"/>
    <w:rsid w:val="00D11100"/>
    <w:rsid w:val="00D1182F"/>
    <w:rsid w:val="00D12656"/>
    <w:rsid w:val="00D16FE3"/>
    <w:rsid w:val="00D21C65"/>
    <w:rsid w:val="00D22EB6"/>
    <w:rsid w:val="00D2372F"/>
    <w:rsid w:val="00D26CD7"/>
    <w:rsid w:val="00D2764A"/>
    <w:rsid w:val="00D30B4C"/>
    <w:rsid w:val="00D319FE"/>
    <w:rsid w:val="00D336B2"/>
    <w:rsid w:val="00D336E6"/>
    <w:rsid w:val="00D3425E"/>
    <w:rsid w:val="00D36252"/>
    <w:rsid w:val="00D363BF"/>
    <w:rsid w:val="00D3647A"/>
    <w:rsid w:val="00D377A7"/>
    <w:rsid w:val="00D40AC3"/>
    <w:rsid w:val="00D41641"/>
    <w:rsid w:val="00D44969"/>
    <w:rsid w:val="00D45256"/>
    <w:rsid w:val="00D46188"/>
    <w:rsid w:val="00D46DC4"/>
    <w:rsid w:val="00D479A2"/>
    <w:rsid w:val="00D511EA"/>
    <w:rsid w:val="00D52442"/>
    <w:rsid w:val="00D559BE"/>
    <w:rsid w:val="00D574D0"/>
    <w:rsid w:val="00D606A2"/>
    <w:rsid w:val="00D62B5D"/>
    <w:rsid w:val="00D62DCC"/>
    <w:rsid w:val="00D634F5"/>
    <w:rsid w:val="00D644E2"/>
    <w:rsid w:val="00D64B0F"/>
    <w:rsid w:val="00D65035"/>
    <w:rsid w:val="00D65136"/>
    <w:rsid w:val="00D6581F"/>
    <w:rsid w:val="00D6667F"/>
    <w:rsid w:val="00D706C9"/>
    <w:rsid w:val="00D709BE"/>
    <w:rsid w:val="00D72048"/>
    <w:rsid w:val="00D73B2C"/>
    <w:rsid w:val="00D74ABB"/>
    <w:rsid w:val="00D74F4C"/>
    <w:rsid w:val="00D758D3"/>
    <w:rsid w:val="00D763DF"/>
    <w:rsid w:val="00D76971"/>
    <w:rsid w:val="00D76B24"/>
    <w:rsid w:val="00D76CAE"/>
    <w:rsid w:val="00D84E28"/>
    <w:rsid w:val="00D86CDC"/>
    <w:rsid w:val="00D921C2"/>
    <w:rsid w:val="00D93D47"/>
    <w:rsid w:val="00D96C7E"/>
    <w:rsid w:val="00D96F4E"/>
    <w:rsid w:val="00DA1CC3"/>
    <w:rsid w:val="00DA2974"/>
    <w:rsid w:val="00DA3461"/>
    <w:rsid w:val="00DA5EEF"/>
    <w:rsid w:val="00DB0D62"/>
    <w:rsid w:val="00DB1E04"/>
    <w:rsid w:val="00DB23DD"/>
    <w:rsid w:val="00DB3358"/>
    <w:rsid w:val="00DB4085"/>
    <w:rsid w:val="00DB4C0B"/>
    <w:rsid w:val="00DB57B5"/>
    <w:rsid w:val="00DC1B23"/>
    <w:rsid w:val="00DC3379"/>
    <w:rsid w:val="00DD220D"/>
    <w:rsid w:val="00DD26D9"/>
    <w:rsid w:val="00DD2AF4"/>
    <w:rsid w:val="00DD56C9"/>
    <w:rsid w:val="00DD56D0"/>
    <w:rsid w:val="00DD6259"/>
    <w:rsid w:val="00DD6428"/>
    <w:rsid w:val="00DD76B9"/>
    <w:rsid w:val="00DD7DE4"/>
    <w:rsid w:val="00DE0EA3"/>
    <w:rsid w:val="00DE1D76"/>
    <w:rsid w:val="00DE43B5"/>
    <w:rsid w:val="00DE4DEE"/>
    <w:rsid w:val="00DE681B"/>
    <w:rsid w:val="00DF041A"/>
    <w:rsid w:val="00DF1D03"/>
    <w:rsid w:val="00DF4111"/>
    <w:rsid w:val="00DF6F78"/>
    <w:rsid w:val="00E00457"/>
    <w:rsid w:val="00E00487"/>
    <w:rsid w:val="00E005E9"/>
    <w:rsid w:val="00E00EDD"/>
    <w:rsid w:val="00E01E7A"/>
    <w:rsid w:val="00E060A0"/>
    <w:rsid w:val="00E06CFD"/>
    <w:rsid w:val="00E06D11"/>
    <w:rsid w:val="00E103CF"/>
    <w:rsid w:val="00E122DB"/>
    <w:rsid w:val="00E167D0"/>
    <w:rsid w:val="00E16E8F"/>
    <w:rsid w:val="00E17177"/>
    <w:rsid w:val="00E2001E"/>
    <w:rsid w:val="00E21D30"/>
    <w:rsid w:val="00E22F4F"/>
    <w:rsid w:val="00E23B04"/>
    <w:rsid w:val="00E23DE9"/>
    <w:rsid w:val="00E23F04"/>
    <w:rsid w:val="00E2461D"/>
    <w:rsid w:val="00E2602D"/>
    <w:rsid w:val="00E26570"/>
    <w:rsid w:val="00E278B1"/>
    <w:rsid w:val="00E27BB2"/>
    <w:rsid w:val="00E305D2"/>
    <w:rsid w:val="00E30698"/>
    <w:rsid w:val="00E30FE7"/>
    <w:rsid w:val="00E31FB0"/>
    <w:rsid w:val="00E34337"/>
    <w:rsid w:val="00E353DD"/>
    <w:rsid w:val="00E35A80"/>
    <w:rsid w:val="00E35AE4"/>
    <w:rsid w:val="00E365F4"/>
    <w:rsid w:val="00E3764F"/>
    <w:rsid w:val="00E37B36"/>
    <w:rsid w:val="00E43253"/>
    <w:rsid w:val="00E446D5"/>
    <w:rsid w:val="00E44DF3"/>
    <w:rsid w:val="00E50AC9"/>
    <w:rsid w:val="00E50DB4"/>
    <w:rsid w:val="00E511A3"/>
    <w:rsid w:val="00E52695"/>
    <w:rsid w:val="00E541C3"/>
    <w:rsid w:val="00E5432F"/>
    <w:rsid w:val="00E55230"/>
    <w:rsid w:val="00E5568A"/>
    <w:rsid w:val="00E55998"/>
    <w:rsid w:val="00E576B0"/>
    <w:rsid w:val="00E576E9"/>
    <w:rsid w:val="00E607A6"/>
    <w:rsid w:val="00E60E38"/>
    <w:rsid w:val="00E65483"/>
    <w:rsid w:val="00E659D7"/>
    <w:rsid w:val="00E65C30"/>
    <w:rsid w:val="00E67ADF"/>
    <w:rsid w:val="00E71C44"/>
    <w:rsid w:val="00E75986"/>
    <w:rsid w:val="00E80286"/>
    <w:rsid w:val="00E80A05"/>
    <w:rsid w:val="00E81FD2"/>
    <w:rsid w:val="00E830C0"/>
    <w:rsid w:val="00E83C53"/>
    <w:rsid w:val="00E84720"/>
    <w:rsid w:val="00E84A41"/>
    <w:rsid w:val="00E85D9D"/>
    <w:rsid w:val="00E86A6B"/>
    <w:rsid w:val="00E90E89"/>
    <w:rsid w:val="00E9135E"/>
    <w:rsid w:val="00E91DFD"/>
    <w:rsid w:val="00E91FC0"/>
    <w:rsid w:val="00E9702B"/>
    <w:rsid w:val="00E97D59"/>
    <w:rsid w:val="00EA1A62"/>
    <w:rsid w:val="00EB148D"/>
    <w:rsid w:val="00EB285B"/>
    <w:rsid w:val="00EB4516"/>
    <w:rsid w:val="00EB568C"/>
    <w:rsid w:val="00EB63A8"/>
    <w:rsid w:val="00EC0EB7"/>
    <w:rsid w:val="00EC280C"/>
    <w:rsid w:val="00EC2E03"/>
    <w:rsid w:val="00EC5DCD"/>
    <w:rsid w:val="00EC645C"/>
    <w:rsid w:val="00EC7011"/>
    <w:rsid w:val="00ED25F9"/>
    <w:rsid w:val="00ED27BF"/>
    <w:rsid w:val="00ED353D"/>
    <w:rsid w:val="00ED3826"/>
    <w:rsid w:val="00ED6D67"/>
    <w:rsid w:val="00EE1778"/>
    <w:rsid w:val="00EE1BF7"/>
    <w:rsid w:val="00EE3FC6"/>
    <w:rsid w:val="00EE53C4"/>
    <w:rsid w:val="00EE6011"/>
    <w:rsid w:val="00EF01AA"/>
    <w:rsid w:val="00EF2028"/>
    <w:rsid w:val="00EF24E2"/>
    <w:rsid w:val="00EF2612"/>
    <w:rsid w:val="00EF26C7"/>
    <w:rsid w:val="00EF2B16"/>
    <w:rsid w:val="00EF335A"/>
    <w:rsid w:val="00EF3900"/>
    <w:rsid w:val="00EF3FE3"/>
    <w:rsid w:val="00EF57F6"/>
    <w:rsid w:val="00EF68DA"/>
    <w:rsid w:val="00EF7D8C"/>
    <w:rsid w:val="00F012BC"/>
    <w:rsid w:val="00F01EC8"/>
    <w:rsid w:val="00F03068"/>
    <w:rsid w:val="00F04A6F"/>
    <w:rsid w:val="00F0532D"/>
    <w:rsid w:val="00F06308"/>
    <w:rsid w:val="00F0793B"/>
    <w:rsid w:val="00F1008A"/>
    <w:rsid w:val="00F10AFD"/>
    <w:rsid w:val="00F11785"/>
    <w:rsid w:val="00F12278"/>
    <w:rsid w:val="00F12E41"/>
    <w:rsid w:val="00F1312C"/>
    <w:rsid w:val="00F1349E"/>
    <w:rsid w:val="00F163C3"/>
    <w:rsid w:val="00F17542"/>
    <w:rsid w:val="00F17C4E"/>
    <w:rsid w:val="00F21103"/>
    <w:rsid w:val="00F21122"/>
    <w:rsid w:val="00F2164B"/>
    <w:rsid w:val="00F232F4"/>
    <w:rsid w:val="00F23CCC"/>
    <w:rsid w:val="00F256DB"/>
    <w:rsid w:val="00F258A5"/>
    <w:rsid w:val="00F27E8E"/>
    <w:rsid w:val="00F30672"/>
    <w:rsid w:val="00F30B0D"/>
    <w:rsid w:val="00F31876"/>
    <w:rsid w:val="00F335DC"/>
    <w:rsid w:val="00F33CE0"/>
    <w:rsid w:val="00F35149"/>
    <w:rsid w:val="00F36934"/>
    <w:rsid w:val="00F40271"/>
    <w:rsid w:val="00F44349"/>
    <w:rsid w:val="00F45439"/>
    <w:rsid w:val="00F4637A"/>
    <w:rsid w:val="00F4638D"/>
    <w:rsid w:val="00F50C72"/>
    <w:rsid w:val="00F51AAA"/>
    <w:rsid w:val="00F51F1E"/>
    <w:rsid w:val="00F5292B"/>
    <w:rsid w:val="00F52B67"/>
    <w:rsid w:val="00F53970"/>
    <w:rsid w:val="00F57169"/>
    <w:rsid w:val="00F57980"/>
    <w:rsid w:val="00F61D45"/>
    <w:rsid w:val="00F62580"/>
    <w:rsid w:val="00F6298B"/>
    <w:rsid w:val="00F62D58"/>
    <w:rsid w:val="00F63E92"/>
    <w:rsid w:val="00F653BC"/>
    <w:rsid w:val="00F6630A"/>
    <w:rsid w:val="00F666E9"/>
    <w:rsid w:val="00F67AA9"/>
    <w:rsid w:val="00F70286"/>
    <w:rsid w:val="00F72AEE"/>
    <w:rsid w:val="00F72ECB"/>
    <w:rsid w:val="00F76924"/>
    <w:rsid w:val="00F81999"/>
    <w:rsid w:val="00F81AFB"/>
    <w:rsid w:val="00F82213"/>
    <w:rsid w:val="00F828FC"/>
    <w:rsid w:val="00F85447"/>
    <w:rsid w:val="00F87044"/>
    <w:rsid w:val="00F9023C"/>
    <w:rsid w:val="00F90C4F"/>
    <w:rsid w:val="00F91EF9"/>
    <w:rsid w:val="00F92938"/>
    <w:rsid w:val="00F96416"/>
    <w:rsid w:val="00FA337B"/>
    <w:rsid w:val="00FA49F6"/>
    <w:rsid w:val="00FA66BD"/>
    <w:rsid w:val="00FA69A4"/>
    <w:rsid w:val="00FB074C"/>
    <w:rsid w:val="00FB36D9"/>
    <w:rsid w:val="00FB3A70"/>
    <w:rsid w:val="00FC0FB1"/>
    <w:rsid w:val="00FC12C9"/>
    <w:rsid w:val="00FC1D95"/>
    <w:rsid w:val="00FC314C"/>
    <w:rsid w:val="00FC3A59"/>
    <w:rsid w:val="00FC50DC"/>
    <w:rsid w:val="00FC5780"/>
    <w:rsid w:val="00FC593D"/>
    <w:rsid w:val="00FC621B"/>
    <w:rsid w:val="00FC6B8C"/>
    <w:rsid w:val="00FD3171"/>
    <w:rsid w:val="00FD750F"/>
    <w:rsid w:val="00FD7D4A"/>
    <w:rsid w:val="00FE4713"/>
    <w:rsid w:val="00FE58D0"/>
    <w:rsid w:val="00FF097A"/>
    <w:rsid w:val="00FF3BAB"/>
    <w:rsid w:val="00FF3C8C"/>
    <w:rsid w:val="00FF417B"/>
    <w:rsid w:val="00FF4936"/>
    <w:rsid w:val="00FF54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35"/>
    <w:rPr>
      <w:sz w:val="24"/>
    </w:rPr>
  </w:style>
  <w:style w:type="paragraph" w:styleId="Heading1">
    <w:name w:val="heading 1"/>
    <w:basedOn w:val="Normal"/>
    <w:next w:val="Normal"/>
    <w:link w:val="Heading1Char"/>
    <w:uiPriority w:val="9"/>
    <w:qFormat/>
    <w:rsid w:val="00F81A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E35A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AF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81AFB"/>
    <w:rPr>
      <w:b/>
      <w:bCs/>
    </w:rPr>
  </w:style>
  <w:style w:type="paragraph" w:styleId="Quote">
    <w:name w:val="Quote"/>
    <w:basedOn w:val="Normal"/>
    <w:next w:val="Normal"/>
    <w:link w:val="QuoteChar"/>
    <w:uiPriority w:val="29"/>
    <w:qFormat/>
    <w:rsid w:val="00F81AFB"/>
    <w:rPr>
      <w:i/>
      <w:iCs/>
      <w:color w:val="000000" w:themeColor="text1"/>
      <w:lang w:val="en-US"/>
    </w:rPr>
  </w:style>
  <w:style w:type="character" w:customStyle="1" w:styleId="QuoteChar">
    <w:name w:val="Quote Char"/>
    <w:basedOn w:val="DefaultParagraphFont"/>
    <w:link w:val="Quote"/>
    <w:uiPriority w:val="29"/>
    <w:rsid w:val="00F81AFB"/>
    <w:rPr>
      <w:i/>
      <w:iCs/>
      <w:color w:val="000000" w:themeColor="text1"/>
      <w:sz w:val="24"/>
      <w:lang w:val="en-US"/>
    </w:rPr>
  </w:style>
  <w:style w:type="paragraph" w:customStyle="1" w:styleId="SCCNormalDoubleSpacing">
    <w:name w:val="SCC.Normal.DoubleSpacing"/>
    <w:basedOn w:val="Normal"/>
    <w:link w:val="SCCNormalDoubleSpacingChar"/>
    <w:rsid w:val="00200735"/>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200735"/>
    <w:rPr>
      <w:sz w:val="24"/>
    </w:rPr>
  </w:style>
  <w:style w:type="paragraph" w:styleId="Header">
    <w:name w:val="header"/>
    <w:basedOn w:val="Normal"/>
    <w:link w:val="HeaderChar"/>
    <w:uiPriority w:val="99"/>
    <w:unhideWhenUsed/>
    <w:rsid w:val="00200735"/>
    <w:pPr>
      <w:tabs>
        <w:tab w:val="center" w:pos="4680"/>
        <w:tab w:val="right" w:pos="9360"/>
      </w:tabs>
    </w:pPr>
  </w:style>
  <w:style w:type="character" w:customStyle="1" w:styleId="HeaderChar">
    <w:name w:val="Header Char"/>
    <w:basedOn w:val="DefaultParagraphFont"/>
    <w:link w:val="Header"/>
    <w:uiPriority w:val="99"/>
    <w:rsid w:val="00200735"/>
    <w:rPr>
      <w:sz w:val="24"/>
    </w:rPr>
  </w:style>
  <w:style w:type="paragraph" w:customStyle="1" w:styleId="SCCLsocParty">
    <w:name w:val="SCC.Lsoc.Party"/>
    <w:basedOn w:val="Normal"/>
    <w:next w:val="Normal"/>
    <w:link w:val="SCCLsocPartyChar"/>
    <w:rsid w:val="00200735"/>
    <w:pPr>
      <w:tabs>
        <w:tab w:val="right" w:pos="8222"/>
      </w:tabs>
      <w:jc w:val="both"/>
    </w:pPr>
    <w:rPr>
      <w:b/>
    </w:rPr>
  </w:style>
  <w:style w:type="character" w:customStyle="1" w:styleId="SCCLsocPartyChar">
    <w:name w:val="SCC.Lsoc.Party Char"/>
    <w:basedOn w:val="DefaultParagraphFont"/>
    <w:link w:val="SCCLsocParty"/>
    <w:rsid w:val="00200735"/>
    <w:rPr>
      <w:b/>
      <w:sz w:val="24"/>
    </w:rPr>
  </w:style>
  <w:style w:type="paragraph" w:customStyle="1" w:styleId="SCCLsocVersus">
    <w:name w:val="SCC.Lsoc.Versus"/>
    <w:basedOn w:val="Normal"/>
    <w:next w:val="Normal"/>
    <w:link w:val="SCCLsocVersusChar"/>
    <w:rsid w:val="00200735"/>
    <w:pPr>
      <w:spacing w:after="720"/>
    </w:pPr>
    <w:rPr>
      <w:i/>
    </w:rPr>
  </w:style>
  <w:style w:type="character" w:customStyle="1" w:styleId="SCCLsocVersusChar">
    <w:name w:val="SCC.Lsoc.Versus Char"/>
    <w:basedOn w:val="DefaultParagraphFont"/>
    <w:link w:val="SCCLsocVersus"/>
    <w:rsid w:val="00200735"/>
    <w:rPr>
      <w:i/>
      <w:sz w:val="24"/>
    </w:rPr>
  </w:style>
  <w:style w:type="character" w:customStyle="1" w:styleId="SCCLsocPartyRole">
    <w:name w:val="SCC.Lsoc.PartyRole"/>
    <w:basedOn w:val="SCCLsocLastPartyInRoleChar"/>
    <w:uiPriority w:val="1"/>
    <w:rsid w:val="00200735"/>
    <w:rPr>
      <w:i/>
    </w:rPr>
  </w:style>
  <w:style w:type="paragraph" w:customStyle="1" w:styleId="SCCAppellantForRunningHead">
    <w:name w:val="SCC.AppellantForRunningHead"/>
    <w:basedOn w:val="Normal"/>
    <w:next w:val="Normal"/>
    <w:link w:val="SCCAppellantForRunningHeadChar"/>
    <w:rsid w:val="00200735"/>
    <w:rPr>
      <w:smallCaps/>
    </w:rPr>
  </w:style>
  <w:style w:type="character" w:customStyle="1" w:styleId="SCCAppellantForRunningHeadChar">
    <w:name w:val="SCC.AppellantForRunningHead Char"/>
    <w:basedOn w:val="DefaultParagraphFont"/>
    <w:link w:val="SCCAppellantForRunningHead"/>
    <w:rsid w:val="00200735"/>
    <w:rPr>
      <w:smallCaps/>
      <w:sz w:val="24"/>
    </w:rPr>
  </w:style>
  <w:style w:type="paragraph" w:customStyle="1" w:styleId="SCCRespondentForRunningHead">
    <w:name w:val="SCC.RespondentForRunningHead"/>
    <w:basedOn w:val="Normal"/>
    <w:next w:val="Normal"/>
    <w:link w:val="SCCRespondentForRunningHeadChar"/>
    <w:rsid w:val="00200735"/>
    <w:rPr>
      <w:smallCaps/>
    </w:rPr>
  </w:style>
  <w:style w:type="character" w:customStyle="1" w:styleId="SCCRespondentForRunningHeadChar">
    <w:name w:val="SCC.RespondentForRunningHead Char"/>
    <w:basedOn w:val="DefaultParagraphFont"/>
    <w:link w:val="SCCRespondentForRunningHead"/>
    <w:rsid w:val="00200735"/>
    <w:rPr>
      <w:smallCaps/>
      <w:sz w:val="24"/>
    </w:rPr>
  </w:style>
  <w:style w:type="paragraph" w:customStyle="1" w:styleId="SCCAppellantForIndex">
    <w:name w:val="SCC.AppellantForIndex"/>
    <w:basedOn w:val="Normal"/>
    <w:next w:val="Normal"/>
    <w:link w:val="SCCAppellantForIndexChar"/>
    <w:rsid w:val="00200735"/>
    <w:rPr>
      <w:b/>
    </w:rPr>
  </w:style>
  <w:style w:type="character" w:customStyle="1" w:styleId="SCCAppellantForIndexChar">
    <w:name w:val="SCC.AppellantForIndex Char"/>
    <w:basedOn w:val="DefaultParagraphFont"/>
    <w:link w:val="SCCAppellantForIndex"/>
    <w:rsid w:val="00200735"/>
    <w:rPr>
      <w:b/>
      <w:sz w:val="24"/>
    </w:rPr>
  </w:style>
  <w:style w:type="paragraph" w:customStyle="1" w:styleId="SCCRespondentForIndex">
    <w:name w:val="SCC.RespondentForIndex"/>
    <w:basedOn w:val="Normal"/>
    <w:next w:val="Normal"/>
    <w:link w:val="SCCRespondentForIndexChar"/>
    <w:rsid w:val="00200735"/>
    <w:rPr>
      <w:b/>
    </w:rPr>
  </w:style>
  <w:style w:type="character" w:customStyle="1" w:styleId="SCCRespondentForIndexChar">
    <w:name w:val="SCC.RespondentForIndex Char"/>
    <w:basedOn w:val="DefaultParagraphFont"/>
    <w:link w:val="SCCRespondentForIndex"/>
    <w:rsid w:val="00200735"/>
    <w:rPr>
      <w:b/>
      <w:sz w:val="24"/>
    </w:rPr>
  </w:style>
  <w:style w:type="paragraph" w:customStyle="1" w:styleId="SCCSystemYear">
    <w:name w:val="SCC.SystemYear"/>
    <w:basedOn w:val="Normal"/>
    <w:next w:val="Normal"/>
    <w:link w:val="SCCSystemYearChar"/>
    <w:rsid w:val="00200735"/>
    <w:rPr>
      <w:b/>
    </w:rPr>
  </w:style>
  <w:style w:type="character" w:customStyle="1" w:styleId="SCCSystemYearChar">
    <w:name w:val="SCC.SystemYear Char"/>
    <w:basedOn w:val="DefaultParagraphFont"/>
    <w:link w:val="SCCSystemYear"/>
    <w:rsid w:val="00200735"/>
    <w:rPr>
      <w:b/>
      <w:sz w:val="24"/>
    </w:rPr>
  </w:style>
  <w:style w:type="paragraph" w:customStyle="1" w:styleId="SCCLowerCourtNameLowercase">
    <w:name w:val="SCC.LowerCourtNameLowercase"/>
    <w:basedOn w:val="SCCNormalDoubleSpacing"/>
    <w:next w:val="SCCNormalDoubleSpacing"/>
    <w:rsid w:val="00200735"/>
    <w:rPr>
      <w:smallCaps/>
    </w:rPr>
  </w:style>
  <w:style w:type="paragraph" w:customStyle="1" w:styleId="SCCCounselName">
    <w:name w:val="SCC.CounselName"/>
    <w:basedOn w:val="SCCNormalDoubleSpacing"/>
    <w:next w:val="SCCNormalDoubleSpacing"/>
    <w:link w:val="SCCCounselNameChar"/>
    <w:rsid w:val="00200735"/>
    <w:rPr>
      <w:i/>
    </w:rPr>
  </w:style>
  <w:style w:type="character" w:customStyle="1" w:styleId="SCCCounselNameChar">
    <w:name w:val="SCC.CounselName Char"/>
    <w:basedOn w:val="SCCNormalDoubleSpacingChar"/>
    <w:link w:val="SCCCounselName"/>
    <w:rsid w:val="00200735"/>
    <w:rPr>
      <w:i/>
    </w:rPr>
  </w:style>
  <w:style w:type="paragraph" w:customStyle="1" w:styleId="SCCAppellantForCitation">
    <w:name w:val="SCC.AppellantForCitation"/>
    <w:basedOn w:val="Normal"/>
    <w:next w:val="Normal"/>
    <w:link w:val="SCCAppellantForCitationChar"/>
    <w:rsid w:val="00200735"/>
    <w:rPr>
      <w:i/>
    </w:rPr>
  </w:style>
  <w:style w:type="character" w:customStyle="1" w:styleId="SCCAppellantForCitationChar">
    <w:name w:val="SCC.AppellantForCitation Char"/>
    <w:basedOn w:val="DefaultParagraphFont"/>
    <w:link w:val="SCCAppellantForCitation"/>
    <w:rsid w:val="00200735"/>
    <w:rPr>
      <w:i/>
      <w:sz w:val="24"/>
    </w:rPr>
  </w:style>
  <w:style w:type="paragraph" w:customStyle="1" w:styleId="SCCRespondentForCitation">
    <w:name w:val="SCC.RespondentForCitation"/>
    <w:basedOn w:val="Normal"/>
    <w:next w:val="Normal"/>
    <w:link w:val="SCCRespondentForCitationChar"/>
    <w:rsid w:val="00200735"/>
    <w:rPr>
      <w:i/>
    </w:rPr>
  </w:style>
  <w:style w:type="character" w:customStyle="1" w:styleId="SCCRespondentForCitationChar">
    <w:name w:val="SCC.RespondentForCitation Char"/>
    <w:basedOn w:val="DefaultParagraphFont"/>
    <w:link w:val="SCCRespondentForCitation"/>
    <w:rsid w:val="00200735"/>
    <w:rPr>
      <w:i/>
      <w:sz w:val="24"/>
    </w:rPr>
  </w:style>
  <w:style w:type="paragraph" w:customStyle="1" w:styleId="SCCCounselSeparator">
    <w:name w:val="SCC.CounselSeparator"/>
    <w:basedOn w:val="SCCNormalDoubleSpacing"/>
    <w:next w:val="SCCNormalDoubleSpacing"/>
    <w:link w:val="SCCCounselSeparatorChar"/>
    <w:rsid w:val="00200735"/>
  </w:style>
  <w:style w:type="character" w:customStyle="1" w:styleId="SCCCounselSeparatorChar">
    <w:name w:val="SCC.CounselSeparator Char"/>
    <w:basedOn w:val="SCCNormalDoubleSpacingChar"/>
    <w:link w:val="SCCCounselSeparator"/>
    <w:rsid w:val="00200735"/>
  </w:style>
  <w:style w:type="paragraph" w:customStyle="1" w:styleId="SCCLawFirm">
    <w:name w:val="SCC.LawFirm"/>
    <w:basedOn w:val="SCCNormalDoubleSpacing"/>
    <w:next w:val="SCCNormalDoubleSpacing"/>
    <w:link w:val="SCCLawFirmChar"/>
    <w:rsid w:val="00200735"/>
    <w:rPr>
      <w:i/>
    </w:rPr>
  </w:style>
  <w:style w:type="character" w:customStyle="1" w:styleId="SCCLawFirmChar">
    <w:name w:val="SCC.LawFirm Char"/>
    <w:basedOn w:val="SCCNormalDoubleSpacingChar"/>
    <w:link w:val="SCCLawFirm"/>
    <w:rsid w:val="00200735"/>
    <w:rPr>
      <w:i/>
    </w:rPr>
  </w:style>
  <w:style w:type="paragraph" w:customStyle="1" w:styleId="SCCCounselPartyRole">
    <w:name w:val="SCC.CounselPartyRole"/>
    <w:basedOn w:val="SCCNormalDoubleSpacing"/>
    <w:next w:val="SCCNormalDoubleSpacing"/>
    <w:link w:val="SCCCounselPartyRoleChar"/>
    <w:rsid w:val="00200735"/>
  </w:style>
  <w:style w:type="character" w:customStyle="1" w:styleId="SCCCounselPartyRoleChar">
    <w:name w:val="SCC.CounselPartyRole Char"/>
    <w:basedOn w:val="SCCNormalDoubleSpacingChar"/>
    <w:link w:val="SCCCounselPartyRole"/>
    <w:rsid w:val="00200735"/>
  </w:style>
  <w:style w:type="paragraph" w:customStyle="1" w:styleId="SCCLsocLastPartyInRole">
    <w:name w:val="SCC.Lsoc.LastPartyInRole"/>
    <w:basedOn w:val="Normal"/>
    <w:next w:val="Normal"/>
    <w:link w:val="SCCLsocLastPartyInRoleChar"/>
    <w:qFormat/>
    <w:rsid w:val="00200735"/>
    <w:pPr>
      <w:tabs>
        <w:tab w:val="right" w:pos="8222"/>
      </w:tabs>
      <w:spacing w:after="720"/>
    </w:pPr>
    <w:rPr>
      <w:b/>
    </w:rPr>
  </w:style>
  <w:style w:type="character" w:customStyle="1" w:styleId="SCCLsocLastPartyInRoleChar">
    <w:name w:val="SCC.Lsoc.LastPartyInRole Char"/>
    <w:basedOn w:val="SCCLsocPartyChar"/>
    <w:link w:val="SCCLsocLastPartyInRole"/>
    <w:rsid w:val="00200735"/>
  </w:style>
  <w:style w:type="character" w:customStyle="1" w:styleId="Heading2Char">
    <w:name w:val="Heading 2 Char"/>
    <w:basedOn w:val="DefaultParagraphFont"/>
    <w:link w:val="Heading2"/>
    <w:uiPriority w:val="9"/>
    <w:semiHidden/>
    <w:rsid w:val="00E35AE4"/>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semiHidden/>
    <w:unhideWhenUsed/>
    <w:rsid w:val="00E35AE4"/>
    <w:pPr>
      <w:tabs>
        <w:tab w:val="center" w:pos="4680"/>
        <w:tab w:val="right" w:pos="9360"/>
      </w:tabs>
    </w:pPr>
    <w:rPr>
      <w:szCs w:val="24"/>
    </w:rPr>
  </w:style>
  <w:style w:type="character" w:customStyle="1" w:styleId="FooterChar">
    <w:name w:val="Footer Char"/>
    <w:basedOn w:val="DefaultParagraphFont"/>
    <w:link w:val="Footer"/>
    <w:uiPriority w:val="99"/>
    <w:semiHidden/>
    <w:rsid w:val="00E35AE4"/>
    <w:rPr>
      <w:sz w:val="24"/>
      <w:szCs w:val="24"/>
    </w:rPr>
  </w:style>
  <w:style w:type="paragraph" w:customStyle="1" w:styleId="SCCLsocOtherPartyRoleSeparator">
    <w:name w:val="SCC.Lsoc.OtherPartyRoleSeparator"/>
    <w:basedOn w:val="Normal"/>
    <w:next w:val="Normal"/>
    <w:link w:val="SCCLsocOtherPartyRoleSeparatorChar"/>
    <w:rsid w:val="00E35AE4"/>
    <w:pPr>
      <w:spacing w:after="480"/>
    </w:pPr>
    <w:rPr>
      <w:rFonts w:eastAsiaTheme="minorHAnsi" w:cstheme="minorBidi"/>
      <w:szCs w:val="22"/>
      <w:lang w:eastAsia="en-US"/>
    </w:rPr>
  </w:style>
  <w:style w:type="paragraph" w:customStyle="1" w:styleId="SCCLsocOtherPartySeparator">
    <w:name w:val="SCC.Lsoc.OtherPartySeparator"/>
    <w:basedOn w:val="Normal"/>
    <w:next w:val="Normal"/>
    <w:link w:val="SCCLsocOtherPartySeparatorChar"/>
    <w:rsid w:val="00E35AE4"/>
    <w:pPr>
      <w:spacing w:after="480"/>
    </w:pPr>
    <w:rPr>
      <w:rFonts w:eastAsiaTheme="minorHAnsi" w:cstheme="minorBidi"/>
      <w:szCs w:val="22"/>
      <w:lang w:eastAsia="en-US"/>
    </w:rPr>
  </w:style>
  <w:style w:type="paragraph" w:customStyle="1" w:styleId="SCCCoram">
    <w:name w:val="SCC.Coram"/>
    <w:basedOn w:val="Normal"/>
    <w:next w:val="Normal"/>
    <w:link w:val="SCCCoramChar"/>
    <w:rsid w:val="00E35AE4"/>
    <w:pPr>
      <w:pBdr>
        <w:bottom w:val="single" w:sz="4" w:space="1" w:color="auto"/>
      </w:pBdr>
    </w:pPr>
    <w:rPr>
      <w:rFonts w:eastAsiaTheme="minorHAnsi" w:cstheme="minorBidi"/>
      <w:szCs w:val="22"/>
      <w:lang w:eastAsia="en-US"/>
    </w:rPr>
  </w:style>
  <w:style w:type="paragraph" w:customStyle="1" w:styleId="SCCLsocSubfileSeparator">
    <w:name w:val="SCC.Lsoc.SubfileSeparator"/>
    <w:basedOn w:val="Normal"/>
    <w:next w:val="Normal"/>
    <w:link w:val="SCCLsocSubfileSeparatorChar"/>
    <w:rsid w:val="00E35AE4"/>
    <w:pPr>
      <w:spacing w:after="480"/>
    </w:pPr>
    <w:rPr>
      <w:rFonts w:eastAsiaTheme="minorHAnsi" w:cstheme="minorBidi"/>
      <w:szCs w:val="22"/>
      <w:lang w:eastAsia="en-US"/>
    </w:rPr>
  </w:style>
  <w:style w:type="character" w:customStyle="1" w:styleId="SCCCoramChar">
    <w:name w:val="SCC.Coram Char"/>
    <w:basedOn w:val="DefaultParagraphFont"/>
    <w:link w:val="SCCCoram"/>
    <w:rsid w:val="00E35AE4"/>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E35AE4"/>
    <w:rPr>
      <w:rFonts w:eastAsiaTheme="minorHAnsi" w:cstheme="minorBidi"/>
      <w:sz w:val="24"/>
      <w:szCs w:val="22"/>
      <w:lang w:eastAsia="en-US"/>
    </w:rPr>
  </w:style>
  <w:style w:type="character" w:customStyle="1" w:styleId="SCCLsocOtherPartySeparatorChar">
    <w:name w:val="SCC.Lsoc.OtherPartySeparator Char"/>
    <w:basedOn w:val="DefaultParagraphFont"/>
    <w:link w:val="SCCLsocOtherPartySeparator"/>
    <w:rsid w:val="00E35AE4"/>
    <w:rPr>
      <w:rFonts w:eastAsiaTheme="minorHAnsi" w:cstheme="minorBidi"/>
      <w:sz w:val="24"/>
      <w:szCs w:val="22"/>
      <w:lang w:eastAsia="en-US"/>
    </w:rPr>
  </w:style>
  <w:style w:type="character" w:customStyle="1" w:styleId="SCCLsocSubfileSeparatorChar">
    <w:name w:val="SCC.Lsoc.SubfileSeparator Char"/>
    <w:basedOn w:val="DefaultParagraphFont"/>
    <w:link w:val="SCCLsocSubfileSeparator"/>
    <w:rsid w:val="00E35AE4"/>
    <w:rPr>
      <w:rFonts w:eastAsiaTheme="minorHAnsi" w:cstheme="minorBidi"/>
      <w:sz w:val="24"/>
      <w:szCs w:val="22"/>
      <w:lang w:eastAsia="en-US"/>
    </w:rPr>
  </w:style>
  <w:style w:type="paragraph" w:customStyle="1" w:styleId="SCCBanSummary">
    <w:name w:val="SCC.BanSummary"/>
    <w:basedOn w:val="Normal"/>
    <w:next w:val="Normal"/>
    <w:link w:val="SCCBanSummaryChar"/>
    <w:rsid w:val="00E35AE4"/>
    <w:pPr>
      <w:jc w:val="right"/>
    </w:pPr>
    <w:rPr>
      <w:rFonts w:eastAsiaTheme="minorEastAsia"/>
      <w:b/>
      <w:szCs w:val="24"/>
    </w:rPr>
  </w:style>
  <w:style w:type="character" w:customStyle="1" w:styleId="SCCBanSummaryChar">
    <w:name w:val="SCC.BanSummary Char"/>
    <w:basedOn w:val="DefaultParagraphFont"/>
    <w:link w:val="SCCBanSummary"/>
    <w:rsid w:val="00E35AE4"/>
    <w:rPr>
      <w:rFonts w:eastAsiaTheme="minorEastAsia"/>
      <w:b/>
      <w:sz w:val="24"/>
      <w:szCs w:val="24"/>
    </w:rPr>
  </w:style>
  <w:style w:type="character" w:styleId="PlaceholderText">
    <w:name w:val="Placeholder Text"/>
    <w:basedOn w:val="DefaultParagraphFont"/>
    <w:uiPriority w:val="99"/>
    <w:semiHidden/>
    <w:rsid w:val="00E35AE4"/>
    <w:rPr>
      <w:color w:val="808080"/>
    </w:rPr>
  </w:style>
  <w:style w:type="paragraph" w:styleId="BalloonText">
    <w:name w:val="Balloon Text"/>
    <w:basedOn w:val="Normal"/>
    <w:link w:val="BalloonTextChar"/>
    <w:uiPriority w:val="99"/>
    <w:semiHidden/>
    <w:unhideWhenUsed/>
    <w:rsid w:val="00E35AE4"/>
    <w:rPr>
      <w:rFonts w:ascii="Tahoma" w:hAnsi="Tahoma" w:cs="Tahoma"/>
      <w:sz w:val="16"/>
      <w:szCs w:val="16"/>
    </w:rPr>
  </w:style>
  <w:style w:type="character" w:customStyle="1" w:styleId="BalloonTextChar">
    <w:name w:val="Balloon Text Char"/>
    <w:basedOn w:val="DefaultParagraphFont"/>
    <w:link w:val="BalloonText"/>
    <w:uiPriority w:val="99"/>
    <w:semiHidden/>
    <w:rsid w:val="00E35AE4"/>
    <w:rPr>
      <w:rFonts w:ascii="Tahoma" w:hAnsi="Tahoma" w:cs="Tahoma"/>
      <w:sz w:val="16"/>
      <w:szCs w:val="16"/>
    </w:rPr>
  </w:style>
  <w:style w:type="table" w:styleId="TableGrid">
    <w:name w:val="Table Grid"/>
    <w:basedOn w:val="TableNormal"/>
    <w:uiPriority w:val="59"/>
    <w:rsid w:val="00E35AE4"/>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E35AE4"/>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E35AE4"/>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E35AE4"/>
    <w:pPr>
      <w:tabs>
        <w:tab w:val="left" w:pos="1166"/>
      </w:tabs>
      <w:spacing w:after="480" w:line="480" w:lineRule="auto"/>
    </w:pPr>
    <w:rPr>
      <w:smallCaps/>
      <w:sz w:val="24"/>
      <w:szCs w:val="24"/>
    </w:rPr>
  </w:style>
  <w:style w:type="paragraph" w:customStyle="1" w:styleId="ParaNoNdepar-AltN">
    <w:name w:val="Para. No. / Nº de par. - Alt N"/>
    <w:qFormat/>
    <w:rsid w:val="00E35AE4"/>
    <w:pPr>
      <w:numPr>
        <w:numId w:val="6"/>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E35AE4"/>
    <w:pPr>
      <w:numPr>
        <w:numId w:val="7"/>
      </w:numPr>
      <w:tabs>
        <w:tab w:val="left" w:pos="576"/>
      </w:tabs>
      <w:spacing w:before="480" w:after="720"/>
      <w:ind w:left="576" w:hanging="576"/>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E35AE4"/>
    <w:pPr>
      <w:numPr>
        <w:ilvl w:val="1"/>
      </w:numPr>
      <w:ind w:left="576" w:hanging="576"/>
    </w:pPr>
    <w:rPr>
      <w:i/>
      <w:u w:val="none"/>
    </w:rPr>
  </w:style>
  <w:style w:type="paragraph" w:customStyle="1" w:styleId="Title3LevelTitre3Niveau">
    <w:name w:val="Title 3 Level / Titre 3 Niveau"/>
    <w:basedOn w:val="Title1LevelTitre1Niveau-AltL"/>
    <w:next w:val="ParaNoNdepar-AltN"/>
    <w:uiPriority w:val="4"/>
    <w:qFormat/>
    <w:rsid w:val="00E35AE4"/>
    <w:pPr>
      <w:numPr>
        <w:ilvl w:val="2"/>
      </w:numPr>
      <w:tabs>
        <w:tab w:val="clear" w:pos="576"/>
        <w:tab w:val="num" w:pos="1080"/>
      </w:tabs>
      <w:ind w:left="1080" w:hanging="540"/>
    </w:pPr>
  </w:style>
  <w:style w:type="paragraph" w:customStyle="1" w:styleId="Title4LevelTitre4Niveau">
    <w:name w:val="Title 4 Level / Titre 4 Niveau"/>
    <w:basedOn w:val="Title3LevelTitre3Niveau"/>
    <w:next w:val="ParaNoNdepar-AltN"/>
    <w:uiPriority w:val="4"/>
    <w:qFormat/>
    <w:rsid w:val="00E35AE4"/>
    <w:pPr>
      <w:numPr>
        <w:ilvl w:val="3"/>
      </w:numPr>
      <w:tabs>
        <w:tab w:val="left" w:pos="1080"/>
        <w:tab w:val="num" w:pos="6048"/>
      </w:tabs>
      <w:ind w:left="1080" w:hanging="540"/>
    </w:pPr>
    <w:rPr>
      <w:i/>
      <w:u w:val="none"/>
    </w:rPr>
  </w:style>
  <w:style w:type="paragraph" w:customStyle="1" w:styleId="Title5LevelTitre5Niveau">
    <w:name w:val="Title 5 Level / Titre 5 Niveau"/>
    <w:basedOn w:val="Title1LevelTitre1Niveau-AltL"/>
    <w:next w:val="ParaNoNdepar-AltN"/>
    <w:uiPriority w:val="4"/>
    <w:qFormat/>
    <w:rsid w:val="00E35AE4"/>
    <w:pPr>
      <w:numPr>
        <w:ilvl w:val="4"/>
      </w:numPr>
      <w:tabs>
        <w:tab w:val="clear" w:pos="576"/>
        <w:tab w:val="left" w:pos="1620"/>
      </w:tabs>
      <w:ind w:left="1620" w:hanging="540"/>
    </w:pPr>
  </w:style>
  <w:style w:type="paragraph" w:styleId="TOC1">
    <w:name w:val="toc 1"/>
    <w:basedOn w:val="Normal"/>
    <w:next w:val="Normal"/>
    <w:autoRedefine/>
    <w:uiPriority w:val="39"/>
    <w:unhideWhenUsed/>
    <w:rsid w:val="00C64485"/>
    <w:pPr>
      <w:tabs>
        <w:tab w:val="left" w:pos="540"/>
        <w:tab w:val="right" w:leader="dot" w:pos="8270"/>
      </w:tabs>
      <w:spacing w:before="120" w:after="120"/>
      <w:jc w:val="both"/>
    </w:pPr>
    <w:rPr>
      <w:rFonts w:eastAsiaTheme="minorEastAsia" w:cstheme="minorBidi"/>
      <w:noProof/>
      <w:szCs w:val="22"/>
    </w:rPr>
  </w:style>
  <w:style w:type="paragraph" w:styleId="TOC2">
    <w:name w:val="toc 2"/>
    <w:basedOn w:val="Normal"/>
    <w:next w:val="Normal"/>
    <w:autoRedefine/>
    <w:uiPriority w:val="39"/>
    <w:unhideWhenUsed/>
    <w:rsid w:val="00E35AE4"/>
    <w:pPr>
      <w:tabs>
        <w:tab w:val="left" w:pos="540"/>
        <w:tab w:val="right" w:leader="dot" w:pos="8270"/>
      </w:tabs>
      <w:spacing w:before="120" w:after="120"/>
      <w:ind w:left="540" w:hanging="540"/>
    </w:pPr>
    <w:rPr>
      <w:rFonts w:eastAsiaTheme="minorEastAsia" w:cstheme="minorBidi"/>
      <w:i/>
      <w:noProof/>
      <w:szCs w:val="22"/>
    </w:rPr>
  </w:style>
  <w:style w:type="paragraph" w:styleId="TOC3">
    <w:name w:val="toc 3"/>
    <w:basedOn w:val="Normal"/>
    <w:next w:val="Normal"/>
    <w:autoRedefine/>
    <w:uiPriority w:val="39"/>
    <w:unhideWhenUsed/>
    <w:rsid w:val="00E35AE4"/>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E35AE4"/>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E35AE4"/>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E35AE4"/>
    <w:pPr>
      <w:tabs>
        <w:tab w:val="left" w:pos="2160"/>
        <w:tab w:val="right" w:leader="dot" w:pos="8270"/>
      </w:tabs>
      <w:spacing w:after="100"/>
      <w:ind w:left="1800"/>
    </w:pPr>
    <w:rPr>
      <w:noProof/>
    </w:rPr>
  </w:style>
  <w:style w:type="table" w:customStyle="1" w:styleId="TableGrid1">
    <w:name w:val="Table Grid1"/>
    <w:basedOn w:val="TableNormal"/>
    <w:uiPriority w:val="59"/>
    <w:rsid w:val="00E35AE4"/>
    <w:rPr>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E35AE4"/>
    <w:pPr>
      <w:tabs>
        <w:tab w:val="left" w:pos="360"/>
      </w:tabs>
      <w:spacing w:before="480" w:after="720"/>
      <w:ind w:left="360" w:hanging="360"/>
      <w:jc w:val="both"/>
    </w:pPr>
    <w:rPr>
      <w:rFonts w:eastAsiaTheme="minorHAnsi" w:cstheme="minorBidi"/>
      <w:sz w:val="24"/>
      <w:szCs w:val="22"/>
      <w:lang w:eastAsia="en-US"/>
    </w:rPr>
  </w:style>
  <w:style w:type="paragraph" w:styleId="DocumentMap">
    <w:name w:val="Document Map"/>
    <w:basedOn w:val="Normal"/>
    <w:link w:val="DocumentMapChar"/>
    <w:uiPriority w:val="99"/>
    <w:semiHidden/>
    <w:unhideWhenUsed/>
    <w:rsid w:val="00E35AE4"/>
    <w:rPr>
      <w:rFonts w:ascii="Tahoma" w:hAnsi="Tahoma" w:cs="Tahoma"/>
      <w:sz w:val="16"/>
      <w:szCs w:val="16"/>
    </w:rPr>
  </w:style>
  <w:style w:type="character" w:customStyle="1" w:styleId="DocumentMapChar">
    <w:name w:val="Document Map Char"/>
    <w:basedOn w:val="DefaultParagraphFont"/>
    <w:link w:val="DocumentMap"/>
    <w:uiPriority w:val="99"/>
    <w:semiHidden/>
    <w:rsid w:val="00E35AE4"/>
    <w:rPr>
      <w:rFonts w:ascii="Tahoma" w:hAnsi="Tahoma" w:cs="Tahoma"/>
      <w:sz w:val="16"/>
      <w:szCs w:val="16"/>
    </w:rPr>
  </w:style>
  <w:style w:type="character" w:styleId="Hyperlink">
    <w:name w:val="Hyperlink"/>
    <w:basedOn w:val="DefaultParagraphFont"/>
    <w:uiPriority w:val="99"/>
    <w:unhideWhenUsed/>
    <w:rsid w:val="00E35AE4"/>
    <w:rPr>
      <w:color w:val="0000FF" w:themeColor="hyperlink"/>
      <w:u w:val="single"/>
    </w:rPr>
  </w:style>
  <w:style w:type="paragraph" w:styleId="FootnoteText">
    <w:name w:val="footnote text"/>
    <w:basedOn w:val="Normal"/>
    <w:link w:val="FootnoteTextChar"/>
    <w:uiPriority w:val="99"/>
    <w:semiHidden/>
    <w:unhideWhenUsed/>
    <w:rsid w:val="00E35AE4"/>
    <w:rPr>
      <w:rFonts w:eastAsiaTheme="minorHAnsi" w:cstheme="minorBidi"/>
      <w:sz w:val="20"/>
      <w:lang w:val="en-US" w:eastAsia="en-US" w:bidi="en-US"/>
    </w:rPr>
  </w:style>
  <w:style w:type="character" w:customStyle="1" w:styleId="FootnoteTextChar">
    <w:name w:val="Footnote Text Char"/>
    <w:basedOn w:val="DefaultParagraphFont"/>
    <w:link w:val="FootnoteText"/>
    <w:uiPriority w:val="99"/>
    <w:semiHidden/>
    <w:rsid w:val="00E35AE4"/>
    <w:rPr>
      <w:rFonts w:eastAsiaTheme="minorHAnsi" w:cstheme="minorBidi"/>
      <w:lang w:val="en-US" w:eastAsia="en-US" w:bidi="en-US"/>
    </w:rPr>
  </w:style>
  <w:style w:type="character" w:styleId="FootnoteReference">
    <w:name w:val="footnote reference"/>
    <w:basedOn w:val="DefaultParagraphFont"/>
    <w:uiPriority w:val="99"/>
    <w:semiHidden/>
    <w:unhideWhenUsed/>
    <w:rsid w:val="00E35AE4"/>
    <w:rPr>
      <w:vertAlign w:val="superscript"/>
    </w:rPr>
  </w:style>
  <w:style w:type="paragraph" w:styleId="ListParagraph">
    <w:name w:val="List Paragraph"/>
    <w:basedOn w:val="Normal"/>
    <w:uiPriority w:val="34"/>
    <w:rsid w:val="00E35AE4"/>
    <w:pPr>
      <w:ind w:left="720"/>
      <w:contextualSpacing/>
    </w:pPr>
    <w:rPr>
      <w:rFonts w:eastAsiaTheme="minorHAnsi" w:cstheme="minorBidi"/>
      <w:szCs w:val="22"/>
      <w:lang w:val="en-US" w:eastAsia="en-US" w:bidi="en-US"/>
    </w:rPr>
  </w:style>
  <w:style w:type="character" w:styleId="SubtleEmphasis">
    <w:name w:val="Subtle Emphasis"/>
    <w:basedOn w:val="DefaultParagraphFont"/>
    <w:uiPriority w:val="19"/>
    <w:rsid w:val="00E35AE4"/>
    <w:rPr>
      <w:i/>
      <w:iCs/>
      <w:color w:val="808080" w:themeColor="text1" w:themeTint="7F"/>
    </w:rPr>
  </w:style>
  <w:style w:type="character" w:customStyle="1" w:styleId="SCCLowerCourtJudge">
    <w:name w:val="SCC.LowerCourtJudge"/>
    <w:basedOn w:val="DefaultParagraphFont"/>
    <w:uiPriority w:val="1"/>
    <w:qFormat/>
    <w:rsid w:val="00E35AE4"/>
  </w:style>
  <w:style w:type="character" w:styleId="CommentReference">
    <w:name w:val="annotation reference"/>
    <w:basedOn w:val="DefaultParagraphFont"/>
    <w:uiPriority w:val="99"/>
    <w:semiHidden/>
    <w:unhideWhenUsed/>
    <w:rsid w:val="00E35AE4"/>
    <w:rPr>
      <w:sz w:val="16"/>
      <w:szCs w:val="16"/>
    </w:rPr>
  </w:style>
  <w:style w:type="paragraph" w:styleId="CommentText">
    <w:name w:val="annotation text"/>
    <w:basedOn w:val="Normal"/>
    <w:link w:val="CommentTextChar"/>
    <w:uiPriority w:val="99"/>
    <w:semiHidden/>
    <w:unhideWhenUsed/>
    <w:rsid w:val="00E35AE4"/>
    <w:rPr>
      <w:sz w:val="20"/>
    </w:rPr>
  </w:style>
  <w:style w:type="character" w:customStyle="1" w:styleId="CommentTextChar">
    <w:name w:val="Comment Text Char"/>
    <w:basedOn w:val="DefaultParagraphFont"/>
    <w:link w:val="CommentText"/>
    <w:uiPriority w:val="99"/>
    <w:semiHidden/>
    <w:rsid w:val="00E35AE4"/>
  </w:style>
  <w:style w:type="paragraph" w:styleId="CommentSubject">
    <w:name w:val="annotation subject"/>
    <w:basedOn w:val="CommentText"/>
    <w:next w:val="CommentText"/>
    <w:link w:val="CommentSubjectChar"/>
    <w:uiPriority w:val="99"/>
    <w:semiHidden/>
    <w:unhideWhenUsed/>
    <w:rsid w:val="00E35AE4"/>
    <w:rPr>
      <w:b/>
      <w:bCs/>
    </w:rPr>
  </w:style>
  <w:style w:type="character" w:customStyle="1" w:styleId="CommentSubjectChar">
    <w:name w:val="Comment Subject Char"/>
    <w:basedOn w:val="CommentTextChar"/>
    <w:link w:val="CommentSubject"/>
    <w:uiPriority w:val="99"/>
    <w:semiHidden/>
    <w:rsid w:val="00E35AE4"/>
    <w:rPr>
      <w:b/>
      <w:bCs/>
    </w:rPr>
  </w:style>
  <w:style w:type="character" w:styleId="FollowedHyperlink">
    <w:name w:val="FollowedHyperlink"/>
    <w:basedOn w:val="DefaultParagraphFont"/>
    <w:uiPriority w:val="99"/>
    <w:semiHidden/>
    <w:unhideWhenUsed/>
    <w:rsid w:val="00E35AE4"/>
    <w:rPr>
      <w:color w:val="800080" w:themeColor="followedHyperlink"/>
      <w:u w:val="single"/>
    </w:rPr>
  </w:style>
  <w:style w:type="character" w:customStyle="1" w:styleId="SCCLsocPartyRoleChar">
    <w:name w:val="SCC.Lsoc.PartyRole Char"/>
    <w:basedOn w:val="DefaultParagraphFont"/>
    <w:rsid w:val="005C3C54"/>
    <w:rPr>
      <w:lang w:val="en-CA"/>
    </w:rPr>
  </w:style>
  <w:style w:type="paragraph" w:customStyle="1" w:styleId="SCCLsocPrefix">
    <w:name w:val="SCC.Lsoc.Prefix"/>
    <w:basedOn w:val="Normal"/>
    <w:next w:val="Normal"/>
    <w:link w:val="SCCLsocPrefixChar"/>
    <w:rsid w:val="005C3C54"/>
    <w:rPr>
      <w:rFonts w:eastAsiaTheme="minorHAnsi" w:cstheme="minorBidi"/>
      <w:b/>
      <w:smallCaps/>
      <w:szCs w:val="24"/>
      <w:lang w:eastAsia="en-US"/>
    </w:rPr>
  </w:style>
  <w:style w:type="character" w:customStyle="1" w:styleId="SCCLsocPrefixChar">
    <w:name w:val="SCC.Lsoc.Prefix Char"/>
    <w:basedOn w:val="DefaultParagraphFont"/>
    <w:link w:val="SCCLsocPrefix"/>
    <w:rsid w:val="005C3C54"/>
    <w:rPr>
      <w:rFonts w:eastAsiaTheme="minorHAnsi" w:cstheme="minorBidi"/>
      <w:b/>
      <w:smallCap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CC8D5-33D9-46F0-BC39-2152F2C15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98</Pages>
  <Words>23941</Words>
  <Characters>136469</Characters>
  <Application>Microsoft Office Word</Application>
  <DocSecurity>0</DocSecurity>
  <Lines>1137</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dc:creator>
  <cp:lastModifiedBy>SCC</cp:lastModifiedBy>
  <cp:revision>67</cp:revision>
  <cp:lastPrinted>2015-02-10T15:36:00Z</cp:lastPrinted>
  <dcterms:created xsi:type="dcterms:W3CDTF">2015-01-27T18:54:00Z</dcterms:created>
  <dcterms:modified xsi:type="dcterms:W3CDTF">2015-05-21T13:07:00Z</dcterms:modified>
</cp:coreProperties>
</file>