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1B" w:rsidRDefault="00F6001B" w:rsidP="00F6001B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03292810" r:id="rId9"/>
        </w:object>
      </w:r>
    </w:p>
    <w:p w:rsidR="00F6001B" w:rsidRDefault="00F6001B" w:rsidP="00F6001B">
      <w:pPr>
        <w:pStyle w:val="Header"/>
      </w:pPr>
    </w:p>
    <w:p w:rsidR="00F6001B" w:rsidRPr="006B210C" w:rsidRDefault="00F6001B" w:rsidP="00F6001B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F6001B" w:rsidRDefault="00F6001B" w:rsidP="00F6001B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F6001B" w:rsidRPr="006B210C" w:rsidTr="00536CD0">
        <w:trPr>
          <w:cantSplit/>
        </w:trPr>
        <w:tc>
          <w:tcPr>
            <w:tcW w:w="6768" w:type="dxa"/>
          </w:tcPr>
          <w:p w:rsidR="00F6001B" w:rsidRPr="00162DA0" w:rsidRDefault="00F6001B" w:rsidP="00536CD0">
            <w:pPr>
              <w:spacing w:line="480" w:lineRule="auto"/>
              <w:jc w:val="both"/>
              <w:rPr>
                <w:lang w:val="fr-CA"/>
              </w:rPr>
            </w:pPr>
            <w:r w:rsidRPr="00162DA0">
              <w:rPr>
                <w:b/>
                <w:smallCaps/>
                <w:lang w:val="fr-CA"/>
              </w:rPr>
              <w:t>Citation:</w:t>
            </w:r>
            <w:r w:rsidRPr="00162DA0">
              <w:rPr>
                <w:lang w:val="fr-CA"/>
              </w:rPr>
              <w:t xml:space="preserve"> R.</w:t>
            </w:r>
            <w:r w:rsidRPr="00162DA0">
              <w:rPr>
                <w:i/>
                <w:lang w:val="fr-CA"/>
              </w:rPr>
              <w:t xml:space="preserve"> v. </w:t>
            </w:r>
            <w:proofErr w:type="spellStart"/>
            <w:r w:rsidRPr="00162DA0">
              <w:rPr>
                <w:lang w:val="fr-CA"/>
              </w:rPr>
              <w:t>Sanghera</w:t>
            </w:r>
            <w:proofErr w:type="spellEnd"/>
            <w:r w:rsidRPr="00162DA0">
              <w:rPr>
                <w:lang w:val="fr-CA"/>
              </w:rPr>
              <w:t>, 201</w:t>
            </w:r>
            <w:r>
              <w:rPr>
                <w:lang w:val="fr-CA"/>
              </w:rPr>
              <w:t>5</w:t>
            </w:r>
            <w:r w:rsidRPr="00162DA0">
              <w:rPr>
                <w:lang w:val="fr-CA"/>
              </w:rPr>
              <w:t xml:space="preserve"> SCC 1</w:t>
            </w:r>
            <w:r>
              <w:rPr>
                <w:lang w:val="fr-CA"/>
              </w:rPr>
              <w:t>3, [2015</w:t>
            </w:r>
            <w:r w:rsidRPr="00162DA0">
              <w:rPr>
                <w:lang w:val="fr-CA"/>
              </w:rPr>
              <w:t xml:space="preserve">] </w:t>
            </w:r>
            <w:r>
              <w:rPr>
                <w:lang w:val="fr-CA"/>
              </w:rPr>
              <w:t>1</w:t>
            </w:r>
            <w:r w:rsidRPr="00162DA0">
              <w:rPr>
                <w:lang w:val="fr-CA"/>
              </w:rPr>
              <w:t xml:space="preserve"> S.C.R. 6</w:t>
            </w:r>
            <w:r>
              <w:rPr>
                <w:lang w:val="fr-CA"/>
              </w:rPr>
              <w:t>91</w:t>
            </w:r>
          </w:p>
          <w:p w:rsidR="00F6001B" w:rsidRPr="00162DA0" w:rsidRDefault="00F6001B" w:rsidP="00536CD0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F6001B" w:rsidRPr="006B210C" w:rsidRDefault="00F6001B" w:rsidP="00536CD0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20150319</w:t>
            </w:r>
          </w:p>
          <w:p w:rsidR="00F6001B" w:rsidRPr="006B210C" w:rsidRDefault="00F6001B" w:rsidP="00536CD0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36017</w:t>
            </w:r>
          </w:p>
        </w:tc>
      </w:tr>
    </w:tbl>
    <w:p w:rsidR="00F6001B" w:rsidRPr="006B210C" w:rsidRDefault="00F6001B" w:rsidP="00F6001B"/>
    <w:p w:rsidR="00F6001B" w:rsidRDefault="00F6001B" w:rsidP="00F6001B">
      <w:pPr>
        <w:pStyle w:val="SCCLsocPrefix"/>
      </w:pPr>
      <w:r>
        <w:t>Between:</w:t>
      </w:r>
    </w:p>
    <w:p w:rsidR="00F6001B" w:rsidRDefault="00F6001B" w:rsidP="00F6001B">
      <w:pPr>
        <w:pStyle w:val="SCCLsocParty"/>
        <w:jc w:val="center"/>
      </w:pPr>
      <w:proofErr w:type="spellStart"/>
      <w:r>
        <w:t>Savdip</w:t>
      </w:r>
      <w:proofErr w:type="spellEnd"/>
      <w:r>
        <w:t xml:space="preserve"> </w:t>
      </w:r>
      <w:proofErr w:type="spellStart"/>
      <w:r>
        <w:t>Sanghera</w:t>
      </w:r>
      <w:proofErr w:type="spellEnd"/>
    </w:p>
    <w:p w:rsidR="00F6001B" w:rsidRPr="00D84C9C" w:rsidRDefault="00F6001B" w:rsidP="00F6001B">
      <w:pPr>
        <w:jc w:val="center"/>
        <w:rPr>
          <w:lang w:val="en-US"/>
        </w:rPr>
      </w:pPr>
      <w:r w:rsidRPr="00D84C9C">
        <w:rPr>
          <w:lang w:val="en-US"/>
        </w:rPr>
        <w:t>Appellant</w:t>
      </w:r>
    </w:p>
    <w:p w:rsidR="00F6001B" w:rsidRPr="00F6001B" w:rsidRDefault="00F6001B" w:rsidP="00F6001B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F6001B">
        <w:rPr>
          <w:i w:val="0"/>
          <w:lang w:val="en-US"/>
        </w:rPr>
        <w:t>and</w:t>
      </w:r>
      <w:proofErr w:type="gramEnd"/>
    </w:p>
    <w:p w:rsidR="00F6001B" w:rsidRPr="00945515" w:rsidRDefault="00F6001B" w:rsidP="00F6001B">
      <w:pPr>
        <w:pStyle w:val="SCCLsocParty"/>
        <w:jc w:val="center"/>
        <w:rPr>
          <w:lang w:val="en-US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F6001B" w:rsidRPr="00945515" w:rsidRDefault="00F6001B" w:rsidP="00F6001B">
      <w:pPr>
        <w:jc w:val="center"/>
        <w:rPr>
          <w:lang w:val="en-US"/>
        </w:rPr>
      </w:pPr>
      <w:r w:rsidRPr="00945515">
        <w:rPr>
          <w:lang w:val="en-US"/>
        </w:rPr>
        <w:t>Respondent</w:t>
      </w:r>
    </w:p>
    <w:p w:rsidR="00F6001B" w:rsidRPr="00945515" w:rsidRDefault="00F6001B" w:rsidP="00F6001B">
      <w:pPr>
        <w:rPr>
          <w:lang w:val="en-US"/>
        </w:rPr>
      </w:pPr>
    </w:p>
    <w:p w:rsidR="00F6001B" w:rsidRDefault="00F6001B" w:rsidP="00F6001B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McLachlin</w:t>
      </w:r>
      <w:proofErr w:type="spellEnd"/>
      <w:r>
        <w:t xml:space="preserve"> C.J., </w:t>
      </w:r>
      <w:proofErr w:type="spellStart"/>
      <w:r>
        <w:t>Abella</w:t>
      </w:r>
      <w:proofErr w:type="spellEnd"/>
      <w:r>
        <w:t xml:space="preserve">, Rothstein,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</w:t>
      </w:r>
      <w:proofErr w:type="spellStart"/>
      <w:r>
        <w:t>Gascon</w:t>
      </w:r>
      <w:proofErr w:type="spellEnd"/>
      <w:r>
        <w:t xml:space="preserve"> and </w:t>
      </w:r>
      <w:proofErr w:type="spellStart"/>
      <w:r>
        <w:t>Côté</w:t>
      </w:r>
      <w:proofErr w:type="spellEnd"/>
      <w:r>
        <w:t xml:space="preserve"> JJ.</w:t>
      </w:r>
    </w:p>
    <w:p w:rsidR="00F6001B" w:rsidRPr="006B210C" w:rsidRDefault="00F6001B" w:rsidP="00F6001B"/>
    <w:p w:rsidR="00F6001B" w:rsidRPr="006B210C" w:rsidRDefault="00F6001B" w:rsidP="00F600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F6001B" w:rsidRPr="006B210C" w:rsidTr="00536CD0">
        <w:trPr>
          <w:cantSplit/>
        </w:trPr>
        <w:tc>
          <w:tcPr>
            <w:tcW w:w="3618" w:type="dxa"/>
          </w:tcPr>
          <w:p w:rsidR="00F6001B" w:rsidRDefault="00F6001B" w:rsidP="00536CD0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F6001B" w:rsidRPr="006B210C" w:rsidRDefault="00F6001B" w:rsidP="00536CD0">
            <w:r>
              <w:t>(paras. 1 to 5)</w:t>
            </w:r>
          </w:p>
        </w:tc>
        <w:tc>
          <w:tcPr>
            <w:tcW w:w="5958" w:type="dxa"/>
          </w:tcPr>
          <w:p w:rsidR="00F6001B" w:rsidRPr="006B210C" w:rsidRDefault="00F6001B" w:rsidP="00536CD0">
            <w:pPr>
              <w:jc w:val="both"/>
            </w:pPr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Rothstein,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</w:t>
            </w:r>
            <w:proofErr w:type="spellStart"/>
            <w:r>
              <w:t>Gascon</w:t>
            </w:r>
            <w:proofErr w:type="spellEnd"/>
            <w:r>
              <w:t xml:space="preserve"> and </w:t>
            </w:r>
            <w:proofErr w:type="spellStart"/>
            <w:r>
              <w:t>Côté</w:t>
            </w:r>
            <w:proofErr w:type="spellEnd"/>
            <w:r>
              <w:t xml:space="preserve"> JJ. concurring) </w:t>
            </w:r>
          </w:p>
        </w:tc>
      </w:tr>
    </w:tbl>
    <w:p w:rsidR="00F6001B" w:rsidRDefault="00F6001B" w:rsidP="00F6001B"/>
    <w:p w:rsidR="00F6001B" w:rsidRPr="006B210C" w:rsidRDefault="00071577" w:rsidP="00F6001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F6001B" w:rsidRDefault="00F6001B" w:rsidP="00F6001B"/>
    <w:p w:rsidR="00F6001B" w:rsidRPr="00F6001B" w:rsidRDefault="00F6001B" w:rsidP="00B87920">
      <w:pPr>
        <w:spacing w:after="240"/>
        <w:jc w:val="both"/>
        <w:outlineLvl w:val="0"/>
        <w:rPr>
          <w:smallCaps/>
          <w:lang w:val="en-US"/>
        </w:rPr>
      </w:pPr>
    </w:p>
    <w:p w:rsidR="008322BD" w:rsidRDefault="00071577" w:rsidP="00B87920">
      <w:pPr>
        <w:spacing w:after="240"/>
        <w:jc w:val="both"/>
        <w:outlineLvl w:val="0"/>
        <w:rPr>
          <w:lang w:val="fr-CA"/>
        </w:rPr>
      </w:pPr>
      <w:r>
        <w:rPr>
          <w:lang w:val="fr-CA"/>
        </w:rPr>
        <w:t>R</w:t>
      </w:r>
      <w:r w:rsidR="00A1726D" w:rsidRPr="00071577">
        <w:rPr>
          <w:lang w:val="fr-CA"/>
        </w:rPr>
        <w:t xml:space="preserve">. </w:t>
      </w:r>
      <w:r w:rsidR="00A1726D" w:rsidRPr="00071577">
        <w:rPr>
          <w:i/>
          <w:lang w:val="fr-CA"/>
        </w:rPr>
        <w:t>v.</w:t>
      </w:r>
      <w:r w:rsidR="00A1726D" w:rsidRPr="00071577">
        <w:rPr>
          <w:lang w:val="fr-CA"/>
        </w:rPr>
        <w:t xml:space="preserve"> </w:t>
      </w:r>
      <w:proofErr w:type="spellStart"/>
      <w:r>
        <w:rPr>
          <w:rStyle w:val="SCCAppellantForRunningHeadChar"/>
          <w:smallCaps w:val="0"/>
          <w:lang w:val="fr-CA"/>
        </w:rPr>
        <w:t>S</w:t>
      </w:r>
      <w:bookmarkStart w:id="0" w:name="_GoBack"/>
      <w:bookmarkEnd w:id="0"/>
      <w:r w:rsidR="008F78E9" w:rsidRPr="00071577">
        <w:rPr>
          <w:rStyle w:val="SCCAppellantForRunningHeadChar"/>
          <w:smallCaps w:val="0"/>
          <w:lang w:val="fr-CA"/>
        </w:rPr>
        <w:t>anghera</w:t>
      </w:r>
      <w:proofErr w:type="spellEnd"/>
      <w:r w:rsidR="00577C4F" w:rsidRPr="00577C4F">
        <w:rPr>
          <w:rStyle w:val="SCCAppellantForRunningHeadChar"/>
          <w:lang w:val="fr-CA"/>
        </w:rPr>
        <w:t xml:space="preserve">, </w:t>
      </w:r>
      <w:r w:rsidR="00577C4F" w:rsidRPr="00577C4F">
        <w:rPr>
          <w:lang w:val="fr-CA"/>
        </w:rPr>
        <w:t>2015 SCC 13, [2015] 1 S.C.R. 691</w:t>
      </w:r>
    </w:p>
    <w:p w:rsidR="00B87920" w:rsidRPr="00577C4F" w:rsidRDefault="00B87920" w:rsidP="00B87920">
      <w:pPr>
        <w:spacing w:after="240"/>
        <w:jc w:val="both"/>
        <w:outlineLvl w:val="0"/>
        <w:rPr>
          <w:lang w:val="fr-CA"/>
        </w:rPr>
      </w:pPr>
    </w:p>
    <w:p w:rsidR="008D34F5" w:rsidRPr="00F6001B" w:rsidRDefault="00617CB9" w:rsidP="00B87920">
      <w:pPr>
        <w:pStyle w:val="SCCLsocLastPartyInRole"/>
        <w:spacing w:after="240"/>
        <w:rPr>
          <w:rStyle w:val="SCCLsocPartyRole"/>
          <w:lang w:val="fr-CA"/>
        </w:rPr>
      </w:pPr>
      <w:proofErr w:type="spellStart"/>
      <w:r w:rsidRPr="00F6001B">
        <w:rPr>
          <w:lang w:val="fr-CA"/>
        </w:rPr>
        <w:t>Savdip</w:t>
      </w:r>
      <w:proofErr w:type="spellEnd"/>
      <w:r w:rsidRPr="00F6001B">
        <w:rPr>
          <w:lang w:val="fr-CA"/>
        </w:rPr>
        <w:t xml:space="preserve"> </w:t>
      </w:r>
      <w:proofErr w:type="spellStart"/>
      <w:r w:rsidRPr="00F6001B">
        <w:rPr>
          <w:lang w:val="fr-CA"/>
        </w:rPr>
        <w:t>Sanghera</w:t>
      </w:r>
      <w:proofErr w:type="spellEnd"/>
      <w:r w:rsidRPr="00F6001B">
        <w:rPr>
          <w:rStyle w:val="SCCLsocPartyRole"/>
          <w:lang w:val="fr-CA"/>
        </w:rPr>
        <w:tab/>
      </w:r>
      <w:proofErr w:type="spellStart"/>
      <w:r w:rsidRPr="00F6001B">
        <w:rPr>
          <w:rStyle w:val="SCCLsocPartyRole"/>
          <w:lang w:val="fr-CA"/>
        </w:rPr>
        <w:t>Appellant</w:t>
      </w:r>
      <w:proofErr w:type="spellEnd"/>
    </w:p>
    <w:p w:rsidR="00B87920" w:rsidRPr="00F6001B" w:rsidRDefault="00B87920" w:rsidP="00B87920">
      <w:pPr>
        <w:rPr>
          <w:lang w:val="fr-CA"/>
        </w:rPr>
      </w:pPr>
    </w:p>
    <w:p w:rsidR="008D34F5" w:rsidRPr="00416BFE" w:rsidRDefault="00617CB9" w:rsidP="00B87920">
      <w:pPr>
        <w:pStyle w:val="SCCLsocVersus"/>
        <w:spacing w:after="240"/>
      </w:pPr>
      <w:proofErr w:type="gramStart"/>
      <w:r w:rsidRPr="00416BFE">
        <w:t>v</w:t>
      </w:r>
      <w:proofErr w:type="gramEnd"/>
      <w:r w:rsidRPr="00416BFE">
        <w:t>.</w:t>
      </w:r>
    </w:p>
    <w:p w:rsidR="008D34F5" w:rsidRDefault="00617CB9" w:rsidP="00B87920">
      <w:pPr>
        <w:pStyle w:val="SCCLsocLastPartyInRole"/>
        <w:spacing w:after="240"/>
        <w:rPr>
          <w:rStyle w:val="SCCLsocPartyRole"/>
        </w:rPr>
      </w:pPr>
      <w:r w:rsidRPr="00416BFE">
        <w:t xml:space="preserve">Her Majesty </w:t>
      </w:r>
      <w:proofErr w:type="gramStart"/>
      <w:r w:rsidR="0079099C" w:rsidRPr="00416BFE">
        <w:t>T</w:t>
      </w:r>
      <w:r w:rsidRPr="00416BFE">
        <w:t>he</w:t>
      </w:r>
      <w:proofErr w:type="gramEnd"/>
      <w:r w:rsidRPr="00416BFE">
        <w:t xml:space="preserve"> Queen</w:t>
      </w:r>
      <w:r w:rsidRPr="00416BFE">
        <w:rPr>
          <w:rStyle w:val="SCCLsocPartyRole"/>
        </w:rPr>
        <w:tab/>
        <w:t>Respondent</w:t>
      </w:r>
    </w:p>
    <w:p w:rsidR="00B87920" w:rsidRPr="00B87920" w:rsidRDefault="00B87920" w:rsidP="00B87920"/>
    <w:p w:rsidR="00426659" w:rsidRPr="00416BFE" w:rsidRDefault="00426659" w:rsidP="00B87920">
      <w:pPr>
        <w:spacing w:after="240"/>
        <w:jc w:val="both"/>
        <w:outlineLvl w:val="0"/>
        <w:rPr>
          <w:b/>
        </w:rPr>
      </w:pPr>
      <w:r w:rsidRPr="00416BFE">
        <w:rPr>
          <w:b/>
        </w:rPr>
        <w:t xml:space="preserve">Indexed as: </w:t>
      </w:r>
      <w:r w:rsidR="00A1726D" w:rsidRPr="00416BFE">
        <w:rPr>
          <w:b/>
        </w:rPr>
        <w:t xml:space="preserve">R. </w:t>
      </w:r>
      <w:r w:rsidR="00A1726D" w:rsidRPr="00416BFE">
        <w:rPr>
          <w:b/>
          <w:i/>
        </w:rPr>
        <w:t xml:space="preserve">v. </w:t>
      </w:r>
      <w:proofErr w:type="spellStart"/>
      <w:r w:rsidRPr="00416BFE">
        <w:rPr>
          <w:rStyle w:val="SCCAppellantForIndexChar"/>
        </w:rPr>
        <w:t>Sanghera</w:t>
      </w:r>
      <w:proofErr w:type="spellEnd"/>
    </w:p>
    <w:p w:rsidR="00A149DF" w:rsidRPr="00416BFE" w:rsidRDefault="00A149DF" w:rsidP="00B87920">
      <w:pPr>
        <w:spacing w:after="240"/>
        <w:jc w:val="both"/>
      </w:pPr>
    </w:p>
    <w:p w:rsidR="00426659" w:rsidRPr="00416BFE" w:rsidRDefault="004F36FF" w:rsidP="00B87920">
      <w:pPr>
        <w:pStyle w:val="SCCSystemYear"/>
        <w:spacing w:after="240"/>
        <w:jc w:val="both"/>
        <w:outlineLvl w:val="0"/>
      </w:pPr>
      <w:r w:rsidRPr="00416BFE">
        <w:t>2015</w:t>
      </w:r>
      <w:r w:rsidR="003D0399" w:rsidRPr="00416BFE">
        <w:t xml:space="preserve"> </w:t>
      </w:r>
      <w:r w:rsidR="00426659" w:rsidRPr="00416BFE">
        <w:t>SCC</w:t>
      </w:r>
      <w:r w:rsidR="00A1726D" w:rsidRPr="00416BFE">
        <w:t xml:space="preserve"> 13</w:t>
      </w:r>
    </w:p>
    <w:p w:rsidR="00A149DF" w:rsidRPr="00416BFE" w:rsidRDefault="00A149DF" w:rsidP="00B87920">
      <w:pPr>
        <w:spacing w:after="240"/>
        <w:jc w:val="both"/>
      </w:pPr>
    </w:p>
    <w:p w:rsidR="008322BD" w:rsidRPr="00416BFE" w:rsidRDefault="00B23FBA" w:rsidP="00B87920">
      <w:pPr>
        <w:spacing w:after="240"/>
        <w:jc w:val="both"/>
        <w:outlineLvl w:val="0"/>
      </w:pPr>
      <w:r w:rsidRPr="00416BFE">
        <w:t xml:space="preserve">File No.: </w:t>
      </w:r>
      <w:r w:rsidR="009B57B3" w:rsidRPr="00416BFE">
        <w:t>36017.</w:t>
      </w:r>
    </w:p>
    <w:p w:rsidR="00A149DF" w:rsidRPr="00416BFE" w:rsidRDefault="00A149DF" w:rsidP="00B87920">
      <w:pPr>
        <w:spacing w:after="240"/>
        <w:jc w:val="both"/>
      </w:pPr>
    </w:p>
    <w:p w:rsidR="008322BD" w:rsidRPr="00416BFE" w:rsidRDefault="004F36FF" w:rsidP="00B87920">
      <w:pPr>
        <w:spacing w:after="240"/>
        <w:jc w:val="both"/>
      </w:pPr>
      <w:r w:rsidRPr="00416BFE">
        <w:t>2015:  March 19</w:t>
      </w:r>
      <w:r w:rsidR="00617CB9" w:rsidRPr="00416BFE">
        <w:t>.</w:t>
      </w:r>
    </w:p>
    <w:p w:rsidR="00A149DF" w:rsidRPr="00416BFE" w:rsidRDefault="00A149DF" w:rsidP="00B87920">
      <w:pPr>
        <w:spacing w:after="240"/>
        <w:jc w:val="both"/>
      </w:pPr>
    </w:p>
    <w:p w:rsidR="008322BD" w:rsidRPr="00416BFE" w:rsidRDefault="00B23FBA" w:rsidP="00B87920">
      <w:pPr>
        <w:spacing w:after="240"/>
        <w:jc w:val="both"/>
      </w:pPr>
      <w:r w:rsidRPr="00416BFE">
        <w:t xml:space="preserve">Present: McLachlin </w:t>
      </w:r>
      <w:r w:rsidR="009B57B3" w:rsidRPr="00416BFE">
        <w:t>C.J. and Abella, Rothstein, Moldaver, Karakatsanis, Gascon and Côté JJ.</w:t>
      </w:r>
    </w:p>
    <w:p w:rsidR="008D34F5" w:rsidRPr="00416BFE" w:rsidRDefault="008D34F5"/>
    <w:p w:rsidR="008322BD" w:rsidRPr="00416BFE" w:rsidRDefault="00656313" w:rsidP="00BB4B21">
      <w:pPr>
        <w:pStyle w:val="SCCLowerCourtNameLowercase"/>
        <w:outlineLvl w:val="0"/>
      </w:pPr>
      <w:r w:rsidRPr="00416BFE">
        <w:t>o</w:t>
      </w:r>
      <w:r w:rsidR="00170592" w:rsidRPr="00416BFE">
        <w:t>n</w:t>
      </w:r>
      <w:r w:rsidR="00224FC0" w:rsidRPr="00416BFE">
        <w:t xml:space="preserve"> </w:t>
      </w:r>
      <w:r w:rsidRPr="00416BFE">
        <w:t>a</w:t>
      </w:r>
      <w:r w:rsidR="00170592" w:rsidRPr="00416BFE">
        <w:t>ppeal</w:t>
      </w:r>
      <w:r w:rsidR="00224FC0" w:rsidRPr="00416BFE">
        <w:t xml:space="preserve"> </w:t>
      </w:r>
      <w:r w:rsidR="00170592" w:rsidRPr="00416BFE">
        <w:t>from</w:t>
      </w:r>
      <w:r w:rsidR="009567AA" w:rsidRPr="00416BFE">
        <w:t xml:space="preserve"> the</w:t>
      </w:r>
      <w:r w:rsidR="00224FC0" w:rsidRPr="00416BFE">
        <w:t xml:space="preserve"> </w:t>
      </w:r>
      <w:r w:rsidR="009B57B3" w:rsidRPr="00416BFE">
        <w:t>court of appeal for british columbia</w:t>
      </w:r>
    </w:p>
    <w:p w:rsidR="003A4C70" w:rsidRPr="00416BFE" w:rsidRDefault="003A4C70" w:rsidP="00FC4EFB">
      <w:pPr>
        <w:pStyle w:val="SCCNormalDoubleSpacing"/>
      </w:pPr>
    </w:p>
    <w:p w:rsidR="00A149DF" w:rsidRPr="00416BFE" w:rsidRDefault="00B23FBA" w:rsidP="004E2C26">
      <w:pPr>
        <w:pStyle w:val="SCCNormalDoubleSpacing"/>
        <w:rPr>
          <w:i/>
        </w:rPr>
      </w:pPr>
      <w:r w:rsidRPr="00416BFE">
        <w:rPr>
          <w:i/>
        </w:rPr>
        <w:tab/>
      </w:r>
      <w:r w:rsidR="007C7FD8" w:rsidRPr="00416BFE">
        <w:rPr>
          <w:i/>
        </w:rPr>
        <w:t xml:space="preserve">Constitutional law </w:t>
      </w:r>
      <w:r w:rsidR="008B379C" w:rsidRPr="00416BFE">
        <w:rPr>
          <w:i/>
        </w:rPr>
        <w:t>—</w:t>
      </w:r>
      <w:r w:rsidR="007C7FD8" w:rsidRPr="00416BFE">
        <w:rPr>
          <w:i/>
        </w:rPr>
        <w:t xml:space="preserve"> Charter of Rights </w:t>
      </w:r>
      <w:r w:rsidR="008B379C" w:rsidRPr="00416BFE">
        <w:rPr>
          <w:i/>
        </w:rPr>
        <w:t>—</w:t>
      </w:r>
      <w:r w:rsidR="007C7FD8" w:rsidRPr="00416BFE">
        <w:rPr>
          <w:i/>
        </w:rPr>
        <w:t xml:space="preserve"> Right to be tried within </w:t>
      </w:r>
      <w:r w:rsidR="008B379C" w:rsidRPr="00416BFE">
        <w:rPr>
          <w:i/>
        </w:rPr>
        <w:t xml:space="preserve">a </w:t>
      </w:r>
      <w:r w:rsidR="007C7FD8" w:rsidRPr="00416BFE">
        <w:rPr>
          <w:i/>
        </w:rPr>
        <w:t xml:space="preserve">reasonable time </w:t>
      </w:r>
      <w:r w:rsidR="008B379C" w:rsidRPr="00416BFE">
        <w:rPr>
          <w:i/>
        </w:rPr>
        <w:t>—</w:t>
      </w:r>
      <w:r w:rsidR="007C7FD8" w:rsidRPr="00416BFE">
        <w:rPr>
          <w:i/>
        </w:rPr>
        <w:t xml:space="preserve"> Accused charged in 2009 and convicted in 2012 </w:t>
      </w:r>
      <w:r w:rsidR="008B379C" w:rsidRPr="00416BFE">
        <w:rPr>
          <w:i/>
        </w:rPr>
        <w:t>—</w:t>
      </w:r>
      <w:r w:rsidR="001759E2" w:rsidRPr="00416BFE">
        <w:rPr>
          <w:i/>
        </w:rPr>
        <w:t xml:space="preserve"> </w:t>
      </w:r>
      <w:r w:rsidR="008B379C" w:rsidRPr="00416BFE">
        <w:rPr>
          <w:i/>
        </w:rPr>
        <w:t xml:space="preserve">Five-month delay caused by direct indictment — Overall delay found reasonable — </w:t>
      </w:r>
      <w:r w:rsidR="00A0392F" w:rsidRPr="00416BFE">
        <w:rPr>
          <w:i/>
        </w:rPr>
        <w:t xml:space="preserve">Majority of Court of Appeal did not err in concluding that trial judge failed to attribute sufficient delay to accused </w:t>
      </w:r>
      <w:r w:rsidR="008B379C" w:rsidRPr="00416BFE">
        <w:rPr>
          <w:i/>
        </w:rPr>
        <w:t xml:space="preserve">— </w:t>
      </w:r>
      <w:r w:rsidR="001759E2" w:rsidRPr="00416BFE">
        <w:rPr>
          <w:i/>
        </w:rPr>
        <w:t xml:space="preserve">Canadian </w:t>
      </w:r>
      <w:r w:rsidR="00A0392F" w:rsidRPr="00416BFE">
        <w:rPr>
          <w:i/>
        </w:rPr>
        <w:t>Charter of Rights and Freedoms</w:t>
      </w:r>
      <w:r w:rsidR="001759E2" w:rsidRPr="00416BFE">
        <w:rPr>
          <w:i/>
        </w:rPr>
        <w:t>, s. 11(b).</w:t>
      </w:r>
    </w:p>
    <w:p w:rsidR="00A0392F" w:rsidRPr="00416BFE" w:rsidRDefault="00A0392F" w:rsidP="004E2C26">
      <w:pPr>
        <w:pStyle w:val="SCCNormalDoubleSpacing"/>
      </w:pPr>
    </w:p>
    <w:p w:rsidR="003B215F" w:rsidRPr="00416BFE" w:rsidRDefault="002E6705" w:rsidP="00B87920">
      <w:pPr>
        <w:pStyle w:val="SCCNormalDoubleSpacing"/>
        <w:spacing w:after="240" w:line="240" w:lineRule="auto"/>
        <w:outlineLvl w:val="0"/>
      </w:pPr>
      <w:r w:rsidRPr="00416BFE">
        <w:rPr>
          <w:b/>
        </w:rPr>
        <w:t>Statutes and Regulations Cite</w:t>
      </w:r>
      <w:r w:rsidR="00A41805" w:rsidRPr="00416BFE">
        <w:rPr>
          <w:b/>
        </w:rPr>
        <w:t>d</w:t>
      </w:r>
    </w:p>
    <w:p w:rsidR="00A41805" w:rsidRPr="00416BFE" w:rsidRDefault="00A41805" w:rsidP="00FC4EFB">
      <w:pPr>
        <w:pStyle w:val="SCCNormalDoubleSpacing"/>
        <w:spacing w:line="240" w:lineRule="auto"/>
        <w:ind w:left="540" w:hanging="540"/>
      </w:pPr>
    </w:p>
    <w:p w:rsidR="00D54C07" w:rsidRPr="00416BFE" w:rsidRDefault="00D54C07" w:rsidP="00B87920">
      <w:pPr>
        <w:pStyle w:val="SCCNormalDoubleSpacing"/>
        <w:spacing w:after="480" w:line="240" w:lineRule="auto"/>
        <w:ind w:left="547" w:hanging="547"/>
      </w:pPr>
      <w:r w:rsidRPr="00416BFE">
        <w:rPr>
          <w:i/>
        </w:rPr>
        <w:t>Canadian Charter of Rights and Freedoms</w:t>
      </w:r>
      <w:r w:rsidRPr="00416BFE">
        <w:t>, s. 11(</w:t>
      </w:r>
      <w:r w:rsidR="001759E2" w:rsidRPr="00416BFE">
        <w:rPr>
          <w:i/>
        </w:rPr>
        <w:t>b</w:t>
      </w:r>
      <w:r w:rsidRPr="00416BFE">
        <w:t>).</w:t>
      </w:r>
    </w:p>
    <w:p w:rsidR="00A149DF" w:rsidRPr="00416BFE" w:rsidRDefault="00A149DF" w:rsidP="00FC4EFB">
      <w:pPr>
        <w:pStyle w:val="SCCNormalDoubleSpacing"/>
        <w:spacing w:line="240" w:lineRule="auto"/>
        <w:ind w:left="540" w:hanging="540"/>
      </w:pPr>
    </w:p>
    <w:p w:rsidR="00656313" w:rsidRPr="00416BFE" w:rsidRDefault="0019296A" w:rsidP="00FC4EFB">
      <w:pPr>
        <w:pStyle w:val="SCCNormalDoubleSpacing"/>
      </w:pPr>
      <w:r w:rsidRPr="00416BFE">
        <w:tab/>
      </w:r>
      <w:r w:rsidR="009B57B3" w:rsidRPr="00416BFE">
        <w:t xml:space="preserve">APPEAL from a judgment of the British Columbia </w:t>
      </w:r>
      <w:r w:rsidR="006C6B6B">
        <w:t>Court of Appeal (Lowry, Bennett</w:t>
      </w:r>
      <w:r w:rsidRPr="00416BFE">
        <w:t xml:space="preserve"> and MacKenzie JJ.A.), 2014 BCCA 249, 313 C.C.C. (3d) 113, 357 B.C.A.C. 175, </w:t>
      </w:r>
      <w:r w:rsidR="00ED04FB" w:rsidRPr="00416BFE">
        <w:t>[2014] B.C.J. No. 1316 (QL), 2014 CarswellBC 1847 (WL Can.),</w:t>
      </w:r>
      <w:r w:rsidR="00C3158D" w:rsidRPr="00416BFE">
        <w:t xml:space="preserve"> affirming the accused’s convictions.  Appeal </w:t>
      </w:r>
      <w:r w:rsidR="00DE4CF2" w:rsidRPr="00416BFE">
        <w:t>dismissed</w:t>
      </w:r>
      <w:r w:rsidR="008B379C" w:rsidRPr="00416BFE">
        <w:t>, Karakatsanis and Cô</w:t>
      </w:r>
      <w:r w:rsidR="00A0392F" w:rsidRPr="00416BFE">
        <w:t>té JJ. dissenting</w:t>
      </w:r>
      <w:r w:rsidR="00C3158D" w:rsidRPr="00416BFE">
        <w:t>.</w:t>
      </w:r>
    </w:p>
    <w:p w:rsidR="0019296A" w:rsidRPr="00416BFE" w:rsidRDefault="0019296A" w:rsidP="00FC4EFB">
      <w:pPr>
        <w:pStyle w:val="SCCNormalDoubleSpacing"/>
      </w:pPr>
    </w:p>
    <w:p w:rsidR="008D34F5" w:rsidRPr="00416BFE" w:rsidRDefault="00617CB9" w:rsidP="00BB4B21">
      <w:pPr>
        <w:pStyle w:val="SCCNormalDoubleSpacing"/>
        <w:outlineLvl w:val="0"/>
      </w:pPr>
      <w:r w:rsidRPr="00416BFE">
        <w:rPr>
          <w:rStyle w:val="SCCCounselNameChar"/>
        </w:rPr>
        <w:lastRenderedPageBreak/>
        <w:tab/>
        <w:t>Colleen E. Elden</w:t>
      </w:r>
      <w:r w:rsidRPr="00416BFE">
        <w:rPr>
          <w:rStyle w:val="SCCCounselPartyRoleChar"/>
        </w:rPr>
        <w:t>, for the appellant.</w:t>
      </w:r>
    </w:p>
    <w:p w:rsidR="008D34F5" w:rsidRPr="00416BFE" w:rsidRDefault="008D34F5">
      <w:pPr>
        <w:pStyle w:val="SCCNormalDoubleSpacing"/>
      </w:pPr>
    </w:p>
    <w:p w:rsidR="008D34F5" w:rsidRPr="00416BFE" w:rsidRDefault="00617CB9" w:rsidP="00BB4B21">
      <w:pPr>
        <w:pStyle w:val="SCCNormalDoubleSpacing"/>
        <w:outlineLvl w:val="0"/>
        <w:rPr>
          <w:rStyle w:val="SCCCounselPartyRoleChar"/>
        </w:rPr>
      </w:pPr>
      <w:r w:rsidRPr="00416BFE">
        <w:rPr>
          <w:rStyle w:val="SCCCounselNameChar"/>
        </w:rPr>
        <w:tab/>
        <w:t>Christie Lusk</w:t>
      </w:r>
      <w:r w:rsidR="00286DA8" w:rsidRPr="00416BFE">
        <w:rPr>
          <w:rStyle w:val="SCCCounselPartyRoleChar"/>
        </w:rPr>
        <w:t xml:space="preserve"> and </w:t>
      </w:r>
      <w:r w:rsidR="00286DA8" w:rsidRPr="00416BFE">
        <w:rPr>
          <w:rStyle w:val="SCCCounselPartyRoleChar"/>
          <w:i/>
        </w:rPr>
        <w:t>John Gordon</w:t>
      </w:r>
      <w:r w:rsidR="00286DA8" w:rsidRPr="00416BFE">
        <w:rPr>
          <w:rStyle w:val="SCCCounselPartyRoleChar"/>
        </w:rPr>
        <w:t xml:space="preserve">, </w:t>
      </w:r>
      <w:r w:rsidR="00286DA8" w:rsidRPr="00416BFE">
        <w:rPr>
          <w:rStyle w:val="SCCCounselPartyRoleChar"/>
          <w:i/>
        </w:rPr>
        <w:t>Q.C.</w:t>
      </w:r>
      <w:r w:rsidR="00286DA8" w:rsidRPr="00416BFE">
        <w:rPr>
          <w:rStyle w:val="SCCCounselPartyRoleChar"/>
        </w:rPr>
        <w:t xml:space="preserve">, </w:t>
      </w:r>
      <w:r w:rsidRPr="00416BFE">
        <w:rPr>
          <w:rStyle w:val="SCCCounselPartyRoleChar"/>
        </w:rPr>
        <w:t>for the respondent.</w:t>
      </w:r>
    </w:p>
    <w:p w:rsidR="00BB4B21" w:rsidRPr="00416BFE" w:rsidRDefault="00BB4B21" w:rsidP="00BB4B21">
      <w:pPr>
        <w:pStyle w:val="SCCNormalDoubleSpacing"/>
        <w:outlineLvl w:val="0"/>
        <w:rPr>
          <w:rStyle w:val="SCCCounselPartyRoleChar"/>
        </w:rPr>
      </w:pPr>
    </w:p>
    <w:p w:rsidR="00BB4B21" w:rsidRPr="00416BFE" w:rsidRDefault="00BB4B21" w:rsidP="00BB4B21">
      <w:pPr>
        <w:pStyle w:val="SCCNormalDoubleSpacing"/>
        <w:outlineLvl w:val="0"/>
      </w:pPr>
      <w:r w:rsidRPr="00416BFE">
        <w:rPr>
          <w:rStyle w:val="SCCCounselPartyRoleChar"/>
        </w:rPr>
        <w:tab/>
      </w:r>
      <w:r w:rsidRPr="00416BFE">
        <w:t>The judgment of the Court was delivered orally by</w:t>
      </w:r>
    </w:p>
    <w:p w:rsidR="00AC71CB" w:rsidRPr="00416BFE" w:rsidRDefault="00AC71CB" w:rsidP="00AC71CB">
      <w:pPr>
        <w:pStyle w:val="ParaNoNdepar-AltN"/>
        <w:tabs>
          <w:tab w:val="clear" w:pos="1242"/>
          <w:tab w:val="num" w:pos="1152"/>
        </w:tabs>
        <w:ind w:left="0"/>
      </w:pPr>
      <w:r w:rsidRPr="00416BFE">
        <w:t>The</w:t>
      </w:r>
      <w:r w:rsidRPr="00416BFE">
        <w:rPr>
          <w:smallCaps/>
        </w:rPr>
        <w:t xml:space="preserve"> Chief Justice</w:t>
      </w:r>
      <w:r w:rsidRPr="00416BFE">
        <w:t xml:space="preserve"> </w:t>
      </w:r>
      <w:r w:rsidRPr="00416BFE">
        <w:rPr>
          <w:rFonts w:cs="Times New Roman"/>
        </w:rPr>
        <w:t>—</w:t>
      </w:r>
      <w:r w:rsidRPr="00416BFE">
        <w:t xml:space="preserve"> This is an appeal as of right based on the dissenting view of </w:t>
      </w:r>
      <w:r w:rsidRPr="00416BFE">
        <w:rPr>
          <w:rFonts w:cs="Times New Roman"/>
        </w:rPr>
        <w:t>Bennett</w:t>
      </w:r>
      <w:r w:rsidRPr="00416BFE">
        <w:t xml:space="preserve"> J.A. of the British Columbia Court of Appeal that the five-month delay caused by the Crown’s preferment of a direct indictment, which was not considered by the trial judge, established an unreasonable delay in violation of s. 11(</w:t>
      </w:r>
      <w:r w:rsidRPr="00416BFE">
        <w:rPr>
          <w:i/>
        </w:rPr>
        <w:t>b</w:t>
      </w:r>
      <w:r w:rsidRPr="00416BFE">
        <w:t xml:space="preserve">) of the </w:t>
      </w:r>
      <w:r w:rsidRPr="00416BFE">
        <w:rPr>
          <w:i/>
        </w:rPr>
        <w:t>C</w:t>
      </w:r>
      <w:r w:rsidR="001759E2" w:rsidRPr="00416BFE">
        <w:rPr>
          <w:i/>
        </w:rPr>
        <w:t>anadian C</w:t>
      </w:r>
      <w:r w:rsidRPr="00416BFE">
        <w:rPr>
          <w:i/>
        </w:rPr>
        <w:t>harter</w:t>
      </w:r>
      <w:r w:rsidR="001759E2" w:rsidRPr="00416BFE">
        <w:rPr>
          <w:i/>
        </w:rPr>
        <w:t xml:space="preserve"> of Rights and Freedoms</w:t>
      </w:r>
      <w:r w:rsidR="001759E2" w:rsidRPr="00416BFE">
        <w:t>.</w:t>
      </w:r>
    </w:p>
    <w:p w:rsidR="00AC71CB" w:rsidRPr="00416BFE" w:rsidRDefault="00AC71CB" w:rsidP="00AC71CB">
      <w:pPr>
        <w:pStyle w:val="ParaNoNdepar-AltN"/>
        <w:tabs>
          <w:tab w:val="clear" w:pos="1242"/>
          <w:tab w:val="num" w:pos="1152"/>
        </w:tabs>
        <w:ind w:left="0"/>
      </w:pPr>
      <w:r w:rsidRPr="00416BFE">
        <w:rPr>
          <w:rFonts w:cs="Times New Roman"/>
        </w:rPr>
        <w:t>MacKenzie</w:t>
      </w:r>
      <w:r w:rsidRPr="00416BFE">
        <w:t xml:space="preserve"> J.A., for the majority of the British Columbia Court of Appeal, concluded:</w:t>
      </w:r>
    </w:p>
    <w:p w:rsidR="00AC71CB" w:rsidRPr="00416BFE" w:rsidRDefault="00AC71CB" w:rsidP="00D54C07">
      <w:pPr>
        <w:ind w:left="1170"/>
        <w:jc w:val="both"/>
      </w:pPr>
      <w:r w:rsidRPr="00416BFE">
        <w:t>It is my view that if [the trial judge] erred in not attributing to the Crown responsibility for the five months’ delay arising from the direct indictment, . . . such error does not upset the overall result, as I have found that other factors weigh more heavily on the other side of the balance.</w:t>
      </w:r>
    </w:p>
    <w:p w:rsidR="00AC71CB" w:rsidRPr="00416BFE" w:rsidRDefault="00AC71CB" w:rsidP="00AC71CB">
      <w:pPr>
        <w:jc w:val="both"/>
      </w:pPr>
    </w:p>
    <w:p w:rsidR="00D33FFF" w:rsidRPr="00416BFE" w:rsidRDefault="00D33FFF" w:rsidP="00AC71CB">
      <w:pPr>
        <w:jc w:val="both"/>
      </w:pPr>
      <w:r w:rsidRPr="00416BFE">
        <w:t>(2014 BCCA 249, 313 C.C.C. (3d) 113, at para. 148)</w:t>
      </w:r>
    </w:p>
    <w:p w:rsidR="00AC71CB" w:rsidRPr="00416BFE" w:rsidRDefault="00AC71CB" w:rsidP="00AC71CB">
      <w:pPr>
        <w:pStyle w:val="ParaNoNdepar-AltN"/>
        <w:tabs>
          <w:tab w:val="clear" w:pos="1242"/>
          <w:tab w:val="num" w:pos="1152"/>
        </w:tabs>
        <w:ind w:left="0"/>
      </w:pPr>
      <w:r w:rsidRPr="00416BFE">
        <w:t>The majority of the Court sees no error in the conclusion of the majority of the British Columbia Court of Appeal. The majority would accordingly dismiss the appeal.</w:t>
      </w:r>
    </w:p>
    <w:p w:rsidR="00AC71CB" w:rsidRPr="00416BFE" w:rsidRDefault="00AC71CB" w:rsidP="00AC71CB">
      <w:pPr>
        <w:pStyle w:val="ParaNoNdepar-AltN"/>
        <w:tabs>
          <w:tab w:val="clear" w:pos="1242"/>
          <w:tab w:val="num" w:pos="1152"/>
        </w:tabs>
        <w:ind w:left="0"/>
      </w:pPr>
      <w:r w:rsidRPr="00416BFE">
        <w:rPr>
          <w:rFonts w:cs="Times New Roman"/>
        </w:rPr>
        <w:lastRenderedPageBreak/>
        <w:t>Karakatsanis</w:t>
      </w:r>
      <w:r w:rsidRPr="00416BFE">
        <w:t xml:space="preserve"> and Côté JJ., dissenting, would allow the appeal for the reasons of Bennett J.A.</w:t>
      </w:r>
    </w:p>
    <w:p w:rsidR="00AC71CB" w:rsidRPr="00416BFE" w:rsidRDefault="00AC71CB" w:rsidP="00AC71CB">
      <w:pPr>
        <w:pStyle w:val="ParaNoNdepar-AltN"/>
        <w:tabs>
          <w:tab w:val="clear" w:pos="1242"/>
          <w:tab w:val="num" w:pos="1152"/>
        </w:tabs>
        <w:ind w:left="0"/>
        <w:rPr>
          <w:rStyle w:val="SCCCounselPartyRoleChar"/>
        </w:rPr>
      </w:pPr>
      <w:r w:rsidRPr="00416BFE">
        <w:t xml:space="preserve">The </w:t>
      </w:r>
      <w:r w:rsidRPr="00416BFE">
        <w:rPr>
          <w:rFonts w:cs="Times New Roman"/>
        </w:rPr>
        <w:t>appeal</w:t>
      </w:r>
      <w:r w:rsidRPr="00416BFE">
        <w:t xml:space="preserve"> is dismissed.</w:t>
      </w:r>
    </w:p>
    <w:p w:rsidR="00BB4B21" w:rsidRPr="00416BFE" w:rsidRDefault="00BB4B21" w:rsidP="00D54C07">
      <w:pPr>
        <w:pStyle w:val="SCCNormalDoubleSpacing"/>
        <w:outlineLvl w:val="0"/>
        <w:rPr>
          <w:i/>
        </w:rPr>
      </w:pPr>
      <w:r w:rsidRPr="00416BFE">
        <w:tab/>
      </w:r>
      <w:r w:rsidRPr="00416BFE">
        <w:rPr>
          <w:i/>
        </w:rPr>
        <w:t>Judgment accordingly.</w:t>
      </w:r>
    </w:p>
    <w:p w:rsidR="00D54C07" w:rsidRPr="00416BFE" w:rsidRDefault="00D54C07" w:rsidP="00D54C07">
      <w:pPr>
        <w:pStyle w:val="SCCNormalDoubleSpacing"/>
        <w:outlineLvl w:val="0"/>
        <w:rPr>
          <w:i/>
        </w:rPr>
      </w:pPr>
    </w:p>
    <w:p w:rsidR="008D34F5" w:rsidRPr="00416BFE" w:rsidRDefault="00BB4B21" w:rsidP="00BB4B21">
      <w:pPr>
        <w:pStyle w:val="SCCLawFirm"/>
        <w:outlineLvl w:val="0"/>
      </w:pPr>
      <w:r w:rsidRPr="00416BFE">
        <w:tab/>
        <w:t>Solicitor</w:t>
      </w:r>
      <w:r w:rsidR="00617CB9" w:rsidRPr="00416BFE">
        <w:t xml:space="preserve"> for the appellant:  Colleen E. Elden, Vancouver.</w:t>
      </w:r>
    </w:p>
    <w:p w:rsidR="008D34F5" w:rsidRPr="00416BFE" w:rsidRDefault="008D34F5">
      <w:pPr>
        <w:pStyle w:val="SCCLawFirm"/>
      </w:pPr>
    </w:p>
    <w:p w:rsidR="008D34F5" w:rsidRPr="00416BFE" w:rsidRDefault="00BB4B21">
      <w:pPr>
        <w:pStyle w:val="SCCLawFirm"/>
      </w:pPr>
      <w:r w:rsidRPr="00416BFE">
        <w:tab/>
        <w:t>Solicitor</w:t>
      </w:r>
      <w:r w:rsidR="00617CB9" w:rsidRPr="00416BFE">
        <w:t xml:space="preserve"> for the respondent:  Attorney General of British Columbia, Vancouver.</w:t>
      </w:r>
    </w:p>
    <w:p w:rsidR="008D34F5" w:rsidRPr="00416BFE" w:rsidRDefault="008D34F5">
      <w:pPr>
        <w:pStyle w:val="SCCLawFirm"/>
      </w:pPr>
    </w:p>
    <w:sectPr w:rsidR="008D34F5" w:rsidRPr="00416BFE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BA" w:rsidRDefault="00B23FBA">
      <w:r>
        <w:separator/>
      </w:r>
    </w:p>
  </w:endnote>
  <w:endnote w:type="continuationSeparator" w:id="0">
    <w:p w:rsidR="00B23FBA" w:rsidRDefault="00B2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BA" w:rsidRDefault="00B23FBA">
      <w:r>
        <w:separator/>
      </w:r>
    </w:p>
  </w:footnote>
  <w:footnote w:type="continuationSeparator" w:id="0">
    <w:p w:rsidR="00B23FBA" w:rsidRDefault="00B2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BA" w:rsidRPr="00450352" w:rsidRDefault="00B23FBA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A7C0F7F4"/>
    <w:lvl w:ilvl="0">
      <w:start w:val="1"/>
      <w:numFmt w:val="decimal"/>
      <w:pStyle w:val="ParaNoNdepar-AltN"/>
      <w:lvlText w:val="[%1]"/>
      <w:lvlJc w:val="left"/>
      <w:pPr>
        <w:tabs>
          <w:tab w:val="num" w:pos="1242"/>
        </w:tabs>
        <w:ind w:left="90" w:firstLine="0"/>
      </w:pPr>
      <w:rPr>
        <w:rFonts w:ascii="Times New Roman" w:hAnsi="Times New Roman" w:hint="default"/>
        <w:b w:val="0"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4C"/>
    <w:rsid w:val="00000ED4"/>
    <w:rsid w:val="00025198"/>
    <w:rsid w:val="00057481"/>
    <w:rsid w:val="000578A3"/>
    <w:rsid w:val="000648CC"/>
    <w:rsid w:val="00071577"/>
    <w:rsid w:val="000B3105"/>
    <w:rsid w:val="000C59B8"/>
    <w:rsid w:val="000C6AF0"/>
    <w:rsid w:val="000F0E4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59E2"/>
    <w:rsid w:val="00183EE3"/>
    <w:rsid w:val="00186351"/>
    <w:rsid w:val="0019296A"/>
    <w:rsid w:val="00195D83"/>
    <w:rsid w:val="001A00C1"/>
    <w:rsid w:val="001B1A7C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86DA8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16BFE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77C4F"/>
    <w:rsid w:val="00583EDE"/>
    <w:rsid w:val="005A6079"/>
    <w:rsid w:val="005B7E3D"/>
    <w:rsid w:val="005C39B2"/>
    <w:rsid w:val="005D4551"/>
    <w:rsid w:val="005E4698"/>
    <w:rsid w:val="005F1A9A"/>
    <w:rsid w:val="00610539"/>
    <w:rsid w:val="00613969"/>
    <w:rsid w:val="00617CB9"/>
    <w:rsid w:val="00623ADE"/>
    <w:rsid w:val="00625C35"/>
    <w:rsid w:val="00656313"/>
    <w:rsid w:val="006565F4"/>
    <w:rsid w:val="00684EEA"/>
    <w:rsid w:val="0069689B"/>
    <w:rsid w:val="006A1551"/>
    <w:rsid w:val="006B1ACC"/>
    <w:rsid w:val="006B5FF5"/>
    <w:rsid w:val="006C6B6B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711E8"/>
    <w:rsid w:val="0079099C"/>
    <w:rsid w:val="007A05F6"/>
    <w:rsid w:val="007A687C"/>
    <w:rsid w:val="007B6F4A"/>
    <w:rsid w:val="007C7FD8"/>
    <w:rsid w:val="007D491E"/>
    <w:rsid w:val="007E1C47"/>
    <w:rsid w:val="007E337A"/>
    <w:rsid w:val="007E5C70"/>
    <w:rsid w:val="007F2FF5"/>
    <w:rsid w:val="007F3F08"/>
    <w:rsid w:val="00804CC6"/>
    <w:rsid w:val="00812208"/>
    <w:rsid w:val="00817190"/>
    <w:rsid w:val="00820EE5"/>
    <w:rsid w:val="008260E2"/>
    <w:rsid w:val="008322BD"/>
    <w:rsid w:val="00833E0A"/>
    <w:rsid w:val="00834F73"/>
    <w:rsid w:val="00850743"/>
    <w:rsid w:val="00864CF8"/>
    <w:rsid w:val="00872819"/>
    <w:rsid w:val="00874914"/>
    <w:rsid w:val="00891422"/>
    <w:rsid w:val="00892E1A"/>
    <w:rsid w:val="008A3F29"/>
    <w:rsid w:val="008B379C"/>
    <w:rsid w:val="008B660A"/>
    <w:rsid w:val="008C01DA"/>
    <w:rsid w:val="008D34F5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0392F"/>
    <w:rsid w:val="00A149DF"/>
    <w:rsid w:val="00A1726D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C71CB"/>
    <w:rsid w:val="00AF03C5"/>
    <w:rsid w:val="00B000D8"/>
    <w:rsid w:val="00B00F75"/>
    <w:rsid w:val="00B145B6"/>
    <w:rsid w:val="00B23FBA"/>
    <w:rsid w:val="00B26373"/>
    <w:rsid w:val="00B279EB"/>
    <w:rsid w:val="00B50C81"/>
    <w:rsid w:val="00B557F8"/>
    <w:rsid w:val="00B815FC"/>
    <w:rsid w:val="00B87920"/>
    <w:rsid w:val="00B93FBC"/>
    <w:rsid w:val="00BA7DA0"/>
    <w:rsid w:val="00BB2EE4"/>
    <w:rsid w:val="00BB4B21"/>
    <w:rsid w:val="00BC2108"/>
    <w:rsid w:val="00BD0E9E"/>
    <w:rsid w:val="00BD1BEC"/>
    <w:rsid w:val="00BD32FF"/>
    <w:rsid w:val="00C02092"/>
    <w:rsid w:val="00C24D91"/>
    <w:rsid w:val="00C3158D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3FFF"/>
    <w:rsid w:val="00D37A3F"/>
    <w:rsid w:val="00D4431D"/>
    <w:rsid w:val="00D4667A"/>
    <w:rsid w:val="00D54C07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E4CF2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090D"/>
    <w:rsid w:val="00E77932"/>
    <w:rsid w:val="00E97830"/>
    <w:rsid w:val="00ED04FB"/>
    <w:rsid w:val="00EE643C"/>
    <w:rsid w:val="00EF0683"/>
    <w:rsid w:val="00EF2BED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001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4B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customStyle="1" w:styleId="ParaNoNdepar-AltN">
    <w:name w:val="Para. No. / Nº de par. - Alt N"/>
    <w:qFormat/>
    <w:rsid w:val="00AC71CB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F6001B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F6001B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6001B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F6001B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9B4C-85C1-41EB-9C23-E9193A9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2015-04-28T19:32:00Z</dcterms:created>
  <dcterms:modified xsi:type="dcterms:W3CDTF">2015-09-09T12:34:00Z</dcterms:modified>
</cp:coreProperties>
</file>